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0053D" w14:textId="77777777" w:rsidR="00772C76" w:rsidRPr="001B4468" w:rsidRDefault="00772C76" w:rsidP="00772C76">
      <w:pPr>
        <w:jc w:val="center"/>
        <w:rPr>
          <w:rFonts w:ascii="Arial" w:hAnsi="Arial" w:cs="Arial"/>
          <w:b/>
          <w:bCs/>
          <w:lang w:val="en-IN"/>
        </w:rPr>
      </w:pPr>
    </w:p>
    <w:p w14:paraId="1B05C616" w14:textId="77777777" w:rsidR="00772C76" w:rsidRPr="001B4468" w:rsidRDefault="00772C76" w:rsidP="00772C76">
      <w:pPr>
        <w:jc w:val="center"/>
        <w:rPr>
          <w:rFonts w:ascii="Arial" w:hAnsi="Arial" w:cs="Arial"/>
          <w:b/>
          <w:bCs/>
          <w:lang w:val="en-IN"/>
        </w:rPr>
      </w:pPr>
    </w:p>
    <w:p w14:paraId="478CF410" w14:textId="77777777" w:rsidR="00772C76" w:rsidRPr="001B4468" w:rsidRDefault="00772C76" w:rsidP="00772C76">
      <w:pPr>
        <w:jc w:val="center"/>
        <w:rPr>
          <w:rFonts w:ascii="Arial" w:hAnsi="Arial" w:cs="Arial"/>
          <w:b/>
          <w:bCs/>
          <w:lang w:val="en-IN"/>
        </w:rPr>
      </w:pPr>
    </w:p>
    <w:p w14:paraId="057BDAE4" w14:textId="77777777" w:rsidR="00772C76" w:rsidRPr="001B4468" w:rsidRDefault="00772C76" w:rsidP="00772C76">
      <w:pPr>
        <w:jc w:val="center"/>
        <w:rPr>
          <w:rFonts w:ascii="Arial" w:hAnsi="Arial" w:cs="Arial"/>
          <w:b/>
          <w:bCs/>
          <w:lang w:val="en-IN"/>
        </w:rPr>
      </w:pPr>
    </w:p>
    <w:p w14:paraId="718779B9" w14:textId="77777777" w:rsidR="001B4468" w:rsidRDefault="001B4468" w:rsidP="00772C76">
      <w:pPr>
        <w:jc w:val="center"/>
        <w:rPr>
          <w:rFonts w:ascii="Arial" w:hAnsi="Arial" w:cs="Arial"/>
          <w:b/>
          <w:bCs/>
          <w:lang w:val="en-IN"/>
        </w:rPr>
      </w:pPr>
      <w:r>
        <w:rPr>
          <w:rFonts w:ascii="Arial" w:hAnsi="Arial" w:cs="Arial"/>
          <w:b/>
          <w:bCs/>
          <w:lang w:val="en-IN"/>
        </w:rPr>
        <w:t>Sustainable Hospitality &amp; Tourism Management</w:t>
      </w:r>
      <w:r w:rsidRPr="001B4468">
        <w:rPr>
          <w:rFonts w:ascii="Arial" w:hAnsi="Arial" w:cs="Arial"/>
          <w:b/>
          <w:bCs/>
          <w:lang w:val="en-IN"/>
        </w:rPr>
        <w:t xml:space="preserve"> </w:t>
      </w:r>
    </w:p>
    <w:p w14:paraId="519730C9" w14:textId="725BABF6" w:rsidR="00772C76" w:rsidRDefault="00772C76" w:rsidP="00772C76">
      <w:pPr>
        <w:jc w:val="center"/>
        <w:rPr>
          <w:rFonts w:ascii="Arial" w:hAnsi="Arial" w:cs="Arial"/>
          <w:b/>
          <w:bCs/>
          <w:lang w:val="en-IN"/>
        </w:rPr>
      </w:pPr>
      <w:r w:rsidRPr="001B4468">
        <w:rPr>
          <w:rFonts w:ascii="Arial" w:hAnsi="Arial" w:cs="Arial"/>
          <w:b/>
          <w:bCs/>
          <w:lang w:val="en-IN"/>
        </w:rPr>
        <w:t>BMIH500</w:t>
      </w:r>
      <w:r w:rsidR="001B4468">
        <w:rPr>
          <w:rFonts w:ascii="Arial" w:hAnsi="Arial" w:cs="Arial"/>
          <w:b/>
          <w:bCs/>
          <w:lang w:val="en-IN"/>
        </w:rPr>
        <w:t>6</w:t>
      </w:r>
    </w:p>
    <w:p w14:paraId="2D52BE80" w14:textId="046BE3CD" w:rsidR="001B4468" w:rsidRDefault="001B4468" w:rsidP="00772C76">
      <w:pPr>
        <w:jc w:val="center"/>
        <w:rPr>
          <w:rFonts w:ascii="Arial" w:hAnsi="Arial" w:cs="Arial"/>
          <w:b/>
          <w:bCs/>
          <w:lang w:val="en-IN"/>
        </w:rPr>
      </w:pPr>
      <w:r>
        <w:rPr>
          <w:rFonts w:ascii="Arial" w:hAnsi="Arial" w:cs="Arial"/>
          <w:b/>
          <w:bCs/>
          <w:lang w:val="en-IN"/>
        </w:rPr>
        <w:t xml:space="preserve">Student: </w:t>
      </w:r>
      <w:r w:rsidRPr="001B4468">
        <w:rPr>
          <w:rFonts w:ascii="Arial" w:hAnsi="Arial" w:cs="Arial"/>
          <w:b/>
          <w:bCs/>
          <w:lang w:val="en-IN"/>
        </w:rPr>
        <w:t>Ionut Kostyal</w:t>
      </w:r>
      <w:r>
        <w:rPr>
          <w:rFonts w:ascii="Arial" w:hAnsi="Arial" w:cs="Arial"/>
          <w:b/>
          <w:bCs/>
          <w:lang w:val="en-IN"/>
        </w:rPr>
        <w:t xml:space="preserve"> 2125398</w:t>
      </w:r>
    </w:p>
    <w:p w14:paraId="653717B4" w14:textId="6838798A" w:rsidR="001B4468" w:rsidRDefault="001B4468" w:rsidP="00772C76">
      <w:pPr>
        <w:jc w:val="center"/>
        <w:rPr>
          <w:rFonts w:ascii="Arial" w:hAnsi="Arial" w:cs="Arial"/>
          <w:b/>
          <w:bCs/>
          <w:lang w:val="en-IN"/>
        </w:rPr>
      </w:pPr>
      <w:r>
        <w:rPr>
          <w:rFonts w:ascii="Arial" w:hAnsi="Arial" w:cs="Arial"/>
          <w:b/>
          <w:bCs/>
          <w:lang w:val="en-IN"/>
        </w:rPr>
        <w:t>Lecturer: Dr Huw Thomas</w:t>
      </w:r>
    </w:p>
    <w:p w14:paraId="2152DD82" w14:textId="77777777" w:rsidR="001B4468" w:rsidRPr="001B4468" w:rsidRDefault="001B4468" w:rsidP="00772C76">
      <w:pPr>
        <w:jc w:val="center"/>
        <w:rPr>
          <w:rFonts w:ascii="Arial" w:hAnsi="Arial" w:cs="Arial"/>
          <w:b/>
          <w:bCs/>
          <w:lang w:val="en-IN"/>
        </w:rPr>
      </w:pPr>
    </w:p>
    <w:p w14:paraId="30377E24" w14:textId="61E8B4A7" w:rsidR="007E011E" w:rsidRPr="001B4468" w:rsidRDefault="001B4468" w:rsidP="00772C76">
      <w:pPr>
        <w:jc w:val="center"/>
        <w:rPr>
          <w:rFonts w:ascii="Arial" w:hAnsi="Arial" w:cs="Arial"/>
          <w:b/>
          <w:bCs/>
        </w:rPr>
      </w:pPr>
      <w:r>
        <w:rPr>
          <w:rFonts w:ascii="Arial" w:hAnsi="Arial" w:cs="Arial"/>
          <w:b/>
          <w:bCs/>
        </w:rPr>
        <w:t xml:space="preserve">Title: </w:t>
      </w:r>
      <w:r w:rsidRPr="001B4468">
        <w:rPr>
          <w:rFonts w:ascii="Arial" w:hAnsi="Arial" w:cs="Arial"/>
          <w:b/>
          <w:bCs/>
        </w:rPr>
        <w:t xml:space="preserve">Essay </w:t>
      </w:r>
      <w:r w:rsidR="007E011E" w:rsidRPr="001B4468">
        <w:rPr>
          <w:rFonts w:ascii="Arial" w:hAnsi="Arial" w:cs="Arial"/>
          <w:b/>
          <w:bCs/>
        </w:rPr>
        <w:br w:type="page"/>
      </w:r>
    </w:p>
    <w:p w14:paraId="5BEEECDD" w14:textId="77777777" w:rsidR="005210AD" w:rsidRPr="001B4468" w:rsidRDefault="005210AD" w:rsidP="006E201D">
      <w:pPr>
        <w:pStyle w:val="Heading1"/>
        <w:rPr>
          <w:rFonts w:ascii="Arial" w:hAnsi="Arial" w:cs="Arial"/>
          <w:sz w:val="24"/>
        </w:rPr>
      </w:pPr>
      <w:r w:rsidRPr="001B4468">
        <w:rPr>
          <w:rFonts w:ascii="Arial" w:hAnsi="Arial" w:cs="Arial"/>
          <w:sz w:val="24"/>
        </w:rPr>
        <w:lastRenderedPageBreak/>
        <w:t xml:space="preserve">Introduction </w:t>
      </w:r>
    </w:p>
    <w:p w14:paraId="7801C68E" w14:textId="0C09EDED" w:rsidR="005210AD" w:rsidRPr="001B4468" w:rsidRDefault="00692BE5" w:rsidP="006E201D">
      <w:pPr>
        <w:rPr>
          <w:rFonts w:ascii="Arial" w:hAnsi="Arial" w:cs="Arial"/>
        </w:rPr>
      </w:pPr>
      <w:r w:rsidRPr="001B4468">
        <w:rPr>
          <w:rFonts w:ascii="Arial" w:hAnsi="Arial" w:cs="Arial"/>
        </w:rPr>
        <w:t>The Context will discuss the implementation of circular economy initiatives as part of Premier Inn’s CSR policy. Further, the lens of several theoretical perspectives will help present the context</w:t>
      </w:r>
      <w:r w:rsidR="00772C76" w:rsidRPr="001B4468">
        <w:rPr>
          <w:rFonts w:ascii="Arial" w:hAnsi="Arial" w:cs="Arial"/>
        </w:rPr>
        <w:t>. The essay</w:t>
      </w:r>
      <w:r w:rsidRPr="001B4468">
        <w:rPr>
          <w:rFonts w:ascii="Arial" w:hAnsi="Arial" w:cs="Arial"/>
        </w:rPr>
        <w:t xml:space="preserve"> </w:t>
      </w:r>
      <w:r w:rsidR="00653282" w:rsidRPr="001B4468">
        <w:rPr>
          <w:rFonts w:ascii="Arial" w:hAnsi="Arial" w:cs="Arial"/>
        </w:rPr>
        <w:t>will focus</w:t>
      </w:r>
      <w:r w:rsidR="00772C76" w:rsidRPr="001B4468">
        <w:rPr>
          <w:rFonts w:ascii="Arial" w:hAnsi="Arial" w:cs="Arial"/>
        </w:rPr>
        <w:t xml:space="preserve"> on</w:t>
      </w:r>
      <w:r w:rsidRPr="001B4468">
        <w:rPr>
          <w:rFonts w:ascii="Arial" w:hAnsi="Arial" w:cs="Arial"/>
        </w:rPr>
        <w:t xml:space="preserve"> </w:t>
      </w:r>
      <w:r w:rsidR="00772C76" w:rsidRPr="001B4468">
        <w:rPr>
          <w:rFonts w:ascii="Arial" w:hAnsi="Arial" w:cs="Arial"/>
        </w:rPr>
        <w:t xml:space="preserve">the </w:t>
      </w:r>
      <w:r w:rsidRPr="001B4468">
        <w:rPr>
          <w:rFonts w:ascii="Arial" w:hAnsi="Arial" w:cs="Arial"/>
        </w:rPr>
        <w:t xml:space="preserve">steps this hotel chain takes to practice sustainable behavior. The discussion will focus on paradigm shift from linear to circular models as recommended by the Cradle-to –Cradle framework. These four circular principles can be related to Archie Carroll’s CSR Pyramid and their respective Premier Inn responsibilities under economic, legal ethical and philanthropic dimensions. </w:t>
      </w:r>
      <w:r w:rsidR="00772C76" w:rsidRPr="001B4468">
        <w:rPr>
          <w:rFonts w:ascii="Arial" w:hAnsi="Arial" w:cs="Arial"/>
        </w:rPr>
        <w:t>Additionally</w:t>
      </w:r>
      <w:r w:rsidRPr="001B4468">
        <w:rPr>
          <w:rFonts w:ascii="Arial" w:hAnsi="Arial" w:cs="Arial"/>
        </w:rPr>
        <w:t xml:space="preserve">, the essay will also look at circular economy practices and stakeholder theory interaction to identify how Premier Inn responds to different requirements and goals. The NRBV and RBV models will be applied to focus on the strategic use of resources including sustainable </w:t>
      </w:r>
      <w:r w:rsidR="001B4468" w:rsidRPr="001B4468">
        <w:rPr>
          <w:rFonts w:ascii="Arial" w:hAnsi="Arial" w:cs="Arial"/>
        </w:rPr>
        <w:t>sourcing and</w:t>
      </w:r>
      <w:r w:rsidRPr="001B4468">
        <w:rPr>
          <w:rFonts w:ascii="Arial" w:hAnsi="Arial" w:cs="Arial"/>
        </w:rPr>
        <w:t xml:space="preserve"> renewable energy investments. Moreover, the Waste Hierarchy will showcase Premier Inn’s methods of waste minimization. The research </w:t>
      </w:r>
      <w:r w:rsidR="00772C76" w:rsidRPr="001B4468">
        <w:rPr>
          <w:rFonts w:ascii="Arial" w:hAnsi="Arial" w:cs="Arial"/>
        </w:rPr>
        <w:t xml:space="preserve">will </w:t>
      </w:r>
      <w:r w:rsidRPr="001B4468">
        <w:rPr>
          <w:rFonts w:ascii="Arial" w:hAnsi="Arial" w:cs="Arial"/>
        </w:rPr>
        <w:t>cover the Life Cycle Assessment framework outlining how Premier Inn measures its products’ sustainability. Lastly, the Triple Bottom Line theory will shed light on how Premier Inn has managed to have a balance in its ethical practices. The essay will end by mentioning the key role these theoretical underpinnings play in guiding Premier Inn towards a sustainable and circular future within hospitality.</w:t>
      </w:r>
      <w:r w:rsidR="005210AD" w:rsidRPr="001B4468">
        <w:rPr>
          <w:rFonts w:ascii="Arial" w:hAnsi="Arial" w:cs="Arial"/>
        </w:rPr>
        <w:br w:type="page"/>
      </w:r>
    </w:p>
    <w:p w14:paraId="772B217B" w14:textId="77777777" w:rsidR="006E201D" w:rsidRPr="001B4468" w:rsidRDefault="006E201D" w:rsidP="006E201D">
      <w:pPr>
        <w:pStyle w:val="Heading1"/>
        <w:rPr>
          <w:rFonts w:ascii="Arial" w:hAnsi="Arial" w:cs="Arial"/>
          <w:sz w:val="24"/>
        </w:rPr>
      </w:pPr>
      <w:r w:rsidRPr="001B4468">
        <w:rPr>
          <w:rFonts w:ascii="Arial" w:hAnsi="Arial" w:cs="Arial"/>
          <w:sz w:val="24"/>
        </w:rPr>
        <w:lastRenderedPageBreak/>
        <w:t>Analysis and Discussion</w:t>
      </w:r>
    </w:p>
    <w:p w14:paraId="4CB05B1A" w14:textId="3D1C5A04" w:rsidR="00B12995" w:rsidRPr="001B4468" w:rsidRDefault="00692BE5" w:rsidP="00B12995">
      <w:pPr>
        <w:rPr>
          <w:rFonts w:ascii="Arial" w:hAnsi="Arial" w:cs="Arial"/>
        </w:rPr>
      </w:pPr>
      <w:r w:rsidRPr="001B4468">
        <w:rPr>
          <w:rFonts w:ascii="Arial" w:hAnsi="Arial" w:cs="Arial"/>
        </w:rPr>
        <w:t xml:space="preserve">The idea of a circular economy represents the transition from a linear paradigm where resources are used linearly one after another to cyclic model. Indeed, relevant theories that subscribe to the circular economy include McDonough and Braungart’s Cradle-to-Cradle framework which strives for a replenishing system not depleting its resources but recycling them continuously over time. This Cradle-to-Cradle framework demands that materials should be constructed not only to remain but also to reproduce or regenerate following the standard natural systems cycles. In this method, the last stage in a product’s life is no longer waste but potential retrieval. The framework emphasizes two main cycles: the biological loop where organic materials are converted back to nature and the technical where non-degradable resources are recycled forever. In a circular economy, resource regeneration and waste elimination form the basis. Companies focus on the construction of closed-loop </w:t>
      </w:r>
      <w:r w:rsidR="00653282" w:rsidRPr="001B4468">
        <w:rPr>
          <w:rFonts w:ascii="Arial" w:hAnsi="Arial" w:cs="Arial"/>
        </w:rPr>
        <w:t>systems-based</w:t>
      </w:r>
      <w:r w:rsidRPr="001B4468">
        <w:rPr>
          <w:rFonts w:ascii="Arial" w:hAnsi="Arial" w:cs="Arial"/>
        </w:rPr>
        <w:t xml:space="preserve"> Cradle to cradle-to-cradle principles, which necessitate sustainability, environmental health, and profitability. This transformation draws attention to the need for whole product life-cycle redesigns, attracting creative ideas and sustainable consumption as well all all-encompassing management of resources.</w:t>
      </w:r>
    </w:p>
    <w:p w14:paraId="24A3D22F" w14:textId="77777777" w:rsidR="00B12995" w:rsidRPr="001B4468" w:rsidRDefault="008D1210" w:rsidP="00B12995">
      <w:pPr>
        <w:rPr>
          <w:rFonts w:ascii="Arial" w:hAnsi="Arial" w:cs="Arial"/>
        </w:rPr>
      </w:pPr>
      <w:r w:rsidRPr="001B4468">
        <w:rPr>
          <w:rFonts w:ascii="Arial" w:hAnsi="Arial" w:cs="Arial"/>
        </w:rPr>
        <w:t xml:space="preserve">The integration of the circular economy within Corporate Social Responsibility (CSR) finds theoretical support in Archie Carroll's CSR Pyramid, a framework that outlines the four responsibilities of businesses: economic, legal, ethical, and philanthropic. For Premier Inn, the union of activities in circular visions with Carroll’s CSR pyramid is critical for creating a socially aware and holistic business model. At the base of the pyramid, economic responsibility concerns Premier Inn’s budgetary duties. The circular </w:t>
      </w:r>
      <w:r w:rsidRPr="001B4468">
        <w:rPr>
          <w:rFonts w:ascii="Arial" w:hAnsi="Arial" w:cs="Arial"/>
        </w:rPr>
        <w:lastRenderedPageBreak/>
        <w:t>initiative helps to reduce resource consumption and efficiency as well, which is cause promotes long-term sustainability. The second level of legal accountabilities is based on compliance with environmental practices and where circular principles are by legislative standards. Up the pyramid, the circular economy offers ethical commitments that are perfectly right. Value-based interests like sustainability, waste reduction, and resource regeneration are correlated with positive effects on corporate image while satisfying ethically minded consumers. In the philanthropic setting, circular economy initiatives can also move past compliance and even help in creating a better environment for society; through this Premier Inn can follow its responsibility of giving back. In essence, the integration of circular economy practices in CSR activities at Premier Inn should be consistent with Carroll’s multiplex model. It not only examines its economic, legal, ethical, and philanthropic responsibilities but also how the circular economy’s key of sustainability facilitates refinement in each aspect.</w:t>
      </w:r>
    </w:p>
    <w:p w14:paraId="3BC31178" w14:textId="77777777" w:rsidR="00B12995" w:rsidRPr="001B4468" w:rsidRDefault="008D1210" w:rsidP="00B12995">
      <w:pPr>
        <w:rPr>
          <w:rFonts w:ascii="Arial" w:hAnsi="Arial" w:cs="Arial"/>
        </w:rPr>
      </w:pPr>
      <w:r w:rsidRPr="001B4468">
        <w:rPr>
          <w:rFonts w:ascii="Arial" w:hAnsi="Arial" w:cs="Arial"/>
        </w:rPr>
        <w:t>Based on the stakeholder theory, Premier Inn’s CSR policy shows an active relationship between itself and its interested parties. Considering the interdependencies with several stakeholders, CSR strategies of Premier Inn are oriented to draw acknowledgment from its demands and desires by uniting to create a set of shared values. In resource management, the company uses the NRBV as its guiding model. The CSR policy strategically treats sustainable sourcing as a useful and strategic source. Following a circular economy ideology, resource management practices within Premier Inn meet corporate needs while contributing to long-term sustainability in ecosystem intensity.</w:t>
      </w:r>
    </w:p>
    <w:p w14:paraId="4581EB81" w14:textId="4D783395" w:rsidR="008D1210" w:rsidRPr="001B4468" w:rsidRDefault="008D1210" w:rsidP="008D1210">
      <w:pPr>
        <w:rPr>
          <w:rFonts w:ascii="Arial" w:hAnsi="Arial" w:cs="Arial"/>
        </w:rPr>
      </w:pPr>
      <w:r w:rsidRPr="001B4468">
        <w:rPr>
          <w:rFonts w:ascii="Arial" w:hAnsi="Arial" w:cs="Arial"/>
        </w:rPr>
        <w:t xml:space="preserve">The business organization is evaluated from the perspective of RBV theory by focusing its investments in renewable energy towards higher efficiency. Premier Inn has </w:t>
      </w:r>
      <w:r w:rsidRPr="001B4468">
        <w:rPr>
          <w:rFonts w:ascii="Arial" w:hAnsi="Arial" w:cs="Arial"/>
        </w:rPr>
        <w:lastRenderedPageBreak/>
        <w:t xml:space="preserve">displayed a commitment to sustainability that is more than just compliance through the adoption of </w:t>
      </w:r>
      <w:r w:rsidR="00653282" w:rsidRPr="001B4468">
        <w:rPr>
          <w:rFonts w:ascii="Arial" w:hAnsi="Arial" w:cs="Arial"/>
        </w:rPr>
        <w:t>renewable energy</w:t>
      </w:r>
      <w:r w:rsidRPr="001B4468">
        <w:rPr>
          <w:rFonts w:ascii="Arial" w:hAnsi="Arial" w:cs="Arial"/>
        </w:rPr>
        <w:t xml:space="preserve">. Premier Inn’s attention to renewable energy aligns with the RBV perception that </w:t>
      </w:r>
      <w:r w:rsidR="00653282" w:rsidRPr="001B4468">
        <w:rPr>
          <w:rFonts w:ascii="Arial" w:hAnsi="Arial" w:cs="Arial"/>
        </w:rPr>
        <w:t>emphasizes</w:t>
      </w:r>
      <w:r w:rsidRPr="001B4468">
        <w:rPr>
          <w:rFonts w:ascii="Arial" w:hAnsi="Arial" w:cs="Arial"/>
        </w:rPr>
        <w:t xml:space="preserve"> the value, scarcity, and inimitability of the resources.</w:t>
      </w:r>
    </w:p>
    <w:p w14:paraId="24349592" w14:textId="77777777" w:rsidR="008D1210" w:rsidRPr="001B4468" w:rsidRDefault="008D1210" w:rsidP="008D1210">
      <w:pPr>
        <w:rPr>
          <w:rFonts w:ascii="Arial" w:hAnsi="Arial" w:cs="Arial"/>
        </w:rPr>
      </w:pPr>
      <w:r w:rsidRPr="001B4468">
        <w:rPr>
          <w:rFonts w:ascii="Arial" w:hAnsi="Arial" w:cs="Arial"/>
        </w:rPr>
        <w:t>Waste reduction and recycling form a vital part of Premier Inn’s CSR policy which is built based on waste hierarchy principles. Premier Inn would like to protect the environment by promoting prevention, minimizing, and recycling. The guiding principles of circular economy are at the heart of the Waste Hierarchy on which waste management strategies for that hotel chain rest. Premier Inn ensures that through highlighting circular practices, the waste is not only dumped but also considered as a potential source in addition to an ultimate goal of a collapsed economy.</w:t>
      </w:r>
    </w:p>
    <w:p w14:paraId="105AD67D" w14:textId="77777777" w:rsidR="008D1210" w:rsidRPr="001B4468" w:rsidRDefault="008D1210" w:rsidP="008D1210">
      <w:pPr>
        <w:rPr>
          <w:rFonts w:ascii="Arial" w:hAnsi="Arial" w:cs="Arial"/>
        </w:rPr>
      </w:pPr>
      <w:r w:rsidRPr="001B4468">
        <w:rPr>
          <w:rFonts w:ascii="Arial" w:hAnsi="Arial" w:cs="Arial"/>
        </w:rPr>
        <w:t>The company uses the LCA framework of product lifecycles for measuring environmental impact at Premier Inn. This theoretical approach makes it possible to gain a comprehensive panoramic understanding of product and service sustainability. Premier Inn ensured that its product lifecycles were protracted through repair, refurbishment, and recycling thus in line with the tenets of LCA consequently minimizing environmental imprint on offerings.</w:t>
      </w:r>
    </w:p>
    <w:p w14:paraId="07E321BA" w14:textId="77777777" w:rsidR="00B12995" w:rsidRPr="001B4468" w:rsidRDefault="008D1210" w:rsidP="008D1210">
      <w:pPr>
        <w:rPr>
          <w:rFonts w:ascii="Arial" w:hAnsi="Arial" w:cs="Arial"/>
        </w:rPr>
      </w:pPr>
      <w:r w:rsidRPr="001B4468">
        <w:rPr>
          <w:rFonts w:ascii="Arial" w:hAnsi="Arial" w:cs="Arial"/>
        </w:rPr>
        <w:t xml:space="preserve">In general, the CSR policy of Premier Inn based on stakeholder theory involves strategic guidance through various theoretical framework integrations. Premier Inn advances from addressing the interests and needs of stakeholders to actively supporting sustainable practices by adopting not only NRBV, and RBV but also approaches such as Waste Hierarchy or LCA. This is a depiction of an integrated approach that takes accountability for business conduct through the incorporation of the </w:t>
      </w:r>
      <w:r w:rsidRPr="001B4468">
        <w:rPr>
          <w:rFonts w:ascii="Arial" w:hAnsi="Arial" w:cs="Arial"/>
        </w:rPr>
        <w:lastRenderedPageBreak/>
        <w:t>dual relationships between organizations and stakeholders in their quest toward the circular economy.</w:t>
      </w:r>
    </w:p>
    <w:p w14:paraId="2F918568" w14:textId="77777777" w:rsidR="00B12995" w:rsidRPr="001B4468" w:rsidRDefault="00B12995" w:rsidP="00B12995">
      <w:pPr>
        <w:pStyle w:val="z-TopofForm"/>
        <w:rPr>
          <w:sz w:val="24"/>
          <w:szCs w:val="24"/>
        </w:rPr>
      </w:pPr>
      <w:r w:rsidRPr="001B4468">
        <w:rPr>
          <w:sz w:val="24"/>
          <w:szCs w:val="24"/>
        </w:rPr>
        <w:t>Top of Form</w:t>
      </w:r>
    </w:p>
    <w:p w14:paraId="7CB7C064" w14:textId="77777777" w:rsidR="005210AD" w:rsidRPr="001B4468" w:rsidRDefault="005210AD" w:rsidP="005210AD">
      <w:pPr>
        <w:spacing w:after="200" w:line="276" w:lineRule="auto"/>
        <w:jc w:val="left"/>
        <w:rPr>
          <w:rFonts w:ascii="Arial" w:hAnsi="Arial" w:cs="Arial"/>
        </w:rPr>
      </w:pPr>
    </w:p>
    <w:p w14:paraId="305CC5D3" w14:textId="6F685655" w:rsidR="00E94EC6" w:rsidRPr="001B4468" w:rsidRDefault="00E94EC6" w:rsidP="00E94EC6">
      <w:pPr>
        <w:rPr>
          <w:rFonts w:ascii="Arial" w:hAnsi="Arial" w:cs="Arial"/>
        </w:rPr>
      </w:pPr>
      <w:r w:rsidRPr="001B4468">
        <w:rPr>
          <w:rFonts w:ascii="Arial" w:hAnsi="Arial" w:cs="Arial"/>
        </w:rPr>
        <w:t xml:space="preserve">In fact, the TBL theory allows seeing enough strengths and achievements of Premier Inn’s CSR policy. The superiority of Premier Inn is precisely the outstanding equilibrium that occurs in economic, social and environmental spheres associated with TBL theory. Economically, Premier Inn not only remains viable but has invested in circular economy initiatives that deliver economic sustainability. Such resource-driver mechanisms and reduction of wastes improves the efficiency of their operations, reduces cost while still increasing profitability. In social territory, Premier Inn </w:t>
      </w:r>
      <w:r w:rsidR="00653282" w:rsidRPr="001B4468">
        <w:rPr>
          <w:rFonts w:ascii="Arial" w:hAnsi="Arial" w:cs="Arial"/>
        </w:rPr>
        <w:t>participates in</w:t>
      </w:r>
      <w:r w:rsidRPr="001B4468">
        <w:rPr>
          <w:rFonts w:ascii="Arial" w:hAnsi="Arial" w:cs="Arial"/>
        </w:rPr>
        <w:t xml:space="preserve"> charitable activities and projects on community development. These local projects go a long way in establishing goodwill to </w:t>
      </w:r>
      <w:r w:rsidR="00653282" w:rsidRPr="001B4468">
        <w:rPr>
          <w:rFonts w:ascii="Arial" w:hAnsi="Arial" w:cs="Arial"/>
        </w:rPr>
        <w:t>society</w:t>
      </w:r>
      <w:r w:rsidRPr="001B4468">
        <w:rPr>
          <w:rFonts w:ascii="Arial" w:hAnsi="Arial" w:cs="Arial"/>
        </w:rPr>
        <w:t xml:space="preserve"> and enhancing social credibility of this hotel chain. Premier Inn’s efforts towards social responsibility by implementing fair worker practices and caring for employees also contribute to the TBL in building lasting societal relationships. The Premier Inn environmental commitment is demonstrated by initiatives in areas of waste reduction, sustainable sourcing and energy efficiency. </w:t>
      </w:r>
      <w:r w:rsidR="00653282" w:rsidRPr="001B4468">
        <w:rPr>
          <w:rFonts w:ascii="Arial" w:hAnsi="Arial" w:cs="Arial"/>
        </w:rPr>
        <w:t>The</w:t>
      </w:r>
      <w:r w:rsidRPr="001B4468">
        <w:rPr>
          <w:rFonts w:ascii="Arial" w:hAnsi="Arial" w:cs="Arial"/>
        </w:rPr>
        <w:t xml:space="preserve"> implementation of circular economy principles such as </w:t>
      </w:r>
      <w:r w:rsidR="00653282" w:rsidRPr="001B4468">
        <w:rPr>
          <w:rFonts w:ascii="Arial" w:hAnsi="Arial" w:cs="Arial"/>
        </w:rPr>
        <w:t>recycling,</w:t>
      </w:r>
      <w:r w:rsidRPr="001B4468">
        <w:rPr>
          <w:rFonts w:ascii="Arial" w:hAnsi="Arial" w:cs="Arial"/>
        </w:rPr>
        <w:t xml:space="preserve"> and product lifecycle extension can be regarded as a proactive approach in saving the environment.</w:t>
      </w:r>
      <w:r w:rsidR="00B12995" w:rsidRPr="001B4468">
        <w:rPr>
          <w:rFonts w:ascii="Arial" w:hAnsi="Arial" w:cs="Arial"/>
        </w:rPr>
        <w:t xml:space="preserve"> </w:t>
      </w:r>
      <w:r w:rsidRPr="001B4468">
        <w:rPr>
          <w:rFonts w:ascii="Arial" w:hAnsi="Arial" w:cs="Arial"/>
        </w:rPr>
        <w:t>The TBL theory details how Premier Inn’s sustainability practices have positive outcomes that offset environmental impact and go in line with global sustainable goals.</w:t>
      </w:r>
    </w:p>
    <w:p w14:paraId="721DEF1D" w14:textId="5A6A0015" w:rsidR="00B12995" w:rsidRPr="001B4468" w:rsidRDefault="00E94EC6" w:rsidP="00E94EC6">
      <w:pPr>
        <w:rPr>
          <w:rFonts w:ascii="Arial" w:hAnsi="Arial" w:cs="Arial"/>
        </w:rPr>
      </w:pPr>
      <w:r w:rsidRPr="001B4468">
        <w:rPr>
          <w:rFonts w:ascii="Arial" w:hAnsi="Arial" w:cs="Arial"/>
        </w:rPr>
        <w:t xml:space="preserve">The Theory of Planned Behavior acts as a useful theoretical lens for identifying potential barriers or challenges in implementing circular economy initiatives. This theory holds that intention to perform a behavior is produced by individuals’ attitude, subjective norms and perceived behavioral control. Barriers that may arise when implementing </w:t>
      </w:r>
      <w:r w:rsidRPr="001B4468">
        <w:rPr>
          <w:rFonts w:ascii="Arial" w:hAnsi="Arial" w:cs="Arial"/>
        </w:rPr>
        <w:lastRenderedPageBreak/>
        <w:t xml:space="preserve">circular economy initiatives at the Premier Inn are complexity, low level of awareness or resistance due to </w:t>
      </w:r>
      <w:r w:rsidR="00653282" w:rsidRPr="001B4468">
        <w:rPr>
          <w:rFonts w:ascii="Arial" w:hAnsi="Arial" w:cs="Arial"/>
        </w:rPr>
        <w:t>changing</w:t>
      </w:r>
      <w:r w:rsidRPr="001B4468">
        <w:rPr>
          <w:rFonts w:ascii="Arial" w:hAnsi="Arial" w:cs="Arial"/>
        </w:rPr>
        <w:t xml:space="preserve"> factors among employees and stakeholders. By using Theory of Planned Behavior, the hotel chain can make focused evaluations to understand these aspects more clearly. Responses to these impediments could include thoroughly designed training initiatives to promote more awareness of the issues, clarity in communication regarding rewards for circular practice behavior as well as employee involvement in decision-making. Premier Inn will be proactive in addressing the barriers to form a positive attitude towards circular economy initiatives, create an organizational social norm supportive of sustainable practices and enhance all stakeholders’ activities engagement. Stakeholder engagement is thus a key ingredient to the success of Premier Inn’s circular economy initiatives. Using the Stakeholder Salience theory, which is based on power, legitimacy and urgency of </w:t>
      </w:r>
      <w:r w:rsidR="00653282" w:rsidRPr="001B4468">
        <w:rPr>
          <w:rFonts w:ascii="Arial" w:hAnsi="Arial" w:cs="Arial"/>
        </w:rPr>
        <w:t>stakeholders,</w:t>
      </w:r>
      <w:r w:rsidRPr="001B4468">
        <w:rPr>
          <w:rFonts w:ascii="Arial" w:hAnsi="Arial" w:cs="Arial"/>
        </w:rPr>
        <w:t xml:space="preserve"> an appropriate framework for ranking </w:t>
      </w:r>
      <w:proofErr w:type="gramStart"/>
      <w:r w:rsidRPr="001B4468">
        <w:rPr>
          <w:rFonts w:ascii="Arial" w:hAnsi="Arial" w:cs="Arial"/>
        </w:rPr>
        <w:t>various types</w:t>
      </w:r>
      <w:proofErr w:type="gramEnd"/>
      <w:r w:rsidRPr="001B4468">
        <w:rPr>
          <w:rFonts w:ascii="Arial" w:hAnsi="Arial" w:cs="Arial"/>
        </w:rPr>
        <w:t xml:space="preserve"> of stakeholders can be formed.</w:t>
      </w:r>
      <w:r w:rsidR="00B12995" w:rsidRPr="001B4468">
        <w:rPr>
          <w:rFonts w:ascii="Arial" w:hAnsi="Arial" w:cs="Arial"/>
        </w:rPr>
        <w:t xml:space="preserve"> Effective stakeholder engagement involves understanding the expectations and concerns of key stakeholders, including customers, employees, local communities, and regulatory bodies. Premier Inn can use the Stakeholder Salience theory to prioritize engagement with stakeholders who hold </w:t>
      </w:r>
      <w:proofErr w:type="gramStart"/>
      <w:r w:rsidR="00B12995" w:rsidRPr="001B4468">
        <w:rPr>
          <w:rFonts w:ascii="Arial" w:hAnsi="Arial" w:cs="Arial"/>
        </w:rPr>
        <w:t>significant influence</w:t>
      </w:r>
      <w:proofErr w:type="gramEnd"/>
      <w:r w:rsidR="00B12995" w:rsidRPr="001B4468">
        <w:rPr>
          <w:rFonts w:ascii="Arial" w:hAnsi="Arial" w:cs="Arial"/>
        </w:rPr>
        <w:t xml:space="preserve"> or have a vested interest in the success of circular economy initiatives. By actively involving stakeholders in decision-making processes, seeking their input, and transparently communicating the progress of circular initiatives, Premier Inn can enhance stakeholder satisfaction and build strong relationships. This, in turn, contributes to the success and sustainability of CSR initiatives, aligning with the Stakeholder Salience theory's emphasis on managing relationships with key stakeholders for organizational success.</w:t>
      </w:r>
    </w:p>
    <w:p w14:paraId="016B25F9" w14:textId="77777777" w:rsidR="008D1210" w:rsidRPr="001B4468" w:rsidRDefault="008D1210" w:rsidP="00E94EC6">
      <w:pPr>
        <w:rPr>
          <w:rFonts w:ascii="Arial" w:hAnsi="Arial" w:cs="Arial"/>
        </w:rPr>
      </w:pPr>
    </w:p>
    <w:p w14:paraId="069C6D72" w14:textId="77777777" w:rsidR="005210AD" w:rsidRPr="001B4468" w:rsidRDefault="005210AD">
      <w:pPr>
        <w:spacing w:after="200" w:line="276" w:lineRule="auto"/>
        <w:jc w:val="left"/>
        <w:rPr>
          <w:rFonts w:ascii="Arial" w:hAnsi="Arial" w:cs="Arial"/>
        </w:rPr>
      </w:pPr>
    </w:p>
    <w:p w14:paraId="3A1F536E" w14:textId="77777777" w:rsidR="005210AD" w:rsidRPr="001B4468" w:rsidRDefault="00E86736" w:rsidP="00F47BC5">
      <w:pPr>
        <w:rPr>
          <w:rFonts w:ascii="Arial" w:hAnsi="Arial" w:cs="Arial"/>
        </w:rPr>
      </w:pPr>
      <w:r w:rsidRPr="001B4468">
        <w:rPr>
          <w:rFonts w:ascii="Arial" w:hAnsi="Arial" w:cs="Arial"/>
        </w:rPr>
        <w:t xml:space="preserve">Some of the cases on Premier Inn are industry. In relation to the case of long-term commitment in achieving sustainability, Premier Inn also follows its own circular path as presented by RBV theory analysis where IKEA strives towards production of durable recyclable products. Both companies exploit the natural and specialized assets to fortify their competitive position. In case of </w:t>
      </w:r>
      <w:r w:rsidR="008D1210" w:rsidRPr="001B4468">
        <w:rPr>
          <w:rFonts w:ascii="Arial" w:hAnsi="Arial" w:cs="Arial"/>
        </w:rPr>
        <w:t>the firm the</w:t>
      </w:r>
      <w:r w:rsidRPr="001B4468">
        <w:rPr>
          <w:rFonts w:ascii="Arial" w:hAnsi="Arial" w:cs="Arial"/>
        </w:rPr>
        <w:t xml:space="preserve"> direction for sustainable procurement in hospitality amenities and efforts towards long-lived durable furnishing. As a part of their circular economy concept could be applied within this approach by the firm. They can achieve exclusive base on the market promoting products with lasting quality emphasizing resource efficiency which is aligned to principles.</w:t>
      </w:r>
    </w:p>
    <w:p w14:paraId="5ED07DF5" w14:textId="77777777" w:rsidR="00E86736" w:rsidRPr="001B4468" w:rsidRDefault="00E86736" w:rsidP="00E86736">
      <w:pPr>
        <w:rPr>
          <w:rFonts w:ascii="Arial" w:hAnsi="Arial" w:cs="Arial"/>
        </w:rPr>
      </w:pPr>
      <w:r w:rsidRPr="001B4468">
        <w:rPr>
          <w:rFonts w:ascii="Arial" w:hAnsi="Arial" w:cs="Arial"/>
        </w:rPr>
        <w:t>Another firm in the area of illustration, Unilever’s recyclable packaging can be compared to Premier Inn commitment towards waste prevention and resource recovery. However, considering the stakeholder theory in relation to Unilever’s strategy it becomes clear that standards for sustainable practices are set by different members of a group. Premier Inn can identify similarities by aligning its waste reduction actions with those debts in guests, local communities and environmentalists. Through the consistent implementation of similar principles in amenities as well a</w:t>
      </w:r>
      <w:r w:rsidR="00E94EC6" w:rsidRPr="001B4468">
        <w:rPr>
          <w:rFonts w:ascii="Arial" w:hAnsi="Arial" w:cs="Arial"/>
        </w:rPr>
        <w:t xml:space="preserve">s operational materials </w:t>
      </w:r>
      <w:r w:rsidRPr="001B4468">
        <w:rPr>
          <w:rFonts w:ascii="Arial" w:hAnsi="Arial" w:cs="Arial"/>
        </w:rPr>
        <w:t>Premier Inn supports sustainable environmental policy to build reputation</w:t>
      </w:r>
      <w:r w:rsidR="00E94EC6" w:rsidRPr="001B4468">
        <w:rPr>
          <w:rFonts w:ascii="Arial" w:hAnsi="Arial" w:cs="Arial"/>
        </w:rPr>
        <w:t>.</w:t>
      </w:r>
      <w:r w:rsidRPr="001B4468">
        <w:rPr>
          <w:rFonts w:ascii="Arial" w:hAnsi="Arial" w:cs="Arial"/>
        </w:rPr>
        <w:t xml:space="preserve"> </w:t>
      </w:r>
      <w:r w:rsidR="00E94EC6" w:rsidRPr="001B4468">
        <w:rPr>
          <w:rFonts w:ascii="Arial" w:hAnsi="Arial" w:cs="Arial"/>
        </w:rPr>
        <w:t>Additionally,</w:t>
      </w:r>
      <w:r w:rsidRPr="001B4468">
        <w:rPr>
          <w:rFonts w:ascii="Arial" w:hAnsi="Arial" w:cs="Arial"/>
        </w:rPr>
        <w:t xml:space="preserve"> ensure long-term success while adhering within requirements of circular economy standards that meet different stakeholder expectations.</w:t>
      </w:r>
    </w:p>
    <w:p w14:paraId="7F7CF62B" w14:textId="4C227043" w:rsidR="00E86736" w:rsidRPr="001B4468" w:rsidRDefault="00E86736" w:rsidP="00E86736">
      <w:pPr>
        <w:rPr>
          <w:rFonts w:ascii="Arial" w:hAnsi="Arial" w:cs="Arial"/>
        </w:rPr>
      </w:pPr>
      <w:r w:rsidRPr="001B4468">
        <w:rPr>
          <w:rFonts w:ascii="Arial" w:hAnsi="Arial" w:cs="Arial"/>
        </w:rPr>
        <w:t xml:space="preserve">Related cases are HM’s circular fashion initiatives, which can be categorized as Institutional Theory and also correspond with Premier Inn’ method to incorporate sustainability demanded by society. Premier Inn, as a representative of the hospitality </w:t>
      </w:r>
      <w:r w:rsidRPr="001B4468">
        <w:rPr>
          <w:rFonts w:ascii="Arial" w:hAnsi="Arial" w:cs="Arial"/>
        </w:rPr>
        <w:lastRenderedPageBreak/>
        <w:t xml:space="preserve">industry, can be encouraged by H&amp;M circle to adopt sustainable design and recycling methods in its premises. This alignment, </w:t>
      </w:r>
      <w:r w:rsidR="00653282" w:rsidRPr="001B4468">
        <w:rPr>
          <w:rFonts w:ascii="Arial" w:hAnsi="Arial" w:cs="Arial"/>
        </w:rPr>
        <w:t>however,</w:t>
      </w:r>
      <w:r w:rsidRPr="001B4468">
        <w:rPr>
          <w:rFonts w:ascii="Arial" w:hAnsi="Arial" w:cs="Arial"/>
        </w:rPr>
        <w:t xml:space="preserve"> does not only focus on </w:t>
      </w:r>
      <w:r w:rsidR="00653282" w:rsidRPr="001B4468">
        <w:rPr>
          <w:rFonts w:ascii="Arial" w:hAnsi="Arial" w:cs="Arial"/>
        </w:rPr>
        <w:t>answering</w:t>
      </w:r>
      <w:r w:rsidRPr="001B4468">
        <w:rPr>
          <w:rFonts w:ascii="Arial" w:hAnsi="Arial" w:cs="Arial"/>
        </w:rPr>
        <w:t xml:space="preserve"> the new demands which resulted in a transformation of eco-friendly tourists but also draws Premier Inn as an institution that sets ethics for sustainable hospitality. Considering the circular economy principles adopted through inspiration from H&amp;M’s approach, Premier Inn can set up new standards in industry and meet consumers who pay great attention to environmental protection.</w:t>
      </w:r>
    </w:p>
    <w:p w14:paraId="77FCCB79" w14:textId="77777777" w:rsidR="005210AD" w:rsidRPr="001B4468" w:rsidRDefault="005210AD">
      <w:pPr>
        <w:spacing w:after="200" w:line="276" w:lineRule="auto"/>
        <w:jc w:val="left"/>
        <w:rPr>
          <w:rFonts w:ascii="Arial" w:hAnsi="Arial" w:cs="Arial"/>
        </w:rPr>
      </w:pPr>
      <w:r w:rsidRPr="001B4468">
        <w:rPr>
          <w:rFonts w:ascii="Arial" w:hAnsi="Arial" w:cs="Arial"/>
        </w:rPr>
        <w:br w:type="page"/>
      </w:r>
    </w:p>
    <w:p w14:paraId="3816EAE7" w14:textId="77777777" w:rsidR="005210AD" w:rsidRPr="001B4468" w:rsidRDefault="005210AD" w:rsidP="006E201D">
      <w:pPr>
        <w:pStyle w:val="Heading1"/>
        <w:rPr>
          <w:rFonts w:ascii="Arial" w:hAnsi="Arial" w:cs="Arial"/>
          <w:sz w:val="24"/>
        </w:rPr>
      </w:pPr>
      <w:r w:rsidRPr="001B4468">
        <w:rPr>
          <w:rFonts w:ascii="Arial" w:hAnsi="Arial" w:cs="Arial"/>
          <w:sz w:val="24"/>
        </w:rPr>
        <w:lastRenderedPageBreak/>
        <w:t xml:space="preserve">Conclusion </w:t>
      </w:r>
    </w:p>
    <w:p w14:paraId="623E62D4" w14:textId="77777777" w:rsidR="007E011E" w:rsidRPr="001B4468" w:rsidRDefault="00E86736" w:rsidP="00E86736">
      <w:pPr>
        <w:rPr>
          <w:rFonts w:ascii="Arial" w:hAnsi="Arial" w:cs="Arial"/>
        </w:rPr>
      </w:pPr>
      <w:r w:rsidRPr="001B4468">
        <w:rPr>
          <w:rFonts w:ascii="Arial" w:hAnsi="Arial" w:cs="Arial"/>
        </w:rPr>
        <w:t xml:space="preserve">The essay has explained the circular economy on the chosen firm Premier Inn. Various theoretical methods have been applied to analyze integration within the circular economy and CSR strategies such as the presentation, conceptualisation of Cradle-to-Cradle framework potential, etc. In line with Triple Bottom theory Premier Inn has shown an impressive balance between economic equality together with social and social dimensions and environmental aspects; The Theory of Planned Behavior identified the challenges and potential barriers, which have addressed using strategic steps. Aligning the circular practices based on industry-oriented examples such as IKEA, Unilever, and H&amp;M. </w:t>
      </w:r>
      <w:proofErr w:type="gramStart"/>
      <w:r w:rsidRPr="001B4468">
        <w:rPr>
          <w:rFonts w:ascii="Arial" w:hAnsi="Arial" w:cs="Arial"/>
        </w:rPr>
        <w:t>All in all</w:t>
      </w:r>
      <w:proofErr w:type="gramEnd"/>
      <w:r w:rsidRPr="001B4468">
        <w:rPr>
          <w:rFonts w:ascii="Arial" w:hAnsi="Arial" w:cs="Arial"/>
        </w:rPr>
        <w:t>, these theoretical pillars have served as a solid foundation for guiding circular and societal sustainable business approaches to the hospitality environment with Premier Inn appearing as such guidance.</w:t>
      </w:r>
      <w:r w:rsidR="007E011E" w:rsidRPr="001B4468">
        <w:rPr>
          <w:rFonts w:ascii="Arial" w:hAnsi="Arial" w:cs="Arial"/>
        </w:rPr>
        <w:br w:type="page"/>
      </w:r>
    </w:p>
    <w:p w14:paraId="0E6240BA" w14:textId="77777777" w:rsidR="006E201D" w:rsidRPr="001B4468" w:rsidRDefault="006E201D" w:rsidP="006E201D">
      <w:pPr>
        <w:pStyle w:val="Heading1"/>
        <w:rPr>
          <w:rFonts w:ascii="Arial" w:hAnsi="Arial" w:cs="Arial"/>
          <w:sz w:val="24"/>
        </w:rPr>
      </w:pPr>
      <w:r w:rsidRPr="001B4468">
        <w:rPr>
          <w:rFonts w:ascii="Arial" w:hAnsi="Arial" w:cs="Arial"/>
          <w:sz w:val="24"/>
        </w:rPr>
        <w:lastRenderedPageBreak/>
        <w:t>Reference</w:t>
      </w:r>
    </w:p>
    <w:p w14:paraId="6A59CDA6" w14:textId="115671AB" w:rsidR="006E201D" w:rsidRPr="001B4468" w:rsidRDefault="006E201D" w:rsidP="006E201D">
      <w:pPr>
        <w:pStyle w:val="ListParagraph"/>
        <w:numPr>
          <w:ilvl w:val="0"/>
          <w:numId w:val="1"/>
        </w:numPr>
        <w:rPr>
          <w:rFonts w:ascii="Arial" w:hAnsi="Arial" w:cs="Arial"/>
        </w:rPr>
      </w:pPr>
      <w:r w:rsidRPr="001B4468">
        <w:rPr>
          <w:rFonts w:ascii="Arial" w:hAnsi="Arial" w:cs="Arial"/>
        </w:rPr>
        <w:t xml:space="preserve">Inkson, C. and Minnaert, L. (2018) Tourism </w:t>
      </w:r>
      <w:r w:rsidR="00653282" w:rsidRPr="001B4468">
        <w:rPr>
          <w:rFonts w:ascii="Arial" w:hAnsi="Arial" w:cs="Arial"/>
        </w:rPr>
        <w:t>management:</w:t>
      </w:r>
      <w:r w:rsidRPr="001B4468">
        <w:rPr>
          <w:rFonts w:ascii="Arial" w:hAnsi="Arial" w:cs="Arial"/>
        </w:rPr>
        <w:t xml:space="preserve"> an introduction. 2nd ed. London: SAGE.</w:t>
      </w:r>
    </w:p>
    <w:p w14:paraId="12334E59" w14:textId="64C12B7F" w:rsidR="006E201D" w:rsidRPr="001B4468" w:rsidRDefault="006E201D" w:rsidP="006E201D">
      <w:pPr>
        <w:pStyle w:val="ListParagraph"/>
        <w:numPr>
          <w:ilvl w:val="0"/>
          <w:numId w:val="1"/>
        </w:numPr>
        <w:rPr>
          <w:rFonts w:ascii="Arial" w:hAnsi="Arial" w:cs="Arial"/>
        </w:rPr>
      </w:pPr>
      <w:r w:rsidRPr="001B4468">
        <w:rPr>
          <w:rFonts w:ascii="Arial" w:hAnsi="Arial" w:cs="Arial"/>
        </w:rPr>
        <w:t xml:space="preserve">Cooper, C. (2021) Essentials of tourism. Third edition. </w:t>
      </w:r>
      <w:r w:rsidR="00653282" w:rsidRPr="001B4468">
        <w:rPr>
          <w:rFonts w:ascii="Arial" w:hAnsi="Arial" w:cs="Arial"/>
        </w:rPr>
        <w:t>London: SAGE</w:t>
      </w:r>
      <w:r w:rsidRPr="001B4468">
        <w:rPr>
          <w:rFonts w:ascii="Arial" w:hAnsi="Arial" w:cs="Arial"/>
        </w:rPr>
        <w:t>.</w:t>
      </w:r>
    </w:p>
    <w:p w14:paraId="5551552B" w14:textId="7F5D1F91" w:rsidR="006E201D" w:rsidRPr="001B4468" w:rsidRDefault="006E201D" w:rsidP="006E201D">
      <w:pPr>
        <w:pStyle w:val="ListParagraph"/>
        <w:numPr>
          <w:ilvl w:val="0"/>
          <w:numId w:val="1"/>
        </w:numPr>
        <w:rPr>
          <w:rFonts w:ascii="Arial" w:hAnsi="Arial" w:cs="Arial"/>
        </w:rPr>
      </w:pPr>
      <w:r w:rsidRPr="001B4468">
        <w:rPr>
          <w:rFonts w:ascii="Arial" w:hAnsi="Arial" w:cs="Arial"/>
        </w:rPr>
        <w:t xml:space="preserve">Haski-Leventhal, D. (2018) Strategic corporate social </w:t>
      </w:r>
      <w:r w:rsidR="00653282" w:rsidRPr="001B4468">
        <w:rPr>
          <w:rFonts w:ascii="Arial" w:hAnsi="Arial" w:cs="Arial"/>
        </w:rPr>
        <w:t>responsibility:</w:t>
      </w:r>
      <w:r w:rsidRPr="001B4468">
        <w:rPr>
          <w:rFonts w:ascii="Arial" w:hAnsi="Arial" w:cs="Arial"/>
        </w:rPr>
        <w:t xml:space="preserve"> tools &amp; theories for responsible management. London: SAGE.</w:t>
      </w:r>
    </w:p>
    <w:p w14:paraId="2C3D2C3D" w14:textId="7CF8AE9F" w:rsidR="006E201D" w:rsidRPr="001B4468" w:rsidRDefault="006E201D" w:rsidP="006E201D">
      <w:pPr>
        <w:pStyle w:val="ListParagraph"/>
        <w:numPr>
          <w:ilvl w:val="0"/>
          <w:numId w:val="1"/>
        </w:numPr>
        <w:rPr>
          <w:rFonts w:ascii="Arial" w:hAnsi="Arial" w:cs="Arial"/>
        </w:rPr>
      </w:pPr>
      <w:r w:rsidRPr="001B4468">
        <w:rPr>
          <w:rFonts w:ascii="Arial" w:hAnsi="Arial" w:cs="Arial"/>
        </w:rPr>
        <w:t xml:space="preserve">Sloan, P., Legrand, W. and Chen, J.S. (2017) Sustainability in the hospitality </w:t>
      </w:r>
      <w:r w:rsidR="00653282" w:rsidRPr="001B4468">
        <w:rPr>
          <w:rFonts w:ascii="Arial" w:hAnsi="Arial" w:cs="Arial"/>
        </w:rPr>
        <w:t>industry:</w:t>
      </w:r>
      <w:r w:rsidRPr="001B4468">
        <w:rPr>
          <w:rFonts w:ascii="Arial" w:hAnsi="Arial" w:cs="Arial"/>
        </w:rPr>
        <w:t xml:space="preserve"> principles of sustainable operations. 3</w:t>
      </w:r>
      <w:r w:rsidRPr="001B4468">
        <w:rPr>
          <w:rFonts w:ascii="Arial" w:hAnsi="Arial" w:cs="Arial"/>
          <w:vertAlign w:val="superscript"/>
        </w:rPr>
        <w:t>rd</w:t>
      </w:r>
      <w:r w:rsidRPr="001B4468">
        <w:rPr>
          <w:rFonts w:ascii="Arial" w:hAnsi="Arial" w:cs="Arial"/>
        </w:rPr>
        <w:t xml:space="preserve"> edn. London: Butterworth-Heinemann.</w:t>
      </w:r>
    </w:p>
    <w:p w14:paraId="41D6DCED" w14:textId="77777777" w:rsidR="006E201D" w:rsidRPr="001B4468" w:rsidRDefault="006E201D" w:rsidP="006E201D">
      <w:pPr>
        <w:pStyle w:val="ListParagraph"/>
        <w:numPr>
          <w:ilvl w:val="0"/>
          <w:numId w:val="1"/>
        </w:numPr>
        <w:rPr>
          <w:rFonts w:ascii="Arial" w:hAnsi="Arial" w:cs="Arial"/>
        </w:rPr>
      </w:pPr>
      <w:r w:rsidRPr="001B4468">
        <w:rPr>
          <w:rFonts w:ascii="Arial" w:hAnsi="Arial" w:cs="Arial"/>
        </w:rPr>
        <w:t>Management Association. (2018). Sustainable Tourism. IGI Global.</w:t>
      </w:r>
    </w:p>
    <w:p w14:paraId="6AE655D9" w14:textId="76A9D0EC" w:rsidR="006E201D" w:rsidRPr="001B4468" w:rsidRDefault="006E201D" w:rsidP="006E201D">
      <w:pPr>
        <w:pStyle w:val="ListParagraph"/>
        <w:numPr>
          <w:ilvl w:val="0"/>
          <w:numId w:val="1"/>
        </w:numPr>
        <w:rPr>
          <w:rFonts w:ascii="Arial" w:hAnsi="Arial" w:cs="Arial"/>
        </w:rPr>
      </w:pPr>
      <w:r w:rsidRPr="001B4468">
        <w:rPr>
          <w:rFonts w:ascii="Arial" w:hAnsi="Arial" w:cs="Arial"/>
        </w:rPr>
        <w:t xml:space="preserve">Wickham, Donnelly, T., &amp; French, L. (2021). Strategic Sustainability Management in the Event Sector. </w:t>
      </w:r>
      <w:r w:rsidR="00653282" w:rsidRPr="001B4468">
        <w:rPr>
          <w:rFonts w:ascii="Arial" w:hAnsi="Arial" w:cs="Arial"/>
        </w:rPr>
        <w:t>Event Management</w:t>
      </w:r>
      <w:r w:rsidRPr="001B4468">
        <w:rPr>
          <w:rFonts w:ascii="Arial" w:hAnsi="Arial" w:cs="Arial"/>
        </w:rPr>
        <w:t>, 25(3), 279–296.</w:t>
      </w:r>
    </w:p>
    <w:p w14:paraId="2178594C" w14:textId="4D3F31C1" w:rsidR="006E201D" w:rsidRPr="001B4468" w:rsidRDefault="006E201D" w:rsidP="006E201D">
      <w:pPr>
        <w:pStyle w:val="ListParagraph"/>
        <w:numPr>
          <w:ilvl w:val="0"/>
          <w:numId w:val="1"/>
        </w:numPr>
        <w:rPr>
          <w:rFonts w:ascii="Arial" w:hAnsi="Arial" w:cs="Arial"/>
        </w:rPr>
      </w:pPr>
      <w:r w:rsidRPr="001B4468">
        <w:rPr>
          <w:rFonts w:ascii="Arial" w:hAnsi="Arial" w:cs="Arial"/>
        </w:rPr>
        <w:t xml:space="preserve">Jauhari, V (2021) ‘Managing Sustainability in the Hospitality and Tourism Industry: Paradigms and Directions for the Future’ 9th </w:t>
      </w:r>
      <w:r w:rsidR="00653282" w:rsidRPr="001B4468">
        <w:rPr>
          <w:rFonts w:ascii="Arial" w:hAnsi="Arial" w:cs="Arial"/>
        </w:rPr>
        <w:t>edn. Oakville</w:t>
      </w:r>
      <w:r w:rsidRPr="001B4468">
        <w:rPr>
          <w:rFonts w:ascii="Arial" w:hAnsi="Arial" w:cs="Arial"/>
        </w:rPr>
        <w:t>: Apple Academic Press. Inc</w:t>
      </w:r>
    </w:p>
    <w:p w14:paraId="13A8DD67" w14:textId="60267206" w:rsidR="00554749" w:rsidRPr="00193ED3" w:rsidRDefault="006E201D" w:rsidP="00193ED3">
      <w:pPr>
        <w:pStyle w:val="ListParagraph"/>
        <w:numPr>
          <w:ilvl w:val="0"/>
          <w:numId w:val="1"/>
        </w:numPr>
        <w:rPr>
          <w:rFonts w:ascii="Arial" w:hAnsi="Arial" w:cs="Arial"/>
        </w:rPr>
      </w:pPr>
      <w:r w:rsidRPr="001B4468">
        <w:rPr>
          <w:rFonts w:ascii="Arial" w:hAnsi="Arial" w:cs="Arial"/>
        </w:rPr>
        <w:t>Costa, &amp; Costa, C. (2022). Sustainability and competitiveness in the hospitality industry (Costa &amp; C. Costa, Eds.). Business Science Reference.</w:t>
      </w:r>
    </w:p>
    <w:p w14:paraId="50426932" w14:textId="77777777" w:rsidR="007E011E" w:rsidRPr="001B4468" w:rsidRDefault="007E011E" w:rsidP="006E201D">
      <w:pPr>
        <w:pStyle w:val="ListParagraph"/>
        <w:numPr>
          <w:ilvl w:val="0"/>
          <w:numId w:val="1"/>
        </w:numPr>
        <w:rPr>
          <w:rFonts w:ascii="Arial" w:hAnsi="Arial" w:cs="Arial"/>
        </w:rPr>
      </w:pPr>
      <w:r w:rsidRPr="001B4468">
        <w:rPr>
          <w:rFonts w:ascii="Arial" w:hAnsi="Arial" w:cs="Arial"/>
        </w:rPr>
        <w:br w:type="page"/>
      </w:r>
    </w:p>
    <w:p w14:paraId="1ECA8685" w14:textId="77777777" w:rsidR="00343EB8" w:rsidRPr="001B4468" w:rsidRDefault="00343EB8">
      <w:pPr>
        <w:rPr>
          <w:rFonts w:ascii="Arial" w:hAnsi="Arial" w:cs="Arial"/>
        </w:rPr>
      </w:pPr>
    </w:p>
    <w:sectPr w:rsidR="00343EB8" w:rsidRPr="001B4468" w:rsidSect="003C47D7">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0E71D" w14:textId="77777777" w:rsidR="003C47D7" w:rsidRDefault="003C47D7" w:rsidP="00772C76">
      <w:pPr>
        <w:spacing w:line="240" w:lineRule="auto"/>
      </w:pPr>
      <w:r>
        <w:separator/>
      </w:r>
    </w:p>
  </w:endnote>
  <w:endnote w:type="continuationSeparator" w:id="0">
    <w:p w14:paraId="11CB8489" w14:textId="77777777" w:rsidR="003C47D7" w:rsidRDefault="003C47D7" w:rsidP="00772C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544860"/>
      <w:docPartObj>
        <w:docPartGallery w:val="Page Numbers (Bottom of Page)"/>
        <w:docPartUnique/>
      </w:docPartObj>
    </w:sdtPr>
    <w:sdtContent>
      <w:sdt>
        <w:sdtPr>
          <w:id w:val="565050523"/>
          <w:docPartObj>
            <w:docPartGallery w:val="Page Numbers (Top of Page)"/>
            <w:docPartUnique/>
          </w:docPartObj>
        </w:sdtPr>
        <w:sdtContent>
          <w:p w14:paraId="35E24374" w14:textId="77777777" w:rsidR="00772C76" w:rsidRDefault="00772C76">
            <w:pPr>
              <w:pStyle w:val="Footer"/>
              <w:jc w:val="right"/>
            </w:pPr>
            <w:r>
              <w:t xml:space="preserve">Page </w:t>
            </w:r>
            <w:r>
              <w:rPr>
                <w:b/>
              </w:rPr>
              <w:fldChar w:fldCharType="begin"/>
            </w:r>
            <w:r>
              <w:rPr>
                <w:b/>
              </w:rPr>
              <w:instrText xml:space="preserve"> PAGE </w:instrText>
            </w:r>
            <w:r>
              <w:rPr>
                <w:b/>
              </w:rPr>
              <w:fldChar w:fldCharType="separate"/>
            </w:r>
            <w:r w:rsidR="00554749">
              <w:rPr>
                <w:b/>
                <w:noProof/>
              </w:rPr>
              <w:t>10</w:t>
            </w:r>
            <w:r>
              <w:rPr>
                <w:b/>
              </w:rPr>
              <w:fldChar w:fldCharType="end"/>
            </w:r>
            <w:r>
              <w:t xml:space="preserve"> of </w:t>
            </w:r>
            <w:r>
              <w:rPr>
                <w:b/>
              </w:rPr>
              <w:fldChar w:fldCharType="begin"/>
            </w:r>
            <w:r>
              <w:rPr>
                <w:b/>
              </w:rPr>
              <w:instrText xml:space="preserve"> NUMPAGES  </w:instrText>
            </w:r>
            <w:r>
              <w:rPr>
                <w:b/>
              </w:rPr>
              <w:fldChar w:fldCharType="separate"/>
            </w:r>
            <w:r w:rsidR="00554749">
              <w:rPr>
                <w:b/>
                <w:noProof/>
              </w:rPr>
              <w:t>11</w:t>
            </w:r>
            <w:r>
              <w:rPr>
                <w:b/>
              </w:rPr>
              <w:fldChar w:fldCharType="end"/>
            </w:r>
          </w:p>
        </w:sdtContent>
      </w:sdt>
    </w:sdtContent>
  </w:sdt>
  <w:p w14:paraId="444286FE" w14:textId="77777777" w:rsidR="00772C76" w:rsidRDefault="00772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30F90" w14:textId="77777777" w:rsidR="003C47D7" w:rsidRDefault="003C47D7" w:rsidP="00772C76">
      <w:pPr>
        <w:spacing w:line="240" w:lineRule="auto"/>
      </w:pPr>
      <w:r>
        <w:separator/>
      </w:r>
    </w:p>
  </w:footnote>
  <w:footnote w:type="continuationSeparator" w:id="0">
    <w:p w14:paraId="08FFB27C" w14:textId="77777777" w:rsidR="003C47D7" w:rsidRDefault="003C47D7" w:rsidP="00772C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E6B2F" w14:textId="77777777" w:rsidR="00772C76" w:rsidRPr="001B4468" w:rsidRDefault="00772C76" w:rsidP="00772C76">
    <w:pPr>
      <w:pStyle w:val="Header"/>
      <w:rPr>
        <w:rFonts w:ascii="Arial" w:hAnsi="Arial" w:cs="Arial"/>
        <w:b/>
      </w:rPr>
    </w:pPr>
    <w:r>
      <w:rPr>
        <w:b/>
      </w:rPr>
      <w:tab/>
    </w:r>
    <w:r>
      <w:rPr>
        <w:b/>
      </w:rPr>
      <w:tab/>
    </w:r>
    <w:r w:rsidRPr="001B4468">
      <w:rPr>
        <w:rFonts w:ascii="Arial" w:hAnsi="Arial" w:cs="Arial"/>
        <w:b/>
      </w:rPr>
      <w:t>Concept of circular economy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07BAE"/>
    <w:multiLevelType w:val="hybridMultilevel"/>
    <w:tmpl w:val="197271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4799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E011E"/>
    <w:rsid w:val="000112C1"/>
    <w:rsid w:val="00022B67"/>
    <w:rsid w:val="000370A0"/>
    <w:rsid w:val="00054327"/>
    <w:rsid w:val="000A05F5"/>
    <w:rsid w:val="000A091F"/>
    <w:rsid w:val="000A18F0"/>
    <w:rsid w:val="000A1E10"/>
    <w:rsid w:val="000F1E29"/>
    <w:rsid w:val="000F6690"/>
    <w:rsid w:val="001668CB"/>
    <w:rsid w:val="00183913"/>
    <w:rsid w:val="00193ED3"/>
    <w:rsid w:val="001B4468"/>
    <w:rsid w:val="001B7229"/>
    <w:rsid w:val="001C3553"/>
    <w:rsid w:val="001C70B9"/>
    <w:rsid w:val="001E0491"/>
    <w:rsid w:val="00235551"/>
    <w:rsid w:val="00251E89"/>
    <w:rsid w:val="00285243"/>
    <w:rsid w:val="002A1290"/>
    <w:rsid w:val="002B0E7E"/>
    <w:rsid w:val="002D6DCF"/>
    <w:rsid w:val="002E4498"/>
    <w:rsid w:val="002E7189"/>
    <w:rsid w:val="00326F3A"/>
    <w:rsid w:val="00342179"/>
    <w:rsid w:val="00343EB8"/>
    <w:rsid w:val="003753B9"/>
    <w:rsid w:val="00381F37"/>
    <w:rsid w:val="00387DE5"/>
    <w:rsid w:val="00393928"/>
    <w:rsid w:val="003A2C9E"/>
    <w:rsid w:val="003B2B15"/>
    <w:rsid w:val="003C47D7"/>
    <w:rsid w:val="003C5DA5"/>
    <w:rsid w:val="003F2386"/>
    <w:rsid w:val="004026E4"/>
    <w:rsid w:val="0049465B"/>
    <w:rsid w:val="004D15B4"/>
    <w:rsid w:val="005210AD"/>
    <w:rsid w:val="005233C6"/>
    <w:rsid w:val="00554749"/>
    <w:rsid w:val="00592E0D"/>
    <w:rsid w:val="005A0E94"/>
    <w:rsid w:val="005D04F0"/>
    <w:rsid w:val="0063677B"/>
    <w:rsid w:val="006369A8"/>
    <w:rsid w:val="00653282"/>
    <w:rsid w:val="0066139B"/>
    <w:rsid w:val="006774DB"/>
    <w:rsid w:val="00692BE5"/>
    <w:rsid w:val="006E201D"/>
    <w:rsid w:val="006F7E0B"/>
    <w:rsid w:val="007072BD"/>
    <w:rsid w:val="00717DF9"/>
    <w:rsid w:val="00772C76"/>
    <w:rsid w:val="007762DB"/>
    <w:rsid w:val="00782C40"/>
    <w:rsid w:val="00794B33"/>
    <w:rsid w:val="0079637C"/>
    <w:rsid w:val="007C37EC"/>
    <w:rsid w:val="007C3A9D"/>
    <w:rsid w:val="007D55FC"/>
    <w:rsid w:val="007E011E"/>
    <w:rsid w:val="007E47F8"/>
    <w:rsid w:val="007E75B7"/>
    <w:rsid w:val="0081251B"/>
    <w:rsid w:val="00822264"/>
    <w:rsid w:val="008258C9"/>
    <w:rsid w:val="0082631B"/>
    <w:rsid w:val="008319BA"/>
    <w:rsid w:val="00844888"/>
    <w:rsid w:val="008626FB"/>
    <w:rsid w:val="00867655"/>
    <w:rsid w:val="0087441C"/>
    <w:rsid w:val="008B29F6"/>
    <w:rsid w:val="008D1210"/>
    <w:rsid w:val="008E00DD"/>
    <w:rsid w:val="008E2767"/>
    <w:rsid w:val="008E6A34"/>
    <w:rsid w:val="00927CAC"/>
    <w:rsid w:val="0098526F"/>
    <w:rsid w:val="009B1CCC"/>
    <w:rsid w:val="00A22BB5"/>
    <w:rsid w:val="00A56C9D"/>
    <w:rsid w:val="00AB1F1F"/>
    <w:rsid w:val="00AC161E"/>
    <w:rsid w:val="00B03442"/>
    <w:rsid w:val="00B12995"/>
    <w:rsid w:val="00B142C2"/>
    <w:rsid w:val="00B41426"/>
    <w:rsid w:val="00BA14E6"/>
    <w:rsid w:val="00BA40EF"/>
    <w:rsid w:val="00BE129E"/>
    <w:rsid w:val="00C009F3"/>
    <w:rsid w:val="00C57D41"/>
    <w:rsid w:val="00C62438"/>
    <w:rsid w:val="00C70F82"/>
    <w:rsid w:val="00C86AE9"/>
    <w:rsid w:val="00CB5B45"/>
    <w:rsid w:val="00CD181C"/>
    <w:rsid w:val="00CE706D"/>
    <w:rsid w:val="00D2169B"/>
    <w:rsid w:val="00D27FCB"/>
    <w:rsid w:val="00D368CF"/>
    <w:rsid w:val="00D675DF"/>
    <w:rsid w:val="00DA51EF"/>
    <w:rsid w:val="00DB5904"/>
    <w:rsid w:val="00DE0EEC"/>
    <w:rsid w:val="00E61121"/>
    <w:rsid w:val="00E75A71"/>
    <w:rsid w:val="00E86736"/>
    <w:rsid w:val="00E94EC6"/>
    <w:rsid w:val="00EB4B54"/>
    <w:rsid w:val="00EF6252"/>
    <w:rsid w:val="00F312BA"/>
    <w:rsid w:val="00F47BC5"/>
    <w:rsid w:val="00F52144"/>
    <w:rsid w:val="00F5616F"/>
    <w:rsid w:val="00F742B4"/>
    <w:rsid w:val="00F96B8A"/>
    <w:rsid w:val="00FB3920"/>
    <w:rsid w:val="00FC69AD"/>
    <w:rsid w:val="00FD0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AF93"/>
  <w15:docId w15:val="{AF7CDC01-162F-4A4A-A33C-DD0265BEC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8F0"/>
    <w:pPr>
      <w:spacing w:after="0" w:line="48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A56C9D"/>
    <w:pPr>
      <w:keepNext/>
      <w:outlineLvl w:val="0"/>
    </w:pPr>
    <w:rPr>
      <w:b/>
      <w:sz w:val="28"/>
    </w:rPr>
  </w:style>
  <w:style w:type="paragraph" w:styleId="Heading2">
    <w:name w:val="heading 2"/>
    <w:basedOn w:val="Normal"/>
    <w:next w:val="Normal"/>
    <w:link w:val="Heading2Char"/>
    <w:uiPriority w:val="9"/>
    <w:unhideWhenUsed/>
    <w:qFormat/>
    <w:rsid w:val="008319BA"/>
    <w:pPr>
      <w:keepNext/>
      <w:keepLines/>
      <w:spacing w:before="20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3F2386"/>
    <w:rPr>
      <w:rFonts w:ascii="Times New Roman" w:hAnsi="Times New Roman"/>
      <w:iCs/>
    </w:rPr>
  </w:style>
  <w:style w:type="character" w:customStyle="1" w:styleId="Heading2Char">
    <w:name w:val="Heading 2 Char"/>
    <w:basedOn w:val="DefaultParagraphFont"/>
    <w:link w:val="Heading2"/>
    <w:uiPriority w:val="9"/>
    <w:rsid w:val="008319BA"/>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A56C9D"/>
    <w:rPr>
      <w:rFonts w:ascii="Times New Roman" w:hAnsi="Times New Roman"/>
      <w:b/>
      <w:sz w:val="28"/>
    </w:rPr>
  </w:style>
  <w:style w:type="paragraph" w:styleId="NoSpacing">
    <w:name w:val="No Spacing"/>
    <w:uiPriority w:val="1"/>
    <w:qFormat/>
    <w:rsid w:val="00F5616F"/>
    <w:pPr>
      <w:spacing w:after="0" w:line="480" w:lineRule="auto"/>
      <w:jc w:val="both"/>
    </w:pPr>
    <w:rPr>
      <w:rFonts w:ascii="Times New Roman" w:hAnsi="Times New Roman" w:cs="Times New Roman"/>
      <w:sz w:val="24"/>
      <w:lang w:val="en-GB"/>
    </w:rPr>
  </w:style>
  <w:style w:type="paragraph" w:styleId="NormalWeb">
    <w:name w:val="Normal (Web)"/>
    <w:basedOn w:val="Normal"/>
    <w:uiPriority w:val="99"/>
    <w:semiHidden/>
    <w:unhideWhenUsed/>
    <w:rsid w:val="00B12995"/>
    <w:pPr>
      <w:spacing w:before="100" w:beforeAutospacing="1" w:after="100" w:afterAutospacing="1" w:line="240" w:lineRule="auto"/>
      <w:jc w:val="left"/>
    </w:pPr>
  </w:style>
  <w:style w:type="paragraph" w:styleId="z-TopofForm">
    <w:name w:val="HTML Top of Form"/>
    <w:basedOn w:val="Normal"/>
    <w:next w:val="Normal"/>
    <w:link w:val="z-TopofFormChar"/>
    <w:hidden/>
    <w:uiPriority w:val="99"/>
    <w:semiHidden/>
    <w:unhideWhenUsed/>
    <w:rsid w:val="00B12995"/>
    <w:pPr>
      <w:pBdr>
        <w:bottom w:val="single" w:sz="6" w:space="1" w:color="auto"/>
      </w:pBdr>
      <w:spacing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12995"/>
    <w:rPr>
      <w:rFonts w:ascii="Arial" w:hAnsi="Arial" w:cs="Arial"/>
      <w:vanish/>
      <w:sz w:val="16"/>
      <w:szCs w:val="16"/>
    </w:rPr>
  </w:style>
  <w:style w:type="paragraph" w:styleId="ListParagraph">
    <w:name w:val="List Paragraph"/>
    <w:basedOn w:val="Normal"/>
    <w:uiPriority w:val="34"/>
    <w:qFormat/>
    <w:rsid w:val="006E201D"/>
    <w:pPr>
      <w:ind w:left="720"/>
      <w:contextualSpacing/>
    </w:pPr>
  </w:style>
  <w:style w:type="paragraph" w:styleId="Header">
    <w:name w:val="header"/>
    <w:basedOn w:val="Normal"/>
    <w:link w:val="HeaderChar"/>
    <w:uiPriority w:val="99"/>
    <w:unhideWhenUsed/>
    <w:rsid w:val="00772C76"/>
    <w:pPr>
      <w:tabs>
        <w:tab w:val="center" w:pos="4680"/>
        <w:tab w:val="right" w:pos="9360"/>
      </w:tabs>
      <w:spacing w:line="240" w:lineRule="auto"/>
    </w:pPr>
  </w:style>
  <w:style w:type="character" w:customStyle="1" w:styleId="HeaderChar">
    <w:name w:val="Header Char"/>
    <w:basedOn w:val="DefaultParagraphFont"/>
    <w:link w:val="Header"/>
    <w:uiPriority w:val="99"/>
    <w:rsid w:val="00772C76"/>
    <w:rPr>
      <w:rFonts w:ascii="Times New Roman" w:hAnsi="Times New Roman" w:cs="Times New Roman"/>
      <w:sz w:val="24"/>
      <w:szCs w:val="24"/>
    </w:rPr>
  </w:style>
  <w:style w:type="paragraph" w:styleId="Footer">
    <w:name w:val="footer"/>
    <w:basedOn w:val="Normal"/>
    <w:link w:val="FooterChar"/>
    <w:uiPriority w:val="99"/>
    <w:unhideWhenUsed/>
    <w:rsid w:val="00772C76"/>
    <w:pPr>
      <w:tabs>
        <w:tab w:val="center" w:pos="4680"/>
        <w:tab w:val="right" w:pos="9360"/>
      </w:tabs>
      <w:spacing w:line="240" w:lineRule="auto"/>
    </w:pPr>
  </w:style>
  <w:style w:type="character" w:customStyle="1" w:styleId="FooterChar">
    <w:name w:val="Footer Char"/>
    <w:basedOn w:val="DefaultParagraphFont"/>
    <w:link w:val="Footer"/>
    <w:uiPriority w:val="99"/>
    <w:rsid w:val="00772C7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744541">
      <w:bodyDiv w:val="1"/>
      <w:marLeft w:val="0"/>
      <w:marRight w:val="0"/>
      <w:marTop w:val="0"/>
      <w:marBottom w:val="0"/>
      <w:divBdr>
        <w:top w:val="none" w:sz="0" w:space="0" w:color="auto"/>
        <w:left w:val="none" w:sz="0" w:space="0" w:color="auto"/>
        <w:bottom w:val="none" w:sz="0" w:space="0" w:color="auto"/>
        <w:right w:val="none" w:sz="0" w:space="0" w:color="auto"/>
      </w:divBdr>
      <w:divsChild>
        <w:div w:id="1838106864">
          <w:marLeft w:val="0"/>
          <w:marRight w:val="0"/>
          <w:marTop w:val="0"/>
          <w:marBottom w:val="0"/>
          <w:divBdr>
            <w:top w:val="single" w:sz="2" w:space="0" w:color="D9D9E3"/>
            <w:left w:val="single" w:sz="2" w:space="0" w:color="D9D9E3"/>
            <w:bottom w:val="single" w:sz="2" w:space="0" w:color="D9D9E3"/>
            <w:right w:val="single" w:sz="2" w:space="0" w:color="D9D9E3"/>
          </w:divBdr>
          <w:divsChild>
            <w:div w:id="1274705040">
              <w:marLeft w:val="0"/>
              <w:marRight w:val="0"/>
              <w:marTop w:val="0"/>
              <w:marBottom w:val="0"/>
              <w:divBdr>
                <w:top w:val="single" w:sz="2" w:space="0" w:color="D9D9E3"/>
                <w:left w:val="single" w:sz="2" w:space="0" w:color="D9D9E3"/>
                <w:bottom w:val="single" w:sz="2" w:space="0" w:color="D9D9E3"/>
                <w:right w:val="single" w:sz="2" w:space="0" w:color="D9D9E3"/>
              </w:divBdr>
              <w:divsChild>
                <w:div w:id="1682731505">
                  <w:marLeft w:val="0"/>
                  <w:marRight w:val="0"/>
                  <w:marTop w:val="0"/>
                  <w:marBottom w:val="0"/>
                  <w:divBdr>
                    <w:top w:val="single" w:sz="2" w:space="0" w:color="D9D9E3"/>
                    <w:left w:val="single" w:sz="2" w:space="0" w:color="D9D9E3"/>
                    <w:bottom w:val="single" w:sz="2" w:space="0" w:color="D9D9E3"/>
                    <w:right w:val="single" w:sz="2" w:space="0" w:color="D9D9E3"/>
                  </w:divBdr>
                  <w:divsChild>
                    <w:div w:id="476194057">
                      <w:marLeft w:val="0"/>
                      <w:marRight w:val="0"/>
                      <w:marTop w:val="0"/>
                      <w:marBottom w:val="0"/>
                      <w:divBdr>
                        <w:top w:val="single" w:sz="2" w:space="0" w:color="D9D9E3"/>
                        <w:left w:val="single" w:sz="2" w:space="0" w:color="D9D9E3"/>
                        <w:bottom w:val="single" w:sz="2" w:space="0" w:color="D9D9E3"/>
                        <w:right w:val="single" w:sz="2" w:space="0" w:color="D9D9E3"/>
                      </w:divBdr>
                      <w:divsChild>
                        <w:div w:id="974719407">
                          <w:marLeft w:val="0"/>
                          <w:marRight w:val="0"/>
                          <w:marTop w:val="0"/>
                          <w:marBottom w:val="0"/>
                          <w:divBdr>
                            <w:top w:val="single" w:sz="2" w:space="0" w:color="D9D9E3"/>
                            <w:left w:val="single" w:sz="2" w:space="0" w:color="D9D9E3"/>
                            <w:bottom w:val="single" w:sz="2" w:space="0" w:color="D9D9E3"/>
                            <w:right w:val="single" w:sz="2" w:space="0" w:color="D9D9E3"/>
                          </w:divBdr>
                          <w:divsChild>
                            <w:div w:id="2065639675">
                              <w:marLeft w:val="0"/>
                              <w:marRight w:val="0"/>
                              <w:marTop w:val="100"/>
                              <w:marBottom w:val="100"/>
                              <w:divBdr>
                                <w:top w:val="single" w:sz="2" w:space="0" w:color="D9D9E3"/>
                                <w:left w:val="single" w:sz="2" w:space="0" w:color="D9D9E3"/>
                                <w:bottom w:val="single" w:sz="2" w:space="0" w:color="D9D9E3"/>
                                <w:right w:val="single" w:sz="2" w:space="0" w:color="D9D9E3"/>
                              </w:divBdr>
                              <w:divsChild>
                                <w:div w:id="407770941">
                                  <w:marLeft w:val="0"/>
                                  <w:marRight w:val="0"/>
                                  <w:marTop w:val="0"/>
                                  <w:marBottom w:val="0"/>
                                  <w:divBdr>
                                    <w:top w:val="single" w:sz="2" w:space="0" w:color="D9D9E3"/>
                                    <w:left w:val="single" w:sz="2" w:space="0" w:color="D9D9E3"/>
                                    <w:bottom w:val="single" w:sz="2" w:space="0" w:color="D9D9E3"/>
                                    <w:right w:val="single" w:sz="2" w:space="0" w:color="D9D9E3"/>
                                  </w:divBdr>
                                  <w:divsChild>
                                    <w:div w:id="340622665">
                                      <w:marLeft w:val="0"/>
                                      <w:marRight w:val="0"/>
                                      <w:marTop w:val="0"/>
                                      <w:marBottom w:val="0"/>
                                      <w:divBdr>
                                        <w:top w:val="single" w:sz="2" w:space="0" w:color="D9D9E3"/>
                                        <w:left w:val="single" w:sz="2" w:space="0" w:color="D9D9E3"/>
                                        <w:bottom w:val="single" w:sz="2" w:space="0" w:color="D9D9E3"/>
                                        <w:right w:val="single" w:sz="2" w:space="0" w:color="D9D9E3"/>
                                      </w:divBdr>
                                      <w:divsChild>
                                        <w:div w:id="1359622682">
                                          <w:marLeft w:val="0"/>
                                          <w:marRight w:val="0"/>
                                          <w:marTop w:val="0"/>
                                          <w:marBottom w:val="0"/>
                                          <w:divBdr>
                                            <w:top w:val="single" w:sz="2" w:space="0" w:color="D9D9E3"/>
                                            <w:left w:val="single" w:sz="2" w:space="0" w:color="D9D9E3"/>
                                            <w:bottom w:val="single" w:sz="2" w:space="0" w:color="D9D9E3"/>
                                            <w:right w:val="single" w:sz="2" w:space="0" w:color="D9D9E3"/>
                                          </w:divBdr>
                                          <w:divsChild>
                                            <w:div w:id="543103423">
                                              <w:marLeft w:val="0"/>
                                              <w:marRight w:val="0"/>
                                              <w:marTop w:val="0"/>
                                              <w:marBottom w:val="0"/>
                                              <w:divBdr>
                                                <w:top w:val="single" w:sz="2" w:space="0" w:color="D9D9E3"/>
                                                <w:left w:val="single" w:sz="2" w:space="0" w:color="D9D9E3"/>
                                                <w:bottom w:val="single" w:sz="2" w:space="0" w:color="D9D9E3"/>
                                                <w:right w:val="single" w:sz="2" w:space="0" w:color="D9D9E3"/>
                                              </w:divBdr>
                                              <w:divsChild>
                                                <w:div w:id="49039085">
                                                  <w:marLeft w:val="0"/>
                                                  <w:marRight w:val="0"/>
                                                  <w:marTop w:val="0"/>
                                                  <w:marBottom w:val="0"/>
                                                  <w:divBdr>
                                                    <w:top w:val="single" w:sz="2" w:space="0" w:color="D9D9E3"/>
                                                    <w:left w:val="single" w:sz="2" w:space="0" w:color="D9D9E3"/>
                                                    <w:bottom w:val="single" w:sz="2" w:space="0" w:color="D9D9E3"/>
                                                    <w:right w:val="single" w:sz="2" w:space="0" w:color="D9D9E3"/>
                                                  </w:divBdr>
                                                  <w:divsChild>
                                                    <w:div w:id="916131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04126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12</Pages>
  <Words>2274</Words>
  <Characters>12964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 Kostyal (2125398)</dc:creator>
  <cp:lastModifiedBy>Ionut Kostyal (2125398)</cp:lastModifiedBy>
  <cp:revision>6</cp:revision>
  <dcterms:created xsi:type="dcterms:W3CDTF">2024-01-28T16:13:00Z</dcterms:created>
  <dcterms:modified xsi:type="dcterms:W3CDTF">2024-01-31T20:28:00Z</dcterms:modified>
</cp:coreProperties>
</file>