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F046D" w14:textId="77777777" w:rsidR="00312F57" w:rsidRDefault="00312F57">
      <w:pPr>
        <w:spacing w:after="160" w:line="259" w:lineRule="auto"/>
        <w:jc w:val="left"/>
        <w:rPr>
          <w:rFonts w:ascii="Arial" w:hAnsi="Arial" w:cs="Arial"/>
          <w:sz w:val="22"/>
          <w:szCs w:val="22"/>
        </w:rPr>
      </w:pPr>
    </w:p>
    <w:p w14:paraId="06F7063E" w14:textId="77777777" w:rsidR="00312F57" w:rsidRDefault="00312F57">
      <w:pPr>
        <w:spacing w:after="160" w:line="259" w:lineRule="auto"/>
        <w:jc w:val="left"/>
        <w:rPr>
          <w:rFonts w:ascii="Arial" w:hAnsi="Arial" w:cs="Arial"/>
          <w:sz w:val="22"/>
          <w:szCs w:val="22"/>
        </w:rPr>
      </w:pPr>
    </w:p>
    <w:p w14:paraId="05AFDE3B" w14:textId="77777777" w:rsidR="00312F57" w:rsidRDefault="00312F57">
      <w:pPr>
        <w:spacing w:after="160" w:line="259" w:lineRule="auto"/>
        <w:jc w:val="left"/>
        <w:rPr>
          <w:rFonts w:ascii="Arial" w:hAnsi="Arial" w:cs="Arial"/>
          <w:sz w:val="22"/>
          <w:szCs w:val="22"/>
        </w:rPr>
      </w:pPr>
    </w:p>
    <w:p w14:paraId="12F8FDA6" w14:textId="77777777" w:rsidR="00312F57" w:rsidRDefault="00312F57">
      <w:pPr>
        <w:spacing w:after="160" w:line="259" w:lineRule="auto"/>
        <w:jc w:val="left"/>
        <w:rPr>
          <w:rFonts w:ascii="Arial" w:hAnsi="Arial" w:cs="Arial"/>
          <w:sz w:val="22"/>
          <w:szCs w:val="22"/>
        </w:rPr>
      </w:pPr>
    </w:p>
    <w:p w14:paraId="091E3CFC" w14:textId="77777777" w:rsidR="00312F57" w:rsidRDefault="00312F57">
      <w:pPr>
        <w:spacing w:after="160" w:line="259" w:lineRule="auto"/>
        <w:jc w:val="left"/>
        <w:rPr>
          <w:rFonts w:ascii="Arial" w:hAnsi="Arial" w:cs="Arial"/>
          <w:sz w:val="22"/>
          <w:szCs w:val="22"/>
        </w:rPr>
      </w:pPr>
    </w:p>
    <w:p w14:paraId="38BA12FE" w14:textId="45B50410" w:rsidR="00312F57" w:rsidRPr="00312F57" w:rsidRDefault="00312F57" w:rsidP="00312F57">
      <w:pPr>
        <w:spacing w:after="160" w:line="259" w:lineRule="auto"/>
        <w:jc w:val="center"/>
        <w:rPr>
          <w:rFonts w:ascii="Arial" w:hAnsi="Arial" w:cs="Arial"/>
          <w:b/>
          <w:bCs/>
          <w:sz w:val="48"/>
          <w:szCs w:val="48"/>
        </w:rPr>
      </w:pPr>
      <w:r w:rsidRPr="00312F57">
        <w:rPr>
          <w:rFonts w:ascii="Arial" w:hAnsi="Arial" w:cs="Arial"/>
          <w:b/>
          <w:bCs/>
          <w:sz w:val="48"/>
          <w:szCs w:val="48"/>
        </w:rPr>
        <w:t>Supporting Paper</w:t>
      </w:r>
    </w:p>
    <w:p w14:paraId="5F61343A" w14:textId="77777777" w:rsidR="00312F57" w:rsidRDefault="00312F57">
      <w:pPr>
        <w:spacing w:after="160" w:line="259" w:lineRule="auto"/>
        <w:jc w:val="left"/>
        <w:rPr>
          <w:rFonts w:ascii="Arial" w:hAnsi="Arial" w:cs="Arial"/>
          <w:sz w:val="22"/>
          <w:szCs w:val="22"/>
        </w:rPr>
      </w:pPr>
    </w:p>
    <w:p w14:paraId="1A7C0C8E" w14:textId="4C69A8DD" w:rsidR="00312F57" w:rsidRDefault="00312F57">
      <w:pPr>
        <w:spacing w:after="160" w:line="259" w:lineRule="auto"/>
        <w:jc w:val="left"/>
        <w:rPr>
          <w:rFonts w:ascii="Arial" w:hAnsi="Arial" w:cs="Arial"/>
          <w:sz w:val="22"/>
          <w:szCs w:val="22"/>
        </w:rPr>
      </w:pPr>
    </w:p>
    <w:p w14:paraId="0C7FF1F7" w14:textId="237255BE" w:rsidR="00312F57" w:rsidRDefault="00312F57">
      <w:pPr>
        <w:spacing w:after="160" w:line="259" w:lineRule="auto"/>
        <w:jc w:val="left"/>
        <w:rPr>
          <w:rFonts w:ascii="Arial" w:hAnsi="Arial" w:cs="Arial"/>
          <w:sz w:val="22"/>
          <w:szCs w:val="22"/>
        </w:rPr>
      </w:pPr>
    </w:p>
    <w:p w14:paraId="745018A9" w14:textId="3FCF05E7" w:rsidR="00312F57" w:rsidRDefault="00312F57">
      <w:pPr>
        <w:spacing w:after="160" w:line="259" w:lineRule="auto"/>
        <w:jc w:val="left"/>
        <w:rPr>
          <w:rFonts w:ascii="Arial" w:hAnsi="Arial" w:cs="Arial"/>
          <w:sz w:val="22"/>
          <w:szCs w:val="22"/>
        </w:rPr>
      </w:pPr>
    </w:p>
    <w:p w14:paraId="04224829" w14:textId="32370D2F" w:rsidR="00312F57" w:rsidRDefault="00312F57">
      <w:pPr>
        <w:spacing w:after="160" w:line="259" w:lineRule="auto"/>
        <w:jc w:val="left"/>
        <w:rPr>
          <w:rFonts w:ascii="Arial" w:hAnsi="Arial" w:cs="Arial"/>
          <w:sz w:val="22"/>
          <w:szCs w:val="22"/>
        </w:rPr>
      </w:pPr>
    </w:p>
    <w:p w14:paraId="05019813" w14:textId="77777777" w:rsidR="00312F57" w:rsidRDefault="00312F57">
      <w:pPr>
        <w:spacing w:after="160" w:line="259" w:lineRule="auto"/>
        <w:jc w:val="left"/>
        <w:rPr>
          <w:rFonts w:ascii="Arial" w:hAnsi="Arial" w:cs="Arial"/>
          <w:sz w:val="22"/>
          <w:szCs w:val="22"/>
        </w:rPr>
      </w:pPr>
    </w:p>
    <w:p w14:paraId="597CE95C" w14:textId="13B49D84" w:rsidR="00312F57" w:rsidRDefault="00312F57">
      <w:pPr>
        <w:spacing w:after="160" w:line="259" w:lineRule="auto"/>
        <w:jc w:val="left"/>
        <w:rPr>
          <w:rFonts w:ascii="Arial" w:hAnsi="Arial" w:cs="Arial"/>
          <w:sz w:val="22"/>
          <w:szCs w:val="22"/>
        </w:rPr>
      </w:pPr>
    </w:p>
    <w:p w14:paraId="4A337B29" w14:textId="63F6D300" w:rsidR="00312F57" w:rsidRDefault="00312F57">
      <w:pPr>
        <w:spacing w:after="160" w:line="259" w:lineRule="auto"/>
        <w:jc w:val="left"/>
        <w:rPr>
          <w:rFonts w:ascii="Arial" w:hAnsi="Arial" w:cs="Arial"/>
          <w:sz w:val="22"/>
          <w:szCs w:val="22"/>
        </w:rPr>
      </w:pPr>
      <w:r>
        <w:rPr>
          <w:rFonts w:ascii="Arial" w:hAnsi="Arial" w:cs="Arial"/>
          <w:sz w:val="22"/>
          <w:szCs w:val="22"/>
        </w:rPr>
        <w:t>Student Name: Carmen Craciun</w:t>
      </w:r>
    </w:p>
    <w:p w14:paraId="4DC131DA" w14:textId="16D56D16" w:rsidR="00397E38" w:rsidRDefault="00312F57">
      <w:pPr>
        <w:spacing w:after="160" w:line="259" w:lineRule="auto"/>
        <w:jc w:val="left"/>
        <w:rPr>
          <w:rFonts w:ascii="Arial" w:hAnsi="Arial" w:cs="Arial"/>
          <w:sz w:val="22"/>
          <w:szCs w:val="22"/>
        </w:rPr>
      </w:pPr>
      <w:r>
        <w:rPr>
          <w:rFonts w:ascii="Arial" w:hAnsi="Arial" w:cs="Arial"/>
          <w:sz w:val="22"/>
          <w:szCs w:val="22"/>
        </w:rPr>
        <w:t>Student ID:</w:t>
      </w:r>
      <w:r w:rsidR="008F29CA">
        <w:rPr>
          <w:rFonts w:ascii="Arial" w:hAnsi="Arial" w:cs="Arial"/>
          <w:sz w:val="22"/>
          <w:szCs w:val="22"/>
        </w:rPr>
        <w:t>2112672</w:t>
      </w:r>
      <w:r w:rsidR="00397E38">
        <w:rPr>
          <w:rFonts w:ascii="Arial" w:hAnsi="Arial" w:cs="Arial"/>
          <w:sz w:val="22"/>
          <w:szCs w:val="22"/>
        </w:rPr>
        <w:br w:type="page"/>
      </w:r>
    </w:p>
    <w:sdt>
      <w:sdtPr>
        <w:rPr>
          <w:rFonts w:ascii="Times New Roman" w:eastAsia="Times New Roman" w:hAnsi="Times New Roman" w:cs="Times New Roman"/>
          <w:b w:val="0"/>
          <w:bCs w:val="0"/>
          <w:color w:val="auto"/>
          <w:sz w:val="24"/>
          <w:szCs w:val="20"/>
          <w:lang w:val="en-GB"/>
        </w:rPr>
        <w:id w:val="-1245264867"/>
        <w:docPartObj>
          <w:docPartGallery w:val="Table of Contents"/>
          <w:docPartUnique/>
        </w:docPartObj>
      </w:sdtPr>
      <w:sdtEndPr>
        <w:rPr>
          <w:noProof/>
        </w:rPr>
      </w:sdtEndPr>
      <w:sdtContent>
        <w:p w14:paraId="7F621C65" w14:textId="5603626A" w:rsidR="00312F57" w:rsidRPr="00312F57" w:rsidRDefault="00312F57" w:rsidP="00312F57">
          <w:pPr>
            <w:pStyle w:val="TOCHeading"/>
            <w:jc w:val="center"/>
            <w:rPr>
              <w:color w:val="000000" w:themeColor="text1"/>
            </w:rPr>
          </w:pPr>
          <w:r w:rsidRPr="00312F57">
            <w:rPr>
              <w:color w:val="000000" w:themeColor="text1"/>
            </w:rPr>
            <w:t>Table of Contents</w:t>
          </w:r>
        </w:p>
        <w:p w14:paraId="517B7629" w14:textId="06006E0A" w:rsidR="000C19E6" w:rsidRDefault="00312F57">
          <w:pPr>
            <w:pStyle w:val="TOC1"/>
            <w:tabs>
              <w:tab w:val="right" w:leader="dot" w:pos="9350"/>
            </w:tabs>
            <w:rPr>
              <w:rFonts w:eastAsiaTheme="minorEastAsia" w:cs="Vrinda"/>
              <w:b w:val="0"/>
              <w:bCs w:val="0"/>
              <w:i w:val="0"/>
              <w:iCs w:val="0"/>
              <w:noProof/>
              <w:szCs w:val="30"/>
              <w:lang w:eastAsia="en-GB" w:bidi="bn-IN"/>
            </w:rPr>
          </w:pPr>
          <w:r>
            <w:rPr>
              <w:b w:val="0"/>
              <w:bCs w:val="0"/>
            </w:rPr>
            <w:fldChar w:fldCharType="begin"/>
          </w:r>
          <w:r>
            <w:instrText xml:space="preserve"> TOC \o "1-3" \h \z \u </w:instrText>
          </w:r>
          <w:r>
            <w:rPr>
              <w:b w:val="0"/>
              <w:bCs w:val="0"/>
            </w:rPr>
            <w:fldChar w:fldCharType="separate"/>
          </w:r>
          <w:hyperlink w:anchor="_Toc152981509" w:history="1">
            <w:r w:rsidR="000C19E6" w:rsidRPr="00961617">
              <w:rPr>
                <w:rStyle w:val="Hyperlink"/>
                <w:noProof/>
              </w:rPr>
              <w:t>The standpoint of the debate</w:t>
            </w:r>
            <w:r w:rsidR="000C19E6">
              <w:rPr>
                <w:noProof/>
                <w:webHidden/>
              </w:rPr>
              <w:tab/>
            </w:r>
            <w:r w:rsidR="000C19E6">
              <w:rPr>
                <w:noProof/>
                <w:webHidden/>
              </w:rPr>
              <w:fldChar w:fldCharType="begin"/>
            </w:r>
            <w:r w:rsidR="000C19E6">
              <w:rPr>
                <w:noProof/>
                <w:webHidden/>
              </w:rPr>
              <w:instrText xml:space="preserve"> PAGEREF _Toc152981509 \h </w:instrText>
            </w:r>
            <w:r w:rsidR="000C19E6">
              <w:rPr>
                <w:noProof/>
                <w:webHidden/>
              </w:rPr>
            </w:r>
            <w:r w:rsidR="000C19E6">
              <w:rPr>
                <w:noProof/>
                <w:webHidden/>
              </w:rPr>
              <w:fldChar w:fldCharType="separate"/>
            </w:r>
            <w:r w:rsidR="000C19E6">
              <w:rPr>
                <w:noProof/>
                <w:webHidden/>
              </w:rPr>
              <w:t>3</w:t>
            </w:r>
            <w:r w:rsidR="000C19E6">
              <w:rPr>
                <w:noProof/>
                <w:webHidden/>
              </w:rPr>
              <w:fldChar w:fldCharType="end"/>
            </w:r>
          </w:hyperlink>
        </w:p>
        <w:p w14:paraId="0870D120" w14:textId="5FD6BC69" w:rsidR="000C19E6" w:rsidRDefault="00000000">
          <w:pPr>
            <w:pStyle w:val="TOC1"/>
            <w:tabs>
              <w:tab w:val="right" w:leader="dot" w:pos="9350"/>
            </w:tabs>
            <w:rPr>
              <w:rFonts w:eastAsiaTheme="minorEastAsia" w:cs="Vrinda"/>
              <w:b w:val="0"/>
              <w:bCs w:val="0"/>
              <w:i w:val="0"/>
              <w:iCs w:val="0"/>
              <w:noProof/>
              <w:szCs w:val="30"/>
              <w:lang w:eastAsia="en-GB" w:bidi="bn-IN"/>
            </w:rPr>
          </w:pPr>
          <w:hyperlink w:anchor="_Toc152981510" w:history="1">
            <w:r w:rsidR="000C19E6" w:rsidRPr="00961617">
              <w:rPr>
                <w:rStyle w:val="Hyperlink"/>
                <w:noProof/>
                <w:shd w:val="clear" w:color="auto" w:fill="FFFFFF"/>
              </w:rPr>
              <w:t>Other points of view</w:t>
            </w:r>
            <w:r w:rsidR="000C19E6">
              <w:rPr>
                <w:noProof/>
                <w:webHidden/>
              </w:rPr>
              <w:tab/>
            </w:r>
            <w:r w:rsidR="000C19E6">
              <w:rPr>
                <w:noProof/>
                <w:webHidden/>
              </w:rPr>
              <w:fldChar w:fldCharType="begin"/>
            </w:r>
            <w:r w:rsidR="000C19E6">
              <w:rPr>
                <w:noProof/>
                <w:webHidden/>
              </w:rPr>
              <w:instrText xml:space="preserve"> PAGEREF _Toc152981510 \h </w:instrText>
            </w:r>
            <w:r w:rsidR="000C19E6">
              <w:rPr>
                <w:noProof/>
                <w:webHidden/>
              </w:rPr>
            </w:r>
            <w:r w:rsidR="000C19E6">
              <w:rPr>
                <w:noProof/>
                <w:webHidden/>
              </w:rPr>
              <w:fldChar w:fldCharType="separate"/>
            </w:r>
            <w:r w:rsidR="000C19E6">
              <w:rPr>
                <w:noProof/>
                <w:webHidden/>
              </w:rPr>
              <w:t>3</w:t>
            </w:r>
            <w:r w:rsidR="000C19E6">
              <w:rPr>
                <w:noProof/>
                <w:webHidden/>
              </w:rPr>
              <w:fldChar w:fldCharType="end"/>
            </w:r>
          </w:hyperlink>
        </w:p>
        <w:p w14:paraId="6B135E03" w14:textId="1A637185" w:rsidR="000C19E6" w:rsidRDefault="00000000">
          <w:pPr>
            <w:pStyle w:val="TOC1"/>
            <w:tabs>
              <w:tab w:val="right" w:leader="dot" w:pos="9350"/>
            </w:tabs>
            <w:rPr>
              <w:rFonts w:eastAsiaTheme="minorEastAsia" w:cs="Vrinda"/>
              <w:b w:val="0"/>
              <w:bCs w:val="0"/>
              <w:i w:val="0"/>
              <w:iCs w:val="0"/>
              <w:noProof/>
              <w:szCs w:val="30"/>
              <w:lang w:eastAsia="en-GB" w:bidi="bn-IN"/>
            </w:rPr>
          </w:pPr>
          <w:hyperlink w:anchor="_Toc152981511" w:history="1">
            <w:r w:rsidR="000C19E6" w:rsidRPr="00961617">
              <w:rPr>
                <w:rStyle w:val="Hyperlink"/>
                <w:noProof/>
              </w:rPr>
              <w:t>Reflection main point of the debate</w:t>
            </w:r>
            <w:r w:rsidR="000C19E6">
              <w:rPr>
                <w:noProof/>
                <w:webHidden/>
              </w:rPr>
              <w:tab/>
            </w:r>
            <w:r w:rsidR="000C19E6">
              <w:rPr>
                <w:noProof/>
                <w:webHidden/>
              </w:rPr>
              <w:fldChar w:fldCharType="begin"/>
            </w:r>
            <w:r w:rsidR="000C19E6">
              <w:rPr>
                <w:noProof/>
                <w:webHidden/>
              </w:rPr>
              <w:instrText xml:space="preserve"> PAGEREF _Toc152981511 \h </w:instrText>
            </w:r>
            <w:r w:rsidR="000C19E6">
              <w:rPr>
                <w:noProof/>
                <w:webHidden/>
              </w:rPr>
            </w:r>
            <w:r w:rsidR="000C19E6">
              <w:rPr>
                <w:noProof/>
                <w:webHidden/>
              </w:rPr>
              <w:fldChar w:fldCharType="separate"/>
            </w:r>
            <w:r w:rsidR="000C19E6">
              <w:rPr>
                <w:noProof/>
                <w:webHidden/>
              </w:rPr>
              <w:t>3</w:t>
            </w:r>
            <w:r w:rsidR="000C19E6">
              <w:rPr>
                <w:noProof/>
                <w:webHidden/>
              </w:rPr>
              <w:fldChar w:fldCharType="end"/>
            </w:r>
          </w:hyperlink>
        </w:p>
        <w:p w14:paraId="610A8B6E" w14:textId="1B217D0B" w:rsidR="000C19E6" w:rsidRDefault="00000000">
          <w:pPr>
            <w:pStyle w:val="TOC1"/>
            <w:tabs>
              <w:tab w:val="right" w:leader="dot" w:pos="9350"/>
            </w:tabs>
            <w:rPr>
              <w:rFonts w:eastAsiaTheme="minorEastAsia" w:cs="Vrinda"/>
              <w:b w:val="0"/>
              <w:bCs w:val="0"/>
              <w:i w:val="0"/>
              <w:iCs w:val="0"/>
              <w:noProof/>
              <w:szCs w:val="30"/>
              <w:lang w:eastAsia="en-GB" w:bidi="bn-IN"/>
            </w:rPr>
          </w:pPr>
          <w:hyperlink w:anchor="_Toc152981512" w:history="1">
            <w:r w:rsidR="000C19E6" w:rsidRPr="00961617">
              <w:rPr>
                <w:rStyle w:val="Hyperlink"/>
                <w:noProof/>
              </w:rPr>
              <w:t>Ageing population statistics of the UK</w:t>
            </w:r>
            <w:r w:rsidR="000C19E6">
              <w:rPr>
                <w:noProof/>
                <w:webHidden/>
              </w:rPr>
              <w:tab/>
            </w:r>
            <w:r w:rsidR="000C19E6">
              <w:rPr>
                <w:noProof/>
                <w:webHidden/>
              </w:rPr>
              <w:fldChar w:fldCharType="begin"/>
            </w:r>
            <w:r w:rsidR="000C19E6">
              <w:rPr>
                <w:noProof/>
                <w:webHidden/>
              </w:rPr>
              <w:instrText xml:space="preserve"> PAGEREF _Toc152981512 \h </w:instrText>
            </w:r>
            <w:r w:rsidR="000C19E6">
              <w:rPr>
                <w:noProof/>
                <w:webHidden/>
              </w:rPr>
            </w:r>
            <w:r w:rsidR="000C19E6">
              <w:rPr>
                <w:noProof/>
                <w:webHidden/>
              </w:rPr>
              <w:fldChar w:fldCharType="separate"/>
            </w:r>
            <w:r w:rsidR="000C19E6">
              <w:rPr>
                <w:noProof/>
                <w:webHidden/>
              </w:rPr>
              <w:t>3</w:t>
            </w:r>
            <w:r w:rsidR="000C19E6">
              <w:rPr>
                <w:noProof/>
                <w:webHidden/>
              </w:rPr>
              <w:fldChar w:fldCharType="end"/>
            </w:r>
          </w:hyperlink>
        </w:p>
        <w:p w14:paraId="6C93DBFE" w14:textId="19AF60D4" w:rsidR="000C19E6" w:rsidRDefault="00000000">
          <w:pPr>
            <w:pStyle w:val="TOC1"/>
            <w:tabs>
              <w:tab w:val="right" w:leader="dot" w:pos="9350"/>
            </w:tabs>
            <w:rPr>
              <w:rFonts w:eastAsiaTheme="minorEastAsia" w:cs="Vrinda"/>
              <w:b w:val="0"/>
              <w:bCs w:val="0"/>
              <w:i w:val="0"/>
              <w:iCs w:val="0"/>
              <w:noProof/>
              <w:szCs w:val="30"/>
              <w:lang w:eastAsia="en-GB" w:bidi="bn-IN"/>
            </w:rPr>
          </w:pPr>
          <w:hyperlink w:anchor="_Toc152981513" w:history="1">
            <w:r w:rsidR="000C19E6" w:rsidRPr="00961617">
              <w:rPr>
                <w:rStyle w:val="Hyperlink"/>
                <w:noProof/>
              </w:rPr>
              <w:t>Government services and support to older population</w:t>
            </w:r>
            <w:r w:rsidR="000C19E6">
              <w:rPr>
                <w:noProof/>
                <w:webHidden/>
              </w:rPr>
              <w:tab/>
            </w:r>
            <w:r w:rsidR="000C19E6">
              <w:rPr>
                <w:noProof/>
                <w:webHidden/>
              </w:rPr>
              <w:fldChar w:fldCharType="begin"/>
            </w:r>
            <w:r w:rsidR="000C19E6">
              <w:rPr>
                <w:noProof/>
                <w:webHidden/>
              </w:rPr>
              <w:instrText xml:space="preserve"> PAGEREF _Toc152981513 \h </w:instrText>
            </w:r>
            <w:r w:rsidR="000C19E6">
              <w:rPr>
                <w:noProof/>
                <w:webHidden/>
              </w:rPr>
            </w:r>
            <w:r w:rsidR="000C19E6">
              <w:rPr>
                <w:noProof/>
                <w:webHidden/>
              </w:rPr>
              <w:fldChar w:fldCharType="separate"/>
            </w:r>
            <w:r w:rsidR="000C19E6">
              <w:rPr>
                <w:noProof/>
                <w:webHidden/>
              </w:rPr>
              <w:t>4</w:t>
            </w:r>
            <w:r w:rsidR="000C19E6">
              <w:rPr>
                <w:noProof/>
                <w:webHidden/>
              </w:rPr>
              <w:fldChar w:fldCharType="end"/>
            </w:r>
          </w:hyperlink>
        </w:p>
        <w:p w14:paraId="7F6B81BA" w14:textId="175315F8" w:rsidR="000C19E6" w:rsidRDefault="00000000">
          <w:pPr>
            <w:pStyle w:val="TOC1"/>
            <w:tabs>
              <w:tab w:val="right" w:leader="dot" w:pos="9350"/>
            </w:tabs>
            <w:rPr>
              <w:rFonts w:eastAsiaTheme="minorEastAsia" w:cs="Vrinda"/>
              <w:b w:val="0"/>
              <w:bCs w:val="0"/>
              <w:i w:val="0"/>
              <w:iCs w:val="0"/>
              <w:noProof/>
              <w:szCs w:val="30"/>
              <w:lang w:eastAsia="en-GB" w:bidi="bn-IN"/>
            </w:rPr>
          </w:pPr>
          <w:hyperlink w:anchor="_Toc152981514" w:history="1">
            <w:r w:rsidR="000C19E6" w:rsidRPr="00961617">
              <w:rPr>
                <w:rStyle w:val="Hyperlink"/>
                <w:noProof/>
              </w:rPr>
              <w:t>The effect of COVID-19 on elder people and Services</w:t>
            </w:r>
            <w:r w:rsidR="000C19E6">
              <w:rPr>
                <w:noProof/>
                <w:webHidden/>
              </w:rPr>
              <w:tab/>
            </w:r>
            <w:r w:rsidR="000C19E6">
              <w:rPr>
                <w:noProof/>
                <w:webHidden/>
              </w:rPr>
              <w:fldChar w:fldCharType="begin"/>
            </w:r>
            <w:r w:rsidR="000C19E6">
              <w:rPr>
                <w:noProof/>
                <w:webHidden/>
              </w:rPr>
              <w:instrText xml:space="preserve"> PAGEREF _Toc152981514 \h </w:instrText>
            </w:r>
            <w:r w:rsidR="000C19E6">
              <w:rPr>
                <w:noProof/>
                <w:webHidden/>
              </w:rPr>
            </w:r>
            <w:r w:rsidR="000C19E6">
              <w:rPr>
                <w:noProof/>
                <w:webHidden/>
              </w:rPr>
              <w:fldChar w:fldCharType="separate"/>
            </w:r>
            <w:r w:rsidR="000C19E6">
              <w:rPr>
                <w:noProof/>
                <w:webHidden/>
              </w:rPr>
              <w:t>5</w:t>
            </w:r>
            <w:r w:rsidR="000C19E6">
              <w:rPr>
                <w:noProof/>
                <w:webHidden/>
              </w:rPr>
              <w:fldChar w:fldCharType="end"/>
            </w:r>
          </w:hyperlink>
        </w:p>
        <w:p w14:paraId="5A5CB07C" w14:textId="7BC0AAAE" w:rsidR="000C19E6" w:rsidRDefault="00000000">
          <w:pPr>
            <w:pStyle w:val="TOC1"/>
            <w:tabs>
              <w:tab w:val="right" w:leader="dot" w:pos="9350"/>
            </w:tabs>
            <w:rPr>
              <w:rFonts w:eastAsiaTheme="minorEastAsia" w:cs="Vrinda"/>
              <w:b w:val="0"/>
              <w:bCs w:val="0"/>
              <w:i w:val="0"/>
              <w:iCs w:val="0"/>
              <w:noProof/>
              <w:szCs w:val="30"/>
              <w:lang w:eastAsia="en-GB" w:bidi="bn-IN"/>
            </w:rPr>
          </w:pPr>
          <w:hyperlink w:anchor="_Toc152981515" w:history="1">
            <w:r w:rsidR="000C19E6" w:rsidRPr="00961617">
              <w:rPr>
                <w:rStyle w:val="Hyperlink"/>
                <w:noProof/>
              </w:rPr>
              <w:t>References</w:t>
            </w:r>
            <w:r w:rsidR="000C19E6">
              <w:rPr>
                <w:noProof/>
                <w:webHidden/>
              </w:rPr>
              <w:tab/>
            </w:r>
            <w:r w:rsidR="000C19E6">
              <w:rPr>
                <w:noProof/>
                <w:webHidden/>
              </w:rPr>
              <w:fldChar w:fldCharType="begin"/>
            </w:r>
            <w:r w:rsidR="000C19E6">
              <w:rPr>
                <w:noProof/>
                <w:webHidden/>
              </w:rPr>
              <w:instrText xml:space="preserve"> PAGEREF _Toc152981515 \h </w:instrText>
            </w:r>
            <w:r w:rsidR="000C19E6">
              <w:rPr>
                <w:noProof/>
                <w:webHidden/>
              </w:rPr>
            </w:r>
            <w:r w:rsidR="000C19E6">
              <w:rPr>
                <w:noProof/>
                <w:webHidden/>
              </w:rPr>
              <w:fldChar w:fldCharType="separate"/>
            </w:r>
            <w:r w:rsidR="000C19E6">
              <w:rPr>
                <w:noProof/>
                <w:webHidden/>
              </w:rPr>
              <w:t>6</w:t>
            </w:r>
            <w:r w:rsidR="000C19E6">
              <w:rPr>
                <w:noProof/>
                <w:webHidden/>
              </w:rPr>
              <w:fldChar w:fldCharType="end"/>
            </w:r>
          </w:hyperlink>
        </w:p>
        <w:p w14:paraId="71E83E7B" w14:textId="30EB5EE3" w:rsidR="00312F57" w:rsidRDefault="00312F57">
          <w:r>
            <w:rPr>
              <w:b/>
              <w:bCs/>
              <w:noProof/>
            </w:rPr>
            <w:fldChar w:fldCharType="end"/>
          </w:r>
        </w:p>
      </w:sdtContent>
    </w:sdt>
    <w:p w14:paraId="3FD10821" w14:textId="1B0CBF4B" w:rsidR="00312F57" w:rsidRPr="00312F57" w:rsidRDefault="00312F57" w:rsidP="00312F57">
      <w:pPr>
        <w:spacing w:after="160" w:line="259" w:lineRule="auto"/>
        <w:jc w:val="left"/>
        <w:rPr>
          <w:rFonts w:ascii="Arial" w:hAnsi="Arial" w:cs="Arial"/>
          <w:b/>
          <w:sz w:val="28"/>
          <w:szCs w:val="32"/>
          <w:lang w:eastAsia="en-GB"/>
        </w:rPr>
      </w:pPr>
      <w:r>
        <w:br w:type="page"/>
      </w:r>
    </w:p>
    <w:p w14:paraId="211B84D0" w14:textId="2933B5C5" w:rsidR="008F425E" w:rsidRPr="00F64151" w:rsidRDefault="00397E38" w:rsidP="00F64151">
      <w:pPr>
        <w:pStyle w:val="Heading1"/>
      </w:pPr>
      <w:bookmarkStart w:id="0" w:name="_Toc152981509"/>
      <w:r w:rsidRPr="00F64151">
        <w:lastRenderedPageBreak/>
        <w:t>The standpoint of the debate</w:t>
      </w:r>
      <w:bookmarkEnd w:id="0"/>
    </w:p>
    <w:p w14:paraId="024971E6" w14:textId="6CB1D237" w:rsidR="00452EA9" w:rsidRPr="00312F57" w:rsidRDefault="00244313" w:rsidP="00397E38">
      <w:pPr>
        <w:rPr>
          <w:rFonts w:ascii="Arial" w:hAnsi="Arial" w:cs="Arial"/>
          <w:sz w:val="22"/>
          <w:szCs w:val="22"/>
          <w:lang w:eastAsia="en-GB"/>
        </w:rPr>
      </w:pPr>
      <w:r w:rsidRPr="00312F57">
        <w:rPr>
          <w:rFonts w:ascii="Arial" w:hAnsi="Arial" w:cs="Arial"/>
          <w:sz w:val="22"/>
          <w:szCs w:val="22"/>
          <w:lang w:eastAsia="en-GB"/>
        </w:rPr>
        <w:t>The ageing population does not pose any challenge to the health and social care system.</w:t>
      </w:r>
      <w:r w:rsidR="00590799" w:rsidRPr="00312F57">
        <w:rPr>
          <w:rFonts w:ascii="Arial" w:hAnsi="Arial" w:cs="Arial"/>
          <w:sz w:val="22"/>
          <w:szCs w:val="22"/>
          <w:lang w:eastAsia="en-GB"/>
        </w:rPr>
        <w:t xml:space="preserve"> Ageing provides the scope </w:t>
      </w:r>
      <w:r w:rsidR="003C5E1E" w:rsidRPr="00312F57">
        <w:rPr>
          <w:rFonts w:ascii="Arial" w:hAnsi="Arial" w:cs="Arial"/>
          <w:sz w:val="22"/>
          <w:szCs w:val="22"/>
          <w:lang w:eastAsia="en-GB"/>
        </w:rPr>
        <w:t>for development in the healthcare system.</w:t>
      </w:r>
      <w:r w:rsidR="003E641C" w:rsidRPr="00312F57">
        <w:rPr>
          <w:rFonts w:ascii="Arial" w:hAnsi="Arial" w:cs="Arial"/>
          <w:sz w:val="22"/>
          <w:szCs w:val="22"/>
          <w:lang w:eastAsia="en-GB"/>
        </w:rPr>
        <w:t xml:space="preserve"> Most of the ageing population are self-employed. They might be </w:t>
      </w:r>
      <w:r w:rsidR="00F72B2C" w:rsidRPr="00312F57">
        <w:rPr>
          <w:rFonts w:ascii="Arial" w:hAnsi="Arial" w:cs="Arial"/>
          <w:sz w:val="22"/>
          <w:szCs w:val="22"/>
          <w:lang w:eastAsia="en-GB"/>
        </w:rPr>
        <w:t xml:space="preserve">a </w:t>
      </w:r>
      <w:r w:rsidR="003E641C" w:rsidRPr="00312F57">
        <w:rPr>
          <w:rFonts w:ascii="Arial" w:hAnsi="Arial" w:cs="Arial"/>
          <w:sz w:val="22"/>
          <w:szCs w:val="22"/>
          <w:lang w:eastAsia="en-GB"/>
        </w:rPr>
        <w:t xml:space="preserve">good entrepreneur which </w:t>
      </w:r>
      <w:r w:rsidR="00F72B2C" w:rsidRPr="00312F57">
        <w:rPr>
          <w:rFonts w:ascii="Arial" w:hAnsi="Arial" w:cs="Arial"/>
          <w:sz w:val="22"/>
          <w:szCs w:val="22"/>
          <w:lang w:eastAsia="en-GB"/>
        </w:rPr>
        <w:t>contributes to the economic advancement and diversification.</w:t>
      </w:r>
      <w:r w:rsidR="00597A5D" w:rsidRPr="00312F57">
        <w:rPr>
          <w:rFonts w:ascii="Arial" w:hAnsi="Arial" w:cs="Arial"/>
          <w:sz w:val="22"/>
          <w:szCs w:val="22"/>
          <w:lang w:eastAsia="en-GB"/>
        </w:rPr>
        <w:t xml:space="preserve"> The ageing people have a vast amount of experience and knowledge that can society use for community involvement and counselling young adults.</w:t>
      </w:r>
      <w:r w:rsidR="00917764" w:rsidRPr="00312F57">
        <w:rPr>
          <w:rFonts w:ascii="Arial" w:hAnsi="Arial" w:cs="Arial"/>
          <w:sz w:val="22"/>
          <w:szCs w:val="22"/>
          <w:lang w:eastAsia="en-GB"/>
        </w:rPr>
        <w:t xml:space="preserve"> Older generations contribute traditional values, historical context, as well as diverse viewpoints but younger generations may give insights into new technology, cultural trends, and societal challenges</w:t>
      </w:r>
      <w:r w:rsidR="00DE46EE" w:rsidRPr="00312F57">
        <w:rPr>
          <w:rFonts w:ascii="Arial" w:hAnsi="Arial" w:cs="Arial"/>
          <w:sz w:val="22"/>
          <w:szCs w:val="22"/>
          <w:lang w:eastAsia="en-GB"/>
        </w:rPr>
        <w:t xml:space="preserve"> </w:t>
      </w:r>
      <w:r w:rsidR="00DE46EE" w:rsidRPr="00312F57">
        <w:rPr>
          <w:rFonts w:ascii="Arial" w:hAnsi="Arial" w:cs="Arial"/>
          <w:sz w:val="22"/>
          <w:szCs w:val="22"/>
        </w:rPr>
        <w:t>(Bone et al., 2017)</w:t>
      </w:r>
      <w:r w:rsidR="00917764" w:rsidRPr="00312F57">
        <w:rPr>
          <w:rFonts w:ascii="Arial" w:hAnsi="Arial" w:cs="Arial"/>
          <w:sz w:val="22"/>
          <w:szCs w:val="22"/>
          <w:lang w:eastAsia="en-GB"/>
        </w:rPr>
        <w:t>. This information sharing fosters intercultural competency improves understanding and eliminates misconceptions.</w:t>
      </w:r>
    </w:p>
    <w:p w14:paraId="2F995CD2" w14:textId="2011BECC" w:rsidR="00590799" w:rsidRDefault="00376C62" w:rsidP="00376C62">
      <w:pPr>
        <w:pStyle w:val="Heading1"/>
        <w:rPr>
          <w:shd w:val="clear" w:color="auto" w:fill="FFFFFF"/>
        </w:rPr>
      </w:pPr>
      <w:bookmarkStart w:id="1" w:name="_Toc152981510"/>
      <w:r>
        <w:rPr>
          <w:shd w:val="clear" w:color="auto" w:fill="FFFFFF"/>
        </w:rPr>
        <w:t>Other</w:t>
      </w:r>
      <w:r w:rsidR="00F64151">
        <w:rPr>
          <w:shd w:val="clear" w:color="auto" w:fill="FFFFFF"/>
        </w:rPr>
        <w:t xml:space="preserve"> </w:t>
      </w:r>
      <w:r>
        <w:rPr>
          <w:shd w:val="clear" w:color="auto" w:fill="FFFFFF"/>
        </w:rPr>
        <w:t>points</w:t>
      </w:r>
      <w:r w:rsidR="00F64151">
        <w:rPr>
          <w:shd w:val="clear" w:color="auto" w:fill="FFFFFF"/>
        </w:rPr>
        <w:t xml:space="preserve"> of </w:t>
      </w:r>
      <w:r>
        <w:rPr>
          <w:shd w:val="clear" w:color="auto" w:fill="FFFFFF"/>
        </w:rPr>
        <w:t>view</w:t>
      </w:r>
      <w:bookmarkEnd w:id="1"/>
      <w:r w:rsidR="00452EA9">
        <w:rPr>
          <w:shd w:val="clear" w:color="auto" w:fill="FFFFFF"/>
        </w:rPr>
        <w:t xml:space="preserve"> </w:t>
      </w:r>
    </w:p>
    <w:p w14:paraId="276F9351" w14:textId="7CDA8BA0" w:rsidR="00EE36AD" w:rsidRPr="00312F57" w:rsidRDefault="00376C62" w:rsidP="00376C62">
      <w:pPr>
        <w:rPr>
          <w:rFonts w:ascii="Arial" w:hAnsi="Arial" w:cs="Arial"/>
          <w:sz w:val="22"/>
          <w:szCs w:val="22"/>
          <w:lang w:eastAsia="en-GB"/>
        </w:rPr>
      </w:pPr>
      <w:r w:rsidRPr="00312F57">
        <w:rPr>
          <w:rFonts w:ascii="Arial" w:hAnsi="Arial" w:cs="Arial"/>
          <w:sz w:val="22"/>
          <w:szCs w:val="22"/>
          <w:lang w:eastAsia="en-GB"/>
        </w:rPr>
        <w:t xml:space="preserve">In the debate, </w:t>
      </w:r>
      <w:r w:rsidR="00AF1201" w:rsidRPr="00312F57">
        <w:rPr>
          <w:rFonts w:ascii="Arial" w:hAnsi="Arial" w:cs="Arial"/>
          <w:sz w:val="22"/>
          <w:szCs w:val="22"/>
          <w:lang w:eastAsia="en-GB"/>
        </w:rPr>
        <w:t>other</w:t>
      </w:r>
      <w:r w:rsidRPr="00312F57">
        <w:rPr>
          <w:rFonts w:ascii="Arial" w:hAnsi="Arial" w:cs="Arial"/>
          <w:sz w:val="22"/>
          <w:szCs w:val="22"/>
          <w:lang w:eastAsia="en-GB"/>
        </w:rPr>
        <w:t xml:space="preserve"> contrasting </w:t>
      </w:r>
      <w:r w:rsidR="00AF1201" w:rsidRPr="00312F57">
        <w:rPr>
          <w:rFonts w:ascii="Arial" w:hAnsi="Arial" w:cs="Arial"/>
          <w:sz w:val="22"/>
          <w:szCs w:val="22"/>
          <w:lang w:eastAsia="en-GB"/>
        </w:rPr>
        <w:t>views</w:t>
      </w:r>
      <w:r w:rsidRPr="00312F57">
        <w:rPr>
          <w:rFonts w:ascii="Arial" w:hAnsi="Arial" w:cs="Arial"/>
          <w:sz w:val="22"/>
          <w:szCs w:val="22"/>
          <w:lang w:eastAsia="en-GB"/>
        </w:rPr>
        <w:t xml:space="preserve"> that focused </w:t>
      </w:r>
      <w:r w:rsidR="00AF1201" w:rsidRPr="00312F57">
        <w:rPr>
          <w:rFonts w:ascii="Arial" w:hAnsi="Arial" w:cs="Arial"/>
          <w:sz w:val="22"/>
          <w:szCs w:val="22"/>
          <w:lang w:eastAsia="en-GB"/>
        </w:rPr>
        <w:t>on growing ageing people concerned about potential increases in medical costs, permanent social care jobs and services, and the potential for differences between the working-age and older populations due to changing ratio of dependence.</w:t>
      </w:r>
      <w:r w:rsidR="00643CA1" w:rsidRPr="00312F57">
        <w:rPr>
          <w:rFonts w:ascii="Arial" w:hAnsi="Arial" w:cs="Arial"/>
          <w:sz w:val="22"/>
          <w:szCs w:val="22"/>
          <w:lang w:eastAsia="en-GB"/>
        </w:rPr>
        <w:t xml:space="preserve"> All healthcare and social care systems will see an increase in demand and need for medical resources. There will likely be a shortage of medical professionals because of </w:t>
      </w:r>
      <w:r w:rsidR="00CC1B4A" w:rsidRPr="00312F57">
        <w:rPr>
          <w:rFonts w:ascii="Arial" w:hAnsi="Arial" w:cs="Arial"/>
          <w:sz w:val="22"/>
          <w:szCs w:val="22"/>
          <w:lang w:eastAsia="en-GB"/>
        </w:rPr>
        <w:t xml:space="preserve">the </w:t>
      </w:r>
      <w:r w:rsidR="0004513F" w:rsidRPr="00312F57">
        <w:rPr>
          <w:rFonts w:ascii="Arial" w:hAnsi="Arial" w:cs="Arial"/>
          <w:sz w:val="22"/>
          <w:szCs w:val="22"/>
          <w:lang w:eastAsia="en-GB"/>
        </w:rPr>
        <w:t>ageing</w:t>
      </w:r>
      <w:r w:rsidR="00643CA1" w:rsidRPr="00312F57">
        <w:rPr>
          <w:rFonts w:ascii="Arial" w:hAnsi="Arial" w:cs="Arial"/>
          <w:sz w:val="22"/>
          <w:szCs w:val="22"/>
          <w:lang w:eastAsia="en-GB"/>
        </w:rPr>
        <w:t xml:space="preserve"> population.</w:t>
      </w:r>
      <w:r w:rsidR="00CC1B4A" w:rsidRPr="00312F57">
        <w:rPr>
          <w:rFonts w:ascii="Arial" w:hAnsi="Arial" w:cs="Arial"/>
          <w:sz w:val="22"/>
          <w:szCs w:val="22"/>
          <w:lang w:eastAsia="en-GB"/>
        </w:rPr>
        <w:t xml:space="preserve"> Because of the age demographic ratios, there might be a scarcity of care workers. Changes in family structure could mean a smaller amount household </w:t>
      </w:r>
      <w:proofErr w:type="gramStart"/>
      <w:r w:rsidR="00CC1B4A" w:rsidRPr="00312F57">
        <w:rPr>
          <w:rFonts w:ascii="Arial" w:hAnsi="Arial" w:cs="Arial"/>
          <w:sz w:val="22"/>
          <w:szCs w:val="22"/>
          <w:lang w:eastAsia="en-GB"/>
        </w:rPr>
        <w:t>carers</w:t>
      </w:r>
      <w:proofErr w:type="gramEnd"/>
      <w:r w:rsidR="00CC1B4A" w:rsidRPr="00312F57">
        <w:rPr>
          <w:rFonts w:ascii="Arial" w:hAnsi="Arial" w:cs="Arial"/>
          <w:sz w:val="22"/>
          <w:szCs w:val="22"/>
          <w:lang w:eastAsia="en-GB"/>
        </w:rPr>
        <w:t>.</w:t>
      </w:r>
      <w:r w:rsidR="00CC1B4A" w:rsidRPr="00312F57">
        <w:rPr>
          <w:rFonts w:ascii="Arial" w:hAnsi="Arial" w:cs="Arial"/>
          <w:sz w:val="22"/>
          <w:szCs w:val="22"/>
        </w:rPr>
        <w:t xml:space="preserve"> </w:t>
      </w:r>
      <w:r w:rsidR="00CC1B4A" w:rsidRPr="00312F57">
        <w:rPr>
          <w:rFonts w:ascii="Arial" w:hAnsi="Arial" w:cs="Arial"/>
          <w:sz w:val="22"/>
          <w:szCs w:val="22"/>
          <w:lang w:eastAsia="en-GB"/>
        </w:rPr>
        <w:t>It appears that implementing and adjusting to the Affordable Care Act will be difficult.</w:t>
      </w:r>
    </w:p>
    <w:p w14:paraId="5CCA2A8C" w14:textId="6BCB666B" w:rsidR="00EE36AD" w:rsidRDefault="00745339" w:rsidP="00745339">
      <w:pPr>
        <w:pStyle w:val="Heading1"/>
      </w:pPr>
      <w:bookmarkStart w:id="2" w:name="_Toc152981511"/>
      <w:r>
        <w:t>Reflection main point of the debate</w:t>
      </w:r>
      <w:bookmarkEnd w:id="2"/>
    </w:p>
    <w:p w14:paraId="58C85452" w14:textId="1ECD84FF" w:rsidR="00EE36AD" w:rsidRPr="00745339" w:rsidRDefault="00745339" w:rsidP="00376C62">
      <w:pPr>
        <w:rPr>
          <w:rFonts w:ascii="Arial" w:hAnsi="Arial" w:cs="Arial"/>
          <w:sz w:val="22"/>
          <w:szCs w:val="22"/>
          <w:lang w:eastAsia="en-GB"/>
        </w:rPr>
      </w:pPr>
      <w:r>
        <w:rPr>
          <w:rFonts w:ascii="Arial" w:hAnsi="Arial" w:cs="Arial"/>
          <w:sz w:val="22"/>
          <w:szCs w:val="22"/>
          <w:lang w:eastAsia="en-GB"/>
        </w:rPr>
        <w:t xml:space="preserve">The ageing population poses scopes as well as opportunities. It is need to identify the shortage of care </w:t>
      </w:r>
      <w:r w:rsidR="002121B7">
        <w:rPr>
          <w:rFonts w:ascii="Arial" w:hAnsi="Arial" w:cs="Arial"/>
          <w:sz w:val="22"/>
          <w:szCs w:val="22"/>
          <w:lang w:eastAsia="en-GB"/>
        </w:rPr>
        <w:t>workers</w:t>
      </w:r>
      <w:r>
        <w:rPr>
          <w:rFonts w:ascii="Arial" w:hAnsi="Arial" w:cs="Arial"/>
          <w:sz w:val="22"/>
          <w:szCs w:val="22"/>
          <w:lang w:eastAsia="en-GB"/>
        </w:rPr>
        <w:t xml:space="preserve"> deficiency and </w:t>
      </w:r>
      <w:r w:rsidR="002121B7">
        <w:rPr>
          <w:rFonts w:ascii="Arial" w:hAnsi="Arial" w:cs="Arial"/>
          <w:sz w:val="22"/>
          <w:szCs w:val="22"/>
          <w:lang w:eastAsia="en-GB"/>
        </w:rPr>
        <w:t xml:space="preserve">endurance with the social care and health care system. The debate mainly emphasised the ageing population’s contribution to the advancement in healthcare delivery and their contribution </w:t>
      </w:r>
      <w:r w:rsidR="0093646D">
        <w:rPr>
          <w:rFonts w:ascii="Arial" w:hAnsi="Arial" w:cs="Arial"/>
          <w:sz w:val="22"/>
          <w:szCs w:val="22"/>
          <w:lang w:eastAsia="en-GB"/>
        </w:rPr>
        <w:t>to</w:t>
      </w:r>
      <w:r w:rsidR="002121B7">
        <w:rPr>
          <w:rFonts w:ascii="Arial" w:hAnsi="Arial" w:cs="Arial"/>
          <w:sz w:val="22"/>
          <w:szCs w:val="22"/>
          <w:lang w:eastAsia="en-GB"/>
        </w:rPr>
        <w:t xml:space="preserve"> the overall economic advancement. </w:t>
      </w:r>
      <w:r w:rsidR="0093646D">
        <w:rPr>
          <w:rFonts w:ascii="Arial" w:hAnsi="Arial" w:cs="Arial"/>
          <w:sz w:val="22"/>
          <w:szCs w:val="22"/>
          <w:lang w:eastAsia="en-GB"/>
        </w:rPr>
        <w:t>The older</w:t>
      </w:r>
      <w:r w:rsidR="002121B7">
        <w:rPr>
          <w:rFonts w:ascii="Arial" w:hAnsi="Arial" w:cs="Arial"/>
          <w:sz w:val="22"/>
          <w:szCs w:val="22"/>
          <w:lang w:eastAsia="en-GB"/>
        </w:rPr>
        <w:t xml:space="preserve"> population play a</w:t>
      </w:r>
      <w:r w:rsidR="0093646D">
        <w:rPr>
          <w:rFonts w:ascii="Arial" w:hAnsi="Arial" w:cs="Arial"/>
          <w:sz w:val="22"/>
          <w:szCs w:val="22"/>
          <w:lang w:eastAsia="en-GB"/>
        </w:rPr>
        <w:t>n</w:t>
      </w:r>
      <w:r w:rsidR="002121B7">
        <w:rPr>
          <w:rFonts w:ascii="Arial" w:hAnsi="Arial" w:cs="Arial"/>
          <w:sz w:val="22"/>
          <w:szCs w:val="22"/>
          <w:lang w:eastAsia="en-GB"/>
        </w:rPr>
        <w:t xml:space="preserve"> </w:t>
      </w:r>
      <w:r w:rsidR="0093646D">
        <w:rPr>
          <w:rFonts w:ascii="Arial" w:hAnsi="Arial" w:cs="Arial"/>
          <w:sz w:val="22"/>
          <w:szCs w:val="22"/>
          <w:lang w:eastAsia="en-GB"/>
        </w:rPr>
        <w:t>essential role in conveying cultural belief, tradition as well as cultural identity. Ageing population skill</w:t>
      </w:r>
      <w:r w:rsidR="00F50909">
        <w:rPr>
          <w:rFonts w:ascii="Arial" w:hAnsi="Arial" w:cs="Arial"/>
          <w:sz w:val="22"/>
          <w:szCs w:val="22"/>
          <w:lang w:eastAsia="en-GB"/>
        </w:rPr>
        <w:t>s</w:t>
      </w:r>
      <w:r w:rsidR="0093646D">
        <w:rPr>
          <w:rFonts w:ascii="Arial" w:hAnsi="Arial" w:cs="Arial"/>
          <w:sz w:val="22"/>
          <w:szCs w:val="22"/>
          <w:lang w:eastAsia="en-GB"/>
        </w:rPr>
        <w:t xml:space="preserve"> and experiences</w:t>
      </w:r>
      <w:r w:rsidR="00F50909">
        <w:rPr>
          <w:rFonts w:ascii="Arial" w:hAnsi="Arial" w:cs="Arial"/>
          <w:sz w:val="22"/>
          <w:szCs w:val="22"/>
          <w:lang w:eastAsia="en-GB"/>
        </w:rPr>
        <w:t xml:space="preserve"> drive economic growth and innovation</w:t>
      </w:r>
      <w:r w:rsidR="00DE46EE">
        <w:rPr>
          <w:rFonts w:ascii="Arial" w:hAnsi="Arial" w:cs="Arial"/>
          <w:sz w:val="22"/>
          <w:szCs w:val="22"/>
          <w:lang w:eastAsia="en-GB"/>
        </w:rPr>
        <w:t xml:space="preserve"> </w:t>
      </w:r>
      <w:r w:rsidR="00DE46EE">
        <w:t>(</w:t>
      </w:r>
      <w:proofErr w:type="spellStart"/>
      <w:r w:rsidR="00DE46EE">
        <w:t>Howdon</w:t>
      </w:r>
      <w:proofErr w:type="spellEnd"/>
      <w:r w:rsidR="00DE46EE">
        <w:t xml:space="preserve"> &amp; Rice, 2018)</w:t>
      </w:r>
      <w:r w:rsidR="00F50909">
        <w:rPr>
          <w:rFonts w:ascii="Arial" w:hAnsi="Arial" w:cs="Arial"/>
          <w:sz w:val="22"/>
          <w:szCs w:val="22"/>
          <w:lang w:eastAsia="en-GB"/>
        </w:rPr>
        <w:t>. They also support the younger generation by providing counselling, community engagement and volunteering workshops.</w:t>
      </w:r>
    </w:p>
    <w:p w14:paraId="786A1EC4" w14:textId="0327A709" w:rsidR="00EE36AD" w:rsidRDefault="00F50909" w:rsidP="00F50909">
      <w:pPr>
        <w:pStyle w:val="Heading1"/>
      </w:pPr>
      <w:bookmarkStart w:id="3" w:name="_Toc152981512"/>
      <w:r>
        <w:t>Ageing population statistics of the UK</w:t>
      </w:r>
      <w:bookmarkEnd w:id="3"/>
    </w:p>
    <w:p w14:paraId="233FC289" w14:textId="09E0D9B5" w:rsidR="00F50909" w:rsidRPr="00312F57" w:rsidRDefault="00C54290" w:rsidP="00F50909">
      <w:pPr>
        <w:rPr>
          <w:rFonts w:ascii="Arial" w:hAnsi="Arial" w:cs="Arial"/>
          <w:sz w:val="22"/>
          <w:szCs w:val="22"/>
        </w:rPr>
      </w:pPr>
      <w:r w:rsidRPr="00312F57">
        <w:rPr>
          <w:rFonts w:ascii="Arial" w:hAnsi="Arial" w:cs="Arial"/>
          <w:sz w:val="22"/>
          <w:szCs w:val="22"/>
          <w:lang w:eastAsia="en-GB"/>
        </w:rPr>
        <w:t xml:space="preserve">It is projected that between 2001 and 2031, the total number of persons over 65 will rise by roughly 53%, while the population of individuals under 65 is expected to remain relatively constant. The </w:t>
      </w:r>
      <w:r w:rsidRPr="00312F57">
        <w:rPr>
          <w:rFonts w:ascii="Arial" w:hAnsi="Arial" w:cs="Arial"/>
          <w:sz w:val="22"/>
          <w:szCs w:val="22"/>
          <w:lang w:eastAsia="en-GB"/>
        </w:rPr>
        <w:lastRenderedPageBreak/>
        <w:t>number of older individuals with chronic illnesses, such as cardiovascular disease, will probably rise in accordance with the ageing population. NHS will be under greater monetary and workload stress as a result of this.</w:t>
      </w:r>
      <w:r w:rsidR="007B4A13" w:rsidRPr="00312F57">
        <w:rPr>
          <w:rFonts w:ascii="Arial" w:hAnsi="Arial" w:cs="Arial"/>
          <w:sz w:val="22"/>
          <w:szCs w:val="22"/>
          <w:lang w:eastAsia="en-GB"/>
        </w:rPr>
        <w:t xml:space="preserve"> It can be looked at the potential effects of an ageing population on the anticipated prevalence of three heart disease conditions such as atrial fibrillation, heart failure, as well as coronary heart disease</w:t>
      </w:r>
      <w:r w:rsidR="00DE46EE" w:rsidRPr="00312F57">
        <w:rPr>
          <w:rFonts w:ascii="Arial" w:hAnsi="Arial" w:cs="Arial"/>
          <w:sz w:val="22"/>
          <w:szCs w:val="22"/>
          <w:lang w:eastAsia="en-GB"/>
        </w:rPr>
        <w:t xml:space="preserve"> </w:t>
      </w:r>
      <w:r w:rsidR="00DE46EE" w:rsidRPr="00312F57">
        <w:rPr>
          <w:rFonts w:ascii="Arial" w:hAnsi="Arial" w:cs="Arial"/>
          <w:sz w:val="22"/>
          <w:szCs w:val="22"/>
        </w:rPr>
        <w:t>(Bhome et al., 2021)</w:t>
      </w:r>
      <w:r w:rsidR="007B4A13" w:rsidRPr="00312F57">
        <w:rPr>
          <w:rFonts w:ascii="Arial" w:hAnsi="Arial" w:cs="Arial"/>
          <w:sz w:val="22"/>
          <w:szCs w:val="22"/>
          <w:lang w:eastAsia="en-GB"/>
        </w:rPr>
        <w:t>. In the UK, planners and service providers at the national, regional, as well as local levels must deal with the pressing issue of population ageing. The focus of UK government policy is increasingly shifting to the ageing people. The government faces a number of challenges, including providing health as well as social care, increasing the retirement age, and offering incentives to more individuals over 50 to continue working. It is anticipated that the demographic shifts will vary and impact services differently across nations, regions, as well as local area types.</w:t>
      </w:r>
    </w:p>
    <w:p w14:paraId="2AF9F65D" w14:textId="77777777" w:rsidR="002861EA" w:rsidRDefault="002861EA" w:rsidP="002861EA"/>
    <w:p w14:paraId="4532331C" w14:textId="77777777" w:rsidR="002861EA" w:rsidRDefault="002861EA" w:rsidP="002861EA">
      <w:pPr>
        <w:pStyle w:val="Heading1"/>
      </w:pPr>
      <w:bookmarkStart w:id="4" w:name="_Toc152981513"/>
      <w:r>
        <w:t>Government services and support to older population</w:t>
      </w:r>
      <w:bookmarkEnd w:id="4"/>
    </w:p>
    <w:p w14:paraId="2331755D" w14:textId="302AC23C" w:rsidR="002861EA" w:rsidRPr="000C19E6" w:rsidRDefault="002861EA" w:rsidP="002861EA">
      <w:pPr>
        <w:rPr>
          <w:rFonts w:ascii="Arial" w:hAnsi="Arial" w:cs="Arial"/>
          <w:sz w:val="22"/>
          <w:szCs w:val="22"/>
        </w:rPr>
      </w:pPr>
      <w:r w:rsidRPr="000C19E6">
        <w:rPr>
          <w:rFonts w:ascii="Arial" w:hAnsi="Arial" w:cs="Arial"/>
          <w:sz w:val="22"/>
          <w:szCs w:val="22"/>
        </w:rPr>
        <w:t xml:space="preserve">The </w:t>
      </w:r>
      <w:proofErr w:type="spellStart"/>
      <w:r w:rsidRPr="000C19E6">
        <w:rPr>
          <w:rFonts w:ascii="Arial" w:hAnsi="Arial" w:cs="Arial"/>
          <w:sz w:val="22"/>
          <w:szCs w:val="22"/>
        </w:rPr>
        <w:t>Uk</w:t>
      </w:r>
      <w:proofErr w:type="spellEnd"/>
      <w:r w:rsidRPr="000C19E6">
        <w:rPr>
          <w:rFonts w:ascii="Arial" w:hAnsi="Arial" w:cs="Arial"/>
          <w:sz w:val="22"/>
          <w:szCs w:val="22"/>
        </w:rPr>
        <w:t xml:space="preserve"> government may a variety of community resources are provided by help-at-home programmes in an effort to meet a variety of well-being needs. On the other hand, little is known at present about the expenses, results, and financial effects of scheme programmes. Determining their effects on older people's well-being as well as the financial implications for both local and national government can help with long-term care financing decisions that are sustainable. Results of a mixed-methods study of an English help-at-home programme for people 55 years of age and above, provided by the voluntary sector, are presented in this article. Staff members and volunteers participated in the study using a participatory methodology. Information was gathered in 2012 and 2013. 24 service users had their social care-related quality of life assessed using the Adult Social Care Outcomes Toolkit both at the beginning of the programme and 4-6 months later.</w:t>
      </w:r>
      <w:r w:rsidRPr="000C19E6">
        <w:rPr>
          <w:rFonts w:ascii="Arial" w:hAnsi="Arial" w:cs="Arial"/>
          <w:sz w:val="22"/>
          <w:szCs w:val="22"/>
        </w:rPr>
        <w:br w:type="page"/>
      </w:r>
    </w:p>
    <w:p w14:paraId="163D05CD" w14:textId="77777777" w:rsidR="00DE46EE" w:rsidRDefault="00DE46EE" w:rsidP="00F50909">
      <w:pPr>
        <w:rPr>
          <w:rFonts w:ascii="Arial" w:hAnsi="Arial" w:cs="Arial"/>
          <w:sz w:val="22"/>
          <w:szCs w:val="22"/>
          <w:lang w:eastAsia="en-GB"/>
        </w:rPr>
      </w:pPr>
    </w:p>
    <w:p w14:paraId="5A931456" w14:textId="164A55CF" w:rsidR="00DE46EE" w:rsidRDefault="00DE46EE" w:rsidP="00DE46EE">
      <w:pPr>
        <w:pStyle w:val="Heading1"/>
      </w:pPr>
      <w:bookmarkStart w:id="5" w:name="_Toc152981514"/>
      <w:r>
        <w:t>The effect of COVID-19 on elder people and Services</w:t>
      </w:r>
      <w:bookmarkEnd w:id="5"/>
    </w:p>
    <w:p w14:paraId="42DE6C10" w14:textId="120CB75E" w:rsidR="00DE46EE" w:rsidRDefault="00DE46EE" w:rsidP="00DE46EE">
      <w:pPr>
        <w:rPr>
          <w:rFonts w:ascii="Arial" w:hAnsi="Arial" w:cs="Arial"/>
          <w:sz w:val="22"/>
          <w:szCs w:val="22"/>
          <w:lang w:eastAsia="en-GB"/>
        </w:rPr>
      </w:pPr>
      <w:r w:rsidRPr="00DE46EE">
        <w:rPr>
          <w:rFonts w:ascii="Arial" w:hAnsi="Arial" w:cs="Arial"/>
          <w:sz w:val="22"/>
          <w:szCs w:val="22"/>
          <w:lang w:eastAsia="en-GB"/>
        </w:rPr>
        <w:t xml:space="preserve">The age factor, which improves the COVID-19 death rate </w:t>
      </w:r>
      <w:r>
        <w:rPr>
          <w:rFonts w:ascii="Arial" w:hAnsi="Arial" w:cs="Arial"/>
          <w:sz w:val="22"/>
          <w:szCs w:val="22"/>
          <w:lang w:eastAsia="en-GB"/>
        </w:rPr>
        <w:t>among</w:t>
      </w:r>
      <w:r w:rsidRPr="00DE46EE">
        <w:rPr>
          <w:rFonts w:ascii="Arial" w:hAnsi="Arial" w:cs="Arial"/>
          <w:sz w:val="22"/>
          <w:szCs w:val="22"/>
          <w:lang w:eastAsia="en-GB"/>
        </w:rPr>
        <w:t xml:space="preserve"> the elderly worldwide, didn't exempt the UK. Humans over 60 accounted for an unusually large number of COVID-19 deaths in the UK. These constraints caused a shift in </w:t>
      </w:r>
      <w:r>
        <w:rPr>
          <w:rFonts w:ascii="Arial" w:hAnsi="Arial" w:cs="Arial"/>
          <w:sz w:val="22"/>
          <w:szCs w:val="22"/>
          <w:lang w:eastAsia="en-GB"/>
        </w:rPr>
        <w:t xml:space="preserve">the </w:t>
      </w:r>
      <w:r w:rsidRPr="00DE46EE">
        <w:rPr>
          <w:rFonts w:ascii="Arial" w:hAnsi="Arial" w:cs="Arial"/>
          <w:sz w:val="22"/>
          <w:szCs w:val="22"/>
          <w:lang w:eastAsia="en-GB"/>
        </w:rPr>
        <w:t xml:space="preserve">way of life that collected the elderly's risk of health issues. The conditions placed on daily activities during periods of state-imposed lockdown made it more challenging for people over 65 in the UK to maintain responsibility for their health. Overweight as well as elderly people </w:t>
      </w:r>
      <w:r w:rsidRPr="00312F57">
        <w:rPr>
          <w:rFonts w:ascii="Arial" w:hAnsi="Arial" w:cs="Arial"/>
          <w:sz w:val="22"/>
          <w:szCs w:val="22"/>
          <w:lang w:eastAsia="en-GB"/>
        </w:rPr>
        <w:t xml:space="preserve">in the UK reduce back on their usual workouts for the fear that they could catch the COVID-19 virus </w:t>
      </w:r>
      <w:r w:rsidRPr="00312F57">
        <w:rPr>
          <w:rFonts w:ascii="Arial" w:hAnsi="Arial" w:cs="Arial"/>
          <w:sz w:val="22"/>
          <w:szCs w:val="22"/>
        </w:rPr>
        <w:t>(Walker, 2015)</w:t>
      </w:r>
      <w:r w:rsidRPr="00312F57">
        <w:rPr>
          <w:rFonts w:ascii="Arial" w:hAnsi="Arial" w:cs="Arial"/>
          <w:sz w:val="22"/>
          <w:szCs w:val="22"/>
          <w:lang w:eastAsia="en-GB"/>
        </w:rPr>
        <w:t>. The</w:t>
      </w:r>
      <w:r w:rsidRPr="00DE46EE">
        <w:rPr>
          <w:rFonts w:ascii="Arial" w:hAnsi="Arial" w:cs="Arial"/>
          <w:sz w:val="22"/>
          <w:szCs w:val="22"/>
          <w:lang w:eastAsia="en-GB"/>
        </w:rPr>
        <w:t xml:space="preserve"> demands on accessibility made the effects even longer. The number of instances of ongoing medical conditions in the UK's elderly population </w:t>
      </w:r>
      <w:r>
        <w:rPr>
          <w:rFonts w:ascii="Arial" w:hAnsi="Arial" w:cs="Arial"/>
          <w:sz w:val="22"/>
          <w:szCs w:val="22"/>
          <w:lang w:eastAsia="en-GB"/>
        </w:rPr>
        <w:t>increases</w:t>
      </w:r>
      <w:r w:rsidRPr="00DE46EE">
        <w:rPr>
          <w:rFonts w:ascii="Arial" w:hAnsi="Arial" w:cs="Arial"/>
          <w:sz w:val="22"/>
          <w:szCs w:val="22"/>
          <w:lang w:eastAsia="en-GB"/>
        </w:rPr>
        <w:t xml:space="preserve"> their risk of getting COVID-19. Different media and news outlets reported these issues. Because of the growing incidence of multiple conditions, doctors and nurses in </w:t>
      </w:r>
      <w:r>
        <w:rPr>
          <w:rFonts w:ascii="Arial" w:hAnsi="Arial" w:cs="Arial"/>
          <w:sz w:val="22"/>
          <w:szCs w:val="22"/>
          <w:lang w:eastAsia="en-GB"/>
        </w:rPr>
        <w:t xml:space="preserve">the </w:t>
      </w:r>
      <w:r w:rsidRPr="00DE46EE">
        <w:rPr>
          <w:rFonts w:ascii="Arial" w:hAnsi="Arial" w:cs="Arial"/>
          <w:sz w:val="22"/>
          <w:szCs w:val="22"/>
          <w:lang w:eastAsia="en-GB"/>
        </w:rPr>
        <w:t>UK during the COVID-19 period observed an increase in health risks relating to seniors.</w:t>
      </w:r>
      <w:r>
        <w:rPr>
          <w:rFonts w:ascii="Arial" w:hAnsi="Arial" w:cs="Arial"/>
          <w:sz w:val="22"/>
          <w:szCs w:val="22"/>
          <w:lang w:eastAsia="en-GB"/>
        </w:rPr>
        <w:t xml:space="preserve"> </w:t>
      </w:r>
      <w:r w:rsidRPr="00DE46EE">
        <w:rPr>
          <w:rFonts w:ascii="Arial" w:hAnsi="Arial" w:cs="Arial"/>
          <w:sz w:val="22"/>
          <w:szCs w:val="22"/>
          <w:lang w:eastAsia="en-GB"/>
        </w:rPr>
        <w:t xml:space="preserve">Some news and media sources claim that the way senior citizens obtain medical care </w:t>
      </w:r>
      <w:r>
        <w:rPr>
          <w:rFonts w:ascii="Arial" w:hAnsi="Arial" w:cs="Arial"/>
          <w:sz w:val="22"/>
          <w:szCs w:val="22"/>
          <w:lang w:eastAsia="en-GB"/>
        </w:rPr>
        <w:t>plays</w:t>
      </w:r>
      <w:r w:rsidRPr="00DE46EE">
        <w:rPr>
          <w:rFonts w:ascii="Arial" w:hAnsi="Arial" w:cs="Arial"/>
          <w:sz w:val="22"/>
          <w:szCs w:val="22"/>
          <w:lang w:eastAsia="en-GB"/>
        </w:rPr>
        <w:t xml:space="preserve"> a role in the increase in danger. Older adults were more likely to seek care from different facilities while showing COVID-19-related symptoms, </w:t>
      </w:r>
      <w:r>
        <w:rPr>
          <w:rFonts w:ascii="Arial" w:hAnsi="Arial" w:cs="Arial"/>
          <w:sz w:val="22"/>
          <w:szCs w:val="22"/>
          <w:lang w:eastAsia="en-GB"/>
        </w:rPr>
        <w:t>which</w:t>
      </w:r>
      <w:r w:rsidRPr="00DE46EE">
        <w:rPr>
          <w:rFonts w:ascii="Arial" w:hAnsi="Arial" w:cs="Arial"/>
          <w:sz w:val="22"/>
          <w:szCs w:val="22"/>
          <w:lang w:eastAsia="en-GB"/>
        </w:rPr>
        <w:t xml:space="preserve"> increased their risk of passing away during the period of the pandemic. That's why older people with illnesses who tested positive for COVID-19 or showed symptoms needed to see a doctor immediately.</w:t>
      </w:r>
    </w:p>
    <w:p w14:paraId="0CCBA377" w14:textId="7B4AB5AA" w:rsidR="00742902" w:rsidRDefault="00742902">
      <w:pPr>
        <w:spacing w:after="160" w:line="259" w:lineRule="auto"/>
        <w:jc w:val="left"/>
        <w:rPr>
          <w:rFonts w:ascii="Arial" w:hAnsi="Arial" w:cs="Arial"/>
          <w:sz w:val="22"/>
          <w:szCs w:val="22"/>
          <w:lang w:eastAsia="en-GB"/>
        </w:rPr>
      </w:pPr>
      <w:r>
        <w:rPr>
          <w:rFonts w:ascii="Arial" w:hAnsi="Arial" w:cs="Arial"/>
          <w:sz w:val="22"/>
          <w:szCs w:val="22"/>
          <w:lang w:eastAsia="en-GB"/>
        </w:rPr>
        <w:br w:type="page"/>
      </w:r>
    </w:p>
    <w:p w14:paraId="7C2825C1" w14:textId="1BA70847" w:rsidR="00742902" w:rsidRDefault="00742902" w:rsidP="00742902">
      <w:pPr>
        <w:pStyle w:val="Heading1"/>
      </w:pPr>
      <w:bookmarkStart w:id="6" w:name="_Toc152981515"/>
      <w:r>
        <w:lastRenderedPageBreak/>
        <w:t>References</w:t>
      </w:r>
      <w:bookmarkEnd w:id="6"/>
    </w:p>
    <w:p w14:paraId="6EEE03F0" w14:textId="77777777" w:rsidR="00742902" w:rsidRPr="00742902" w:rsidRDefault="00742902" w:rsidP="00742902">
      <w:pPr>
        <w:pStyle w:val="NormalWeb"/>
        <w:spacing w:line="360" w:lineRule="auto"/>
        <w:ind w:left="567" w:hanging="567"/>
        <w:jc w:val="both"/>
        <w:rPr>
          <w:rFonts w:ascii="Arial" w:hAnsi="Arial" w:cs="Arial"/>
          <w:sz w:val="22"/>
          <w:szCs w:val="22"/>
        </w:rPr>
      </w:pPr>
      <w:r w:rsidRPr="00742902">
        <w:rPr>
          <w:rFonts w:ascii="Arial" w:hAnsi="Arial" w:cs="Arial"/>
          <w:sz w:val="22"/>
          <w:szCs w:val="22"/>
        </w:rPr>
        <w:t xml:space="preserve">Bhome, R. </w:t>
      </w:r>
      <w:r w:rsidRPr="00742902">
        <w:rPr>
          <w:rFonts w:ascii="Arial" w:hAnsi="Arial" w:cs="Arial"/>
          <w:i/>
          <w:iCs/>
          <w:sz w:val="22"/>
          <w:szCs w:val="22"/>
        </w:rPr>
        <w:t>et al.</w:t>
      </w:r>
      <w:r w:rsidRPr="00742902">
        <w:rPr>
          <w:rFonts w:ascii="Arial" w:hAnsi="Arial" w:cs="Arial"/>
          <w:sz w:val="22"/>
          <w:szCs w:val="22"/>
        </w:rPr>
        <w:t xml:space="preserve"> (2021) ‘Impact of the COVID</w:t>
      </w:r>
      <w:r w:rsidRPr="00742902">
        <w:rPr>
          <w:rFonts w:ascii="Cambria Math" w:hAnsi="Cambria Math" w:cs="Cambria Math"/>
          <w:sz w:val="22"/>
          <w:szCs w:val="22"/>
        </w:rPr>
        <w:t>‐</w:t>
      </w:r>
      <w:r w:rsidRPr="00742902">
        <w:rPr>
          <w:rFonts w:ascii="Arial" w:hAnsi="Arial" w:cs="Arial"/>
          <w:sz w:val="22"/>
          <w:szCs w:val="22"/>
        </w:rPr>
        <w:t xml:space="preserve">19 pandemic on older </w:t>
      </w:r>
      <w:proofErr w:type="gramStart"/>
      <w:r w:rsidRPr="00742902">
        <w:rPr>
          <w:rFonts w:ascii="Arial" w:hAnsi="Arial" w:cs="Arial"/>
          <w:sz w:val="22"/>
          <w:szCs w:val="22"/>
        </w:rPr>
        <w:t>adults</w:t>
      </w:r>
      <w:proofErr w:type="gramEnd"/>
      <w:r w:rsidRPr="00742902">
        <w:rPr>
          <w:rFonts w:ascii="Arial" w:hAnsi="Arial" w:cs="Arial"/>
          <w:sz w:val="22"/>
          <w:szCs w:val="22"/>
        </w:rPr>
        <w:t xml:space="preserve"> mental health services: A mixed methods study’, </w:t>
      </w:r>
      <w:r w:rsidRPr="00742902">
        <w:rPr>
          <w:rFonts w:ascii="Arial" w:hAnsi="Arial" w:cs="Arial"/>
          <w:i/>
          <w:iCs/>
          <w:sz w:val="22"/>
          <w:szCs w:val="22"/>
        </w:rPr>
        <w:t>International Journal of Geriatric Psychiatry</w:t>
      </w:r>
      <w:r w:rsidRPr="00742902">
        <w:rPr>
          <w:rFonts w:ascii="Arial" w:hAnsi="Arial" w:cs="Arial"/>
          <w:sz w:val="22"/>
          <w:szCs w:val="22"/>
        </w:rPr>
        <w:t xml:space="preserve">, 36(11), pp. 1748–1758. doi:10.1002/gps.5596. </w:t>
      </w:r>
    </w:p>
    <w:p w14:paraId="3C1A08C5" w14:textId="77777777" w:rsidR="00742902" w:rsidRPr="00742902" w:rsidRDefault="00742902" w:rsidP="00742902">
      <w:pPr>
        <w:pStyle w:val="NormalWeb"/>
        <w:spacing w:line="360" w:lineRule="auto"/>
        <w:ind w:left="567" w:hanging="567"/>
        <w:jc w:val="both"/>
        <w:rPr>
          <w:rFonts w:ascii="Arial" w:hAnsi="Arial" w:cs="Arial"/>
          <w:sz w:val="22"/>
          <w:szCs w:val="22"/>
        </w:rPr>
      </w:pPr>
      <w:r w:rsidRPr="00742902">
        <w:rPr>
          <w:rFonts w:ascii="Arial" w:hAnsi="Arial" w:cs="Arial"/>
          <w:sz w:val="22"/>
          <w:szCs w:val="22"/>
        </w:rPr>
        <w:t xml:space="preserve">Bone, A.E. </w:t>
      </w:r>
      <w:r w:rsidRPr="00742902">
        <w:rPr>
          <w:rFonts w:ascii="Arial" w:hAnsi="Arial" w:cs="Arial"/>
          <w:i/>
          <w:iCs/>
          <w:sz w:val="22"/>
          <w:szCs w:val="22"/>
        </w:rPr>
        <w:t>et al.</w:t>
      </w:r>
      <w:r w:rsidRPr="00742902">
        <w:rPr>
          <w:rFonts w:ascii="Arial" w:hAnsi="Arial" w:cs="Arial"/>
          <w:sz w:val="22"/>
          <w:szCs w:val="22"/>
        </w:rPr>
        <w:t xml:space="preserve"> (2017) ‘What is the impact of population ageing on the future provision of end-of-life care? population-based projections of place of death’, </w:t>
      </w:r>
      <w:r w:rsidRPr="00742902">
        <w:rPr>
          <w:rFonts w:ascii="Arial" w:hAnsi="Arial" w:cs="Arial"/>
          <w:i/>
          <w:iCs/>
          <w:sz w:val="22"/>
          <w:szCs w:val="22"/>
        </w:rPr>
        <w:t>Palliative Medicine</w:t>
      </w:r>
      <w:r w:rsidRPr="00742902">
        <w:rPr>
          <w:rFonts w:ascii="Arial" w:hAnsi="Arial" w:cs="Arial"/>
          <w:sz w:val="22"/>
          <w:szCs w:val="22"/>
        </w:rPr>
        <w:t xml:space="preserve">, 32(2), pp. 329–336. doi:10.1177/0269216317734435. </w:t>
      </w:r>
    </w:p>
    <w:p w14:paraId="4DCF4DB3" w14:textId="77777777" w:rsidR="00742902" w:rsidRPr="00742902" w:rsidRDefault="00742902" w:rsidP="00742902">
      <w:pPr>
        <w:pStyle w:val="NormalWeb"/>
        <w:spacing w:line="360" w:lineRule="auto"/>
        <w:ind w:left="567" w:hanging="567"/>
        <w:jc w:val="both"/>
        <w:rPr>
          <w:rFonts w:ascii="Arial" w:hAnsi="Arial" w:cs="Arial"/>
          <w:sz w:val="22"/>
          <w:szCs w:val="22"/>
        </w:rPr>
      </w:pPr>
      <w:proofErr w:type="spellStart"/>
      <w:r w:rsidRPr="00742902">
        <w:rPr>
          <w:rFonts w:ascii="Arial" w:hAnsi="Arial" w:cs="Arial"/>
          <w:sz w:val="22"/>
          <w:szCs w:val="22"/>
        </w:rPr>
        <w:t>Howdon</w:t>
      </w:r>
      <w:proofErr w:type="spellEnd"/>
      <w:r w:rsidRPr="00742902">
        <w:rPr>
          <w:rFonts w:ascii="Arial" w:hAnsi="Arial" w:cs="Arial"/>
          <w:sz w:val="22"/>
          <w:szCs w:val="22"/>
        </w:rPr>
        <w:t xml:space="preserve">, D. and Rice, N. (2018) ‘Health Care Expenditures, age, proximity to death and morbidity: Implications for an ageing population’, </w:t>
      </w:r>
      <w:r w:rsidRPr="00742902">
        <w:rPr>
          <w:rFonts w:ascii="Arial" w:hAnsi="Arial" w:cs="Arial"/>
          <w:i/>
          <w:iCs/>
          <w:sz w:val="22"/>
          <w:szCs w:val="22"/>
        </w:rPr>
        <w:t>Journal of Health Economics</w:t>
      </w:r>
      <w:r w:rsidRPr="00742902">
        <w:rPr>
          <w:rFonts w:ascii="Arial" w:hAnsi="Arial" w:cs="Arial"/>
          <w:sz w:val="22"/>
          <w:szCs w:val="22"/>
        </w:rPr>
        <w:t xml:space="preserve">, 57, pp. 60–74. </w:t>
      </w:r>
      <w:proofErr w:type="gramStart"/>
      <w:r w:rsidRPr="00742902">
        <w:rPr>
          <w:rFonts w:ascii="Arial" w:hAnsi="Arial" w:cs="Arial"/>
          <w:sz w:val="22"/>
          <w:szCs w:val="22"/>
        </w:rPr>
        <w:t>doi:10.1016/j.jhealeco</w:t>
      </w:r>
      <w:proofErr w:type="gramEnd"/>
      <w:r w:rsidRPr="00742902">
        <w:rPr>
          <w:rFonts w:ascii="Arial" w:hAnsi="Arial" w:cs="Arial"/>
          <w:sz w:val="22"/>
          <w:szCs w:val="22"/>
        </w:rPr>
        <w:t xml:space="preserve">.2017.11.001. </w:t>
      </w:r>
    </w:p>
    <w:p w14:paraId="24E4A797" w14:textId="77777777" w:rsidR="00742902" w:rsidRPr="00742902" w:rsidRDefault="00742902" w:rsidP="00742902">
      <w:pPr>
        <w:pStyle w:val="NormalWeb"/>
        <w:spacing w:line="360" w:lineRule="auto"/>
        <w:ind w:left="567" w:hanging="567"/>
        <w:jc w:val="both"/>
        <w:rPr>
          <w:rFonts w:ascii="Arial" w:hAnsi="Arial" w:cs="Arial"/>
          <w:sz w:val="22"/>
          <w:szCs w:val="22"/>
        </w:rPr>
      </w:pPr>
      <w:r w:rsidRPr="00742902">
        <w:rPr>
          <w:rFonts w:ascii="Arial" w:hAnsi="Arial" w:cs="Arial"/>
          <w:sz w:val="22"/>
          <w:szCs w:val="22"/>
        </w:rPr>
        <w:t xml:space="preserve">Richardson, S.J. </w:t>
      </w:r>
      <w:r w:rsidRPr="00742902">
        <w:rPr>
          <w:rFonts w:ascii="Arial" w:hAnsi="Arial" w:cs="Arial"/>
          <w:i/>
          <w:iCs/>
          <w:sz w:val="22"/>
          <w:szCs w:val="22"/>
        </w:rPr>
        <w:t>et al.</w:t>
      </w:r>
      <w:r w:rsidRPr="00742902">
        <w:rPr>
          <w:rFonts w:ascii="Arial" w:hAnsi="Arial" w:cs="Arial"/>
          <w:sz w:val="22"/>
          <w:szCs w:val="22"/>
        </w:rPr>
        <w:t xml:space="preserve"> (2020) ‘Research with older people in a world with covid-19: Identification of current and future priorities, challenges and opportunities’, </w:t>
      </w:r>
      <w:r w:rsidRPr="00742902">
        <w:rPr>
          <w:rFonts w:ascii="Arial" w:hAnsi="Arial" w:cs="Arial"/>
          <w:i/>
          <w:iCs/>
          <w:sz w:val="22"/>
          <w:szCs w:val="22"/>
        </w:rPr>
        <w:t>Age and Ageing</w:t>
      </w:r>
      <w:r w:rsidRPr="00742902">
        <w:rPr>
          <w:rFonts w:ascii="Arial" w:hAnsi="Arial" w:cs="Arial"/>
          <w:sz w:val="22"/>
          <w:szCs w:val="22"/>
        </w:rPr>
        <w:t xml:space="preserve">, 49(6), pp. 901–906. doi:10.1093/ageing/afaa149. </w:t>
      </w:r>
    </w:p>
    <w:p w14:paraId="72FE2458" w14:textId="77777777" w:rsidR="00742902" w:rsidRPr="00742902" w:rsidRDefault="00742902" w:rsidP="00742902">
      <w:pPr>
        <w:pStyle w:val="NormalWeb"/>
        <w:spacing w:line="360" w:lineRule="auto"/>
        <w:ind w:left="567" w:hanging="567"/>
        <w:jc w:val="both"/>
        <w:rPr>
          <w:rFonts w:ascii="Arial" w:hAnsi="Arial" w:cs="Arial"/>
          <w:sz w:val="22"/>
          <w:szCs w:val="22"/>
        </w:rPr>
      </w:pPr>
      <w:r w:rsidRPr="00742902">
        <w:rPr>
          <w:rFonts w:ascii="Arial" w:hAnsi="Arial" w:cs="Arial"/>
          <w:sz w:val="22"/>
          <w:szCs w:val="22"/>
        </w:rPr>
        <w:t xml:space="preserve">Walker, A. (2015) ‘Population ageing from a global and Theoretical Perspective: European lessons on Active ageing’, </w:t>
      </w:r>
      <w:r w:rsidRPr="00742902">
        <w:rPr>
          <w:rFonts w:ascii="Arial" w:hAnsi="Arial" w:cs="Arial"/>
          <w:i/>
          <w:iCs/>
          <w:sz w:val="22"/>
          <w:szCs w:val="22"/>
        </w:rPr>
        <w:t>International Perspectives on Aging</w:t>
      </w:r>
      <w:r w:rsidRPr="00742902">
        <w:rPr>
          <w:rFonts w:ascii="Arial" w:hAnsi="Arial" w:cs="Arial"/>
          <w:sz w:val="22"/>
          <w:szCs w:val="22"/>
        </w:rPr>
        <w:t xml:space="preserve">, pp. 47–64. doi:10.1007/978-3-319-24031-2_4. </w:t>
      </w:r>
    </w:p>
    <w:p w14:paraId="71F53993" w14:textId="77777777" w:rsidR="00742902" w:rsidRPr="00742902" w:rsidRDefault="00742902" w:rsidP="00742902">
      <w:pPr>
        <w:rPr>
          <w:lang w:eastAsia="en-GB"/>
        </w:rPr>
      </w:pPr>
    </w:p>
    <w:sectPr w:rsidR="00742902" w:rsidRPr="00742902">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6A3D1" w14:textId="77777777" w:rsidR="00C37D28" w:rsidRDefault="00C37D28" w:rsidP="000C19E6">
      <w:pPr>
        <w:spacing w:line="240" w:lineRule="auto"/>
      </w:pPr>
      <w:r>
        <w:separator/>
      </w:r>
    </w:p>
  </w:endnote>
  <w:endnote w:type="continuationSeparator" w:id="0">
    <w:p w14:paraId="70EE6965" w14:textId="77777777" w:rsidR="00C37D28" w:rsidRDefault="00C37D28" w:rsidP="000C19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7710373"/>
      <w:docPartObj>
        <w:docPartGallery w:val="Page Numbers (Bottom of Page)"/>
        <w:docPartUnique/>
      </w:docPartObj>
    </w:sdtPr>
    <w:sdtContent>
      <w:p w14:paraId="4776139D" w14:textId="534CE371" w:rsidR="000C19E6" w:rsidRDefault="000C19E6" w:rsidP="00CB07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E4FACC" w14:textId="77777777" w:rsidR="000C19E6" w:rsidRDefault="000C19E6" w:rsidP="000C19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9515111"/>
      <w:docPartObj>
        <w:docPartGallery w:val="Page Numbers (Bottom of Page)"/>
        <w:docPartUnique/>
      </w:docPartObj>
    </w:sdtPr>
    <w:sdtContent>
      <w:p w14:paraId="6EA899C9" w14:textId="6F6696A8" w:rsidR="000C19E6" w:rsidRDefault="000C19E6" w:rsidP="00CB07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276DB5" w14:textId="77777777" w:rsidR="000C19E6" w:rsidRDefault="000C19E6" w:rsidP="000C19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0F427" w14:textId="77777777" w:rsidR="00C37D28" w:rsidRDefault="00C37D28" w:rsidP="000C19E6">
      <w:pPr>
        <w:spacing w:line="240" w:lineRule="auto"/>
      </w:pPr>
      <w:r>
        <w:separator/>
      </w:r>
    </w:p>
  </w:footnote>
  <w:footnote w:type="continuationSeparator" w:id="0">
    <w:p w14:paraId="5A3D417F" w14:textId="77777777" w:rsidR="00C37D28" w:rsidRDefault="00C37D28" w:rsidP="000C19E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xMTQ0NjM0NTe1NDJT0lEKTi0uzszPAykwqgUAVBnMYiwAAAA="/>
  </w:docVars>
  <w:rsids>
    <w:rsidRoot w:val="00A27A2D"/>
    <w:rsid w:val="0004513F"/>
    <w:rsid w:val="00076E58"/>
    <w:rsid w:val="000C19E6"/>
    <w:rsid w:val="00185FBE"/>
    <w:rsid w:val="00197CB4"/>
    <w:rsid w:val="001B0B88"/>
    <w:rsid w:val="001D5DA1"/>
    <w:rsid w:val="002121B7"/>
    <w:rsid w:val="00244313"/>
    <w:rsid w:val="002861EA"/>
    <w:rsid w:val="002B5911"/>
    <w:rsid w:val="002D20AF"/>
    <w:rsid w:val="00312F57"/>
    <w:rsid w:val="00376C62"/>
    <w:rsid w:val="0038452C"/>
    <w:rsid w:val="00397E38"/>
    <w:rsid w:val="003C5E1E"/>
    <w:rsid w:val="003E641C"/>
    <w:rsid w:val="00407041"/>
    <w:rsid w:val="00452EA9"/>
    <w:rsid w:val="00456AEB"/>
    <w:rsid w:val="00474E04"/>
    <w:rsid w:val="00482F03"/>
    <w:rsid w:val="00503D3E"/>
    <w:rsid w:val="00523957"/>
    <w:rsid w:val="00567155"/>
    <w:rsid w:val="00590799"/>
    <w:rsid w:val="00595298"/>
    <w:rsid w:val="00597A5D"/>
    <w:rsid w:val="005A11D8"/>
    <w:rsid w:val="005A20AB"/>
    <w:rsid w:val="005D14DA"/>
    <w:rsid w:val="00634C9D"/>
    <w:rsid w:val="00643CA1"/>
    <w:rsid w:val="006E0EC0"/>
    <w:rsid w:val="00742902"/>
    <w:rsid w:val="00745339"/>
    <w:rsid w:val="007B11E1"/>
    <w:rsid w:val="007B4A13"/>
    <w:rsid w:val="007E22AA"/>
    <w:rsid w:val="00815B5F"/>
    <w:rsid w:val="008F29CA"/>
    <w:rsid w:val="008F425E"/>
    <w:rsid w:val="00917764"/>
    <w:rsid w:val="0093646D"/>
    <w:rsid w:val="0097518C"/>
    <w:rsid w:val="00A15A3B"/>
    <w:rsid w:val="00A269EA"/>
    <w:rsid w:val="00A27A2D"/>
    <w:rsid w:val="00AF1201"/>
    <w:rsid w:val="00B40435"/>
    <w:rsid w:val="00BB246C"/>
    <w:rsid w:val="00C27815"/>
    <w:rsid w:val="00C30E81"/>
    <w:rsid w:val="00C34BFE"/>
    <w:rsid w:val="00C37D28"/>
    <w:rsid w:val="00C54290"/>
    <w:rsid w:val="00C5699D"/>
    <w:rsid w:val="00CC1B4A"/>
    <w:rsid w:val="00D35EB5"/>
    <w:rsid w:val="00D53988"/>
    <w:rsid w:val="00DB6311"/>
    <w:rsid w:val="00DE46EE"/>
    <w:rsid w:val="00DF38B7"/>
    <w:rsid w:val="00EE36AD"/>
    <w:rsid w:val="00F50909"/>
    <w:rsid w:val="00F64151"/>
    <w:rsid w:val="00F72B2C"/>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F64151"/>
    <w:pPr>
      <w:keepNext/>
      <w:keepLines/>
      <w:spacing w:before="240"/>
      <w:outlineLvl w:val="0"/>
    </w:pPr>
    <w:rPr>
      <w:rFonts w:ascii="Arial" w:hAnsi="Arial" w:cs="Arial"/>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64151"/>
    <w:rPr>
      <w:rFonts w:ascii="Arial" w:hAnsi="Arial" w:cs="Arial"/>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customStyle="1" w:styleId="whitespace-pre-wrap">
    <w:name w:val="whitespace-pre-wrap"/>
    <w:basedOn w:val="Normal"/>
    <w:rsid w:val="00590799"/>
    <w:pPr>
      <w:spacing w:before="100" w:beforeAutospacing="1" w:after="100" w:afterAutospacing="1" w:line="240" w:lineRule="auto"/>
      <w:jc w:val="left"/>
    </w:pPr>
    <w:rPr>
      <w:szCs w:val="24"/>
      <w:lang w:val="en-US"/>
    </w:rPr>
  </w:style>
  <w:style w:type="paragraph" w:styleId="NormalWeb">
    <w:name w:val="Normal (Web)"/>
    <w:basedOn w:val="Normal"/>
    <w:uiPriority w:val="99"/>
    <w:unhideWhenUsed/>
    <w:rsid w:val="00742902"/>
    <w:pPr>
      <w:spacing w:before="100" w:beforeAutospacing="1" w:after="100" w:afterAutospacing="1" w:line="240" w:lineRule="auto"/>
      <w:jc w:val="left"/>
    </w:pPr>
    <w:rPr>
      <w:szCs w:val="24"/>
      <w:lang w:val="en-US"/>
    </w:rPr>
  </w:style>
  <w:style w:type="paragraph" w:styleId="TOCHeading">
    <w:name w:val="TOC Heading"/>
    <w:basedOn w:val="Heading1"/>
    <w:next w:val="Normal"/>
    <w:uiPriority w:val="39"/>
    <w:unhideWhenUsed/>
    <w:qFormat/>
    <w:rsid w:val="00312F57"/>
    <w:pPr>
      <w:spacing w:before="480" w:line="276" w:lineRule="auto"/>
      <w:jc w:val="left"/>
      <w:outlineLvl w:val="9"/>
    </w:pPr>
    <w:rPr>
      <w:rFonts w:asciiTheme="majorHAnsi" w:eastAsiaTheme="majorEastAsia" w:hAnsiTheme="majorHAnsi" w:cstheme="majorBidi"/>
      <w:bCs/>
      <w:color w:val="2F5496" w:themeColor="accent1" w:themeShade="BF"/>
      <w:szCs w:val="28"/>
      <w:lang w:val="en-US" w:eastAsia="en-US"/>
    </w:rPr>
  </w:style>
  <w:style w:type="paragraph" w:styleId="TOC1">
    <w:name w:val="toc 1"/>
    <w:basedOn w:val="Normal"/>
    <w:next w:val="Normal"/>
    <w:autoRedefine/>
    <w:uiPriority w:val="39"/>
    <w:unhideWhenUsed/>
    <w:rsid w:val="00312F57"/>
    <w:pPr>
      <w:spacing w:before="120"/>
      <w:jc w:val="left"/>
    </w:pPr>
    <w:rPr>
      <w:rFonts w:asciiTheme="minorHAnsi" w:hAnsiTheme="minorHAnsi" w:cstheme="minorHAnsi"/>
      <w:b/>
      <w:bCs/>
      <w:i/>
      <w:iCs/>
      <w:szCs w:val="28"/>
    </w:rPr>
  </w:style>
  <w:style w:type="character" w:styleId="Hyperlink">
    <w:name w:val="Hyperlink"/>
    <w:basedOn w:val="DefaultParagraphFont"/>
    <w:uiPriority w:val="99"/>
    <w:unhideWhenUsed/>
    <w:rsid w:val="00312F57"/>
    <w:rPr>
      <w:color w:val="0563C1" w:themeColor="hyperlink"/>
      <w:u w:val="single"/>
    </w:rPr>
  </w:style>
  <w:style w:type="paragraph" w:styleId="TOC2">
    <w:name w:val="toc 2"/>
    <w:basedOn w:val="Normal"/>
    <w:next w:val="Normal"/>
    <w:autoRedefine/>
    <w:uiPriority w:val="39"/>
    <w:semiHidden/>
    <w:unhideWhenUsed/>
    <w:rsid w:val="00312F57"/>
    <w:pPr>
      <w:spacing w:before="120"/>
      <w:ind w:left="240"/>
      <w:jc w:val="left"/>
    </w:pPr>
    <w:rPr>
      <w:rFonts w:asciiTheme="minorHAnsi" w:hAnsiTheme="minorHAnsi" w:cstheme="minorHAnsi"/>
      <w:b/>
      <w:bCs/>
      <w:sz w:val="22"/>
      <w:szCs w:val="26"/>
    </w:rPr>
  </w:style>
  <w:style w:type="paragraph" w:styleId="TOC3">
    <w:name w:val="toc 3"/>
    <w:basedOn w:val="Normal"/>
    <w:next w:val="Normal"/>
    <w:autoRedefine/>
    <w:uiPriority w:val="39"/>
    <w:semiHidden/>
    <w:unhideWhenUsed/>
    <w:rsid w:val="00312F57"/>
    <w:pPr>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312F57"/>
    <w:pPr>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312F57"/>
    <w:pPr>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312F57"/>
    <w:pPr>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312F57"/>
    <w:pPr>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312F57"/>
    <w:pPr>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312F57"/>
    <w:pPr>
      <w:ind w:left="1920"/>
      <w:jc w:val="left"/>
    </w:pPr>
    <w:rPr>
      <w:rFonts w:asciiTheme="minorHAnsi" w:hAnsiTheme="minorHAnsi" w:cstheme="minorHAnsi"/>
      <w:sz w:val="20"/>
      <w:szCs w:val="24"/>
    </w:rPr>
  </w:style>
  <w:style w:type="paragraph" w:styleId="NoSpacing">
    <w:name w:val="No Spacing"/>
    <w:uiPriority w:val="1"/>
    <w:qFormat/>
    <w:rsid w:val="002861EA"/>
    <w:pPr>
      <w:spacing w:after="0" w:line="240" w:lineRule="auto"/>
      <w:jc w:val="both"/>
    </w:pPr>
    <w:rPr>
      <w:rFonts w:ascii="Times New Roman" w:hAnsi="Times New Roman" w:cs="Times New Roman"/>
      <w:sz w:val="24"/>
      <w:szCs w:val="20"/>
      <w:lang w:val="en-GB"/>
    </w:rPr>
  </w:style>
  <w:style w:type="paragraph" w:styleId="Footer">
    <w:name w:val="footer"/>
    <w:basedOn w:val="Normal"/>
    <w:link w:val="FooterChar"/>
    <w:uiPriority w:val="99"/>
    <w:unhideWhenUsed/>
    <w:rsid w:val="000C19E6"/>
    <w:pPr>
      <w:tabs>
        <w:tab w:val="center" w:pos="4513"/>
        <w:tab w:val="right" w:pos="9026"/>
      </w:tabs>
      <w:spacing w:line="240" w:lineRule="auto"/>
    </w:pPr>
  </w:style>
  <w:style w:type="character" w:customStyle="1" w:styleId="FooterChar">
    <w:name w:val="Footer Char"/>
    <w:basedOn w:val="DefaultParagraphFont"/>
    <w:link w:val="Footer"/>
    <w:uiPriority w:val="99"/>
    <w:rsid w:val="000C19E6"/>
    <w:rPr>
      <w:rFonts w:ascii="Times New Roman" w:hAnsi="Times New Roman" w:cs="Times New Roman"/>
      <w:sz w:val="24"/>
      <w:szCs w:val="20"/>
      <w:lang w:val="en-GB"/>
    </w:rPr>
  </w:style>
  <w:style w:type="character" w:styleId="PageNumber">
    <w:name w:val="page number"/>
    <w:basedOn w:val="DefaultParagraphFont"/>
    <w:uiPriority w:val="99"/>
    <w:semiHidden/>
    <w:unhideWhenUsed/>
    <w:rsid w:val="000C19E6"/>
  </w:style>
  <w:style w:type="paragraph" w:styleId="Header">
    <w:name w:val="header"/>
    <w:basedOn w:val="Normal"/>
    <w:link w:val="HeaderChar"/>
    <w:uiPriority w:val="99"/>
    <w:unhideWhenUsed/>
    <w:rsid w:val="00482F03"/>
    <w:pPr>
      <w:tabs>
        <w:tab w:val="center" w:pos="4680"/>
        <w:tab w:val="right" w:pos="9360"/>
      </w:tabs>
      <w:spacing w:line="240" w:lineRule="auto"/>
    </w:pPr>
  </w:style>
  <w:style w:type="character" w:customStyle="1" w:styleId="HeaderChar">
    <w:name w:val="Header Char"/>
    <w:basedOn w:val="DefaultParagraphFont"/>
    <w:link w:val="Header"/>
    <w:uiPriority w:val="99"/>
    <w:rsid w:val="00482F03"/>
    <w:rPr>
      <w:rFonts w:ascii="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271793">
      <w:bodyDiv w:val="1"/>
      <w:marLeft w:val="0"/>
      <w:marRight w:val="0"/>
      <w:marTop w:val="0"/>
      <w:marBottom w:val="0"/>
      <w:divBdr>
        <w:top w:val="none" w:sz="0" w:space="0" w:color="auto"/>
        <w:left w:val="none" w:sz="0" w:space="0" w:color="auto"/>
        <w:bottom w:val="none" w:sz="0" w:space="0" w:color="auto"/>
        <w:right w:val="none" w:sz="0" w:space="0" w:color="auto"/>
      </w:divBdr>
    </w:div>
    <w:div w:id="699016818">
      <w:bodyDiv w:val="1"/>
      <w:marLeft w:val="0"/>
      <w:marRight w:val="0"/>
      <w:marTop w:val="0"/>
      <w:marBottom w:val="0"/>
      <w:divBdr>
        <w:top w:val="none" w:sz="0" w:space="0" w:color="auto"/>
        <w:left w:val="none" w:sz="0" w:space="0" w:color="auto"/>
        <w:bottom w:val="none" w:sz="0" w:space="0" w:color="auto"/>
        <w:right w:val="none" w:sz="0" w:space="0" w:color="auto"/>
      </w:divBdr>
    </w:div>
    <w:div w:id="1326400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53861-88CC-1044-B81F-2A8A80801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1194</Words>
  <Characters>6808</Characters>
  <Application>Microsoft Office Word</Application>
  <DocSecurity>0</DocSecurity>
  <Lines>56</Lines>
  <Paragraphs>15</Paragraphs>
  <ScaleCrop>false</ScaleCrop>
  <Company/>
  <LinksUpToDate>false</LinksUpToDate>
  <CharactersWithSpaces>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2023-12-08T21:31:00Z</dcterms:created>
  <dcterms:modified xsi:type="dcterms:W3CDTF">2023-12-08T21:31:00Z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2023-12-08T20:33:02Z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d741ec5d-d74d-4c3f-8667-ef92a835f24c</vt:lpwstr>
  </property>
  <property fmtid="{D5CDD505-2E9C-101B-9397-08002B2CF9AE}" pid="7" name="MSIP_Label_defa4170-0d19-0005-0004-bc88714345d2_ActionId">
    <vt:lpwstr>52ba4bb4-3825-404f-a41b-f5bde4ad14ae</vt:lpwstr>
  </property>
  <property fmtid="{D5CDD505-2E9C-101B-9397-08002B2CF9AE}" pid="8" name="MSIP_Label_defa4170-0d19-0005-0004-bc88714345d2_ContentBits">
    <vt:lpwstr>0</vt:lpwstr>
  </property>
</Properties>
</file>