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5611DD">
      <w:pPr>
        <w:spacing w:line="480" w:lineRule="auto"/>
        <w:jc w:val="both"/>
        <w:rPr>
          <w:rFonts w:hint="default" w:ascii="Arial" w:hAnsi="Arial" w:cs="Arial" w:eastAsiaTheme="minorEastAsia"/>
          <w:sz w:val="24"/>
          <w:szCs w:val="24"/>
        </w:rPr>
      </w:pPr>
    </w:p>
    <w:p w14:paraId="14661A0C">
      <w:pPr>
        <w:spacing w:line="480" w:lineRule="auto"/>
        <w:jc w:val="both"/>
        <w:rPr>
          <w:rFonts w:hint="default" w:ascii="Arial" w:hAnsi="Arial" w:eastAsia="Calibri" w:cs="Arial"/>
          <w:sz w:val="24"/>
          <w:szCs w:val="24"/>
        </w:rPr>
      </w:pPr>
      <w:r>
        <w:rPr>
          <w:rFonts w:hint="default" w:ascii="Arial" w:hAnsi="Arial" w:cs="Arial"/>
          <w:sz w:val="24"/>
          <w:szCs w:val="24"/>
          <w:lang w:val="en-GB"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009900" cy="1187450"/>
            <wp:effectExtent l="0" t="0" r="7620" b="1270"/>
            <wp:wrapNone/>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Image result for university of wales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009900" cy="1187580"/>
                    </a:xfrm>
                    <a:prstGeom prst="rect">
                      <a:avLst/>
                    </a:prstGeom>
                    <a:noFill/>
                    <a:ln>
                      <a:noFill/>
                    </a:ln>
                  </pic:spPr>
                </pic:pic>
              </a:graphicData>
            </a:graphic>
          </wp:anchor>
        </w:drawing>
      </w:r>
    </w:p>
    <w:p w14:paraId="2C0202B2">
      <w:pPr>
        <w:spacing w:line="480" w:lineRule="auto"/>
        <w:jc w:val="both"/>
        <w:rPr>
          <w:rFonts w:hint="default" w:ascii="Arial" w:hAnsi="Arial" w:eastAsia="Calibri" w:cs="Arial"/>
          <w:sz w:val="24"/>
          <w:szCs w:val="24"/>
        </w:rPr>
      </w:pPr>
    </w:p>
    <w:p w14:paraId="34730DDF">
      <w:pPr>
        <w:spacing w:line="480" w:lineRule="auto"/>
        <w:jc w:val="both"/>
        <w:rPr>
          <w:rFonts w:hint="default" w:ascii="Arial" w:hAnsi="Arial" w:cs="Arial" w:eastAsiaTheme="minorEastAsia"/>
          <w:b/>
          <w:sz w:val="24"/>
          <w:szCs w:val="24"/>
          <w:u w:val="single"/>
        </w:rPr>
      </w:pPr>
    </w:p>
    <w:p w14:paraId="5F55226E">
      <w:pPr>
        <w:spacing w:line="480" w:lineRule="auto"/>
        <w:jc w:val="both"/>
        <w:rPr>
          <w:rFonts w:hint="default" w:ascii="Arial" w:hAnsi="Arial" w:eastAsia="Calibri" w:cs="Arial"/>
          <w:b/>
          <w:sz w:val="24"/>
          <w:szCs w:val="24"/>
          <w:u w:val="single"/>
        </w:rPr>
      </w:pPr>
    </w:p>
    <w:p w14:paraId="4494AE48">
      <w:pPr>
        <w:spacing w:line="480" w:lineRule="auto"/>
        <w:jc w:val="both"/>
        <w:rPr>
          <w:rFonts w:hint="default" w:ascii="Arial" w:hAnsi="Arial" w:eastAsia="Calibri" w:cs="Arial"/>
          <w:b/>
          <w:sz w:val="24"/>
          <w:szCs w:val="24"/>
          <w:u w:val="single"/>
        </w:rPr>
      </w:pPr>
    </w:p>
    <w:p w14:paraId="67850261">
      <w:pPr>
        <w:spacing w:line="480" w:lineRule="auto"/>
        <w:jc w:val="center"/>
        <w:rPr>
          <w:rFonts w:hint="default" w:ascii="Arial" w:hAnsi="Arial" w:cs="Arial" w:eastAsiaTheme="minorEastAsia"/>
          <w:b/>
          <w:bCs/>
          <w:sz w:val="24"/>
          <w:szCs w:val="24"/>
          <w:u w:val="single"/>
        </w:rPr>
      </w:pPr>
      <w:r>
        <w:rPr>
          <w:rFonts w:hint="default" w:ascii="Arial" w:hAnsi="Arial" w:cs="Arial" w:eastAsiaTheme="minorEastAsia"/>
          <w:b/>
          <w:bCs/>
          <w:sz w:val="24"/>
          <w:szCs w:val="24"/>
          <w:u w:val="single"/>
          <w:lang w:val="en-US"/>
        </w:rPr>
        <w:t>Exploring the Impact of ESG Adoption on Financial and Risk Performance in China: A Consumer Perspective</w:t>
      </w:r>
    </w:p>
    <w:p w14:paraId="7E472C52">
      <w:pPr>
        <w:spacing w:line="480" w:lineRule="auto"/>
        <w:jc w:val="center"/>
        <w:rPr>
          <w:rFonts w:hint="default" w:ascii="Arial" w:hAnsi="Arial" w:eastAsia="Calibri" w:cs="Arial"/>
          <w:sz w:val="24"/>
          <w:szCs w:val="24"/>
        </w:rPr>
      </w:pPr>
    </w:p>
    <w:p w14:paraId="265C6486">
      <w:pPr>
        <w:spacing w:line="480" w:lineRule="auto"/>
        <w:jc w:val="center"/>
        <w:rPr>
          <w:rFonts w:hint="default" w:ascii="Arial" w:hAnsi="Arial" w:eastAsia="Calibri" w:cs="Arial"/>
          <w:sz w:val="24"/>
          <w:szCs w:val="24"/>
        </w:rPr>
      </w:pPr>
      <w:r>
        <w:rPr>
          <w:rFonts w:hint="default" w:ascii="Arial" w:hAnsi="Arial" w:eastAsia="Calibri" w:cs="Arial"/>
          <w:sz w:val="24"/>
          <w:szCs w:val="24"/>
        </w:rPr>
        <w:t>A Dissertation submitted for the</w:t>
      </w:r>
    </w:p>
    <w:p w14:paraId="472ED7FE">
      <w:pPr>
        <w:spacing w:line="480" w:lineRule="auto"/>
        <w:jc w:val="center"/>
        <w:rPr>
          <w:rFonts w:hint="default" w:ascii="Arial" w:hAnsi="Arial" w:eastAsia="Calibri" w:cs="Arial"/>
          <w:sz w:val="24"/>
          <w:szCs w:val="24"/>
        </w:rPr>
      </w:pPr>
      <w:r>
        <w:rPr>
          <w:rFonts w:hint="default" w:ascii="Arial" w:hAnsi="Arial" w:eastAsia="Calibri" w:cs="Arial"/>
          <w:sz w:val="24"/>
          <w:szCs w:val="24"/>
        </w:rPr>
        <w:t>Masters of Business Administration (MBA) 20</w:t>
      </w:r>
      <w:r>
        <w:rPr>
          <w:rFonts w:hint="default" w:ascii="Arial" w:hAnsi="Arial" w:eastAsia="宋体" w:cs="Arial"/>
          <w:sz w:val="24"/>
          <w:szCs w:val="24"/>
          <w:lang w:val="en-US" w:eastAsia="zh-CN"/>
        </w:rPr>
        <w:t>24</w:t>
      </w:r>
    </w:p>
    <w:p w14:paraId="6B2101AA">
      <w:pPr>
        <w:spacing w:line="480" w:lineRule="auto"/>
        <w:jc w:val="center"/>
        <w:rPr>
          <w:rFonts w:hint="default" w:ascii="Arial" w:hAnsi="Arial" w:eastAsia="宋体" w:cs="Arial"/>
          <w:sz w:val="24"/>
          <w:szCs w:val="24"/>
          <w:lang w:val="en-US" w:eastAsia="zh-CN"/>
        </w:rPr>
      </w:pPr>
      <w:r>
        <w:rPr>
          <w:rFonts w:hint="default" w:ascii="Arial" w:hAnsi="Arial" w:eastAsia="Calibri" w:cs="Arial"/>
          <w:sz w:val="24"/>
          <w:szCs w:val="24"/>
        </w:rPr>
        <w:t>Submitted: September 20</w:t>
      </w:r>
      <w:r>
        <w:rPr>
          <w:rFonts w:hint="default" w:ascii="Arial" w:hAnsi="Arial" w:eastAsia="宋体" w:cs="Arial"/>
          <w:sz w:val="24"/>
          <w:szCs w:val="24"/>
          <w:lang w:val="en-US" w:eastAsia="zh-CN"/>
        </w:rPr>
        <w:t>24</w:t>
      </w:r>
    </w:p>
    <w:p w14:paraId="6C49C127">
      <w:pPr>
        <w:spacing w:line="480" w:lineRule="auto"/>
        <w:jc w:val="both"/>
        <w:rPr>
          <w:rFonts w:hint="default" w:ascii="Arial" w:hAnsi="Arial" w:eastAsia="Calibri" w:cs="Arial"/>
          <w:sz w:val="24"/>
          <w:szCs w:val="24"/>
        </w:rPr>
      </w:pPr>
    </w:p>
    <w:p w14:paraId="0D4B610D">
      <w:pPr>
        <w:spacing w:line="480" w:lineRule="auto"/>
        <w:jc w:val="both"/>
        <w:rPr>
          <w:rFonts w:hint="default" w:ascii="Arial" w:hAnsi="Arial" w:eastAsia="Calibri" w:cs="Arial"/>
          <w:sz w:val="24"/>
          <w:szCs w:val="24"/>
        </w:rPr>
      </w:pPr>
    </w:p>
    <w:p w14:paraId="1FD6E12D">
      <w:pPr>
        <w:spacing w:line="480" w:lineRule="auto"/>
        <w:jc w:val="center"/>
        <w:rPr>
          <w:rFonts w:hint="default" w:ascii="Arial" w:hAnsi="Arial" w:eastAsia="宋体" w:cs="Arial"/>
          <w:sz w:val="24"/>
          <w:szCs w:val="24"/>
          <w:lang w:val="en-US" w:eastAsia="zh-CN"/>
        </w:rPr>
      </w:pPr>
      <w:r>
        <w:rPr>
          <w:rFonts w:hint="default" w:ascii="Arial" w:hAnsi="Arial" w:eastAsia="Calibri" w:cs="Arial"/>
          <w:sz w:val="24"/>
          <w:szCs w:val="24"/>
        </w:rPr>
        <w:t>Student:</w:t>
      </w:r>
      <w:r>
        <w:rPr>
          <w:rFonts w:hint="eastAsia" w:ascii="Arial" w:hAnsi="Arial" w:eastAsia="宋体" w:cs="Arial"/>
          <w:sz w:val="24"/>
          <w:szCs w:val="24"/>
          <w:lang w:val="en-US" w:eastAsia="zh-CN"/>
        </w:rPr>
        <w:t xml:space="preserve"> </w:t>
      </w:r>
      <w:r>
        <w:rPr>
          <w:rFonts w:hint="default" w:ascii="Arial" w:hAnsi="Arial" w:eastAsia="宋体" w:cs="Arial"/>
          <w:sz w:val="24"/>
          <w:szCs w:val="24"/>
          <w:lang w:val="en-US" w:eastAsia="zh-CN"/>
        </w:rPr>
        <w:t>Lei</w:t>
      </w:r>
      <w:r>
        <w:rPr>
          <w:rFonts w:hint="default" w:ascii="Arial" w:hAnsi="Arial" w:eastAsia="Calibri" w:cs="Arial"/>
          <w:sz w:val="24"/>
          <w:szCs w:val="24"/>
        </w:rPr>
        <w:t xml:space="preserve"> </w:t>
      </w:r>
      <w:r>
        <w:rPr>
          <w:rFonts w:hint="default" w:ascii="Arial" w:hAnsi="Arial" w:eastAsia="宋体" w:cs="Arial"/>
          <w:sz w:val="24"/>
          <w:szCs w:val="24"/>
          <w:lang w:val="en-US" w:eastAsia="zh-CN"/>
        </w:rPr>
        <w:t>Gui</w:t>
      </w:r>
    </w:p>
    <w:p w14:paraId="118950B2">
      <w:pPr>
        <w:spacing w:line="480" w:lineRule="auto"/>
        <w:jc w:val="center"/>
        <w:rPr>
          <w:rFonts w:hint="default" w:ascii="Arial" w:hAnsi="Arial" w:eastAsia="宋体" w:cs="Arial"/>
          <w:sz w:val="24"/>
          <w:szCs w:val="24"/>
          <w:lang w:val="en-US" w:eastAsia="zh-CN"/>
        </w:rPr>
      </w:pPr>
      <w:r>
        <w:rPr>
          <w:rFonts w:hint="default" w:ascii="Arial" w:hAnsi="Arial" w:eastAsia="Calibri" w:cs="Arial"/>
          <w:sz w:val="24"/>
          <w:szCs w:val="24"/>
        </w:rPr>
        <w:t xml:space="preserve">Student Number: </w:t>
      </w:r>
      <w:r>
        <w:rPr>
          <w:rFonts w:hint="default" w:ascii="Arial" w:hAnsi="Arial" w:eastAsia="宋体" w:cs="Arial"/>
          <w:sz w:val="24"/>
          <w:szCs w:val="24"/>
          <w:lang w:val="en-US" w:eastAsia="zh-CN"/>
        </w:rPr>
        <w:t>2316346</w:t>
      </w:r>
    </w:p>
    <w:p w14:paraId="5BE96BDE">
      <w:pPr>
        <w:spacing w:line="480" w:lineRule="auto"/>
        <w:jc w:val="center"/>
        <w:rPr>
          <w:rFonts w:hint="default" w:ascii="Arial" w:hAnsi="Arial" w:eastAsia="Calibri" w:cs="Arial"/>
          <w:sz w:val="24"/>
          <w:szCs w:val="24"/>
        </w:rPr>
      </w:pPr>
      <w:r>
        <w:rPr>
          <w:rFonts w:hint="default" w:ascii="Arial" w:hAnsi="Arial" w:eastAsia="Calibri" w:cs="Arial"/>
          <w:sz w:val="24"/>
          <w:szCs w:val="24"/>
        </w:rPr>
        <w:t>Supervisor: Owen Phillips</w:t>
      </w:r>
    </w:p>
    <w:p w14:paraId="1B997389">
      <w:pPr>
        <w:spacing w:line="480" w:lineRule="auto"/>
        <w:jc w:val="both"/>
        <w:rPr>
          <w:rFonts w:hint="default" w:ascii="Arial" w:hAnsi="Arial" w:cs="Arial"/>
          <w:b/>
          <w:sz w:val="24"/>
          <w:szCs w:val="24"/>
        </w:rPr>
      </w:pPr>
    </w:p>
    <w:p w14:paraId="6117143D">
      <w:pPr>
        <w:spacing w:line="480" w:lineRule="auto"/>
        <w:jc w:val="both"/>
        <w:rPr>
          <w:rFonts w:hint="default" w:ascii="Arial" w:hAnsi="Arial" w:cs="Arial"/>
          <w:b/>
          <w:sz w:val="24"/>
          <w:szCs w:val="24"/>
        </w:rPr>
      </w:pPr>
    </w:p>
    <w:p w14:paraId="7441C6A4">
      <w:pPr>
        <w:spacing w:line="480" w:lineRule="auto"/>
        <w:jc w:val="both"/>
        <w:outlineLvl w:val="0"/>
        <w:rPr>
          <w:rFonts w:hint="default" w:ascii="Arial" w:hAnsi="Arial" w:cs="Arial"/>
          <w:b/>
          <w:sz w:val="24"/>
          <w:szCs w:val="24"/>
        </w:rPr>
      </w:pPr>
      <w:bookmarkStart w:id="0" w:name="_Toc3797"/>
      <w:bookmarkStart w:id="1" w:name="_Toc2003"/>
      <w:r>
        <w:rPr>
          <w:rFonts w:hint="default" w:ascii="Arial" w:hAnsi="Arial" w:cs="Arial"/>
          <w:b/>
          <w:sz w:val="24"/>
          <w:szCs w:val="24"/>
        </w:rPr>
        <w:t>Declaration/Statements page</w:t>
      </w:r>
      <w:bookmarkEnd w:id="0"/>
      <w:bookmarkEnd w:id="1"/>
      <w:r>
        <w:rPr>
          <w:rFonts w:hint="default" w:ascii="Arial" w:hAnsi="Arial" w:cs="Arial"/>
          <w:b/>
          <w:sz w:val="24"/>
          <w:szCs w:val="24"/>
        </w:rPr>
        <w:t xml:space="preserve"> </w:t>
      </w:r>
      <w:r>
        <w:rPr>
          <w:rFonts w:hint="default" w:ascii="Arial" w:hAnsi="Arial" w:cs="Arial"/>
          <w:spacing w:val="-2"/>
          <w:sz w:val="24"/>
          <w:szCs w:val="24"/>
        </w:rPr>
        <w:tab/>
      </w:r>
    </w:p>
    <w:p w14:paraId="2D707652">
      <w:pPr>
        <w:spacing w:line="480" w:lineRule="auto"/>
        <w:ind w:left="720"/>
        <w:jc w:val="both"/>
        <w:rPr>
          <w:rFonts w:hint="default" w:ascii="Arial" w:hAnsi="Arial" w:cs="Arial"/>
          <w:spacing w:val="-2"/>
          <w:sz w:val="24"/>
          <w:szCs w:val="24"/>
          <w:lang w:val="en-GB"/>
        </w:rPr>
      </w:pPr>
      <w:r>
        <w:rPr>
          <w:rFonts w:hint="default" w:ascii="Arial" w:hAnsi="Arial" w:cs="Arial"/>
          <w:spacing w:val="-2"/>
          <w:sz w:val="24"/>
          <w:szCs w:val="24"/>
        </w:rPr>
        <w:t>This work has not previously been accepted in substance for any degree and is not being concurrently submitted in candidature for any degree.</w:t>
      </w:r>
    </w:p>
    <w:p w14:paraId="63ABEFB0">
      <w:pPr>
        <w:spacing w:line="480" w:lineRule="auto"/>
        <w:ind w:left="720"/>
        <w:jc w:val="both"/>
        <w:rPr>
          <w:rFonts w:hint="default" w:ascii="Arial" w:hAnsi="Arial" w:cs="Arial"/>
          <w:spacing w:val="-2"/>
          <w:sz w:val="24"/>
          <w:szCs w:val="24"/>
          <w:lang w:val="en-GB"/>
        </w:rPr>
      </w:pPr>
      <w:r>
        <w:rPr>
          <w:rFonts w:hint="default" w:ascii="Arial" w:hAnsi="Arial" w:cs="Arial"/>
          <w:spacing w:val="-2"/>
          <w:sz w:val="24"/>
          <w:szCs w:val="24"/>
        </w:rPr>
        <w:t>Signed ...................................................................... (candidate)</w:t>
      </w:r>
      <w:r>
        <w:rPr>
          <w:rFonts w:hint="default" w:ascii="Arial" w:hAnsi="Arial" w:cs="Arial"/>
          <w:spacing w:val="-2"/>
          <w:sz w:val="24"/>
          <w:szCs w:val="24"/>
        </w:rPr>
        <w:tab/>
      </w:r>
    </w:p>
    <w:p w14:paraId="060592A9">
      <w:pPr>
        <w:spacing w:line="480" w:lineRule="auto"/>
        <w:ind w:left="720"/>
        <w:jc w:val="both"/>
        <w:rPr>
          <w:rFonts w:hint="default" w:ascii="Arial" w:hAnsi="Arial" w:cs="Arial"/>
          <w:spacing w:val="-2"/>
          <w:sz w:val="24"/>
          <w:szCs w:val="24"/>
          <w:lang w:val="en-GB"/>
        </w:rPr>
      </w:pPr>
      <w:r>
        <w:rPr>
          <w:rFonts w:hint="default" w:ascii="Arial" w:hAnsi="Arial" w:cs="Arial"/>
          <w:spacing w:val="-2"/>
          <w:sz w:val="24"/>
          <w:szCs w:val="24"/>
        </w:rPr>
        <w:t>Date ........................................................................</w:t>
      </w:r>
      <w:r>
        <w:rPr>
          <w:rFonts w:hint="default" w:ascii="Arial" w:hAnsi="Arial" w:cs="Arial"/>
          <w:spacing w:val="-2"/>
          <w:sz w:val="24"/>
          <w:szCs w:val="24"/>
        </w:rPr>
        <w:tab/>
      </w:r>
    </w:p>
    <w:p w14:paraId="0CC7B93F">
      <w:pPr>
        <w:spacing w:line="480" w:lineRule="auto"/>
        <w:ind w:left="720"/>
        <w:jc w:val="both"/>
        <w:rPr>
          <w:rFonts w:hint="default" w:ascii="Arial" w:hAnsi="Arial" w:cs="Arial"/>
          <w:spacing w:val="-2"/>
          <w:sz w:val="24"/>
          <w:szCs w:val="24"/>
        </w:rPr>
      </w:pPr>
    </w:p>
    <w:p w14:paraId="60909DC1">
      <w:pPr>
        <w:spacing w:line="480" w:lineRule="auto"/>
        <w:ind w:left="720"/>
        <w:jc w:val="both"/>
        <w:outlineLvl w:val="0"/>
        <w:rPr>
          <w:rFonts w:hint="default" w:ascii="Arial" w:hAnsi="Arial" w:cs="Arial"/>
          <w:spacing w:val="-2"/>
          <w:sz w:val="24"/>
          <w:szCs w:val="24"/>
          <w:lang w:val="en-GB"/>
        </w:rPr>
      </w:pPr>
      <w:bookmarkStart w:id="2" w:name="_Toc7338"/>
      <w:bookmarkStart w:id="3" w:name="_Toc17942"/>
      <w:r>
        <w:rPr>
          <w:rFonts w:hint="default" w:ascii="Arial" w:hAnsi="Arial" w:cs="Arial"/>
          <w:spacing w:val="-2"/>
          <w:sz w:val="24"/>
          <w:szCs w:val="24"/>
        </w:rPr>
        <w:t>STATEMENT 1</w:t>
      </w:r>
      <w:bookmarkEnd w:id="2"/>
      <w:bookmarkEnd w:id="3"/>
      <w:r>
        <w:rPr>
          <w:rFonts w:hint="default" w:ascii="Arial" w:hAnsi="Arial" w:cs="Arial"/>
          <w:spacing w:val="-2"/>
          <w:sz w:val="24"/>
          <w:szCs w:val="24"/>
        </w:rPr>
        <w:tab/>
      </w:r>
    </w:p>
    <w:p w14:paraId="66076D30">
      <w:pPr>
        <w:spacing w:line="480" w:lineRule="auto"/>
        <w:ind w:left="720"/>
        <w:jc w:val="both"/>
        <w:rPr>
          <w:rFonts w:hint="default" w:ascii="Arial" w:hAnsi="Arial" w:cs="Arial"/>
          <w:spacing w:val="-2"/>
          <w:sz w:val="24"/>
          <w:szCs w:val="24"/>
          <w:lang w:val="en-GB"/>
        </w:rPr>
      </w:pPr>
      <w:r>
        <w:rPr>
          <w:rFonts w:hint="default" w:ascii="Arial" w:hAnsi="Arial" w:cs="Arial"/>
          <w:spacing w:val="-2"/>
          <w:sz w:val="24"/>
          <w:szCs w:val="24"/>
        </w:rPr>
        <w:t xml:space="preserve">This work is the result of my own investigations, except where otherwise stated. </w:t>
      </w:r>
    </w:p>
    <w:p w14:paraId="3DC9C9A3">
      <w:pPr>
        <w:spacing w:line="480" w:lineRule="auto"/>
        <w:ind w:left="720"/>
        <w:jc w:val="both"/>
        <w:rPr>
          <w:rFonts w:hint="default" w:ascii="Arial" w:hAnsi="Arial" w:cs="Arial"/>
          <w:spacing w:val="-2"/>
          <w:sz w:val="24"/>
          <w:szCs w:val="24"/>
        </w:rPr>
      </w:pPr>
      <w:r>
        <w:rPr>
          <w:rFonts w:hint="default" w:ascii="Arial" w:hAnsi="Arial" w:cs="Arial"/>
          <w:spacing w:val="-2"/>
          <w:sz w:val="24"/>
          <w:szCs w:val="24"/>
        </w:rPr>
        <w:t>Other sources are acknowledged by footnotes giving explicit references.  A bibliography is appended.</w:t>
      </w:r>
    </w:p>
    <w:p w14:paraId="70CA0B5B">
      <w:pPr>
        <w:spacing w:line="480" w:lineRule="auto"/>
        <w:ind w:left="720"/>
        <w:jc w:val="both"/>
        <w:rPr>
          <w:rFonts w:hint="default" w:ascii="Arial" w:hAnsi="Arial" w:cs="Arial"/>
          <w:spacing w:val="-2"/>
          <w:sz w:val="24"/>
          <w:szCs w:val="24"/>
        </w:rPr>
      </w:pPr>
      <w:r>
        <w:rPr>
          <w:rFonts w:hint="default" w:ascii="Arial" w:hAnsi="Arial" w:cs="Arial"/>
          <w:spacing w:val="-2"/>
          <w:sz w:val="24"/>
          <w:szCs w:val="24"/>
        </w:rPr>
        <w:t>Signed ..................................................................... (candidate)</w:t>
      </w:r>
      <w:r>
        <w:rPr>
          <w:rFonts w:hint="default" w:ascii="Arial" w:hAnsi="Arial" w:cs="Arial"/>
          <w:spacing w:val="-2"/>
          <w:sz w:val="24"/>
          <w:szCs w:val="24"/>
        </w:rPr>
        <w:tab/>
      </w:r>
    </w:p>
    <w:p w14:paraId="31719EC9">
      <w:pPr>
        <w:spacing w:line="480" w:lineRule="auto"/>
        <w:ind w:left="720"/>
        <w:jc w:val="both"/>
        <w:rPr>
          <w:rFonts w:hint="default" w:ascii="Arial" w:hAnsi="Arial" w:cs="Arial"/>
          <w:spacing w:val="-2"/>
          <w:sz w:val="24"/>
          <w:szCs w:val="24"/>
        </w:rPr>
      </w:pPr>
      <w:r>
        <w:rPr>
          <w:rFonts w:hint="default" w:ascii="Arial" w:hAnsi="Arial" w:cs="Arial"/>
          <w:spacing w:val="-2"/>
          <w:sz w:val="24"/>
          <w:szCs w:val="24"/>
        </w:rPr>
        <w:t>Date ........................................................................</w:t>
      </w:r>
      <w:r>
        <w:rPr>
          <w:rFonts w:hint="default" w:ascii="Arial" w:hAnsi="Arial" w:cs="Arial"/>
          <w:spacing w:val="-2"/>
          <w:sz w:val="24"/>
          <w:szCs w:val="24"/>
        </w:rPr>
        <w:tab/>
      </w:r>
    </w:p>
    <w:p w14:paraId="2F53E0BB">
      <w:pPr>
        <w:spacing w:line="480" w:lineRule="auto"/>
        <w:ind w:left="720"/>
        <w:jc w:val="both"/>
        <w:rPr>
          <w:rFonts w:hint="default" w:ascii="Arial" w:hAnsi="Arial" w:cs="Arial"/>
          <w:spacing w:val="-2"/>
          <w:sz w:val="24"/>
          <w:szCs w:val="24"/>
        </w:rPr>
      </w:pPr>
    </w:p>
    <w:p w14:paraId="7104A920">
      <w:pPr>
        <w:spacing w:line="480" w:lineRule="auto"/>
        <w:ind w:left="720"/>
        <w:jc w:val="both"/>
        <w:outlineLvl w:val="0"/>
        <w:rPr>
          <w:rFonts w:hint="default" w:ascii="Arial" w:hAnsi="Arial" w:cs="Arial"/>
          <w:spacing w:val="-2"/>
          <w:sz w:val="24"/>
          <w:szCs w:val="24"/>
        </w:rPr>
      </w:pPr>
      <w:bookmarkStart w:id="4" w:name="_Toc28265"/>
      <w:bookmarkStart w:id="5" w:name="_Toc28787"/>
      <w:r>
        <w:rPr>
          <w:rFonts w:hint="default" w:ascii="Arial" w:hAnsi="Arial" w:cs="Arial"/>
          <w:spacing w:val="-2"/>
          <w:sz w:val="24"/>
          <w:szCs w:val="24"/>
        </w:rPr>
        <w:t>STATEMENT 2</w:t>
      </w:r>
      <w:bookmarkEnd w:id="4"/>
      <w:bookmarkEnd w:id="5"/>
      <w:r>
        <w:rPr>
          <w:rFonts w:hint="default" w:ascii="Arial" w:hAnsi="Arial" w:cs="Arial"/>
          <w:spacing w:val="-2"/>
          <w:sz w:val="24"/>
          <w:szCs w:val="24"/>
        </w:rPr>
        <w:tab/>
      </w:r>
    </w:p>
    <w:p w14:paraId="27AE34A1">
      <w:pPr>
        <w:spacing w:line="480" w:lineRule="auto"/>
        <w:ind w:left="720"/>
        <w:jc w:val="both"/>
        <w:rPr>
          <w:rFonts w:hint="default" w:ascii="Arial" w:hAnsi="Arial" w:cs="Arial" w:eastAsiaTheme="minorEastAsia"/>
          <w:spacing w:val="-2"/>
          <w:sz w:val="24"/>
          <w:szCs w:val="24"/>
        </w:rPr>
      </w:pPr>
      <w:r>
        <w:rPr>
          <w:rFonts w:hint="default" w:ascii="Arial" w:hAnsi="Arial" w:cs="Arial"/>
          <w:spacing w:val="-2"/>
          <w:sz w:val="24"/>
          <w:szCs w:val="24"/>
        </w:rPr>
        <w:t>I hereby give consent for my work, if accepted, to be available for photocopying and for inter-library loan, and for the title and summary to be made available to outside organisations.</w:t>
      </w:r>
      <w:r>
        <w:rPr>
          <w:rFonts w:hint="default" w:ascii="Arial" w:hAnsi="Arial" w:cs="Arial"/>
          <w:spacing w:val="-2"/>
          <w:sz w:val="24"/>
          <w:szCs w:val="24"/>
        </w:rPr>
        <w:tab/>
      </w:r>
    </w:p>
    <w:p w14:paraId="02F1E3A9">
      <w:pPr>
        <w:spacing w:line="480" w:lineRule="auto"/>
        <w:ind w:left="720"/>
        <w:jc w:val="both"/>
        <w:rPr>
          <w:rFonts w:hint="default" w:ascii="Arial" w:hAnsi="Arial" w:cs="Arial"/>
          <w:spacing w:val="-2"/>
          <w:sz w:val="24"/>
          <w:szCs w:val="24"/>
        </w:rPr>
      </w:pPr>
      <w:r>
        <w:rPr>
          <w:rFonts w:hint="default" w:ascii="Arial" w:hAnsi="Arial" w:cs="Arial"/>
          <w:spacing w:val="-2"/>
          <w:sz w:val="24"/>
          <w:szCs w:val="24"/>
        </w:rPr>
        <w:t>Signed ..................................................................... (candidate)</w:t>
      </w:r>
      <w:r>
        <w:rPr>
          <w:rFonts w:hint="default" w:ascii="Arial" w:hAnsi="Arial" w:cs="Arial"/>
          <w:spacing w:val="-2"/>
          <w:sz w:val="24"/>
          <w:szCs w:val="24"/>
        </w:rPr>
        <w:tab/>
      </w:r>
    </w:p>
    <w:p w14:paraId="0740D6F6">
      <w:pPr>
        <w:spacing w:line="480" w:lineRule="auto"/>
        <w:ind w:left="720"/>
        <w:jc w:val="both"/>
        <w:rPr>
          <w:rFonts w:hint="default" w:ascii="Arial" w:hAnsi="Arial" w:cs="Arial"/>
          <w:spacing w:val="-2"/>
          <w:sz w:val="24"/>
          <w:szCs w:val="24"/>
          <w:lang w:val="en-GB"/>
        </w:rPr>
      </w:pPr>
      <w:r>
        <w:rPr>
          <w:rFonts w:hint="default" w:ascii="Arial" w:hAnsi="Arial" w:cs="Arial"/>
          <w:spacing w:val="-2"/>
          <w:sz w:val="24"/>
          <w:szCs w:val="24"/>
        </w:rPr>
        <w:t>Date ........................................................................</w:t>
      </w:r>
    </w:p>
    <w:p w14:paraId="390D02B9">
      <w:pPr>
        <w:spacing w:line="480" w:lineRule="exact"/>
        <w:outlineLvl w:val="0"/>
        <w:rPr>
          <w:rFonts w:hint="default" w:ascii="Arial" w:hAnsi="Arial" w:cs="Arial"/>
          <w:b/>
          <w:lang w:val="en-GB"/>
        </w:rPr>
      </w:pPr>
      <w:bookmarkStart w:id="6" w:name="_Toc23536"/>
      <w:bookmarkStart w:id="7" w:name="_Toc3341"/>
      <w:r>
        <w:rPr>
          <w:rFonts w:hint="default" w:ascii="Arial" w:hAnsi="Arial" w:cs="Arial"/>
          <w:b/>
        </w:rPr>
        <w:t>Acknowledgement</w:t>
      </w:r>
      <w:bookmarkEnd w:id="6"/>
      <w:bookmarkEnd w:id="7"/>
      <w:r>
        <w:rPr>
          <w:rFonts w:hint="default" w:ascii="Arial" w:hAnsi="Arial" w:cs="Arial"/>
          <w:b/>
        </w:rPr>
        <w:t xml:space="preserve"> </w:t>
      </w:r>
    </w:p>
    <w:p w14:paraId="1051CCC1">
      <w:pPr>
        <w:spacing w:line="480" w:lineRule="exact"/>
        <w:rPr>
          <w:rFonts w:hint="default" w:ascii="Arial" w:hAnsi="Arial" w:cs="Arial"/>
          <w:lang w:val="en-GB"/>
        </w:rPr>
      </w:pPr>
      <w:r>
        <w:rPr>
          <w:rFonts w:hint="default" w:ascii="Arial" w:hAnsi="Arial" w:cs="Arial"/>
          <w:lang w:val="en-GB"/>
        </w:rPr>
        <w:t xml:space="preserve">I am using this opportunity to express my gratitude to my supervisor Owen Phillips for his continuous guidance, invaluable support and motivation throughout the period of dissertation writing. </w:t>
      </w:r>
    </w:p>
    <w:p w14:paraId="60A83DD9">
      <w:pPr>
        <w:spacing w:line="480" w:lineRule="exact"/>
        <w:rPr>
          <w:rFonts w:hint="default" w:ascii="Arial" w:hAnsi="Arial" w:cs="Arial"/>
          <w:lang w:val="en-GB"/>
        </w:rPr>
      </w:pPr>
      <w:r>
        <w:rPr>
          <w:rFonts w:hint="default" w:ascii="Arial" w:hAnsi="Arial" w:cs="Arial"/>
          <w:lang w:val="en-GB"/>
        </w:rPr>
        <w:t>Besides my supervisor, I would like to acknowledge my friend</w:t>
      </w:r>
      <w:r>
        <w:rPr>
          <w:rFonts w:hint="default" w:ascii="Arial" w:hAnsi="Arial" w:cs="Arial"/>
          <w:lang w:val="en-US" w:eastAsia="zh-CN"/>
        </w:rPr>
        <w:t xml:space="preserve"> Yinji Lu</w:t>
      </w:r>
      <w:r>
        <w:rPr>
          <w:rFonts w:hint="default" w:ascii="Arial" w:hAnsi="Arial" w:cs="Arial"/>
          <w:lang w:val="en-GB"/>
        </w:rPr>
        <w:t xml:space="preserve"> and for her insightful comments and </w:t>
      </w:r>
      <w:r>
        <w:rPr>
          <w:rFonts w:hint="default" w:ascii="Arial" w:hAnsi="Arial" w:cs="Arial"/>
          <w:lang w:val="en-US" w:eastAsia="zh-CN"/>
        </w:rPr>
        <w:t xml:space="preserve">Chuck Shi </w:t>
      </w:r>
      <w:r>
        <w:rPr>
          <w:rFonts w:hint="default" w:ascii="Arial" w:hAnsi="Arial" w:cs="Arial"/>
          <w:lang w:val="en-GB"/>
        </w:rPr>
        <w:t xml:space="preserve">for his technical assistance during the whole project. </w:t>
      </w:r>
    </w:p>
    <w:p w14:paraId="31598978">
      <w:pPr>
        <w:spacing w:line="480" w:lineRule="exact"/>
        <w:rPr>
          <w:rFonts w:hint="default" w:ascii="Arial" w:hAnsi="Arial" w:cs="Arial"/>
          <w:lang w:val="en-GB"/>
        </w:rPr>
      </w:pPr>
      <w:r>
        <w:rPr>
          <w:rFonts w:hint="default" w:ascii="Arial" w:hAnsi="Arial" w:cs="Arial"/>
          <w:lang w:val="en-GB"/>
        </w:rPr>
        <w:t xml:space="preserve">Finally, special thanks to my family first of all for encouraging me to join the MBA programme and for the support and motivation they managed to give even being so far from me. </w:t>
      </w:r>
    </w:p>
    <w:p w14:paraId="75119F3F">
      <w:pPr>
        <w:pStyle w:val="2"/>
        <w:numPr>
          <w:ilvl w:val="0"/>
          <w:numId w:val="0"/>
        </w:numPr>
        <w:spacing w:line="480" w:lineRule="auto"/>
        <w:jc w:val="both"/>
        <w:outlineLvl w:val="9"/>
        <w:rPr>
          <w:rFonts w:hint="default" w:ascii="Arial" w:hAnsi="Arial" w:cs="Arial"/>
          <w:sz w:val="24"/>
          <w:szCs w:val="24"/>
        </w:rPr>
      </w:pPr>
    </w:p>
    <w:p w14:paraId="5065FE13">
      <w:pPr>
        <w:rPr>
          <w:rFonts w:hint="default" w:ascii="Arial" w:hAnsi="Arial" w:cs="Arial"/>
          <w:sz w:val="24"/>
          <w:szCs w:val="24"/>
        </w:rPr>
      </w:pPr>
    </w:p>
    <w:p w14:paraId="64AB6114">
      <w:pPr>
        <w:rPr>
          <w:rFonts w:hint="default" w:ascii="Arial" w:hAnsi="Arial" w:cs="Arial"/>
          <w:sz w:val="24"/>
          <w:szCs w:val="24"/>
        </w:rPr>
      </w:pPr>
    </w:p>
    <w:p w14:paraId="7A1F1774">
      <w:pPr>
        <w:rPr>
          <w:rFonts w:hint="default" w:ascii="Arial" w:hAnsi="Arial" w:cs="Arial"/>
          <w:sz w:val="24"/>
          <w:szCs w:val="24"/>
        </w:rPr>
      </w:pPr>
    </w:p>
    <w:p w14:paraId="4B1F0A54">
      <w:pPr>
        <w:rPr>
          <w:rFonts w:hint="default" w:ascii="Arial" w:hAnsi="Arial" w:cs="Arial"/>
          <w:sz w:val="24"/>
          <w:szCs w:val="24"/>
        </w:rPr>
      </w:pPr>
    </w:p>
    <w:p w14:paraId="6E21E82A">
      <w:pPr>
        <w:rPr>
          <w:rFonts w:hint="default" w:ascii="Arial" w:hAnsi="Arial" w:cs="Arial"/>
          <w:sz w:val="24"/>
          <w:szCs w:val="24"/>
        </w:rPr>
      </w:pPr>
    </w:p>
    <w:p w14:paraId="1CFA7C91">
      <w:pPr>
        <w:rPr>
          <w:rFonts w:hint="default" w:ascii="Arial" w:hAnsi="Arial" w:cs="Arial"/>
          <w:sz w:val="24"/>
          <w:szCs w:val="24"/>
        </w:rPr>
      </w:pPr>
    </w:p>
    <w:p w14:paraId="7B109FB1">
      <w:pPr>
        <w:rPr>
          <w:rFonts w:hint="default" w:ascii="Arial" w:hAnsi="Arial" w:cs="Arial"/>
          <w:sz w:val="24"/>
          <w:szCs w:val="24"/>
        </w:rPr>
      </w:pPr>
    </w:p>
    <w:p w14:paraId="695787C1">
      <w:pPr>
        <w:rPr>
          <w:rFonts w:hint="default" w:ascii="Arial" w:hAnsi="Arial" w:cs="Arial"/>
          <w:sz w:val="24"/>
          <w:szCs w:val="24"/>
        </w:rPr>
      </w:pPr>
    </w:p>
    <w:p w14:paraId="09932826">
      <w:pPr>
        <w:rPr>
          <w:rFonts w:hint="default" w:ascii="Arial" w:hAnsi="Arial" w:cs="Arial"/>
          <w:sz w:val="24"/>
          <w:szCs w:val="24"/>
        </w:rPr>
      </w:pPr>
    </w:p>
    <w:p w14:paraId="2EF5B38D">
      <w:pPr>
        <w:rPr>
          <w:rFonts w:hint="default" w:ascii="Arial" w:hAnsi="Arial" w:cs="Arial"/>
          <w:sz w:val="24"/>
          <w:szCs w:val="24"/>
        </w:rPr>
      </w:pPr>
    </w:p>
    <w:p w14:paraId="744F739B">
      <w:pPr>
        <w:rPr>
          <w:rFonts w:hint="default" w:ascii="Arial" w:hAnsi="Arial" w:cs="Arial"/>
          <w:sz w:val="24"/>
          <w:szCs w:val="24"/>
        </w:rPr>
      </w:pPr>
    </w:p>
    <w:p w14:paraId="34F83E16">
      <w:pPr>
        <w:rPr>
          <w:rFonts w:hint="default" w:ascii="Arial" w:hAnsi="Arial" w:cs="Arial"/>
          <w:sz w:val="24"/>
          <w:szCs w:val="24"/>
        </w:rPr>
      </w:pPr>
    </w:p>
    <w:p w14:paraId="26D5BDD3">
      <w:pPr>
        <w:rPr>
          <w:rFonts w:hint="default" w:ascii="Arial" w:hAnsi="Arial" w:cs="Arial"/>
          <w:sz w:val="24"/>
          <w:szCs w:val="24"/>
        </w:rPr>
      </w:pPr>
    </w:p>
    <w:p w14:paraId="36E55046">
      <w:pPr>
        <w:rPr>
          <w:rFonts w:hint="default" w:ascii="Arial" w:hAnsi="Arial" w:cs="Arial"/>
          <w:sz w:val="24"/>
          <w:szCs w:val="24"/>
        </w:rPr>
      </w:pPr>
    </w:p>
    <w:p w14:paraId="286AC383">
      <w:pPr>
        <w:rPr>
          <w:rFonts w:hint="default" w:ascii="Arial" w:hAnsi="Arial" w:cs="Arial"/>
          <w:sz w:val="24"/>
          <w:szCs w:val="24"/>
        </w:rPr>
      </w:pPr>
    </w:p>
    <w:p w14:paraId="21976078">
      <w:pPr>
        <w:rPr>
          <w:rFonts w:hint="default" w:ascii="Arial" w:hAnsi="Arial" w:cs="Arial"/>
          <w:sz w:val="24"/>
          <w:szCs w:val="24"/>
        </w:rPr>
      </w:pPr>
    </w:p>
    <w:p w14:paraId="7F13DF25">
      <w:pPr>
        <w:rPr>
          <w:rFonts w:hint="default" w:ascii="Arial" w:hAnsi="Arial" w:cs="Arial"/>
          <w:sz w:val="24"/>
          <w:szCs w:val="24"/>
        </w:rPr>
      </w:pPr>
    </w:p>
    <w:p w14:paraId="67892A02">
      <w:pPr>
        <w:pStyle w:val="16"/>
        <w:tabs>
          <w:tab w:val="right" w:leader="dot" w:pos="9360"/>
        </w:tabs>
        <w:jc w:val="center"/>
        <w:rPr>
          <w:rFonts w:hint="default" w:ascii="Arial" w:hAnsi="Arial" w:eastAsia="宋体" w:cs="Arial"/>
          <w:b/>
          <w:bCs/>
          <w:sz w:val="28"/>
          <w:szCs w:val="28"/>
          <w:lang w:val="en-US" w:eastAsia="zh-CN"/>
        </w:rPr>
      </w:pPr>
      <w:r>
        <w:rPr>
          <w:rFonts w:hint="default" w:ascii="Arial" w:hAnsi="Arial" w:eastAsia="宋体" w:cs="Arial"/>
          <w:b/>
          <w:bCs/>
          <w:sz w:val="28"/>
          <w:szCs w:val="28"/>
          <w:lang w:val="en-US" w:eastAsia="zh-CN"/>
        </w:rPr>
        <w:t>C</w:t>
      </w:r>
      <w:r>
        <w:rPr>
          <w:rFonts w:hint="eastAsia" w:ascii="Arial" w:hAnsi="Arial" w:eastAsia="宋体" w:cs="Arial"/>
          <w:b/>
          <w:bCs/>
          <w:sz w:val="28"/>
          <w:szCs w:val="28"/>
          <w:lang w:val="en-US" w:eastAsia="zh-CN"/>
        </w:rPr>
        <w:t>ontents</w:t>
      </w:r>
    </w:p>
    <w:p w14:paraId="450DAEE8">
      <w:pPr>
        <w:pStyle w:val="16"/>
        <w:tabs>
          <w:tab w:val="right" w:leader="dot" w:pos="9360"/>
        </w:tabs>
      </w:pPr>
      <w:r>
        <w:rPr>
          <w:rFonts w:hint="default" w:ascii="Arial" w:hAnsi="Arial" w:cs="Arial"/>
          <w:sz w:val="24"/>
          <w:szCs w:val="24"/>
        </w:rPr>
        <w:fldChar w:fldCharType="begin"/>
      </w:r>
      <w:r>
        <w:rPr>
          <w:rFonts w:hint="default" w:ascii="Arial" w:hAnsi="Arial" w:cs="Arial"/>
          <w:sz w:val="24"/>
          <w:szCs w:val="24"/>
        </w:rPr>
        <w:instrText xml:space="preserve">TOC \o "1-2" \h \u </w:instrText>
      </w:r>
      <w:r>
        <w:rPr>
          <w:rFonts w:hint="default" w:ascii="Arial" w:hAnsi="Arial" w:cs="Arial"/>
          <w:sz w:val="24"/>
          <w:szCs w:val="24"/>
        </w:rPr>
        <w:fldChar w:fldCharType="separate"/>
      </w:r>
    </w:p>
    <w:p w14:paraId="3FA4C1DD">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_Toc2272 </w:instrText>
      </w:r>
      <w:r>
        <w:rPr>
          <w:rFonts w:hint="default" w:ascii="Arial" w:hAnsi="Arial" w:cs="Arial"/>
          <w:szCs w:val="24"/>
        </w:rPr>
        <w:fldChar w:fldCharType="separate"/>
      </w:r>
      <w:r>
        <w:rPr>
          <w:rFonts w:hint="default" w:ascii="Arial" w:hAnsi="Arial" w:cs="Arial"/>
          <w:szCs w:val="28"/>
        </w:rPr>
        <w:t>Chapter 1: Introduction</w:t>
      </w:r>
      <w:r>
        <w:tab/>
      </w:r>
      <w:r>
        <w:fldChar w:fldCharType="begin"/>
      </w:r>
      <w:r>
        <w:instrText xml:space="preserve"> PAGEREF _Toc2272 \h </w:instrText>
      </w:r>
      <w:r>
        <w:fldChar w:fldCharType="separate"/>
      </w:r>
      <w:r>
        <w:t>6</w:t>
      </w:r>
      <w:r>
        <w:fldChar w:fldCharType="end"/>
      </w:r>
      <w:r>
        <w:rPr>
          <w:rFonts w:hint="default" w:ascii="Arial" w:hAnsi="Arial" w:cs="Arial"/>
          <w:szCs w:val="24"/>
        </w:rPr>
        <w:fldChar w:fldCharType="end"/>
      </w:r>
    </w:p>
    <w:p w14:paraId="6CC17698">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_Toc2059 </w:instrText>
      </w:r>
      <w:r>
        <w:rPr>
          <w:rFonts w:hint="default" w:ascii="Arial" w:hAnsi="Arial" w:cs="Arial"/>
          <w:szCs w:val="24"/>
        </w:rPr>
        <w:fldChar w:fldCharType="separate"/>
      </w:r>
      <w:r>
        <w:rPr>
          <w:rFonts w:hint="default" w:ascii="Arial" w:hAnsi="Arial" w:cs="Arial" w:eastAsiaTheme="majorEastAsia"/>
          <w:color w:val="044A91" w:themeColor="hyperlink" w:themeShade="BF"/>
          <w:szCs w:val="24"/>
          <w:lang w:val="en-US" w:eastAsia="en-US" w:bidi="ar-SA"/>
        </w:rPr>
        <w:t>1.1</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Introduction</w:t>
      </w:r>
      <w:r>
        <w:tab/>
      </w:r>
      <w:r>
        <w:fldChar w:fldCharType="begin"/>
      </w:r>
      <w:r>
        <w:instrText xml:space="preserve"> PAGEREF _Toc2059 \h </w:instrText>
      </w:r>
      <w:r>
        <w:fldChar w:fldCharType="separate"/>
      </w:r>
      <w:r>
        <w:t>6</w:t>
      </w:r>
      <w:r>
        <w:fldChar w:fldCharType="end"/>
      </w:r>
      <w:r>
        <w:rPr>
          <w:rFonts w:hint="default" w:ascii="Arial" w:hAnsi="Arial" w:cs="Arial"/>
          <w:szCs w:val="24"/>
        </w:rPr>
        <w:fldChar w:fldCharType="end"/>
      </w:r>
    </w:p>
    <w:p w14:paraId="0D396ABA">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_Toc15371 </w:instrText>
      </w:r>
      <w:r>
        <w:rPr>
          <w:rFonts w:hint="default" w:ascii="Arial" w:hAnsi="Arial" w:cs="Arial"/>
          <w:szCs w:val="24"/>
        </w:rPr>
        <w:fldChar w:fldCharType="separate"/>
      </w:r>
      <w:r>
        <w:rPr>
          <w:rFonts w:hint="default" w:ascii="Arial" w:hAnsi="Arial" w:cs="Arial" w:eastAsiaTheme="majorEastAsia"/>
          <w:color w:val="044A91" w:themeColor="hyperlink" w:themeShade="BF"/>
          <w:szCs w:val="24"/>
          <w:lang w:val="en-US" w:eastAsia="en-US" w:bidi="ar-SA"/>
        </w:rPr>
        <w:t>1.2</w:t>
      </w:r>
      <w:r>
        <w:rPr>
          <w:rFonts w:hint="default" w:ascii="Arial" w:hAnsi="Arial" w:cs="Arial"/>
          <w:szCs w:val="24"/>
        </w:rPr>
        <w:t xml:space="preserve"> </w:t>
      </w:r>
      <w:r>
        <w:rPr>
          <w:rFonts w:hint="eastAsia" w:ascii="Arial" w:hAnsi="Arial" w:cs="Arial"/>
          <w:szCs w:val="24"/>
          <w:lang w:val="en-US" w:eastAsia="zh-CN"/>
        </w:rPr>
        <w:t xml:space="preserve"> </w:t>
      </w:r>
      <w:r>
        <w:rPr>
          <w:rFonts w:hint="default" w:ascii="Arial" w:hAnsi="Arial" w:cs="Arial"/>
          <w:szCs w:val="24"/>
        </w:rPr>
        <w:t>Background</w:t>
      </w:r>
      <w:r>
        <w:tab/>
      </w:r>
      <w:r>
        <w:fldChar w:fldCharType="begin"/>
      </w:r>
      <w:r>
        <w:instrText xml:space="preserve"> PAGEREF _Toc15371 \h </w:instrText>
      </w:r>
      <w:r>
        <w:fldChar w:fldCharType="separate"/>
      </w:r>
      <w:r>
        <w:t>8</w:t>
      </w:r>
      <w:r>
        <w:fldChar w:fldCharType="end"/>
      </w:r>
      <w:r>
        <w:rPr>
          <w:rFonts w:hint="default" w:ascii="Arial" w:hAnsi="Arial" w:cs="Arial"/>
          <w:szCs w:val="24"/>
        </w:rPr>
        <w:fldChar w:fldCharType="end"/>
      </w:r>
    </w:p>
    <w:p w14:paraId="6266F51D">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_Toc310 </w:instrText>
      </w:r>
      <w:r>
        <w:rPr>
          <w:rFonts w:hint="default" w:ascii="Arial" w:hAnsi="Arial" w:cs="Arial"/>
          <w:szCs w:val="24"/>
        </w:rPr>
        <w:fldChar w:fldCharType="separate"/>
      </w:r>
      <w:r>
        <w:rPr>
          <w:rFonts w:hint="default" w:ascii="Arial" w:hAnsi="Arial" w:cs="Arial" w:eastAsiaTheme="majorEastAsia"/>
          <w:color w:val="033261" w:themeColor="hyperlink" w:themeShade="80"/>
          <w:szCs w:val="24"/>
          <w:lang w:val="en-US" w:eastAsia="en-US" w:bidi="ar-SA"/>
        </w:rPr>
        <w:t>1.2.1</w:t>
      </w:r>
      <w:r>
        <w:rPr>
          <w:rFonts w:hint="eastAsia" w:ascii="Arial" w:hAnsi="Arial" w:cs="Arial"/>
          <w:szCs w:val="24"/>
          <w:lang w:val="en-US" w:eastAsia="zh-CN"/>
        </w:rPr>
        <w:t xml:space="preserve"> </w:t>
      </w:r>
      <w:r>
        <w:rPr>
          <w:rFonts w:hint="default" w:ascii="Arial" w:hAnsi="Arial" w:cs="Arial"/>
          <w:szCs w:val="24"/>
        </w:rPr>
        <w:t>The Evolution of ESG</w:t>
      </w:r>
      <w:r>
        <w:tab/>
      </w:r>
      <w:r>
        <w:fldChar w:fldCharType="begin"/>
      </w:r>
      <w:r>
        <w:instrText xml:space="preserve"> PAGEREF _Toc310 \h </w:instrText>
      </w:r>
      <w:r>
        <w:fldChar w:fldCharType="separate"/>
      </w:r>
      <w:r>
        <w:t>9</w:t>
      </w:r>
      <w:r>
        <w:fldChar w:fldCharType="end"/>
      </w:r>
      <w:r>
        <w:rPr>
          <w:rFonts w:hint="default" w:ascii="Arial" w:hAnsi="Arial" w:cs="Arial"/>
          <w:szCs w:val="24"/>
        </w:rPr>
        <w:fldChar w:fldCharType="end"/>
      </w:r>
    </w:p>
    <w:p w14:paraId="0C6FF6F2">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_Toc27940 </w:instrText>
      </w:r>
      <w:r>
        <w:rPr>
          <w:rFonts w:hint="default" w:ascii="Arial" w:hAnsi="Arial" w:cs="Arial"/>
          <w:szCs w:val="24"/>
        </w:rPr>
        <w:fldChar w:fldCharType="separate"/>
      </w:r>
      <w:r>
        <w:rPr>
          <w:rFonts w:hint="default" w:ascii="Arial" w:hAnsi="Arial" w:cs="Arial" w:eastAsiaTheme="majorEastAsia"/>
          <w:color w:val="033261" w:themeColor="hyperlink" w:themeShade="80"/>
          <w:szCs w:val="24"/>
          <w:lang w:val="en-US" w:eastAsia="en-US" w:bidi="ar-SA"/>
        </w:rPr>
        <w:t>1.2.3</w:t>
      </w:r>
      <w:r>
        <w:rPr>
          <w:rFonts w:hint="default" w:ascii="Arial" w:hAnsi="Arial" w:cs="Arial"/>
          <w:szCs w:val="24"/>
        </w:rPr>
        <w:t xml:space="preserve"> Research Problem</w:t>
      </w:r>
      <w:r>
        <w:tab/>
      </w:r>
      <w:r>
        <w:fldChar w:fldCharType="begin"/>
      </w:r>
      <w:r>
        <w:instrText xml:space="preserve"> PAGEREF _Toc27940 \h </w:instrText>
      </w:r>
      <w:r>
        <w:fldChar w:fldCharType="separate"/>
      </w:r>
      <w:r>
        <w:t>11</w:t>
      </w:r>
      <w:r>
        <w:fldChar w:fldCharType="end"/>
      </w:r>
      <w:r>
        <w:rPr>
          <w:rFonts w:hint="default" w:ascii="Arial" w:hAnsi="Arial" w:cs="Arial"/>
          <w:szCs w:val="24"/>
        </w:rPr>
        <w:fldChar w:fldCharType="end"/>
      </w:r>
    </w:p>
    <w:p w14:paraId="3968645D">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_Toc6717 </w:instrText>
      </w:r>
      <w:r>
        <w:rPr>
          <w:rFonts w:hint="default" w:ascii="Arial" w:hAnsi="Arial" w:cs="Arial"/>
          <w:szCs w:val="24"/>
        </w:rPr>
        <w:fldChar w:fldCharType="separate"/>
      </w:r>
      <w:r>
        <w:rPr>
          <w:rFonts w:hint="default" w:ascii="Arial" w:hAnsi="Arial" w:cs="Arial" w:eastAsiaTheme="majorEastAsia"/>
          <w:color w:val="044A91" w:themeColor="hyperlink" w:themeShade="BF"/>
          <w:szCs w:val="24"/>
          <w:lang w:val="en-US" w:eastAsia="en-US" w:bidi="ar-SA"/>
        </w:rPr>
        <w:t>1.3</w:t>
      </w:r>
      <w:r>
        <w:rPr>
          <w:rFonts w:hint="default" w:ascii="Arial" w:hAnsi="Arial" w:cs="Arial"/>
          <w:szCs w:val="24"/>
        </w:rPr>
        <w:t xml:space="preserve"> Research Objective and Aims</w:t>
      </w:r>
      <w:r>
        <w:tab/>
      </w:r>
      <w:r>
        <w:fldChar w:fldCharType="begin"/>
      </w:r>
      <w:r>
        <w:instrText xml:space="preserve"> PAGEREF _Toc6717 \h </w:instrText>
      </w:r>
      <w:r>
        <w:fldChar w:fldCharType="separate"/>
      </w:r>
      <w:r>
        <w:t>13</w:t>
      </w:r>
      <w:r>
        <w:fldChar w:fldCharType="end"/>
      </w:r>
      <w:r>
        <w:rPr>
          <w:rFonts w:hint="default" w:ascii="Arial" w:hAnsi="Arial" w:cs="Arial"/>
          <w:szCs w:val="24"/>
        </w:rPr>
        <w:fldChar w:fldCharType="end"/>
      </w:r>
    </w:p>
    <w:p w14:paraId="73AD6B20">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_Toc5816 </w:instrText>
      </w:r>
      <w:r>
        <w:rPr>
          <w:rFonts w:hint="default" w:ascii="Arial" w:hAnsi="Arial" w:cs="Arial"/>
          <w:szCs w:val="24"/>
        </w:rPr>
        <w:fldChar w:fldCharType="separate"/>
      </w:r>
      <w:r>
        <w:rPr>
          <w:rFonts w:hint="default" w:ascii="Arial" w:hAnsi="Arial" w:cs="Arial" w:eastAsiaTheme="majorEastAsia"/>
          <w:color w:val="044A91" w:themeColor="hyperlink" w:themeShade="BF"/>
          <w:szCs w:val="24"/>
          <w:lang w:val="en-US" w:eastAsia="en-US" w:bidi="ar-SA"/>
        </w:rPr>
        <w:t>1.4</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Research question</w:t>
      </w:r>
      <w:r>
        <w:tab/>
      </w:r>
      <w:r>
        <w:fldChar w:fldCharType="begin"/>
      </w:r>
      <w:r>
        <w:instrText xml:space="preserve"> PAGEREF _Toc5816 \h </w:instrText>
      </w:r>
      <w:r>
        <w:fldChar w:fldCharType="separate"/>
      </w:r>
      <w:r>
        <w:t>13</w:t>
      </w:r>
      <w:r>
        <w:fldChar w:fldCharType="end"/>
      </w:r>
      <w:r>
        <w:rPr>
          <w:rFonts w:hint="default" w:ascii="Arial" w:hAnsi="Arial" w:cs="Arial"/>
          <w:szCs w:val="24"/>
        </w:rPr>
        <w:fldChar w:fldCharType="end"/>
      </w:r>
    </w:p>
    <w:p w14:paraId="259E970F">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_Toc21154 </w:instrText>
      </w:r>
      <w:r>
        <w:rPr>
          <w:rFonts w:hint="default" w:ascii="Arial" w:hAnsi="Arial" w:cs="Arial"/>
          <w:szCs w:val="24"/>
        </w:rPr>
        <w:fldChar w:fldCharType="separate"/>
      </w:r>
      <w:r>
        <w:rPr>
          <w:rFonts w:hint="default" w:ascii="Arial" w:hAnsi="Arial" w:cs="Arial" w:eastAsiaTheme="majorEastAsia"/>
          <w:color w:val="044A91" w:themeColor="hyperlink" w:themeShade="BF"/>
          <w:szCs w:val="24"/>
          <w:lang w:val="en-US" w:eastAsia="en-US" w:bidi="ar-SA"/>
        </w:rPr>
        <w:t>1.5</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Rationale</w:t>
      </w:r>
      <w:r>
        <w:tab/>
      </w:r>
      <w:r>
        <w:fldChar w:fldCharType="begin"/>
      </w:r>
      <w:r>
        <w:instrText xml:space="preserve"> PAGEREF _Toc21154 \h </w:instrText>
      </w:r>
      <w:r>
        <w:fldChar w:fldCharType="separate"/>
      </w:r>
      <w:r>
        <w:t>14</w:t>
      </w:r>
      <w:r>
        <w:fldChar w:fldCharType="end"/>
      </w:r>
      <w:r>
        <w:rPr>
          <w:rFonts w:hint="default" w:ascii="Arial" w:hAnsi="Arial" w:cs="Arial"/>
          <w:szCs w:val="24"/>
        </w:rPr>
        <w:fldChar w:fldCharType="end"/>
      </w:r>
    </w:p>
    <w:p w14:paraId="7DA63F75">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_Toc5319 </w:instrText>
      </w:r>
      <w:r>
        <w:rPr>
          <w:rFonts w:hint="default" w:ascii="Arial" w:hAnsi="Arial" w:cs="Arial"/>
          <w:szCs w:val="24"/>
        </w:rPr>
        <w:fldChar w:fldCharType="separate"/>
      </w:r>
      <w:r>
        <w:rPr>
          <w:rFonts w:hint="default" w:ascii="Arial" w:hAnsi="Arial" w:cs="Arial" w:eastAsiaTheme="majorEastAsia"/>
          <w:color w:val="044A91" w:themeColor="hyperlink" w:themeShade="BF"/>
          <w:szCs w:val="24"/>
          <w:lang w:val="en-US" w:eastAsia="en-US" w:bidi="ar-SA"/>
        </w:rPr>
        <w:t>1.6</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Analytical Framework</w:t>
      </w:r>
      <w:r>
        <w:tab/>
      </w:r>
      <w:r>
        <w:fldChar w:fldCharType="begin"/>
      </w:r>
      <w:r>
        <w:instrText xml:space="preserve"> PAGEREF _Toc5319 \h </w:instrText>
      </w:r>
      <w:r>
        <w:fldChar w:fldCharType="separate"/>
      </w:r>
      <w:r>
        <w:t>15</w:t>
      </w:r>
      <w:r>
        <w:fldChar w:fldCharType="end"/>
      </w:r>
      <w:r>
        <w:rPr>
          <w:rFonts w:hint="default" w:ascii="Arial" w:hAnsi="Arial" w:cs="Arial"/>
          <w:szCs w:val="24"/>
        </w:rPr>
        <w:fldChar w:fldCharType="end"/>
      </w:r>
    </w:p>
    <w:p w14:paraId="48DCC91C">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_Toc3805 </w:instrText>
      </w:r>
      <w:r>
        <w:rPr>
          <w:rFonts w:hint="default" w:ascii="Arial" w:hAnsi="Arial" w:cs="Arial"/>
          <w:szCs w:val="24"/>
        </w:rPr>
        <w:fldChar w:fldCharType="separate"/>
      </w:r>
      <w:r>
        <w:rPr>
          <w:rFonts w:hint="default" w:ascii="Arial" w:hAnsi="Arial" w:cs="Arial" w:eastAsiaTheme="majorEastAsia"/>
          <w:color w:val="033261" w:themeColor="hyperlink" w:themeShade="80"/>
          <w:szCs w:val="24"/>
          <w:lang w:val="en-US" w:eastAsia="en-US" w:bidi="ar-SA"/>
        </w:rPr>
        <w:t>1.6.1</w:t>
      </w:r>
      <w:r>
        <w:rPr>
          <w:rFonts w:hint="default" w:ascii="Arial" w:hAnsi="Arial" w:cs="Arial"/>
          <w:szCs w:val="24"/>
          <w:lang w:val="en-US" w:eastAsia="zh-CN"/>
        </w:rPr>
        <w:t xml:space="preserve"> </w:t>
      </w:r>
      <w:r>
        <w:rPr>
          <w:rFonts w:hint="default" w:ascii="Arial" w:hAnsi="Arial" w:cs="Arial"/>
          <w:szCs w:val="24"/>
        </w:rPr>
        <w:t>SWOT Analysis</w:t>
      </w:r>
      <w:r>
        <w:tab/>
      </w:r>
      <w:r>
        <w:fldChar w:fldCharType="begin"/>
      </w:r>
      <w:r>
        <w:instrText xml:space="preserve"> PAGEREF _Toc3805 \h </w:instrText>
      </w:r>
      <w:r>
        <w:fldChar w:fldCharType="separate"/>
      </w:r>
      <w:r>
        <w:t>15</w:t>
      </w:r>
      <w:r>
        <w:fldChar w:fldCharType="end"/>
      </w:r>
      <w:r>
        <w:rPr>
          <w:rFonts w:hint="default" w:ascii="Arial" w:hAnsi="Arial" w:cs="Arial"/>
          <w:szCs w:val="24"/>
        </w:rPr>
        <w:fldChar w:fldCharType="end"/>
      </w:r>
    </w:p>
    <w:p w14:paraId="21668FE8">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_Toc14453 </w:instrText>
      </w:r>
      <w:r>
        <w:rPr>
          <w:rFonts w:hint="default" w:ascii="Arial" w:hAnsi="Arial" w:cs="Arial"/>
          <w:szCs w:val="24"/>
        </w:rPr>
        <w:fldChar w:fldCharType="separate"/>
      </w:r>
      <w:r>
        <w:rPr>
          <w:rFonts w:hint="default" w:ascii="Arial" w:hAnsi="Arial" w:cs="Arial" w:eastAsiaTheme="majorEastAsia"/>
          <w:color w:val="033261" w:themeColor="hyperlink" w:themeShade="80"/>
          <w:szCs w:val="24"/>
          <w:lang w:val="en-US" w:eastAsia="en-US" w:bidi="ar-SA"/>
        </w:rPr>
        <w:t>1.6.2</w:t>
      </w:r>
      <w:r>
        <w:rPr>
          <w:rFonts w:hint="default" w:ascii="Arial" w:hAnsi="Arial" w:cs="Arial"/>
          <w:szCs w:val="24"/>
          <w:lang w:val="en-US" w:eastAsia="zh-CN"/>
        </w:rPr>
        <w:t xml:space="preserve"> </w:t>
      </w:r>
      <w:r>
        <w:rPr>
          <w:rFonts w:hint="default" w:ascii="Arial" w:hAnsi="Arial" w:cs="Arial"/>
          <w:szCs w:val="24"/>
        </w:rPr>
        <w:t>PESTLE Analysis</w:t>
      </w:r>
      <w:r>
        <w:tab/>
      </w:r>
      <w:r>
        <w:fldChar w:fldCharType="begin"/>
      </w:r>
      <w:r>
        <w:instrText xml:space="preserve"> PAGEREF _Toc14453 \h </w:instrText>
      </w:r>
      <w:r>
        <w:fldChar w:fldCharType="separate"/>
      </w:r>
      <w:r>
        <w:t>17</w:t>
      </w:r>
      <w:r>
        <w:fldChar w:fldCharType="end"/>
      </w:r>
      <w:r>
        <w:rPr>
          <w:rFonts w:hint="default" w:ascii="Arial" w:hAnsi="Arial" w:cs="Arial"/>
          <w:szCs w:val="24"/>
        </w:rPr>
        <w:fldChar w:fldCharType="end"/>
      </w:r>
    </w:p>
    <w:p w14:paraId="7B4421DD">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_Toc10195 </w:instrText>
      </w:r>
      <w:r>
        <w:rPr>
          <w:rFonts w:hint="default" w:ascii="Arial" w:hAnsi="Arial" w:cs="Arial"/>
          <w:szCs w:val="24"/>
        </w:rPr>
        <w:fldChar w:fldCharType="separate"/>
      </w:r>
      <w:r>
        <w:rPr>
          <w:rFonts w:hint="default" w:ascii="Arial" w:hAnsi="Arial" w:cs="Arial" w:eastAsiaTheme="majorEastAsia"/>
          <w:color w:val="044A91" w:themeColor="hyperlink" w:themeShade="BF"/>
          <w:szCs w:val="24"/>
          <w:lang w:val="en-US" w:eastAsia="en-US" w:bidi="ar-SA"/>
        </w:rPr>
        <w:t>1.7</w:t>
      </w:r>
      <w:r>
        <w:rPr>
          <w:rFonts w:hint="default" w:ascii="Arial" w:hAnsi="Arial" w:cs="Arial"/>
          <w:szCs w:val="24"/>
        </w:rPr>
        <w:t xml:space="preserve"> Conclusion</w:t>
      </w:r>
      <w:r>
        <w:tab/>
      </w:r>
      <w:r>
        <w:fldChar w:fldCharType="begin"/>
      </w:r>
      <w:r>
        <w:instrText xml:space="preserve"> PAGEREF _Toc10195 \h </w:instrText>
      </w:r>
      <w:r>
        <w:fldChar w:fldCharType="separate"/>
      </w:r>
      <w:r>
        <w:t>19</w:t>
      </w:r>
      <w:r>
        <w:fldChar w:fldCharType="end"/>
      </w:r>
      <w:r>
        <w:rPr>
          <w:rFonts w:hint="default" w:ascii="Arial" w:hAnsi="Arial" w:cs="Arial"/>
          <w:szCs w:val="24"/>
        </w:rPr>
        <w:fldChar w:fldCharType="end"/>
      </w:r>
    </w:p>
    <w:p w14:paraId="431AF3CE">
      <w:pPr>
        <w:pStyle w:val="17"/>
        <w:tabs>
          <w:tab w:val="right" w:leader="dot" w:pos="9360"/>
        </w:tabs>
        <w:ind w:left="0" w:leftChars="0" w:firstLine="0" w:firstLineChars="0"/>
      </w:pPr>
      <w:r>
        <w:rPr>
          <w:rFonts w:hint="default" w:ascii="Arial" w:hAnsi="Arial" w:cs="Arial"/>
          <w:szCs w:val="24"/>
        </w:rPr>
        <w:fldChar w:fldCharType="begin"/>
      </w:r>
      <w:r>
        <w:rPr>
          <w:rFonts w:hint="default" w:ascii="Arial" w:hAnsi="Arial" w:cs="Arial"/>
          <w:szCs w:val="24"/>
        </w:rPr>
        <w:instrText xml:space="preserve"> HYPERLINK \l _Toc14907 </w:instrText>
      </w:r>
      <w:r>
        <w:rPr>
          <w:rFonts w:hint="default" w:ascii="Arial" w:hAnsi="Arial" w:cs="Arial"/>
          <w:szCs w:val="24"/>
        </w:rPr>
        <w:fldChar w:fldCharType="separate"/>
      </w:r>
      <w:r>
        <w:rPr>
          <w:rFonts w:hint="default" w:ascii="Arial" w:hAnsi="Arial" w:cs="Arial"/>
          <w:szCs w:val="24"/>
        </w:rPr>
        <w:t>Chapter 2: Literature Review</w:t>
      </w:r>
      <w:r>
        <w:tab/>
      </w:r>
      <w:r>
        <w:fldChar w:fldCharType="begin"/>
      </w:r>
      <w:r>
        <w:instrText xml:space="preserve"> PAGEREF _Toc14907 \h </w:instrText>
      </w:r>
      <w:r>
        <w:fldChar w:fldCharType="separate"/>
      </w:r>
      <w:r>
        <w:t>20</w:t>
      </w:r>
      <w:r>
        <w:fldChar w:fldCharType="end"/>
      </w:r>
      <w:r>
        <w:rPr>
          <w:rFonts w:hint="default" w:ascii="Arial" w:hAnsi="Arial" w:cs="Arial"/>
          <w:szCs w:val="24"/>
        </w:rPr>
        <w:fldChar w:fldCharType="end"/>
      </w:r>
    </w:p>
    <w:p w14:paraId="2EC5D6A0">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_Toc12972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2</w:t>
      </w:r>
      <w:r>
        <w:rPr>
          <w:rFonts w:hint="default" w:ascii="Arial" w:hAnsi="Arial" w:cs="Arial" w:eastAsiaTheme="majorEastAsia"/>
          <w:color w:val="044A91" w:themeColor="hyperlink" w:themeShade="BF"/>
          <w:szCs w:val="24"/>
          <w:lang w:val="en-US" w:eastAsia="en-US" w:bidi="ar-SA"/>
        </w:rPr>
        <w:t>.1</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Introduction</w:t>
      </w:r>
      <w:r>
        <w:tab/>
      </w:r>
      <w:r>
        <w:fldChar w:fldCharType="begin"/>
      </w:r>
      <w:r>
        <w:instrText xml:space="preserve"> PAGEREF _Toc12972 \h </w:instrText>
      </w:r>
      <w:r>
        <w:fldChar w:fldCharType="separate"/>
      </w:r>
      <w:r>
        <w:t>20</w:t>
      </w:r>
      <w:r>
        <w:fldChar w:fldCharType="end"/>
      </w:r>
      <w:r>
        <w:rPr>
          <w:rFonts w:hint="default" w:ascii="Arial" w:hAnsi="Arial" w:cs="Arial"/>
          <w:szCs w:val="24"/>
        </w:rPr>
        <w:fldChar w:fldCharType="end"/>
      </w:r>
    </w:p>
    <w:p w14:paraId="6D366E84">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_Toc1743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2</w:t>
      </w:r>
      <w:r>
        <w:rPr>
          <w:rFonts w:hint="default" w:ascii="Arial" w:hAnsi="Arial" w:cs="Arial" w:eastAsiaTheme="majorEastAsia"/>
          <w:color w:val="044A91" w:themeColor="hyperlink" w:themeShade="BF"/>
          <w:szCs w:val="24"/>
          <w:lang w:val="en-US" w:eastAsia="en-US" w:bidi="ar-SA"/>
        </w:rPr>
        <w:t>.2</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ESG Adoption in China</w:t>
      </w:r>
      <w:r>
        <w:tab/>
      </w:r>
      <w:r>
        <w:fldChar w:fldCharType="begin"/>
      </w:r>
      <w:r>
        <w:instrText xml:space="preserve"> PAGEREF _Toc1743 \h </w:instrText>
      </w:r>
      <w:r>
        <w:fldChar w:fldCharType="separate"/>
      </w:r>
      <w:r>
        <w:t>20</w:t>
      </w:r>
      <w:r>
        <w:fldChar w:fldCharType="end"/>
      </w:r>
      <w:r>
        <w:rPr>
          <w:rFonts w:hint="default" w:ascii="Arial" w:hAnsi="Arial" w:cs="Arial"/>
          <w:szCs w:val="24"/>
        </w:rPr>
        <w:fldChar w:fldCharType="end"/>
      </w:r>
    </w:p>
    <w:p w14:paraId="1B1A486F">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_Toc11441 </w:instrText>
      </w:r>
      <w:r>
        <w:rPr>
          <w:rFonts w:hint="default" w:ascii="Arial" w:hAnsi="Arial" w:cs="Arial"/>
          <w:szCs w:val="24"/>
        </w:rPr>
        <w:fldChar w:fldCharType="separate"/>
      </w:r>
      <w:r>
        <w:rPr>
          <w:rFonts w:hint="eastAsia" w:ascii="Arial" w:hAnsi="Arial" w:cs="Arial"/>
          <w:color w:val="033261" w:themeColor="hyperlink" w:themeShade="80"/>
          <w:szCs w:val="24"/>
          <w:lang w:val="en-US" w:eastAsia="zh-CN" w:bidi="ar-SA"/>
        </w:rPr>
        <w:t>2</w:t>
      </w:r>
      <w:r>
        <w:rPr>
          <w:rFonts w:hint="default" w:ascii="Arial" w:hAnsi="Arial" w:cs="Arial" w:eastAsiaTheme="majorEastAsia"/>
          <w:color w:val="033261" w:themeColor="hyperlink" w:themeShade="80"/>
          <w:szCs w:val="24"/>
          <w:lang w:val="en-US" w:eastAsia="en-US" w:bidi="ar-SA"/>
        </w:rPr>
        <w:t>.2.1</w:t>
      </w:r>
      <w:r>
        <w:rPr>
          <w:rFonts w:hint="default" w:ascii="Arial" w:hAnsi="Arial" w:cs="Arial"/>
          <w:szCs w:val="24"/>
          <w:lang w:val="en-US" w:eastAsia="zh-CN"/>
        </w:rPr>
        <w:t xml:space="preserve"> </w:t>
      </w:r>
      <w:r>
        <w:rPr>
          <w:rFonts w:hint="default" w:ascii="Arial" w:hAnsi="Arial" w:cs="Arial"/>
          <w:szCs w:val="24"/>
        </w:rPr>
        <w:t>Historical Context and Evolution</w:t>
      </w:r>
      <w:r>
        <w:tab/>
      </w:r>
      <w:r>
        <w:fldChar w:fldCharType="begin"/>
      </w:r>
      <w:r>
        <w:instrText xml:space="preserve"> PAGEREF _Toc11441 \h </w:instrText>
      </w:r>
      <w:r>
        <w:fldChar w:fldCharType="separate"/>
      </w:r>
      <w:r>
        <w:t>20</w:t>
      </w:r>
      <w:r>
        <w:fldChar w:fldCharType="end"/>
      </w:r>
      <w:r>
        <w:rPr>
          <w:rFonts w:hint="default" w:ascii="Arial" w:hAnsi="Arial" w:cs="Arial"/>
          <w:szCs w:val="24"/>
        </w:rPr>
        <w:fldChar w:fldCharType="end"/>
      </w:r>
    </w:p>
    <w:p w14:paraId="6EAA6C0C">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_Toc1051 </w:instrText>
      </w:r>
      <w:r>
        <w:rPr>
          <w:rFonts w:hint="default" w:ascii="Arial" w:hAnsi="Arial" w:cs="Arial"/>
          <w:szCs w:val="24"/>
        </w:rPr>
        <w:fldChar w:fldCharType="separate"/>
      </w:r>
      <w:r>
        <w:rPr>
          <w:rFonts w:hint="eastAsia" w:ascii="Arial" w:hAnsi="Arial" w:cs="Arial"/>
          <w:color w:val="033261" w:themeColor="hyperlink" w:themeShade="80"/>
          <w:szCs w:val="24"/>
          <w:lang w:val="en-US" w:eastAsia="zh-CN" w:bidi="ar-SA"/>
        </w:rPr>
        <w:t>2</w:t>
      </w:r>
      <w:r>
        <w:rPr>
          <w:rFonts w:hint="default" w:ascii="Arial" w:hAnsi="Arial" w:cs="Arial" w:eastAsiaTheme="majorEastAsia"/>
          <w:color w:val="033261" w:themeColor="hyperlink" w:themeShade="80"/>
          <w:szCs w:val="24"/>
          <w:lang w:val="en-US" w:eastAsia="en-US" w:bidi="ar-SA"/>
        </w:rPr>
        <w:t>.2.2</w:t>
      </w:r>
      <w:r>
        <w:rPr>
          <w:rFonts w:hint="default" w:ascii="Arial" w:hAnsi="Arial" w:cs="Arial"/>
          <w:szCs w:val="24"/>
          <w:lang w:val="en-US" w:eastAsia="zh-CN"/>
        </w:rPr>
        <w:t xml:space="preserve"> </w:t>
      </w:r>
      <w:r>
        <w:rPr>
          <w:rFonts w:hint="default" w:ascii="Arial" w:hAnsi="Arial" w:cs="Arial"/>
          <w:szCs w:val="24"/>
        </w:rPr>
        <w:t>Current Trends and Practices</w:t>
      </w:r>
      <w:r>
        <w:tab/>
      </w:r>
      <w:r>
        <w:fldChar w:fldCharType="begin"/>
      </w:r>
      <w:r>
        <w:instrText xml:space="preserve"> PAGEREF _Toc1051 \h </w:instrText>
      </w:r>
      <w:r>
        <w:fldChar w:fldCharType="separate"/>
      </w:r>
      <w:r>
        <w:t>22</w:t>
      </w:r>
      <w:r>
        <w:fldChar w:fldCharType="end"/>
      </w:r>
      <w:r>
        <w:rPr>
          <w:rFonts w:hint="default" w:ascii="Arial" w:hAnsi="Arial" w:cs="Arial"/>
          <w:szCs w:val="24"/>
        </w:rPr>
        <w:fldChar w:fldCharType="end"/>
      </w:r>
    </w:p>
    <w:p w14:paraId="231CF9D6">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_Toc21218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2</w:t>
      </w:r>
      <w:r>
        <w:rPr>
          <w:rFonts w:hint="default" w:ascii="Arial" w:hAnsi="Arial" w:cs="Arial" w:eastAsiaTheme="majorEastAsia"/>
          <w:color w:val="044A91" w:themeColor="hyperlink" w:themeShade="BF"/>
          <w:szCs w:val="24"/>
          <w:lang w:val="en-US" w:eastAsia="en-US" w:bidi="ar-SA"/>
        </w:rPr>
        <w:t>.3</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ESG and Financial Performance</w:t>
      </w:r>
      <w:r>
        <w:tab/>
      </w:r>
      <w:r>
        <w:fldChar w:fldCharType="begin"/>
      </w:r>
      <w:r>
        <w:instrText xml:space="preserve"> PAGEREF _Toc21218 \h </w:instrText>
      </w:r>
      <w:r>
        <w:fldChar w:fldCharType="separate"/>
      </w:r>
      <w:r>
        <w:t>24</w:t>
      </w:r>
      <w:r>
        <w:fldChar w:fldCharType="end"/>
      </w:r>
      <w:r>
        <w:rPr>
          <w:rFonts w:hint="default" w:ascii="Arial" w:hAnsi="Arial" w:cs="Arial"/>
          <w:szCs w:val="24"/>
        </w:rPr>
        <w:fldChar w:fldCharType="end"/>
      </w:r>
    </w:p>
    <w:p w14:paraId="04210E1D">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_Toc5868 </w:instrText>
      </w:r>
      <w:r>
        <w:rPr>
          <w:rFonts w:hint="default" w:ascii="Arial" w:hAnsi="Arial" w:cs="Arial"/>
          <w:szCs w:val="24"/>
        </w:rPr>
        <w:fldChar w:fldCharType="separate"/>
      </w:r>
      <w:r>
        <w:rPr>
          <w:rFonts w:hint="eastAsia" w:ascii="Arial" w:hAnsi="Arial" w:cs="Arial"/>
          <w:color w:val="033261" w:themeColor="hyperlink" w:themeShade="80"/>
          <w:szCs w:val="24"/>
          <w:lang w:val="en-US" w:eastAsia="zh-CN" w:bidi="ar-SA"/>
        </w:rPr>
        <w:t>2</w:t>
      </w:r>
      <w:r>
        <w:rPr>
          <w:rFonts w:hint="default" w:ascii="Arial" w:hAnsi="Arial" w:cs="Arial" w:eastAsiaTheme="majorEastAsia"/>
          <w:color w:val="033261" w:themeColor="hyperlink" w:themeShade="80"/>
          <w:szCs w:val="24"/>
          <w:lang w:val="en-US" w:eastAsia="en-US" w:bidi="ar-SA"/>
        </w:rPr>
        <w:t>.3.4</w:t>
      </w:r>
      <w:r>
        <w:rPr>
          <w:rFonts w:hint="default" w:ascii="Arial" w:hAnsi="Arial" w:cs="Arial"/>
          <w:szCs w:val="24"/>
          <w:lang w:val="en-US" w:eastAsia="zh-CN"/>
        </w:rPr>
        <w:t xml:space="preserve"> </w:t>
      </w:r>
      <w:r>
        <w:rPr>
          <w:rFonts w:hint="default" w:ascii="Arial" w:hAnsi="Arial" w:cs="Arial"/>
          <w:szCs w:val="24"/>
        </w:rPr>
        <w:t>Sectoral Differences</w:t>
      </w:r>
      <w:r>
        <w:tab/>
      </w:r>
      <w:r>
        <w:fldChar w:fldCharType="begin"/>
      </w:r>
      <w:r>
        <w:instrText xml:space="preserve"> PAGEREF _Toc5868 \h </w:instrText>
      </w:r>
      <w:r>
        <w:fldChar w:fldCharType="separate"/>
      </w:r>
      <w:r>
        <w:t>28</w:t>
      </w:r>
      <w:r>
        <w:fldChar w:fldCharType="end"/>
      </w:r>
      <w:r>
        <w:rPr>
          <w:rFonts w:hint="default" w:ascii="Arial" w:hAnsi="Arial" w:cs="Arial"/>
          <w:szCs w:val="24"/>
        </w:rPr>
        <w:fldChar w:fldCharType="end"/>
      </w:r>
    </w:p>
    <w:p w14:paraId="2D76E958">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_Toc27483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2</w:t>
      </w:r>
      <w:r>
        <w:rPr>
          <w:rFonts w:hint="default" w:ascii="Arial" w:hAnsi="Arial" w:cs="Arial" w:eastAsiaTheme="majorEastAsia"/>
          <w:color w:val="044A91" w:themeColor="hyperlink" w:themeShade="BF"/>
          <w:szCs w:val="24"/>
          <w:lang w:val="en-US" w:eastAsia="en-US" w:bidi="ar-SA"/>
        </w:rPr>
        <w:t>.4</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ESG and Risk Performance</w:t>
      </w:r>
      <w:r>
        <w:tab/>
      </w:r>
      <w:r>
        <w:fldChar w:fldCharType="begin"/>
      </w:r>
      <w:r>
        <w:instrText xml:space="preserve"> PAGEREF _Toc27483 \h </w:instrText>
      </w:r>
      <w:r>
        <w:fldChar w:fldCharType="separate"/>
      </w:r>
      <w:r>
        <w:t>30</w:t>
      </w:r>
      <w:r>
        <w:fldChar w:fldCharType="end"/>
      </w:r>
      <w:r>
        <w:rPr>
          <w:rFonts w:hint="default" w:ascii="Arial" w:hAnsi="Arial" w:cs="Arial"/>
          <w:szCs w:val="24"/>
        </w:rPr>
        <w:fldChar w:fldCharType="end"/>
      </w:r>
    </w:p>
    <w:p w14:paraId="06B48D0A">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_Toc14165 </w:instrText>
      </w:r>
      <w:r>
        <w:rPr>
          <w:rFonts w:hint="default" w:ascii="Arial" w:hAnsi="Arial" w:cs="Arial"/>
          <w:szCs w:val="24"/>
        </w:rPr>
        <w:fldChar w:fldCharType="separate"/>
      </w:r>
      <w:r>
        <w:rPr>
          <w:rFonts w:hint="eastAsia" w:ascii="Arial" w:hAnsi="Arial" w:cs="Arial"/>
          <w:color w:val="033261" w:themeColor="hyperlink" w:themeShade="80"/>
          <w:szCs w:val="24"/>
          <w:lang w:val="en-US" w:eastAsia="zh-CN" w:bidi="ar-SA"/>
        </w:rPr>
        <w:t>2</w:t>
      </w:r>
      <w:r>
        <w:rPr>
          <w:rFonts w:hint="default" w:ascii="Arial" w:hAnsi="Arial" w:cs="Arial" w:eastAsiaTheme="majorEastAsia"/>
          <w:color w:val="033261" w:themeColor="hyperlink" w:themeShade="80"/>
          <w:szCs w:val="24"/>
          <w:lang w:val="en-US" w:eastAsia="en-US" w:bidi="ar-SA"/>
        </w:rPr>
        <w:t>.4.1</w:t>
      </w:r>
      <w:r>
        <w:rPr>
          <w:rFonts w:hint="eastAsia" w:ascii="Arial" w:hAnsi="Arial" w:cs="Arial"/>
          <w:color w:val="033261" w:themeColor="hyperlink" w:themeShade="80"/>
          <w:szCs w:val="24"/>
          <w:lang w:val="en-US" w:eastAsia="zh-CN" w:bidi="ar-SA"/>
        </w:rPr>
        <w:t xml:space="preserve"> </w:t>
      </w:r>
      <w:r>
        <w:rPr>
          <w:rFonts w:hint="default" w:ascii="Arial" w:hAnsi="Arial" w:cs="Arial"/>
          <w:szCs w:val="24"/>
        </w:rPr>
        <w:t>Mechanisms of Risk Reduction</w:t>
      </w:r>
      <w:r>
        <w:tab/>
      </w:r>
      <w:r>
        <w:fldChar w:fldCharType="begin"/>
      </w:r>
      <w:r>
        <w:instrText xml:space="preserve"> PAGEREF _Toc14165 \h </w:instrText>
      </w:r>
      <w:r>
        <w:fldChar w:fldCharType="separate"/>
      </w:r>
      <w:r>
        <w:t>33</w:t>
      </w:r>
      <w:r>
        <w:fldChar w:fldCharType="end"/>
      </w:r>
      <w:r>
        <w:rPr>
          <w:rFonts w:hint="default" w:ascii="Arial" w:hAnsi="Arial" w:cs="Arial"/>
          <w:szCs w:val="24"/>
        </w:rPr>
        <w:fldChar w:fldCharType="end"/>
      </w:r>
    </w:p>
    <w:p w14:paraId="420386E8">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_Toc14021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2</w:t>
      </w:r>
      <w:r>
        <w:rPr>
          <w:rFonts w:hint="default" w:ascii="Arial" w:hAnsi="Arial" w:cs="Arial" w:eastAsiaTheme="majorEastAsia"/>
          <w:color w:val="044A91" w:themeColor="hyperlink" w:themeShade="BF"/>
          <w:szCs w:val="24"/>
          <w:lang w:val="en-US" w:eastAsia="en-US" w:bidi="ar-SA"/>
        </w:rPr>
        <w:t>.5</w:t>
      </w:r>
      <w:r>
        <w:rPr>
          <w:rFonts w:hint="default" w:ascii="Arial" w:hAnsi="Arial" w:cs="Arial"/>
          <w:szCs w:val="24"/>
        </w:rPr>
        <w:t xml:space="preserve"> ESG from a Consumer’s Perception</w:t>
      </w:r>
      <w:r>
        <w:tab/>
      </w:r>
      <w:r>
        <w:fldChar w:fldCharType="begin"/>
      </w:r>
      <w:r>
        <w:instrText xml:space="preserve"> PAGEREF _Toc14021 \h </w:instrText>
      </w:r>
      <w:r>
        <w:fldChar w:fldCharType="separate"/>
      </w:r>
      <w:r>
        <w:t>35</w:t>
      </w:r>
      <w:r>
        <w:fldChar w:fldCharType="end"/>
      </w:r>
      <w:r>
        <w:rPr>
          <w:rFonts w:hint="default" w:ascii="Arial" w:hAnsi="Arial" w:cs="Arial"/>
          <w:szCs w:val="24"/>
        </w:rPr>
        <w:fldChar w:fldCharType="end"/>
      </w:r>
    </w:p>
    <w:p w14:paraId="580F6F15">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_Toc4301 </w:instrText>
      </w:r>
      <w:r>
        <w:rPr>
          <w:rFonts w:hint="default" w:ascii="Arial" w:hAnsi="Arial" w:cs="Arial"/>
          <w:szCs w:val="24"/>
        </w:rPr>
        <w:fldChar w:fldCharType="separate"/>
      </w:r>
      <w:r>
        <w:rPr>
          <w:rFonts w:hint="eastAsia" w:ascii="Arial" w:hAnsi="Arial" w:cs="Arial"/>
          <w:color w:val="033261" w:themeColor="hyperlink" w:themeShade="80"/>
          <w:szCs w:val="24"/>
          <w:lang w:val="en-US" w:eastAsia="zh-CN" w:bidi="ar-SA"/>
        </w:rPr>
        <w:t>2</w:t>
      </w:r>
      <w:r>
        <w:rPr>
          <w:rFonts w:hint="default" w:ascii="Arial" w:hAnsi="Arial" w:cs="Arial" w:eastAsiaTheme="majorEastAsia"/>
          <w:color w:val="033261" w:themeColor="hyperlink" w:themeShade="80"/>
          <w:szCs w:val="24"/>
          <w:lang w:val="en-US" w:eastAsia="en-US" w:bidi="ar-SA"/>
        </w:rPr>
        <w:t>.5.1</w:t>
      </w:r>
      <w:r>
        <w:rPr>
          <w:rFonts w:hint="default" w:ascii="Arial" w:hAnsi="Arial" w:cs="Arial"/>
          <w:szCs w:val="24"/>
          <w:lang w:eastAsia="zh-CN"/>
        </w:rPr>
        <w:t xml:space="preserve"> </w:t>
      </w:r>
      <w:r>
        <w:rPr>
          <w:rFonts w:hint="default" w:ascii="Arial" w:hAnsi="Arial" w:cs="Arial"/>
          <w:szCs w:val="24"/>
        </w:rPr>
        <w:t>Importance of Consumer Perception</w:t>
      </w:r>
      <w:r>
        <w:tab/>
      </w:r>
      <w:r>
        <w:fldChar w:fldCharType="begin"/>
      </w:r>
      <w:r>
        <w:instrText xml:space="preserve"> PAGEREF _Toc4301 \h </w:instrText>
      </w:r>
      <w:r>
        <w:fldChar w:fldCharType="separate"/>
      </w:r>
      <w:r>
        <w:t>35</w:t>
      </w:r>
      <w:r>
        <w:fldChar w:fldCharType="end"/>
      </w:r>
      <w:r>
        <w:rPr>
          <w:rFonts w:hint="default" w:ascii="Arial" w:hAnsi="Arial" w:cs="Arial"/>
          <w:szCs w:val="24"/>
        </w:rPr>
        <w:fldChar w:fldCharType="end"/>
      </w:r>
    </w:p>
    <w:p w14:paraId="2A5100FA">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_Toc12897 </w:instrText>
      </w:r>
      <w:r>
        <w:rPr>
          <w:rFonts w:hint="default" w:ascii="Arial" w:hAnsi="Arial" w:cs="Arial"/>
          <w:szCs w:val="24"/>
        </w:rPr>
        <w:fldChar w:fldCharType="separate"/>
      </w:r>
      <w:r>
        <w:rPr>
          <w:rFonts w:hint="eastAsia" w:ascii="Arial" w:hAnsi="Arial" w:cs="Arial"/>
          <w:color w:val="033261" w:themeColor="hyperlink" w:themeShade="80"/>
          <w:szCs w:val="24"/>
          <w:lang w:val="en-US" w:eastAsia="zh-CN" w:bidi="ar-SA"/>
        </w:rPr>
        <w:t>2</w:t>
      </w:r>
      <w:r>
        <w:rPr>
          <w:rFonts w:hint="default" w:ascii="Arial" w:hAnsi="Arial" w:cs="Arial" w:eastAsiaTheme="majorEastAsia"/>
          <w:color w:val="033261" w:themeColor="hyperlink" w:themeShade="80"/>
          <w:szCs w:val="24"/>
          <w:lang w:val="en-US" w:eastAsia="en-US" w:bidi="ar-SA"/>
        </w:rPr>
        <w:t>.5.2</w:t>
      </w:r>
      <w:r>
        <w:rPr>
          <w:rFonts w:hint="default" w:ascii="Arial" w:hAnsi="Arial" w:cs="Arial"/>
          <w:szCs w:val="24"/>
          <w:lang w:eastAsia="zh-CN"/>
        </w:rPr>
        <w:t xml:space="preserve"> </w:t>
      </w:r>
      <w:r>
        <w:rPr>
          <w:rFonts w:hint="default" w:ascii="Arial" w:hAnsi="Arial" w:cs="Arial"/>
          <w:szCs w:val="24"/>
        </w:rPr>
        <w:t>Impact on Corporate Strategy</w:t>
      </w:r>
      <w:r>
        <w:tab/>
      </w:r>
      <w:r>
        <w:fldChar w:fldCharType="begin"/>
      </w:r>
      <w:r>
        <w:instrText xml:space="preserve"> PAGEREF _Toc12897 \h </w:instrText>
      </w:r>
      <w:r>
        <w:fldChar w:fldCharType="separate"/>
      </w:r>
      <w:r>
        <w:t>37</w:t>
      </w:r>
      <w:r>
        <w:fldChar w:fldCharType="end"/>
      </w:r>
      <w:r>
        <w:rPr>
          <w:rFonts w:hint="default" w:ascii="Arial" w:hAnsi="Arial" w:cs="Arial"/>
          <w:szCs w:val="24"/>
        </w:rPr>
        <w:fldChar w:fldCharType="end"/>
      </w:r>
    </w:p>
    <w:p w14:paraId="38E00EAB">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_Toc21646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2</w:t>
      </w:r>
      <w:r>
        <w:rPr>
          <w:rFonts w:hint="default" w:ascii="Arial" w:hAnsi="Arial" w:cs="Arial" w:eastAsiaTheme="majorEastAsia"/>
          <w:color w:val="044A91" w:themeColor="hyperlink" w:themeShade="BF"/>
          <w:szCs w:val="24"/>
          <w:lang w:val="en-US" w:eastAsia="en-US" w:bidi="ar-SA"/>
        </w:rPr>
        <w:t>.6</w:t>
      </w:r>
      <w:r>
        <w:rPr>
          <w:rFonts w:hint="default" w:ascii="Arial" w:hAnsi="Arial" w:cs="Arial"/>
          <w:szCs w:val="24"/>
        </w:rPr>
        <w:t xml:space="preserve"> Literature Gap</w:t>
      </w:r>
      <w:r>
        <w:tab/>
      </w:r>
      <w:r>
        <w:fldChar w:fldCharType="begin"/>
      </w:r>
      <w:r>
        <w:instrText xml:space="preserve"> PAGEREF _Toc21646 \h </w:instrText>
      </w:r>
      <w:r>
        <w:fldChar w:fldCharType="separate"/>
      </w:r>
      <w:r>
        <w:t>39</w:t>
      </w:r>
      <w:r>
        <w:fldChar w:fldCharType="end"/>
      </w:r>
      <w:r>
        <w:rPr>
          <w:rFonts w:hint="default" w:ascii="Arial" w:hAnsi="Arial" w:cs="Arial"/>
          <w:szCs w:val="24"/>
        </w:rPr>
        <w:fldChar w:fldCharType="end"/>
      </w:r>
    </w:p>
    <w:p w14:paraId="5827F48B">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_Toc22393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2</w:t>
      </w:r>
      <w:r>
        <w:rPr>
          <w:rFonts w:hint="default" w:ascii="Arial" w:hAnsi="Arial" w:cs="Arial" w:eastAsiaTheme="majorEastAsia"/>
          <w:color w:val="044A91" w:themeColor="hyperlink" w:themeShade="BF"/>
          <w:szCs w:val="24"/>
          <w:lang w:val="en-US" w:eastAsia="en-US" w:bidi="ar-SA"/>
        </w:rPr>
        <w:t>.7</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Conclusion</w:t>
      </w:r>
      <w:r>
        <w:tab/>
      </w:r>
      <w:r>
        <w:fldChar w:fldCharType="begin"/>
      </w:r>
      <w:r>
        <w:instrText xml:space="preserve"> PAGEREF _Toc22393 \h </w:instrText>
      </w:r>
      <w:r>
        <w:fldChar w:fldCharType="separate"/>
      </w:r>
      <w:r>
        <w:t>40</w:t>
      </w:r>
      <w:r>
        <w:fldChar w:fldCharType="end"/>
      </w:r>
      <w:r>
        <w:rPr>
          <w:rFonts w:hint="default" w:ascii="Arial" w:hAnsi="Arial" w:cs="Arial"/>
          <w:szCs w:val="24"/>
        </w:rPr>
        <w:fldChar w:fldCharType="end"/>
      </w:r>
    </w:p>
    <w:p w14:paraId="5F436FD5">
      <w:pPr>
        <w:pStyle w:val="17"/>
        <w:tabs>
          <w:tab w:val="right" w:leader="dot" w:pos="9360"/>
        </w:tabs>
        <w:ind w:left="0" w:leftChars="0" w:firstLine="0" w:firstLineChars="0"/>
      </w:pPr>
      <w:r>
        <w:rPr>
          <w:rFonts w:hint="default" w:ascii="Arial" w:hAnsi="Arial" w:cs="Arial"/>
          <w:szCs w:val="24"/>
        </w:rPr>
        <w:fldChar w:fldCharType="begin"/>
      </w:r>
      <w:r>
        <w:rPr>
          <w:rFonts w:hint="default" w:ascii="Arial" w:hAnsi="Arial" w:cs="Arial"/>
          <w:szCs w:val="24"/>
        </w:rPr>
        <w:instrText xml:space="preserve"> HYPERLINK \l _Toc22480 </w:instrText>
      </w:r>
      <w:r>
        <w:rPr>
          <w:rFonts w:hint="default" w:ascii="Arial" w:hAnsi="Arial" w:cs="Arial"/>
          <w:szCs w:val="24"/>
        </w:rPr>
        <w:fldChar w:fldCharType="separate"/>
      </w:r>
      <w:r>
        <w:rPr>
          <w:rFonts w:hint="default" w:ascii="Arial" w:hAnsi="Arial" w:cs="Arial"/>
          <w:szCs w:val="24"/>
        </w:rPr>
        <w:t>Chapter 3: Methodology</w:t>
      </w:r>
      <w:r>
        <w:tab/>
      </w:r>
      <w:r>
        <w:fldChar w:fldCharType="begin"/>
      </w:r>
      <w:r>
        <w:instrText xml:space="preserve"> PAGEREF _Toc22480 \h </w:instrText>
      </w:r>
      <w:r>
        <w:fldChar w:fldCharType="separate"/>
      </w:r>
      <w:r>
        <w:t>41</w:t>
      </w:r>
      <w:r>
        <w:fldChar w:fldCharType="end"/>
      </w:r>
      <w:r>
        <w:rPr>
          <w:rFonts w:hint="default" w:ascii="Arial" w:hAnsi="Arial" w:cs="Arial"/>
          <w:szCs w:val="24"/>
        </w:rPr>
        <w:fldChar w:fldCharType="end"/>
      </w:r>
    </w:p>
    <w:p w14:paraId="0ACFF45F">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_Toc11060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3</w:t>
      </w:r>
      <w:r>
        <w:rPr>
          <w:rFonts w:hint="default" w:ascii="Arial" w:hAnsi="Arial" w:cs="Arial" w:eastAsiaTheme="majorEastAsia"/>
          <w:color w:val="044A91" w:themeColor="hyperlink" w:themeShade="BF"/>
          <w:szCs w:val="24"/>
          <w:lang w:val="en-US" w:eastAsia="en-US" w:bidi="ar-SA"/>
        </w:rPr>
        <w:t>.1</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Introduction</w:t>
      </w:r>
      <w:r>
        <w:tab/>
      </w:r>
      <w:r>
        <w:fldChar w:fldCharType="begin"/>
      </w:r>
      <w:r>
        <w:instrText xml:space="preserve"> PAGEREF _Toc11060 \h </w:instrText>
      </w:r>
      <w:r>
        <w:fldChar w:fldCharType="separate"/>
      </w:r>
      <w:r>
        <w:t>41</w:t>
      </w:r>
      <w:r>
        <w:fldChar w:fldCharType="end"/>
      </w:r>
      <w:r>
        <w:rPr>
          <w:rFonts w:hint="default" w:ascii="Arial" w:hAnsi="Arial" w:cs="Arial"/>
          <w:szCs w:val="24"/>
        </w:rPr>
        <w:fldChar w:fldCharType="end"/>
      </w:r>
    </w:p>
    <w:p w14:paraId="0540006A">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_Toc9410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3</w:t>
      </w:r>
      <w:r>
        <w:rPr>
          <w:rFonts w:hint="default" w:ascii="Arial" w:hAnsi="Arial" w:cs="Arial" w:eastAsiaTheme="majorEastAsia"/>
          <w:color w:val="044A91" w:themeColor="hyperlink" w:themeShade="BF"/>
          <w:szCs w:val="24"/>
          <w:lang w:val="en-US" w:eastAsia="en-US" w:bidi="ar-SA"/>
        </w:rPr>
        <w:t>.2</w:t>
      </w:r>
      <w:r>
        <w:rPr>
          <w:rFonts w:hint="default" w:ascii="Arial" w:hAnsi="Arial" w:cs="Arial"/>
          <w:szCs w:val="24"/>
        </w:rPr>
        <w:t xml:space="preserve"> Research Philosophy</w:t>
      </w:r>
      <w:r>
        <w:tab/>
      </w:r>
      <w:r>
        <w:fldChar w:fldCharType="begin"/>
      </w:r>
      <w:r>
        <w:instrText xml:space="preserve"> PAGEREF _Toc9410 \h </w:instrText>
      </w:r>
      <w:r>
        <w:fldChar w:fldCharType="separate"/>
      </w:r>
      <w:r>
        <w:t>42</w:t>
      </w:r>
      <w:r>
        <w:fldChar w:fldCharType="end"/>
      </w:r>
      <w:r>
        <w:rPr>
          <w:rFonts w:hint="default" w:ascii="Arial" w:hAnsi="Arial" w:cs="Arial"/>
          <w:szCs w:val="24"/>
        </w:rPr>
        <w:fldChar w:fldCharType="end"/>
      </w:r>
    </w:p>
    <w:p w14:paraId="753A8C13">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_Toc18970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3</w:t>
      </w:r>
      <w:r>
        <w:rPr>
          <w:rFonts w:hint="default" w:ascii="Arial" w:hAnsi="Arial" w:cs="Arial" w:eastAsiaTheme="majorEastAsia"/>
          <w:color w:val="044A91" w:themeColor="hyperlink" w:themeShade="BF"/>
          <w:szCs w:val="24"/>
          <w:lang w:val="en-US" w:eastAsia="en-US" w:bidi="ar-SA"/>
        </w:rPr>
        <w:t>.3</w:t>
      </w:r>
      <w:r>
        <w:rPr>
          <w:rFonts w:hint="default" w:ascii="Arial" w:hAnsi="Arial" w:cs="Arial"/>
          <w:szCs w:val="24"/>
        </w:rPr>
        <w:t xml:space="preserve"> Research Approach</w:t>
      </w:r>
      <w:r>
        <w:tab/>
      </w:r>
      <w:r>
        <w:fldChar w:fldCharType="begin"/>
      </w:r>
      <w:r>
        <w:instrText xml:space="preserve"> PAGEREF _Toc18970 \h </w:instrText>
      </w:r>
      <w:r>
        <w:fldChar w:fldCharType="separate"/>
      </w:r>
      <w:r>
        <w:t>44</w:t>
      </w:r>
      <w:r>
        <w:fldChar w:fldCharType="end"/>
      </w:r>
      <w:r>
        <w:rPr>
          <w:rFonts w:hint="default" w:ascii="Arial" w:hAnsi="Arial" w:cs="Arial"/>
          <w:szCs w:val="24"/>
        </w:rPr>
        <w:fldChar w:fldCharType="end"/>
      </w:r>
    </w:p>
    <w:p w14:paraId="6775F643">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_Toc7289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3</w:t>
      </w:r>
      <w:r>
        <w:rPr>
          <w:rFonts w:hint="default" w:ascii="Arial" w:hAnsi="Arial" w:cs="Arial" w:eastAsiaTheme="majorEastAsia"/>
          <w:color w:val="044A91" w:themeColor="hyperlink" w:themeShade="BF"/>
          <w:szCs w:val="24"/>
          <w:lang w:val="en-US" w:eastAsia="en-US" w:bidi="ar-SA"/>
        </w:rPr>
        <w:t>.4</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Research Design and Strategies</w:t>
      </w:r>
      <w:r>
        <w:tab/>
      </w:r>
      <w:r>
        <w:fldChar w:fldCharType="begin"/>
      </w:r>
      <w:r>
        <w:instrText xml:space="preserve"> PAGEREF _Toc7289 \h </w:instrText>
      </w:r>
      <w:r>
        <w:fldChar w:fldCharType="separate"/>
      </w:r>
      <w:r>
        <w:t>45</w:t>
      </w:r>
      <w:r>
        <w:fldChar w:fldCharType="end"/>
      </w:r>
      <w:r>
        <w:rPr>
          <w:rFonts w:hint="default" w:ascii="Arial" w:hAnsi="Arial" w:cs="Arial"/>
          <w:szCs w:val="24"/>
        </w:rPr>
        <w:fldChar w:fldCharType="end"/>
      </w:r>
    </w:p>
    <w:p w14:paraId="55F94AA7">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_Toc13530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3</w:t>
      </w:r>
      <w:r>
        <w:rPr>
          <w:rFonts w:hint="default" w:ascii="Arial" w:hAnsi="Arial" w:cs="Arial" w:eastAsiaTheme="majorEastAsia"/>
          <w:color w:val="044A91" w:themeColor="hyperlink" w:themeShade="BF"/>
          <w:szCs w:val="24"/>
          <w:lang w:val="en-US" w:eastAsia="en-US" w:bidi="ar-SA"/>
        </w:rPr>
        <w:t>.5</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Data Collection</w:t>
      </w:r>
      <w:r>
        <w:tab/>
      </w:r>
      <w:r>
        <w:fldChar w:fldCharType="begin"/>
      </w:r>
      <w:r>
        <w:instrText xml:space="preserve"> PAGEREF _Toc13530 \h </w:instrText>
      </w:r>
      <w:r>
        <w:fldChar w:fldCharType="separate"/>
      </w:r>
      <w:r>
        <w:t>47</w:t>
      </w:r>
      <w:r>
        <w:fldChar w:fldCharType="end"/>
      </w:r>
      <w:r>
        <w:rPr>
          <w:rFonts w:hint="default" w:ascii="Arial" w:hAnsi="Arial" w:cs="Arial"/>
          <w:szCs w:val="24"/>
        </w:rPr>
        <w:fldChar w:fldCharType="end"/>
      </w:r>
    </w:p>
    <w:p w14:paraId="1D9C21B6">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_Toc31019 </w:instrText>
      </w:r>
      <w:r>
        <w:rPr>
          <w:rFonts w:hint="default" w:ascii="Arial" w:hAnsi="Arial" w:cs="Arial"/>
          <w:szCs w:val="24"/>
        </w:rPr>
        <w:fldChar w:fldCharType="separate"/>
      </w:r>
      <w:r>
        <w:rPr>
          <w:rFonts w:hint="eastAsia" w:ascii="Arial" w:hAnsi="Arial" w:cs="Arial"/>
          <w:color w:val="033261" w:themeColor="hyperlink" w:themeShade="80"/>
          <w:szCs w:val="24"/>
          <w:lang w:val="en-US" w:eastAsia="zh-CN" w:bidi="ar-SA"/>
        </w:rPr>
        <w:t>3</w:t>
      </w:r>
      <w:r>
        <w:rPr>
          <w:rFonts w:hint="default" w:ascii="Arial" w:hAnsi="Arial" w:cs="Arial" w:eastAsiaTheme="majorEastAsia"/>
          <w:color w:val="033261" w:themeColor="hyperlink" w:themeShade="80"/>
          <w:szCs w:val="24"/>
          <w:lang w:val="en-US" w:eastAsia="en-US" w:bidi="ar-SA"/>
        </w:rPr>
        <w:t>.5.1</w:t>
      </w:r>
      <w:r>
        <w:rPr>
          <w:rFonts w:hint="eastAsia" w:ascii="Arial" w:hAnsi="Arial" w:cs="Arial"/>
          <w:color w:val="033261" w:themeColor="hyperlink" w:themeShade="80"/>
          <w:szCs w:val="24"/>
          <w:lang w:val="en-US" w:eastAsia="zh-CN" w:bidi="ar-SA"/>
        </w:rPr>
        <w:t xml:space="preserve"> </w:t>
      </w:r>
      <w:r>
        <w:rPr>
          <w:rFonts w:hint="default" w:ascii="Arial" w:hAnsi="Arial" w:cs="Arial"/>
          <w:szCs w:val="24"/>
        </w:rPr>
        <w:t>Primary Data Collection</w:t>
      </w:r>
      <w:r>
        <w:tab/>
      </w:r>
      <w:r>
        <w:fldChar w:fldCharType="begin"/>
      </w:r>
      <w:r>
        <w:instrText xml:space="preserve"> PAGEREF _Toc31019 \h </w:instrText>
      </w:r>
      <w:r>
        <w:fldChar w:fldCharType="separate"/>
      </w:r>
      <w:r>
        <w:t>47</w:t>
      </w:r>
      <w:r>
        <w:fldChar w:fldCharType="end"/>
      </w:r>
      <w:r>
        <w:rPr>
          <w:rFonts w:hint="default" w:ascii="Arial" w:hAnsi="Arial" w:cs="Arial"/>
          <w:szCs w:val="24"/>
        </w:rPr>
        <w:fldChar w:fldCharType="end"/>
      </w:r>
    </w:p>
    <w:p w14:paraId="547B2B4F">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_Toc4104 </w:instrText>
      </w:r>
      <w:r>
        <w:rPr>
          <w:rFonts w:hint="default" w:ascii="Arial" w:hAnsi="Arial" w:cs="Arial"/>
          <w:szCs w:val="24"/>
        </w:rPr>
        <w:fldChar w:fldCharType="separate"/>
      </w:r>
      <w:r>
        <w:rPr>
          <w:rFonts w:hint="eastAsia" w:ascii="Arial" w:hAnsi="Arial" w:cs="Arial"/>
          <w:color w:val="033261" w:themeColor="hyperlink" w:themeShade="80"/>
          <w:szCs w:val="24"/>
          <w:lang w:val="en-US" w:eastAsia="zh-CN" w:bidi="ar-SA"/>
        </w:rPr>
        <w:t>3</w:t>
      </w:r>
      <w:r>
        <w:rPr>
          <w:rFonts w:hint="default" w:ascii="Arial" w:hAnsi="Arial" w:cs="Arial" w:eastAsiaTheme="majorEastAsia"/>
          <w:color w:val="033261" w:themeColor="hyperlink" w:themeShade="80"/>
          <w:szCs w:val="24"/>
          <w:lang w:val="en-US" w:eastAsia="en-US" w:bidi="ar-SA"/>
        </w:rPr>
        <w:t>.5.2</w:t>
      </w:r>
      <w:r>
        <w:rPr>
          <w:rFonts w:hint="eastAsia" w:ascii="Arial" w:hAnsi="Arial" w:cs="Arial"/>
          <w:color w:val="033261" w:themeColor="hyperlink" w:themeShade="80"/>
          <w:szCs w:val="24"/>
          <w:lang w:val="en-US" w:eastAsia="zh-CN" w:bidi="ar-SA"/>
        </w:rPr>
        <w:t xml:space="preserve">  </w:t>
      </w:r>
      <w:r>
        <w:rPr>
          <w:rFonts w:hint="default" w:ascii="Arial" w:hAnsi="Arial" w:cs="Arial"/>
          <w:szCs w:val="24"/>
        </w:rPr>
        <w:t>Sampling</w:t>
      </w:r>
      <w:r>
        <w:tab/>
      </w:r>
      <w:r>
        <w:fldChar w:fldCharType="begin"/>
      </w:r>
      <w:r>
        <w:instrText xml:space="preserve"> PAGEREF _Toc4104 \h </w:instrText>
      </w:r>
      <w:r>
        <w:fldChar w:fldCharType="separate"/>
      </w:r>
      <w:r>
        <w:t>48</w:t>
      </w:r>
      <w:r>
        <w:fldChar w:fldCharType="end"/>
      </w:r>
      <w:r>
        <w:rPr>
          <w:rFonts w:hint="default" w:ascii="Arial" w:hAnsi="Arial" w:cs="Arial"/>
          <w:szCs w:val="24"/>
        </w:rPr>
        <w:fldChar w:fldCharType="end"/>
      </w:r>
    </w:p>
    <w:p w14:paraId="70DAB17C">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_Toc15217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3</w:t>
      </w:r>
      <w:r>
        <w:rPr>
          <w:rFonts w:hint="default" w:ascii="Arial" w:hAnsi="Arial" w:cs="Arial" w:eastAsiaTheme="majorEastAsia"/>
          <w:color w:val="044A91" w:themeColor="hyperlink" w:themeShade="BF"/>
          <w:szCs w:val="24"/>
          <w:lang w:val="en-US" w:eastAsia="en-US" w:bidi="ar-SA"/>
        </w:rPr>
        <w:t>.6</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Data Analysis</w:t>
      </w:r>
      <w:r>
        <w:tab/>
      </w:r>
      <w:r>
        <w:fldChar w:fldCharType="begin"/>
      </w:r>
      <w:r>
        <w:instrText xml:space="preserve"> PAGEREF _Toc15217 \h </w:instrText>
      </w:r>
      <w:r>
        <w:fldChar w:fldCharType="separate"/>
      </w:r>
      <w:r>
        <w:t>49</w:t>
      </w:r>
      <w:r>
        <w:fldChar w:fldCharType="end"/>
      </w:r>
      <w:r>
        <w:rPr>
          <w:rFonts w:hint="default" w:ascii="Arial" w:hAnsi="Arial" w:cs="Arial"/>
          <w:szCs w:val="24"/>
        </w:rPr>
        <w:fldChar w:fldCharType="end"/>
      </w:r>
    </w:p>
    <w:p w14:paraId="2AA6E546">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_Toc22246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3</w:t>
      </w:r>
      <w:r>
        <w:rPr>
          <w:rFonts w:hint="default" w:ascii="Arial" w:hAnsi="Arial" w:cs="Arial" w:eastAsiaTheme="majorEastAsia"/>
          <w:color w:val="044A91" w:themeColor="hyperlink" w:themeShade="BF"/>
          <w:szCs w:val="24"/>
          <w:lang w:val="en-US" w:eastAsia="en-US" w:bidi="ar-SA"/>
        </w:rPr>
        <w:t>.7</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Ethical Considerations</w:t>
      </w:r>
      <w:r>
        <w:tab/>
      </w:r>
      <w:r>
        <w:fldChar w:fldCharType="begin"/>
      </w:r>
      <w:r>
        <w:instrText xml:space="preserve"> PAGEREF _Toc22246 \h </w:instrText>
      </w:r>
      <w:r>
        <w:fldChar w:fldCharType="separate"/>
      </w:r>
      <w:r>
        <w:t>51</w:t>
      </w:r>
      <w:r>
        <w:fldChar w:fldCharType="end"/>
      </w:r>
      <w:r>
        <w:rPr>
          <w:rFonts w:hint="default" w:ascii="Arial" w:hAnsi="Arial" w:cs="Arial"/>
          <w:szCs w:val="24"/>
        </w:rPr>
        <w:fldChar w:fldCharType="end"/>
      </w:r>
    </w:p>
    <w:p w14:paraId="1CD08242">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_Toc8805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3</w:t>
      </w:r>
      <w:r>
        <w:rPr>
          <w:rFonts w:hint="default" w:ascii="Arial" w:hAnsi="Arial" w:cs="Arial" w:eastAsiaTheme="majorEastAsia"/>
          <w:color w:val="044A91" w:themeColor="hyperlink" w:themeShade="BF"/>
          <w:szCs w:val="24"/>
          <w:lang w:val="en-US" w:eastAsia="en-US" w:bidi="ar-SA"/>
        </w:rPr>
        <w:t>.8</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Conclusion</w:t>
      </w:r>
      <w:r>
        <w:tab/>
      </w:r>
      <w:r>
        <w:fldChar w:fldCharType="begin"/>
      </w:r>
      <w:r>
        <w:instrText xml:space="preserve"> PAGEREF _Toc8805 \h </w:instrText>
      </w:r>
      <w:r>
        <w:fldChar w:fldCharType="separate"/>
      </w:r>
      <w:r>
        <w:t>52</w:t>
      </w:r>
      <w:r>
        <w:fldChar w:fldCharType="end"/>
      </w:r>
      <w:r>
        <w:rPr>
          <w:rFonts w:hint="default" w:ascii="Arial" w:hAnsi="Arial" w:cs="Arial"/>
          <w:szCs w:val="24"/>
        </w:rPr>
        <w:fldChar w:fldCharType="end"/>
      </w:r>
    </w:p>
    <w:p w14:paraId="2F565EC4">
      <w:pPr>
        <w:pStyle w:val="17"/>
        <w:tabs>
          <w:tab w:val="right" w:leader="dot" w:pos="9360"/>
        </w:tabs>
        <w:ind w:left="0" w:leftChars="0" w:firstLine="0" w:firstLineChars="0"/>
      </w:pPr>
      <w:r>
        <w:rPr>
          <w:rFonts w:hint="default" w:ascii="Arial" w:hAnsi="Arial" w:cs="Arial"/>
          <w:szCs w:val="24"/>
        </w:rPr>
        <w:fldChar w:fldCharType="begin"/>
      </w:r>
      <w:r>
        <w:rPr>
          <w:rFonts w:hint="default" w:ascii="Arial" w:hAnsi="Arial" w:cs="Arial"/>
          <w:szCs w:val="24"/>
        </w:rPr>
        <w:instrText xml:space="preserve"> HYPERLINK \l _Toc16770 </w:instrText>
      </w:r>
      <w:r>
        <w:rPr>
          <w:rFonts w:hint="default" w:ascii="Arial" w:hAnsi="Arial" w:cs="Arial"/>
          <w:szCs w:val="24"/>
        </w:rPr>
        <w:fldChar w:fldCharType="separate"/>
      </w:r>
      <w:r>
        <w:rPr>
          <w:rFonts w:hint="default" w:ascii="Arial" w:hAnsi="Arial" w:cs="Arial"/>
          <w:szCs w:val="24"/>
        </w:rPr>
        <w:t>Chapter 4: Findings and Analysis</w:t>
      </w:r>
      <w:r>
        <w:tab/>
      </w:r>
      <w:r>
        <w:fldChar w:fldCharType="begin"/>
      </w:r>
      <w:r>
        <w:instrText xml:space="preserve"> PAGEREF _Toc16770 \h </w:instrText>
      </w:r>
      <w:r>
        <w:fldChar w:fldCharType="separate"/>
      </w:r>
      <w:r>
        <w:t>54</w:t>
      </w:r>
      <w:r>
        <w:fldChar w:fldCharType="end"/>
      </w:r>
      <w:r>
        <w:rPr>
          <w:rFonts w:hint="default" w:ascii="Arial" w:hAnsi="Arial" w:cs="Arial"/>
          <w:szCs w:val="24"/>
        </w:rPr>
        <w:fldChar w:fldCharType="end"/>
      </w:r>
    </w:p>
    <w:p w14:paraId="36B70EF0">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_Toc3535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4</w:t>
      </w:r>
      <w:r>
        <w:rPr>
          <w:rFonts w:hint="default" w:ascii="Arial" w:hAnsi="Arial" w:cs="Arial" w:eastAsiaTheme="majorEastAsia"/>
          <w:color w:val="044A91" w:themeColor="hyperlink" w:themeShade="BF"/>
          <w:szCs w:val="24"/>
          <w:lang w:val="en-US" w:eastAsia="en-US" w:bidi="ar-SA"/>
        </w:rPr>
        <w:t>.1</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Demographics</w:t>
      </w:r>
      <w:r>
        <w:tab/>
      </w:r>
      <w:r>
        <w:fldChar w:fldCharType="begin"/>
      </w:r>
      <w:r>
        <w:instrText xml:space="preserve"> PAGEREF _Toc3535 \h </w:instrText>
      </w:r>
      <w:r>
        <w:fldChar w:fldCharType="separate"/>
      </w:r>
      <w:r>
        <w:t>54</w:t>
      </w:r>
      <w:r>
        <w:fldChar w:fldCharType="end"/>
      </w:r>
      <w:r>
        <w:rPr>
          <w:rFonts w:hint="default" w:ascii="Arial" w:hAnsi="Arial" w:cs="Arial"/>
          <w:szCs w:val="24"/>
        </w:rPr>
        <w:fldChar w:fldCharType="end"/>
      </w:r>
    </w:p>
    <w:p w14:paraId="493453F8">
      <w:pPr>
        <w:pStyle w:val="16"/>
        <w:tabs>
          <w:tab w:val="right" w:leader="dot" w:pos="9360"/>
        </w:tabs>
        <w:ind w:firstLine="240" w:firstLineChars="100"/>
      </w:pPr>
      <w:r>
        <w:rPr>
          <w:rFonts w:hint="default" w:ascii="Arial" w:hAnsi="Arial" w:cs="Arial"/>
          <w:szCs w:val="24"/>
        </w:rPr>
        <w:fldChar w:fldCharType="begin"/>
      </w:r>
      <w:r>
        <w:rPr>
          <w:rFonts w:hint="default" w:ascii="Arial" w:hAnsi="Arial" w:cs="Arial"/>
          <w:szCs w:val="24"/>
        </w:rPr>
        <w:instrText xml:space="preserve"> HYPERLINK \l _Toc24744 </w:instrText>
      </w:r>
      <w:r>
        <w:rPr>
          <w:rFonts w:hint="default" w:ascii="Arial" w:hAnsi="Arial" w:cs="Arial"/>
          <w:szCs w:val="24"/>
        </w:rPr>
        <w:fldChar w:fldCharType="separate"/>
      </w:r>
      <w:r>
        <w:rPr>
          <w:rFonts w:hint="eastAsia" w:ascii="Arial" w:hAnsi="Arial" w:cs="Arial" w:eastAsiaTheme="majorEastAsia"/>
          <w:color w:val="033261" w:themeColor="hyperlink" w:themeShade="80"/>
          <w:szCs w:val="24"/>
          <w:lang w:val="en-US" w:eastAsia="zh-CN" w:bidi="ar-SA"/>
        </w:rPr>
        <w:t xml:space="preserve">4.1.1 </w:t>
      </w:r>
      <w:r>
        <w:rPr>
          <w:rFonts w:hint="default" w:ascii="Arial" w:hAnsi="Arial" w:cs="Arial" w:eastAsiaTheme="majorEastAsia"/>
          <w:color w:val="033261" w:themeColor="hyperlink" w:themeShade="80"/>
          <w:szCs w:val="24"/>
          <w:lang w:val="en-US" w:eastAsia="en-US" w:bidi="ar-SA"/>
        </w:rPr>
        <w:t>Reliability</w:t>
      </w:r>
      <w:r>
        <w:tab/>
      </w:r>
      <w:r>
        <w:fldChar w:fldCharType="begin"/>
      </w:r>
      <w:r>
        <w:instrText xml:space="preserve"> PAGEREF _Toc24744 \h </w:instrText>
      </w:r>
      <w:r>
        <w:fldChar w:fldCharType="separate"/>
      </w:r>
      <w:r>
        <w:t>57</w:t>
      </w:r>
      <w:r>
        <w:fldChar w:fldCharType="end"/>
      </w:r>
      <w:r>
        <w:rPr>
          <w:rFonts w:hint="default" w:ascii="Arial" w:hAnsi="Arial" w:cs="Arial"/>
          <w:szCs w:val="24"/>
        </w:rPr>
        <w:fldChar w:fldCharType="end"/>
      </w:r>
    </w:p>
    <w:p w14:paraId="3A73C636">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_Toc25295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4</w:t>
      </w:r>
      <w:r>
        <w:rPr>
          <w:rFonts w:hint="default" w:ascii="Arial" w:hAnsi="Arial" w:cs="Arial" w:eastAsiaTheme="majorEastAsia"/>
          <w:color w:val="044A91" w:themeColor="hyperlink" w:themeShade="BF"/>
          <w:szCs w:val="24"/>
          <w:lang w:val="en-US" w:eastAsia="en-US" w:bidi="ar-SA"/>
        </w:rPr>
        <w:t>.2</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Descriptive</w:t>
      </w:r>
      <w:r>
        <w:tab/>
      </w:r>
      <w:r>
        <w:fldChar w:fldCharType="begin"/>
      </w:r>
      <w:r>
        <w:instrText xml:space="preserve"> PAGEREF _Toc25295 \h </w:instrText>
      </w:r>
      <w:r>
        <w:fldChar w:fldCharType="separate"/>
      </w:r>
      <w:r>
        <w:t>60</w:t>
      </w:r>
      <w:r>
        <w:fldChar w:fldCharType="end"/>
      </w:r>
      <w:r>
        <w:rPr>
          <w:rFonts w:hint="default" w:ascii="Arial" w:hAnsi="Arial" w:cs="Arial"/>
          <w:szCs w:val="24"/>
        </w:rPr>
        <w:fldChar w:fldCharType="end"/>
      </w:r>
    </w:p>
    <w:p w14:paraId="445365D2">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_Toc18039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4</w:t>
      </w:r>
      <w:r>
        <w:rPr>
          <w:rFonts w:hint="default" w:ascii="Arial" w:hAnsi="Arial" w:cs="Arial" w:eastAsiaTheme="majorEastAsia"/>
          <w:color w:val="044A91" w:themeColor="hyperlink" w:themeShade="BF"/>
          <w:szCs w:val="24"/>
          <w:lang w:val="en-US" w:eastAsia="en-US" w:bidi="ar-SA"/>
        </w:rPr>
        <w:t>.3</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Correlation</w:t>
      </w:r>
      <w:r>
        <w:tab/>
      </w:r>
      <w:r>
        <w:fldChar w:fldCharType="begin"/>
      </w:r>
      <w:r>
        <w:instrText xml:space="preserve"> PAGEREF _Toc18039 \h </w:instrText>
      </w:r>
      <w:r>
        <w:fldChar w:fldCharType="separate"/>
      </w:r>
      <w:r>
        <w:t>61</w:t>
      </w:r>
      <w:r>
        <w:fldChar w:fldCharType="end"/>
      </w:r>
      <w:r>
        <w:rPr>
          <w:rFonts w:hint="default" w:ascii="Arial" w:hAnsi="Arial" w:cs="Arial"/>
          <w:szCs w:val="24"/>
        </w:rPr>
        <w:fldChar w:fldCharType="end"/>
      </w:r>
    </w:p>
    <w:p w14:paraId="2BFE352B">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_Toc3735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4</w:t>
      </w:r>
      <w:r>
        <w:rPr>
          <w:rFonts w:hint="default" w:ascii="Arial" w:hAnsi="Arial" w:cs="Arial" w:eastAsiaTheme="majorEastAsia"/>
          <w:color w:val="044A91" w:themeColor="hyperlink" w:themeShade="BF"/>
          <w:szCs w:val="24"/>
          <w:lang w:val="en-US" w:eastAsia="en-US" w:bidi="ar-SA"/>
        </w:rPr>
        <w:t>.4</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Regression</w:t>
      </w:r>
      <w:r>
        <w:tab/>
      </w:r>
      <w:r>
        <w:fldChar w:fldCharType="begin"/>
      </w:r>
      <w:r>
        <w:instrText xml:space="preserve"> PAGEREF _Toc3735 \h </w:instrText>
      </w:r>
      <w:r>
        <w:fldChar w:fldCharType="separate"/>
      </w:r>
      <w:r>
        <w:t>62</w:t>
      </w:r>
      <w:r>
        <w:fldChar w:fldCharType="end"/>
      </w:r>
      <w:r>
        <w:rPr>
          <w:rFonts w:hint="default" w:ascii="Arial" w:hAnsi="Arial" w:cs="Arial"/>
          <w:szCs w:val="24"/>
        </w:rPr>
        <w:fldChar w:fldCharType="end"/>
      </w:r>
    </w:p>
    <w:p w14:paraId="3905D45D">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_Toc2209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4</w:t>
      </w:r>
      <w:r>
        <w:rPr>
          <w:rFonts w:hint="default" w:ascii="Arial" w:hAnsi="Arial" w:cs="Arial" w:eastAsiaTheme="majorEastAsia"/>
          <w:color w:val="044A91" w:themeColor="hyperlink" w:themeShade="BF"/>
          <w:szCs w:val="24"/>
          <w:lang w:val="en-US" w:eastAsia="en-US" w:bidi="ar-SA"/>
        </w:rPr>
        <w:t>.5</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Discussion</w:t>
      </w:r>
      <w:r>
        <w:tab/>
      </w:r>
      <w:r>
        <w:fldChar w:fldCharType="begin"/>
      </w:r>
      <w:r>
        <w:instrText xml:space="preserve"> PAGEREF _Toc2209 \h </w:instrText>
      </w:r>
      <w:r>
        <w:fldChar w:fldCharType="separate"/>
      </w:r>
      <w:r>
        <w:t>65</w:t>
      </w:r>
      <w:r>
        <w:fldChar w:fldCharType="end"/>
      </w:r>
      <w:r>
        <w:rPr>
          <w:rFonts w:hint="default" w:ascii="Arial" w:hAnsi="Arial" w:cs="Arial"/>
          <w:szCs w:val="24"/>
        </w:rPr>
        <w:fldChar w:fldCharType="end"/>
      </w:r>
    </w:p>
    <w:p w14:paraId="190EC5CC">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_Toc24628 </w:instrText>
      </w:r>
      <w:r>
        <w:rPr>
          <w:rFonts w:hint="default" w:ascii="Arial" w:hAnsi="Arial" w:cs="Arial"/>
          <w:szCs w:val="24"/>
        </w:rPr>
        <w:fldChar w:fldCharType="separate"/>
      </w:r>
      <w:r>
        <w:rPr>
          <w:rFonts w:hint="eastAsia" w:ascii="Arial" w:hAnsi="Arial" w:cs="Arial"/>
          <w:color w:val="033261" w:themeColor="hyperlink" w:themeShade="80"/>
          <w:szCs w:val="24"/>
          <w:lang w:val="en-US" w:eastAsia="zh-CN" w:bidi="ar-SA"/>
        </w:rPr>
        <w:t>4</w:t>
      </w:r>
      <w:r>
        <w:rPr>
          <w:rFonts w:hint="default" w:ascii="Arial" w:hAnsi="Arial" w:cs="Arial" w:eastAsiaTheme="majorEastAsia"/>
          <w:color w:val="033261" w:themeColor="hyperlink" w:themeShade="80"/>
          <w:szCs w:val="24"/>
          <w:lang w:val="en-US" w:eastAsia="en-US" w:bidi="ar-SA"/>
        </w:rPr>
        <w:t>.5.</w:t>
      </w:r>
      <w:r>
        <w:rPr>
          <w:rFonts w:hint="eastAsia" w:ascii="Arial" w:hAnsi="Arial" w:cs="Arial" w:eastAsiaTheme="majorEastAsia"/>
          <w:color w:val="033261" w:themeColor="hyperlink" w:themeShade="80"/>
          <w:szCs w:val="24"/>
          <w:lang w:val="en-US" w:eastAsia="zh-CN" w:bidi="ar-SA"/>
        </w:rPr>
        <w:t>1</w:t>
      </w:r>
      <w:r>
        <w:rPr>
          <w:rFonts w:hint="eastAsia" w:ascii="Arial" w:hAnsi="Arial" w:cs="Arial"/>
          <w:color w:val="033261" w:themeColor="hyperlink" w:themeShade="80"/>
          <w:szCs w:val="24"/>
          <w:lang w:val="en-US" w:eastAsia="zh-CN" w:bidi="ar-SA"/>
        </w:rPr>
        <w:t xml:space="preserve"> </w:t>
      </w:r>
      <w:r>
        <w:rPr>
          <w:rFonts w:hint="default" w:ascii="Arial" w:hAnsi="Arial" w:cs="Arial"/>
          <w:szCs w:val="24"/>
        </w:rPr>
        <w:t>Challenges in ESG Adoption</w:t>
      </w:r>
      <w:r>
        <w:tab/>
      </w:r>
      <w:r>
        <w:fldChar w:fldCharType="begin"/>
      </w:r>
      <w:r>
        <w:instrText xml:space="preserve"> PAGEREF _Toc24628 \h </w:instrText>
      </w:r>
      <w:r>
        <w:fldChar w:fldCharType="separate"/>
      </w:r>
      <w:r>
        <w:t>67</w:t>
      </w:r>
      <w:r>
        <w:fldChar w:fldCharType="end"/>
      </w:r>
      <w:r>
        <w:rPr>
          <w:rFonts w:hint="default" w:ascii="Arial" w:hAnsi="Arial" w:cs="Arial"/>
          <w:szCs w:val="24"/>
        </w:rPr>
        <w:fldChar w:fldCharType="end"/>
      </w:r>
    </w:p>
    <w:p w14:paraId="1E834AEE">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_Toc4504 </w:instrText>
      </w:r>
      <w:r>
        <w:rPr>
          <w:rFonts w:hint="default" w:ascii="Arial" w:hAnsi="Arial" w:cs="Arial"/>
          <w:szCs w:val="24"/>
        </w:rPr>
        <w:fldChar w:fldCharType="separate"/>
      </w:r>
      <w:r>
        <w:rPr>
          <w:rFonts w:hint="eastAsia" w:ascii="Arial" w:hAnsi="Arial" w:cs="Arial"/>
          <w:color w:val="044A91" w:themeColor="hyperlink" w:themeShade="BF"/>
          <w:szCs w:val="24"/>
          <w:lang w:val="en-US" w:eastAsia="zh-CN" w:bidi="ar-SA"/>
        </w:rPr>
        <w:t>4</w:t>
      </w:r>
      <w:r>
        <w:rPr>
          <w:rFonts w:hint="default" w:ascii="Arial" w:hAnsi="Arial" w:cs="Arial" w:eastAsiaTheme="majorEastAsia"/>
          <w:color w:val="044A91" w:themeColor="hyperlink" w:themeShade="BF"/>
          <w:szCs w:val="24"/>
          <w:lang w:val="en-US" w:eastAsia="en-US" w:bidi="ar-SA"/>
        </w:rPr>
        <w:t>.6</w:t>
      </w:r>
      <w:r>
        <w:rPr>
          <w:rFonts w:hint="eastAsia" w:ascii="Arial" w:hAnsi="Arial" w:cs="Arial"/>
          <w:color w:val="044A91" w:themeColor="hyperlink" w:themeShade="BF"/>
          <w:szCs w:val="24"/>
          <w:lang w:val="en-US" w:eastAsia="zh-CN" w:bidi="ar-SA"/>
        </w:rPr>
        <w:t xml:space="preserve"> </w:t>
      </w:r>
      <w:r>
        <w:rPr>
          <w:rFonts w:hint="default" w:ascii="Arial" w:hAnsi="Arial" w:cs="Arial"/>
          <w:szCs w:val="24"/>
        </w:rPr>
        <w:t>Chapter Summary</w:t>
      </w:r>
      <w:r>
        <w:tab/>
      </w:r>
      <w:r>
        <w:fldChar w:fldCharType="begin"/>
      </w:r>
      <w:r>
        <w:instrText xml:space="preserve"> PAGEREF _Toc4504 \h </w:instrText>
      </w:r>
      <w:r>
        <w:fldChar w:fldCharType="separate"/>
      </w:r>
      <w:r>
        <w:t>70</w:t>
      </w:r>
      <w:r>
        <w:fldChar w:fldCharType="end"/>
      </w:r>
      <w:r>
        <w:rPr>
          <w:rFonts w:hint="default" w:ascii="Arial" w:hAnsi="Arial" w:cs="Arial"/>
          <w:szCs w:val="24"/>
        </w:rPr>
        <w:fldChar w:fldCharType="end"/>
      </w:r>
    </w:p>
    <w:p w14:paraId="2CF4A452">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_Toc31104 </w:instrText>
      </w:r>
      <w:r>
        <w:rPr>
          <w:rFonts w:hint="default" w:ascii="Arial" w:hAnsi="Arial" w:cs="Arial"/>
          <w:szCs w:val="24"/>
        </w:rPr>
        <w:fldChar w:fldCharType="separate"/>
      </w:r>
      <w:r>
        <w:rPr>
          <w:rFonts w:hint="default" w:ascii="Arial" w:hAnsi="Arial" w:cs="Arial"/>
          <w:szCs w:val="24"/>
        </w:rPr>
        <w:t>Chapter 5: Conclusion and recommendations</w:t>
      </w:r>
      <w:r>
        <w:tab/>
      </w:r>
      <w:r>
        <w:fldChar w:fldCharType="begin"/>
      </w:r>
      <w:r>
        <w:instrText xml:space="preserve"> PAGEREF _Toc31104 \h </w:instrText>
      </w:r>
      <w:r>
        <w:fldChar w:fldCharType="separate"/>
      </w:r>
      <w:r>
        <w:t>72</w:t>
      </w:r>
      <w:r>
        <w:fldChar w:fldCharType="end"/>
      </w:r>
      <w:r>
        <w:rPr>
          <w:rFonts w:hint="default" w:ascii="Arial" w:hAnsi="Arial" w:cs="Arial"/>
          <w:szCs w:val="24"/>
        </w:rPr>
        <w:fldChar w:fldCharType="end"/>
      </w:r>
    </w:p>
    <w:p w14:paraId="5FA718AE">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_Toc8249 </w:instrText>
      </w:r>
      <w:r>
        <w:rPr>
          <w:rFonts w:hint="default" w:ascii="Arial" w:hAnsi="Arial" w:cs="Arial"/>
          <w:szCs w:val="24"/>
        </w:rPr>
        <w:fldChar w:fldCharType="separate"/>
      </w:r>
      <w:r>
        <w:rPr>
          <w:rFonts w:hint="eastAsia" w:ascii="Arial" w:hAnsi="Arial" w:cs="Arial" w:eastAsiaTheme="majorEastAsia"/>
          <w:color w:val="044A91" w:themeColor="hyperlink" w:themeShade="BF"/>
          <w:szCs w:val="24"/>
          <w:lang w:val="en-US" w:eastAsia="zh-CN" w:bidi="ar-SA"/>
        </w:rPr>
        <w:t>5</w:t>
      </w:r>
      <w:r>
        <w:rPr>
          <w:rFonts w:hint="default" w:ascii="Arial" w:hAnsi="Arial" w:cs="Arial" w:eastAsiaTheme="majorEastAsia"/>
          <w:color w:val="044A91" w:themeColor="hyperlink" w:themeShade="BF"/>
          <w:szCs w:val="24"/>
          <w:lang w:val="en-US" w:eastAsia="en-US" w:bidi="ar-SA"/>
        </w:rPr>
        <w:t>.1</w:t>
      </w:r>
      <w:r>
        <w:rPr>
          <w:rFonts w:hint="eastAsia" w:ascii="Arial" w:hAnsi="Arial" w:cs="Arial" w:eastAsiaTheme="majorEastAsia"/>
          <w:color w:val="044A91" w:themeColor="hyperlink" w:themeShade="BF"/>
          <w:szCs w:val="24"/>
          <w:lang w:val="en-US" w:eastAsia="zh-CN" w:bidi="ar-SA"/>
        </w:rPr>
        <w:t xml:space="preserve"> </w:t>
      </w:r>
      <w:r>
        <w:rPr>
          <w:rFonts w:hint="default" w:ascii="Arial" w:hAnsi="Arial" w:cs="Arial" w:eastAsiaTheme="majorEastAsia"/>
          <w:color w:val="044A91" w:themeColor="hyperlink" w:themeShade="BF"/>
          <w:szCs w:val="24"/>
          <w:lang w:val="en-US" w:eastAsia="en-US" w:bidi="ar-SA"/>
        </w:rPr>
        <w:t>Introduction</w:t>
      </w:r>
      <w:r>
        <w:tab/>
      </w:r>
      <w:r>
        <w:fldChar w:fldCharType="begin"/>
      </w:r>
      <w:r>
        <w:instrText xml:space="preserve"> PAGEREF _Toc8249 \h </w:instrText>
      </w:r>
      <w:r>
        <w:fldChar w:fldCharType="separate"/>
      </w:r>
      <w:r>
        <w:t>72</w:t>
      </w:r>
      <w:r>
        <w:fldChar w:fldCharType="end"/>
      </w:r>
      <w:r>
        <w:rPr>
          <w:rFonts w:hint="default" w:ascii="Arial" w:hAnsi="Arial" w:cs="Arial"/>
          <w:szCs w:val="24"/>
        </w:rPr>
        <w:fldChar w:fldCharType="end"/>
      </w:r>
    </w:p>
    <w:p w14:paraId="79AFDDD5">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_Toc22699 </w:instrText>
      </w:r>
      <w:r>
        <w:rPr>
          <w:rFonts w:hint="default" w:ascii="Arial" w:hAnsi="Arial" w:cs="Arial"/>
          <w:szCs w:val="24"/>
        </w:rPr>
        <w:fldChar w:fldCharType="separate"/>
      </w:r>
      <w:r>
        <w:rPr>
          <w:rFonts w:hint="eastAsia" w:ascii="Arial" w:hAnsi="Arial" w:cs="Arial" w:eastAsiaTheme="majorEastAsia"/>
          <w:color w:val="044A91" w:themeColor="hyperlink" w:themeShade="BF"/>
          <w:szCs w:val="24"/>
          <w:lang w:val="en-US" w:eastAsia="zh-CN" w:bidi="ar-SA"/>
        </w:rPr>
        <w:t>5</w:t>
      </w:r>
      <w:r>
        <w:rPr>
          <w:rFonts w:hint="default" w:ascii="Arial" w:hAnsi="Arial" w:cs="Arial" w:eastAsiaTheme="majorEastAsia"/>
          <w:color w:val="044A91" w:themeColor="hyperlink" w:themeShade="BF"/>
          <w:szCs w:val="24"/>
          <w:lang w:val="en-US" w:eastAsia="en-US" w:bidi="ar-SA"/>
        </w:rPr>
        <w:t>.2</w:t>
      </w:r>
      <w:r>
        <w:rPr>
          <w:rFonts w:hint="eastAsia" w:ascii="Arial" w:hAnsi="Arial" w:cs="Arial" w:eastAsiaTheme="majorEastAsia"/>
          <w:color w:val="044A91" w:themeColor="hyperlink" w:themeShade="BF"/>
          <w:szCs w:val="24"/>
          <w:lang w:val="en-US" w:eastAsia="zh-CN" w:bidi="ar-SA"/>
        </w:rPr>
        <w:t xml:space="preserve"> </w:t>
      </w:r>
      <w:r>
        <w:rPr>
          <w:rFonts w:hint="default" w:ascii="Arial" w:hAnsi="Arial" w:cs="Arial" w:eastAsiaTheme="majorEastAsia"/>
          <w:color w:val="044A91" w:themeColor="hyperlink" w:themeShade="BF"/>
          <w:szCs w:val="24"/>
          <w:lang w:val="en-US" w:eastAsia="en-US" w:bidi="ar-SA"/>
        </w:rPr>
        <w:t>Conclusion</w:t>
      </w:r>
      <w:r>
        <w:tab/>
      </w:r>
      <w:r>
        <w:fldChar w:fldCharType="begin"/>
      </w:r>
      <w:r>
        <w:instrText xml:space="preserve"> PAGEREF _Toc22699 \h </w:instrText>
      </w:r>
      <w:r>
        <w:fldChar w:fldCharType="separate"/>
      </w:r>
      <w:r>
        <w:t>72</w:t>
      </w:r>
      <w:r>
        <w:fldChar w:fldCharType="end"/>
      </w:r>
      <w:r>
        <w:rPr>
          <w:rFonts w:hint="default" w:ascii="Arial" w:hAnsi="Arial" w:cs="Arial"/>
          <w:szCs w:val="24"/>
        </w:rPr>
        <w:fldChar w:fldCharType="end"/>
      </w:r>
    </w:p>
    <w:p w14:paraId="6FEFD892">
      <w:pPr>
        <w:pStyle w:val="17"/>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_Toc4530 </w:instrText>
      </w:r>
      <w:r>
        <w:rPr>
          <w:rFonts w:hint="default" w:ascii="Arial" w:hAnsi="Arial" w:cs="Arial"/>
          <w:szCs w:val="24"/>
        </w:rPr>
        <w:fldChar w:fldCharType="separate"/>
      </w:r>
      <w:r>
        <w:rPr>
          <w:rFonts w:hint="eastAsia" w:ascii="Arial" w:hAnsi="Arial" w:cs="Arial" w:eastAsiaTheme="majorEastAsia"/>
          <w:color w:val="044A91" w:themeColor="hyperlink" w:themeShade="BF"/>
          <w:szCs w:val="24"/>
          <w:lang w:val="en-US" w:eastAsia="zh-CN" w:bidi="ar-SA"/>
        </w:rPr>
        <w:t>5</w:t>
      </w:r>
      <w:r>
        <w:rPr>
          <w:rFonts w:hint="default" w:ascii="Arial" w:hAnsi="Arial" w:cs="Arial" w:eastAsiaTheme="majorEastAsia"/>
          <w:color w:val="044A91" w:themeColor="hyperlink" w:themeShade="BF"/>
          <w:szCs w:val="24"/>
          <w:lang w:val="en-US" w:eastAsia="en-US" w:bidi="ar-SA"/>
        </w:rPr>
        <w:t>.3</w:t>
      </w:r>
      <w:r>
        <w:rPr>
          <w:rFonts w:hint="eastAsia" w:ascii="Arial" w:hAnsi="Arial" w:cs="Arial" w:eastAsiaTheme="majorEastAsia"/>
          <w:color w:val="044A91" w:themeColor="hyperlink" w:themeShade="BF"/>
          <w:szCs w:val="24"/>
          <w:lang w:val="en-US" w:eastAsia="zh-CN" w:bidi="ar-SA"/>
        </w:rPr>
        <w:t xml:space="preserve"> </w:t>
      </w:r>
      <w:r>
        <w:rPr>
          <w:rFonts w:hint="default" w:ascii="Arial" w:hAnsi="Arial" w:cs="Arial" w:eastAsiaTheme="majorEastAsia"/>
          <w:color w:val="044A91" w:themeColor="hyperlink" w:themeShade="BF"/>
          <w:szCs w:val="24"/>
          <w:lang w:val="en-US" w:eastAsia="en-US" w:bidi="ar-SA"/>
        </w:rPr>
        <w:t>Recommendations</w:t>
      </w:r>
      <w:r>
        <w:tab/>
      </w:r>
      <w:r>
        <w:fldChar w:fldCharType="begin"/>
      </w:r>
      <w:r>
        <w:instrText xml:space="preserve"> PAGEREF _Toc4530 \h </w:instrText>
      </w:r>
      <w:r>
        <w:fldChar w:fldCharType="separate"/>
      </w:r>
      <w:r>
        <w:t>75</w:t>
      </w:r>
      <w:r>
        <w:fldChar w:fldCharType="end"/>
      </w:r>
      <w:r>
        <w:rPr>
          <w:rFonts w:hint="default" w:ascii="Arial" w:hAnsi="Arial" w:cs="Arial"/>
          <w:szCs w:val="24"/>
        </w:rPr>
        <w:fldChar w:fldCharType="end"/>
      </w:r>
    </w:p>
    <w:p w14:paraId="0CA0A8A8">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_Toc18171 </w:instrText>
      </w:r>
      <w:r>
        <w:rPr>
          <w:rFonts w:hint="default" w:ascii="Arial" w:hAnsi="Arial" w:cs="Arial"/>
          <w:szCs w:val="24"/>
        </w:rPr>
        <w:fldChar w:fldCharType="separate"/>
      </w:r>
      <w:r>
        <w:rPr>
          <w:rFonts w:hint="default" w:ascii="Arial" w:hAnsi="Arial" w:cs="Arial"/>
          <w:szCs w:val="24"/>
        </w:rPr>
        <w:t>References</w:t>
      </w:r>
      <w:r>
        <w:tab/>
      </w:r>
      <w:r>
        <w:fldChar w:fldCharType="begin"/>
      </w:r>
      <w:r>
        <w:instrText xml:space="preserve"> PAGEREF _Toc18171 \h </w:instrText>
      </w:r>
      <w:r>
        <w:fldChar w:fldCharType="separate"/>
      </w:r>
      <w:r>
        <w:t>78</w:t>
      </w:r>
      <w:r>
        <w:fldChar w:fldCharType="end"/>
      </w:r>
      <w:r>
        <w:rPr>
          <w:rFonts w:hint="default" w:ascii="Arial" w:hAnsi="Arial" w:cs="Arial"/>
          <w:szCs w:val="24"/>
        </w:rPr>
        <w:fldChar w:fldCharType="end"/>
      </w:r>
    </w:p>
    <w:p w14:paraId="29A685F1">
      <w:pPr>
        <w:pStyle w:val="16"/>
        <w:tabs>
          <w:tab w:val="right" w:leader="dot" w:pos="9360"/>
        </w:tabs>
      </w:pPr>
      <w:r>
        <w:rPr>
          <w:rFonts w:hint="default" w:ascii="Arial" w:hAnsi="Arial" w:cs="Arial"/>
          <w:szCs w:val="24"/>
        </w:rPr>
        <w:fldChar w:fldCharType="begin"/>
      </w:r>
      <w:r>
        <w:rPr>
          <w:rFonts w:hint="default" w:ascii="Arial" w:hAnsi="Arial" w:cs="Arial"/>
          <w:szCs w:val="24"/>
        </w:rPr>
        <w:instrText xml:space="preserve"> HYPERLINK \l _Toc12213 </w:instrText>
      </w:r>
      <w:r>
        <w:rPr>
          <w:rFonts w:hint="default" w:ascii="Arial" w:hAnsi="Arial" w:cs="Arial"/>
          <w:szCs w:val="24"/>
        </w:rPr>
        <w:fldChar w:fldCharType="separate"/>
      </w:r>
      <w:r>
        <w:rPr>
          <w:rFonts w:hint="default" w:ascii="Arial" w:hAnsi="Arial" w:cs="Arial"/>
          <w:szCs w:val="24"/>
          <w:shd w:val="clear" w:color="auto" w:fill="FFFFFF"/>
        </w:rPr>
        <w:t>Appendix</w:t>
      </w:r>
      <w:r>
        <w:tab/>
      </w:r>
      <w:r>
        <w:fldChar w:fldCharType="begin"/>
      </w:r>
      <w:r>
        <w:instrText xml:space="preserve"> PAGEREF _Toc12213 \h </w:instrText>
      </w:r>
      <w:r>
        <w:fldChar w:fldCharType="separate"/>
      </w:r>
      <w:r>
        <w:t>86</w:t>
      </w:r>
      <w:r>
        <w:fldChar w:fldCharType="end"/>
      </w:r>
      <w:r>
        <w:rPr>
          <w:rFonts w:hint="default" w:ascii="Arial" w:hAnsi="Arial" w:cs="Arial"/>
          <w:szCs w:val="24"/>
        </w:rPr>
        <w:fldChar w:fldCharType="end"/>
      </w:r>
    </w:p>
    <w:p w14:paraId="6C425E5F">
      <w:pPr>
        <w:pStyle w:val="2"/>
        <w:numPr>
          <w:ilvl w:val="0"/>
          <w:numId w:val="0"/>
        </w:numPr>
        <w:spacing w:line="480" w:lineRule="auto"/>
        <w:jc w:val="both"/>
        <w:outlineLvl w:val="9"/>
        <w:rPr>
          <w:rFonts w:hint="default" w:ascii="Arial" w:hAnsi="Arial" w:cs="Arial"/>
          <w:sz w:val="28"/>
          <w:szCs w:val="28"/>
        </w:rPr>
      </w:pPr>
      <w:r>
        <w:rPr>
          <w:rFonts w:hint="default" w:ascii="Arial" w:hAnsi="Arial" w:cs="Arial"/>
          <w:szCs w:val="24"/>
        </w:rPr>
        <w:fldChar w:fldCharType="end"/>
      </w:r>
      <w:bookmarkStart w:id="8" w:name="_Toc2272"/>
      <w:r>
        <w:rPr>
          <w:rFonts w:hint="default" w:ascii="Arial" w:hAnsi="Arial" w:cs="Arial"/>
          <w:sz w:val="28"/>
          <w:szCs w:val="28"/>
        </w:rPr>
        <w:t>Chapter 1: Introduction</w:t>
      </w:r>
      <w:bookmarkEnd w:id="8"/>
    </w:p>
    <w:p w14:paraId="492B6629">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9" w:name="_Toc2059"/>
      <w:r>
        <w:rPr>
          <w:rFonts w:hint="default" w:ascii="Arial" w:hAnsi="Arial" w:cs="Arial" w:eastAsiaTheme="majorEastAsia"/>
          <w:b/>
          <w:color w:val="2E75B6" w:themeColor="accent1" w:themeShade="BF"/>
          <w:sz w:val="24"/>
          <w:szCs w:val="24"/>
          <w:lang w:val="en-US" w:eastAsia="en-US" w:bidi="ar-SA"/>
        </w:rPr>
        <w:t>1.1</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Introduction</w:t>
      </w:r>
      <w:bookmarkEnd w:id="9"/>
    </w:p>
    <w:p w14:paraId="20FB1248">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Environmental, social, and governance (ESG) has become one of the most important ethical concepts in contemporary post-industrial economies in the last 20 years (Shen et al., 2023). ESG is now a crucial issue that has taken the focus of social responsibility and sustainability in today’s core business, board meetings (Acuity Knowledge Partners, 2024). In China, ESG reporting is becoming more common, 53% of companies have reported about their sustainability, Corporate Social Responsibility, or ESG strategies in reports or on their company’s website (Danwillis, 2023). </w:t>
      </w:r>
    </w:p>
    <w:p w14:paraId="5AF91066">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Considering the increasing importance of ESG, this research seeks to provide consumers’ perceived attitude towards ESG implementation and its effect on the profitability and risk of Chinese firms.  The understanding of Environmental, Social and Governance ESG factors is gradually transforming into a fundamental framework concerning ethical principles of operation for businesses in the contemporary world. ESG concepts have evolved from peripheral ideas to fundamental concerns in business management in the last 20 years (Shen et al., 2023). This has increased due to a focus on sustainable business and prudence, heeding the call to factor ESG elements in company’s compensation, and boardroom (Acuity Knowledge Partners, 2024). </w:t>
      </w:r>
    </w:p>
    <w:p w14:paraId="1FF6F465">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The global economy player, China, has seen a breakthrough in the implementation of ESG. One of them is the rising emergence of ESG reports, which is evident in the graphic. Danwillis (2023) opine that more than half of the Chinese firms are reporting their</w:t>
      </w:r>
      <w:r>
        <w:rPr>
          <w:rFonts w:hint="default" w:ascii="Arial" w:hAnsi="Arial" w:cs="Arial"/>
          <w:sz w:val="24"/>
          <w:szCs w:val="24"/>
        </w:rPr>
        <w:t xml:space="preserve"> </w:t>
      </w:r>
      <w:r>
        <w:rPr>
          <w:rFonts w:hint="default" w:ascii="Arial" w:hAnsi="Arial" w:eastAsia="Times New Roman" w:cs="Arial"/>
          <w:sz w:val="24"/>
          <w:szCs w:val="24"/>
        </w:rPr>
        <w:t xml:space="preserve">sustainablity, CSR, or ESG initiatives in a report or on their website. ESG is a significant trend shown within the Chinese market to catch the attention of people who want to invest in sustainable companies.  </w:t>
      </w:r>
    </w:p>
    <w:p w14:paraId="600A8A46">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However, a crucial question remains: how has this shift towards ESG practices being viewed by the consumers? It is important to appreciate this point of view as the consumers can either enhance or deter a company’s </w:t>
      </w:r>
      <w:r>
        <w:rPr>
          <w:rFonts w:hint="default" w:ascii="Arial" w:hAnsi="Arial" w:eastAsia="宋体" w:cs="Arial"/>
          <w:sz w:val="24"/>
          <w:szCs w:val="24"/>
          <w:lang w:eastAsia="zh-CN"/>
        </w:rPr>
        <w:t>Financial</w:t>
      </w:r>
      <w:r>
        <w:rPr>
          <w:rFonts w:hint="default" w:ascii="Arial" w:hAnsi="Arial" w:eastAsia="Times New Roman" w:cs="Arial"/>
          <w:sz w:val="24"/>
          <w:szCs w:val="24"/>
        </w:rPr>
        <w:t xml:space="preserve"> and Risk. This research seeks to examine this question by analyzing consumers’ perception on ESG by Chinese firms and its impact on their financial health and susceptibility to risks.</w:t>
      </w:r>
    </w:p>
    <w:p w14:paraId="0F67997E">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Therefore, based on the analysis of consumers’ perception of ESG, the study can provide relevant recommendations to Chinese firms due to the existing change in this aspect. It is vital to know how consumers perceive the connection between ESG practices company prospects and how this knowledge may aid in adjusting sector strategies to capture responsible clients’ attention and encourage them to stay with the business. Also, examining consumers’ perspectives of the relationship between ESG and risk could reveal possible reputational and operational risks that depict poor ESG performance. </w:t>
      </w:r>
    </w:p>
    <w:p w14:paraId="14782622">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Thus, based on such an analysis of the consumer perception, the study will enhance the understanding of the complex nature of ESG adoption in the Chinese market. But it can also provide information on actual business tactics and regulatory policies and on consumer awareness projects, which increases the chances of its contributing to the sustainable and responsible development of the business climate in China. </w:t>
      </w:r>
    </w:p>
    <w:p w14:paraId="605B9208">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10" w:name="_Toc15371"/>
      <w:r>
        <w:rPr>
          <w:rFonts w:hint="default" w:ascii="Arial" w:hAnsi="Arial" w:cs="Arial" w:eastAsiaTheme="majorEastAsia"/>
          <w:b/>
          <w:color w:val="2E75B6" w:themeColor="accent1" w:themeShade="BF"/>
          <w:sz w:val="24"/>
          <w:szCs w:val="24"/>
          <w:lang w:val="en-US" w:eastAsia="en-US" w:bidi="ar-SA"/>
        </w:rPr>
        <w:t>1.2</w:t>
      </w:r>
      <w:r>
        <w:rPr>
          <w:rFonts w:hint="default" w:ascii="Arial" w:hAnsi="Arial" w:cs="Arial"/>
          <w:sz w:val="24"/>
          <w:szCs w:val="24"/>
        </w:rPr>
        <w:t xml:space="preserve"> </w:t>
      </w:r>
      <w:r>
        <w:rPr>
          <w:rFonts w:hint="eastAsia" w:ascii="Arial" w:hAnsi="Arial" w:cs="Arial"/>
          <w:sz w:val="24"/>
          <w:szCs w:val="24"/>
          <w:lang w:val="en-US" w:eastAsia="zh-CN"/>
        </w:rPr>
        <w:t xml:space="preserve"> </w:t>
      </w:r>
      <w:r>
        <w:rPr>
          <w:rFonts w:hint="default" w:ascii="Arial" w:hAnsi="Arial" w:cs="Arial"/>
          <w:sz w:val="24"/>
          <w:szCs w:val="24"/>
        </w:rPr>
        <w:t>Background</w:t>
      </w:r>
      <w:bookmarkEnd w:id="10"/>
      <w:r>
        <w:rPr>
          <w:rFonts w:hint="default" w:ascii="Arial" w:hAnsi="Arial" w:cs="Arial"/>
          <w:sz w:val="24"/>
          <w:szCs w:val="24"/>
        </w:rPr>
        <w:t xml:space="preserve"> </w:t>
      </w:r>
    </w:p>
    <w:p w14:paraId="33FE3923">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Researchers such as Shen et al. (2023) describe ESG as a concept that denotes Environmental, Social, and Corporate Governance under which businesses and organizations focus on the wellbeing of the society, environmental concerns and corporate governance rather than merely the financial aspect of their business. </w:t>
      </w:r>
    </w:p>
    <w:p w14:paraId="3AE2D3B3">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Sustainability and ESG have risen as the trends in business as more organizations shift to non-financial performance measures and the prospects of sustainability. ESG was first proposed in 2004 at the United Nations by the secretary-general for carrying out ethical investing and ultimately fostered the formation of PRI in 2006 (Shen et al., 2023).</w:t>
      </w:r>
    </w:p>
    <w:p w14:paraId="2AE047A8">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 In China ESG factors have also come into the Spotlight and China has become the leading green finance nation in Asia. According to the Climate Bonds Initiatives, by 2020, the green loans from the 21 leading Chinese banks stood at almost $1. 69 trillion; proven that China supports ESG best practices and sustainable development. </w:t>
      </w:r>
    </w:p>
    <w:p w14:paraId="7929B266">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It has been found in the literature that firms having focus on ESG are likely to perform better in terms of financial outlook because such firms avoid and mitigate legal and regulatory costs, increase operational effectiveness, and strengthen their corporate image (Liu et al., 2022; Sassen et al., 2016). Also, ESG performance is associated with controlling risk since it enables organizations to address social issues, environmental issues, and governance issues. </w:t>
      </w:r>
      <w:r>
        <w:rPr>
          <w:rFonts w:hint="default" w:ascii="Arial" w:hAnsi="Arial" w:cs="Arial"/>
          <w:sz w:val="24"/>
          <w:szCs w:val="24"/>
        </w:rPr>
        <w:t>However, the relationship between ESG and business performance can vary by sector and region, with inconsistent evidence in developing countries.</w:t>
      </w:r>
    </w:p>
    <w:p w14:paraId="4FADE000">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11" w:name="_Toc310"/>
      <w:r>
        <w:rPr>
          <w:rFonts w:hint="default" w:ascii="Arial" w:hAnsi="Arial" w:cs="Arial" w:eastAsiaTheme="majorEastAsia"/>
          <w:b/>
          <w:color w:val="1F4E79" w:themeColor="accent1" w:themeShade="80"/>
          <w:sz w:val="24"/>
          <w:szCs w:val="24"/>
          <w:lang w:val="en-US" w:eastAsia="en-US" w:bidi="ar-SA"/>
        </w:rPr>
        <w:t>1.2.1</w:t>
      </w:r>
      <w:r>
        <w:rPr>
          <w:rFonts w:hint="eastAsia" w:ascii="Arial" w:hAnsi="Arial" w:cs="Arial"/>
          <w:sz w:val="24"/>
          <w:szCs w:val="24"/>
          <w:lang w:val="en-US" w:eastAsia="zh-CN"/>
        </w:rPr>
        <w:t xml:space="preserve"> </w:t>
      </w:r>
      <w:r>
        <w:rPr>
          <w:rFonts w:hint="default" w:ascii="Arial" w:hAnsi="Arial" w:cs="Arial"/>
          <w:sz w:val="24"/>
          <w:szCs w:val="24"/>
        </w:rPr>
        <w:t>The Evolution of ESG</w:t>
      </w:r>
      <w:bookmarkEnd w:id="11"/>
    </w:p>
    <w:p w14:paraId="5C773E09">
      <w:pPr>
        <w:pStyle w:val="18"/>
        <w:spacing w:line="480" w:lineRule="auto"/>
        <w:jc w:val="both"/>
        <w:rPr>
          <w:rFonts w:hint="default" w:ascii="Arial" w:hAnsi="Arial" w:cs="Arial"/>
          <w:sz w:val="24"/>
          <w:szCs w:val="24"/>
        </w:rPr>
      </w:pPr>
      <w:r>
        <w:rPr>
          <w:rFonts w:hint="default" w:ascii="Arial" w:hAnsi="Arial" w:cs="Arial"/>
          <w:sz w:val="24"/>
          <w:szCs w:val="24"/>
        </w:rPr>
        <w:t xml:space="preserve">Environmental, Social, and Governance (ESG) hence stands as a trademark of moral business operations in the 21st century. Shen et al. (2023) have described ESG as a concept that is broader than the idea of maximizing the shareholders’ value, as it demonstrates a company’s concern of making a positive impact in socio-Environmental issues as well as showing good corporate governance. There is an increasing bias for Social Return on Investment (SRI) a result of a global shift towards sustainability consciousness among investors and organisations, meaning that the evaluation of non-financial values and growth prospects of firms are being considered in organisational decision-making processes (Shen et al., 2023). </w:t>
      </w:r>
    </w:p>
    <w:p w14:paraId="6593B788">
      <w:pPr>
        <w:pStyle w:val="18"/>
        <w:spacing w:line="480" w:lineRule="auto"/>
        <w:jc w:val="both"/>
        <w:rPr>
          <w:rFonts w:hint="default" w:ascii="Arial" w:hAnsi="Arial" w:cs="Arial"/>
          <w:sz w:val="24"/>
          <w:szCs w:val="24"/>
        </w:rPr>
      </w:pPr>
      <w:r>
        <w:rPr>
          <w:rFonts w:hint="default" w:ascii="Arial" w:hAnsi="Arial" w:cs="Arial"/>
          <w:sz w:val="24"/>
          <w:szCs w:val="24"/>
        </w:rPr>
        <w:t xml:space="preserve">ESG became an issue starting from the early 2000s though it can be said that the year 2004 marked a turning point. Later the same year of the report, the UN Secretary-General advised the use of ESG criteria for investment. This recommendation paved the way for the formation of Principles for Responsible Investment (PRI) in 2006 and the more solidification of ESG on the international financial system was further emphasized (Shen et al., 2023). </w:t>
      </w:r>
    </w:p>
    <w:p w14:paraId="6EF4DB8F">
      <w:pPr>
        <w:pStyle w:val="18"/>
        <w:spacing w:line="480" w:lineRule="auto"/>
        <w:jc w:val="both"/>
        <w:rPr>
          <w:rFonts w:hint="default" w:ascii="Arial" w:hAnsi="Arial" w:cs="Arial"/>
          <w:sz w:val="24"/>
          <w:szCs w:val="24"/>
        </w:rPr>
      </w:pPr>
      <w:r>
        <w:rPr>
          <w:rFonts w:hint="default" w:ascii="Arial" w:hAnsi="Arial" w:cs="Arial"/>
          <w:sz w:val="24"/>
          <w:szCs w:val="24"/>
        </w:rPr>
        <w:t xml:space="preserve">The formation of PRI was the critical point, however, the origin of ESG could be dated even prior to that. The Sullivan Principles formulated in the 1980s to cover social issues in South Africa also went a long way in creating awareness for the coming of a stronger ESG disclosure framework (Kearney, 2015). In the years that followed, a number of quite influential groups of stakeholders NGO, socially oriented investors, and universities and other academic institutions took up the mission of endorsing the ESG practices and setting up the standards for them (Bassen et al., 2015). </w:t>
      </w:r>
    </w:p>
    <w:p w14:paraId="4297E028">
      <w:pPr>
        <w:pStyle w:val="4"/>
        <w:numPr>
          <w:ilvl w:val="2"/>
          <w:numId w:val="0"/>
        </w:numPr>
        <w:spacing w:line="480" w:lineRule="auto"/>
        <w:ind w:left="1200" w:leftChars="0" w:hanging="720" w:firstLineChars="0"/>
        <w:jc w:val="both"/>
        <w:rPr>
          <w:rFonts w:hint="default" w:ascii="Arial" w:hAnsi="Arial" w:cs="Arial"/>
          <w:sz w:val="24"/>
          <w:szCs w:val="24"/>
        </w:rPr>
      </w:pPr>
      <w:r>
        <w:rPr>
          <w:rFonts w:hint="default" w:ascii="Arial" w:hAnsi="Arial" w:cs="Arial" w:eastAsiaTheme="majorEastAsia"/>
          <w:b/>
          <w:color w:val="1F4E79" w:themeColor="accent1" w:themeShade="80"/>
          <w:sz w:val="24"/>
          <w:szCs w:val="24"/>
          <w:lang w:val="en-US" w:eastAsia="en-US" w:bidi="ar-SA"/>
        </w:rPr>
        <w:t>1.2.2</w:t>
      </w:r>
      <w:r>
        <w:rPr>
          <w:rFonts w:hint="eastAsia" w:ascii="Arial" w:hAnsi="Arial" w:cs="Arial"/>
          <w:b/>
          <w:color w:val="1F4E79" w:themeColor="accent1" w:themeShade="80"/>
          <w:sz w:val="24"/>
          <w:szCs w:val="24"/>
          <w:lang w:val="en-US" w:eastAsia="zh-CN" w:bidi="ar-SA"/>
        </w:rPr>
        <w:t xml:space="preserve"> </w:t>
      </w:r>
      <w:r>
        <w:rPr>
          <w:rFonts w:hint="default" w:ascii="Arial" w:hAnsi="Arial" w:cs="Arial"/>
          <w:sz w:val="24"/>
          <w:szCs w:val="24"/>
        </w:rPr>
        <w:t xml:space="preserve"> ESG Came into the Limelight and China’s ESG Journey </w:t>
      </w:r>
    </w:p>
    <w:p w14:paraId="577F24E3">
      <w:pPr>
        <w:pStyle w:val="18"/>
        <w:spacing w:line="480" w:lineRule="auto"/>
        <w:jc w:val="both"/>
        <w:rPr>
          <w:rFonts w:hint="default" w:ascii="Arial" w:hAnsi="Arial" w:cs="Arial"/>
          <w:sz w:val="24"/>
          <w:szCs w:val="24"/>
        </w:rPr>
      </w:pPr>
      <w:r>
        <w:rPr>
          <w:rFonts w:hint="default" w:ascii="Arial" w:hAnsi="Arial" w:cs="Arial"/>
          <w:sz w:val="24"/>
          <w:szCs w:val="24"/>
        </w:rPr>
        <w:t xml:space="preserve"> Currently, China has become one of the influential members of the global economy; thus, it is recorded that the application of ESG framework also increases rapidly. It is even becoming a pioneer in the green finance within Asia. As estimated by the Climate Bonds Initiatives (2022), Total green loans in the top 21 Chinese banks had already reached a staggering $1 till 2020. 69 trillion. This data indicates why China has been keen on adopting the ESG frameworks and on the path to achieving sustainable development objectives. </w:t>
      </w:r>
    </w:p>
    <w:p w14:paraId="43B707CF">
      <w:pPr>
        <w:pStyle w:val="18"/>
        <w:spacing w:line="480" w:lineRule="auto"/>
        <w:jc w:val="both"/>
        <w:rPr>
          <w:rFonts w:hint="default" w:ascii="Arial" w:hAnsi="Arial" w:cs="Arial"/>
          <w:sz w:val="24"/>
          <w:szCs w:val="24"/>
        </w:rPr>
      </w:pPr>
      <w:r>
        <w:rPr>
          <w:rFonts w:hint="default" w:ascii="Arial" w:hAnsi="Arial" w:cs="Arial"/>
          <w:sz w:val="24"/>
          <w:szCs w:val="24"/>
        </w:rPr>
        <w:t xml:space="preserve">The following factors could explain why China has recently paid more attention to green finance. First of all, excessive amounts of pollution are apparent in the country and comprise air pollution and water pollution. Tackling these problems has emerged as a concern of the nation, and it induces polices and monetary efforts for environmentally sustainable actions (Chen et al., 2020). </w:t>
      </w:r>
    </w:p>
    <w:p w14:paraId="5FB366E4">
      <w:pPr>
        <w:pStyle w:val="18"/>
        <w:spacing w:line="480" w:lineRule="auto"/>
        <w:jc w:val="both"/>
        <w:rPr>
          <w:rFonts w:hint="default" w:ascii="Arial" w:hAnsi="Arial" w:cs="Arial"/>
          <w:sz w:val="24"/>
          <w:szCs w:val="24"/>
        </w:rPr>
      </w:pPr>
      <w:r>
        <w:rPr>
          <w:rFonts w:hint="default" w:ascii="Arial" w:hAnsi="Arial" w:cs="Arial"/>
          <w:sz w:val="24"/>
          <w:szCs w:val="24"/>
        </w:rPr>
        <w:t>Secondly, the economic growth has shifted the Chinese consumers’ concern to the environment and is thus creating a middle class. This change in consumer behavior presents a market demand for firms who put into consideration the aspect of sustainability (Wang and Sarkis, 2017).</w:t>
      </w:r>
    </w:p>
    <w:p w14:paraId="007F18BE">
      <w:pPr>
        <w:pStyle w:val="18"/>
        <w:spacing w:line="480" w:lineRule="auto"/>
        <w:jc w:val="both"/>
        <w:rPr>
          <w:rFonts w:hint="default" w:ascii="Arial" w:hAnsi="Arial" w:cs="Arial"/>
          <w:sz w:val="24"/>
          <w:szCs w:val="24"/>
        </w:rPr>
      </w:pPr>
      <w:r>
        <w:rPr>
          <w:rFonts w:hint="default" w:ascii="Arial" w:hAnsi="Arial" w:cs="Arial"/>
          <w:sz w:val="24"/>
          <w:szCs w:val="24"/>
        </w:rPr>
        <w:t xml:space="preserve">Last but not the least is the factor of China itself that wants to rule the world. With green finance and ESG China is positioning itself as a responsible actor on the international stage (Xi et al., 2020). Although, the green finance market in China is relatively young, its high growth rate indicates relatively high level of commitment to the ESG criteria. It is, therefore, important to understand how this commitment manifests itself in the strategies that corporations undertake and the actions of consumers in China’s dynamically changing business environment. </w:t>
      </w:r>
    </w:p>
    <w:p w14:paraId="26E4D152">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12" w:name="_Toc27940"/>
      <w:r>
        <w:rPr>
          <w:rFonts w:hint="default" w:ascii="Arial" w:hAnsi="Arial" w:cs="Arial" w:eastAsiaTheme="majorEastAsia"/>
          <w:b/>
          <w:color w:val="1F4E79" w:themeColor="accent1" w:themeShade="80"/>
          <w:sz w:val="24"/>
          <w:szCs w:val="24"/>
          <w:lang w:val="en-US" w:eastAsia="en-US" w:bidi="ar-SA"/>
        </w:rPr>
        <w:t>1.2.3</w:t>
      </w:r>
      <w:r>
        <w:rPr>
          <w:rFonts w:hint="default" w:ascii="Arial" w:hAnsi="Arial" w:cs="Arial"/>
          <w:sz w:val="24"/>
          <w:szCs w:val="24"/>
        </w:rPr>
        <w:t xml:space="preserve"> Research Problem</w:t>
      </w:r>
      <w:bookmarkEnd w:id="12"/>
      <w:r>
        <w:rPr>
          <w:rFonts w:hint="default" w:ascii="Arial" w:hAnsi="Arial" w:cs="Arial"/>
          <w:sz w:val="24"/>
          <w:szCs w:val="24"/>
        </w:rPr>
        <w:t xml:space="preserve"> </w:t>
      </w:r>
    </w:p>
    <w:p w14:paraId="333EF548">
      <w:pPr>
        <w:pStyle w:val="18"/>
        <w:spacing w:line="480" w:lineRule="auto"/>
        <w:jc w:val="both"/>
        <w:rPr>
          <w:rFonts w:hint="default" w:ascii="Arial" w:hAnsi="Arial" w:cs="Arial"/>
          <w:sz w:val="24"/>
          <w:szCs w:val="24"/>
        </w:rPr>
      </w:pPr>
      <w:r>
        <w:rPr>
          <w:rFonts w:hint="default" w:ascii="Arial" w:hAnsi="Arial" w:cs="Arial"/>
          <w:sz w:val="24"/>
          <w:szCs w:val="24"/>
        </w:rPr>
        <w:t xml:space="preserve">Chinese consumers are thus witnessing one of the most revolutionary changes in their consumer propensity as they become conscious of the environmental and social causes. They have resulted in the emergence of the latest business concepts such as Environmental, Social, and Governance (ESG) management (Cheng et al., 2024). However, there is a gap in the literature clearly distinguishing between this phenomenon and various other phenomena of interest. </w:t>
      </w:r>
    </w:p>
    <w:p w14:paraId="11549CDE">
      <w:pPr>
        <w:pStyle w:val="18"/>
        <w:spacing w:line="480" w:lineRule="auto"/>
        <w:jc w:val="both"/>
        <w:rPr>
          <w:rFonts w:hint="default" w:ascii="Arial" w:hAnsi="Arial" w:cs="Arial"/>
          <w:sz w:val="24"/>
          <w:szCs w:val="24"/>
        </w:rPr>
      </w:pPr>
      <w:r>
        <w:rPr>
          <w:rFonts w:hint="default" w:ascii="Arial" w:hAnsi="Arial" w:cs="Arial"/>
          <w:sz w:val="24"/>
          <w:szCs w:val="24"/>
        </w:rPr>
        <w:t xml:space="preserve">Although a sizeable body of research focuses on the antecedents and consequences of ESG adoption from the firms’ and investors’ point of view, the consumer’s side is scarcely studied. This creates a massive information void because consumer actions are a critical force behind the ESG trend. It is also established that Chinese consumers are concerned with buying environmentally sustainable/ sociologically correct products (Cheng et al., 2024). Reports indicate that they are ready to spend a fortune on them (Chen and the others, 2023, SEC News Gate Greater China, 2021). This presents a powerful market force that companies cannot ignore. </w:t>
      </w:r>
    </w:p>
    <w:p w14:paraId="7612BA56">
      <w:pPr>
        <w:pStyle w:val="18"/>
        <w:spacing w:line="480" w:lineRule="auto"/>
        <w:jc w:val="both"/>
        <w:rPr>
          <w:rFonts w:hint="default" w:ascii="Arial" w:hAnsi="Arial" w:cs="Arial"/>
          <w:sz w:val="24"/>
          <w:szCs w:val="24"/>
        </w:rPr>
      </w:pPr>
      <w:r>
        <w:rPr>
          <w:rFonts w:hint="default" w:ascii="Arial" w:hAnsi="Arial" w:cs="Arial"/>
          <w:sz w:val="24"/>
          <w:szCs w:val="24"/>
        </w:rPr>
        <w:t>To fully understand this phenomenon, the researcher need to delve deeper. What specific environmental or social concerns are driving this shift in consumer behavior?  Are there generational differences in eco-consciousness and willingness to pay a premium for ESG-aligned products?  Understanding the "why" behind consumer choices will allow companies to tailor their ESG efforts for maximum impact.</w:t>
      </w:r>
    </w:p>
    <w:p w14:paraId="47837AF4">
      <w:pPr>
        <w:spacing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Researchers indicate a positive relationship between higher ESG scores and consumers’ brand loyalty (Koh et al., 2022). However, the nature of this relationship and what exactly drives it, is not very clear. Is there any part for transparency in ESG reporting? Is consumer loyalty increased by a company’s implementation of social justice programs? Answers to these questions may help organisations dealing with the development of efficient ESG plans and strategies. </w:t>
      </w:r>
    </w:p>
    <w:p w14:paraId="1A10AEB2">
      <w:pPr>
        <w:spacing w:line="480" w:lineRule="auto"/>
        <w:jc w:val="both"/>
        <w:rPr>
          <w:rFonts w:hint="default" w:ascii="Arial" w:hAnsi="Arial" w:eastAsia="Times New Roman" w:cs="Arial"/>
          <w:sz w:val="24"/>
          <w:szCs w:val="24"/>
        </w:rPr>
      </w:pPr>
      <w:r>
        <w:rPr>
          <w:rFonts w:hint="default" w:ascii="Arial" w:hAnsi="Arial" w:eastAsia="Times New Roman" w:cs="Arial"/>
          <w:sz w:val="24"/>
          <w:szCs w:val="24"/>
        </w:rPr>
        <w:t>One of the issues that companies experience is the potential of their activities to greenwash; that is, engage in hype about altering or improving on their ESG profiles. It can cause negative impact to the construct of brand trust as suggested below. Hence one of the research questions to address in this problem is the contribution of well-recognised conventional ESG indicators and disclosure. Analyzing consumers’ view on ESG can guide not only business initiatives but also policies. This approach not only promotes the genuine application of ESG principles but also safeguards consumers from deceptive practices commonly known as greenwashing, where companies falsely portray themselves as environmentally friendly</w:t>
      </w:r>
    </w:p>
    <w:p w14:paraId="0D0AA428">
      <w:pPr>
        <w:spacing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Furthermore, the role of research can support consumer awareness programs to help consumers make a decision based on the accurate realization of a company’s ESG performance. By responding to this research problem, we shall be able to fill a literature gap on the Chinese ESG consumer when it comes to the development of ESG practices. This shall, in the long run, help spur the creation of a much sounder and resilient business climate in China that is responsive to consumers’ needs and wants as well as helps propel the performance of enterprises that exist in the country. </w:t>
      </w:r>
    </w:p>
    <w:p w14:paraId="6C483C90">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13" w:name="_Toc6717"/>
      <w:r>
        <w:rPr>
          <w:rFonts w:hint="default" w:ascii="Arial" w:hAnsi="Arial" w:cs="Arial" w:eastAsiaTheme="majorEastAsia"/>
          <w:b/>
          <w:color w:val="2E75B6" w:themeColor="accent1" w:themeShade="BF"/>
          <w:sz w:val="24"/>
          <w:szCs w:val="24"/>
          <w:lang w:val="en-US" w:eastAsia="en-US" w:bidi="ar-SA"/>
        </w:rPr>
        <w:t>1.3</w:t>
      </w:r>
      <w:r>
        <w:rPr>
          <w:rFonts w:hint="default" w:ascii="Arial" w:hAnsi="Arial" w:cs="Arial"/>
          <w:sz w:val="24"/>
          <w:szCs w:val="24"/>
        </w:rPr>
        <w:t xml:space="preserve"> Research Objective and Aims</w:t>
      </w:r>
      <w:bookmarkEnd w:id="13"/>
      <w:r>
        <w:rPr>
          <w:rFonts w:hint="default" w:ascii="Arial" w:hAnsi="Arial" w:cs="Arial"/>
          <w:sz w:val="24"/>
          <w:szCs w:val="24"/>
        </w:rPr>
        <w:t xml:space="preserve"> </w:t>
      </w:r>
    </w:p>
    <w:p w14:paraId="2A485CB2">
      <w:pPr>
        <w:spacing w:line="480" w:lineRule="auto"/>
        <w:jc w:val="both"/>
        <w:rPr>
          <w:rFonts w:hint="default" w:ascii="Arial" w:hAnsi="Arial" w:cs="Arial"/>
          <w:sz w:val="24"/>
          <w:szCs w:val="24"/>
        </w:rPr>
      </w:pPr>
      <w:r>
        <w:rPr>
          <w:rFonts w:hint="default" w:ascii="Arial" w:hAnsi="Arial" w:cs="Arial"/>
          <w:sz w:val="24"/>
          <w:szCs w:val="24"/>
        </w:rPr>
        <w:t>Thus, the purpose of the study is to identify the performance of Chinese companies regarding their ESG adoption with a focus on their financial and risk perspectives from the consumers. The key objectives are,</w:t>
      </w:r>
    </w:p>
    <w:p w14:paraId="3518E039">
      <w:pPr>
        <w:pStyle w:val="37"/>
        <w:numPr>
          <w:ilvl w:val="0"/>
          <w:numId w:val="2"/>
        </w:numPr>
        <w:spacing w:line="480" w:lineRule="auto"/>
        <w:jc w:val="both"/>
        <w:rPr>
          <w:rFonts w:hint="default" w:ascii="Arial" w:hAnsi="Arial" w:cs="Arial"/>
          <w:sz w:val="24"/>
          <w:szCs w:val="24"/>
        </w:rPr>
      </w:pPr>
      <w:r>
        <w:rPr>
          <w:rFonts w:hint="default" w:ascii="Arial" w:hAnsi="Arial" w:cs="Arial"/>
          <w:sz w:val="24"/>
          <w:szCs w:val="24"/>
        </w:rPr>
        <w:t>To explore Chinese consumers’ perceptions about ESG adoption and financial performances of companies including sales, pricing and brand reputation</w:t>
      </w:r>
    </w:p>
    <w:p w14:paraId="165EB018">
      <w:pPr>
        <w:pStyle w:val="37"/>
        <w:numPr>
          <w:ilvl w:val="0"/>
          <w:numId w:val="2"/>
        </w:numPr>
        <w:spacing w:line="480" w:lineRule="auto"/>
        <w:jc w:val="both"/>
        <w:rPr>
          <w:rFonts w:hint="default" w:ascii="Arial" w:hAnsi="Arial" w:cs="Arial"/>
          <w:sz w:val="24"/>
          <w:szCs w:val="24"/>
        </w:rPr>
      </w:pPr>
      <w:r>
        <w:rPr>
          <w:rFonts w:hint="default" w:ascii="Arial" w:hAnsi="Arial" w:cs="Arial"/>
          <w:sz w:val="24"/>
          <w:szCs w:val="24"/>
        </w:rPr>
        <w:t>To assess the perceptions of Chinese consumers about ESG effects on company’s risk performance in relation to regulatory compliance</w:t>
      </w:r>
    </w:p>
    <w:p w14:paraId="499643D6">
      <w:pPr>
        <w:pStyle w:val="37"/>
        <w:numPr>
          <w:ilvl w:val="0"/>
          <w:numId w:val="2"/>
        </w:numPr>
        <w:spacing w:line="480" w:lineRule="auto"/>
        <w:jc w:val="both"/>
        <w:rPr>
          <w:rFonts w:hint="default" w:ascii="Arial" w:hAnsi="Arial" w:cs="Arial"/>
          <w:sz w:val="24"/>
          <w:szCs w:val="24"/>
        </w:rPr>
      </w:pPr>
      <w:r>
        <w:rPr>
          <w:rFonts w:hint="default" w:ascii="Arial" w:hAnsi="Arial" w:cs="Arial"/>
          <w:sz w:val="24"/>
          <w:szCs w:val="24"/>
        </w:rPr>
        <w:t>To highlight challenges or consumers’ concerns of ESG adoption of Chinese firms</w:t>
      </w:r>
    </w:p>
    <w:p w14:paraId="24B54EA6">
      <w:pPr>
        <w:pStyle w:val="37"/>
        <w:numPr>
          <w:ilvl w:val="0"/>
          <w:numId w:val="2"/>
        </w:numPr>
        <w:spacing w:line="480" w:lineRule="auto"/>
        <w:jc w:val="both"/>
        <w:rPr>
          <w:rFonts w:hint="default" w:ascii="Arial" w:hAnsi="Arial" w:cs="Arial"/>
          <w:sz w:val="24"/>
          <w:szCs w:val="24"/>
        </w:rPr>
      </w:pPr>
      <w:r>
        <w:rPr>
          <w:rFonts w:hint="default" w:ascii="Arial" w:hAnsi="Arial" w:cs="Arial"/>
          <w:sz w:val="24"/>
          <w:szCs w:val="24"/>
        </w:rPr>
        <w:t>To present implications of findings for companies seeking to improve ESG performance and consumer expectations</w:t>
      </w:r>
    </w:p>
    <w:p w14:paraId="5A96EAFA">
      <w:pPr>
        <w:pStyle w:val="37"/>
        <w:spacing w:line="480" w:lineRule="auto"/>
        <w:jc w:val="both"/>
        <w:rPr>
          <w:rFonts w:hint="default" w:ascii="Arial" w:hAnsi="Arial" w:cs="Arial"/>
          <w:sz w:val="24"/>
          <w:szCs w:val="24"/>
        </w:rPr>
      </w:pPr>
    </w:p>
    <w:p w14:paraId="6AC16D42">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14" w:name="_Toc5816"/>
      <w:bookmarkStart w:id="15" w:name="_Toc169180978"/>
      <w:r>
        <w:rPr>
          <w:rFonts w:hint="default" w:ascii="Arial" w:hAnsi="Arial" w:cs="Arial" w:eastAsiaTheme="majorEastAsia"/>
          <w:b/>
          <w:color w:val="2E75B6" w:themeColor="accent1" w:themeShade="BF"/>
          <w:sz w:val="24"/>
          <w:szCs w:val="24"/>
          <w:lang w:val="en-US" w:eastAsia="en-US" w:bidi="ar-SA"/>
        </w:rPr>
        <w:t>1.4</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Research question</w:t>
      </w:r>
      <w:bookmarkEnd w:id="14"/>
      <w:bookmarkEnd w:id="15"/>
      <w:r>
        <w:rPr>
          <w:rFonts w:hint="default" w:ascii="Arial" w:hAnsi="Arial" w:cs="Arial"/>
          <w:sz w:val="24"/>
          <w:szCs w:val="24"/>
        </w:rPr>
        <w:t xml:space="preserve"> </w:t>
      </w:r>
    </w:p>
    <w:p w14:paraId="19896129">
      <w:pPr>
        <w:spacing w:line="480" w:lineRule="auto"/>
        <w:jc w:val="both"/>
        <w:rPr>
          <w:rFonts w:hint="default" w:ascii="Arial" w:hAnsi="Arial" w:cs="Arial"/>
          <w:sz w:val="24"/>
          <w:szCs w:val="24"/>
        </w:rPr>
      </w:pPr>
      <w:r>
        <w:rPr>
          <w:rFonts w:hint="default" w:ascii="Arial" w:hAnsi="Arial" w:cs="Arial"/>
          <w:sz w:val="24"/>
          <w:szCs w:val="24"/>
        </w:rPr>
        <w:t>How do Chinese consumers perceive ESG adoption and impacts on financial and risk performance of Chinese companies?</w:t>
      </w:r>
    </w:p>
    <w:p w14:paraId="46610FC0">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16" w:name="_Toc21154"/>
      <w:r>
        <w:rPr>
          <w:rFonts w:hint="default" w:ascii="Arial" w:hAnsi="Arial" w:cs="Arial" w:eastAsiaTheme="majorEastAsia"/>
          <w:b/>
          <w:color w:val="2E75B6" w:themeColor="accent1" w:themeShade="BF"/>
          <w:sz w:val="24"/>
          <w:szCs w:val="24"/>
          <w:lang w:val="en-US" w:eastAsia="en-US" w:bidi="ar-SA"/>
        </w:rPr>
        <w:t>1.5</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Rationale</w:t>
      </w:r>
      <w:bookmarkEnd w:id="16"/>
    </w:p>
    <w:p w14:paraId="14A618E3">
      <w:pPr>
        <w:pStyle w:val="18"/>
        <w:spacing w:line="480" w:lineRule="auto"/>
        <w:jc w:val="both"/>
        <w:rPr>
          <w:rFonts w:hint="default" w:ascii="Arial" w:hAnsi="Arial" w:cs="Arial"/>
          <w:sz w:val="24"/>
          <w:szCs w:val="24"/>
        </w:rPr>
      </w:pPr>
      <w:r>
        <w:rPr>
          <w:rFonts w:hint="default" w:ascii="Arial" w:hAnsi="Arial" w:cs="Arial"/>
          <w:sz w:val="24"/>
          <w:szCs w:val="24"/>
        </w:rPr>
        <w:t xml:space="preserve">Today, the consumers are becoming wiser and forcing several companies to be answerable for their actions on the environment and the society as well. Pollution of the environment, climate change, worker’s mistreatment, and discrimination, and other corporate scandals have made society demand ethical business behavior (Freiberg et al., 2020). These alterations in consumption habits provide organisations with the prospect not only to enrich shareholders’ brand image but to increase their business returns while managing risk exposure as well. </w:t>
      </w:r>
    </w:p>
    <w:p w14:paraId="431571AA">
      <w:pPr>
        <w:pStyle w:val="18"/>
        <w:spacing w:line="480" w:lineRule="auto"/>
        <w:jc w:val="both"/>
        <w:rPr>
          <w:rFonts w:hint="default" w:ascii="Arial" w:hAnsi="Arial" w:cs="Arial"/>
          <w:sz w:val="24"/>
          <w:szCs w:val="24"/>
        </w:rPr>
      </w:pPr>
      <w:r>
        <w:rPr>
          <w:rFonts w:hint="default" w:ascii="Arial" w:hAnsi="Arial" w:cs="Arial"/>
          <w:sz w:val="24"/>
          <w:szCs w:val="24"/>
        </w:rPr>
        <w:t xml:space="preserve"> Essentially, consumers’ perception regarding a company’s ES adoption is equally important in this new environment. Hence, from the consumer sentiment toward ESG practices, it is possible to obtain an understanding of market demands. It enables them to align the ESG programmes with the values of the consumer using it since most consumers want products from firms that address environmental issues and support social causes. </w:t>
      </w:r>
    </w:p>
    <w:p w14:paraId="28B65F40">
      <w:pPr>
        <w:pStyle w:val="18"/>
        <w:spacing w:line="480" w:lineRule="auto"/>
        <w:jc w:val="both"/>
        <w:rPr>
          <w:rFonts w:hint="default" w:ascii="Arial" w:hAnsi="Arial" w:cs="Arial"/>
          <w:sz w:val="24"/>
          <w:szCs w:val="24"/>
        </w:rPr>
      </w:pPr>
      <w:r>
        <w:rPr>
          <w:rFonts w:hint="default" w:ascii="Arial" w:hAnsi="Arial" w:cs="Arial"/>
          <w:sz w:val="24"/>
          <w:szCs w:val="24"/>
        </w:rPr>
        <w:t xml:space="preserve">Malshe et al. (2023) explain that business organizations stand to benefit from this kind of approach; in particular, scenarios where firms’ ESG strategies match consumer preferences may enhance risk management and financial performance. Many studies specifically examine the corporate and investors’ perception and understanding of ESG but relatively scant research focuses on the consumer view despite the proliferation of ESG in China’s market environment. </w:t>
      </w:r>
    </w:p>
    <w:p w14:paraId="4B97FDA2">
      <w:pPr>
        <w:pStyle w:val="18"/>
        <w:spacing w:line="480" w:lineRule="auto"/>
        <w:jc w:val="both"/>
        <w:rPr>
          <w:rFonts w:hint="default" w:ascii="Arial" w:hAnsi="Arial" w:cs="Arial"/>
          <w:sz w:val="24"/>
          <w:szCs w:val="24"/>
        </w:rPr>
      </w:pPr>
      <w:r>
        <w:rPr>
          <w:rFonts w:hint="default" w:ascii="Arial" w:hAnsi="Arial" w:cs="Arial"/>
          <w:sz w:val="24"/>
          <w:szCs w:val="24"/>
        </w:rPr>
        <w:t xml:space="preserve">Therefore, this study aims to explore the Chinese consumers’ perception toward ESG to contribute insightful findings for both policymakers and enterprises. Based on this work policy maker can design anti-green wash frameworks to encourage the genuine adoption of solutions under the ESG umbrella while at the same time protecting the consumer from being swayed by misleading claims of environmentally friendly and socially sensitive investments by firms. </w:t>
      </w:r>
    </w:p>
    <w:p w14:paraId="7770E194">
      <w:pPr>
        <w:pStyle w:val="18"/>
        <w:spacing w:line="480" w:lineRule="auto"/>
        <w:jc w:val="both"/>
        <w:rPr>
          <w:rFonts w:hint="default" w:ascii="Arial" w:hAnsi="Arial" w:cs="Arial"/>
          <w:sz w:val="24"/>
          <w:szCs w:val="24"/>
        </w:rPr>
      </w:pPr>
      <w:r>
        <w:rPr>
          <w:rFonts w:hint="default" w:ascii="Arial" w:hAnsi="Arial" w:cs="Arial"/>
          <w:sz w:val="24"/>
          <w:szCs w:val="24"/>
        </w:rPr>
        <w:t>For enterprises the research provides a guideline on how to communicate their ESG strategies to the new-age Chinese consumer who is increasingly becoming more aware of their impact on the environment and society. In the end, therefore, this research has the propensity to act as the bridge between the consumers in their expectations for corporate responsibility and accountability, and companies in the creation of a sustainable business setting in China.</w:t>
      </w:r>
    </w:p>
    <w:p w14:paraId="408AE7F9">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17" w:name="_Toc5319"/>
      <w:r>
        <w:rPr>
          <w:rFonts w:hint="default" w:ascii="Arial" w:hAnsi="Arial" w:cs="Arial" w:eastAsiaTheme="majorEastAsia"/>
          <w:b/>
          <w:color w:val="2E75B6" w:themeColor="accent1" w:themeShade="BF"/>
          <w:sz w:val="24"/>
          <w:szCs w:val="24"/>
          <w:lang w:val="en-US" w:eastAsia="en-US" w:bidi="ar-SA"/>
        </w:rPr>
        <w:t>1.6</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Analytical Framework</w:t>
      </w:r>
      <w:bookmarkEnd w:id="17"/>
    </w:p>
    <w:p w14:paraId="2BF20304">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18" w:name="_Toc3805"/>
      <w:r>
        <w:rPr>
          <w:rFonts w:hint="default" w:ascii="Arial" w:hAnsi="Arial" w:cs="Arial" w:eastAsiaTheme="majorEastAsia"/>
          <w:b/>
          <w:color w:val="1F4E79" w:themeColor="accent1" w:themeShade="80"/>
          <w:sz w:val="24"/>
          <w:szCs w:val="24"/>
          <w:lang w:val="en-US" w:eastAsia="en-US" w:bidi="ar-SA"/>
        </w:rPr>
        <w:t>1.6.1</w:t>
      </w:r>
      <w:r>
        <w:rPr>
          <w:rFonts w:hint="default" w:ascii="Arial" w:hAnsi="Arial" w:cs="Arial"/>
          <w:sz w:val="24"/>
          <w:szCs w:val="24"/>
          <w:lang w:val="en-US" w:eastAsia="zh-CN"/>
        </w:rPr>
        <w:t xml:space="preserve"> </w:t>
      </w:r>
      <w:r>
        <w:rPr>
          <w:rFonts w:hint="default" w:ascii="Arial" w:hAnsi="Arial" w:cs="Arial"/>
          <w:sz w:val="24"/>
          <w:szCs w:val="24"/>
        </w:rPr>
        <w:t>SWOT Analysis</w:t>
      </w:r>
      <w:bookmarkEnd w:id="18"/>
    </w:p>
    <w:p w14:paraId="7E6A75D5">
      <w:pPr>
        <w:pStyle w:val="18"/>
        <w:spacing w:line="480" w:lineRule="auto"/>
        <w:jc w:val="both"/>
        <w:rPr>
          <w:rFonts w:hint="default" w:ascii="Arial" w:hAnsi="Arial" w:cs="Arial"/>
          <w:sz w:val="24"/>
          <w:szCs w:val="24"/>
        </w:rPr>
      </w:pPr>
      <w:r>
        <w:rPr>
          <w:rFonts w:hint="default" w:ascii="Arial" w:hAnsi="Arial" w:cs="Arial"/>
          <w:sz w:val="24"/>
          <w:szCs w:val="24"/>
        </w:rPr>
        <w:t>SWOT analysis can be useful to consider the strengths and weaknesses of adopting or having ESG in Chinese firms and the opportunities and threats posed by the external environment (Forsberg et al, 2020).</w:t>
      </w:r>
    </w:p>
    <w:tbl>
      <w:tblPr>
        <w:tblStyle w:val="42"/>
        <w:tblW w:w="0" w:type="auto"/>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none" w:color="auto" w:sz="0" w:space="0"/>
        </w:tblBorders>
        <w:tblLayout w:type="autofit"/>
        <w:tblCellMar>
          <w:top w:w="0" w:type="dxa"/>
          <w:left w:w="108" w:type="dxa"/>
          <w:bottom w:w="0" w:type="dxa"/>
          <w:right w:w="108" w:type="dxa"/>
        </w:tblCellMar>
      </w:tblPr>
      <w:tblGrid>
        <w:gridCol w:w="4855"/>
        <w:gridCol w:w="4495"/>
      </w:tblGrid>
      <w:tr w14:paraId="05BEDF96">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none" w:color="auto" w:sz="0" w:space="0"/>
          </w:tblBorders>
          <w:tblCellMar>
            <w:top w:w="0" w:type="dxa"/>
            <w:left w:w="108" w:type="dxa"/>
            <w:bottom w:w="0" w:type="dxa"/>
            <w:right w:w="108" w:type="dxa"/>
          </w:tblCellMar>
        </w:tblPrEx>
        <w:tc>
          <w:tcPr>
            <w:tcW w:w="4855" w:type="dxa"/>
            <w:tcBorders>
              <w:top w:val="single" w:color="5B9BD5" w:themeColor="accent1" w:sz="4" w:space="0"/>
              <w:left w:val="single" w:color="5B9BD5" w:themeColor="accent1" w:sz="4" w:space="0"/>
              <w:bottom w:val="single" w:color="5B9BD5" w:themeColor="accent1" w:sz="4" w:space="0"/>
              <w:insideH w:val="single" w:sz="4" w:space="0"/>
            </w:tcBorders>
            <w:shd w:val="clear" w:color="auto" w:fill="5B9BD5" w:themeFill="accent1"/>
          </w:tcPr>
          <w:p w14:paraId="55377439">
            <w:pPr>
              <w:pStyle w:val="18"/>
              <w:spacing w:line="480" w:lineRule="auto"/>
              <w:jc w:val="both"/>
              <w:rPr>
                <w:rFonts w:hint="default" w:ascii="Arial" w:hAnsi="Arial" w:cs="Arial"/>
                <w:b/>
                <w:bCs/>
                <w:color w:val="FFFFFF" w:themeColor="background1"/>
                <w:sz w:val="24"/>
                <w:szCs w:val="24"/>
                <w14:textFill>
                  <w14:solidFill>
                    <w14:schemeClr w14:val="bg1"/>
                  </w14:solidFill>
                </w14:textFill>
              </w:rPr>
            </w:pPr>
            <w:r>
              <w:rPr>
                <w:rStyle w:val="23"/>
                <w:rFonts w:hint="default" w:ascii="Arial" w:hAnsi="Arial" w:cs="Arial" w:eastAsiaTheme="majorEastAsia"/>
                <w:b w:val="0"/>
                <w:bCs w:val="0"/>
                <w:color w:val="FFFFFF" w:themeColor="background1"/>
                <w:sz w:val="24"/>
                <w:szCs w:val="24"/>
                <w14:textFill>
                  <w14:solidFill>
                    <w14:schemeClr w14:val="bg1"/>
                  </w14:solidFill>
                </w14:textFill>
              </w:rPr>
              <w:t>Strengths</w:t>
            </w:r>
          </w:p>
        </w:tc>
        <w:tc>
          <w:tcPr>
            <w:tcW w:w="4495" w:type="dxa"/>
            <w:tcBorders>
              <w:top w:val="single" w:color="5B9BD5" w:themeColor="accent1" w:sz="4" w:space="0"/>
              <w:bottom w:val="single" w:color="5B9BD5" w:themeColor="accent1" w:sz="4" w:space="0"/>
              <w:right w:val="single" w:color="5B9BD5" w:themeColor="accent1" w:sz="4" w:space="0"/>
              <w:insideH w:val="single" w:sz="4" w:space="0"/>
            </w:tcBorders>
            <w:shd w:val="clear" w:color="auto" w:fill="5B9BD5" w:themeFill="accent1"/>
          </w:tcPr>
          <w:p w14:paraId="4B7294AF">
            <w:pPr>
              <w:pStyle w:val="18"/>
              <w:spacing w:line="480" w:lineRule="auto"/>
              <w:jc w:val="both"/>
              <w:rPr>
                <w:rFonts w:hint="default" w:ascii="Arial" w:hAnsi="Arial" w:cs="Arial"/>
                <w:b w:val="0"/>
                <w:bCs/>
                <w:color w:val="FFFFFF" w:themeColor="background1"/>
                <w:sz w:val="24"/>
                <w:szCs w:val="24"/>
                <w14:textFill>
                  <w14:solidFill>
                    <w14:schemeClr w14:val="bg1"/>
                  </w14:solidFill>
                </w14:textFill>
              </w:rPr>
            </w:pPr>
            <w:r>
              <w:rPr>
                <w:rFonts w:hint="default" w:ascii="Arial" w:hAnsi="Arial" w:cs="Arial"/>
                <w:b w:val="0"/>
                <w:bCs/>
                <w:color w:val="FFFFFF" w:themeColor="background1"/>
                <w:sz w:val="24"/>
                <w:szCs w:val="24"/>
                <w14:textFill>
                  <w14:solidFill>
                    <w14:schemeClr w14:val="bg1"/>
                  </w14:solidFill>
                </w14:textFill>
              </w:rPr>
              <w:t>Weaknesses</w:t>
            </w:r>
          </w:p>
        </w:tc>
      </w:tr>
      <w:tr w14:paraId="7CD496E2">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none" w:color="auto" w:sz="0" w:space="0"/>
          </w:tblBorders>
          <w:tblCellMar>
            <w:top w:w="0" w:type="dxa"/>
            <w:left w:w="108" w:type="dxa"/>
            <w:bottom w:w="0" w:type="dxa"/>
            <w:right w:w="108" w:type="dxa"/>
          </w:tblCellMar>
        </w:tblPrEx>
        <w:trPr>
          <w:trHeight w:val="602" w:hRule="atLeast"/>
        </w:trPr>
        <w:tc>
          <w:tcPr>
            <w:tcW w:w="4855" w:type="dxa"/>
            <w:shd w:val="clear" w:color="auto" w:fill="DEEAF6" w:themeFill="accent1" w:themeFillTint="33"/>
          </w:tcPr>
          <w:p w14:paraId="06942116">
            <w:pPr>
              <w:spacing w:before="100" w:beforeAutospacing="1" w:after="100" w:afterAutospacing="1" w:line="480" w:lineRule="auto"/>
              <w:jc w:val="both"/>
              <w:rPr>
                <w:rFonts w:hint="default" w:ascii="Arial" w:hAnsi="Arial" w:cs="Arial"/>
                <w:b w:val="0"/>
                <w:bCs/>
                <w:sz w:val="24"/>
                <w:szCs w:val="24"/>
              </w:rPr>
            </w:pPr>
            <w:r>
              <w:rPr>
                <w:rFonts w:hint="default" w:ascii="Arial" w:hAnsi="Arial" w:cs="Arial"/>
                <w:b w:val="0"/>
                <w:bCs/>
                <w:sz w:val="24"/>
                <w:szCs w:val="24"/>
              </w:rPr>
              <w:t>Improved brand reputation and consumer loyalty.</w:t>
            </w:r>
          </w:p>
          <w:p w14:paraId="7BC6072E">
            <w:pPr>
              <w:spacing w:before="100" w:beforeAutospacing="1" w:after="100" w:afterAutospacing="1" w:line="480" w:lineRule="auto"/>
              <w:ind w:left="720"/>
              <w:jc w:val="both"/>
              <w:rPr>
                <w:rFonts w:hint="default" w:ascii="Arial" w:hAnsi="Arial" w:cs="Arial"/>
                <w:b/>
                <w:bCs/>
                <w:sz w:val="24"/>
                <w:szCs w:val="24"/>
              </w:rPr>
            </w:pPr>
          </w:p>
        </w:tc>
        <w:tc>
          <w:tcPr>
            <w:tcW w:w="4495" w:type="dxa"/>
            <w:shd w:val="clear" w:color="auto" w:fill="DEEAF6" w:themeFill="accent1" w:themeFillTint="33"/>
          </w:tcPr>
          <w:p w14:paraId="770E66C5">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High costs associated with implementing ESG practices.</w:t>
            </w:r>
          </w:p>
          <w:p w14:paraId="7E898587">
            <w:pPr>
              <w:pStyle w:val="18"/>
              <w:spacing w:line="480" w:lineRule="auto"/>
              <w:jc w:val="both"/>
              <w:rPr>
                <w:rFonts w:hint="default" w:ascii="Arial" w:hAnsi="Arial" w:cs="Arial"/>
                <w:sz w:val="24"/>
                <w:szCs w:val="24"/>
              </w:rPr>
            </w:pPr>
          </w:p>
        </w:tc>
      </w:tr>
      <w:tr w14:paraId="226FF764">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none" w:color="auto" w:sz="0" w:space="0"/>
          </w:tblBorders>
          <w:tblCellMar>
            <w:top w:w="0" w:type="dxa"/>
            <w:left w:w="108" w:type="dxa"/>
            <w:bottom w:w="0" w:type="dxa"/>
            <w:right w:w="108" w:type="dxa"/>
          </w:tblCellMar>
        </w:tblPrEx>
        <w:trPr>
          <w:trHeight w:val="600" w:hRule="atLeast"/>
        </w:trPr>
        <w:tc>
          <w:tcPr>
            <w:tcW w:w="4855" w:type="dxa"/>
            <w:shd w:val="clear" w:color="auto" w:fill="DEEAF6" w:themeFill="accent1" w:themeFillTint="33"/>
          </w:tcPr>
          <w:p w14:paraId="02AD4C46">
            <w:pPr>
              <w:spacing w:before="100" w:beforeAutospacing="1" w:after="100" w:afterAutospacing="1" w:line="480" w:lineRule="auto"/>
              <w:jc w:val="both"/>
              <w:rPr>
                <w:rFonts w:hint="default" w:ascii="Arial" w:hAnsi="Arial" w:cs="Arial"/>
                <w:b w:val="0"/>
                <w:bCs/>
                <w:sz w:val="24"/>
                <w:szCs w:val="24"/>
              </w:rPr>
            </w:pPr>
            <w:r>
              <w:rPr>
                <w:rFonts w:hint="default" w:ascii="Arial" w:hAnsi="Arial" w:cs="Arial"/>
                <w:b w:val="0"/>
                <w:bCs/>
                <w:sz w:val="24"/>
                <w:szCs w:val="24"/>
              </w:rPr>
              <w:t xml:space="preserve">Enhanced operational efficiency and risk management.                              </w:t>
            </w:r>
          </w:p>
        </w:tc>
        <w:tc>
          <w:tcPr>
            <w:tcW w:w="4495" w:type="dxa"/>
            <w:shd w:val="clear" w:color="auto" w:fill="DEEAF6" w:themeFill="accent1" w:themeFillTint="33"/>
          </w:tcPr>
          <w:p w14:paraId="4D53C9C2">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Potential overestimation of ESG efforts leading to consumer distrust</w:t>
            </w:r>
          </w:p>
        </w:tc>
      </w:tr>
      <w:tr w14:paraId="3FD83BF7">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none" w:color="auto" w:sz="0" w:space="0"/>
          </w:tblBorders>
          <w:tblCellMar>
            <w:top w:w="0" w:type="dxa"/>
            <w:left w:w="108" w:type="dxa"/>
            <w:bottom w:w="0" w:type="dxa"/>
            <w:right w:w="108" w:type="dxa"/>
          </w:tblCellMar>
        </w:tblPrEx>
        <w:trPr>
          <w:trHeight w:val="600" w:hRule="atLeast"/>
        </w:trPr>
        <w:tc>
          <w:tcPr>
            <w:tcW w:w="4855" w:type="dxa"/>
            <w:shd w:val="clear" w:color="auto" w:fill="DEEAF6" w:themeFill="accent1" w:themeFillTint="33"/>
          </w:tcPr>
          <w:p w14:paraId="3C726EA0">
            <w:pPr>
              <w:spacing w:before="100" w:beforeAutospacing="1" w:after="100" w:afterAutospacing="1" w:line="480" w:lineRule="auto"/>
              <w:jc w:val="both"/>
              <w:rPr>
                <w:rFonts w:hint="default" w:ascii="Arial" w:hAnsi="Arial" w:cs="Arial"/>
                <w:b w:val="0"/>
                <w:bCs/>
                <w:sz w:val="24"/>
                <w:szCs w:val="24"/>
              </w:rPr>
            </w:pPr>
            <w:r>
              <w:rPr>
                <w:rFonts w:hint="default" w:ascii="Arial" w:hAnsi="Arial" w:cs="Arial"/>
                <w:b w:val="0"/>
                <w:bCs/>
                <w:sz w:val="24"/>
                <w:szCs w:val="24"/>
              </w:rPr>
              <w:t>Compliance with regulatory requirements.</w:t>
            </w:r>
          </w:p>
          <w:p w14:paraId="0D0ACBEA">
            <w:pPr>
              <w:spacing w:before="100" w:beforeAutospacing="1" w:after="100" w:afterAutospacing="1" w:line="480" w:lineRule="auto"/>
              <w:ind w:left="720"/>
              <w:jc w:val="both"/>
              <w:rPr>
                <w:rFonts w:hint="default" w:ascii="Arial" w:hAnsi="Arial" w:cs="Arial"/>
                <w:b/>
                <w:bCs/>
                <w:sz w:val="24"/>
                <w:szCs w:val="24"/>
              </w:rPr>
            </w:pPr>
          </w:p>
        </w:tc>
        <w:tc>
          <w:tcPr>
            <w:tcW w:w="4495" w:type="dxa"/>
            <w:shd w:val="clear" w:color="auto" w:fill="DEEAF6" w:themeFill="accent1" w:themeFillTint="33"/>
          </w:tcPr>
          <w:p w14:paraId="723D9709">
            <w:pPr>
              <w:spacing w:before="100" w:beforeAutospacing="1" w:after="100" w:afterAutospacing="1" w:line="480" w:lineRule="auto"/>
              <w:jc w:val="both"/>
              <w:rPr>
                <w:rFonts w:hint="default" w:ascii="Arial" w:hAnsi="Arial" w:cs="Arial"/>
                <w:sz w:val="24"/>
                <w:szCs w:val="24"/>
              </w:rPr>
            </w:pPr>
          </w:p>
        </w:tc>
      </w:tr>
      <w:tr w14:paraId="22358822">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none" w:color="auto" w:sz="0" w:space="0"/>
          </w:tblBorders>
          <w:tblCellMar>
            <w:top w:w="0" w:type="dxa"/>
            <w:left w:w="108" w:type="dxa"/>
            <w:bottom w:w="0" w:type="dxa"/>
            <w:right w:w="108" w:type="dxa"/>
          </w:tblCellMar>
        </w:tblPrEx>
        <w:tc>
          <w:tcPr>
            <w:tcW w:w="4855" w:type="dxa"/>
            <w:shd w:val="clear" w:color="auto" w:fill="5B9BD5" w:themeFill="accent1"/>
          </w:tcPr>
          <w:p w14:paraId="65814AC5">
            <w:pPr>
              <w:pStyle w:val="18"/>
              <w:spacing w:line="480" w:lineRule="auto"/>
              <w:jc w:val="both"/>
              <w:rPr>
                <w:rFonts w:hint="default" w:ascii="Arial" w:hAnsi="Arial" w:cs="Arial"/>
                <w:b w:val="0"/>
                <w:bCs/>
                <w:sz w:val="24"/>
                <w:szCs w:val="24"/>
              </w:rPr>
            </w:pPr>
            <w:r>
              <w:rPr>
                <w:rFonts w:hint="default" w:ascii="Arial" w:hAnsi="Arial" w:cs="Arial"/>
                <w:b w:val="0"/>
                <w:bCs/>
                <w:color w:val="FFFFFF" w:themeColor="background1"/>
                <w:sz w:val="24"/>
                <w:szCs w:val="24"/>
                <w14:textFill>
                  <w14:solidFill>
                    <w14:schemeClr w14:val="bg1"/>
                  </w14:solidFill>
                </w14:textFill>
              </w:rPr>
              <w:t>Opportunities</w:t>
            </w:r>
          </w:p>
        </w:tc>
        <w:tc>
          <w:tcPr>
            <w:tcW w:w="4495" w:type="dxa"/>
            <w:shd w:val="clear" w:color="auto" w:fill="5B9BD5" w:themeFill="accent1"/>
          </w:tcPr>
          <w:p w14:paraId="2C1E51D1">
            <w:pPr>
              <w:pStyle w:val="18"/>
              <w:spacing w:line="480" w:lineRule="auto"/>
              <w:jc w:val="both"/>
              <w:rPr>
                <w:rFonts w:hint="default" w:ascii="Arial" w:hAnsi="Arial" w:cs="Arial"/>
                <w:b/>
                <w:sz w:val="24"/>
                <w:szCs w:val="24"/>
              </w:rPr>
            </w:pPr>
            <w:r>
              <w:rPr>
                <w:rStyle w:val="23"/>
                <w:rFonts w:hint="default" w:ascii="Arial" w:hAnsi="Arial" w:cs="Arial" w:eastAsiaTheme="majorEastAsia"/>
                <w:b w:val="0"/>
                <w:color w:val="FFFFFF" w:themeColor="background1"/>
                <w:sz w:val="24"/>
                <w:szCs w:val="24"/>
                <w14:textFill>
                  <w14:solidFill>
                    <w14:schemeClr w14:val="bg1"/>
                  </w14:solidFill>
                </w14:textFill>
              </w:rPr>
              <w:t>Threats</w:t>
            </w:r>
          </w:p>
        </w:tc>
      </w:tr>
      <w:tr w14:paraId="23FD96FE">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none" w:color="auto" w:sz="0" w:space="0"/>
          </w:tblBorders>
          <w:tblCellMar>
            <w:top w:w="0" w:type="dxa"/>
            <w:left w:w="108" w:type="dxa"/>
            <w:bottom w:w="0" w:type="dxa"/>
            <w:right w:w="108" w:type="dxa"/>
          </w:tblCellMar>
        </w:tblPrEx>
        <w:trPr>
          <w:trHeight w:val="685" w:hRule="atLeast"/>
        </w:trPr>
        <w:tc>
          <w:tcPr>
            <w:tcW w:w="4855" w:type="dxa"/>
            <w:shd w:val="clear" w:color="auto" w:fill="DEEAF6" w:themeFill="accent1" w:themeFillTint="33"/>
          </w:tcPr>
          <w:p w14:paraId="7AB44595">
            <w:pPr>
              <w:spacing w:before="100" w:beforeAutospacing="1" w:after="100" w:afterAutospacing="1" w:line="480" w:lineRule="auto"/>
              <w:jc w:val="both"/>
              <w:rPr>
                <w:rFonts w:hint="default" w:ascii="Arial" w:hAnsi="Arial" w:cs="Arial"/>
                <w:b w:val="0"/>
                <w:bCs/>
                <w:sz w:val="24"/>
                <w:szCs w:val="24"/>
              </w:rPr>
            </w:pPr>
            <w:r>
              <w:rPr>
                <w:rFonts w:hint="default" w:ascii="Arial" w:hAnsi="Arial" w:cs="Arial"/>
                <w:b w:val="0"/>
                <w:bCs/>
                <w:sz w:val="24"/>
                <w:szCs w:val="24"/>
              </w:rPr>
              <w:t>Growing consumer demand for sustainable and responsible products.</w:t>
            </w:r>
          </w:p>
          <w:p w14:paraId="70DE5F09">
            <w:pPr>
              <w:spacing w:before="100" w:beforeAutospacing="1" w:after="100" w:afterAutospacing="1" w:line="480" w:lineRule="auto"/>
              <w:ind w:left="720"/>
              <w:jc w:val="both"/>
              <w:rPr>
                <w:rFonts w:hint="default" w:ascii="Arial" w:hAnsi="Arial" w:cs="Arial"/>
                <w:b/>
                <w:bCs/>
                <w:sz w:val="24"/>
                <w:szCs w:val="24"/>
              </w:rPr>
            </w:pPr>
          </w:p>
        </w:tc>
        <w:tc>
          <w:tcPr>
            <w:tcW w:w="4495" w:type="dxa"/>
            <w:shd w:val="clear" w:color="auto" w:fill="DEEAF6" w:themeFill="accent1" w:themeFillTint="33"/>
          </w:tcPr>
          <w:p w14:paraId="1DF0CA7E">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Inconsistent evidence of ESG benefits in developing countries.</w:t>
            </w:r>
          </w:p>
          <w:p w14:paraId="3994FEBE">
            <w:pPr>
              <w:spacing w:before="100" w:beforeAutospacing="1" w:after="100" w:afterAutospacing="1" w:line="480" w:lineRule="auto"/>
              <w:ind w:left="720"/>
              <w:jc w:val="both"/>
              <w:rPr>
                <w:rFonts w:hint="default" w:ascii="Arial" w:hAnsi="Arial" w:cs="Arial"/>
                <w:sz w:val="24"/>
                <w:szCs w:val="24"/>
              </w:rPr>
            </w:pPr>
          </w:p>
        </w:tc>
      </w:tr>
      <w:tr w14:paraId="5CA11CCF">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none" w:color="auto" w:sz="0" w:space="0"/>
          </w:tblBorders>
          <w:tblCellMar>
            <w:top w:w="0" w:type="dxa"/>
            <w:left w:w="108" w:type="dxa"/>
            <w:bottom w:w="0" w:type="dxa"/>
            <w:right w:w="108" w:type="dxa"/>
          </w:tblCellMar>
        </w:tblPrEx>
        <w:trPr>
          <w:trHeight w:val="685" w:hRule="atLeast"/>
        </w:trPr>
        <w:tc>
          <w:tcPr>
            <w:tcW w:w="4855" w:type="dxa"/>
            <w:shd w:val="clear" w:color="auto" w:fill="DEEAF6" w:themeFill="accent1" w:themeFillTint="33"/>
          </w:tcPr>
          <w:p w14:paraId="52964B30">
            <w:pPr>
              <w:spacing w:before="100" w:beforeAutospacing="1" w:after="100" w:afterAutospacing="1" w:line="480" w:lineRule="auto"/>
              <w:jc w:val="both"/>
              <w:rPr>
                <w:rFonts w:hint="default" w:ascii="Arial" w:hAnsi="Arial" w:cs="Arial"/>
                <w:b w:val="0"/>
                <w:bCs/>
                <w:sz w:val="24"/>
                <w:szCs w:val="24"/>
              </w:rPr>
            </w:pPr>
            <w:r>
              <w:rPr>
                <w:rFonts w:hint="default" w:ascii="Arial" w:hAnsi="Arial" w:cs="Arial"/>
                <w:b w:val="0"/>
                <w:bCs/>
                <w:sz w:val="24"/>
                <w:szCs w:val="24"/>
              </w:rPr>
              <w:t>Increasing investor interest in ESG performance.</w:t>
            </w:r>
          </w:p>
          <w:p w14:paraId="6ACF6420">
            <w:pPr>
              <w:spacing w:before="100" w:beforeAutospacing="1" w:after="100" w:afterAutospacing="1" w:line="480" w:lineRule="auto"/>
              <w:ind w:left="720"/>
              <w:jc w:val="both"/>
              <w:rPr>
                <w:rFonts w:hint="default" w:ascii="Arial" w:hAnsi="Arial" w:cs="Arial"/>
                <w:b/>
                <w:bCs/>
                <w:sz w:val="24"/>
                <w:szCs w:val="24"/>
              </w:rPr>
            </w:pPr>
          </w:p>
        </w:tc>
        <w:tc>
          <w:tcPr>
            <w:tcW w:w="4495" w:type="dxa"/>
            <w:shd w:val="clear" w:color="auto" w:fill="DEEAF6" w:themeFill="accent1" w:themeFillTint="33"/>
          </w:tcPr>
          <w:p w14:paraId="31410AD9">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Lack of standardized ESG metrics and reporting.</w:t>
            </w:r>
          </w:p>
          <w:p w14:paraId="2749FDFA">
            <w:pPr>
              <w:spacing w:before="100" w:beforeAutospacing="1" w:after="100" w:afterAutospacing="1" w:line="480" w:lineRule="auto"/>
              <w:ind w:left="720"/>
              <w:jc w:val="both"/>
              <w:rPr>
                <w:rFonts w:hint="default" w:ascii="Arial" w:hAnsi="Arial" w:cs="Arial"/>
                <w:sz w:val="24"/>
                <w:szCs w:val="24"/>
              </w:rPr>
            </w:pPr>
          </w:p>
        </w:tc>
      </w:tr>
      <w:tr w14:paraId="07E37B9C">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none" w:color="auto" w:sz="0" w:space="0"/>
          </w:tblBorders>
          <w:tblCellMar>
            <w:top w:w="0" w:type="dxa"/>
            <w:left w:w="108" w:type="dxa"/>
            <w:bottom w:w="0" w:type="dxa"/>
            <w:right w:w="108" w:type="dxa"/>
          </w:tblCellMar>
        </w:tblPrEx>
        <w:trPr>
          <w:trHeight w:val="685" w:hRule="atLeast"/>
        </w:trPr>
        <w:tc>
          <w:tcPr>
            <w:tcW w:w="4855" w:type="dxa"/>
            <w:shd w:val="clear" w:color="auto" w:fill="DEEAF6" w:themeFill="accent1" w:themeFillTint="33"/>
          </w:tcPr>
          <w:p w14:paraId="2BDB2BDC">
            <w:pPr>
              <w:spacing w:before="100" w:beforeAutospacing="1" w:after="100" w:afterAutospacing="1" w:line="480" w:lineRule="auto"/>
              <w:jc w:val="both"/>
              <w:rPr>
                <w:rFonts w:hint="default" w:ascii="Arial" w:hAnsi="Arial" w:cs="Arial"/>
                <w:b w:val="0"/>
                <w:bCs/>
                <w:sz w:val="24"/>
                <w:szCs w:val="24"/>
              </w:rPr>
            </w:pPr>
            <w:r>
              <w:rPr>
                <w:rFonts w:hint="default" w:ascii="Arial" w:hAnsi="Arial" w:cs="Arial"/>
                <w:b w:val="0"/>
                <w:bCs/>
                <w:sz w:val="24"/>
                <w:szCs w:val="24"/>
              </w:rPr>
              <w:t>Potential for innovation and long-term growth.</w:t>
            </w:r>
          </w:p>
          <w:p w14:paraId="122E57AA">
            <w:pPr>
              <w:spacing w:before="100" w:beforeAutospacing="1" w:after="100" w:afterAutospacing="1" w:line="480" w:lineRule="auto"/>
              <w:ind w:left="360"/>
              <w:jc w:val="both"/>
              <w:rPr>
                <w:rFonts w:hint="default" w:ascii="Arial" w:hAnsi="Arial" w:cs="Arial"/>
                <w:b/>
                <w:bCs/>
                <w:sz w:val="24"/>
                <w:szCs w:val="24"/>
              </w:rPr>
            </w:pPr>
          </w:p>
        </w:tc>
        <w:tc>
          <w:tcPr>
            <w:tcW w:w="4495" w:type="dxa"/>
            <w:shd w:val="clear" w:color="auto" w:fill="DEEAF6" w:themeFill="accent1" w:themeFillTint="33"/>
          </w:tcPr>
          <w:p w14:paraId="16E5C5D7">
            <w:pPr>
              <w:spacing w:before="100" w:beforeAutospacing="1" w:after="100" w:afterAutospacing="1" w:line="480" w:lineRule="auto"/>
              <w:ind w:left="720"/>
              <w:jc w:val="both"/>
              <w:rPr>
                <w:rFonts w:hint="default" w:ascii="Arial" w:hAnsi="Arial" w:cs="Arial"/>
                <w:sz w:val="24"/>
                <w:szCs w:val="24"/>
              </w:rPr>
            </w:pPr>
          </w:p>
        </w:tc>
      </w:tr>
    </w:tbl>
    <w:p w14:paraId="3D09D37C">
      <w:pPr>
        <w:pStyle w:val="18"/>
        <w:spacing w:line="480" w:lineRule="auto"/>
        <w:jc w:val="both"/>
        <w:rPr>
          <w:rFonts w:hint="default" w:ascii="Arial" w:hAnsi="Arial" w:cs="Arial"/>
          <w:sz w:val="24"/>
          <w:szCs w:val="24"/>
        </w:rPr>
      </w:pPr>
    </w:p>
    <w:p w14:paraId="36E1FFE0">
      <w:pPr>
        <w:pStyle w:val="18"/>
        <w:spacing w:line="480" w:lineRule="auto"/>
        <w:jc w:val="both"/>
        <w:rPr>
          <w:rFonts w:hint="default" w:ascii="Arial" w:hAnsi="Arial" w:cs="Arial"/>
          <w:sz w:val="24"/>
          <w:szCs w:val="24"/>
        </w:rPr>
      </w:pPr>
      <w:r>
        <w:rPr>
          <w:rFonts w:hint="default" w:ascii="Arial" w:hAnsi="Arial" w:cs="Arial"/>
          <w:sz w:val="24"/>
          <w:szCs w:val="24"/>
        </w:rPr>
        <w:t>This SWOT analysis presents the benefits and risks companies are likely to experience when implementing ESG practices as outlined in this table from Forsberg, et al 2020 (Table 1). On the positive side, this report has established that high ESG quality has the</w:t>
      </w:r>
      <w:r>
        <w:rPr>
          <w:rFonts w:hint="default" w:ascii="Arial" w:hAnsi="Arial" w:eastAsia="宋体" w:cs="Arial"/>
          <w:sz w:val="24"/>
          <w:szCs w:val="24"/>
          <w:lang w:val="en-US" w:eastAsia="zh-CN"/>
        </w:rPr>
        <w:t xml:space="preserve"> </w:t>
      </w:r>
      <w:r>
        <w:rPr>
          <w:rFonts w:hint="default" w:ascii="Arial" w:hAnsi="Arial" w:cs="Arial"/>
          <w:sz w:val="24"/>
          <w:szCs w:val="24"/>
        </w:rPr>
        <w:t xml:space="preserve">potential to strengthen reputation by increasing customer preference, operational efficiency, and reducing risks. Also, it has been found that organisations, which pay attention to ESG factors, hold a competitive advantage to adhere to emerging new regulations. Nevertheless, there are some issues to be notable. </w:t>
      </w:r>
    </w:p>
    <w:p w14:paraId="1722078C">
      <w:pPr>
        <w:pStyle w:val="18"/>
        <w:spacing w:line="480" w:lineRule="auto"/>
        <w:jc w:val="both"/>
        <w:rPr>
          <w:rFonts w:hint="default" w:ascii="Arial" w:hAnsi="Arial" w:cs="Arial"/>
          <w:sz w:val="24"/>
          <w:szCs w:val="24"/>
        </w:rPr>
      </w:pPr>
      <w:r>
        <w:rPr>
          <w:rFonts w:hint="default" w:ascii="Arial" w:hAnsi="Arial" w:cs="Arial"/>
          <w:sz w:val="24"/>
          <w:szCs w:val="24"/>
        </w:rPr>
        <w:t>The adoption of ESG strategies may be costly, however, firms face the issue of potentially misleading their customers on they are doing on the aspect of ESG. Momentum-wise for the coming years, the increasing customer awareness on sustainable product and the increasing interest towards ESG by investors creates a great opportunity. But at the same time, it can be stated that the positive effect of ESG may be weakly felt in some regions, and the absence of unified indicators makes it challenging to evaluate the ESG performance of an organization.</w:t>
      </w:r>
    </w:p>
    <w:p w14:paraId="0F88512A">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19" w:name="_Toc14453"/>
      <w:r>
        <w:rPr>
          <w:rFonts w:hint="default" w:ascii="Arial" w:hAnsi="Arial" w:cs="Arial" w:eastAsiaTheme="majorEastAsia"/>
          <w:b/>
          <w:color w:val="1F4E79" w:themeColor="accent1" w:themeShade="80"/>
          <w:sz w:val="24"/>
          <w:szCs w:val="24"/>
          <w:lang w:val="en-US" w:eastAsia="en-US" w:bidi="ar-SA"/>
        </w:rPr>
        <w:t>1.6.2</w:t>
      </w:r>
      <w:r>
        <w:rPr>
          <w:rFonts w:hint="default" w:ascii="Arial" w:hAnsi="Arial" w:cs="Arial"/>
          <w:sz w:val="24"/>
          <w:szCs w:val="24"/>
          <w:lang w:val="en-US" w:eastAsia="zh-CN"/>
        </w:rPr>
        <w:t xml:space="preserve"> </w:t>
      </w:r>
      <w:r>
        <w:rPr>
          <w:rFonts w:hint="default" w:ascii="Arial" w:hAnsi="Arial" w:cs="Arial"/>
          <w:sz w:val="24"/>
          <w:szCs w:val="24"/>
        </w:rPr>
        <w:t>PESTLE Analysis</w:t>
      </w:r>
      <w:bookmarkEnd w:id="19"/>
    </w:p>
    <w:p w14:paraId="7B9E80C9">
      <w:pPr>
        <w:pStyle w:val="18"/>
        <w:spacing w:line="480" w:lineRule="auto"/>
        <w:jc w:val="both"/>
        <w:rPr>
          <w:rFonts w:hint="default" w:ascii="Arial" w:hAnsi="Arial" w:cs="Arial"/>
          <w:sz w:val="24"/>
          <w:szCs w:val="24"/>
        </w:rPr>
      </w:pPr>
      <w:r>
        <w:rPr>
          <w:rFonts w:hint="default" w:ascii="Arial" w:hAnsi="Arial" w:cs="Arial"/>
          <w:sz w:val="24"/>
          <w:szCs w:val="24"/>
        </w:rPr>
        <w:t>The PESTLE framework can be used to illustrate the macro-conditions that may explain the situation with the extent of ESG integration in Chinese firms (Forsberg et al, 2020).</w:t>
      </w:r>
    </w:p>
    <w:tbl>
      <w:tblPr>
        <w:tblStyle w:val="21"/>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3"/>
        <w:gridCol w:w="1452"/>
        <w:gridCol w:w="1487"/>
        <w:gridCol w:w="1674"/>
        <w:gridCol w:w="1578"/>
        <w:gridCol w:w="1722"/>
      </w:tblGrid>
      <w:tr w14:paraId="0E677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1663" w:type="dxa"/>
            <w:shd w:val="clear" w:color="auto" w:fill="5B9BD5" w:themeFill="accent1"/>
          </w:tcPr>
          <w:p w14:paraId="0ABF98A2">
            <w:pPr>
              <w:pStyle w:val="18"/>
              <w:spacing w:line="480" w:lineRule="auto"/>
              <w:jc w:val="both"/>
              <w:rPr>
                <w:rFonts w:hint="default" w:ascii="Arial" w:hAnsi="Arial" w:cs="Arial"/>
                <w:b/>
                <w:sz w:val="24"/>
                <w:szCs w:val="24"/>
              </w:rPr>
            </w:pPr>
            <w:r>
              <w:rPr>
                <w:rFonts w:hint="default" w:ascii="Arial" w:hAnsi="Arial" w:cs="Arial"/>
                <w:b/>
                <w:sz w:val="24"/>
                <w:szCs w:val="24"/>
              </w:rPr>
              <w:t>P</w:t>
            </w:r>
          </w:p>
        </w:tc>
        <w:tc>
          <w:tcPr>
            <w:tcW w:w="1452" w:type="dxa"/>
            <w:shd w:val="clear" w:color="auto" w:fill="ED7D31" w:themeFill="accent2"/>
          </w:tcPr>
          <w:p w14:paraId="734F2AD5">
            <w:pPr>
              <w:pStyle w:val="18"/>
              <w:spacing w:line="480" w:lineRule="auto"/>
              <w:jc w:val="both"/>
              <w:rPr>
                <w:rFonts w:hint="default" w:ascii="Arial" w:hAnsi="Arial" w:cs="Arial"/>
                <w:b/>
                <w:sz w:val="24"/>
                <w:szCs w:val="24"/>
              </w:rPr>
            </w:pPr>
            <w:r>
              <w:rPr>
                <w:rFonts w:hint="default" w:ascii="Arial" w:hAnsi="Arial" w:cs="Arial"/>
                <w:b/>
                <w:sz w:val="24"/>
                <w:szCs w:val="24"/>
              </w:rPr>
              <w:t>E</w:t>
            </w:r>
          </w:p>
        </w:tc>
        <w:tc>
          <w:tcPr>
            <w:tcW w:w="1487" w:type="dxa"/>
            <w:shd w:val="clear" w:color="auto" w:fill="FFD965" w:themeFill="accent4" w:themeFillTint="99"/>
          </w:tcPr>
          <w:p w14:paraId="3F2B1F1F">
            <w:pPr>
              <w:pStyle w:val="18"/>
              <w:spacing w:line="480" w:lineRule="auto"/>
              <w:jc w:val="both"/>
              <w:rPr>
                <w:rFonts w:hint="default" w:ascii="Arial" w:hAnsi="Arial" w:cs="Arial"/>
                <w:b/>
                <w:sz w:val="24"/>
                <w:szCs w:val="24"/>
              </w:rPr>
            </w:pPr>
            <w:r>
              <w:rPr>
                <w:rFonts w:hint="default" w:ascii="Arial" w:hAnsi="Arial" w:cs="Arial"/>
                <w:b/>
                <w:sz w:val="24"/>
                <w:szCs w:val="24"/>
              </w:rPr>
              <w:t>S</w:t>
            </w:r>
          </w:p>
        </w:tc>
        <w:tc>
          <w:tcPr>
            <w:tcW w:w="1674" w:type="dxa"/>
            <w:shd w:val="clear" w:color="auto" w:fill="A5A5A5" w:themeFill="accent3"/>
          </w:tcPr>
          <w:p w14:paraId="7455B7E8">
            <w:pPr>
              <w:pStyle w:val="18"/>
              <w:spacing w:line="480" w:lineRule="auto"/>
              <w:jc w:val="both"/>
              <w:rPr>
                <w:rFonts w:hint="default" w:ascii="Arial" w:hAnsi="Arial" w:cs="Arial"/>
                <w:b/>
                <w:sz w:val="24"/>
                <w:szCs w:val="24"/>
              </w:rPr>
            </w:pPr>
            <w:r>
              <w:rPr>
                <w:rFonts w:hint="default" w:ascii="Arial" w:hAnsi="Arial" w:cs="Arial"/>
                <w:b/>
                <w:sz w:val="24"/>
                <w:szCs w:val="24"/>
              </w:rPr>
              <w:t>T</w:t>
            </w:r>
          </w:p>
        </w:tc>
        <w:tc>
          <w:tcPr>
            <w:tcW w:w="1578" w:type="dxa"/>
            <w:shd w:val="clear" w:color="auto" w:fill="8496B0" w:themeFill="text2" w:themeFillTint="99"/>
          </w:tcPr>
          <w:p w14:paraId="177D42B5">
            <w:pPr>
              <w:pStyle w:val="18"/>
              <w:spacing w:line="480" w:lineRule="auto"/>
              <w:jc w:val="both"/>
              <w:rPr>
                <w:rFonts w:hint="default" w:ascii="Arial" w:hAnsi="Arial" w:cs="Arial"/>
                <w:b/>
                <w:sz w:val="24"/>
                <w:szCs w:val="24"/>
              </w:rPr>
            </w:pPr>
            <w:r>
              <w:rPr>
                <w:rFonts w:hint="default" w:ascii="Arial" w:hAnsi="Arial" w:cs="Arial"/>
                <w:b/>
                <w:sz w:val="24"/>
                <w:szCs w:val="24"/>
              </w:rPr>
              <w:t>L</w:t>
            </w:r>
          </w:p>
        </w:tc>
        <w:tc>
          <w:tcPr>
            <w:tcW w:w="1722" w:type="dxa"/>
            <w:shd w:val="clear" w:color="auto" w:fill="BBD361"/>
          </w:tcPr>
          <w:p w14:paraId="3B74E44F">
            <w:pPr>
              <w:pStyle w:val="18"/>
              <w:spacing w:line="480" w:lineRule="auto"/>
              <w:jc w:val="both"/>
              <w:rPr>
                <w:rFonts w:hint="default" w:ascii="Arial" w:hAnsi="Arial" w:cs="Arial"/>
                <w:b/>
                <w:sz w:val="24"/>
                <w:szCs w:val="24"/>
              </w:rPr>
            </w:pPr>
            <w:r>
              <w:rPr>
                <w:rFonts w:hint="default" w:ascii="Arial" w:hAnsi="Arial" w:cs="Arial"/>
                <w:b/>
                <w:sz w:val="24"/>
                <w:szCs w:val="24"/>
              </w:rPr>
              <w:t>E</w:t>
            </w:r>
          </w:p>
        </w:tc>
      </w:tr>
      <w:tr w14:paraId="0A7DE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1663" w:type="dxa"/>
            <w:shd w:val="clear" w:color="auto" w:fill="ECECEC" w:themeFill="accent3" w:themeFillTint="33"/>
          </w:tcPr>
          <w:p w14:paraId="32CAA586">
            <w:pPr>
              <w:pStyle w:val="18"/>
              <w:spacing w:line="480" w:lineRule="auto"/>
              <w:jc w:val="both"/>
              <w:rPr>
                <w:rFonts w:hint="default" w:ascii="Arial" w:hAnsi="Arial" w:cs="Arial"/>
                <w:b/>
                <w:sz w:val="24"/>
                <w:szCs w:val="24"/>
              </w:rPr>
            </w:pPr>
            <w:r>
              <w:rPr>
                <w:rFonts w:hint="default" w:ascii="Arial" w:hAnsi="Arial" w:cs="Arial"/>
                <w:b/>
                <w:sz w:val="24"/>
                <w:szCs w:val="24"/>
              </w:rPr>
              <w:t>Political</w:t>
            </w:r>
          </w:p>
        </w:tc>
        <w:tc>
          <w:tcPr>
            <w:tcW w:w="1452" w:type="dxa"/>
            <w:shd w:val="clear" w:color="auto" w:fill="ECECEC" w:themeFill="accent3" w:themeFillTint="33"/>
          </w:tcPr>
          <w:p w14:paraId="233CD435">
            <w:pPr>
              <w:pStyle w:val="18"/>
              <w:spacing w:line="480" w:lineRule="auto"/>
              <w:jc w:val="both"/>
              <w:rPr>
                <w:rFonts w:hint="default" w:ascii="Arial" w:hAnsi="Arial" w:cs="Arial"/>
                <w:b/>
                <w:sz w:val="24"/>
                <w:szCs w:val="24"/>
              </w:rPr>
            </w:pPr>
            <w:r>
              <w:rPr>
                <w:rFonts w:hint="default" w:ascii="Arial" w:hAnsi="Arial" w:cs="Arial"/>
                <w:b/>
                <w:sz w:val="24"/>
                <w:szCs w:val="24"/>
              </w:rPr>
              <w:t>Economic</w:t>
            </w:r>
          </w:p>
        </w:tc>
        <w:tc>
          <w:tcPr>
            <w:tcW w:w="1487" w:type="dxa"/>
            <w:shd w:val="clear" w:color="auto" w:fill="ECECEC" w:themeFill="accent3" w:themeFillTint="33"/>
          </w:tcPr>
          <w:p w14:paraId="6FA5B684">
            <w:pPr>
              <w:pStyle w:val="18"/>
              <w:spacing w:line="480" w:lineRule="auto"/>
              <w:jc w:val="both"/>
              <w:rPr>
                <w:rFonts w:hint="default" w:ascii="Arial" w:hAnsi="Arial" w:cs="Arial"/>
                <w:b/>
                <w:sz w:val="24"/>
                <w:szCs w:val="24"/>
              </w:rPr>
            </w:pPr>
            <w:r>
              <w:rPr>
                <w:rFonts w:hint="default" w:ascii="Arial" w:hAnsi="Arial" w:cs="Arial"/>
                <w:b/>
                <w:sz w:val="24"/>
                <w:szCs w:val="24"/>
              </w:rPr>
              <w:t>Social</w:t>
            </w:r>
          </w:p>
        </w:tc>
        <w:tc>
          <w:tcPr>
            <w:tcW w:w="1674" w:type="dxa"/>
            <w:shd w:val="clear" w:color="auto" w:fill="ECECEC" w:themeFill="accent3" w:themeFillTint="33"/>
          </w:tcPr>
          <w:p w14:paraId="4357C7CF">
            <w:pPr>
              <w:pStyle w:val="18"/>
              <w:spacing w:line="480" w:lineRule="auto"/>
              <w:jc w:val="both"/>
              <w:rPr>
                <w:rFonts w:hint="default" w:ascii="Arial" w:hAnsi="Arial" w:cs="Arial"/>
                <w:b/>
                <w:sz w:val="24"/>
                <w:szCs w:val="24"/>
              </w:rPr>
            </w:pPr>
            <w:r>
              <w:rPr>
                <w:rFonts w:hint="default" w:ascii="Arial" w:hAnsi="Arial" w:cs="Arial"/>
                <w:b/>
                <w:sz w:val="24"/>
                <w:szCs w:val="24"/>
              </w:rPr>
              <w:t>Technological</w:t>
            </w:r>
          </w:p>
        </w:tc>
        <w:tc>
          <w:tcPr>
            <w:tcW w:w="1578" w:type="dxa"/>
            <w:shd w:val="clear" w:color="auto" w:fill="ECECEC" w:themeFill="accent3" w:themeFillTint="33"/>
          </w:tcPr>
          <w:p w14:paraId="199932BC">
            <w:pPr>
              <w:pStyle w:val="18"/>
              <w:spacing w:line="480" w:lineRule="auto"/>
              <w:jc w:val="both"/>
              <w:rPr>
                <w:rFonts w:hint="default" w:ascii="Arial" w:hAnsi="Arial" w:cs="Arial"/>
                <w:b/>
                <w:sz w:val="24"/>
                <w:szCs w:val="24"/>
              </w:rPr>
            </w:pPr>
            <w:r>
              <w:rPr>
                <w:rFonts w:hint="default" w:ascii="Arial" w:hAnsi="Arial" w:cs="Arial"/>
                <w:b/>
                <w:sz w:val="24"/>
                <w:szCs w:val="24"/>
              </w:rPr>
              <w:t>Legal</w:t>
            </w:r>
          </w:p>
        </w:tc>
        <w:tc>
          <w:tcPr>
            <w:tcW w:w="1722" w:type="dxa"/>
            <w:shd w:val="clear" w:color="auto" w:fill="ECECEC" w:themeFill="accent3" w:themeFillTint="33"/>
          </w:tcPr>
          <w:p w14:paraId="253C044E">
            <w:pPr>
              <w:pStyle w:val="18"/>
              <w:spacing w:line="480" w:lineRule="auto"/>
              <w:jc w:val="both"/>
              <w:rPr>
                <w:rFonts w:hint="default" w:ascii="Arial" w:hAnsi="Arial" w:cs="Arial"/>
                <w:b/>
                <w:sz w:val="24"/>
                <w:szCs w:val="24"/>
              </w:rPr>
            </w:pPr>
            <w:r>
              <w:rPr>
                <w:rFonts w:hint="default" w:ascii="Arial" w:hAnsi="Arial" w:cs="Arial"/>
                <w:b/>
                <w:sz w:val="24"/>
                <w:szCs w:val="24"/>
              </w:rPr>
              <w:t>Environmental</w:t>
            </w:r>
          </w:p>
        </w:tc>
      </w:tr>
      <w:tr w14:paraId="5896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1" w:hRule="atLeast"/>
        </w:trPr>
        <w:tc>
          <w:tcPr>
            <w:tcW w:w="1663" w:type="dxa"/>
            <w:shd w:val="clear" w:color="auto" w:fill="DEEAF6" w:themeFill="accent1" w:themeFillTint="33"/>
          </w:tcPr>
          <w:p w14:paraId="1BD53552">
            <w:pPr>
              <w:spacing w:before="100" w:beforeAutospacing="1" w:after="100" w:afterAutospacing="1" w:line="480" w:lineRule="auto"/>
              <w:ind w:left="0" w:leftChars="0"/>
              <w:jc w:val="both"/>
              <w:rPr>
                <w:rFonts w:hint="default" w:ascii="Arial" w:hAnsi="Arial" w:cs="Arial"/>
                <w:sz w:val="21"/>
                <w:szCs w:val="21"/>
              </w:rPr>
            </w:pPr>
            <w:r>
              <w:rPr>
                <w:rFonts w:hint="default" w:ascii="Arial" w:hAnsi="Arial" w:cs="Arial"/>
                <w:sz w:val="21"/>
                <w:szCs w:val="21"/>
              </w:rPr>
              <w:t>Government policies promoting sustainable development and green finance.</w:t>
            </w:r>
          </w:p>
          <w:p w14:paraId="5D6B3DAA">
            <w:pPr>
              <w:spacing w:before="100" w:beforeAutospacing="1" w:after="100" w:afterAutospacing="1" w:line="480" w:lineRule="auto"/>
              <w:ind w:left="0" w:leftChars="0"/>
              <w:jc w:val="both"/>
              <w:rPr>
                <w:rFonts w:hint="default" w:ascii="Arial" w:hAnsi="Arial" w:cs="Arial"/>
                <w:sz w:val="21"/>
                <w:szCs w:val="21"/>
              </w:rPr>
            </w:pPr>
          </w:p>
        </w:tc>
        <w:tc>
          <w:tcPr>
            <w:tcW w:w="1452" w:type="dxa"/>
            <w:shd w:val="clear" w:color="auto" w:fill="FBE4D5" w:themeFill="accent2" w:themeFillTint="33"/>
          </w:tcPr>
          <w:p w14:paraId="76298968">
            <w:pPr>
              <w:pStyle w:val="18"/>
              <w:spacing w:line="480" w:lineRule="auto"/>
              <w:ind w:left="0" w:leftChars="0"/>
              <w:jc w:val="both"/>
              <w:rPr>
                <w:rFonts w:hint="default" w:ascii="Arial" w:hAnsi="Arial" w:cs="Arial"/>
                <w:sz w:val="21"/>
                <w:szCs w:val="21"/>
              </w:rPr>
            </w:pPr>
            <w:r>
              <w:rPr>
                <w:rFonts w:hint="default" w:ascii="Arial" w:hAnsi="Arial" w:cs="Arial"/>
                <w:sz w:val="21"/>
                <w:szCs w:val="21"/>
              </w:rPr>
              <w:t>Economic growth linked to sustainable practices</w:t>
            </w:r>
          </w:p>
        </w:tc>
        <w:tc>
          <w:tcPr>
            <w:tcW w:w="1487" w:type="dxa"/>
            <w:shd w:val="clear" w:color="auto" w:fill="FEF2CC" w:themeFill="accent4" w:themeFillTint="33"/>
          </w:tcPr>
          <w:p w14:paraId="32895524">
            <w:pPr>
              <w:spacing w:before="100" w:beforeAutospacing="1" w:after="100" w:afterAutospacing="1" w:line="480" w:lineRule="auto"/>
              <w:ind w:left="0" w:leftChars="0"/>
              <w:jc w:val="both"/>
              <w:rPr>
                <w:rFonts w:hint="default" w:ascii="Arial" w:hAnsi="Arial" w:cs="Arial"/>
                <w:sz w:val="21"/>
                <w:szCs w:val="21"/>
              </w:rPr>
            </w:pPr>
            <w:r>
              <w:rPr>
                <w:rFonts w:hint="default" w:ascii="Arial" w:hAnsi="Arial" w:cs="Arial"/>
                <w:sz w:val="21"/>
                <w:szCs w:val="21"/>
              </w:rPr>
              <w:t>Rising consumer awareness and demand for ethical business practices.</w:t>
            </w:r>
          </w:p>
          <w:p w14:paraId="59941161">
            <w:pPr>
              <w:pStyle w:val="18"/>
              <w:spacing w:line="480" w:lineRule="auto"/>
              <w:ind w:left="0" w:leftChars="0"/>
              <w:jc w:val="both"/>
              <w:rPr>
                <w:rFonts w:hint="default" w:ascii="Arial" w:hAnsi="Arial" w:cs="Arial"/>
                <w:sz w:val="21"/>
                <w:szCs w:val="21"/>
              </w:rPr>
            </w:pPr>
          </w:p>
        </w:tc>
        <w:tc>
          <w:tcPr>
            <w:tcW w:w="1674" w:type="dxa"/>
            <w:shd w:val="clear" w:color="auto" w:fill="DADADA" w:themeFill="accent3" w:themeFillTint="66"/>
          </w:tcPr>
          <w:p w14:paraId="206BA522">
            <w:pPr>
              <w:pStyle w:val="18"/>
              <w:spacing w:line="480" w:lineRule="auto"/>
              <w:ind w:left="0" w:leftChars="0"/>
              <w:jc w:val="both"/>
              <w:rPr>
                <w:rFonts w:hint="default" w:ascii="Arial" w:hAnsi="Arial" w:cs="Arial"/>
                <w:sz w:val="21"/>
                <w:szCs w:val="21"/>
              </w:rPr>
            </w:pPr>
            <w:r>
              <w:rPr>
                <w:rFonts w:hint="default" w:ascii="Arial" w:hAnsi="Arial" w:cs="Arial"/>
                <w:sz w:val="21"/>
                <w:szCs w:val="21"/>
              </w:rPr>
              <w:t>Advancements in green technologies and sustainable practices.</w:t>
            </w:r>
          </w:p>
        </w:tc>
        <w:tc>
          <w:tcPr>
            <w:tcW w:w="1578" w:type="dxa"/>
            <w:shd w:val="clear" w:color="auto" w:fill="D6DCE4" w:themeFill="text2" w:themeFillTint="33"/>
          </w:tcPr>
          <w:p w14:paraId="5CAADC98">
            <w:pPr>
              <w:spacing w:before="100" w:beforeAutospacing="1" w:after="100" w:afterAutospacing="1" w:line="480" w:lineRule="auto"/>
              <w:ind w:left="0" w:leftChars="0"/>
              <w:jc w:val="both"/>
              <w:rPr>
                <w:rFonts w:hint="default" w:ascii="Arial" w:hAnsi="Arial" w:cs="Arial"/>
                <w:sz w:val="21"/>
                <w:szCs w:val="21"/>
              </w:rPr>
            </w:pPr>
            <w:r>
              <w:rPr>
                <w:rFonts w:hint="default" w:ascii="Arial" w:hAnsi="Arial" w:cs="Arial"/>
                <w:sz w:val="21"/>
                <w:szCs w:val="21"/>
              </w:rPr>
              <w:t>Compliance with national and international ESG standards and regulations.</w:t>
            </w:r>
          </w:p>
          <w:p w14:paraId="21DDABDB">
            <w:pPr>
              <w:pStyle w:val="18"/>
              <w:spacing w:line="480" w:lineRule="auto"/>
              <w:ind w:left="0" w:leftChars="0"/>
              <w:jc w:val="both"/>
              <w:rPr>
                <w:rFonts w:hint="default" w:ascii="Arial" w:hAnsi="Arial" w:cs="Arial"/>
                <w:sz w:val="21"/>
                <w:szCs w:val="21"/>
              </w:rPr>
            </w:pPr>
          </w:p>
        </w:tc>
        <w:tc>
          <w:tcPr>
            <w:tcW w:w="1722" w:type="dxa"/>
            <w:shd w:val="clear" w:color="auto" w:fill="E2EFD9" w:themeFill="accent6" w:themeFillTint="33"/>
          </w:tcPr>
          <w:p w14:paraId="5016B4F8">
            <w:pPr>
              <w:spacing w:before="100" w:beforeAutospacing="1" w:after="100" w:afterAutospacing="1" w:line="480" w:lineRule="auto"/>
              <w:ind w:left="0" w:leftChars="0"/>
              <w:jc w:val="both"/>
              <w:rPr>
                <w:rFonts w:hint="default" w:ascii="Arial" w:hAnsi="Arial" w:cs="Arial"/>
                <w:sz w:val="21"/>
                <w:szCs w:val="21"/>
              </w:rPr>
            </w:pPr>
            <w:r>
              <w:rPr>
                <w:rFonts w:hint="default" w:ascii="Arial" w:hAnsi="Arial" w:cs="Arial"/>
                <w:sz w:val="21"/>
                <w:szCs w:val="21"/>
              </w:rPr>
              <w:t>Emphasis on reducing carbon footprint and environmental impact.</w:t>
            </w:r>
          </w:p>
          <w:p w14:paraId="122961B8">
            <w:pPr>
              <w:pStyle w:val="18"/>
              <w:spacing w:line="480" w:lineRule="auto"/>
              <w:ind w:left="0" w:leftChars="0"/>
              <w:jc w:val="both"/>
              <w:rPr>
                <w:rFonts w:hint="default" w:ascii="Arial" w:hAnsi="Arial" w:cs="Arial"/>
                <w:sz w:val="21"/>
                <w:szCs w:val="21"/>
              </w:rPr>
            </w:pPr>
          </w:p>
        </w:tc>
      </w:tr>
      <w:tr w14:paraId="350E8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trPr>
        <w:tc>
          <w:tcPr>
            <w:tcW w:w="1663" w:type="dxa"/>
            <w:shd w:val="clear" w:color="auto" w:fill="DEEAF6" w:themeFill="accent1" w:themeFillTint="33"/>
          </w:tcPr>
          <w:p w14:paraId="1F8F459A">
            <w:pPr>
              <w:spacing w:before="100" w:beforeAutospacing="1" w:after="100" w:afterAutospacing="1" w:line="480" w:lineRule="auto"/>
              <w:ind w:left="0" w:leftChars="0"/>
              <w:jc w:val="both"/>
              <w:rPr>
                <w:rFonts w:hint="default" w:ascii="Arial" w:hAnsi="Arial" w:cs="Arial"/>
                <w:sz w:val="21"/>
                <w:szCs w:val="21"/>
              </w:rPr>
            </w:pPr>
            <w:r>
              <w:rPr>
                <w:rFonts w:hint="default" w:ascii="Arial" w:hAnsi="Arial" w:cs="Arial"/>
                <w:sz w:val="21"/>
                <w:szCs w:val="21"/>
              </w:rPr>
              <w:t>Regulatory requirements for ESG reporting.</w:t>
            </w:r>
          </w:p>
          <w:p w14:paraId="566DFA70">
            <w:pPr>
              <w:pStyle w:val="18"/>
              <w:spacing w:line="480" w:lineRule="auto"/>
              <w:ind w:left="0" w:leftChars="0"/>
              <w:jc w:val="both"/>
              <w:rPr>
                <w:rFonts w:hint="default" w:ascii="Arial" w:hAnsi="Arial" w:cs="Arial"/>
                <w:sz w:val="21"/>
                <w:szCs w:val="21"/>
              </w:rPr>
            </w:pPr>
          </w:p>
        </w:tc>
        <w:tc>
          <w:tcPr>
            <w:tcW w:w="1452" w:type="dxa"/>
            <w:shd w:val="clear" w:color="auto" w:fill="FBE4D5" w:themeFill="accent2" w:themeFillTint="33"/>
          </w:tcPr>
          <w:p w14:paraId="542D7E31">
            <w:pPr>
              <w:spacing w:before="100" w:beforeAutospacing="1" w:after="100" w:afterAutospacing="1" w:line="480" w:lineRule="auto"/>
              <w:ind w:left="0" w:leftChars="0"/>
              <w:jc w:val="both"/>
              <w:rPr>
                <w:rFonts w:hint="default" w:ascii="Arial" w:hAnsi="Arial" w:cs="Arial"/>
                <w:sz w:val="21"/>
                <w:szCs w:val="21"/>
              </w:rPr>
            </w:pPr>
            <w:r>
              <w:rPr>
                <w:rFonts w:hint="default" w:ascii="Arial" w:hAnsi="Arial" w:cs="Arial"/>
                <w:sz w:val="21"/>
                <w:szCs w:val="21"/>
              </w:rPr>
              <w:t>Investment in green technologies and infrastructure.</w:t>
            </w:r>
          </w:p>
          <w:p w14:paraId="704F0007">
            <w:pPr>
              <w:pStyle w:val="18"/>
              <w:spacing w:line="480" w:lineRule="auto"/>
              <w:ind w:left="0" w:leftChars="0"/>
              <w:jc w:val="both"/>
              <w:rPr>
                <w:rFonts w:hint="default" w:ascii="Arial" w:hAnsi="Arial" w:cs="Arial"/>
                <w:sz w:val="21"/>
                <w:szCs w:val="21"/>
              </w:rPr>
            </w:pPr>
          </w:p>
        </w:tc>
        <w:tc>
          <w:tcPr>
            <w:tcW w:w="1487" w:type="dxa"/>
            <w:shd w:val="clear" w:color="auto" w:fill="FEF2CC" w:themeFill="accent4" w:themeFillTint="33"/>
          </w:tcPr>
          <w:p w14:paraId="21C111C5">
            <w:pPr>
              <w:spacing w:before="100" w:beforeAutospacing="1" w:after="100" w:afterAutospacing="1" w:line="480" w:lineRule="auto"/>
              <w:ind w:left="0" w:leftChars="0"/>
              <w:jc w:val="both"/>
              <w:rPr>
                <w:rFonts w:hint="default" w:ascii="Arial" w:hAnsi="Arial" w:cs="Arial"/>
                <w:sz w:val="21"/>
                <w:szCs w:val="21"/>
              </w:rPr>
            </w:pPr>
            <w:r>
              <w:rPr>
                <w:rFonts w:hint="default" w:ascii="Arial" w:hAnsi="Arial" w:cs="Arial"/>
                <w:sz w:val="21"/>
                <w:szCs w:val="21"/>
              </w:rPr>
              <w:t>Social pressure for companies to address environmental and social issues.</w:t>
            </w:r>
          </w:p>
          <w:p w14:paraId="06D3648C">
            <w:pPr>
              <w:pStyle w:val="18"/>
              <w:spacing w:line="480" w:lineRule="auto"/>
              <w:ind w:left="0" w:leftChars="0"/>
              <w:jc w:val="both"/>
              <w:rPr>
                <w:rFonts w:hint="default" w:ascii="Arial" w:hAnsi="Arial" w:cs="Arial"/>
                <w:sz w:val="21"/>
                <w:szCs w:val="21"/>
              </w:rPr>
            </w:pPr>
          </w:p>
        </w:tc>
        <w:tc>
          <w:tcPr>
            <w:tcW w:w="1674" w:type="dxa"/>
            <w:shd w:val="clear" w:color="auto" w:fill="DADADA" w:themeFill="accent3" w:themeFillTint="66"/>
          </w:tcPr>
          <w:p w14:paraId="76C50840">
            <w:pPr>
              <w:spacing w:before="100" w:beforeAutospacing="1" w:after="100" w:afterAutospacing="1" w:line="480" w:lineRule="auto"/>
              <w:ind w:left="0" w:leftChars="0"/>
              <w:jc w:val="both"/>
              <w:rPr>
                <w:rFonts w:hint="default" w:ascii="Arial" w:hAnsi="Arial" w:cs="Arial"/>
                <w:sz w:val="21"/>
                <w:szCs w:val="21"/>
              </w:rPr>
            </w:pPr>
            <w:r>
              <w:rPr>
                <w:rFonts w:hint="default" w:ascii="Arial" w:hAnsi="Arial" w:cs="Arial"/>
                <w:sz w:val="21"/>
                <w:szCs w:val="21"/>
              </w:rPr>
              <w:t>Integration of ESG metrics in corporate reporting systems.</w:t>
            </w:r>
          </w:p>
          <w:p w14:paraId="7FDA84B2">
            <w:pPr>
              <w:pStyle w:val="18"/>
              <w:spacing w:line="480" w:lineRule="auto"/>
              <w:ind w:left="0" w:leftChars="0"/>
              <w:jc w:val="both"/>
              <w:rPr>
                <w:rFonts w:hint="default" w:ascii="Arial" w:hAnsi="Arial" w:cs="Arial"/>
                <w:sz w:val="21"/>
                <w:szCs w:val="21"/>
              </w:rPr>
            </w:pPr>
          </w:p>
        </w:tc>
        <w:tc>
          <w:tcPr>
            <w:tcW w:w="1578" w:type="dxa"/>
            <w:shd w:val="clear" w:color="auto" w:fill="D6DCE4" w:themeFill="text2" w:themeFillTint="33"/>
          </w:tcPr>
          <w:p w14:paraId="7D218DD5">
            <w:pPr>
              <w:pStyle w:val="18"/>
              <w:spacing w:line="480" w:lineRule="auto"/>
              <w:ind w:left="0" w:leftChars="0"/>
              <w:jc w:val="both"/>
              <w:rPr>
                <w:rFonts w:hint="default" w:ascii="Arial" w:hAnsi="Arial" w:cs="Arial"/>
                <w:sz w:val="21"/>
                <w:szCs w:val="21"/>
              </w:rPr>
            </w:pPr>
            <w:r>
              <w:rPr>
                <w:rFonts w:hint="default" w:ascii="Arial" w:hAnsi="Arial" w:cs="Arial"/>
                <w:sz w:val="21"/>
                <w:szCs w:val="21"/>
              </w:rPr>
              <w:t>Legal risks associated with environmental and social negligence.</w:t>
            </w:r>
          </w:p>
        </w:tc>
        <w:tc>
          <w:tcPr>
            <w:tcW w:w="1722" w:type="dxa"/>
            <w:shd w:val="clear" w:color="auto" w:fill="E2EFD9" w:themeFill="accent6" w:themeFillTint="33"/>
          </w:tcPr>
          <w:p w14:paraId="0B4B173F">
            <w:pPr>
              <w:spacing w:before="100" w:beforeAutospacing="1" w:after="100" w:afterAutospacing="1" w:line="480" w:lineRule="auto"/>
              <w:ind w:left="0" w:leftChars="0"/>
              <w:jc w:val="both"/>
              <w:rPr>
                <w:rFonts w:hint="default" w:ascii="Arial" w:hAnsi="Arial" w:cs="Arial"/>
                <w:sz w:val="21"/>
                <w:szCs w:val="21"/>
              </w:rPr>
            </w:pPr>
            <w:r>
              <w:rPr>
                <w:rFonts w:hint="default" w:ascii="Arial" w:hAnsi="Arial" w:cs="Arial"/>
                <w:sz w:val="21"/>
                <w:szCs w:val="21"/>
              </w:rPr>
              <w:t>Adoption of sustainable resource management practices.</w:t>
            </w:r>
          </w:p>
          <w:p w14:paraId="5AC790E5">
            <w:pPr>
              <w:pStyle w:val="18"/>
              <w:spacing w:line="480" w:lineRule="auto"/>
              <w:ind w:left="0" w:leftChars="0"/>
              <w:jc w:val="both"/>
              <w:rPr>
                <w:rFonts w:hint="default" w:ascii="Arial" w:hAnsi="Arial" w:cs="Arial"/>
                <w:sz w:val="21"/>
                <w:szCs w:val="21"/>
              </w:rPr>
            </w:pPr>
          </w:p>
        </w:tc>
      </w:tr>
    </w:tbl>
    <w:p w14:paraId="093F0050">
      <w:pPr>
        <w:spacing w:line="480" w:lineRule="auto"/>
        <w:jc w:val="both"/>
        <w:rPr>
          <w:rFonts w:hint="default" w:ascii="Arial" w:hAnsi="Arial" w:cs="Arial"/>
          <w:sz w:val="24"/>
          <w:szCs w:val="24"/>
        </w:rPr>
      </w:pPr>
    </w:p>
    <w:p w14:paraId="50FBAFDD">
      <w:pPr>
        <w:spacing w:line="480" w:lineRule="auto"/>
        <w:jc w:val="both"/>
        <w:rPr>
          <w:rFonts w:hint="default" w:ascii="Arial" w:hAnsi="Arial" w:cs="Arial"/>
          <w:sz w:val="24"/>
          <w:szCs w:val="24"/>
        </w:rPr>
      </w:pPr>
      <w:r>
        <w:rPr>
          <w:rFonts w:hint="default" w:ascii="Arial" w:hAnsi="Arial" w:cs="Arial"/>
          <w:sz w:val="24"/>
          <w:szCs w:val="24"/>
        </w:rPr>
        <w:t>Based on the PESTLE framework analysis, this section demonstrates that several outside factors shape a firm’s strategic direction on ESG. Government agendas for the operationalization of sustainability and legal requirements regarding sustainability reporting provide the actionable context politically.</w:t>
      </w:r>
    </w:p>
    <w:p w14:paraId="629690F8">
      <w:pPr>
        <w:spacing w:line="480" w:lineRule="auto"/>
        <w:jc w:val="both"/>
        <w:rPr>
          <w:rFonts w:hint="default" w:ascii="Arial" w:hAnsi="Arial" w:cs="Arial"/>
          <w:sz w:val="24"/>
          <w:szCs w:val="24"/>
        </w:rPr>
      </w:pPr>
      <w:r>
        <w:rPr>
          <w:rFonts w:hint="default" w:ascii="Arial" w:hAnsi="Arial" w:cs="Arial"/>
          <w:sz w:val="24"/>
          <w:szCs w:val="24"/>
        </w:rPr>
        <w:t xml:space="preserve"> On the economic factors, such as the connection between development and sustainable processes, as well as the increasing customer interest in PESG-compliant companies, market opportunities are discovered. Mundanely, this pressure stems from consumers and stakeholders within the society who demand the firm’s attention towards these aspects. </w:t>
      </w:r>
    </w:p>
    <w:p w14:paraId="45445236">
      <w:pPr>
        <w:spacing w:line="480" w:lineRule="auto"/>
        <w:jc w:val="both"/>
        <w:rPr>
          <w:rFonts w:hint="default" w:ascii="Arial" w:hAnsi="Arial" w:cs="Arial"/>
          <w:sz w:val="24"/>
          <w:szCs w:val="24"/>
        </w:rPr>
      </w:pPr>
      <w:r>
        <w:rPr>
          <w:rFonts w:hint="default" w:ascii="Arial" w:hAnsi="Arial" w:cs="Arial"/>
          <w:sz w:val="24"/>
          <w:szCs w:val="24"/>
        </w:rPr>
        <w:t>Technologically, there are green solutions that enable the enhancement of the situations in this field. From the legal perspective, organisations need to follow ESG for absence of legal implications. Last but not least, environmental responsibility entails decreasing a business’s carbon impact and adopting sustainable environmental management, which are critical to excellent ESG results.</w:t>
      </w:r>
    </w:p>
    <w:p w14:paraId="6912AC78">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20" w:name="_Toc10195"/>
      <w:r>
        <w:rPr>
          <w:rFonts w:hint="default" w:ascii="Arial" w:hAnsi="Arial" w:cs="Arial" w:eastAsiaTheme="majorEastAsia"/>
          <w:b/>
          <w:color w:val="2E75B6" w:themeColor="accent1" w:themeShade="BF"/>
          <w:sz w:val="24"/>
          <w:szCs w:val="24"/>
          <w:lang w:val="en-US" w:eastAsia="en-US" w:bidi="ar-SA"/>
        </w:rPr>
        <w:t>1.7</w:t>
      </w:r>
      <w:r>
        <w:rPr>
          <w:rFonts w:hint="default" w:ascii="Arial" w:hAnsi="Arial" w:cs="Arial"/>
          <w:sz w:val="24"/>
          <w:szCs w:val="24"/>
        </w:rPr>
        <w:t xml:space="preserve"> Conclusion</w:t>
      </w:r>
      <w:bookmarkEnd w:id="20"/>
    </w:p>
    <w:p w14:paraId="0C6F630B">
      <w:pPr>
        <w:spacing w:line="480" w:lineRule="auto"/>
        <w:jc w:val="both"/>
        <w:rPr>
          <w:rFonts w:hint="default" w:ascii="Arial" w:hAnsi="Arial" w:cs="Arial"/>
          <w:sz w:val="24"/>
          <w:szCs w:val="24"/>
        </w:rPr>
      </w:pPr>
      <w:r>
        <w:rPr>
          <w:rFonts w:hint="default" w:ascii="Arial" w:hAnsi="Arial" w:cs="Arial"/>
          <w:sz w:val="24"/>
          <w:szCs w:val="24"/>
        </w:rPr>
        <w:t>In this chapter, the significance of the Environmental, Social, and Governance (ESG) factors that characterize modern business today especially the Chinese firms has been explained. The topic of ESG and the significance of its development; the topic was illustrated with reference to China and the green finance concept. The research problem and objectives were outlined with strong recommendations for undertaking a study to determine Chinese consumers’ perception of ESG adoption and the effects on financial and risk performance. It was also possible to introduce analytical tools SWOT and PESTLE – which allowed to analyze the best and the worst scenarios of ESG practices.</w:t>
      </w:r>
    </w:p>
    <w:p w14:paraId="2837629B">
      <w:pPr>
        <w:spacing w:line="480" w:lineRule="auto"/>
        <w:jc w:val="both"/>
        <w:rPr>
          <w:rFonts w:hint="default" w:ascii="Arial" w:hAnsi="Arial" w:cs="Arial"/>
          <w:sz w:val="24"/>
          <w:szCs w:val="24"/>
        </w:rPr>
      </w:pPr>
      <w:r>
        <w:rPr>
          <w:rFonts w:hint="default" w:ascii="Arial" w:hAnsi="Arial" w:cs="Arial"/>
          <w:sz w:val="24"/>
          <w:szCs w:val="24"/>
        </w:rPr>
        <w:t>Chapter 2 will present a review of the literature and highlights the existing theory on ESG, its adoption, and effects on enterprises and customers. The current study aims at filling the gaps identified in previous research, and this review will assist in establishing those gaps adequately.</w:t>
      </w:r>
    </w:p>
    <w:p w14:paraId="6FCEA454">
      <w:pPr>
        <w:spacing w:line="480" w:lineRule="auto"/>
        <w:jc w:val="both"/>
        <w:rPr>
          <w:rFonts w:hint="default" w:ascii="Arial" w:hAnsi="Arial" w:cs="Arial"/>
          <w:sz w:val="24"/>
          <w:szCs w:val="24"/>
        </w:rPr>
      </w:pPr>
    </w:p>
    <w:p w14:paraId="65832A6B">
      <w:pPr>
        <w:spacing w:line="480" w:lineRule="auto"/>
        <w:jc w:val="both"/>
        <w:rPr>
          <w:rFonts w:hint="default" w:ascii="Arial" w:hAnsi="Arial" w:cs="Arial"/>
          <w:sz w:val="24"/>
          <w:szCs w:val="24"/>
        </w:rPr>
      </w:pPr>
    </w:p>
    <w:p w14:paraId="61F8BDE4">
      <w:pPr>
        <w:spacing w:line="480" w:lineRule="auto"/>
        <w:jc w:val="both"/>
        <w:rPr>
          <w:rFonts w:hint="default" w:ascii="Arial" w:hAnsi="Arial" w:cs="Arial"/>
          <w:sz w:val="24"/>
          <w:szCs w:val="24"/>
        </w:rPr>
      </w:pPr>
    </w:p>
    <w:p w14:paraId="5469545F">
      <w:pPr>
        <w:spacing w:line="480" w:lineRule="auto"/>
        <w:jc w:val="both"/>
        <w:rPr>
          <w:rFonts w:hint="default" w:ascii="Arial" w:hAnsi="Arial" w:cs="Arial"/>
          <w:sz w:val="24"/>
          <w:szCs w:val="24"/>
        </w:rPr>
      </w:pPr>
    </w:p>
    <w:p w14:paraId="73FF271B">
      <w:pPr>
        <w:pStyle w:val="2"/>
        <w:numPr>
          <w:ilvl w:val="0"/>
          <w:numId w:val="0"/>
        </w:numPr>
        <w:spacing w:line="480" w:lineRule="auto"/>
        <w:ind w:leftChars="0"/>
        <w:jc w:val="both"/>
        <w:outlineLvl w:val="1"/>
        <w:rPr>
          <w:rFonts w:hint="default" w:ascii="Arial" w:hAnsi="Arial" w:cs="Arial"/>
          <w:sz w:val="24"/>
          <w:szCs w:val="24"/>
        </w:rPr>
      </w:pPr>
      <w:bookmarkStart w:id="21" w:name="_Toc14907"/>
      <w:r>
        <w:rPr>
          <w:rFonts w:hint="default" w:ascii="Arial" w:hAnsi="Arial" w:cs="Arial"/>
          <w:sz w:val="24"/>
          <w:szCs w:val="24"/>
        </w:rPr>
        <w:t>Chapter 2: Literature Review</w:t>
      </w:r>
      <w:bookmarkEnd w:id="21"/>
      <w:r>
        <w:rPr>
          <w:rFonts w:hint="default" w:ascii="Arial" w:hAnsi="Arial" w:cs="Arial"/>
          <w:sz w:val="24"/>
          <w:szCs w:val="24"/>
        </w:rPr>
        <w:t xml:space="preserve"> </w:t>
      </w:r>
    </w:p>
    <w:p w14:paraId="1E8C27A7">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22" w:name="_Toc12972"/>
      <w:r>
        <w:rPr>
          <w:rFonts w:hint="eastAsia" w:ascii="Arial" w:hAnsi="Arial" w:cs="Arial"/>
          <w:b/>
          <w:color w:val="2E75B6" w:themeColor="accent1" w:themeShade="BF"/>
          <w:sz w:val="24"/>
          <w:szCs w:val="24"/>
          <w:lang w:val="en-US" w:eastAsia="zh-CN" w:bidi="ar-SA"/>
        </w:rPr>
        <w:t>2</w:t>
      </w:r>
      <w:r>
        <w:rPr>
          <w:rFonts w:hint="default" w:ascii="Arial" w:hAnsi="Arial" w:cs="Arial" w:eastAsiaTheme="majorEastAsia"/>
          <w:b/>
          <w:color w:val="2E75B6" w:themeColor="accent1" w:themeShade="BF"/>
          <w:sz w:val="24"/>
          <w:szCs w:val="24"/>
          <w:lang w:val="en-US" w:eastAsia="en-US" w:bidi="ar-SA"/>
        </w:rPr>
        <w:t>.1</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Introduction</w:t>
      </w:r>
      <w:bookmarkEnd w:id="22"/>
    </w:p>
    <w:p w14:paraId="01D9FA6D">
      <w:pPr>
        <w:pStyle w:val="18"/>
        <w:spacing w:line="480" w:lineRule="auto"/>
        <w:jc w:val="both"/>
        <w:rPr>
          <w:rFonts w:hint="default" w:ascii="Arial" w:hAnsi="Arial" w:cs="Arial"/>
          <w:sz w:val="24"/>
          <w:szCs w:val="24"/>
        </w:rPr>
      </w:pPr>
      <w:r>
        <w:rPr>
          <w:rFonts w:hint="default" w:ascii="Arial" w:hAnsi="Arial" w:cs="Arial"/>
          <w:sz w:val="24"/>
          <w:szCs w:val="24"/>
        </w:rPr>
        <w:t>This chapter provides a comprehensive review of the existing literature related to Environmental, Social, and Governance (ESG) adoption in China. The focus is on understanding the impact of ESG on the financial performance and risk management of companies, as perceived by consumers. The review is organized thematically to cover key areas including ESG adoption in China, ESG and financial performance, and ESG and risk performance.</w:t>
      </w:r>
    </w:p>
    <w:p w14:paraId="2268E963">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23" w:name="_Toc1743"/>
      <w:r>
        <w:rPr>
          <w:rFonts w:hint="eastAsia" w:ascii="Arial" w:hAnsi="Arial" w:cs="Arial"/>
          <w:b/>
          <w:color w:val="2E75B6" w:themeColor="accent1" w:themeShade="BF"/>
          <w:sz w:val="24"/>
          <w:szCs w:val="24"/>
          <w:lang w:val="en-US" w:eastAsia="zh-CN" w:bidi="ar-SA"/>
        </w:rPr>
        <w:t>2</w:t>
      </w:r>
      <w:r>
        <w:rPr>
          <w:rFonts w:hint="default" w:ascii="Arial" w:hAnsi="Arial" w:cs="Arial" w:eastAsiaTheme="majorEastAsia"/>
          <w:b/>
          <w:color w:val="2E75B6" w:themeColor="accent1" w:themeShade="BF"/>
          <w:sz w:val="24"/>
          <w:szCs w:val="24"/>
          <w:lang w:val="en-US" w:eastAsia="en-US" w:bidi="ar-SA"/>
        </w:rPr>
        <w:t>.2</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ESG Adoption in China</w:t>
      </w:r>
      <w:bookmarkEnd w:id="23"/>
    </w:p>
    <w:p w14:paraId="2DCE40E0">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24" w:name="_Toc11441"/>
      <w:r>
        <w:rPr>
          <w:rFonts w:hint="eastAsia" w:ascii="Arial" w:hAnsi="Arial" w:cs="Arial"/>
          <w:b/>
          <w:color w:val="1F4E79" w:themeColor="accent1" w:themeShade="80"/>
          <w:sz w:val="24"/>
          <w:szCs w:val="24"/>
          <w:lang w:val="en-US" w:eastAsia="zh-CN" w:bidi="ar-SA"/>
        </w:rPr>
        <w:t>2</w:t>
      </w:r>
      <w:r>
        <w:rPr>
          <w:rFonts w:hint="default" w:ascii="Arial" w:hAnsi="Arial" w:cs="Arial" w:eastAsiaTheme="majorEastAsia"/>
          <w:b/>
          <w:color w:val="1F4E79" w:themeColor="accent1" w:themeShade="80"/>
          <w:sz w:val="24"/>
          <w:szCs w:val="24"/>
          <w:lang w:val="en-US" w:eastAsia="en-US" w:bidi="ar-SA"/>
        </w:rPr>
        <w:t>.2.1</w:t>
      </w:r>
      <w:r>
        <w:rPr>
          <w:rFonts w:hint="default" w:ascii="Arial" w:hAnsi="Arial" w:cs="Arial"/>
          <w:sz w:val="24"/>
          <w:szCs w:val="24"/>
          <w:lang w:val="en-US" w:eastAsia="zh-CN"/>
        </w:rPr>
        <w:t xml:space="preserve"> </w:t>
      </w:r>
      <w:r>
        <w:rPr>
          <w:rFonts w:hint="default" w:ascii="Arial" w:hAnsi="Arial" w:cs="Arial"/>
          <w:sz w:val="24"/>
          <w:szCs w:val="24"/>
        </w:rPr>
        <w:t>Historical Context and Evolution</w:t>
      </w:r>
      <w:bookmarkEnd w:id="24"/>
    </w:p>
    <w:p w14:paraId="5C9BADE9">
      <w:pPr>
        <w:spacing w:line="480" w:lineRule="auto"/>
        <w:jc w:val="both"/>
        <w:rPr>
          <w:rFonts w:hint="default" w:ascii="Arial" w:hAnsi="Arial" w:cs="Arial"/>
          <w:sz w:val="24"/>
          <w:szCs w:val="24"/>
        </w:rPr>
      </w:pPr>
      <w:r>
        <w:rPr>
          <w:rFonts w:hint="default" w:ascii="Arial" w:hAnsi="Arial" w:cs="Arial"/>
          <w:sz w:val="24"/>
          <w:szCs w:val="24"/>
        </w:rPr>
        <w:t xml:space="preserve">The evolution of ESG practices in China involves three phases. China joined the WTO in 2001 and began integrating into the global economy. Chinese enterprises began to accept social responsibility. In 2008, certain companies were legally forced to report their social responsibilities, a turning point. </w:t>
      </w:r>
    </w:p>
    <w:p w14:paraId="5B6BA9FF">
      <w:pPr>
        <w:spacing w:line="480" w:lineRule="auto"/>
        <w:jc w:val="both"/>
        <w:rPr>
          <w:rFonts w:hint="default" w:ascii="Arial" w:hAnsi="Arial" w:cs="Arial"/>
          <w:sz w:val="24"/>
          <w:szCs w:val="24"/>
        </w:rPr>
      </w:pPr>
      <w:r>
        <w:rPr>
          <w:rFonts w:hint="default" w:ascii="Arial" w:hAnsi="Arial" w:cs="Arial"/>
          <w:sz w:val="24"/>
          <w:szCs w:val="24"/>
        </w:rPr>
        <w:t xml:space="preserve">The second phase began after 2012's 18th CPC National Congress.  Sustainable development became a national focus. In 2016, the People's Bank of China announced Guidelines for Establishing the Green Financial System to improve ESG ratings. </w:t>
      </w:r>
    </w:p>
    <w:p w14:paraId="4C657A1F">
      <w:pPr>
        <w:spacing w:line="480" w:lineRule="auto"/>
        <w:jc w:val="both"/>
        <w:rPr>
          <w:rFonts w:hint="default" w:ascii="Arial" w:hAnsi="Arial" w:cs="Arial"/>
          <w:sz w:val="24"/>
          <w:szCs w:val="24"/>
        </w:rPr>
      </w:pPr>
      <w:r>
        <w:rPr>
          <w:rFonts w:hint="default" w:ascii="Arial" w:hAnsi="Arial" w:cs="Arial"/>
          <w:sz w:val="24"/>
          <w:szCs w:val="24"/>
        </w:rPr>
        <w:t>Third phase began in 2020 with the "dual carbon"2 target as a national policy, highlighting the low-carbon transition. ESG is becoming mainstream due to its environmental focus and capital market integration. Thus, numerous industries are interested (Shen et al., 2023).</w:t>
      </w:r>
    </w:p>
    <w:p w14:paraId="6C0AD2F9">
      <w:pPr>
        <w:spacing w:line="480" w:lineRule="auto"/>
        <w:jc w:val="both"/>
        <w:rPr>
          <w:rFonts w:hint="default" w:ascii="Arial" w:hAnsi="Arial" w:cs="Arial"/>
          <w:sz w:val="24"/>
          <w:szCs w:val="24"/>
        </w:rPr>
      </w:pPr>
      <w:r>
        <w:rPr>
          <w:rFonts w:hint="default" w:ascii="Arial" w:hAnsi="Arial" w:cs="Arial"/>
          <w:sz w:val="24"/>
          <w:szCs w:val="24"/>
        </w:rPr>
        <w:drawing>
          <wp:inline distT="0" distB="0" distL="0" distR="0">
            <wp:extent cx="4427855" cy="2333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4480886" cy="2361246"/>
                    </a:xfrm>
                    <a:prstGeom prst="rect">
                      <a:avLst/>
                    </a:prstGeom>
                  </pic:spPr>
                </pic:pic>
              </a:graphicData>
            </a:graphic>
          </wp:inline>
        </w:drawing>
      </w:r>
    </w:p>
    <w:p w14:paraId="764C80E2">
      <w:pPr>
        <w:spacing w:line="480" w:lineRule="auto"/>
        <w:jc w:val="both"/>
        <w:rPr>
          <w:rFonts w:hint="default" w:ascii="Arial" w:hAnsi="Arial" w:cs="Arial"/>
          <w:sz w:val="24"/>
          <w:szCs w:val="24"/>
        </w:rPr>
      </w:pPr>
      <w:r>
        <w:rPr>
          <w:rFonts w:hint="default" w:ascii="Arial" w:hAnsi="Arial" w:cs="Arial"/>
          <w:sz w:val="24"/>
          <w:szCs w:val="24"/>
        </w:rPr>
        <w:t>Source: (Shen et al., 2023)</w:t>
      </w:r>
    </w:p>
    <w:p w14:paraId="61605726">
      <w:pPr>
        <w:spacing w:line="480" w:lineRule="auto"/>
        <w:jc w:val="both"/>
        <w:rPr>
          <w:rFonts w:hint="default" w:ascii="Arial" w:hAnsi="Arial" w:cs="Arial"/>
          <w:sz w:val="24"/>
          <w:szCs w:val="24"/>
        </w:rPr>
      </w:pPr>
      <w:r>
        <w:rPr>
          <w:rFonts w:hint="default" w:ascii="Arial" w:hAnsi="Arial" w:cs="Arial"/>
          <w:sz w:val="24"/>
          <w:szCs w:val="24"/>
        </w:rPr>
        <w:t xml:space="preserve">Taking market relations into consideration, it is possible to stipulate that Environmental, Social and Governance (ESG) principles have recently received considerable attention in the Chinese market. However, to comprehend this increase, it is necessary to look at important events that responded for China’s perspective on sustainability and business accountability. </w:t>
      </w:r>
    </w:p>
    <w:p w14:paraId="6FF943A0">
      <w:pPr>
        <w:spacing w:line="480" w:lineRule="auto"/>
        <w:jc w:val="both"/>
        <w:rPr>
          <w:rFonts w:hint="default" w:ascii="Arial" w:hAnsi="Arial" w:cs="Arial"/>
          <w:sz w:val="24"/>
          <w:szCs w:val="24"/>
        </w:rPr>
      </w:pPr>
      <w:r>
        <w:rPr>
          <w:rFonts w:hint="default" w:ascii="Arial" w:hAnsi="Arial" w:cs="Arial"/>
          <w:sz w:val="24"/>
          <w:szCs w:val="24"/>
        </w:rPr>
        <w:t xml:space="preserve">It is worth noting, however, that China has been home to earlier undertakings that paved the way to this relatively recent concept of ESG. External factors, such as global discussions on the sustainability of development and the availability of corresponding models, such as the UN Sustainable Development Goals (SDGs) (Vianelli, 2021), also most likely contributed to this. Further, domestic worries such as pollution and scarcity of raw materials maybe have also led to some organizations primarily emphasizing environmental stewardship. </w:t>
      </w:r>
    </w:p>
    <w:p w14:paraId="361FCE82">
      <w:pPr>
        <w:spacing w:line="480" w:lineRule="auto"/>
        <w:jc w:val="both"/>
        <w:rPr>
          <w:rFonts w:hint="default" w:ascii="Arial" w:hAnsi="Arial" w:cs="Arial"/>
          <w:sz w:val="24"/>
          <w:szCs w:val="24"/>
        </w:rPr>
      </w:pPr>
      <w:r>
        <w:rPr>
          <w:rFonts w:hint="default" w:ascii="Arial" w:hAnsi="Arial" w:cs="Arial"/>
          <w:sz w:val="24"/>
          <w:szCs w:val="24"/>
        </w:rPr>
        <w:t xml:space="preserve"> The turning point emerged in the year 2001 when China became a member of WTO (Wan, 2023). This forced fusion into the global market brought about emulation of international standards and investors’ experiences. </w:t>
      </w:r>
    </w:p>
    <w:p w14:paraId="48A4561F">
      <w:pPr>
        <w:spacing w:line="480" w:lineRule="auto"/>
        <w:jc w:val="both"/>
        <w:rPr>
          <w:rFonts w:hint="default" w:ascii="Arial" w:hAnsi="Arial" w:cs="Arial"/>
          <w:sz w:val="24"/>
          <w:szCs w:val="24"/>
        </w:rPr>
      </w:pPr>
      <w:r>
        <w:rPr>
          <w:rFonts w:hint="default" w:ascii="Arial" w:hAnsi="Arial" w:cs="Arial"/>
          <w:sz w:val="24"/>
          <w:szCs w:val="24"/>
        </w:rPr>
        <w:t xml:space="preserve">Although the WTO has not centered on ESG, the focus it has placed on the issue of transparency and accountability probably contributed to efforts at enhancing corporate governance in the first steps. In focusing on change of national goals and direction, the 18th National Congress of the CPC in 2012 can be said to be an important event. New conceptualization of “ecological civilization” was proposed with increased governmental attitudes towards environmental conservation and sustainable development (Cao et al., 2024; Runqi &amp; Ke, 2021). </w:t>
      </w:r>
    </w:p>
    <w:p w14:paraId="6388CCFC">
      <w:pPr>
        <w:spacing w:line="480" w:lineRule="auto"/>
        <w:jc w:val="both"/>
        <w:rPr>
          <w:rFonts w:hint="default" w:ascii="Arial" w:hAnsi="Arial" w:cs="Arial"/>
          <w:sz w:val="24"/>
          <w:szCs w:val="24"/>
        </w:rPr>
      </w:pPr>
      <w:r>
        <w:rPr>
          <w:rFonts w:hint="default" w:ascii="Arial" w:hAnsi="Arial" w:cs="Arial"/>
          <w:sz w:val="24"/>
          <w:szCs w:val="24"/>
        </w:rPr>
        <w:t>This change of policy marked a new direction where environmental factors assumed a strategic position in China’s development blueprint. China’s sustainability efforts were escalated a notch higher in 2020 with the declaration of the “dual carbon” strategy of attaining the maximum carbon emission level by 2030 and net-zero emission by 2060 (Cao et al., 2024). This goal is truly audacious and it will require radical reforms in different sectors of the economy; it will force business entities to embrace clean technologies and act environmentally friendly.</w:t>
      </w:r>
    </w:p>
    <w:p w14:paraId="122CC4B4">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25" w:name="_Toc1051"/>
      <w:r>
        <w:rPr>
          <w:rFonts w:hint="eastAsia" w:ascii="Arial" w:hAnsi="Arial" w:cs="Arial"/>
          <w:b/>
          <w:color w:val="1F4E79" w:themeColor="accent1" w:themeShade="80"/>
          <w:sz w:val="24"/>
          <w:szCs w:val="24"/>
          <w:lang w:val="en-US" w:eastAsia="zh-CN" w:bidi="ar-SA"/>
        </w:rPr>
        <w:t>2</w:t>
      </w:r>
      <w:r>
        <w:rPr>
          <w:rFonts w:hint="default" w:ascii="Arial" w:hAnsi="Arial" w:cs="Arial" w:eastAsiaTheme="majorEastAsia"/>
          <w:b/>
          <w:color w:val="1F4E79" w:themeColor="accent1" w:themeShade="80"/>
          <w:sz w:val="24"/>
          <w:szCs w:val="24"/>
          <w:lang w:val="en-US" w:eastAsia="en-US" w:bidi="ar-SA"/>
        </w:rPr>
        <w:t>.2.2</w:t>
      </w:r>
      <w:r>
        <w:rPr>
          <w:rFonts w:hint="default" w:ascii="Arial" w:hAnsi="Arial" w:cs="Arial"/>
          <w:sz w:val="24"/>
          <w:szCs w:val="24"/>
          <w:lang w:val="en-US" w:eastAsia="zh-CN"/>
        </w:rPr>
        <w:t xml:space="preserve"> </w:t>
      </w:r>
      <w:r>
        <w:rPr>
          <w:rFonts w:hint="default" w:ascii="Arial" w:hAnsi="Arial" w:cs="Arial"/>
          <w:sz w:val="24"/>
          <w:szCs w:val="24"/>
        </w:rPr>
        <w:t>Current Trends and Practices</w:t>
      </w:r>
      <w:bookmarkEnd w:id="25"/>
    </w:p>
    <w:p w14:paraId="5A82E91B">
      <w:pPr>
        <w:spacing w:line="480" w:lineRule="auto"/>
        <w:jc w:val="both"/>
        <w:rPr>
          <w:rFonts w:hint="default" w:ascii="Arial" w:hAnsi="Arial" w:cs="Arial"/>
          <w:sz w:val="24"/>
          <w:szCs w:val="24"/>
        </w:rPr>
      </w:pPr>
      <w:r>
        <w:rPr>
          <w:rFonts w:hint="default" w:ascii="Arial" w:hAnsi="Arial" w:cs="Arial"/>
          <w:sz w:val="24"/>
          <w:szCs w:val="24"/>
        </w:rPr>
        <w:t xml:space="preserve">China’s corporate environment is gradually registering an increase in the use of ESG standards. This section focuses on the trends in the current ESG reporting, examines the companies’ reporting and studies the most successful ESG performers in China. Historical statistics remarkably provide the picture of this trend. In his recent article, Danwillis (2023) noted that, as for the present, more than half of the Chinese companies report their sustainability, CSR or ESG plans in some reports or on their official websites. </w:t>
      </w:r>
    </w:p>
    <w:p w14:paraId="6B35A818">
      <w:pPr>
        <w:spacing w:line="480" w:lineRule="auto"/>
        <w:jc w:val="both"/>
        <w:rPr>
          <w:rFonts w:hint="default" w:ascii="Arial" w:hAnsi="Arial" w:cs="Arial"/>
          <w:sz w:val="24"/>
          <w:szCs w:val="24"/>
        </w:rPr>
      </w:pPr>
      <w:r>
        <w:rPr>
          <w:rFonts w:hint="default" w:ascii="Arial" w:hAnsi="Arial" w:cs="Arial"/>
          <w:sz w:val="24"/>
          <w:szCs w:val="24"/>
        </w:rPr>
        <w:t xml:space="preserve">These figures demonstrate an increased awareness of the Chinese companies on the relevance of ESG disclosures (Chiozzini, 2018). Fascinatingly, Xiao and others point to a given correlation between the digital world phenomena and ESG initiatives (Xiao et al., 2023). The digital technologies such as big data and cloud computing have the capabilities to enable organisations to manage resources, the environmental cost and increase transparency of their supply chains. All these advancements can go a long way in pushing for sustainable and proper usage of resources among the business entities. </w:t>
      </w:r>
    </w:p>
    <w:p w14:paraId="6CC72E0C">
      <w:pPr>
        <w:spacing w:line="480" w:lineRule="auto"/>
        <w:jc w:val="both"/>
        <w:rPr>
          <w:rFonts w:hint="default" w:ascii="Arial" w:hAnsi="Arial" w:cs="Arial"/>
          <w:sz w:val="24"/>
          <w:szCs w:val="24"/>
        </w:rPr>
      </w:pPr>
      <w:r>
        <w:rPr>
          <w:rFonts w:hint="default" w:ascii="Arial" w:hAnsi="Arial" w:cs="Arial"/>
          <w:sz w:val="24"/>
          <w:szCs w:val="24"/>
        </w:rPr>
        <w:t xml:space="preserve"> China has many leading companies incorporating the ESG. For instance, some big organizations such as Alibaba and Lenovo now have elaborate sustainability programs comprising goals such as decreasing emissions, sourcing ethically, and diversity and inclusion in employment. </w:t>
      </w:r>
    </w:p>
    <w:p w14:paraId="047E8128">
      <w:pPr>
        <w:spacing w:line="480" w:lineRule="auto"/>
        <w:jc w:val="both"/>
        <w:rPr>
          <w:rFonts w:hint="default" w:ascii="Arial" w:hAnsi="Arial" w:cs="Arial"/>
          <w:sz w:val="24"/>
          <w:szCs w:val="24"/>
        </w:rPr>
      </w:pPr>
      <w:r>
        <w:rPr>
          <w:rFonts w:hint="default" w:ascii="Arial" w:hAnsi="Arial" w:cs="Arial"/>
          <w:sz w:val="24"/>
          <w:szCs w:val="24"/>
        </w:rPr>
        <w:t xml:space="preserve">These case studies can act as best practices for relevant firms that seek to enhance their accomplishments in relation to ESG performance. It’s equally significant to realise that there are certain difficulties persisting in the process. Even though, the implementation of reporting practices is progressing, some issues have been raised on the quality and reliability of the reported facts (Oyewole, 2021). </w:t>
      </w:r>
    </w:p>
    <w:p w14:paraId="042D8652">
      <w:pPr>
        <w:spacing w:line="480" w:lineRule="auto"/>
        <w:jc w:val="both"/>
        <w:rPr>
          <w:rFonts w:hint="default" w:ascii="Arial" w:hAnsi="Arial" w:cs="Arial"/>
          <w:sz w:val="24"/>
          <w:szCs w:val="24"/>
        </w:rPr>
      </w:pPr>
      <w:r>
        <w:rPr>
          <w:rFonts w:hint="default" w:ascii="Arial" w:hAnsi="Arial" w:cs="Arial"/>
          <w:sz w:val="24"/>
          <w:szCs w:val="24"/>
        </w:rPr>
        <w:t>Moreover, for the work of ESG to be real and not superficial in terms of reporting, more endeavors need to be made. However, there are still some issues which remain that shows that there is still room to improve the quality and the effectiveness of ESG practices among Chinese firms. Thus, following the best practice and filling in the existing gaps, the PRC can strengthen its role in international relations as a responsible player.</w:t>
      </w:r>
    </w:p>
    <w:p w14:paraId="6186A066">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26" w:name="_Toc21218"/>
      <w:r>
        <w:rPr>
          <w:rFonts w:hint="eastAsia" w:ascii="Arial" w:hAnsi="Arial" w:cs="Arial"/>
          <w:b/>
          <w:color w:val="2E75B6" w:themeColor="accent1" w:themeShade="BF"/>
          <w:sz w:val="24"/>
          <w:szCs w:val="24"/>
          <w:lang w:val="en-US" w:eastAsia="zh-CN" w:bidi="ar-SA"/>
        </w:rPr>
        <w:t>2</w:t>
      </w:r>
      <w:r>
        <w:rPr>
          <w:rFonts w:hint="default" w:ascii="Arial" w:hAnsi="Arial" w:cs="Arial" w:eastAsiaTheme="majorEastAsia"/>
          <w:b/>
          <w:color w:val="2E75B6" w:themeColor="accent1" w:themeShade="BF"/>
          <w:sz w:val="24"/>
          <w:szCs w:val="24"/>
          <w:lang w:val="en-US" w:eastAsia="en-US" w:bidi="ar-SA"/>
        </w:rPr>
        <w:t>.3</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ESG and Financial Performance</w:t>
      </w:r>
      <w:bookmarkEnd w:id="26"/>
    </w:p>
    <w:p w14:paraId="7C31D2FB">
      <w:pPr>
        <w:spacing w:line="480" w:lineRule="auto"/>
        <w:jc w:val="both"/>
        <w:rPr>
          <w:rFonts w:hint="default" w:ascii="Arial" w:hAnsi="Arial" w:cs="Arial"/>
          <w:sz w:val="24"/>
          <w:szCs w:val="24"/>
        </w:rPr>
      </w:pPr>
      <w:r>
        <w:rPr>
          <w:rFonts w:hint="default" w:ascii="Arial" w:hAnsi="Arial" w:cs="Arial"/>
          <w:sz w:val="24"/>
          <w:szCs w:val="24"/>
        </w:rPr>
        <w:t xml:space="preserve">Shen (2023) study examined how environmental, social, and governance (ESG) issues affect Chinese enterprises financially. Data was analyzed from 110 Chinese public companies. Social and environmental performance correlated positively with financial success, but governance performance did not. Investors and regulators should consider the study's findings. </w:t>
      </w:r>
    </w:p>
    <w:p w14:paraId="04C45422">
      <w:pPr>
        <w:spacing w:line="480" w:lineRule="auto"/>
        <w:jc w:val="both"/>
        <w:rPr>
          <w:rFonts w:hint="default" w:ascii="Arial" w:hAnsi="Arial" w:cs="Arial"/>
          <w:sz w:val="24"/>
          <w:szCs w:val="24"/>
        </w:rPr>
      </w:pPr>
      <w:r>
        <w:rPr>
          <w:rFonts w:hint="default" w:ascii="Arial" w:hAnsi="Arial" w:cs="Arial"/>
          <w:sz w:val="24"/>
          <w:szCs w:val="24"/>
        </w:rPr>
        <w:t xml:space="preserve">According to the findings, investors may value ESG performance higher.  Furthermore, Xu and Zhu (2024) examined how ESG metrics affect CFP.  This report examines Shanghai and Shenzhen A-share market firms from 2009 to 2021. The data demonstrate that ESG performance boosts CFP (corporate financial performance) by stimulating company innovation. Company CFP and long-term ESG performance may be linked. ESG performance improves CFP less when organizations have budget constraints. </w:t>
      </w:r>
    </w:p>
    <w:p w14:paraId="7ADC3F1D">
      <w:pPr>
        <w:spacing w:line="480" w:lineRule="auto"/>
        <w:jc w:val="both"/>
        <w:rPr>
          <w:rFonts w:hint="default" w:ascii="Arial" w:hAnsi="Arial" w:cs="Arial"/>
          <w:sz w:val="24"/>
          <w:szCs w:val="24"/>
        </w:rPr>
      </w:pPr>
      <w:r>
        <w:rPr>
          <w:rFonts w:hint="default" w:ascii="Arial" w:hAnsi="Arial" w:cs="Arial"/>
          <w:sz w:val="24"/>
          <w:szCs w:val="24"/>
          <w:lang w:val="en-US" w:eastAsia="zh-CN"/>
        </w:rPr>
        <w:t>A</w:t>
      </w:r>
      <w:r>
        <w:rPr>
          <w:rFonts w:hint="default" w:ascii="Arial" w:hAnsi="Arial" w:cs="Arial"/>
          <w:sz w:val="24"/>
          <w:szCs w:val="24"/>
        </w:rPr>
        <w:t>dditionally, Luo et al. (2023) explored ESG performance with stock market collapses. This study analyses 2010–2019 data for Chinese A-share listed companies. This study found that even after endogeneity and robustness tests, ESG performance minimizes stock price falls.  Zhao and Choi (2023) have assessed how ESG issues affect financial risk and business performance. A-share manufacturers from Shanghai and Shenzhen Stock Exchanges in China were chosen. The study found that ESG boosts film corporations and reduces financial risk.</w:t>
      </w:r>
    </w:p>
    <w:p w14:paraId="6E6E4686">
      <w:pPr>
        <w:spacing w:line="480" w:lineRule="auto"/>
        <w:jc w:val="both"/>
        <w:rPr>
          <w:rFonts w:hint="default" w:ascii="Arial" w:hAnsi="Arial" w:cs="Arial"/>
          <w:sz w:val="24"/>
          <w:szCs w:val="24"/>
        </w:rPr>
      </w:pPr>
      <w:r>
        <w:rPr>
          <w:rFonts w:hint="default" w:ascii="Arial" w:hAnsi="Arial" w:cs="Arial"/>
          <w:sz w:val="24"/>
          <w:szCs w:val="24"/>
        </w:rPr>
        <w:t xml:space="preserve">ESG scores and their link to financial returns is a relatively newer area of study that has gained popularity only in the past few years especially when focusing on the Chinese market. The following section translates some of the recent empirical research works that have been conducted in the past five years to analyse the Chinese case of these factors. </w:t>
      </w:r>
    </w:p>
    <w:p w14:paraId="179480C9">
      <w:pPr>
        <w:spacing w:line="480" w:lineRule="auto"/>
        <w:jc w:val="both"/>
        <w:rPr>
          <w:rFonts w:hint="default" w:ascii="Arial" w:hAnsi="Arial" w:cs="Arial"/>
          <w:sz w:val="24"/>
          <w:szCs w:val="24"/>
        </w:rPr>
      </w:pPr>
      <w:r>
        <w:rPr>
          <w:rFonts w:hint="default" w:ascii="Arial" w:hAnsi="Arial" w:cs="Arial"/>
          <w:sz w:val="24"/>
          <w:szCs w:val="24"/>
        </w:rPr>
        <w:t xml:space="preserve">In light of this, several important studies have been conducted to investigate the relationship between ESG disclosure and firms’ financial performance in China. Shen (2023) and Xu &amp; Zhu (2024) other authors also pointed that there is still a positive impact for ESG factors’ drivers in this year related to Chinese firm’s performance. Based on these studies, various authors outline several major benefits associated with proper ESG outcomes. </w:t>
      </w:r>
    </w:p>
    <w:p w14:paraId="371D6D78">
      <w:pPr>
        <w:spacing w:line="480" w:lineRule="auto"/>
        <w:jc w:val="both"/>
        <w:rPr>
          <w:rFonts w:hint="default" w:ascii="Arial" w:hAnsi="Arial" w:cs="Arial"/>
          <w:sz w:val="24"/>
          <w:szCs w:val="24"/>
        </w:rPr>
      </w:pPr>
      <w:r>
        <w:rPr>
          <w:rFonts w:hint="default" w:ascii="Arial" w:hAnsi="Arial" w:cs="Arial"/>
          <w:sz w:val="24"/>
          <w:szCs w:val="24"/>
          <w:lang w:val="en-US" w:eastAsia="zh-CN"/>
        </w:rPr>
        <w:t>I</w:t>
      </w:r>
      <w:r>
        <w:rPr>
          <w:rFonts w:hint="default" w:ascii="Arial" w:hAnsi="Arial" w:cs="Arial"/>
          <w:sz w:val="24"/>
          <w:szCs w:val="24"/>
        </w:rPr>
        <w:t xml:space="preserve">mproved Brand Reputation and Consumer Loyalty: ESG attributes become important for consumers who want to engage with companies with better sustainability profiles. A business organization with a good ESG rating has higher chances of gaining the market share because they are in a position to retain the customers better (Liu et al., 2022). However, it is necessary to admit some subtleties of the mentioned results of research as potential factors in the given tendencies. The level of integration between ESG and fundamentals and the relationship between ESG and returns can be industry and region-specific within the Chinese context (Shen et al., 2023). Further, a few papers note that ESG’s financial advantages can take years to yield their returns, making it necessary to adopt long-term approaches for the firm to gain optimal gains (Sassen et al., 2016). </w:t>
      </w:r>
    </w:p>
    <w:p w14:paraId="7EFD753F">
      <w:pPr>
        <w:pStyle w:val="4"/>
        <w:numPr>
          <w:ilvl w:val="2"/>
          <w:numId w:val="0"/>
        </w:numPr>
        <w:spacing w:line="480" w:lineRule="auto"/>
        <w:ind w:left="1200" w:leftChars="0" w:hanging="720" w:firstLineChars="0"/>
        <w:jc w:val="both"/>
        <w:rPr>
          <w:rFonts w:hint="default" w:ascii="Arial" w:hAnsi="Arial" w:cs="Arial"/>
          <w:sz w:val="24"/>
          <w:szCs w:val="24"/>
        </w:rPr>
      </w:pPr>
      <w:r>
        <w:rPr>
          <w:rFonts w:hint="eastAsia" w:ascii="Arial" w:hAnsi="Arial" w:cs="Arial"/>
          <w:b/>
          <w:color w:val="1F4E79" w:themeColor="accent1" w:themeShade="80"/>
          <w:sz w:val="24"/>
          <w:szCs w:val="24"/>
          <w:lang w:val="en-US" w:eastAsia="zh-CN" w:bidi="ar-SA"/>
        </w:rPr>
        <w:t>2</w:t>
      </w:r>
      <w:r>
        <w:rPr>
          <w:rFonts w:hint="default" w:ascii="Arial" w:hAnsi="Arial" w:cs="Arial" w:eastAsiaTheme="majorEastAsia"/>
          <w:b/>
          <w:color w:val="1F4E79" w:themeColor="accent1" w:themeShade="80"/>
          <w:sz w:val="24"/>
          <w:szCs w:val="24"/>
          <w:lang w:val="en-US" w:eastAsia="en-US" w:bidi="ar-SA"/>
        </w:rPr>
        <w:t>.3.1</w:t>
      </w:r>
      <w:r>
        <w:rPr>
          <w:rFonts w:hint="default" w:ascii="Arial" w:hAnsi="Arial" w:cs="Arial"/>
          <w:sz w:val="24"/>
          <w:szCs w:val="24"/>
          <w:lang w:val="en-US" w:eastAsia="zh-CN"/>
        </w:rPr>
        <w:t xml:space="preserve"> </w:t>
      </w:r>
      <w:r>
        <w:rPr>
          <w:rFonts w:hint="default" w:ascii="Arial" w:hAnsi="Arial" w:cs="Arial"/>
          <w:sz w:val="24"/>
          <w:szCs w:val="24"/>
        </w:rPr>
        <w:t>Reduced Operational Costs and Enhanced Efficiency</w:t>
      </w:r>
    </w:p>
    <w:p w14:paraId="5C87FE3A">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ESG in the current world can be a suitable aspect because those companies that adhere to this aspect can benefit in terms of profit because of wise management of various available resources and less expenditure on waste. The works of Friede et al. (2015) and Velte (2017) for different countries confirm this relationship between the two indices. People at the helm of organizations clearly understand that issues such as sustainability entail an analysis of company’s consumption patterns and integration of measures that will help reduce wastage. </w:t>
      </w:r>
    </w:p>
    <w:p w14:paraId="6830D926">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For example, the management might decide to buy energy-efficient equipment or establish some recycling policy to save on the expenses connected with the disposal of wastes. These can result in minimization of costs and enhanced operational performance, hence a factor to a firm’s performance. </w:t>
      </w:r>
    </w:p>
    <w:p w14:paraId="35077E17">
      <w:pPr>
        <w:pStyle w:val="4"/>
        <w:numPr>
          <w:ilvl w:val="2"/>
          <w:numId w:val="0"/>
        </w:numPr>
        <w:spacing w:line="480" w:lineRule="auto"/>
        <w:ind w:left="1200" w:leftChars="0" w:hanging="720" w:firstLineChars="0"/>
        <w:jc w:val="both"/>
        <w:rPr>
          <w:rFonts w:hint="default" w:ascii="Arial" w:hAnsi="Arial" w:cs="Arial"/>
          <w:sz w:val="24"/>
          <w:szCs w:val="24"/>
        </w:rPr>
      </w:pPr>
      <w:r>
        <w:rPr>
          <w:rFonts w:hint="eastAsia" w:ascii="Arial" w:hAnsi="Arial" w:cs="Arial"/>
          <w:b/>
          <w:color w:val="1F4E79" w:themeColor="accent1" w:themeShade="80"/>
          <w:sz w:val="24"/>
          <w:szCs w:val="24"/>
          <w:lang w:val="en-US" w:eastAsia="zh-CN" w:bidi="ar-SA"/>
        </w:rPr>
        <w:t>2</w:t>
      </w:r>
      <w:r>
        <w:rPr>
          <w:rFonts w:hint="default" w:ascii="Arial" w:hAnsi="Arial" w:cs="Arial" w:eastAsiaTheme="majorEastAsia"/>
          <w:b/>
          <w:color w:val="1F4E79" w:themeColor="accent1" w:themeShade="80"/>
          <w:sz w:val="24"/>
          <w:szCs w:val="24"/>
          <w:lang w:val="en-US" w:eastAsia="en-US" w:bidi="ar-SA"/>
        </w:rPr>
        <w:t>.3.2</w:t>
      </w:r>
      <w:r>
        <w:rPr>
          <w:rFonts w:hint="eastAsia" w:ascii="Arial" w:hAnsi="Arial" w:cs="Arial"/>
          <w:b/>
          <w:color w:val="1F4E79" w:themeColor="accent1" w:themeShade="80"/>
          <w:sz w:val="24"/>
          <w:szCs w:val="24"/>
          <w:lang w:val="en-US" w:eastAsia="zh-CN" w:bidi="ar-SA"/>
        </w:rPr>
        <w:t xml:space="preserve"> </w:t>
      </w:r>
      <w:r>
        <w:rPr>
          <w:rFonts w:hint="default" w:ascii="Arial" w:hAnsi="Arial" w:cs="Arial"/>
          <w:sz w:val="24"/>
          <w:szCs w:val="24"/>
        </w:rPr>
        <w:t xml:space="preserve">Innovation and Competitive Advantage </w:t>
      </w:r>
    </w:p>
    <w:p w14:paraId="5C818C7C">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A concentrated ESG focus can intervene to set up the foundation for innovations, which propels a team/ business to a competitive position in the market. This link is pointed out in the studies carried by Han et al. (2016) as well as Ahlklo &amp; Lind (2018). Companies with the ESG policy in place are allowed to increase their expenditure on environmentally responsible innovations and create new solutions concerning environmental issues or social problems. They include situations where these advancements can not only minimize a Company’s ecological impact or enhance labor relations but they also give rise to new products or services that have a good market in the growing base of the environmentally and socially sensitive population. </w:t>
      </w:r>
    </w:p>
    <w:p w14:paraId="7B7D18C9">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For that more, ESG can improve a company’s image of being an organization that conducts its businesses in a socially responsible manner this explains why investors and talents seeking organizations that uphold sustainability standards flock such companies. The synergistic effect entailing innovation, positive brand image, and access to valuable resources forms a formidable competitive weapon in the market place. </w:t>
      </w:r>
    </w:p>
    <w:p w14:paraId="092CCE75">
      <w:pPr>
        <w:pStyle w:val="4"/>
        <w:numPr>
          <w:ilvl w:val="2"/>
          <w:numId w:val="0"/>
        </w:numPr>
        <w:spacing w:line="480" w:lineRule="auto"/>
        <w:ind w:left="1200" w:leftChars="0" w:hanging="720" w:firstLineChars="0"/>
        <w:jc w:val="both"/>
        <w:rPr>
          <w:rFonts w:hint="default" w:ascii="Arial" w:hAnsi="Arial" w:cs="Arial"/>
          <w:sz w:val="24"/>
          <w:szCs w:val="24"/>
        </w:rPr>
      </w:pPr>
      <w:r>
        <w:rPr>
          <w:rFonts w:hint="eastAsia" w:ascii="Arial" w:hAnsi="Arial" w:cs="Arial"/>
          <w:b/>
          <w:color w:val="1F4E79" w:themeColor="accent1" w:themeShade="80"/>
          <w:sz w:val="24"/>
          <w:szCs w:val="24"/>
          <w:lang w:val="en-US" w:eastAsia="zh-CN" w:bidi="ar-SA"/>
        </w:rPr>
        <w:t>2</w:t>
      </w:r>
      <w:r>
        <w:rPr>
          <w:rFonts w:hint="default" w:ascii="Arial" w:hAnsi="Arial" w:cs="Arial" w:eastAsiaTheme="majorEastAsia"/>
          <w:b/>
          <w:color w:val="1F4E79" w:themeColor="accent1" w:themeShade="80"/>
          <w:sz w:val="24"/>
          <w:szCs w:val="24"/>
          <w:lang w:val="en-US" w:eastAsia="en-US" w:bidi="ar-SA"/>
        </w:rPr>
        <w:t>.3.3</w:t>
      </w:r>
      <w:r>
        <w:rPr>
          <w:rFonts w:hint="default" w:ascii="Arial" w:hAnsi="Arial" w:cs="Arial"/>
          <w:sz w:val="24"/>
          <w:szCs w:val="24"/>
        </w:rPr>
        <w:t xml:space="preserve"> Improved Brand Reputation and Consumer Loyalty</w:t>
      </w:r>
    </w:p>
    <w:p w14:paraId="16F926AA">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For today’s customer, the ability of a company to supply goods and services looks to be a function of its ESG standards. This is evident from a study carried out by Liu et al. (2022) where they observe that Chinese consumers are starting to prefer brands that have high ESG scores. The firms that pay attention to the ESG standards can improve their perceived image and marketing notion that the company is green and cares about the community and the surroundings. It can also translate to increased customer patronage and therefore a bigger market share for the brand. People are willing to purchase goods from organizations and deal with them for years if those organizations have similar beliefs and stand for the same principles. </w:t>
      </w:r>
    </w:p>
    <w:p w14:paraId="6F4CF829">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Thus, when companies actively implement ESG principles, they contribute to the achievement of a long-term financial result and the preservation of customers interested in their services or products. </w:t>
      </w:r>
    </w:p>
    <w:p w14:paraId="76D923C5">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27" w:name="_Toc5868"/>
      <w:r>
        <w:rPr>
          <w:rFonts w:hint="eastAsia" w:ascii="Arial" w:hAnsi="Arial" w:cs="Arial"/>
          <w:b/>
          <w:color w:val="1F4E79" w:themeColor="accent1" w:themeShade="80"/>
          <w:sz w:val="24"/>
          <w:szCs w:val="24"/>
          <w:lang w:val="en-US" w:eastAsia="zh-CN" w:bidi="ar-SA"/>
        </w:rPr>
        <w:t>2</w:t>
      </w:r>
      <w:r>
        <w:rPr>
          <w:rFonts w:hint="default" w:ascii="Arial" w:hAnsi="Arial" w:cs="Arial" w:eastAsiaTheme="majorEastAsia"/>
          <w:b/>
          <w:color w:val="1F4E79" w:themeColor="accent1" w:themeShade="80"/>
          <w:sz w:val="24"/>
          <w:szCs w:val="24"/>
          <w:lang w:val="en-US" w:eastAsia="en-US" w:bidi="ar-SA"/>
        </w:rPr>
        <w:t>.3.4</w:t>
      </w:r>
      <w:r>
        <w:rPr>
          <w:rFonts w:hint="default" w:ascii="Arial" w:hAnsi="Arial" w:cs="Arial"/>
          <w:sz w:val="24"/>
          <w:szCs w:val="24"/>
          <w:lang w:val="en-US" w:eastAsia="zh-CN"/>
        </w:rPr>
        <w:t xml:space="preserve"> </w:t>
      </w:r>
      <w:r>
        <w:rPr>
          <w:rFonts w:hint="default" w:ascii="Arial" w:hAnsi="Arial" w:cs="Arial"/>
          <w:sz w:val="24"/>
          <w:szCs w:val="24"/>
        </w:rPr>
        <w:t>Sectoral Differences</w:t>
      </w:r>
      <w:bookmarkEnd w:id="27"/>
      <w:r>
        <w:rPr>
          <w:rFonts w:hint="default" w:ascii="Arial" w:hAnsi="Arial" w:cs="Arial"/>
          <w:sz w:val="24"/>
          <w:szCs w:val="24"/>
        </w:rPr>
        <w:t xml:space="preserve"> </w:t>
      </w:r>
    </w:p>
    <w:p w14:paraId="033E258C">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That is why it is necessary to note that there is a presence of a positive correlation of ESG performance and growth of financial performance in China as far as recently, recognizing at the same time that irrespective of the country, this correlation might be different in some sector or another. </w:t>
      </w:r>
    </w:p>
    <w:p w14:paraId="02330B69">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The effect of ESG practices with regard to a firm’s performance may vary some industries or sectors to others. This section looks at this sectoral distinction in detail contemplating the aforesaid high impact sectors of manufacturing, financial services and technology. </w:t>
      </w:r>
    </w:p>
    <w:p w14:paraId="5100B0C0">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rPr>
        <w:t xml:space="preserve">Manufacturing as an industry is probably one of the most suitable for the improvement of ESG practices where the investment will translate into handsome returns. This tendency is described by Friede et al. (2015) and Velte (2017) concerning different economies. Some of the processes used in manufacturing lead to the wastage of many raw materials while the outcome may be as well hazardous to the environment. </w:t>
      </w:r>
    </w:p>
    <w:p w14:paraId="7B495A50">
      <w:pPr>
        <w:spacing w:before="100" w:beforeAutospacing="1" w:after="100" w:afterAutospacing="1" w:line="480" w:lineRule="auto"/>
        <w:jc w:val="both"/>
        <w:rPr>
          <w:rFonts w:hint="default" w:ascii="Arial" w:hAnsi="Arial" w:eastAsia="Times New Roman" w:cs="Arial"/>
          <w:sz w:val="24"/>
          <w:szCs w:val="24"/>
        </w:rPr>
      </w:pPr>
      <w:r>
        <w:rPr>
          <w:rFonts w:hint="default" w:ascii="Arial" w:hAnsi="Arial" w:eastAsia="Times New Roman" w:cs="Arial"/>
          <w:sz w:val="24"/>
          <w:szCs w:val="24"/>
          <w:lang w:val="en-US" w:eastAsia="zh-CN"/>
        </w:rPr>
        <w:t>F</w:t>
      </w:r>
      <w:r>
        <w:rPr>
          <w:rFonts w:hint="default" w:ascii="Arial" w:hAnsi="Arial" w:eastAsia="Times New Roman" w:cs="Arial"/>
          <w:sz w:val="24"/>
          <w:szCs w:val="24"/>
        </w:rPr>
        <w:t xml:space="preserve">ocusing on ESG, manufacturers can find the ways to make their production facilities more efficient and follow the environmental friendly policies, such as energy efficiency and reduction of the wastes. Such actions may have potential direct cost consequences and make changes in the business flow, thus, enhancing organizational performance. Also, many companies’ emphasis on social responsibility to manage the supply chain can reduce labour-related problems, guarantee that materials are sourced ethically, improving brand image and possibly decreasing compliance risks. </w:t>
      </w:r>
    </w:p>
    <w:p w14:paraId="481AB57B">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 xml:space="preserve">The existence of the financial sector can be explained by two factors, namely trust and risk. Porter (2011) has identified the relation between ESG and financial performance with the help of research done by Han et al. (2016) and Ahlklo &amp; Lind (2018) in this specific sector of business. To financial institutions, it is essential to prove that a business has a good ESG score for it shows that the business observes the responsible lending protocol besides the impact it has on the environment. This can help to reduce such factors as climate change or social unrest that can affect the management of risks hence enhancing the management of such risks and overall financial health. </w:t>
      </w:r>
    </w:p>
    <w:p w14:paraId="43B0FCC9">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 xml:space="preserve">In addition, improving the concept of social responsibility can contribute to improving an organization’s image for ethical behavior, targeting environmentally and socially aware investors interested in ESG-alignment of financial products. They are using technology as the key to play the leading role in paving the way to a sustainable innovation. </w:t>
      </w:r>
    </w:p>
    <w:p w14:paraId="77DE8155">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 xml:space="preserve">The companies in this business sector, who integrate ESG factors, can use their know-how for the creation of innovative products and services that would help improve the state of the external environment and solve social problems. This concentration may result in formulation of new gadgets, products and services meeting the increased demand of environmentally sustainable systems. </w:t>
      </w:r>
    </w:p>
    <w:p w14:paraId="2E14A3AC">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 xml:space="preserve">For example, a technology firm can create gadgets or applications that use power in the most efficient and effective manner. These improvements, on the other hand, can not only have positive environmental implications, but can also attribute to large economic returns from the gain in market share and companies’ awareness of the ability to link to the technology as a leader in this category.  However, it is worth pointing out that ES effects can be heterogeneous across these industries regarding the effects on financial performance. </w:t>
      </w:r>
    </w:p>
    <w:p w14:paraId="68D7D8D2">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For instance, the environmental measure of ESG may be significantly more important to the production domain as compared to the social clause which may be more significant in the financial industry. Therefore, more studies should be conducted to establish these differences and investigate the relationship between ESG and profitability in each industry.</w:t>
      </w:r>
    </w:p>
    <w:p w14:paraId="3BA5DA3D">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28" w:name="_Toc27483"/>
      <w:r>
        <w:rPr>
          <w:rFonts w:hint="eastAsia" w:ascii="Arial" w:hAnsi="Arial" w:cs="Arial"/>
          <w:b/>
          <w:color w:val="2E75B6" w:themeColor="accent1" w:themeShade="BF"/>
          <w:sz w:val="24"/>
          <w:szCs w:val="24"/>
          <w:lang w:val="en-US" w:eastAsia="zh-CN" w:bidi="ar-SA"/>
        </w:rPr>
        <w:t>2</w:t>
      </w:r>
      <w:r>
        <w:rPr>
          <w:rFonts w:hint="default" w:ascii="Arial" w:hAnsi="Arial" w:cs="Arial" w:eastAsiaTheme="majorEastAsia"/>
          <w:b/>
          <w:color w:val="2E75B6" w:themeColor="accent1" w:themeShade="BF"/>
          <w:sz w:val="24"/>
          <w:szCs w:val="24"/>
          <w:lang w:val="en-US" w:eastAsia="en-US" w:bidi="ar-SA"/>
        </w:rPr>
        <w:t>.4</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ESG and Risk Performance</w:t>
      </w:r>
      <w:bookmarkEnd w:id="28"/>
    </w:p>
    <w:p w14:paraId="64B229DA">
      <w:pPr>
        <w:spacing w:line="480" w:lineRule="auto"/>
        <w:jc w:val="both"/>
        <w:rPr>
          <w:rFonts w:hint="default" w:ascii="Arial" w:hAnsi="Arial" w:cs="Arial"/>
          <w:sz w:val="24"/>
          <w:szCs w:val="24"/>
        </w:rPr>
      </w:pPr>
      <w:r>
        <w:rPr>
          <w:rFonts w:hint="default" w:ascii="Arial" w:hAnsi="Arial" w:cs="Arial"/>
          <w:sz w:val="24"/>
          <w:szCs w:val="24"/>
        </w:rPr>
        <w:t>He et al. (2023) have reviewed the type and amount of corporate ESG engagement from the theoretical viewpoint of the risk-taking firm. This paper used the ESG rating to establish that Chinese publically listed firms’ business risk-taking was cut in half in 2010–2020. Thus, findings offered understanding of the conflict between long-term and firms’ risk-taking in the condition of institutional environment without investor protection. Subsequently, Du et al. (2023) included analysis of ESG performance and its relationship with corporate risk-taking for the Chinese A-share listed companies in the period from 2011 to 2021.</w:t>
      </w:r>
    </w:p>
    <w:p w14:paraId="21FC8C47">
      <w:pPr>
        <w:spacing w:line="480" w:lineRule="auto"/>
        <w:jc w:val="both"/>
        <w:rPr>
          <w:rFonts w:hint="default" w:ascii="Arial" w:hAnsi="Arial" w:cs="Arial"/>
          <w:sz w:val="24"/>
          <w:szCs w:val="24"/>
        </w:rPr>
      </w:pPr>
      <w:r>
        <w:rPr>
          <w:rFonts w:hint="default" w:ascii="Arial" w:hAnsi="Arial" w:cs="Arial"/>
          <w:sz w:val="24"/>
          <w:szCs w:val="24"/>
        </w:rPr>
        <w:t xml:space="preserve"> Of all the aspects considered, the ESG performance is diametrically opposed to risk-taking. The mechanism test shows that ESG performance enhances firms’ transparency and restricts their risk-taking. Chen et al. (2024) have looked into the correlation between the ESG performance and firm risk. The conclusion attained in the study revealed that companies in the ESG list had lower levels of business risk than the other firms, as measured by the outcome. These organizations can manage business risk better since they have lesser stringencies on financing limits and agency fees. </w:t>
      </w:r>
    </w:p>
    <w:p w14:paraId="709E51D6">
      <w:pPr>
        <w:spacing w:line="480" w:lineRule="auto"/>
        <w:jc w:val="both"/>
        <w:rPr>
          <w:rFonts w:hint="default" w:ascii="Arial" w:hAnsi="Arial" w:cs="Arial"/>
          <w:sz w:val="24"/>
          <w:szCs w:val="24"/>
        </w:rPr>
      </w:pPr>
      <w:r>
        <w:rPr>
          <w:rFonts w:hint="default" w:ascii="Arial" w:hAnsi="Arial" w:cs="Arial"/>
          <w:sz w:val="24"/>
          <w:szCs w:val="24"/>
        </w:rPr>
        <w:t xml:space="preserve"> In the case of Chinese organisations, ESG practices cannot be solely understood within the context of financial gains, but are also an effective mechanism of managing risks and adhering to the laws. In this section of the paper, the author examines the findings of recent empirical research in attempting to understand how high levels of ESG performance make the business environment less risky within China. </w:t>
      </w:r>
    </w:p>
    <w:p w14:paraId="04B67AFA">
      <w:pPr>
        <w:spacing w:line="480" w:lineRule="auto"/>
        <w:jc w:val="both"/>
        <w:rPr>
          <w:rFonts w:hint="default" w:ascii="Arial" w:hAnsi="Arial" w:cs="Arial"/>
          <w:sz w:val="24"/>
          <w:szCs w:val="24"/>
        </w:rPr>
      </w:pPr>
      <w:r>
        <w:rPr>
          <w:rFonts w:hint="default" w:ascii="Arial" w:hAnsi="Arial" w:cs="Arial"/>
          <w:sz w:val="24"/>
          <w:szCs w:val="24"/>
        </w:rPr>
        <w:t xml:space="preserve">There is growing literature on the relationship between ESG and risk management in the context of Chinese firms. Some of the recent papers include He et al. 2023, Du et al. 2023, and Chen et al. 2024; All of these papers affirm the relationship between sound ESG practice and the riskiness of a firm. He et al. (2023) have noted that stakeholder organizations with solid environmental management are more prepared to deal with risks resulting from climate change, pollution and scarcity of resources. </w:t>
      </w:r>
    </w:p>
    <w:p w14:paraId="67988297">
      <w:pPr>
        <w:spacing w:line="480" w:lineRule="auto"/>
        <w:jc w:val="both"/>
        <w:rPr>
          <w:rFonts w:hint="default" w:ascii="Arial" w:hAnsi="Arial" w:cs="Arial"/>
          <w:sz w:val="24"/>
          <w:szCs w:val="24"/>
        </w:rPr>
      </w:pPr>
      <w:r>
        <w:rPr>
          <w:rFonts w:hint="default" w:ascii="Arial" w:hAnsi="Arial" w:cs="Arial"/>
          <w:sz w:val="24"/>
          <w:szCs w:val="24"/>
        </w:rPr>
        <w:t>Thus, avoiding possible environmental risks and protecting the business, companies can focus on purchasing clean technologies, increasing resource efficiency, and following environmental legislation. Successful social responsibility initiatives aid a company in preventing the risks associated with the human resource, including labor disturbances, safety problems, and discrimination (Du et al., 2023).</w:t>
      </w:r>
    </w:p>
    <w:p w14:paraId="60D6B66B">
      <w:pPr>
        <w:spacing w:line="480" w:lineRule="auto"/>
        <w:jc w:val="both"/>
        <w:rPr>
          <w:rFonts w:hint="default" w:ascii="Arial" w:hAnsi="Arial" w:cs="Arial"/>
          <w:sz w:val="24"/>
          <w:szCs w:val="24"/>
        </w:rPr>
      </w:pPr>
      <w:r>
        <w:rPr>
          <w:rFonts w:hint="default" w:ascii="Arial" w:hAnsi="Arial" w:cs="Arial"/>
          <w:sz w:val="24"/>
          <w:szCs w:val="24"/>
        </w:rPr>
        <w:t xml:space="preserve">Spending money and efforts on the health and wellbeing of the employees, nurturing a good and healthy atmosphere in the working premises, and practicing ethical methods when it comes to employees’ reward and remunerations also minimizes social risks as it creates a predictable and a more efficient workforce. The concentration on corporate governance measures assistance organisations to adhere to the changing legal requirements on issues to do with environment conservation, labour relations, and social issues (Chen et al., 2024). Evidently, by operating under clear governance systems, sound risk management procedures, and ethical business behavior, it is possible to avoid or at least decrease the likelihood of getting under regulatory fines as well as litigation cases. </w:t>
      </w:r>
    </w:p>
    <w:p w14:paraId="2820FF5D">
      <w:pPr>
        <w:spacing w:line="480" w:lineRule="auto"/>
        <w:jc w:val="both"/>
        <w:rPr>
          <w:rFonts w:hint="default" w:ascii="Arial" w:hAnsi="Arial" w:cs="Arial"/>
          <w:sz w:val="24"/>
          <w:szCs w:val="24"/>
        </w:rPr>
      </w:pPr>
      <w:r>
        <w:rPr>
          <w:rFonts w:hint="default" w:ascii="Arial" w:hAnsi="Arial" w:cs="Arial"/>
          <w:sz w:val="24"/>
          <w:szCs w:val="24"/>
        </w:rPr>
        <w:t>First of all, it is necessary to note that the advantages for ESG practices are seen not only in the reduction of potential threats. This means companies, which focus on ESG integrate a basis for long-term sustainability into their business. The existence of strong ESG standards contributes positively to a company’s image and credibility due to the increased appeal of organizations by responsible investors.</w:t>
      </w:r>
    </w:p>
    <w:p w14:paraId="14F15A1F">
      <w:pPr>
        <w:spacing w:line="480" w:lineRule="auto"/>
        <w:jc w:val="both"/>
        <w:rPr>
          <w:rFonts w:hint="default" w:ascii="Arial" w:hAnsi="Arial" w:cs="Arial"/>
          <w:sz w:val="24"/>
          <w:szCs w:val="24"/>
        </w:rPr>
      </w:pPr>
      <w:r>
        <w:rPr>
          <w:rFonts w:hint="default" w:ascii="Arial" w:hAnsi="Arial" w:cs="Arial"/>
          <w:sz w:val="24"/>
          <w:szCs w:val="24"/>
        </w:rPr>
        <w:t xml:space="preserve"> This can enhance the company’s sources of funds and enhance its balance sheets, thereby developing a higher quality corporate model for the next shocks. Despite the fact that the research highlights the ESG–risk management relationship, certain aspects should be better elaborated. Especially, it has to be noted that there may be various ESG dimensions, which are most important for risk mitigation depending on the industry and concrete kinds of the risk. Furthermore, research analysing consecutive data on booked companies can offer pertinent information concerning the by-and-large consequence of ESG executing on risk administration. </w:t>
      </w:r>
    </w:p>
    <w:p w14:paraId="0A1B07BE">
      <w:pPr>
        <w:spacing w:line="480" w:lineRule="auto"/>
        <w:jc w:val="both"/>
        <w:rPr>
          <w:rFonts w:hint="default" w:ascii="Arial" w:hAnsi="Arial" w:cs="Arial"/>
          <w:sz w:val="24"/>
          <w:szCs w:val="24"/>
        </w:rPr>
      </w:pPr>
      <w:r>
        <w:rPr>
          <w:rFonts w:hint="default" w:ascii="Arial" w:hAnsi="Arial" w:cs="Arial"/>
          <w:sz w:val="24"/>
          <w:szCs w:val="24"/>
        </w:rPr>
        <w:t xml:space="preserve"> Thus, when summarizing the empirical research on the effects of ESG factors in China, the regulation-defying risks appear to be managed effectively through the ESG system. Through adoption of ESG priorities, the opportunities of establishing a strong business structure, reducing risks, and addressing the dynamics of evolving legislation and standards worldwide can be realized. The more detailed study of this relationship may give more specific recommendations for organizations if they want to improve the reliability of risk management as a result of the effective functioning of ESG activities.</w:t>
      </w:r>
    </w:p>
    <w:p w14:paraId="4A04CB81">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29" w:name="_Toc14165"/>
      <w:r>
        <w:rPr>
          <w:rFonts w:hint="eastAsia" w:ascii="Arial" w:hAnsi="Arial" w:cs="Arial"/>
          <w:b/>
          <w:color w:val="1F4E79" w:themeColor="accent1" w:themeShade="80"/>
          <w:sz w:val="24"/>
          <w:szCs w:val="24"/>
          <w:lang w:val="en-US" w:eastAsia="zh-CN" w:bidi="ar-SA"/>
        </w:rPr>
        <w:t>2</w:t>
      </w:r>
      <w:r>
        <w:rPr>
          <w:rFonts w:hint="default" w:ascii="Arial" w:hAnsi="Arial" w:cs="Arial" w:eastAsiaTheme="majorEastAsia"/>
          <w:b/>
          <w:color w:val="1F4E79" w:themeColor="accent1" w:themeShade="80"/>
          <w:sz w:val="24"/>
          <w:szCs w:val="24"/>
          <w:lang w:val="en-US" w:eastAsia="en-US" w:bidi="ar-SA"/>
        </w:rPr>
        <w:t>.4.1</w:t>
      </w:r>
      <w:r>
        <w:rPr>
          <w:rFonts w:hint="eastAsia" w:ascii="Arial" w:hAnsi="Arial" w:cs="Arial"/>
          <w:b/>
          <w:color w:val="1F4E79" w:themeColor="accent1" w:themeShade="80"/>
          <w:sz w:val="24"/>
          <w:szCs w:val="24"/>
          <w:lang w:val="en-US" w:eastAsia="zh-CN" w:bidi="ar-SA"/>
        </w:rPr>
        <w:t xml:space="preserve"> </w:t>
      </w:r>
      <w:r>
        <w:rPr>
          <w:rFonts w:hint="default" w:ascii="Arial" w:hAnsi="Arial" w:cs="Arial"/>
          <w:sz w:val="24"/>
          <w:szCs w:val="24"/>
        </w:rPr>
        <w:t>Mechanisms of Risk Reduction</w:t>
      </w:r>
      <w:bookmarkEnd w:id="29"/>
    </w:p>
    <w:p w14:paraId="709114F2">
      <w:pPr>
        <w:spacing w:line="480" w:lineRule="auto"/>
        <w:jc w:val="both"/>
        <w:rPr>
          <w:rFonts w:hint="default" w:ascii="Arial" w:hAnsi="Arial" w:cs="Arial"/>
          <w:sz w:val="24"/>
          <w:szCs w:val="24"/>
        </w:rPr>
      </w:pPr>
      <w:r>
        <w:rPr>
          <w:rFonts w:hint="default" w:ascii="Arial" w:hAnsi="Arial" w:cs="Arial"/>
          <w:sz w:val="24"/>
          <w:szCs w:val="24"/>
        </w:rPr>
        <w:t xml:space="preserve">Current literature on ESG in China reveals that ESG not only has a positive impact on the financial position of a firm but is also important in managing risks. To take things further this section seeks to look into the various ways that strong ESG practice translates into a better Risk Resilience business environment. One of them is sustainability of procurement the framework of which consists of the following elements. </w:t>
      </w:r>
    </w:p>
    <w:p w14:paraId="34FFF8A5">
      <w:pPr>
        <w:spacing w:line="480" w:lineRule="auto"/>
        <w:jc w:val="both"/>
        <w:rPr>
          <w:rFonts w:hint="default" w:ascii="Arial" w:hAnsi="Arial" w:cs="Arial"/>
          <w:sz w:val="24"/>
          <w:szCs w:val="24"/>
        </w:rPr>
      </w:pPr>
      <w:r>
        <w:rPr>
          <w:rFonts w:hint="default" w:ascii="Arial" w:hAnsi="Arial" w:cs="Arial"/>
          <w:sz w:val="24"/>
          <w:szCs w:val="24"/>
        </w:rPr>
        <w:t xml:space="preserve">Shobhwani &amp; Lodha found out some financial benefits of such an approach as noted in their 2023 research. This indicates that companies need to practice sustainable sourcing of the materials and resources they use, in the fight against risks such as scarcity of resources and volatile prices. They can also contain their exposure to environmental risks based on the supply chain responsibilities for environmental management. </w:t>
      </w:r>
    </w:p>
    <w:p w14:paraId="5AF2912E">
      <w:pPr>
        <w:spacing w:line="480" w:lineRule="auto"/>
        <w:jc w:val="both"/>
        <w:rPr>
          <w:rFonts w:hint="default" w:ascii="Arial" w:hAnsi="Arial" w:cs="Arial"/>
          <w:sz w:val="24"/>
          <w:szCs w:val="24"/>
        </w:rPr>
      </w:pPr>
      <w:r>
        <w:rPr>
          <w:rFonts w:hint="default" w:ascii="Arial" w:hAnsi="Arial" w:cs="Arial"/>
          <w:sz w:val="24"/>
          <w:szCs w:val="24"/>
        </w:rPr>
        <w:t xml:space="preserve">Also, efficiency can be achieved through waste management and energy consumption so that costs of doing business would be low, and instances of environmental hazard could be prevented. Through the implementation of life-cycle perspective to the use of resources, firms are able to mitigate on several risk factors that might occur hence improving the firm’s business model. </w:t>
      </w:r>
    </w:p>
    <w:p w14:paraId="26B8773E">
      <w:pPr>
        <w:spacing w:line="480" w:lineRule="auto"/>
        <w:jc w:val="both"/>
        <w:rPr>
          <w:rFonts w:hint="default" w:ascii="Arial" w:hAnsi="Arial" w:cs="Arial"/>
          <w:sz w:val="24"/>
          <w:szCs w:val="24"/>
        </w:rPr>
      </w:pPr>
      <w:r>
        <w:rPr>
          <w:rFonts w:hint="default" w:ascii="Arial" w:hAnsi="Arial" w:cs="Arial"/>
          <w:sz w:val="24"/>
          <w:szCs w:val="24"/>
        </w:rPr>
        <w:t>Effective social responsibility strategies are helpful in managing most of the workforce-related threats. Using actual data, Chen et al. (2024) and Saci et al. (2024) invoked a positive relationship between the variables. Sustaining training and development for the human resource, full compliance with occupational health and safety measures at the workplace, and contractual employment with ethical standards can enhance the outlook for economic performance by strengthening the employees’ commitment, presence, and involvement. This helps to attenuate the levels of labour unrest, strikes and high turnover thereby promoting stability of operations within the business environment.</w:t>
      </w:r>
    </w:p>
    <w:p w14:paraId="0DC33DB9">
      <w:pPr>
        <w:spacing w:line="480" w:lineRule="auto"/>
        <w:jc w:val="both"/>
        <w:rPr>
          <w:rFonts w:hint="default" w:ascii="Arial" w:hAnsi="Arial" w:cs="Arial"/>
          <w:sz w:val="24"/>
          <w:szCs w:val="24"/>
        </w:rPr>
      </w:pPr>
      <w:r>
        <w:rPr>
          <w:rFonts w:hint="default" w:ascii="Arial" w:hAnsi="Arial" w:cs="Arial"/>
          <w:sz w:val="24"/>
          <w:szCs w:val="24"/>
        </w:rPr>
        <w:t>Secondly, an emphasis on diversity and inclusion is the way that helps to expand the potential candidates and increases organization’s resilience to the modern challenges. Promising corporate governance reduces risks that are related to non- compliance with regulations in organizations. According to Olli (2021) in his work, sound governance structures attribute to the enhancement of the transparency and accountability in an organization.</w:t>
      </w:r>
    </w:p>
    <w:p w14:paraId="16239E87">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 xml:space="preserve">Such disclosure aids firms in keeping in touch with new strict environmental and social requirements hitting the market, thus reducing the probabilities of legal suits and punitive measures. Moreover, good governance practices help in ways to address and mitigate such risks as well as maintain the highest standards of business ethics thus compliments a company’s risk management arsenal. Adhering to ESG principles such as directions and standards along with good corporation’s governance, the companies can work better through the regulations and directions. </w:t>
      </w:r>
    </w:p>
    <w:p w14:paraId="6F855CFC">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 xml:space="preserve"> </w:t>
      </w:r>
    </w:p>
    <w:p w14:paraId="6A4D155F">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30" w:name="_Toc14021"/>
      <w:r>
        <w:rPr>
          <w:rFonts w:hint="eastAsia" w:ascii="Arial" w:hAnsi="Arial" w:cs="Arial"/>
          <w:b/>
          <w:color w:val="2E75B6" w:themeColor="accent1" w:themeShade="BF"/>
          <w:sz w:val="24"/>
          <w:szCs w:val="24"/>
          <w:lang w:val="en-US" w:eastAsia="zh-CN" w:bidi="ar-SA"/>
        </w:rPr>
        <w:t>2</w:t>
      </w:r>
      <w:r>
        <w:rPr>
          <w:rFonts w:hint="default" w:ascii="Arial" w:hAnsi="Arial" w:cs="Arial" w:eastAsiaTheme="majorEastAsia"/>
          <w:b/>
          <w:color w:val="2E75B6" w:themeColor="accent1" w:themeShade="BF"/>
          <w:sz w:val="24"/>
          <w:szCs w:val="24"/>
          <w:lang w:val="en-US" w:eastAsia="en-US" w:bidi="ar-SA"/>
        </w:rPr>
        <w:t>.5</w:t>
      </w:r>
      <w:r>
        <w:rPr>
          <w:rFonts w:hint="default" w:ascii="Arial" w:hAnsi="Arial" w:cs="Arial"/>
          <w:sz w:val="24"/>
          <w:szCs w:val="24"/>
        </w:rPr>
        <w:t xml:space="preserve"> ESG from a Consumer’s Perception</w:t>
      </w:r>
      <w:bookmarkEnd w:id="30"/>
      <w:r>
        <w:rPr>
          <w:rFonts w:hint="default" w:ascii="Arial" w:hAnsi="Arial" w:cs="Arial"/>
          <w:sz w:val="24"/>
          <w:szCs w:val="24"/>
        </w:rPr>
        <w:t xml:space="preserve"> </w:t>
      </w:r>
    </w:p>
    <w:p w14:paraId="2A39D805">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31" w:name="_Toc4301"/>
      <w:r>
        <w:rPr>
          <w:rFonts w:hint="eastAsia" w:ascii="Arial" w:hAnsi="Arial" w:cs="Arial"/>
          <w:b/>
          <w:color w:val="1F4E79" w:themeColor="accent1" w:themeShade="80"/>
          <w:sz w:val="24"/>
          <w:szCs w:val="24"/>
          <w:lang w:val="en-US" w:eastAsia="zh-CN" w:bidi="ar-SA"/>
        </w:rPr>
        <w:t>2</w:t>
      </w:r>
      <w:r>
        <w:rPr>
          <w:rFonts w:hint="default" w:ascii="Arial" w:hAnsi="Arial" w:cs="Arial" w:eastAsiaTheme="majorEastAsia"/>
          <w:b/>
          <w:color w:val="1F4E79" w:themeColor="accent1" w:themeShade="80"/>
          <w:sz w:val="24"/>
          <w:szCs w:val="24"/>
          <w:lang w:val="en-US" w:eastAsia="en-US" w:bidi="ar-SA"/>
        </w:rPr>
        <w:t>.5.1</w:t>
      </w:r>
      <w:r>
        <w:rPr>
          <w:rFonts w:hint="default" w:ascii="Arial" w:hAnsi="Arial" w:cs="Arial"/>
          <w:sz w:val="24"/>
          <w:szCs w:val="24"/>
          <w:lang w:eastAsia="zh-CN"/>
        </w:rPr>
        <w:t xml:space="preserve"> </w:t>
      </w:r>
      <w:r>
        <w:rPr>
          <w:rFonts w:hint="default" w:ascii="Arial" w:hAnsi="Arial" w:cs="Arial"/>
          <w:sz w:val="24"/>
          <w:szCs w:val="24"/>
        </w:rPr>
        <w:t>Importance of Consumer Perception</w:t>
      </w:r>
      <w:bookmarkEnd w:id="31"/>
      <w:r>
        <w:rPr>
          <w:rFonts w:hint="default" w:ascii="Arial" w:hAnsi="Arial" w:cs="Arial"/>
          <w:sz w:val="24"/>
          <w:szCs w:val="24"/>
        </w:rPr>
        <w:t xml:space="preserve"> </w:t>
      </w:r>
    </w:p>
    <w:p w14:paraId="082110FC">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 xml:space="preserve"> In today’s global economy, the consumer perspective is vital in defining the actions of large corporations; this also applies to ESG factors. This section sheds light on the rising levels of consumers’ awareness and demands for green and sustainable goods and services as well as the resultant ESG considerations by firms. Social media platforms and better accessibility to information have made the consumers more conscious about the certain company’s ESG activities. </w:t>
      </w:r>
    </w:p>
    <w:p w14:paraId="77954CDD">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 xml:space="preserve">For instance, Wang (2023) affirms that the social trust is proportional to the CSP. In today’s world, customers are becoming conscious of the organization’s environment policy, employee treatment, and social responsibility, before they make their purchases. The new consumer attitude toward product consumption influences the ESG perception not as a noble reason for business or as a CSR issue, but as a necessity to adapt to new market trends.  </w:t>
      </w:r>
    </w:p>
    <w:p w14:paraId="59159AE6">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 xml:space="preserve">Again, the general attitude shaping a company’s ESG profile affects its bottom line, especially as perceived by consumers. Borodako (2023) and Whitelock (2015) establish this relation. Purchasers are willing to pay a premium for products and services of firms with good ESG programs in place. </w:t>
      </w:r>
    </w:p>
    <w:p w14:paraId="35B2B8C4">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On the other hand, the negative perspective of a particular company’s ESG performance results in product rejection, brand depreciation, and threats to reputation. Indeed, having this dynamic is a good way of ensuring that companies do not only adopt good ESG standards, but also market them well to the consumers to build that much needed trust. Potential for further development, coupled with the increase in the significance of such aspects as sustainability and social usefulness, indicate an essence of evolving values among consumers.</w:t>
      </w:r>
    </w:p>
    <w:p w14:paraId="2467020F">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Researcher</w:t>
      </w:r>
      <w:r>
        <w:rPr>
          <w:rFonts w:hint="default" w:ascii="Arial" w:hAnsi="Arial" w:cs="Arial"/>
          <w:sz w:val="24"/>
          <w:szCs w:val="24"/>
          <w:lang w:val="en-US" w:eastAsia="zh-CN"/>
        </w:rPr>
        <w:t xml:space="preserve">s </w:t>
      </w:r>
      <w:r>
        <w:rPr>
          <w:rFonts w:hint="default" w:ascii="Arial" w:hAnsi="Arial" w:cs="Arial"/>
          <w:sz w:val="24"/>
          <w:szCs w:val="24"/>
        </w:rPr>
        <w:t xml:space="preserve">like Saccon (2023), discussed the efficiency and sustainability of global investment and consumption. The ever-growing trend is that consumers try to bring their purchasing decision as close to their values as possible. This way, consumers get a chance to be responsible for the selection of firms with better environmental records, thus creating the feeling of making the world a better place. It is picked in the young generations who are more conscious of the environment as well as social responsibilities. </w:t>
      </w:r>
    </w:p>
    <w:p w14:paraId="1EC6BE89">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While the significance of finance continues to feature in consumers’ daily decision-making process, responsible consumption is holding center-stage. A more recent study by Nylund (2023) has found a possibility of a future relationship between companies’ ESG performance and their credit ratings. Customers are no longer solely evaluating an organization’s performance based on its economic situation and its sustainability but its ESG rating.</w:t>
      </w:r>
    </w:p>
    <w:p w14:paraId="756B76D0">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 xml:space="preserve"> This change of the consumer behavior is forcing organizations to come up with strategies of the success of business that factors the environmental issues as well as social issues. In conclusion it can be stated that the perception of the consumers regarding the engagement of ESG practices has turned into one of the most influential forces that determine the conditions of the corporate world. </w:t>
      </w:r>
    </w:p>
    <w:p w14:paraId="49885361">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End consumers are beginning to express more concern and choosing products and services that have less harm to the environment and are sensitive to society’s needs, which makes ESG a competitive necessity for enterprise. When the firms’ actions are in tune with the changing needs of the consumers, they will not only help to shape a better future but also benefit from protecting and exploiting competitively valuable resources.</w:t>
      </w:r>
    </w:p>
    <w:p w14:paraId="0DF38044">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32" w:name="_Toc12897"/>
      <w:r>
        <w:rPr>
          <w:rFonts w:hint="eastAsia" w:ascii="Arial" w:hAnsi="Arial" w:cs="Arial"/>
          <w:b/>
          <w:color w:val="1F4E79" w:themeColor="accent1" w:themeShade="80"/>
          <w:sz w:val="24"/>
          <w:szCs w:val="24"/>
          <w:lang w:val="en-US" w:eastAsia="zh-CN" w:bidi="ar-SA"/>
        </w:rPr>
        <w:t>2</w:t>
      </w:r>
      <w:r>
        <w:rPr>
          <w:rFonts w:hint="default" w:ascii="Arial" w:hAnsi="Arial" w:cs="Arial" w:eastAsiaTheme="majorEastAsia"/>
          <w:b/>
          <w:color w:val="1F4E79" w:themeColor="accent1" w:themeShade="80"/>
          <w:sz w:val="24"/>
          <w:szCs w:val="24"/>
          <w:lang w:val="en-US" w:eastAsia="en-US" w:bidi="ar-SA"/>
        </w:rPr>
        <w:t>.5.2</w:t>
      </w:r>
      <w:r>
        <w:rPr>
          <w:rFonts w:hint="default" w:ascii="Arial" w:hAnsi="Arial" w:cs="Arial"/>
          <w:sz w:val="24"/>
          <w:szCs w:val="24"/>
          <w:lang w:eastAsia="zh-CN"/>
        </w:rPr>
        <w:t xml:space="preserve"> </w:t>
      </w:r>
      <w:r>
        <w:rPr>
          <w:rFonts w:hint="default" w:ascii="Arial" w:hAnsi="Arial" w:cs="Arial"/>
          <w:sz w:val="24"/>
          <w:szCs w:val="24"/>
        </w:rPr>
        <w:t>Impact on Corporate Strategy</w:t>
      </w:r>
      <w:bookmarkEnd w:id="32"/>
    </w:p>
    <w:p w14:paraId="37CE65CA">
      <w:pPr>
        <w:spacing w:line="480" w:lineRule="auto"/>
        <w:jc w:val="both"/>
        <w:rPr>
          <w:rFonts w:hint="default" w:ascii="Arial" w:hAnsi="Arial" w:cs="Arial"/>
          <w:sz w:val="24"/>
          <w:szCs w:val="24"/>
        </w:rPr>
      </w:pPr>
      <w:r>
        <w:rPr>
          <w:rFonts w:hint="default" w:ascii="Arial" w:hAnsi="Arial" w:cs="Arial"/>
          <w:sz w:val="24"/>
          <w:szCs w:val="24"/>
        </w:rPr>
        <w:t xml:space="preserve">Consumer awareness of ESG practices is thus becoming integral and is revolutionising the corporate strategy. This part expands on how these changing perceptions affect business’s approach to creating and executing ESG strategies. Consumer scrutiny of a company’s ESG (Environmental, Social and Governance) performance has become important when making a purchase decision, and this means that ESG expectations are being incorporated into the strategic management process by companies. </w:t>
      </w:r>
    </w:p>
    <w:p w14:paraId="518C63E1">
      <w:pPr>
        <w:spacing w:line="480" w:lineRule="auto"/>
        <w:jc w:val="both"/>
        <w:rPr>
          <w:rFonts w:hint="default" w:ascii="Arial" w:hAnsi="Arial" w:cs="Arial"/>
          <w:sz w:val="24"/>
          <w:szCs w:val="24"/>
        </w:rPr>
      </w:pPr>
      <w:r>
        <w:rPr>
          <w:rFonts w:hint="default" w:ascii="Arial" w:hAnsi="Arial" w:cs="Arial"/>
          <w:sz w:val="24"/>
          <w:szCs w:val="24"/>
        </w:rPr>
        <w:t xml:space="preserve">Basing on Wang (2023) study, the paper establishes the relationship between social trust and corporate sustainability disclosure. Business are realising the importance of how they report their ESG initiatives to ensure integrity and gain the perceptions of the consumers. </w:t>
      </w:r>
    </w:p>
    <w:p w14:paraId="11E08AE7">
      <w:pPr>
        <w:spacing w:line="480" w:lineRule="auto"/>
        <w:jc w:val="both"/>
        <w:rPr>
          <w:rFonts w:hint="default" w:ascii="Arial" w:hAnsi="Arial" w:cs="Arial"/>
          <w:sz w:val="24"/>
          <w:szCs w:val="24"/>
        </w:rPr>
      </w:pPr>
      <w:r>
        <w:rPr>
          <w:rFonts w:hint="default" w:ascii="Arial" w:hAnsi="Arial" w:cs="Arial"/>
          <w:sz w:val="24"/>
          <w:szCs w:val="24"/>
        </w:rPr>
        <w:t xml:space="preserve">Market research becomes a vital component according to preferred customer choices and the tailored strategies of ESG. With consumers trying to buy products that they deem moral, firms are increasingly aligning their ESG strategies with consumers’ shifting behaviour. For instance, a business that deals in fashion products may consider using environmentally friendly raw materials and labor practices to appeal consumers’ environmental and social conscience. Such alignment also ensures the company’s compliance with sustainable practices while at the same time, presenting the company as geared towards fulfilling consumers’ ethical expectations. </w:t>
      </w:r>
    </w:p>
    <w:p w14:paraId="6E3D836D">
      <w:pPr>
        <w:spacing w:line="480" w:lineRule="auto"/>
        <w:jc w:val="both"/>
        <w:rPr>
          <w:rFonts w:hint="default" w:ascii="Arial" w:hAnsi="Arial" w:cs="Arial"/>
          <w:sz w:val="24"/>
          <w:szCs w:val="24"/>
        </w:rPr>
      </w:pPr>
      <w:r>
        <w:rPr>
          <w:rFonts w:hint="default" w:ascii="Arial" w:hAnsi="Arial" w:cs="Arial"/>
          <w:sz w:val="24"/>
          <w:szCs w:val="24"/>
        </w:rPr>
        <w:t xml:space="preserve"> Many firms have effectively incorporated consumers’ expectations to the ESG plans and have enjoyed numerous returns. For instance, an organization that is in the production of apparels for use in outdoor activities such as Patagonia has widely benefited from sustainable development. They procure with recycled materials, speak on environmental conservation and ensure that the customer base is abreast with environmental conservation matters. This focus on consumer values has proved to be beneficial for the company and it has contributed to good brand identification and market position of this company known as Patagonia.</w:t>
      </w:r>
    </w:p>
    <w:p w14:paraId="48E7DFB0">
      <w:pPr>
        <w:spacing w:line="480" w:lineRule="auto"/>
        <w:jc w:val="both"/>
        <w:rPr>
          <w:rFonts w:hint="default" w:ascii="Arial" w:hAnsi="Arial" w:cs="Arial"/>
          <w:sz w:val="24"/>
          <w:szCs w:val="24"/>
        </w:rPr>
      </w:pPr>
      <w:r>
        <w:rPr>
          <w:rFonts w:hint="default" w:ascii="Arial" w:hAnsi="Arial" w:cs="Arial"/>
          <w:sz w:val="24"/>
          <w:szCs w:val="24"/>
        </w:rPr>
        <w:t xml:space="preserve"> As another example, a firm like Unilever which deal in consumer goods has articulated set goals in relation to sustainability of resources such as waste management and water usage. Because the goals have been communicated over time and tangible paths to those goals shown, Unilever has received favourable consumer perception and established itself as a company that engages in responsible business.</w:t>
      </w:r>
    </w:p>
    <w:p w14:paraId="027D3CC8">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As Nylund</w:t>
      </w:r>
      <w:r>
        <w:rPr>
          <w:rFonts w:hint="default" w:ascii="Arial" w:hAnsi="Arial" w:cs="Arial"/>
          <w:sz w:val="24"/>
          <w:szCs w:val="24"/>
          <w:lang w:eastAsia="zh-CN"/>
        </w:rPr>
        <w:t xml:space="preserve"> </w:t>
      </w:r>
      <w:r>
        <w:rPr>
          <w:rFonts w:hint="default" w:ascii="Arial" w:hAnsi="Arial" w:cs="Arial"/>
          <w:sz w:val="24"/>
          <w:szCs w:val="24"/>
        </w:rPr>
        <w:t xml:space="preserve">(2023) establishes in his study, robust ESG performance could indeed affect the company’s credit standing in the future. This goes against the direction from previously regarding the ESG nearly as a box-ticking exercise to acknowledging that it is a source of competitive advantage. When firms pay attention to ESG and integrate their operations in line with consumers’ expectations, they establish themselves as market leaders in terms of sustainability, gain the favor of conscious investors, and stand to benefit in the long run. </w:t>
      </w:r>
    </w:p>
    <w:p w14:paraId="19916FF8">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33" w:name="_Toc21646"/>
      <w:r>
        <w:rPr>
          <w:rFonts w:hint="eastAsia" w:ascii="Arial" w:hAnsi="Arial" w:cs="Arial"/>
          <w:b/>
          <w:color w:val="2E75B6" w:themeColor="accent1" w:themeShade="BF"/>
          <w:sz w:val="24"/>
          <w:szCs w:val="24"/>
          <w:lang w:val="en-US" w:eastAsia="zh-CN" w:bidi="ar-SA"/>
        </w:rPr>
        <w:t>2</w:t>
      </w:r>
      <w:r>
        <w:rPr>
          <w:rFonts w:hint="default" w:ascii="Arial" w:hAnsi="Arial" w:cs="Arial" w:eastAsiaTheme="majorEastAsia"/>
          <w:b/>
          <w:color w:val="2E75B6" w:themeColor="accent1" w:themeShade="BF"/>
          <w:sz w:val="24"/>
          <w:szCs w:val="24"/>
          <w:lang w:val="en-US" w:eastAsia="en-US" w:bidi="ar-SA"/>
        </w:rPr>
        <w:t>.6</w:t>
      </w:r>
      <w:r>
        <w:rPr>
          <w:rFonts w:hint="default" w:ascii="Arial" w:hAnsi="Arial" w:cs="Arial"/>
          <w:sz w:val="24"/>
          <w:szCs w:val="24"/>
        </w:rPr>
        <w:t xml:space="preserve"> Literature Gap</w:t>
      </w:r>
      <w:bookmarkEnd w:id="33"/>
      <w:r>
        <w:rPr>
          <w:rFonts w:hint="default" w:ascii="Arial" w:hAnsi="Arial" w:cs="Arial"/>
          <w:sz w:val="24"/>
          <w:szCs w:val="24"/>
        </w:rPr>
        <w:t xml:space="preserve"> </w:t>
      </w:r>
    </w:p>
    <w:p w14:paraId="7B81301E">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 xml:space="preserve"> Thus, this synthesis of literature that has recently been published on ESG in China presents a rather positive picture. The following empirical literature supports the claim that effective ESG practices enhance Chinese firms’ financial performance (Friede et al., 2015). Also, strong ESG practices can have a positive impact on risk management in areas such as resource management, labour practices and governance (Shobhwani &amp; Lodha; Chen et al., 2024; 2023). </w:t>
      </w:r>
    </w:p>
    <w:p w14:paraId="261FFA7E">
      <w:pPr>
        <w:spacing w:before="100" w:beforeAutospacing="1" w:after="100" w:afterAutospacing="1" w:line="480" w:lineRule="auto"/>
        <w:jc w:val="both"/>
        <w:rPr>
          <w:rFonts w:hint="default" w:ascii="Arial" w:hAnsi="Arial" w:cs="Arial"/>
          <w:sz w:val="24"/>
          <w:szCs w:val="24"/>
        </w:rPr>
      </w:pPr>
      <w:r>
        <w:rPr>
          <w:rFonts w:hint="default" w:ascii="Arial" w:hAnsi="Arial" w:cs="Arial"/>
          <w:sz w:val="24"/>
          <w:szCs w:val="24"/>
        </w:rPr>
        <w:t>However, there is a significant incompleteness in extant literature with respect to the consumer’s angle of ESG. Although the contribution of a more extensive range of financial and risk management advantages of ESG is gradually emerging, still, the literature places forward a considerably few studies on how the extensive consumer perception of a company’s ESG performance affects corporate behaviour in China. Wang (2023) explored the effect of social trust on corporate sustainability disclosure internationally, yet the phenomenon’s details in the Chinese market remain vague. Evaluating consumers’ perception regarding ESG in China is important in the following ways. First, consumers have a great influence in driving companies’ actions accordingly to their decisions and choices (Saccon, 2023).</w:t>
      </w:r>
    </w:p>
    <w:p w14:paraId="33D97689">
      <w:pPr>
        <w:spacing w:line="480" w:lineRule="auto"/>
        <w:jc w:val="both"/>
        <w:rPr>
          <w:rFonts w:hint="default" w:ascii="Arial" w:hAnsi="Arial" w:cs="Arial"/>
          <w:sz w:val="24"/>
          <w:szCs w:val="24"/>
        </w:rPr>
      </w:pPr>
      <w:r>
        <w:rPr>
          <w:rFonts w:hint="default" w:ascii="Arial" w:hAnsi="Arial" w:cs="Arial"/>
          <w:sz w:val="24"/>
          <w:szCs w:val="24"/>
        </w:rPr>
        <w:t xml:space="preserve">Secondly, Chinese consumers especially the new generations are becoming conscious on the environment and social issues (Borodako, 2023). </w:t>
      </w:r>
    </w:p>
    <w:p w14:paraId="2DE05105">
      <w:pPr>
        <w:spacing w:line="480" w:lineRule="auto"/>
        <w:jc w:val="both"/>
        <w:rPr>
          <w:rFonts w:hint="default" w:ascii="Arial" w:hAnsi="Arial" w:cs="Arial"/>
          <w:sz w:val="24"/>
          <w:szCs w:val="24"/>
        </w:rPr>
      </w:pPr>
      <w:r>
        <w:rPr>
          <w:rFonts w:hint="default" w:ascii="Arial" w:hAnsi="Arial" w:cs="Arial"/>
          <w:sz w:val="24"/>
          <w:szCs w:val="24"/>
        </w:rPr>
        <w:t xml:space="preserve">This consumer dimension that drives the adoption of corporate ESG indicators in China has not been given the attention it deserves in the literature. Therefore, the findings of this study underline the increasing relevance of ESG management for Chinese enterprises. However, more specifically, there is a major gap in the consumer perceptions literature. </w:t>
      </w:r>
    </w:p>
    <w:p w14:paraId="38A5398A">
      <w:pPr>
        <w:spacing w:line="480" w:lineRule="auto"/>
        <w:jc w:val="both"/>
        <w:rPr>
          <w:rFonts w:hint="default" w:ascii="Arial" w:hAnsi="Arial" w:cs="Arial"/>
          <w:sz w:val="24"/>
          <w:szCs w:val="24"/>
        </w:rPr>
      </w:pPr>
      <w:r>
        <w:rPr>
          <w:rFonts w:hint="default" w:ascii="Arial" w:hAnsi="Arial" w:cs="Arial"/>
          <w:sz w:val="24"/>
          <w:szCs w:val="24"/>
        </w:rPr>
        <w:t>Subsequent studies should be conducted to understand the existing views of Chinese consumers towards ESG practices and the impact these perceptions have on the consumers’ buying behavior. Through this research, it is possible to alleviate this gap and enhance the understanding of factors that influence ESG adoption in China and its implications for firms’ strategies and market environments overall.</w:t>
      </w:r>
    </w:p>
    <w:p w14:paraId="359D3FD2">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34" w:name="_Toc22393"/>
      <w:r>
        <w:rPr>
          <w:rFonts w:hint="eastAsia" w:ascii="Arial" w:hAnsi="Arial" w:cs="Arial"/>
          <w:b/>
          <w:color w:val="2E75B6" w:themeColor="accent1" w:themeShade="BF"/>
          <w:sz w:val="24"/>
          <w:szCs w:val="24"/>
          <w:lang w:val="en-US" w:eastAsia="zh-CN" w:bidi="ar-SA"/>
        </w:rPr>
        <w:t>2</w:t>
      </w:r>
      <w:r>
        <w:rPr>
          <w:rFonts w:hint="default" w:ascii="Arial" w:hAnsi="Arial" w:cs="Arial" w:eastAsiaTheme="majorEastAsia"/>
          <w:b/>
          <w:color w:val="2E75B6" w:themeColor="accent1" w:themeShade="BF"/>
          <w:sz w:val="24"/>
          <w:szCs w:val="24"/>
          <w:lang w:val="en-US" w:eastAsia="en-US" w:bidi="ar-SA"/>
        </w:rPr>
        <w:t>.7</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Conclusion</w:t>
      </w:r>
      <w:bookmarkEnd w:id="34"/>
    </w:p>
    <w:p w14:paraId="681E9444">
      <w:pPr>
        <w:spacing w:line="480" w:lineRule="auto"/>
        <w:jc w:val="both"/>
        <w:rPr>
          <w:rFonts w:hint="default" w:ascii="Arial" w:hAnsi="Arial" w:cs="Arial"/>
          <w:sz w:val="24"/>
          <w:szCs w:val="24"/>
        </w:rPr>
      </w:pPr>
      <w:r>
        <w:rPr>
          <w:rFonts w:hint="default" w:ascii="Arial" w:hAnsi="Arial" w:cs="Arial"/>
          <w:sz w:val="24"/>
          <w:szCs w:val="24"/>
        </w:rPr>
        <w:t xml:space="preserve">This chapter aims to present a systematically review of prior literature regarding the adoption of Environmental, Social and Governance (ESG) comprehensive standards in the Chinese organizations. The choice is made in relation to the company, where the consumer’s point of view is considered to assess the effects of ESG on the financial performance and risk profile of the firm. The arrangement of this review is done in categories so as to address the diverse areas that include but not limit to the following ones; ESG integration in china, ESG and performance Financial, ESG performation and risk. </w:t>
      </w:r>
    </w:p>
    <w:p w14:paraId="6CA62936">
      <w:pPr>
        <w:spacing w:line="480" w:lineRule="auto"/>
        <w:jc w:val="both"/>
        <w:rPr>
          <w:rFonts w:hint="default" w:ascii="Arial" w:hAnsi="Arial" w:cs="Arial"/>
          <w:sz w:val="24"/>
          <w:szCs w:val="24"/>
        </w:rPr>
      </w:pPr>
      <w:r>
        <w:rPr>
          <w:rFonts w:hint="default" w:ascii="Arial" w:hAnsi="Arial" w:cs="Arial"/>
          <w:sz w:val="24"/>
          <w:szCs w:val="24"/>
        </w:rPr>
        <w:t xml:space="preserve">This paper’s synthesis of the current literature thus paints a relatively rosy picture, with the empirical information affirming the assertion that the implementation of robust ESG standards positively impacts Chinese firms’ financial performance and inter alia, the management of risks concerning resources, labour relations, and governance. </w:t>
      </w:r>
    </w:p>
    <w:p w14:paraId="3D87F939">
      <w:pPr>
        <w:spacing w:line="480" w:lineRule="auto"/>
        <w:jc w:val="both"/>
        <w:rPr>
          <w:rFonts w:hint="default" w:ascii="Arial" w:hAnsi="Arial" w:cs="Arial"/>
          <w:sz w:val="24"/>
          <w:szCs w:val="24"/>
        </w:rPr>
      </w:pPr>
      <w:r>
        <w:rPr>
          <w:rFonts w:hint="default" w:ascii="Arial" w:hAnsi="Arial" w:cs="Arial"/>
          <w:sz w:val="24"/>
          <w:szCs w:val="24"/>
        </w:rPr>
        <w:t xml:space="preserve"> However, the following are notable positive implications: In defending the thesis and claims of this paper, some limitations have been identified; Nonetheless, the literature is surprisingly sparse in addressing the consumer’s view on ESG. Although studies on the speculative effect of ESG in financial and risk management are still ongoing, little research considers the influence of the consumer evaluation of a company’s ESG report on corporate behavior in China. This is a big mistake, especially since the weight of the consumers in corporations’ decisions and mounting environmental activism among young Chinese consumers. </w:t>
      </w:r>
    </w:p>
    <w:p w14:paraId="2470DC3F">
      <w:pPr>
        <w:spacing w:line="480" w:lineRule="auto"/>
        <w:jc w:val="both"/>
        <w:rPr>
          <w:rFonts w:hint="default" w:ascii="Arial" w:hAnsi="Arial" w:cs="Arial"/>
          <w:sz w:val="24"/>
          <w:szCs w:val="24"/>
        </w:rPr>
      </w:pPr>
      <w:r>
        <w:rPr>
          <w:rFonts w:hint="default" w:ascii="Arial" w:hAnsi="Arial" w:cs="Arial"/>
          <w:sz w:val="24"/>
          <w:szCs w:val="24"/>
        </w:rPr>
        <w:t xml:space="preserve"> Analyzing the results of this chapter, it is possible to emphasize that the development of ESG management is becoming more and more crucial for the Chinese enterprises and further studies regarding the consumers’ attitudes to the ESG practices are needed. To deal adequately with these issues it is necessary to understand the type of perceptions that guide corporate strategies and market environments. </w:t>
      </w:r>
    </w:p>
    <w:p w14:paraId="4E1B8747">
      <w:pPr>
        <w:spacing w:line="480" w:lineRule="auto"/>
        <w:jc w:val="both"/>
        <w:rPr>
          <w:rFonts w:hint="default" w:ascii="Arial" w:hAnsi="Arial" w:cs="Arial"/>
          <w:sz w:val="24"/>
          <w:szCs w:val="24"/>
        </w:rPr>
      </w:pPr>
      <w:r>
        <w:rPr>
          <w:rFonts w:hint="default" w:ascii="Arial" w:hAnsi="Arial" w:cs="Arial"/>
          <w:sz w:val="24"/>
          <w:szCs w:val="24"/>
        </w:rPr>
        <w:t xml:space="preserve"> Details of the research design and methodology used in this study are presented in the next chapter, chapter 3. These are the methods used in collecting data, procedures for selecting sample and tools applied in answering the research questions of this chapter. It will guarantee consistency and structure in the analysis of Chinese consumers’ perception of ESG and related outcomes on financial and risk performances.</w:t>
      </w:r>
    </w:p>
    <w:p w14:paraId="2D3C9F45">
      <w:pPr>
        <w:pStyle w:val="2"/>
        <w:numPr>
          <w:ilvl w:val="0"/>
          <w:numId w:val="0"/>
        </w:numPr>
        <w:spacing w:line="480" w:lineRule="auto"/>
        <w:ind w:left="432" w:leftChars="0" w:hanging="432" w:firstLineChars="0"/>
        <w:jc w:val="both"/>
        <w:outlineLvl w:val="1"/>
        <w:rPr>
          <w:rFonts w:hint="default" w:ascii="Arial" w:hAnsi="Arial" w:cs="Arial"/>
          <w:sz w:val="24"/>
          <w:szCs w:val="24"/>
        </w:rPr>
      </w:pPr>
      <w:bookmarkStart w:id="35" w:name="_Toc22480"/>
    </w:p>
    <w:p w14:paraId="1FF9567F">
      <w:pPr>
        <w:pStyle w:val="2"/>
        <w:numPr>
          <w:ilvl w:val="0"/>
          <w:numId w:val="0"/>
        </w:numPr>
        <w:spacing w:line="480" w:lineRule="auto"/>
        <w:ind w:left="432" w:leftChars="0" w:hanging="432" w:firstLineChars="0"/>
        <w:jc w:val="both"/>
        <w:outlineLvl w:val="1"/>
        <w:rPr>
          <w:rFonts w:hint="default" w:ascii="Arial" w:hAnsi="Arial" w:cs="Arial"/>
          <w:sz w:val="24"/>
          <w:szCs w:val="24"/>
        </w:rPr>
      </w:pPr>
    </w:p>
    <w:p w14:paraId="11219440">
      <w:pPr>
        <w:pStyle w:val="2"/>
        <w:numPr>
          <w:ilvl w:val="0"/>
          <w:numId w:val="0"/>
        </w:numPr>
        <w:spacing w:line="480" w:lineRule="auto"/>
        <w:ind w:left="432" w:leftChars="0" w:hanging="432" w:firstLineChars="0"/>
        <w:jc w:val="both"/>
        <w:outlineLvl w:val="1"/>
        <w:rPr>
          <w:rFonts w:hint="default" w:ascii="Arial" w:hAnsi="Arial" w:cs="Arial"/>
          <w:sz w:val="24"/>
          <w:szCs w:val="24"/>
        </w:rPr>
      </w:pPr>
      <w:r>
        <w:rPr>
          <w:rFonts w:hint="default" w:ascii="Arial" w:hAnsi="Arial" w:cs="Arial"/>
          <w:sz w:val="24"/>
          <w:szCs w:val="24"/>
        </w:rPr>
        <w:t>Chapter 3: Methodology</w:t>
      </w:r>
      <w:bookmarkEnd w:id="35"/>
      <w:r>
        <w:rPr>
          <w:rFonts w:hint="default" w:ascii="Arial" w:hAnsi="Arial" w:cs="Arial"/>
          <w:sz w:val="24"/>
          <w:szCs w:val="24"/>
        </w:rPr>
        <w:t xml:space="preserve"> </w:t>
      </w:r>
    </w:p>
    <w:p w14:paraId="50410C7A">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36" w:name="_Toc11060"/>
      <w:r>
        <w:rPr>
          <w:rFonts w:hint="eastAsia" w:ascii="Arial" w:hAnsi="Arial" w:cs="Arial"/>
          <w:b/>
          <w:color w:val="2E75B6" w:themeColor="accent1" w:themeShade="BF"/>
          <w:sz w:val="24"/>
          <w:szCs w:val="24"/>
          <w:lang w:val="en-US" w:eastAsia="zh-CN" w:bidi="ar-SA"/>
        </w:rPr>
        <w:t>3</w:t>
      </w:r>
      <w:r>
        <w:rPr>
          <w:rFonts w:hint="default" w:ascii="Arial" w:hAnsi="Arial" w:cs="Arial" w:eastAsiaTheme="majorEastAsia"/>
          <w:b/>
          <w:color w:val="2E75B6" w:themeColor="accent1" w:themeShade="BF"/>
          <w:sz w:val="24"/>
          <w:szCs w:val="24"/>
          <w:lang w:val="en-US" w:eastAsia="en-US" w:bidi="ar-SA"/>
        </w:rPr>
        <w:t>.1</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Introduction</w:t>
      </w:r>
      <w:bookmarkEnd w:id="36"/>
    </w:p>
    <w:p w14:paraId="6A888B1F">
      <w:pPr>
        <w:spacing w:line="480" w:lineRule="auto"/>
        <w:jc w:val="both"/>
        <w:rPr>
          <w:rFonts w:hint="default" w:ascii="Arial" w:hAnsi="Arial" w:cs="Arial"/>
          <w:sz w:val="24"/>
          <w:szCs w:val="24"/>
        </w:rPr>
      </w:pPr>
      <w:r>
        <w:rPr>
          <w:rFonts w:hint="default" w:ascii="Arial" w:hAnsi="Arial" w:cs="Arial"/>
          <w:sz w:val="24"/>
          <w:szCs w:val="24"/>
        </w:rPr>
        <w:t xml:space="preserve">The following chapter presents the approach used in approaching and conducting this research on the effects of ESG, with specific focus on Chinese firms from the standpoint of the consumers. Part of the chapter is dedicated to the explanation of the research philosophy, chosen research approach, research design and strategies, methods of data collection, proper ethical concerns, and the summary of the methodology. </w:t>
      </w:r>
    </w:p>
    <w:p w14:paraId="134E0632">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37" w:name="_Toc9410"/>
      <w:r>
        <w:rPr>
          <w:rFonts w:hint="eastAsia" w:ascii="Arial" w:hAnsi="Arial" w:cs="Arial"/>
          <w:b/>
          <w:color w:val="2E75B6" w:themeColor="accent1" w:themeShade="BF"/>
          <w:sz w:val="24"/>
          <w:szCs w:val="24"/>
          <w:lang w:val="en-US" w:eastAsia="zh-CN" w:bidi="ar-SA"/>
        </w:rPr>
        <w:t>3</w:t>
      </w:r>
      <w:r>
        <w:rPr>
          <w:rFonts w:hint="default" w:ascii="Arial" w:hAnsi="Arial" w:cs="Arial" w:eastAsiaTheme="majorEastAsia"/>
          <w:b/>
          <w:color w:val="2E75B6" w:themeColor="accent1" w:themeShade="BF"/>
          <w:sz w:val="24"/>
          <w:szCs w:val="24"/>
          <w:lang w:val="en-US" w:eastAsia="en-US" w:bidi="ar-SA"/>
        </w:rPr>
        <w:t>.2</w:t>
      </w:r>
      <w:r>
        <w:rPr>
          <w:rFonts w:hint="default" w:ascii="Arial" w:hAnsi="Arial" w:cs="Arial"/>
          <w:sz w:val="24"/>
          <w:szCs w:val="24"/>
        </w:rPr>
        <w:t xml:space="preserve"> Research Philosophy</w:t>
      </w:r>
      <w:bookmarkEnd w:id="37"/>
      <w:r>
        <w:rPr>
          <w:rFonts w:hint="default" w:ascii="Arial" w:hAnsi="Arial" w:cs="Arial"/>
          <w:sz w:val="24"/>
          <w:szCs w:val="24"/>
        </w:rPr>
        <w:t xml:space="preserve"> </w:t>
      </w:r>
    </w:p>
    <w:p w14:paraId="33506F27">
      <w:pPr>
        <w:spacing w:line="480" w:lineRule="auto"/>
        <w:jc w:val="both"/>
        <w:rPr>
          <w:rFonts w:hint="default" w:ascii="Arial" w:hAnsi="Arial" w:cs="Arial"/>
          <w:sz w:val="24"/>
          <w:szCs w:val="24"/>
        </w:rPr>
      </w:pPr>
      <w:r>
        <w:rPr>
          <w:rFonts w:hint="default" w:ascii="Arial" w:hAnsi="Arial" w:cs="Arial"/>
          <w:sz w:val="24"/>
          <w:szCs w:val="24"/>
        </w:rPr>
        <w:t xml:space="preserve"> The research philosophy that has been adopted in this research is positivism. Positivism as indicated by Park et al. (2020) is objective, observable, measurable, and scientifically investigated world. This philosophical position postulates that there is a real world, which is quite different from the world contained in our ideas and that knowledge is arrived at with the help of the observation and accurate measuring of the reality. Positivism focuses on the examination of an event or situation using methods that are accepted in a scientific process hence makes results and conclusions credible, accurate and able to happen in other settings or locations (Park et al. , 2020). </w:t>
      </w:r>
    </w:p>
    <w:p w14:paraId="2FC4ED7B">
      <w:pPr>
        <w:spacing w:line="480" w:lineRule="auto"/>
        <w:jc w:val="both"/>
        <w:rPr>
          <w:rFonts w:hint="default" w:ascii="Arial" w:hAnsi="Arial" w:cs="Arial"/>
          <w:sz w:val="24"/>
          <w:szCs w:val="24"/>
        </w:rPr>
      </w:pPr>
      <w:r>
        <w:rPr>
          <w:rFonts w:hint="default" w:ascii="Arial" w:hAnsi="Arial" w:cs="Arial"/>
          <w:sz w:val="24"/>
          <w:szCs w:val="24"/>
        </w:rPr>
        <w:t xml:space="preserve"> Positivism stems from the argument that the field of social science is subject to analysis in a similar manner as the field of natural sciences. Its goal is to uncover the general, the law-like, behind the particular and the messy in order to discover theories. Given the context of this research, positivism is relevant as it lets the study to quantify the influence of ESG practices on Chinese firms’ financial outcomes and risk management. Thus, using this philosophy, the study can look at testing hypotheses and making conclusions and generalizations based on data collected (Creswell &amp; Creswell, 2017). </w:t>
      </w:r>
    </w:p>
    <w:p w14:paraId="30D75802">
      <w:pPr>
        <w:spacing w:line="480" w:lineRule="auto"/>
        <w:jc w:val="both"/>
        <w:rPr>
          <w:rFonts w:hint="default" w:ascii="Arial" w:hAnsi="Arial" w:cs="Arial"/>
          <w:sz w:val="24"/>
          <w:szCs w:val="24"/>
        </w:rPr>
      </w:pPr>
      <w:r>
        <w:rPr>
          <w:rFonts w:hint="default" w:ascii="Arial" w:hAnsi="Arial" w:cs="Arial"/>
          <w:sz w:val="24"/>
          <w:szCs w:val="24"/>
        </w:rPr>
        <w:t xml:space="preserve"> Another concern that is highlighted by positivism is causality. There is a systematic method and efforts are made to make conclusions in positivist research about the relationships between different variables where cause and effect relationships between two or more variables are searched. Therefore, this study seeks to compare the relationship between ESG practices and companies’ financial and risk performances for firms in China.</w:t>
      </w:r>
    </w:p>
    <w:p w14:paraId="505813C6">
      <w:pPr>
        <w:spacing w:line="480" w:lineRule="auto"/>
        <w:jc w:val="both"/>
        <w:rPr>
          <w:rFonts w:hint="default" w:ascii="Arial" w:hAnsi="Arial" w:cs="Arial"/>
          <w:sz w:val="24"/>
          <w:szCs w:val="24"/>
        </w:rPr>
      </w:pPr>
      <w:r>
        <w:rPr>
          <w:rFonts w:hint="default" w:ascii="Arial" w:hAnsi="Arial" w:cs="Arial"/>
          <w:sz w:val="24"/>
          <w:szCs w:val="24"/>
        </w:rPr>
        <w:t xml:space="preserve">By using appropriate data and analysing the collected information, the study will aim at identifying these causal relationships and in that way, contribute to the body of knowledge, comparing the ESG practices and impacts on the corporate performance (Watson, 2015). </w:t>
      </w:r>
    </w:p>
    <w:p w14:paraId="5DFB84F8">
      <w:pPr>
        <w:spacing w:line="480" w:lineRule="auto"/>
        <w:jc w:val="both"/>
        <w:rPr>
          <w:rFonts w:hint="default" w:ascii="Arial" w:hAnsi="Arial" w:cs="Arial"/>
          <w:sz w:val="24"/>
          <w:szCs w:val="24"/>
        </w:rPr>
      </w:pPr>
      <w:r>
        <w:rPr>
          <w:rFonts w:hint="default" w:ascii="Arial" w:hAnsi="Arial" w:cs="Arial"/>
          <w:sz w:val="24"/>
          <w:szCs w:val="24"/>
        </w:rPr>
        <w:t xml:space="preserve"> Furthermore, positivism is a suitable paradigm for quantitative research procedures such as surveys, which rely on typed tools in the collection of numerical data. This approach enables one to manipulate the variables and use statistical measures to test hypotheses concerning the relations between the factors. The application of positivism as the philosophy of the study makes it logical, quantitative, and positive and therefore makes its findings measurable, conclusive and reproducible by other researchers hence increasing the study’s credibility and reliability (Bryman, 2016). </w:t>
      </w:r>
    </w:p>
    <w:p w14:paraId="15290978">
      <w:pPr>
        <w:spacing w:line="480" w:lineRule="auto"/>
        <w:jc w:val="both"/>
        <w:rPr>
          <w:rFonts w:hint="default" w:ascii="Arial" w:hAnsi="Arial" w:cs="Arial"/>
          <w:sz w:val="24"/>
          <w:szCs w:val="24"/>
        </w:rPr>
      </w:pPr>
      <w:r>
        <w:rPr>
          <w:rFonts w:hint="default" w:ascii="Arial" w:hAnsi="Arial" w:cs="Arial"/>
          <w:sz w:val="24"/>
          <w:szCs w:val="24"/>
        </w:rPr>
        <w:t xml:space="preserve"> Summing up, the importance of choosing the positivist research philosophy for this work can be explained by the following reasons. First, it can provide basis for measuring the real ESG practices including their consequences for financial and risk outcomes. Second, it also helps to establish the causality links by use of data and information. Third, it supports the quantitative techniques since these are important in testing hypothesis. In light of this, this research would like to employ a positivist research approach in an effort to establish a positivist knowledge of ESG practice within China and the effect that such practice has on the performance of firms in a scientific manner. </w:t>
      </w:r>
    </w:p>
    <w:p w14:paraId="625CFF3B">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38" w:name="_Toc18970"/>
      <w:r>
        <w:rPr>
          <w:rFonts w:hint="eastAsia" w:ascii="Arial" w:hAnsi="Arial" w:cs="Arial"/>
          <w:b/>
          <w:color w:val="2E75B6" w:themeColor="accent1" w:themeShade="BF"/>
          <w:sz w:val="24"/>
          <w:szCs w:val="24"/>
          <w:lang w:val="en-US" w:eastAsia="zh-CN" w:bidi="ar-SA"/>
        </w:rPr>
        <w:t>3</w:t>
      </w:r>
      <w:r>
        <w:rPr>
          <w:rFonts w:hint="default" w:ascii="Arial" w:hAnsi="Arial" w:cs="Arial" w:eastAsiaTheme="majorEastAsia"/>
          <w:b/>
          <w:color w:val="2E75B6" w:themeColor="accent1" w:themeShade="BF"/>
          <w:sz w:val="24"/>
          <w:szCs w:val="24"/>
          <w:lang w:val="en-US" w:eastAsia="en-US" w:bidi="ar-SA"/>
        </w:rPr>
        <w:t>.3</w:t>
      </w:r>
      <w:r>
        <w:rPr>
          <w:rFonts w:hint="default" w:ascii="Arial" w:hAnsi="Arial" w:cs="Arial"/>
          <w:sz w:val="24"/>
          <w:szCs w:val="24"/>
        </w:rPr>
        <w:t xml:space="preserve"> Research Approach</w:t>
      </w:r>
      <w:bookmarkEnd w:id="38"/>
      <w:r>
        <w:rPr>
          <w:rFonts w:hint="default" w:ascii="Arial" w:hAnsi="Arial" w:cs="Arial"/>
          <w:sz w:val="24"/>
          <w:szCs w:val="24"/>
        </w:rPr>
        <w:t xml:space="preserve"> </w:t>
      </w:r>
    </w:p>
    <w:p w14:paraId="24B874F1">
      <w:pPr>
        <w:spacing w:line="480" w:lineRule="auto"/>
        <w:jc w:val="both"/>
        <w:rPr>
          <w:rFonts w:hint="default" w:ascii="Arial" w:hAnsi="Arial" w:cs="Arial"/>
          <w:sz w:val="24"/>
          <w:szCs w:val="24"/>
        </w:rPr>
      </w:pPr>
      <w:r>
        <w:rPr>
          <w:rFonts w:hint="default" w:ascii="Arial" w:hAnsi="Arial" w:cs="Arial"/>
          <w:sz w:val="24"/>
          <w:szCs w:val="24"/>
        </w:rPr>
        <w:t xml:space="preserve"> As for the research methodology, this study employs a deductive research approach. Deductive research on the other hand involves the use of hypothesized, whereby the hypotheses are generated from theories which are already available in a given field of study and the data is collected in order to be used in testing the hypotheses (Ikeda, 2009). Inductive research is used in association with this approach, which relies on producing new theories from data that has been observed. The deductive approach is most appropriate with research that intends to prove the effectiveness of already purported theories and to demonstrate cause and effect relationships between variables (Saunders et al., 2014). </w:t>
      </w:r>
    </w:p>
    <w:p w14:paraId="536B1AB7">
      <w:pPr>
        <w:spacing w:line="480" w:lineRule="auto"/>
        <w:jc w:val="both"/>
        <w:rPr>
          <w:rFonts w:hint="default" w:ascii="Arial" w:hAnsi="Arial" w:cs="Arial"/>
          <w:sz w:val="24"/>
          <w:szCs w:val="24"/>
        </w:rPr>
      </w:pPr>
      <w:r>
        <w:rPr>
          <w:rFonts w:hint="default" w:ascii="Arial" w:hAnsi="Arial" w:cs="Arial"/>
          <w:sz w:val="24"/>
          <w:szCs w:val="24"/>
        </w:rPr>
        <w:t xml:space="preserve">Due to the purpose of this research to investigate how ESG practices influence the financial performance and risk of Chinese firms, It is applicable to use a deductive approach in this research. Consequently, this approach starts with the literature search to ascertain theories and framework that is available in the ESG practices and their effects. From this theoretical background particular research hypotheses are derived that will be empirically examined (Bryman, 2016). </w:t>
      </w:r>
    </w:p>
    <w:p w14:paraId="4EECBE2A">
      <w:pPr>
        <w:spacing w:line="480" w:lineRule="auto"/>
        <w:jc w:val="both"/>
        <w:rPr>
          <w:rFonts w:hint="default" w:ascii="Arial" w:hAnsi="Arial" w:cs="Arial"/>
          <w:sz w:val="24"/>
          <w:szCs w:val="24"/>
        </w:rPr>
      </w:pPr>
      <w:r>
        <w:rPr>
          <w:rFonts w:hint="default" w:ascii="Arial" w:hAnsi="Arial" w:cs="Arial"/>
          <w:sz w:val="24"/>
          <w:szCs w:val="24"/>
        </w:rPr>
        <w:t xml:space="preserve"> For example, the proposition arguing that appropriate ESG initiatives lead to better financial results and to increased risk management capabilities – the conclusion is based on the previous studies, which show the direct link between ESG measures and the firm performance indicators (Friede et al. , 2015; Shobhwani &amp; Lodha, 2023). Through the research hypotheses posed in this paper, this study applies a deductive approach in order to invest initial empirical evidence in the context of Chinese firms, thus filling a gap in the existing literature on ESG practices and the impact on corporate performance in China. </w:t>
      </w:r>
    </w:p>
    <w:p w14:paraId="6B48295F">
      <w:pPr>
        <w:spacing w:line="480" w:lineRule="auto"/>
        <w:jc w:val="both"/>
        <w:rPr>
          <w:rFonts w:hint="default" w:ascii="Arial" w:hAnsi="Arial" w:cs="Arial"/>
          <w:sz w:val="24"/>
          <w:szCs w:val="24"/>
        </w:rPr>
      </w:pPr>
      <w:r>
        <w:rPr>
          <w:rFonts w:hint="default" w:ascii="Arial" w:hAnsi="Arial" w:cs="Arial"/>
          <w:sz w:val="24"/>
          <w:szCs w:val="24"/>
        </w:rPr>
        <w:t xml:space="preserve"> The deductive approach in research entails the use of a hypothesis test plan. This starts with the definition of its measure variables as well as those of key concepts in such a way that they can minimally be measured. Measures are then conducted by means of structured questionnaires which basically are closed-ended to enhance reliability and validity. Observational data analyses such as correlation and regression analysis are used to analyse the data set in order to test the derived hypotheses. This approach helps to guarantee the study findings are real and realizations reached are consistent with the empirical realities (Creswell &amp; Creswell, 2017). </w:t>
      </w:r>
    </w:p>
    <w:p w14:paraId="4A6812BA">
      <w:pPr>
        <w:spacing w:line="480" w:lineRule="auto"/>
        <w:jc w:val="both"/>
        <w:rPr>
          <w:rFonts w:hint="default" w:ascii="Arial" w:hAnsi="Arial" w:cs="Arial"/>
          <w:sz w:val="24"/>
          <w:szCs w:val="24"/>
        </w:rPr>
      </w:pPr>
      <w:r>
        <w:rPr>
          <w:rFonts w:hint="default" w:ascii="Arial" w:hAnsi="Arial" w:cs="Arial"/>
          <w:sz w:val="24"/>
          <w:szCs w:val="24"/>
        </w:rPr>
        <w:t xml:space="preserve"> Also, it goes well with the chosen positivist research philosophy of this study The type of research methodology called for by the research questions and hypotheses in this study is a deductive one. Positivism pays emphasis on variables and the method of measurement as well as the scientific approach to phenomena. In the same way, since this research adopts a deductive method, the study also meets these principles of systematic, replicable, and empirical research (Ikeda, 2009).</w:t>
      </w:r>
    </w:p>
    <w:p w14:paraId="15A35518">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39" w:name="_Toc7289"/>
      <w:r>
        <w:rPr>
          <w:rFonts w:hint="eastAsia" w:ascii="Arial" w:hAnsi="Arial" w:cs="Arial"/>
          <w:b/>
          <w:color w:val="2E75B6" w:themeColor="accent1" w:themeShade="BF"/>
          <w:sz w:val="24"/>
          <w:szCs w:val="24"/>
          <w:lang w:val="en-US" w:eastAsia="zh-CN" w:bidi="ar-SA"/>
        </w:rPr>
        <w:t>3</w:t>
      </w:r>
      <w:r>
        <w:rPr>
          <w:rFonts w:hint="default" w:ascii="Arial" w:hAnsi="Arial" w:cs="Arial" w:eastAsiaTheme="majorEastAsia"/>
          <w:b/>
          <w:color w:val="2E75B6" w:themeColor="accent1" w:themeShade="BF"/>
          <w:sz w:val="24"/>
          <w:szCs w:val="24"/>
          <w:lang w:val="en-US" w:eastAsia="en-US" w:bidi="ar-SA"/>
        </w:rPr>
        <w:t>.4</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Research Design and Strategies</w:t>
      </w:r>
      <w:bookmarkEnd w:id="39"/>
    </w:p>
    <w:p w14:paraId="3604464C">
      <w:pPr>
        <w:spacing w:line="480" w:lineRule="auto"/>
        <w:jc w:val="both"/>
        <w:rPr>
          <w:rFonts w:hint="default" w:ascii="Arial" w:hAnsi="Arial" w:cs="Arial"/>
          <w:sz w:val="24"/>
          <w:szCs w:val="24"/>
        </w:rPr>
      </w:pPr>
      <w:r>
        <w:rPr>
          <w:rFonts w:hint="default" w:ascii="Arial" w:hAnsi="Arial" w:cs="Arial"/>
          <w:sz w:val="24"/>
          <w:szCs w:val="24"/>
        </w:rPr>
        <w:t xml:space="preserve">This study employs the quantitative research design since it entails the collection of the primary data. Quantitative research is employed because it involves the use of variables that are assembled in a systematic and rigorous method suitable for identifying cause-and-effect relationships linking ESG practices to firms’ finances and risk in China. </w:t>
      </w:r>
    </w:p>
    <w:p w14:paraId="5D099D83">
      <w:pPr>
        <w:spacing w:line="480" w:lineRule="auto"/>
        <w:jc w:val="both"/>
        <w:rPr>
          <w:rFonts w:hint="default" w:ascii="Arial" w:hAnsi="Arial" w:cs="Arial"/>
          <w:sz w:val="24"/>
          <w:szCs w:val="24"/>
        </w:rPr>
      </w:pPr>
      <w:r>
        <w:rPr>
          <w:rFonts w:hint="default" w:ascii="Arial" w:hAnsi="Arial" w:cs="Arial"/>
          <w:sz w:val="24"/>
          <w:szCs w:val="24"/>
        </w:rPr>
        <w:t xml:space="preserve"> On the same note, quantitative research has the following benefits. First of all, it makes it possible to obtain numerical data, which helps measure variables and apply statistical analysis. This makes it easier for any researcher to establish patterns, relationships and trends which might not be easily detected by means of qualitative analysis (Creswell, 2017). Secondly, the findings of quantitative research are highly reliable and valid, this is because, the use of measuring instruments is fixed thus making the results more credible (Bryman, 2016). </w:t>
      </w:r>
    </w:p>
    <w:p w14:paraId="54EC8481">
      <w:pPr>
        <w:spacing w:line="480" w:lineRule="auto"/>
        <w:jc w:val="both"/>
        <w:rPr>
          <w:rFonts w:hint="default" w:ascii="Arial" w:hAnsi="Arial" w:cs="Arial"/>
          <w:sz w:val="24"/>
          <w:szCs w:val="24"/>
        </w:rPr>
      </w:pPr>
      <w:r>
        <w:rPr>
          <w:rFonts w:hint="default" w:ascii="Arial" w:hAnsi="Arial" w:cs="Arial"/>
          <w:sz w:val="24"/>
          <w:szCs w:val="24"/>
        </w:rPr>
        <w:t xml:space="preserve"> The approach for this research is survey research method that means that data would be gathered from a sample of consumers in China. In quantitative research, the popular method is a survey when the purpose is to receive numerous answers from a considerable list of respondents. Questionnaires are also appropriate for measuring respondents’ perceptions and attitudes, thus suitable for this study.</w:t>
      </w:r>
    </w:p>
    <w:p w14:paraId="10A42182">
      <w:pPr>
        <w:spacing w:line="480" w:lineRule="auto"/>
        <w:jc w:val="both"/>
        <w:rPr>
          <w:rFonts w:hint="default" w:ascii="Arial" w:hAnsi="Arial" w:cs="Arial"/>
          <w:sz w:val="24"/>
          <w:szCs w:val="24"/>
        </w:rPr>
      </w:pPr>
      <w:r>
        <w:rPr>
          <w:rFonts w:hint="default" w:ascii="Arial" w:hAnsi="Arial" w:cs="Arial"/>
          <w:sz w:val="24"/>
          <w:szCs w:val="24"/>
        </w:rPr>
        <w:t xml:space="preserve"> A Self-administered questionnaire will be used in the survey to ensure efficiency of the results attained. Online surveys possess several benefits since it is easy to administer to the respondents, relatively cheaper, and can cover a wide geographical area. In addition, online surveys are easy to disseminate and complete within the shortest time possible, hence allow data collection at the right time (Evans &amp; Mathur, 2018). </w:t>
      </w:r>
    </w:p>
    <w:p w14:paraId="03A62723">
      <w:pPr>
        <w:spacing w:line="480" w:lineRule="auto"/>
        <w:jc w:val="both"/>
        <w:rPr>
          <w:rFonts w:hint="default" w:ascii="Arial" w:hAnsi="Arial" w:cs="Arial"/>
          <w:sz w:val="24"/>
          <w:szCs w:val="24"/>
        </w:rPr>
      </w:pPr>
      <w:r>
        <w:rPr>
          <w:rFonts w:hint="default" w:ascii="Arial" w:hAnsi="Arial" w:cs="Arial"/>
          <w:sz w:val="24"/>
          <w:szCs w:val="24"/>
        </w:rPr>
        <w:t>Based on ESG performance data the questions will be developed with the aim of identifying respondents’ perceptions with regards to ESG performance, financial performance, and risk performance. To improve the credibility of the findings, the type of questions will be closed ended with the use of Likert scale. In essence, the use of this scale enables the researcher to get the respondent’s quantitative perception as to whether or not they agree with particular statements or not (Likert, 1932).</w:t>
      </w:r>
    </w:p>
    <w:p w14:paraId="183811F4">
      <w:pPr>
        <w:spacing w:line="480" w:lineRule="auto"/>
        <w:jc w:val="both"/>
        <w:rPr>
          <w:rFonts w:hint="default" w:ascii="Arial" w:hAnsi="Arial" w:cs="Arial"/>
          <w:sz w:val="24"/>
          <w:szCs w:val="24"/>
        </w:rPr>
      </w:pPr>
      <w:r>
        <w:rPr>
          <w:rFonts w:hint="default" w:ascii="Arial" w:hAnsi="Arial" w:cs="Arial"/>
          <w:sz w:val="24"/>
          <w:szCs w:val="24"/>
        </w:rPr>
        <w:t>The variables of interest in this study are ESG performance, financial performance, and risk performance from the consumer view point. Corporate sustainable performance covers the environmental, social, and governance factors of a firm as well as the firm’s revenue or profit. Risk performance summarizes to the extent to which the firm is able to identify, monitor and control various risks that are within its operations (Shobhwani &amp; Lodha, 2023).</w:t>
      </w:r>
    </w:p>
    <w:p w14:paraId="3A1585DF">
      <w:pPr>
        <w:spacing w:line="480" w:lineRule="auto"/>
        <w:jc w:val="both"/>
        <w:rPr>
          <w:rFonts w:hint="default" w:ascii="Arial" w:hAnsi="Arial" w:cs="Arial"/>
          <w:sz w:val="24"/>
          <w:szCs w:val="24"/>
        </w:rPr>
      </w:pPr>
      <w:r>
        <w:rPr>
          <w:rFonts w:hint="default" w:ascii="Arial" w:hAnsi="Arial" w:cs="Arial"/>
          <w:sz w:val="24"/>
          <w:szCs w:val="24"/>
        </w:rPr>
        <w:t>To enhance validity, convenience sampling will be used to adequately capture a sample set. This is a convenience sampling technique used to identify participants who are within the researcher’s reach and willing to take part in the study. Consequently, convenience sampling might limit the study’s ability to generalize the results; however, it is feasible and affordable for this research due to time and financial constraints (Etikan et al., 2016).</w:t>
      </w:r>
    </w:p>
    <w:p w14:paraId="66BD99BF">
      <w:pPr>
        <w:spacing w:line="480" w:lineRule="auto"/>
        <w:jc w:val="both"/>
        <w:rPr>
          <w:rFonts w:hint="default" w:ascii="Arial" w:hAnsi="Arial" w:cs="Arial"/>
          <w:sz w:val="24"/>
          <w:szCs w:val="24"/>
        </w:rPr>
      </w:pPr>
    </w:p>
    <w:p w14:paraId="12C01725">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40" w:name="_Toc13530"/>
      <w:r>
        <w:rPr>
          <w:rFonts w:hint="eastAsia" w:ascii="Arial" w:hAnsi="Arial" w:cs="Arial"/>
          <w:b/>
          <w:color w:val="2E75B6" w:themeColor="accent1" w:themeShade="BF"/>
          <w:sz w:val="24"/>
          <w:szCs w:val="24"/>
          <w:lang w:val="en-US" w:eastAsia="zh-CN" w:bidi="ar-SA"/>
        </w:rPr>
        <w:t>3</w:t>
      </w:r>
      <w:r>
        <w:rPr>
          <w:rFonts w:hint="default" w:ascii="Arial" w:hAnsi="Arial" w:cs="Arial" w:eastAsiaTheme="majorEastAsia"/>
          <w:b/>
          <w:color w:val="2E75B6" w:themeColor="accent1" w:themeShade="BF"/>
          <w:sz w:val="24"/>
          <w:szCs w:val="24"/>
          <w:lang w:val="en-US" w:eastAsia="en-US" w:bidi="ar-SA"/>
        </w:rPr>
        <w:t>.5</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Data Collection</w:t>
      </w:r>
      <w:bookmarkEnd w:id="40"/>
    </w:p>
    <w:p w14:paraId="6E44A95A">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41" w:name="_Toc31019"/>
      <w:r>
        <w:rPr>
          <w:rFonts w:hint="eastAsia" w:ascii="Arial" w:hAnsi="Arial" w:cs="Arial"/>
          <w:b/>
          <w:color w:val="1F4E79" w:themeColor="accent1" w:themeShade="80"/>
          <w:sz w:val="24"/>
          <w:szCs w:val="24"/>
          <w:lang w:val="en-US" w:eastAsia="zh-CN" w:bidi="ar-SA"/>
        </w:rPr>
        <w:t>3</w:t>
      </w:r>
      <w:r>
        <w:rPr>
          <w:rFonts w:hint="default" w:ascii="Arial" w:hAnsi="Arial" w:cs="Arial" w:eastAsiaTheme="majorEastAsia"/>
          <w:b/>
          <w:color w:val="1F4E79" w:themeColor="accent1" w:themeShade="80"/>
          <w:sz w:val="24"/>
          <w:szCs w:val="24"/>
          <w:lang w:val="en-US" w:eastAsia="en-US" w:bidi="ar-SA"/>
        </w:rPr>
        <w:t>.5.1</w:t>
      </w:r>
      <w:r>
        <w:rPr>
          <w:rFonts w:hint="eastAsia" w:ascii="Arial" w:hAnsi="Arial" w:cs="Arial"/>
          <w:b/>
          <w:color w:val="1F4E79" w:themeColor="accent1" w:themeShade="80"/>
          <w:sz w:val="24"/>
          <w:szCs w:val="24"/>
          <w:lang w:val="en-US" w:eastAsia="zh-CN" w:bidi="ar-SA"/>
        </w:rPr>
        <w:t xml:space="preserve"> </w:t>
      </w:r>
      <w:r>
        <w:rPr>
          <w:rFonts w:hint="default" w:ascii="Arial" w:hAnsi="Arial" w:cs="Arial"/>
          <w:sz w:val="24"/>
          <w:szCs w:val="24"/>
        </w:rPr>
        <w:t>Primary Data Collection</w:t>
      </w:r>
      <w:bookmarkEnd w:id="41"/>
    </w:p>
    <w:p w14:paraId="5B21C367">
      <w:pPr>
        <w:spacing w:line="480" w:lineRule="auto"/>
        <w:jc w:val="both"/>
        <w:rPr>
          <w:rFonts w:hint="default" w:ascii="Arial" w:hAnsi="Arial" w:cs="Arial"/>
          <w:sz w:val="24"/>
          <w:szCs w:val="24"/>
        </w:rPr>
      </w:pPr>
      <w:r>
        <w:rPr>
          <w:rFonts w:hint="default" w:ascii="Arial" w:hAnsi="Arial" w:cs="Arial"/>
          <w:sz w:val="24"/>
          <w:szCs w:val="24"/>
        </w:rPr>
        <w:t>Collection of data is a very important and basic step in quantitative research since it is important for testing relationship and patterns. The current chapter provides a description of the techniques and strategies to be used to collect the primary data necessary for studying the effects of ESG practices on the Chinese firms’ financial and risk performance, as perceived by consumers.</w:t>
      </w:r>
    </w:p>
    <w:p w14:paraId="39521ADD">
      <w:pPr>
        <w:spacing w:line="480" w:lineRule="auto"/>
        <w:jc w:val="both"/>
        <w:rPr>
          <w:rFonts w:hint="default" w:ascii="Arial" w:hAnsi="Arial" w:cs="Arial"/>
          <w:sz w:val="24"/>
          <w:szCs w:val="24"/>
        </w:rPr>
      </w:pPr>
      <w:r>
        <w:rPr>
          <w:rFonts w:hint="default" w:ascii="Arial" w:hAnsi="Arial" w:cs="Arial"/>
          <w:sz w:val="24"/>
          <w:szCs w:val="24"/>
        </w:rPr>
        <w:t>After identifying the research questions, the primary data collection tool selected for the current study is the survey. In quantitative research, surveys are important tools formal scientific research because they allow for collecting large amounts of data quickly from a number of respondents while telling about consumers’ attitudes and perception to certain issues (Fowler, 2014).</w:t>
      </w:r>
    </w:p>
    <w:p w14:paraId="56A5D9DF">
      <w:pPr>
        <w:spacing w:line="480" w:lineRule="auto"/>
        <w:jc w:val="both"/>
        <w:rPr>
          <w:rFonts w:hint="default" w:ascii="Arial" w:hAnsi="Arial" w:cs="Arial"/>
          <w:sz w:val="24"/>
          <w:szCs w:val="24"/>
        </w:rPr>
      </w:pPr>
      <w:r>
        <w:rPr>
          <w:rFonts w:hint="default" w:ascii="Arial" w:hAnsi="Arial" w:cs="Arial"/>
          <w:sz w:val="24"/>
          <w:szCs w:val="24"/>
        </w:rPr>
        <w:t xml:space="preserve">The data collection technique used in this study will be an online questionnaire. Some benefits of online surveys include; cheaper, fast, and convenient to reach people of different geographical regions (Evans &amp; Mathur, 2018). The questionnaire will entail the use of closed-ended sociometric questions which will use a Likert scale. This scale enables the respondent to express his understanding and perception of an organization’s ESG performance, financial performance, and risk performance in terms of numerical values ranging from 1 to 5 or 1 to 7 (Likert, 1932). </w:t>
      </w:r>
    </w:p>
    <w:p w14:paraId="1DDD5EF6">
      <w:pPr>
        <w:spacing w:line="480" w:lineRule="auto"/>
        <w:jc w:val="both"/>
        <w:rPr>
          <w:rFonts w:hint="default" w:ascii="Arial" w:hAnsi="Arial" w:cs="Arial"/>
          <w:sz w:val="24"/>
          <w:szCs w:val="24"/>
        </w:rPr>
      </w:pPr>
      <w:r>
        <w:rPr>
          <w:rFonts w:hint="default" w:ascii="Arial" w:hAnsi="Arial" w:cs="Arial"/>
          <w:sz w:val="24"/>
          <w:szCs w:val="24"/>
        </w:rPr>
        <w:t>Closed-ended questions do not allow for multiple response options, which is beneficial since comparisons and measurements are streamlined. The questionnaire is going to be sectioned based on each of the variables under consideration. The questions will be developed from the literature review and theoretical frameworks focusing on ESG practices and firms’ performance.</w:t>
      </w:r>
    </w:p>
    <w:p w14:paraId="5090D291">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42" w:name="_Toc4104"/>
      <w:r>
        <w:rPr>
          <w:rFonts w:hint="eastAsia" w:ascii="Arial" w:hAnsi="Arial" w:cs="Arial"/>
          <w:b/>
          <w:color w:val="1F4E79" w:themeColor="accent1" w:themeShade="80"/>
          <w:sz w:val="24"/>
          <w:szCs w:val="24"/>
          <w:lang w:val="en-US" w:eastAsia="zh-CN" w:bidi="ar-SA"/>
        </w:rPr>
        <w:t>3</w:t>
      </w:r>
      <w:r>
        <w:rPr>
          <w:rFonts w:hint="default" w:ascii="Arial" w:hAnsi="Arial" w:cs="Arial" w:eastAsiaTheme="majorEastAsia"/>
          <w:b/>
          <w:color w:val="1F4E79" w:themeColor="accent1" w:themeShade="80"/>
          <w:sz w:val="24"/>
          <w:szCs w:val="24"/>
          <w:lang w:val="en-US" w:eastAsia="en-US" w:bidi="ar-SA"/>
        </w:rPr>
        <w:t>.5.2</w:t>
      </w:r>
      <w:r>
        <w:rPr>
          <w:rFonts w:hint="eastAsia" w:ascii="Arial" w:hAnsi="Arial" w:cs="Arial"/>
          <w:b/>
          <w:color w:val="1F4E79" w:themeColor="accent1" w:themeShade="80"/>
          <w:sz w:val="24"/>
          <w:szCs w:val="24"/>
          <w:lang w:val="en-US" w:eastAsia="zh-CN" w:bidi="ar-SA"/>
        </w:rPr>
        <w:t xml:space="preserve">  </w:t>
      </w:r>
      <w:r>
        <w:rPr>
          <w:rFonts w:hint="default" w:ascii="Arial" w:hAnsi="Arial" w:cs="Arial"/>
          <w:sz w:val="24"/>
          <w:szCs w:val="24"/>
        </w:rPr>
        <w:t>Sampling</w:t>
      </w:r>
      <w:bookmarkEnd w:id="42"/>
    </w:p>
    <w:p w14:paraId="5EEADE4A">
      <w:pPr>
        <w:spacing w:line="480" w:lineRule="auto"/>
        <w:jc w:val="both"/>
        <w:rPr>
          <w:rFonts w:hint="default" w:ascii="Arial" w:hAnsi="Arial" w:cs="Arial"/>
          <w:sz w:val="24"/>
          <w:szCs w:val="24"/>
        </w:rPr>
      </w:pPr>
      <w:r>
        <w:rPr>
          <w:rFonts w:hint="default" w:ascii="Arial" w:hAnsi="Arial" w:cs="Arial"/>
          <w:sz w:val="24"/>
          <w:szCs w:val="24"/>
        </w:rPr>
        <w:t>The first data type that will be used to achieve the objectives of the research is the primary quantitative data collected through the survey method. A closed ended questionnaire will be used and administered online to 100 people. The target respondents in this study are the consumers since they will be used in estimating their perceptions of the ESG, financial, and risk performances which will employ the Likert scale.</w:t>
      </w:r>
    </w:p>
    <w:p w14:paraId="735EA003">
      <w:pPr>
        <w:spacing w:line="480" w:lineRule="auto"/>
        <w:jc w:val="both"/>
        <w:rPr>
          <w:rFonts w:hint="default" w:ascii="Arial" w:hAnsi="Arial" w:cs="Arial"/>
          <w:sz w:val="24"/>
          <w:szCs w:val="24"/>
        </w:rPr>
      </w:pPr>
      <w:r>
        <w:rPr>
          <w:rFonts w:hint="default" w:ascii="Arial" w:hAnsi="Arial" w:cs="Arial"/>
          <w:sz w:val="24"/>
          <w:szCs w:val="24"/>
        </w:rPr>
        <w:t>The convenient sampling method will be used too as a way of getting a representative population. Regarding the participant’s contact, they will be informed through forms in the internet, while the form of the questionnaire will be that of Google Forms. Convenient sampling can be useful when finding respondents is easy although, like most non-probability sampling techniques it biases the sample (Suen et al., 2014).</w:t>
      </w:r>
    </w:p>
    <w:p w14:paraId="102D78D9">
      <w:pPr>
        <w:spacing w:line="480" w:lineRule="auto"/>
        <w:jc w:val="both"/>
        <w:rPr>
          <w:rFonts w:hint="default" w:ascii="Arial" w:hAnsi="Arial" w:cs="Arial"/>
          <w:sz w:val="24"/>
          <w:szCs w:val="24"/>
        </w:rPr>
      </w:pPr>
      <w:r>
        <w:rPr>
          <w:rFonts w:hint="default" w:ascii="Arial" w:hAnsi="Arial" w:cs="Arial"/>
          <w:sz w:val="24"/>
          <w:szCs w:val="24"/>
        </w:rPr>
        <w:t>All individuals will be asked to sign a consent form and an information sheet will be given outlining the research and the participants’ rights and choices regarding the study. This means that ethical issues will be of great importance and an ethical approval form will be filled in order to adhere to the utmost ethical practices.</w:t>
      </w:r>
    </w:p>
    <w:p w14:paraId="3B81C3B8">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43" w:name="_Toc15217"/>
      <w:r>
        <w:rPr>
          <w:rFonts w:hint="eastAsia" w:ascii="Arial" w:hAnsi="Arial" w:cs="Arial"/>
          <w:b/>
          <w:color w:val="2E75B6" w:themeColor="accent1" w:themeShade="BF"/>
          <w:sz w:val="24"/>
          <w:szCs w:val="24"/>
          <w:lang w:val="en-US" w:eastAsia="zh-CN" w:bidi="ar-SA"/>
        </w:rPr>
        <w:t>3</w:t>
      </w:r>
      <w:r>
        <w:rPr>
          <w:rFonts w:hint="default" w:ascii="Arial" w:hAnsi="Arial" w:cs="Arial" w:eastAsiaTheme="majorEastAsia"/>
          <w:b/>
          <w:color w:val="2E75B6" w:themeColor="accent1" w:themeShade="BF"/>
          <w:sz w:val="24"/>
          <w:szCs w:val="24"/>
          <w:lang w:val="en-US" w:eastAsia="en-US" w:bidi="ar-SA"/>
        </w:rPr>
        <w:t>.6</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Data Analysis</w:t>
      </w:r>
      <w:bookmarkEnd w:id="43"/>
    </w:p>
    <w:p w14:paraId="7C3E4E18">
      <w:pPr>
        <w:spacing w:line="480" w:lineRule="auto"/>
        <w:jc w:val="both"/>
        <w:rPr>
          <w:rFonts w:hint="default" w:ascii="Arial" w:hAnsi="Arial" w:cs="Arial"/>
          <w:sz w:val="24"/>
          <w:szCs w:val="24"/>
        </w:rPr>
      </w:pPr>
      <w:r>
        <w:rPr>
          <w:rFonts w:hint="default" w:ascii="Arial" w:hAnsi="Arial" w:cs="Arial"/>
          <w:sz w:val="24"/>
          <w:szCs w:val="24"/>
        </w:rPr>
        <w:t>Once data is collected, descriptive and inferential statistics will be used. The descriptive statistics will provide summary of results. For inferential statistics, the correlation and regression analysis will be used to highlight the relationship among variables. A multiple regression model will be used to investigate ESG performance, consumer perceptions, financial performance and risk performance of Chinese firms. These model links consumer perceptions and ESG performances as IVs and financial risk performance as Dependent Variable (DV).</w:t>
      </w:r>
    </w:p>
    <w:p w14:paraId="7D46F044">
      <w:pPr>
        <w:spacing w:line="480" w:lineRule="auto"/>
        <w:jc w:val="both"/>
        <w:rPr>
          <w:rFonts w:hint="default" w:ascii="Arial" w:hAnsi="Arial" w:cs="Arial"/>
          <w:sz w:val="24"/>
          <w:szCs w:val="24"/>
        </w:rPr>
      </w:pPr>
      <w:r>
        <w:rPr>
          <w:rFonts w:hint="default" w:ascii="Arial" w:hAnsi="Arial" w:cs="Arial"/>
          <w:sz w:val="24"/>
          <w:szCs w:val="24"/>
        </w:rPr>
        <w:t xml:space="preserve">Communicating the results of data analysis starts with basic descriptive statistics, alongside respondent demographic data as well as key variables such as perception of ESG performance, financial results and risk perception. These will range from simple frequencies, percentages, means, and standard deviations of participants’ characteristics as well as the variables to be measured. </w:t>
      </w:r>
    </w:p>
    <w:p w14:paraId="257C6328">
      <w:pPr>
        <w:spacing w:line="480" w:lineRule="auto"/>
        <w:jc w:val="both"/>
        <w:rPr>
          <w:rFonts w:hint="default" w:ascii="Arial" w:hAnsi="Arial" w:cs="Arial"/>
          <w:sz w:val="24"/>
          <w:szCs w:val="24"/>
        </w:rPr>
      </w:pPr>
      <w:r>
        <w:rPr>
          <w:rFonts w:hint="default" w:ascii="Arial" w:hAnsi="Arial" w:cs="Arial"/>
          <w:sz w:val="24"/>
          <w:szCs w:val="24"/>
        </w:rPr>
        <w:t xml:space="preserve"> After the descriptive analysis, the inferential statistics will be used to test the hypothesis on the variables in question. More so, the correlation analysis will measure common direction and intensity between various ESG and firm efficiency and performance including profitability, market share and Risk management factors comprising compliance and reputation risks on environmental, social and governance practices. After screening through the correlation test, this analysis will aid in determining which parts of ESG practices have the strongest coefficients with the financial and risk results. </w:t>
      </w:r>
    </w:p>
    <w:p w14:paraId="2FF4B226">
      <w:pPr>
        <w:spacing w:line="480" w:lineRule="auto"/>
        <w:jc w:val="both"/>
        <w:rPr>
          <w:rFonts w:hint="default" w:ascii="Arial" w:hAnsi="Arial" w:cs="Arial"/>
          <w:sz w:val="24"/>
          <w:szCs w:val="24"/>
        </w:rPr>
      </w:pPr>
      <w:r>
        <w:rPr>
          <w:rFonts w:hint="default" w:ascii="Arial" w:hAnsi="Arial" w:cs="Arial"/>
          <w:sz w:val="24"/>
          <w:szCs w:val="24"/>
        </w:rPr>
        <w:t xml:space="preserve"> In addition, regression analysis will be used in undertaking the evaluation of the predictability of ESG practices on the financial and risk performance at the same time. This method will enable one to establish how changes in ESG practices result in changes in the financial performance of Chinese firms as well as changes in risk management. Thus, ESG performance variables will be the independent variable, while the financial and risk performances will be the dependent variables in the regression models. </w:t>
      </w:r>
    </w:p>
    <w:p w14:paraId="5963339F">
      <w:pPr>
        <w:spacing w:line="480" w:lineRule="auto"/>
        <w:jc w:val="both"/>
        <w:rPr>
          <w:rFonts w:hint="default" w:ascii="Arial" w:hAnsi="Arial" w:cs="Arial"/>
          <w:sz w:val="24"/>
          <w:szCs w:val="24"/>
        </w:rPr>
      </w:pPr>
      <w:r>
        <w:rPr>
          <w:rFonts w:hint="default" w:ascii="Arial" w:hAnsi="Arial" w:cs="Arial"/>
          <w:sz w:val="24"/>
          <w:szCs w:val="24"/>
        </w:rPr>
        <w:t xml:space="preserve"> The results derived from the analyses of the data collected will be in form of tables, charts, graphs as this will ease the understanding of the findings. Consequently, the findings of the analysis will further ensure that statistical significance levels are determined in the assessment of the strength and reliability of the existence of the noted relationships (Suen et al., 2014). The analysis of these results will be based on the proposed theoretical framework and existing research to address the implication of these findings in relation to theory is regarding the existing literature on ESG adoption in Chinese firms.</w:t>
      </w:r>
    </w:p>
    <w:p w14:paraId="4DC0301B">
      <w:pPr>
        <w:spacing w:line="480" w:lineRule="auto"/>
        <w:jc w:val="both"/>
        <w:rPr>
          <w:rFonts w:hint="default" w:ascii="Arial" w:hAnsi="Arial" w:cs="Arial"/>
          <w:sz w:val="24"/>
          <w:szCs w:val="24"/>
        </w:rPr>
      </w:pPr>
    </w:p>
    <w:p w14:paraId="61025160">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44" w:name="_Toc22246"/>
      <w:r>
        <w:rPr>
          <w:rFonts w:hint="eastAsia" w:ascii="Arial" w:hAnsi="Arial" w:cs="Arial"/>
          <w:b/>
          <w:color w:val="2E75B6" w:themeColor="accent1" w:themeShade="BF"/>
          <w:sz w:val="24"/>
          <w:szCs w:val="24"/>
          <w:lang w:val="en-US" w:eastAsia="zh-CN" w:bidi="ar-SA"/>
        </w:rPr>
        <w:t>3</w:t>
      </w:r>
      <w:r>
        <w:rPr>
          <w:rFonts w:hint="default" w:ascii="Arial" w:hAnsi="Arial" w:cs="Arial" w:eastAsiaTheme="majorEastAsia"/>
          <w:b/>
          <w:color w:val="2E75B6" w:themeColor="accent1" w:themeShade="BF"/>
          <w:sz w:val="24"/>
          <w:szCs w:val="24"/>
          <w:lang w:val="en-US" w:eastAsia="en-US" w:bidi="ar-SA"/>
        </w:rPr>
        <w:t>.7</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Ethical Considerations</w:t>
      </w:r>
      <w:bookmarkEnd w:id="44"/>
      <w:r>
        <w:rPr>
          <w:rFonts w:hint="default" w:ascii="Arial" w:hAnsi="Arial" w:cs="Arial"/>
          <w:sz w:val="24"/>
          <w:szCs w:val="24"/>
        </w:rPr>
        <w:t xml:space="preserve"> </w:t>
      </w:r>
    </w:p>
    <w:p w14:paraId="30F8BA59">
      <w:pPr>
        <w:spacing w:line="480" w:lineRule="auto"/>
        <w:jc w:val="both"/>
        <w:rPr>
          <w:rFonts w:hint="default" w:ascii="Arial" w:hAnsi="Arial" w:cs="Arial"/>
          <w:sz w:val="24"/>
          <w:szCs w:val="24"/>
        </w:rPr>
      </w:pPr>
      <w:r>
        <w:rPr>
          <w:rFonts w:hint="default" w:ascii="Arial" w:hAnsi="Arial" w:cs="Arial"/>
          <w:sz w:val="24"/>
          <w:szCs w:val="24"/>
        </w:rPr>
        <w:t>The purpose of this section is to brief describe and analyze some of the most profound ethical factors that are crucial in safeguarding the participant’s interest in a research study. The following section outlines the ethical standard and guide that will be adopted in the conduct of the current data collection exercise on the ESG experience on financial and risk performance of firms in China from the consumer’s perspective.</w:t>
      </w:r>
    </w:p>
    <w:p w14:paraId="5111C671">
      <w:pPr>
        <w:spacing w:line="480" w:lineRule="auto"/>
        <w:jc w:val="both"/>
        <w:rPr>
          <w:rFonts w:hint="default" w:ascii="Arial" w:hAnsi="Arial" w:cs="Arial"/>
          <w:sz w:val="24"/>
          <w:szCs w:val="24"/>
        </w:rPr>
      </w:pPr>
      <w:r>
        <w:rPr>
          <w:rFonts w:hint="default" w:ascii="Arial" w:hAnsi="Arial" w:cs="Arial"/>
          <w:sz w:val="24"/>
          <w:szCs w:val="24"/>
        </w:rPr>
        <w:t xml:space="preserve"> Participant consent will be sought from all participants before they are enrolled to the study. The participant information will include a description of the nature and objectives of the study, methodology, possible hazards to the participants, and advantages of the study. They will know that the study is completely voluntary and they can exercise self-care by quitting the study at any single time. Each participant in online surveys will be required to confirm his/her consent electronically while those participating in face-to-face interviews will have to sign a consent to participate in the study in as much as they understand the consequences of the study. </w:t>
      </w:r>
    </w:p>
    <w:p w14:paraId="1C993310">
      <w:pPr>
        <w:spacing w:line="480" w:lineRule="auto"/>
        <w:jc w:val="both"/>
        <w:rPr>
          <w:rFonts w:hint="default" w:ascii="Arial" w:hAnsi="Arial" w:cs="Arial"/>
          <w:sz w:val="24"/>
          <w:szCs w:val="24"/>
        </w:rPr>
      </w:pPr>
      <w:r>
        <w:rPr>
          <w:rFonts w:hint="default" w:ascii="Arial" w:hAnsi="Arial" w:cs="Arial"/>
          <w:sz w:val="24"/>
          <w:szCs w:val="24"/>
        </w:rPr>
        <w:t xml:space="preserve"> To ensure the confidentiality of the participants it will be strictly observed during the entire study. The measures which will be taken to maintain anonymity of the participants are that no information is collected from any participant that may expose their identity and any information collected from participant or the sample will be used for the sole purpose of this research only. </w:t>
      </w:r>
    </w:p>
    <w:p w14:paraId="31F6BC49">
      <w:pPr>
        <w:spacing w:line="480" w:lineRule="auto"/>
        <w:jc w:val="both"/>
        <w:rPr>
          <w:rFonts w:hint="default" w:ascii="Arial" w:hAnsi="Arial" w:cs="Arial"/>
          <w:sz w:val="24"/>
          <w:szCs w:val="24"/>
        </w:rPr>
      </w:pPr>
      <w:r>
        <w:rPr>
          <w:rFonts w:hint="default" w:ascii="Arial" w:hAnsi="Arial" w:cs="Arial"/>
          <w:sz w:val="24"/>
          <w:szCs w:val="24"/>
        </w:rPr>
        <w:t xml:space="preserve">Again, identifying information will not be collected save for archival purposes and during data analysis, participants’ responses will be anonymized. This approach guards the response of participants from other people and makes them respond freely without any pressure. </w:t>
      </w:r>
    </w:p>
    <w:p w14:paraId="61A21130">
      <w:pPr>
        <w:spacing w:line="480" w:lineRule="auto"/>
        <w:jc w:val="both"/>
        <w:rPr>
          <w:rFonts w:hint="default" w:ascii="Arial" w:hAnsi="Arial" w:cs="Arial"/>
          <w:sz w:val="24"/>
          <w:szCs w:val="24"/>
        </w:rPr>
      </w:pPr>
      <w:r>
        <w:rPr>
          <w:rFonts w:hint="default" w:ascii="Arial" w:hAnsi="Arial" w:cs="Arial"/>
          <w:sz w:val="24"/>
          <w:szCs w:val="24"/>
        </w:rPr>
        <w:t xml:space="preserve"> For purpose of ensuring that participants’ information is not used, utilized or disclosed by other people, measures towards data security will be put in place. The electronic data will include survey responses and will be saved on secured servers; passwords or codes then will be used depending on the nature of the information that is being stored. The conclusion, the consent form that will be used for the study will be obtained in both electronic format and hard copy but the hard copies will be kept in locked cabinets for the eyes of the research team only (Hall, 2020).</w:t>
      </w:r>
    </w:p>
    <w:p w14:paraId="217A4205">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45" w:name="_Toc8805"/>
      <w:r>
        <w:rPr>
          <w:rFonts w:hint="eastAsia" w:ascii="Arial" w:hAnsi="Arial" w:cs="Arial"/>
          <w:b/>
          <w:color w:val="2E75B6" w:themeColor="accent1" w:themeShade="BF"/>
          <w:sz w:val="24"/>
          <w:szCs w:val="24"/>
          <w:lang w:val="en-US" w:eastAsia="zh-CN" w:bidi="ar-SA"/>
        </w:rPr>
        <w:t>3</w:t>
      </w:r>
      <w:r>
        <w:rPr>
          <w:rFonts w:hint="default" w:ascii="Arial" w:hAnsi="Arial" w:cs="Arial" w:eastAsiaTheme="majorEastAsia"/>
          <w:b/>
          <w:color w:val="2E75B6" w:themeColor="accent1" w:themeShade="BF"/>
          <w:sz w:val="24"/>
          <w:szCs w:val="24"/>
          <w:lang w:val="en-US" w:eastAsia="en-US" w:bidi="ar-SA"/>
        </w:rPr>
        <w:t>.8</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Conclusion</w:t>
      </w:r>
      <w:bookmarkEnd w:id="45"/>
    </w:p>
    <w:p w14:paraId="1955574E">
      <w:pPr>
        <w:spacing w:line="480" w:lineRule="auto"/>
        <w:jc w:val="both"/>
        <w:rPr>
          <w:rFonts w:hint="default" w:ascii="Arial" w:hAnsi="Arial" w:cs="Arial"/>
          <w:sz w:val="24"/>
          <w:szCs w:val="24"/>
        </w:rPr>
      </w:pPr>
      <w:r>
        <w:rPr>
          <w:rFonts w:hint="default" w:ascii="Arial" w:hAnsi="Arial" w:cs="Arial"/>
          <w:sz w:val="24"/>
          <w:szCs w:val="24"/>
        </w:rPr>
        <w:t xml:space="preserve">In conclusion, this chapter provides a clear description of the research method that will be used to address this research question with a focus in the Chinese institutions from the consumer perspective regarding the influence of ESG practices on financial performance and risk management of the firms. The research philosophy to be adopted is positivism while the research method approach will be deductive since a survey research design will be used in the study. In this case, Convenience sampling will be used and actual data will be obtained from 100 respondents through online questionnaires. </w:t>
      </w:r>
    </w:p>
    <w:p w14:paraId="6A437CA6">
      <w:pPr>
        <w:spacing w:line="480" w:lineRule="auto"/>
        <w:jc w:val="both"/>
        <w:rPr>
          <w:rFonts w:hint="default" w:ascii="Arial" w:hAnsi="Arial" w:cs="Arial"/>
          <w:sz w:val="24"/>
          <w:szCs w:val="24"/>
        </w:rPr>
      </w:pPr>
      <w:r>
        <w:rPr>
          <w:rFonts w:hint="default" w:ascii="Arial" w:hAnsi="Arial" w:cs="Arial"/>
          <w:sz w:val="24"/>
          <w:szCs w:val="24"/>
        </w:rPr>
        <w:t xml:space="preserve">Some of the subtopics are sensitivity analysis which deals with ethical issues to make sure the study and participants are protected. The results of the study will be described in the subsequent chapters where the analysis of the collected data and suggestions concerning the examined tendencies will be provided based on the findings of the prior research. This methodology helps maintain strong structure in the investigation and analysis of the views of consumers regarding ESG practices and consequences on the Chinese companies’ financial and risk profiles. </w:t>
      </w:r>
    </w:p>
    <w:p w14:paraId="71364646">
      <w:pPr>
        <w:spacing w:line="480" w:lineRule="auto"/>
        <w:jc w:val="both"/>
        <w:rPr>
          <w:rFonts w:hint="default" w:ascii="Arial" w:hAnsi="Arial" w:cs="Arial"/>
          <w:sz w:val="24"/>
          <w:szCs w:val="24"/>
        </w:rPr>
      </w:pPr>
      <w:r>
        <w:rPr>
          <w:rFonts w:hint="default" w:ascii="Arial" w:hAnsi="Arial" w:cs="Arial"/>
          <w:sz w:val="24"/>
          <w:szCs w:val="24"/>
        </w:rPr>
        <w:t xml:space="preserve"> After the data collection of chapter 3, the next Chapter 4 (Analysis) of the dissertation in detail quantitatively analyse the data gathered through the survey conducted over Chinese consumers on Environmental, Social, and Governance (ESG) practices on its effect on the firm’s financial performance and risk management in China. Starting with descriptive analysis of respondent data and nature of the study variables including ESG performance, financial performance and risk perception the chapter will thereafter use correlation and multiple regression analysis. </w:t>
      </w:r>
    </w:p>
    <w:p w14:paraId="3A11ED68">
      <w:pPr>
        <w:spacing w:line="480" w:lineRule="auto"/>
        <w:jc w:val="both"/>
        <w:rPr>
          <w:rFonts w:hint="default" w:ascii="Arial" w:hAnsi="Arial" w:cs="Arial"/>
          <w:sz w:val="24"/>
          <w:szCs w:val="24"/>
        </w:rPr>
      </w:pPr>
      <w:r>
        <w:rPr>
          <w:rFonts w:hint="default" w:ascii="Arial" w:hAnsi="Arial" w:cs="Arial"/>
          <w:sz w:val="24"/>
          <w:szCs w:val="24"/>
        </w:rPr>
        <w:t>The FSG and risk analyses in particular are approximately either explorations of or hypotheses on the correlation between ESG practices and financial/risk performance grades. As for the presentation of the findings, tables and charts will be used in order that the empirical results could be easily understood. This discussion shall translate these findings in the light of the existing literature for understanding the theoretical, practical and policy implications. As with the previous chapters, Chapter 4 also will end with a recapitulation of major conclusions in light of pivotal findings to facilitate a better understanding of the study’s implications for further research and practical application in strengthening ESG practices in Chinese firms.</w:t>
      </w:r>
    </w:p>
    <w:p w14:paraId="66B1D6F5">
      <w:pPr>
        <w:spacing w:line="480" w:lineRule="auto"/>
        <w:jc w:val="both"/>
        <w:rPr>
          <w:rFonts w:hint="default" w:ascii="Arial" w:hAnsi="Arial" w:cs="Arial"/>
          <w:sz w:val="24"/>
          <w:szCs w:val="24"/>
        </w:rPr>
      </w:pPr>
    </w:p>
    <w:p w14:paraId="053A5909">
      <w:pPr>
        <w:spacing w:line="480" w:lineRule="auto"/>
        <w:jc w:val="both"/>
        <w:rPr>
          <w:rFonts w:hint="default" w:ascii="Arial" w:hAnsi="Arial" w:cs="Arial"/>
          <w:sz w:val="24"/>
          <w:szCs w:val="24"/>
        </w:rPr>
      </w:pPr>
    </w:p>
    <w:p w14:paraId="264F130A">
      <w:pPr>
        <w:spacing w:line="480" w:lineRule="auto"/>
        <w:jc w:val="both"/>
        <w:rPr>
          <w:rFonts w:hint="default" w:ascii="Arial" w:hAnsi="Arial" w:cs="Arial"/>
          <w:sz w:val="24"/>
          <w:szCs w:val="24"/>
        </w:rPr>
      </w:pPr>
    </w:p>
    <w:p w14:paraId="310A8EFF">
      <w:pPr>
        <w:spacing w:line="480" w:lineRule="auto"/>
        <w:jc w:val="both"/>
        <w:rPr>
          <w:rFonts w:hint="default" w:ascii="Arial" w:hAnsi="Arial" w:cs="Arial"/>
          <w:sz w:val="24"/>
          <w:szCs w:val="24"/>
        </w:rPr>
      </w:pPr>
    </w:p>
    <w:p w14:paraId="1934719B">
      <w:pPr>
        <w:spacing w:line="480" w:lineRule="auto"/>
        <w:jc w:val="both"/>
        <w:rPr>
          <w:rFonts w:hint="default" w:ascii="Arial" w:hAnsi="Arial" w:cs="Arial"/>
          <w:sz w:val="24"/>
          <w:szCs w:val="24"/>
        </w:rPr>
      </w:pPr>
    </w:p>
    <w:p w14:paraId="51C6ABF3">
      <w:pPr>
        <w:pStyle w:val="2"/>
        <w:numPr>
          <w:ilvl w:val="0"/>
          <w:numId w:val="0"/>
        </w:numPr>
        <w:spacing w:line="480" w:lineRule="auto"/>
        <w:jc w:val="both"/>
        <w:outlineLvl w:val="1"/>
        <w:rPr>
          <w:rFonts w:hint="default" w:ascii="Arial" w:hAnsi="Arial" w:cs="Arial"/>
          <w:sz w:val="24"/>
          <w:szCs w:val="24"/>
        </w:rPr>
      </w:pPr>
      <w:bookmarkStart w:id="46" w:name="_Toc16770"/>
      <w:r>
        <w:rPr>
          <w:rFonts w:hint="default" w:ascii="Arial" w:hAnsi="Arial" w:cs="Arial"/>
          <w:sz w:val="24"/>
          <w:szCs w:val="24"/>
        </w:rPr>
        <w:t>Chapter 4: Findings and Analysis</w:t>
      </w:r>
      <w:bookmarkEnd w:id="46"/>
    </w:p>
    <w:p w14:paraId="4DBF68CF">
      <w:pPr>
        <w:spacing w:line="480" w:lineRule="auto"/>
        <w:jc w:val="both"/>
        <w:rPr>
          <w:rFonts w:hint="default" w:ascii="Arial" w:hAnsi="Arial" w:cs="Arial"/>
          <w:sz w:val="24"/>
          <w:szCs w:val="24"/>
        </w:rPr>
      </w:pPr>
      <w:r>
        <w:rPr>
          <w:rFonts w:hint="default" w:ascii="Arial" w:hAnsi="Arial" w:cs="Arial"/>
          <w:sz w:val="24"/>
          <w:szCs w:val="24"/>
        </w:rPr>
        <w:t xml:space="preserve">This chapter seeks to present the results of survey questionnaire to analyze the role of consumer perceptions on financial risk performance of Chinese companies. Using Likert scale, the responses have been collected from 100 respondents where respondents were asked about their perceptions of ESG adoption, financial risk performance of companies and challenges of ESG’s financial risk performance.  </w:t>
      </w:r>
    </w:p>
    <w:p w14:paraId="4324BDBE">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47" w:name="_Toc3535"/>
      <w:r>
        <w:rPr>
          <w:rFonts w:hint="eastAsia" w:ascii="Arial" w:hAnsi="Arial" w:cs="Arial"/>
          <w:b/>
          <w:color w:val="2E75B6" w:themeColor="accent1" w:themeShade="BF"/>
          <w:sz w:val="24"/>
          <w:szCs w:val="24"/>
          <w:lang w:val="en-US" w:eastAsia="zh-CN" w:bidi="ar-SA"/>
        </w:rPr>
        <w:t>4</w:t>
      </w:r>
      <w:r>
        <w:rPr>
          <w:rFonts w:hint="default" w:ascii="Arial" w:hAnsi="Arial" w:cs="Arial" w:eastAsiaTheme="majorEastAsia"/>
          <w:b/>
          <w:color w:val="2E75B6" w:themeColor="accent1" w:themeShade="BF"/>
          <w:sz w:val="24"/>
          <w:szCs w:val="24"/>
          <w:lang w:val="en-US" w:eastAsia="en-US" w:bidi="ar-SA"/>
        </w:rPr>
        <w:t>.1</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Demographics</w:t>
      </w:r>
      <w:bookmarkEnd w:id="47"/>
      <w:r>
        <w:rPr>
          <w:rFonts w:hint="default" w:ascii="Arial" w:hAnsi="Arial" w:cs="Arial"/>
          <w:sz w:val="24"/>
          <w:szCs w:val="24"/>
        </w:rPr>
        <w:t xml:space="preserve"> </w:t>
      </w:r>
    </w:p>
    <w:p w14:paraId="738FF51E">
      <w:pPr>
        <w:spacing w:line="480" w:lineRule="auto"/>
        <w:jc w:val="both"/>
        <w:rPr>
          <w:rFonts w:hint="default" w:ascii="Arial" w:hAnsi="Arial" w:cs="Arial"/>
          <w:sz w:val="24"/>
          <w:szCs w:val="24"/>
        </w:rPr>
      </w:pPr>
      <w:r>
        <w:rPr>
          <w:rFonts w:hint="default" w:ascii="Arial" w:hAnsi="Arial" w:cs="Arial"/>
          <w:sz w:val="24"/>
          <w:szCs w:val="24"/>
        </w:rPr>
        <w:t xml:space="preserve">Demographic study showcases survey respondents’ characteristics which are helpful to understand the attributes of customer segments. According to Glaser (2012), organizations and researchers use demographic analysis to interpret survey responses which contribute to improve decision-making and interpreting ESG adoption among Chinese companies. For highlighting consumer perceptions, the survey respondents’ demographics are helpful for understanding ESG financial performances. </w:t>
      </w:r>
    </w:p>
    <w:tbl>
      <w:tblPr>
        <w:tblStyle w:val="21"/>
        <w:tblW w:w="71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7"/>
        <w:gridCol w:w="3268"/>
        <w:gridCol w:w="1988"/>
      </w:tblGrid>
      <w:tr w14:paraId="34CE0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1" w:hRule="atLeast"/>
        </w:trPr>
        <w:tc>
          <w:tcPr>
            <w:tcW w:w="0" w:type="auto"/>
          </w:tcPr>
          <w:p w14:paraId="74BB6A98">
            <w:pPr>
              <w:spacing w:line="480" w:lineRule="auto"/>
              <w:jc w:val="both"/>
              <w:rPr>
                <w:rFonts w:hint="default" w:ascii="Arial" w:hAnsi="Arial" w:cs="Arial"/>
                <w:b/>
                <w:sz w:val="24"/>
                <w:szCs w:val="24"/>
              </w:rPr>
            </w:pPr>
            <w:r>
              <w:rPr>
                <w:rFonts w:hint="default" w:ascii="Arial" w:hAnsi="Arial" w:cs="Arial"/>
                <w:b/>
                <w:sz w:val="24"/>
                <w:szCs w:val="24"/>
              </w:rPr>
              <w:t xml:space="preserve">Factors </w:t>
            </w:r>
          </w:p>
        </w:tc>
        <w:tc>
          <w:tcPr>
            <w:tcW w:w="0" w:type="auto"/>
          </w:tcPr>
          <w:p w14:paraId="54F53C3C">
            <w:pPr>
              <w:spacing w:line="480" w:lineRule="auto"/>
              <w:jc w:val="both"/>
              <w:rPr>
                <w:rFonts w:hint="default" w:ascii="Arial" w:hAnsi="Arial" w:cs="Arial"/>
                <w:b/>
                <w:sz w:val="24"/>
                <w:szCs w:val="24"/>
              </w:rPr>
            </w:pPr>
            <w:r>
              <w:rPr>
                <w:rFonts w:hint="default" w:ascii="Arial" w:hAnsi="Arial" w:cs="Arial"/>
                <w:b/>
                <w:sz w:val="24"/>
                <w:szCs w:val="24"/>
              </w:rPr>
              <w:t xml:space="preserve">Variables </w:t>
            </w:r>
          </w:p>
        </w:tc>
        <w:tc>
          <w:tcPr>
            <w:tcW w:w="0" w:type="auto"/>
          </w:tcPr>
          <w:p w14:paraId="5F149CBE">
            <w:pPr>
              <w:spacing w:line="480" w:lineRule="auto"/>
              <w:jc w:val="both"/>
              <w:rPr>
                <w:rFonts w:hint="default" w:ascii="Arial" w:hAnsi="Arial" w:cs="Arial"/>
                <w:b/>
                <w:sz w:val="24"/>
                <w:szCs w:val="24"/>
              </w:rPr>
            </w:pPr>
            <w:r>
              <w:rPr>
                <w:rFonts w:hint="default" w:ascii="Arial" w:hAnsi="Arial" w:cs="Arial"/>
                <w:b/>
                <w:sz w:val="24"/>
                <w:szCs w:val="24"/>
              </w:rPr>
              <w:t xml:space="preserve">Frequency </w:t>
            </w:r>
          </w:p>
        </w:tc>
      </w:tr>
      <w:tr w14:paraId="22AD1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vMerge w:val="restart"/>
          </w:tcPr>
          <w:p w14:paraId="5E2750E9">
            <w:pPr>
              <w:spacing w:line="480" w:lineRule="auto"/>
              <w:jc w:val="both"/>
              <w:rPr>
                <w:rFonts w:hint="default" w:ascii="Arial" w:hAnsi="Arial" w:cs="Arial"/>
                <w:sz w:val="24"/>
                <w:szCs w:val="24"/>
              </w:rPr>
            </w:pPr>
            <w:r>
              <w:rPr>
                <w:rFonts w:hint="default" w:ascii="Arial" w:hAnsi="Arial" w:cs="Arial"/>
                <w:sz w:val="24"/>
                <w:szCs w:val="24"/>
              </w:rPr>
              <w:t xml:space="preserve">Gender </w:t>
            </w:r>
          </w:p>
        </w:tc>
        <w:tc>
          <w:tcPr>
            <w:tcW w:w="0" w:type="auto"/>
          </w:tcPr>
          <w:p w14:paraId="2557F322">
            <w:pPr>
              <w:spacing w:line="480" w:lineRule="auto"/>
              <w:jc w:val="both"/>
              <w:rPr>
                <w:rFonts w:hint="default" w:ascii="Arial" w:hAnsi="Arial" w:cs="Arial"/>
                <w:sz w:val="24"/>
                <w:szCs w:val="24"/>
              </w:rPr>
            </w:pPr>
            <w:r>
              <w:rPr>
                <w:rFonts w:hint="default" w:ascii="Arial" w:hAnsi="Arial" w:cs="Arial"/>
                <w:sz w:val="24"/>
                <w:szCs w:val="24"/>
              </w:rPr>
              <w:t xml:space="preserve">Male </w:t>
            </w:r>
          </w:p>
        </w:tc>
        <w:tc>
          <w:tcPr>
            <w:tcW w:w="0" w:type="auto"/>
          </w:tcPr>
          <w:p w14:paraId="3A1715D3">
            <w:pPr>
              <w:spacing w:line="480" w:lineRule="auto"/>
              <w:jc w:val="both"/>
              <w:rPr>
                <w:rFonts w:hint="default" w:ascii="Arial" w:hAnsi="Arial" w:cs="Arial"/>
                <w:sz w:val="24"/>
                <w:szCs w:val="24"/>
              </w:rPr>
            </w:pPr>
            <w:r>
              <w:rPr>
                <w:rFonts w:hint="default" w:ascii="Arial" w:hAnsi="Arial" w:cs="Arial"/>
                <w:sz w:val="24"/>
                <w:szCs w:val="24"/>
              </w:rPr>
              <w:t>67</w:t>
            </w:r>
          </w:p>
        </w:tc>
      </w:tr>
      <w:tr w14:paraId="069E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0" w:type="auto"/>
            <w:vMerge w:val="continue"/>
          </w:tcPr>
          <w:p w14:paraId="660564F4">
            <w:pPr>
              <w:spacing w:line="480" w:lineRule="auto"/>
              <w:jc w:val="both"/>
              <w:rPr>
                <w:rFonts w:hint="default" w:ascii="Arial" w:hAnsi="Arial" w:cs="Arial"/>
                <w:sz w:val="24"/>
                <w:szCs w:val="24"/>
              </w:rPr>
            </w:pPr>
          </w:p>
        </w:tc>
        <w:tc>
          <w:tcPr>
            <w:tcW w:w="0" w:type="auto"/>
          </w:tcPr>
          <w:p w14:paraId="77FEC1D9">
            <w:pPr>
              <w:spacing w:line="480" w:lineRule="auto"/>
              <w:jc w:val="both"/>
              <w:rPr>
                <w:rFonts w:hint="default" w:ascii="Arial" w:hAnsi="Arial" w:cs="Arial"/>
                <w:sz w:val="24"/>
                <w:szCs w:val="24"/>
              </w:rPr>
            </w:pPr>
            <w:r>
              <w:rPr>
                <w:rFonts w:hint="default" w:ascii="Arial" w:hAnsi="Arial" w:cs="Arial"/>
                <w:sz w:val="24"/>
                <w:szCs w:val="24"/>
              </w:rPr>
              <w:t xml:space="preserve">Female </w:t>
            </w:r>
          </w:p>
        </w:tc>
        <w:tc>
          <w:tcPr>
            <w:tcW w:w="0" w:type="auto"/>
          </w:tcPr>
          <w:p w14:paraId="035FA08A">
            <w:pPr>
              <w:spacing w:line="480" w:lineRule="auto"/>
              <w:jc w:val="both"/>
              <w:rPr>
                <w:rFonts w:hint="default" w:ascii="Arial" w:hAnsi="Arial" w:cs="Arial"/>
                <w:sz w:val="24"/>
                <w:szCs w:val="24"/>
              </w:rPr>
            </w:pPr>
            <w:r>
              <w:rPr>
                <w:rFonts w:hint="default" w:ascii="Arial" w:hAnsi="Arial" w:cs="Arial"/>
                <w:sz w:val="24"/>
                <w:szCs w:val="24"/>
              </w:rPr>
              <w:t>33</w:t>
            </w:r>
          </w:p>
        </w:tc>
      </w:tr>
      <w:tr w14:paraId="01A5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vMerge w:val="restart"/>
          </w:tcPr>
          <w:p w14:paraId="0AC50500">
            <w:pPr>
              <w:spacing w:line="480" w:lineRule="auto"/>
              <w:jc w:val="both"/>
              <w:rPr>
                <w:rFonts w:hint="default" w:ascii="Arial" w:hAnsi="Arial" w:cs="Arial"/>
                <w:sz w:val="24"/>
                <w:szCs w:val="24"/>
              </w:rPr>
            </w:pPr>
            <w:r>
              <w:rPr>
                <w:rFonts w:hint="default" w:ascii="Arial" w:hAnsi="Arial" w:cs="Arial"/>
                <w:sz w:val="24"/>
                <w:szCs w:val="24"/>
              </w:rPr>
              <w:t xml:space="preserve">Age </w:t>
            </w:r>
          </w:p>
        </w:tc>
        <w:tc>
          <w:tcPr>
            <w:tcW w:w="0" w:type="auto"/>
          </w:tcPr>
          <w:p w14:paraId="435D939D">
            <w:pPr>
              <w:spacing w:line="480" w:lineRule="auto"/>
              <w:jc w:val="both"/>
              <w:rPr>
                <w:rFonts w:hint="default" w:ascii="Arial" w:hAnsi="Arial" w:cs="Arial"/>
                <w:sz w:val="24"/>
                <w:szCs w:val="24"/>
              </w:rPr>
            </w:pPr>
            <w:r>
              <w:rPr>
                <w:rFonts w:hint="default" w:ascii="Arial" w:hAnsi="Arial" w:cs="Arial"/>
                <w:sz w:val="24"/>
                <w:szCs w:val="24"/>
              </w:rPr>
              <w:t>18-25</w:t>
            </w:r>
          </w:p>
        </w:tc>
        <w:tc>
          <w:tcPr>
            <w:tcW w:w="0" w:type="auto"/>
          </w:tcPr>
          <w:p w14:paraId="77F4B3DE">
            <w:pPr>
              <w:spacing w:line="480" w:lineRule="auto"/>
              <w:jc w:val="both"/>
              <w:rPr>
                <w:rFonts w:hint="default" w:ascii="Arial" w:hAnsi="Arial" w:cs="Arial"/>
                <w:sz w:val="24"/>
                <w:szCs w:val="24"/>
              </w:rPr>
            </w:pPr>
            <w:r>
              <w:rPr>
                <w:rFonts w:hint="default" w:ascii="Arial" w:hAnsi="Arial" w:cs="Arial"/>
                <w:sz w:val="24"/>
                <w:szCs w:val="24"/>
              </w:rPr>
              <w:t>11</w:t>
            </w:r>
          </w:p>
        </w:tc>
      </w:tr>
      <w:tr w14:paraId="6A5D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0" w:type="auto"/>
            <w:vMerge w:val="continue"/>
          </w:tcPr>
          <w:p w14:paraId="39456B04">
            <w:pPr>
              <w:spacing w:line="480" w:lineRule="auto"/>
              <w:jc w:val="both"/>
              <w:rPr>
                <w:rFonts w:hint="default" w:ascii="Arial" w:hAnsi="Arial" w:cs="Arial"/>
                <w:sz w:val="24"/>
                <w:szCs w:val="24"/>
              </w:rPr>
            </w:pPr>
          </w:p>
        </w:tc>
        <w:tc>
          <w:tcPr>
            <w:tcW w:w="0" w:type="auto"/>
          </w:tcPr>
          <w:p w14:paraId="37275CB6">
            <w:pPr>
              <w:spacing w:line="480" w:lineRule="auto"/>
              <w:jc w:val="both"/>
              <w:rPr>
                <w:rFonts w:hint="default" w:ascii="Arial" w:hAnsi="Arial" w:cs="Arial"/>
                <w:sz w:val="24"/>
                <w:szCs w:val="24"/>
              </w:rPr>
            </w:pPr>
            <w:r>
              <w:rPr>
                <w:rFonts w:hint="default" w:ascii="Arial" w:hAnsi="Arial" w:cs="Arial"/>
                <w:sz w:val="24"/>
                <w:szCs w:val="24"/>
              </w:rPr>
              <w:t>26-35</w:t>
            </w:r>
          </w:p>
        </w:tc>
        <w:tc>
          <w:tcPr>
            <w:tcW w:w="0" w:type="auto"/>
          </w:tcPr>
          <w:p w14:paraId="7C1C7267">
            <w:pPr>
              <w:spacing w:line="480" w:lineRule="auto"/>
              <w:jc w:val="both"/>
              <w:rPr>
                <w:rFonts w:hint="default" w:ascii="Arial" w:hAnsi="Arial" w:cs="Arial"/>
                <w:sz w:val="24"/>
                <w:szCs w:val="24"/>
              </w:rPr>
            </w:pPr>
            <w:r>
              <w:rPr>
                <w:rFonts w:hint="default" w:ascii="Arial" w:hAnsi="Arial" w:cs="Arial"/>
                <w:sz w:val="24"/>
                <w:szCs w:val="24"/>
              </w:rPr>
              <w:t>37</w:t>
            </w:r>
          </w:p>
        </w:tc>
      </w:tr>
      <w:tr w14:paraId="232CA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0" w:type="auto"/>
            <w:vMerge w:val="continue"/>
          </w:tcPr>
          <w:p w14:paraId="2C924499">
            <w:pPr>
              <w:spacing w:line="480" w:lineRule="auto"/>
              <w:jc w:val="both"/>
              <w:rPr>
                <w:rFonts w:hint="default" w:ascii="Arial" w:hAnsi="Arial" w:cs="Arial"/>
                <w:sz w:val="24"/>
                <w:szCs w:val="24"/>
              </w:rPr>
            </w:pPr>
          </w:p>
        </w:tc>
        <w:tc>
          <w:tcPr>
            <w:tcW w:w="0" w:type="auto"/>
          </w:tcPr>
          <w:p w14:paraId="025E6A1E">
            <w:pPr>
              <w:spacing w:line="480" w:lineRule="auto"/>
              <w:jc w:val="both"/>
              <w:rPr>
                <w:rFonts w:hint="default" w:ascii="Arial" w:hAnsi="Arial" w:cs="Arial"/>
                <w:sz w:val="24"/>
                <w:szCs w:val="24"/>
              </w:rPr>
            </w:pPr>
            <w:r>
              <w:rPr>
                <w:rFonts w:hint="default" w:ascii="Arial" w:hAnsi="Arial" w:cs="Arial"/>
                <w:sz w:val="24"/>
                <w:szCs w:val="24"/>
              </w:rPr>
              <w:t>35-45</w:t>
            </w:r>
          </w:p>
        </w:tc>
        <w:tc>
          <w:tcPr>
            <w:tcW w:w="0" w:type="auto"/>
          </w:tcPr>
          <w:p w14:paraId="7B19ADC7">
            <w:pPr>
              <w:spacing w:line="480" w:lineRule="auto"/>
              <w:jc w:val="both"/>
              <w:rPr>
                <w:rFonts w:hint="default" w:ascii="Arial" w:hAnsi="Arial" w:cs="Arial"/>
                <w:sz w:val="24"/>
                <w:szCs w:val="24"/>
              </w:rPr>
            </w:pPr>
            <w:r>
              <w:rPr>
                <w:rFonts w:hint="default" w:ascii="Arial" w:hAnsi="Arial" w:cs="Arial"/>
                <w:sz w:val="24"/>
                <w:szCs w:val="24"/>
              </w:rPr>
              <w:t>25</w:t>
            </w:r>
          </w:p>
        </w:tc>
      </w:tr>
      <w:tr w14:paraId="4288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0" w:type="auto"/>
            <w:vMerge w:val="continue"/>
          </w:tcPr>
          <w:p w14:paraId="0299BCF4">
            <w:pPr>
              <w:spacing w:line="480" w:lineRule="auto"/>
              <w:jc w:val="both"/>
              <w:rPr>
                <w:rFonts w:hint="default" w:ascii="Arial" w:hAnsi="Arial" w:cs="Arial"/>
                <w:sz w:val="24"/>
                <w:szCs w:val="24"/>
              </w:rPr>
            </w:pPr>
          </w:p>
        </w:tc>
        <w:tc>
          <w:tcPr>
            <w:tcW w:w="0" w:type="auto"/>
          </w:tcPr>
          <w:p w14:paraId="5EF287CC">
            <w:pPr>
              <w:spacing w:line="480" w:lineRule="auto"/>
              <w:jc w:val="both"/>
              <w:rPr>
                <w:rFonts w:hint="default" w:ascii="Arial" w:hAnsi="Arial" w:cs="Arial"/>
                <w:sz w:val="24"/>
                <w:szCs w:val="24"/>
              </w:rPr>
            </w:pPr>
            <w:r>
              <w:rPr>
                <w:rFonts w:hint="default" w:ascii="Arial" w:hAnsi="Arial" w:cs="Arial"/>
                <w:sz w:val="24"/>
                <w:szCs w:val="24"/>
              </w:rPr>
              <w:t>45-55</w:t>
            </w:r>
          </w:p>
        </w:tc>
        <w:tc>
          <w:tcPr>
            <w:tcW w:w="0" w:type="auto"/>
          </w:tcPr>
          <w:p w14:paraId="19508EEE">
            <w:pPr>
              <w:spacing w:line="480" w:lineRule="auto"/>
              <w:jc w:val="both"/>
              <w:rPr>
                <w:rFonts w:hint="default" w:ascii="Arial" w:hAnsi="Arial" w:cs="Arial"/>
                <w:sz w:val="24"/>
                <w:szCs w:val="24"/>
              </w:rPr>
            </w:pPr>
            <w:r>
              <w:rPr>
                <w:rFonts w:hint="default" w:ascii="Arial" w:hAnsi="Arial" w:cs="Arial"/>
                <w:sz w:val="24"/>
                <w:szCs w:val="24"/>
              </w:rPr>
              <w:t>27</w:t>
            </w:r>
          </w:p>
        </w:tc>
      </w:tr>
      <w:tr w14:paraId="63175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0" w:type="auto"/>
            <w:vMerge w:val="restart"/>
          </w:tcPr>
          <w:p w14:paraId="77972DF9">
            <w:pPr>
              <w:spacing w:line="480" w:lineRule="auto"/>
              <w:jc w:val="both"/>
              <w:rPr>
                <w:rFonts w:hint="default" w:ascii="Arial" w:hAnsi="Arial" w:cs="Arial"/>
                <w:sz w:val="24"/>
                <w:szCs w:val="24"/>
              </w:rPr>
            </w:pPr>
            <w:r>
              <w:rPr>
                <w:rFonts w:hint="default" w:ascii="Arial" w:hAnsi="Arial" w:cs="Arial"/>
                <w:sz w:val="24"/>
                <w:szCs w:val="24"/>
              </w:rPr>
              <w:t xml:space="preserve">Education </w:t>
            </w:r>
          </w:p>
        </w:tc>
        <w:tc>
          <w:tcPr>
            <w:tcW w:w="0" w:type="auto"/>
          </w:tcPr>
          <w:p w14:paraId="7DCBA3A9">
            <w:pPr>
              <w:spacing w:line="480" w:lineRule="auto"/>
              <w:jc w:val="both"/>
              <w:rPr>
                <w:rFonts w:hint="default" w:ascii="Arial" w:hAnsi="Arial" w:cs="Arial"/>
                <w:sz w:val="24"/>
                <w:szCs w:val="24"/>
              </w:rPr>
            </w:pPr>
            <w:r>
              <w:rPr>
                <w:rFonts w:hint="default" w:ascii="Arial" w:hAnsi="Arial" w:cs="Arial"/>
                <w:sz w:val="24"/>
                <w:szCs w:val="24"/>
              </w:rPr>
              <w:t xml:space="preserve">High school </w:t>
            </w:r>
          </w:p>
        </w:tc>
        <w:tc>
          <w:tcPr>
            <w:tcW w:w="0" w:type="auto"/>
          </w:tcPr>
          <w:p w14:paraId="0852947E">
            <w:pPr>
              <w:spacing w:line="480" w:lineRule="auto"/>
              <w:jc w:val="both"/>
              <w:rPr>
                <w:rFonts w:hint="default" w:ascii="Arial" w:hAnsi="Arial" w:cs="Arial"/>
                <w:sz w:val="24"/>
                <w:szCs w:val="24"/>
              </w:rPr>
            </w:pPr>
            <w:r>
              <w:rPr>
                <w:rFonts w:hint="default" w:ascii="Arial" w:hAnsi="Arial" w:cs="Arial"/>
                <w:sz w:val="24"/>
                <w:szCs w:val="24"/>
              </w:rPr>
              <w:t>12</w:t>
            </w:r>
          </w:p>
        </w:tc>
      </w:tr>
      <w:tr w14:paraId="17E7F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0" w:type="auto"/>
            <w:vMerge w:val="continue"/>
          </w:tcPr>
          <w:p w14:paraId="106ECD72">
            <w:pPr>
              <w:spacing w:line="480" w:lineRule="auto"/>
              <w:jc w:val="both"/>
              <w:rPr>
                <w:rFonts w:hint="default" w:ascii="Arial" w:hAnsi="Arial" w:cs="Arial"/>
                <w:sz w:val="24"/>
                <w:szCs w:val="24"/>
              </w:rPr>
            </w:pPr>
          </w:p>
        </w:tc>
        <w:tc>
          <w:tcPr>
            <w:tcW w:w="0" w:type="auto"/>
          </w:tcPr>
          <w:p w14:paraId="05CC3D40">
            <w:pPr>
              <w:spacing w:line="480" w:lineRule="auto"/>
              <w:jc w:val="both"/>
              <w:rPr>
                <w:rFonts w:hint="default" w:ascii="Arial" w:hAnsi="Arial" w:cs="Arial"/>
                <w:sz w:val="24"/>
                <w:szCs w:val="24"/>
              </w:rPr>
            </w:pPr>
            <w:r>
              <w:rPr>
                <w:rFonts w:hint="default" w:ascii="Arial" w:hAnsi="Arial" w:cs="Arial"/>
                <w:sz w:val="24"/>
                <w:szCs w:val="24"/>
              </w:rPr>
              <w:t xml:space="preserve">Graduate </w:t>
            </w:r>
          </w:p>
        </w:tc>
        <w:tc>
          <w:tcPr>
            <w:tcW w:w="0" w:type="auto"/>
          </w:tcPr>
          <w:p w14:paraId="07566186">
            <w:pPr>
              <w:spacing w:line="480" w:lineRule="auto"/>
              <w:jc w:val="both"/>
              <w:rPr>
                <w:rFonts w:hint="default" w:ascii="Arial" w:hAnsi="Arial" w:cs="Arial"/>
                <w:sz w:val="24"/>
                <w:szCs w:val="24"/>
              </w:rPr>
            </w:pPr>
            <w:r>
              <w:rPr>
                <w:rFonts w:hint="default" w:ascii="Arial" w:hAnsi="Arial" w:cs="Arial"/>
                <w:sz w:val="24"/>
                <w:szCs w:val="24"/>
              </w:rPr>
              <w:t>52</w:t>
            </w:r>
          </w:p>
        </w:tc>
      </w:tr>
      <w:tr w14:paraId="4EBC2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0" w:type="auto"/>
            <w:vMerge w:val="continue"/>
          </w:tcPr>
          <w:p w14:paraId="3915387C">
            <w:pPr>
              <w:spacing w:line="480" w:lineRule="auto"/>
              <w:jc w:val="both"/>
              <w:rPr>
                <w:rFonts w:hint="default" w:ascii="Arial" w:hAnsi="Arial" w:cs="Arial"/>
                <w:sz w:val="24"/>
                <w:szCs w:val="24"/>
              </w:rPr>
            </w:pPr>
          </w:p>
        </w:tc>
        <w:tc>
          <w:tcPr>
            <w:tcW w:w="0" w:type="auto"/>
          </w:tcPr>
          <w:p w14:paraId="7E24ACF5">
            <w:pPr>
              <w:spacing w:line="480" w:lineRule="auto"/>
              <w:jc w:val="both"/>
              <w:rPr>
                <w:rFonts w:hint="default" w:ascii="Arial" w:hAnsi="Arial" w:cs="Arial"/>
                <w:sz w:val="24"/>
                <w:szCs w:val="24"/>
              </w:rPr>
            </w:pPr>
            <w:r>
              <w:rPr>
                <w:rFonts w:hint="default" w:ascii="Arial" w:hAnsi="Arial" w:cs="Arial"/>
                <w:sz w:val="24"/>
                <w:szCs w:val="24"/>
              </w:rPr>
              <w:t xml:space="preserve">Masters </w:t>
            </w:r>
          </w:p>
        </w:tc>
        <w:tc>
          <w:tcPr>
            <w:tcW w:w="0" w:type="auto"/>
          </w:tcPr>
          <w:p w14:paraId="600C30E2">
            <w:pPr>
              <w:spacing w:line="480" w:lineRule="auto"/>
              <w:jc w:val="both"/>
              <w:rPr>
                <w:rFonts w:hint="default" w:ascii="Arial" w:hAnsi="Arial" w:cs="Arial"/>
                <w:sz w:val="24"/>
                <w:szCs w:val="24"/>
              </w:rPr>
            </w:pPr>
            <w:r>
              <w:rPr>
                <w:rFonts w:hint="default" w:ascii="Arial" w:hAnsi="Arial" w:cs="Arial"/>
                <w:sz w:val="24"/>
                <w:szCs w:val="24"/>
              </w:rPr>
              <w:t>28</w:t>
            </w:r>
          </w:p>
        </w:tc>
      </w:tr>
      <w:tr w14:paraId="3CE62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0" w:type="auto"/>
            <w:vMerge w:val="continue"/>
          </w:tcPr>
          <w:p w14:paraId="243B0FE1">
            <w:pPr>
              <w:spacing w:line="480" w:lineRule="auto"/>
              <w:jc w:val="both"/>
              <w:rPr>
                <w:rFonts w:hint="default" w:ascii="Arial" w:hAnsi="Arial" w:cs="Arial"/>
                <w:sz w:val="24"/>
                <w:szCs w:val="24"/>
              </w:rPr>
            </w:pPr>
          </w:p>
        </w:tc>
        <w:tc>
          <w:tcPr>
            <w:tcW w:w="0" w:type="auto"/>
          </w:tcPr>
          <w:p w14:paraId="08DCED5A">
            <w:pPr>
              <w:spacing w:line="480" w:lineRule="auto"/>
              <w:jc w:val="both"/>
              <w:rPr>
                <w:rFonts w:hint="default" w:ascii="Arial" w:hAnsi="Arial" w:cs="Arial"/>
                <w:sz w:val="24"/>
                <w:szCs w:val="24"/>
              </w:rPr>
            </w:pPr>
            <w:r>
              <w:rPr>
                <w:rFonts w:hint="default" w:ascii="Arial" w:hAnsi="Arial" w:cs="Arial"/>
                <w:sz w:val="24"/>
                <w:szCs w:val="24"/>
              </w:rPr>
              <w:t>Professional degree</w:t>
            </w:r>
          </w:p>
        </w:tc>
        <w:tc>
          <w:tcPr>
            <w:tcW w:w="0" w:type="auto"/>
          </w:tcPr>
          <w:p w14:paraId="1E8A5B88">
            <w:pPr>
              <w:spacing w:line="480" w:lineRule="auto"/>
              <w:jc w:val="both"/>
              <w:rPr>
                <w:rFonts w:hint="default" w:ascii="Arial" w:hAnsi="Arial" w:cs="Arial"/>
                <w:sz w:val="24"/>
                <w:szCs w:val="24"/>
              </w:rPr>
            </w:pPr>
            <w:r>
              <w:rPr>
                <w:rFonts w:hint="default" w:ascii="Arial" w:hAnsi="Arial" w:cs="Arial"/>
                <w:sz w:val="24"/>
                <w:szCs w:val="24"/>
              </w:rPr>
              <w:t>8</w:t>
            </w:r>
          </w:p>
        </w:tc>
      </w:tr>
      <w:tr w14:paraId="62E4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vMerge w:val="restart"/>
          </w:tcPr>
          <w:p w14:paraId="65A4D3A2">
            <w:pPr>
              <w:spacing w:line="480" w:lineRule="auto"/>
              <w:jc w:val="both"/>
              <w:rPr>
                <w:rFonts w:hint="default" w:ascii="Arial" w:hAnsi="Arial" w:cs="Arial"/>
                <w:sz w:val="24"/>
                <w:szCs w:val="24"/>
              </w:rPr>
            </w:pPr>
            <w:r>
              <w:rPr>
                <w:rFonts w:hint="default" w:ascii="Arial" w:hAnsi="Arial" w:cs="Arial"/>
                <w:sz w:val="24"/>
                <w:szCs w:val="24"/>
              </w:rPr>
              <w:t>Profession</w:t>
            </w:r>
          </w:p>
        </w:tc>
        <w:tc>
          <w:tcPr>
            <w:tcW w:w="0" w:type="auto"/>
          </w:tcPr>
          <w:p w14:paraId="7F57CB22">
            <w:pPr>
              <w:spacing w:line="480" w:lineRule="auto"/>
              <w:jc w:val="both"/>
              <w:rPr>
                <w:rFonts w:hint="default" w:ascii="Arial" w:hAnsi="Arial" w:cs="Arial"/>
                <w:sz w:val="24"/>
                <w:szCs w:val="24"/>
              </w:rPr>
            </w:pPr>
            <w:r>
              <w:rPr>
                <w:rFonts w:hint="default" w:ascii="Arial" w:hAnsi="Arial" w:cs="Arial"/>
                <w:sz w:val="24"/>
                <w:szCs w:val="24"/>
              </w:rPr>
              <w:t xml:space="preserve">Professional worker </w:t>
            </w:r>
          </w:p>
        </w:tc>
        <w:tc>
          <w:tcPr>
            <w:tcW w:w="0" w:type="auto"/>
          </w:tcPr>
          <w:p w14:paraId="6618DD06">
            <w:pPr>
              <w:spacing w:line="480" w:lineRule="auto"/>
              <w:jc w:val="both"/>
              <w:rPr>
                <w:rFonts w:hint="default" w:ascii="Arial" w:hAnsi="Arial" w:cs="Arial"/>
                <w:sz w:val="24"/>
                <w:szCs w:val="24"/>
              </w:rPr>
            </w:pPr>
            <w:r>
              <w:rPr>
                <w:rFonts w:hint="default" w:ascii="Arial" w:hAnsi="Arial" w:cs="Arial"/>
                <w:sz w:val="24"/>
                <w:szCs w:val="24"/>
              </w:rPr>
              <w:t>63</w:t>
            </w:r>
          </w:p>
        </w:tc>
      </w:tr>
      <w:tr w14:paraId="5654D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0" w:type="auto"/>
            <w:vMerge w:val="continue"/>
          </w:tcPr>
          <w:p w14:paraId="617FD362">
            <w:pPr>
              <w:spacing w:line="480" w:lineRule="auto"/>
              <w:jc w:val="both"/>
              <w:rPr>
                <w:rFonts w:hint="default" w:ascii="Arial" w:hAnsi="Arial" w:cs="Arial"/>
                <w:sz w:val="24"/>
                <w:szCs w:val="24"/>
              </w:rPr>
            </w:pPr>
          </w:p>
        </w:tc>
        <w:tc>
          <w:tcPr>
            <w:tcW w:w="0" w:type="auto"/>
          </w:tcPr>
          <w:p w14:paraId="7FDD402C">
            <w:pPr>
              <w:spacing w:line="480" w:lineRule="auto"/>
              <w:jc w:val="both"/>
              <w:rPr>
                <w:rFonts w:hint="default" w:ascii="Arial" w:hAnsi="Arial" w:cs="Arial"/>
                <w:sz w:val="24"/>
                <w:szCs w:val="24"/>
              </w:rPr>
            </w:pPr>
            <w:r>
              <w:rPr>
                <w:rFonts w:hint="default" w:ascii="Arial" w:hAnsi="Arial" w:cs="Arial"/>
                <w:sz w:val="24"/>
                <w:szCs w:val="24"/>
              </w:rPr>
              <w:t>Students</w:t>
            </w:r>
          </w:p>
        </w:tc>
        <w:tc>
          <w:tcPr>
            <w:tcW w:w="0" w:type="auto"/>
          </w:tcPr>
          <w:p w14:paraId="65F3D590">
            <w:pPr>
              <w:spacing w:line="480" w:lineRule="auto"/>
              <w:jc w:val="both"/>
              <w:rPr>
                <w:rFonts w:hint="default" w:ascii="Arial" w:hAnsi="Arial" w:cs="Arial"/>
                <w:sz w:val="24"/>
                <w:szCs w:val="24"/>
              </w:rPr>
            </w:pPr>
            <w:r>
              <w:rPr>
                <w:rFonts w:hint="default" w:ascii="Arial" w:hAnsi="Arial" w:cs="Arial"/>
                <w:sz w:val="24"/>
                <w:szCs w:val="24"/>
              </w:rPr>
              <w:t>37</w:t>
            </w:r>
          </w:p>
        </w:tc>
      </w:tr>
    </w:tbl>
    <w:p w14:paraId="11144064">
      <w:pPr>
        <w:spacing w:line="480" w:lineRule="auto"/>
        <w:jc w:val="both"/>
        <w:rPr>
          <w:rFonts w:hint="default" w:ascii="Arial" w:hAnsi="Arial" w:cs="Arial"/>
          <w:i/>
          <w:iCs/>
          <w:sz w:val="24"/>
          <w:szCs w:val="24"/>
        </w:rPr>
      </w:pPr>
      <w:r>
        <w:rPr>
          <w:rFonts w:hint="default" w:ascii="Arial" w:hAnsi="Arial" w:cs="Arial"/>
          <w:i/>
          <w:iCs/>
          <w:sz w:val="24"/>
          <w:szCs w:val="24"/>
        </w:rPr>
        <w:t xml:space="preserve">Table </w:t>
      </w:r>
      <w:r>
        <w:rPr>
          <w:rFonts w:hint="default" w:ascii="Arial" w:hAnsi="Arial" w:cs="Arial"/>
          <w:i/>
          <w:iCs/>
          <w:sz w:val="24"/>
          <w:szCs w:val="24"/>
        </w:rPr>
        <w:fldChar w:fldCharType="begin"/>
      </w:r>
      <w:r>
        <w:rPr>
          <w:rFonts w:hint="default" w:ascii="Arial" w:hAnsi="Arial" w:cs="Arial"/>
          <w:i/>
          <w:iCs/>
          <w:sz w:val="24"/>
          <w:szCs w:val="24"/>
        </w:rPr>
        <w:instrText xml:space="preserve"> SEQ Table \* ARABIC </w:instrText>
      </w:r>
      <w:r>
        <w:rPr>
          <w:rFonts w:hint="default" w:ascii="Arial" w:hAnsi="Arial" w:cs="Arial"/>
          <w:i/>
          <w:iCs/>
          <w:sz w:val="24"/>
          <w:szCs w:val="24"/>
        </w:rPr>
        <w:fldChar w:fldCharType="separate"/>
      </w:r>
      <w:r>
        <w:rPr>
          <w:rFonts w:hint="default" w:ascii="Arial" w:hAnsi="Arial" w:cs="Arial"/>
          <w:i/>
          <w:iCs/>
          <w:sz w:val="24"/>
          <w:szCs w:val="24"/>
        </w:rPr>
        <w:t>1</w:t>
      </w:r>
      <w:r>
        <w:rPr>
          <w:rFonts w:hint="default" w:ascii="Arial" w:hAnsi="Arial" w:cs="Arial"/>
          <w:sz w:val="24"/>
          <w:szCs w:val="24"/>
        </w:rPr>
        <w:fldChar w:fldCharType="end"/>
      </w:r>
      <w:r>
        <w:rPr>
          <w:rFonts w:hint="default" w:ascii="Arial" w:hAnsi="Arial" w:cs="Arial"/>
          <w:i/>
          <w:iCs/>
          <w:sz w:val="24"/>
          <w:szCs w:val="24"/>
        </w:rPr>
        <w:t>: Demographic Profile of respondents</w:t>
      </w:r>
    </w:p>
    <w:p w14:paraId="2249BD47">
      <w:pPr>
        <w:spacing w:line="480" w:lineRule="auto"/>
        <w:jc w:val="both"/>
        <w:rPr>
          <w:rFonts w:hint="default" w:ascii="Arial" w:hAnsi="Arial" w:cs="Arial" w:eastAsiaTheme="minorEastAsia"/>
          <w:sz w:val="24"/>
          <w:szCs w:val="24"/>
          <w:lang w:val="en-US" w:eastAsia="zh-CN"/>
        </w:rPr>
      </w:pPr>
      <w:r>
        <w:rPr>
          <w:rFonts w:hint="default" w:ascii="Arial" w:hAnsi="Arial" w:cs="Arial"/>
          <w:sz w:val="24"/>
          <w:szCs w:val="24"/>
        </w:rPr>
        <w:drawing>
          <wp:inline distT="0" distB="0" distL="114300" distR="114300">
            <wp:extent cx="4742180" cy="3255645"/>
            <wp:effectExtent l="4445" t="4445" r="8255" b="16510"/>
            <wp:docPr id="3" name="图表 2" descr="7b0a202020202263686172745265734964223a20223230343732313936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hint="eastAsia" w:ascii="Arial" w:hAnsi="Arial" w:cs="Arial"/>
          <w:sz w:val="24"/>
          <w:szCs w:val="24"/>
          <w:lang w:val="en-US" w:eastAsia="zh-CN"/>
        </w:rPr>
        <w:t>graphics 1</w:t>
      </w:r>
    </w:p>
    <w:p w14:paraId="6891FAD8">
      <w:pPr>
        <w:spacing w:line="480" w:lineRule="auto"/>
        <w:jc w:val="both"/>
        <w:rPr>
          <w:rFonts w:hint="default" w:ascii="Arial" w:hAnsi="Arial" w:cs="Arial" w:eastAsiaTheme="minorEastAsia"/>
          <w:sz w:val="24"/>
          <w:szCs w:val="24"/>
          <w:lang w:val="en-US" w:eastAsia="zh-CN"/>
        </w:rPr>
      </w:pPr>
      <w:r>
        <w:rPr>
          <w:rFonts w:hint="default" w:ascii="Arial" w:hAnsi="Arial" w:cs="Arial"/>
          <w:sz w:val="24"/>
          <w:szCs w:val="24"/>
        </w:rPr>
        <w:drawing>
          <wp:inline distT="0" distB="0" distL="114300" distR="114300">
            <wp:extent cx="5161915" cy="2752090"/>
            <wp:effectExtent l="4445" t="4445" r="15240" b="17145"/>
            <wp:docPr id="4" name="图表 2" descr="7b0a202020202263686172745265734964223a20223230343732313936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hint="eastAsia" w:ascii="Arial" w:hAnsi="Arial" w:cs="Arial"/>
          <w:sz w:val="24"/>
          <w:szCs w:val="24"/>
          <w:lang w:val="en-US" w:eastAsia="zh-CN"/>
        </w:rPr>
        <w:t>graphics 2</w:t>
      </w:r>
    </w:p>
    <w:p w14:paraId="50C2DEA0">
      <w:pPr>
        <w:spacing w:line="480" w:lineRule="auto"/>
        <w:jc w:val="both"/>
        <w:rPr>
          <w:rFonts w:hint="default" w:ascii="Arial" w:hAnsi="Arial" w:cs="Arial" w:eastAsiaTheme="minorEastAsia"/>
          <w:sz w:val="24"/>
          <w:szCs w:val="24"/>
          <w:lang w:val="en-US" w:eastAsia="zh-CN"/>
        </w:rPr>
      </w:pPr>
      <w:r>
        <w:rPr>
          <w:rFonts w:hint="default" w:ascii="Arial" w:hAnsi="Arial" w:cs="Arial"/>
          <w:sz w:val="24"/>
          <w:szCs w:val="24"/>
        </w:rPr>
        <w:drawing>
          <wp:inline distT="0" distB="0" distL="114300" distR="114300">
            <wp:extent cx="5191760" cy="2948940"/>
            <wp:effectExtent l="4445" t="4445" r="15875" b="18415"/>
            <wp:docPr id="5" name="图表 2" descr="7b0a202020202263686172745265734964223a20223230343732313936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rFonts w:hint="default" w:ascii="Arial" w:hAnsi="Arial" w:cs="Arial"/>
          <w:sz w:val="24"/>
          <w:szCs w:val="24"/>
        </w:rPr>
        <w:t>graphics</w:t>
      </w:r>
      <w:r>
        <w:rPr>
          <w:rFonts w:hint="eastAsia" w:ascii="Arial" w:hAnsi="Arial" w:cs="Arial"/>
          <w:sz w:val="24"/>
          <w:szCs w:val="24"/>
          <w:lang w:val="en-US" w:eastAsia="zh-CN"/>
        </w:rPr>
        <w:t xml:space="preserve"> 3</w:t>
      </w:r>
    </w:p>
    <w:p w14:paraId="3CB1C3B5">
      <w:pPr>
        <w:spacing w:line="480" w:lineRule="auto"/>
        <w:jc w:val="both"/>
        <w:rPr>
          <w:rFonts w:hint="eastAsia" w:ascii="Arial" w:hAnsi="Arial" w:cs="Arial" w:eastAsiaTheme="minorEastAsia"/>
          <w:sz w:val="24"/>
          <w:szCs w:val="24"/>
          <w:lang w:val="en-US" w:eastAsia="zh-CN"/>
        </w:rPr>
      </w:pPr>
      <w:r>
        <w:rPr>
          <w:rFonts w:hint="default" w:ascii="Arial" w:hAnsi="Arial" w:cs="Arial"/>
          <w:sz w:val="24"/>
          <w:szCs w:val="24"/>
        </w:rPr>
        <w:drawing>
          <wp:inline distT="0" distB="0" distL="114300" distR="114300">
            <wp:extent cx="4826000" cy="2743200"/>
            <wp:effectExtent l="4445" t="4445" r="15875" b="10795"/>
            <wp:docPr id="6" name="图表 3" descr="7b0a202020202263686172745265734964223a20223230343732313936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rFonts w:hint="default" w:ascii="Arial" w:hAnsi="Arial" w:cs="Arial"/>
          <w:sz w:val="24"/>
          <w:szCs w:val="24"/>
        </w:rPr>
        <w:t>graphics</w:t>
      </w:r>
      <w:r>
        <w:rPr>
          <w:rFonts w:hint="eastAsia" w:ascii="Arial" w:hAnsi="Arial" w:cs="Arial"/>
          <w:sz w:val="24"/>
          <w:szCs w:val="24"/>
          <w:lang w:val="en-US" w:eastAsia="zh-CN"/>
        </w:rPr>
        <w:t xml:space="preserve"> </w:t>
      </w:r>
      <w:bookmarkStart w:id="63" w:name="_GoBack"/>
      <w:bookmarkEnd w:id="63"/>
      <w:r>
        <w:rPr>
          <w:rFonts w:hint="eastAsia" w:ascii="Arial" w:hAnsi="Arial" w:cs="Arial"/>
          <w:sz w:val="24"/>
          <w:szCs w:val="24"/>
          <w:lang w:val="en-US" w:eastAsia="zh-CN"/>
        </w:rPr>
        <w:t>4</w:t>
      </w:r>
    </w:p>
    <w:p w14:paraId="50F6FD71">
      <w:pPr>
        <w:spacing w:line="480" w:lineRule="auto"/>
        <w:jc w:val="both"/>
        <w:rPr>
          <w:rFonts w:hint="default" w:ascii="Arial" w:hAnsi="Arial" w:cs="Arial"/>
          <w:sz w:val="24"/>
          <w:szCs w:val="24"/>
        </w:rPr>
      </w:pPr>
      <w:r>
        <w:rPr>
          <w:rFonts w:hint="default" w:ascii="Arial" w:hAnsi="Arial" w:cs="Arial"/>
          <w:sz w:val="24"/>
          <w:szCs w:val="24"/>
        </w:rPr>
        <w:t>Table 1 shows that 67% of responses are men and majority of respondents belong to age group 26-35. The educational qualifications of majority of respondents are graduate as 52% respondents have graduation degree. Also, the majority of respondents are professional workers who are working in Chinese companies. The demographic summary of respondents is male belong to age group of 26-35 with graduate degree.</w:t>
      </w:r>
    </w:p>
    <w:p w14:paraId="2E65ABF9">
      <w:pPr>
        <w:numPr>
          <w:ilvl w:val="0"/>
          <w:numId w:val="0"/>
        </w:numPr>
        <w:spacing w:line="480" w:lineRule="auto"/>
        <w:ind w:left="432" w:leftChars="0"/>
        <w:jc w:val="both"/>
        <w:outlineLvl w:val="0"/>
        <w:rPr>
          <w:rFonts w:hint="default" w:ascii="Arial" w:hAnsi="Arial" w:cs="Arial" w:eastAsiaTheme="majorEastAsia"/>
          <w:b/>
          <w:color w:val="1F4E79" w:themeColor="accent1" w:themeShade="80"/>
          <w:sz w:val="24"/>
          <w:szCs w:val="24"/>
          <w:lang w:val="en-US" w:eastAsia="en-US" w:bidi="ar-SA"/>
        </w:rPr>
      </w:pPr>
      <w:bookmarkStart w:id="48" w:name="_Toc24744"/>
      <w:r>
        <w:rPr>
          <w:rFonts w:hint="eastAsia" w:ascii="Arial" w:hAnsi="Arial" w:cs="Arial" w:eastAsiaTheme="majorEastAsia"/>
          <w:b/>
          <w:color w:val="1F4E79" w:themeColor="accent1" w:themeShade="80"/>
          <w:sz w:val="24"/>
          <w:szCs w:val="24"/>
          <w:lang w:val="en-US" w:eastAsia="zh-CN" w:bidi="ar-SA"/>
        </w:rPr>
        <w:t xml:space="preserve">4.1.1 </w:t>
      </w:r>
      <w:r>
        <w:rPr>
          <w:rFonts w:hint="default" w:ascii="Arial" w:hAnsi="Arial" w:cs="Arial" w:eastAsiaTheme="majorEastAsia"/>
          <w:b/>
          <w:color w:val="1F4E79" w:themeColor="accent1" w:themeShade="80"/>
          <w:sz w:val="24"/>
          <w:szCs w:val="24"/>
          <w:lang w:val="en-US" w:eastAsia="en-US" w:bidi="ar-SA"/>
        </w:rPr>
        <w:t>Reliability</w:t>
      </w:r>
      <w:bookmarkEnd w:id="48"/>
      <w:r>
        <w:rPr>
          <w:rFonts w:hint="default" w:ascii="Arial" w:hAnsi="Arial" w:cs="Arial" w:eastAsiaTheme="majorEastAsia"/>
          <w:b/>
          <w:color w:val="1F4E79" w:themeColor="accent1" w:themeShade="80"/>
          <w:sz w:val="24"/>
          <w:szCs w:val="24"/>
          <w:lang w:val="en-US" w:eastAsia="en-US" w:bidi="ar-SA"/>
        </w:rPr>
        <w:t xml:space="preserve"> </w:t>
      </w:r>
    </w:p>
    <w:p w14:paraId="0D8333B8">
      <w:pPr>
        <w:spacing w:line="480" w:lineRule="auto"/>
        <w:jc w:val="both"/>
        <w:rPr>
          <w:rFonts w:hint="default" w:ascii="Arial" w:hAnsi="Arial" w:cs="Arial"/>
          <w:sz w:val="24"/>
          <w:szCs w:val="24"/>
        </w:rPr>
      </w:pPr>
      <w:r>
        <w:rPr>
          <w:rFonts w:hint="default" w:ascii="Arial" w:hAnsi="Arial" w:cs="Arial"/>
          <w:sz w:val="24"/>
          <w:szCs w:val="24"/>
        </w:rPr>
        <w:t xml:space="preserve">To present the reliability of survey responses, the Cronbach’s alpha test is conducted in SPSS to signify the internal consistency of questionnaire items. The perceived ESG, challenges and financial risk performances are used to present the responses. The threshold value for demonstrating reliability is value greater than 0.7 which signifies the reliability of items. </w:t>
      </w:r>
    </w:p>
    <w:p w14:paraId="7D63DF86">
      <w:pPr>
        <w:spacing w:line="480" w:lineRule="auto"/>
        <w:jc w:val="both"/>
        <w:rPr>
          <w:rFonts w:hint="default" w:ascii="Arial" w:hAnsi="Arial" w:cs="Arial"/>
          <w:sz w:val="24"/>
          <w:szCs w:val="24"/>
        </w:rPr>
      </w:pPr>
    </w:p>
    <w:p w14:paraId="7B831508">
      <w:pPr>
        <w:spacing w:line="480" w:lineRule="auto"/>
        <w:jc w:val="both"/>
        <w:rPr>
          <w:rFonts w:hint="default" w:ascii="Arial" w:hAnsi="Arial" w:cs="Arial"/>
          <w:sz w:val="24"/>
          <w:szCs w:val="24"/>
        </w:rPr>
      </w:pPr>
    </w:p>
    <w:tbl>
      <w:tblPr>
        <w:tblStyle w:val="20"/>
        <w:tblW w:w="4052"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288"/>
        <w:gridCol w:w="1764"/>
      </w:tblGrid>
      <w:tr w14:paraId="75914F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239" w:hRule="atLeast"/>
        </w:trPr>
        <w:tc>
          <w:tcPr>
            <w:tcW w:w="4052" w:type="dxa"/>
            <w:gridSpan w:val="2"/>
            <w:tcBorders>
              <w:top w:val="nil"/>
              <w:left w:val="nil"/>
              <w:bottom w:val="nil"/>
              <w:right w:val="nil"/>
            </w:tcBorders>
            <w:shd w:val="clear" w:color="auto" w:fill="FFFFFF"/>
          </w:tcPr>
          <w:p w14:paraId="6ECACFC3">
            <w:pPr>
              <w:spacing w:line="480" w:lineRule="auto"/>
              <w:jc w:val="both"/>
              <w:rPr>
                <w:rFonts w:hint="default" w:ascii="Arial" w:hAnsi="Arial" w:cs="Arial"/>
                <w:sz w:val="24"/>
                <w:szCs w:val="24"/>
              </w:rPr>
            </w:pPr>
            <w:r>
              <w:rPr>
                <w:rFonts w:hint="default" w:ascii="Arial" w:hAnsi="Arial" w:cs="Arial"/>
                <w:b/>
                <w:bCs/>
                <w:sz w:val="24"/>
                <w:szCs w:val="24"/>
              </w:rPr>
              <w:t>Reliability Statistics</w:t>
            </w:r>
          </w:p>
        </w:tc>
      </w:tr>
      <w:tr w14:paraId="51E78C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479" w:hRule="atLeast"/>
        </w:trPr>
        <w:tc>
          <w:tcPr>
            <w:tcW w:w="2288" w:type="dxa"/>
            <w:tcBorders>
              <w:top w:val="single" w:color="000000" w:sz="16" w:space="0"/>
              <w:left w:val="single" w:color="000000" w:sz="16" w:space="0"/>
              <w:bottom w:val="single" w:color="000000" w:sz="16" w:space="0"/>
            </w:tcBorders>
            <w:shd w:val="clear" w:color="auto" w:fill="FFFFFF"/>
          </w:tcPr>
          <w:p w14:paraId="62A0A525">
            <w:pPr>
              <w:spacing w:line="480" w:lineRule="auto"/>
              <w:jc w:val="both"/>
              <w:rPr>
                <w:rFonts w:hint="default" w:ascii="Arial" w:hAnsi="Arial" w:cs="Arial"/>
                <w:sz w:val="24"/>
                <w:szCs w:val="24"/>
              </w:rPr>
            </w:pPr>
            <w:r>
              <w:rPr>
                <w:rFonts w:hint="default" w:ascii="Arial" w:hAnsi="Arial" w:cs="Arial"/>
                <w:sz w:val="24"/>
                <w:szCs w:val="24"/>
              </w:rPr>
              <w:t>Cronbach's Alpha</w:t>
            </w:r>
          </w:p>
        </w:tc>
        <w:tc>
          <w:tcPr>
            <w:tcW w:w="1763" w:type="dxa"/>
            <w:tcBorders>
              <w:top w:val="single" w:color="000000" w:sz="16" w:space="0"/>
              <w:bottom w:val="single" w:color="000000" w:sz="16" w:space="0"/>
              <w:right w:val="single" w:color="000000" w:sz="16" w:space="0"/>
            </w:tcBorders>
            <w:shd w:val="clear" w:color="auto" w:fill="FFFFFF"/>
          </w:tcPr>
          <w:p w14:paraId="47EC5E39">
            <w:pPr>
              <w:spacing w:line="480" w:lineRule="auto"/>
              <w:jc w:val="both"/>
              <w:rPr>
                <w:rFonts w:hint="default" w:ascii="Arial" w:hAnsi="Arial" w:cs="Arial"/>
                <w:sz w:val="24"/>
                <w:szCs w:val="24"/>
              </w:rPr>
            </w:pPr>
            <w:r>
              <w:rPr>
                <w:rFonts w:hint="default" w:ascii="Arial" w:hAnsi="Arial" w:cs="Arial"/>
                <w:sz w:val="24"/>
                <w:szCs w:val="24"/>
              </w:rPr>
              <w:t>N of Items</w:t>
            </w:r>
          </w:p>
        </w:tc>
      </w:tr>
      <w:tr w14:paraId="5A96E4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228" w:hRule="atLeast"/>
        </w:trPr>
        <w:tc>
          <w:tcPr>
            <w:tcW w:w="2288" w:type="dxa"/>
            <w:tcBorders>
              <w:top w:val="single" w:color="000000" w:sz="16" w:space="0"/>
              <w:left w:val="single" w:color="000000" w:sz="16" w:space="0"/>
              <w:bottom w:val="single" w:color="000000" w:sz="16" w:space="0"/>
            </w:tcBorders>
            <w:shd w:val="clear" w:color="auto" w:fill="FFFFFF"/>
          </w:tcPr>
          <w:p w14:paraId="3AF74BD1">
            <w:pPr>
              <w:spacing w:line="480" w:lineRule="auto"/>
              <w:jc w:val="both"/>
              <w:rPr>
                <w:rFonts w:hint="default" w:ascii="Arial" w:hAnsi="Arial" w:cs="Arial"/>
                <w:sz w:val="24"/>
                <w:szCs w:val="24"/>
              </w:rPr>
            </w:pPr>
            <w:r>
              <w:rPr>
                <w:rFonts w:hint="default" w:ascii="Arial" w:hAnsi="Arial" w:cs="Arial"/>
                <w:sz w:val="24"/>
                <w:szCs w:val="24"/>
              </w:rPr>
              <w:t>.922</w:t>
            </w:r>
          </w:p>
        </w:tc>
        <w:tc>
          <w:tcPr>
            <w:tcW w:w="1763" w:type="dxa"/>
            <w:tcBorders>
              <w:top w:val="single" w:color="000000" w:sz="16" w:space="0"/>
              <w:bottom w:val="single" w:color="000000" w:sz="16" w:space="0"/>
              <w:right w:val="single" w:color="000000" w:sz="16" w:space="0"/>
            </w:tcBorders>
            <w:shd w:val="clear" w:color="auto" w:fill="FFFFFF"/>
          </w:tcPr>
          <w:p w14:paraId="3C246080">
            <w:pPr>
              <w:spacing w:line="480" w:lineRule="auto"/>
              <w:jc w:val="both"/>
              <w:rPr>
                <w:rFonts w:hint="default" w:ascii="Arial" w:hAnsi="Arial" w:cs="Arial"/>
                <w:sz w:val="24"/>
                <w:szCs w:val="24"/>
              </w:rPr>
            </w:pPr>
            <w:r>
              <w:rPr>
                <w:rFonts w:hint="default" w:ascii="Arial" w:hAnsi="Arial" w:cs="Arial"/>
                <w:sz w:val="24"/>
                <w:szCs w:val="24"/>
              </w:rPr>
              <w:t>12</w:t>
            </w:r>
          </w:p>
        </w:tc>
      </w:tr>
    </w:tbl>
    <w:p w14:paraId="69CC69BE">
      <w:pPr>
        <w:spacing w:line="480" w:lineRule="auto"/>
        <w:jc w:val="both"/>
        <w:rPr>
          <w:rFonts w:hint="default" w:ascii="Arial" w:hAnsi="Arial" w:cs="Arial"/>
          <w:i/>
          <w:iCs/>
          <w:sz w:val="24"/>
          <w:szCs w:val="24"/>
        </w:rPr>
      </w:pPr>
      <w:r>
        <w:rPr>
          <w:rFonts w:hint="default" w:ascii="Arial" w:hAnsi="Arial" w:cs="Arial"/>
          <w:i/>
          <w:iCs/>
          <w:sz w:val="24"/>
          <w:szCs w:val="24"/>
        </w:rPr>
        <w:t xml:space="preserve">Table </w:t>
      </w:r>
      <w:r>
        <w:rPr>
          <w:rFonts w:hint="default" w:ascii="Arial" w:hAnsi="Arial" w:cs="Arial"/>
          <w:i/>
          <w:iCs/>
          <w:sz w:val="24"/>
          <w:szCs w:val="24"/>
        </w:rPr>
        <w:fldChar w:fldCharType="begin"/>
      </w:r>
      <w:r>
        <w:rPr>
          <w:rFonts w:hint="default" w:ascii="Arial" w:hAnsi="Arial" w:cs="Arial"/>
          <w:i/>
          <w:iCs/>
          <w:sz w:val="24"/>
          <w:szCs w:val="24"/>
        </w:rPr>
        <w:instrText xml:space="preserve"> SEQ Table \* ARABIC </w:instrText>
      </w:r>
      <w:r>
        <w:rPr>
          <w:rFonts w:hint="default" w:ascii="Arial" w:hAnsi="Arial" w:cs="Arial"/>
          <w:i/>
          <w:iCs/>
          <w:sz w:val="24"/>
          <w:szCs w:val="24"/>
        </w:rPr>
        <w:fldChar w:fldCharType="separate"/>
      </w:r>
      <w:r>
        <w:rPr>
          <w:rFonts w:hint="default" w:ascii="Arial" w:hAnsi="Arial" w:cs="Arial"/>
          <w:i/>
          <w:iCs/>
          <w:sz w:val="24"/>
          <w:szCs w:val="24"/>
        </w:rPr>
        <w:t>2</w:t>
      </w:r>
      <w:r>
        <w:rPr>
          <w:rFonts w:hint="default" w:ascii="Arial" w:hAnsi="Arial" w:cs="Arial"/>
          <w:sz w:val="24"/>
          <w:szCs w:val="24"/>
        </w:rPr>
        <w:fldChar w:fldCharType="end"/>
      </w:r>
      <w:r>
        <w:rPr>
          <w:rFonts w:hint="default" w:ascii="Arial" w:hAnsi="Arial" w:cs="Arial"/>
          <w:i/>
          <w:iCs/>
          <w:sz w:val="24"/>
          <w:szCs w:val="24"/>
        </w:rPr>
        <w:t>: Reliability</w:t>
      </w:r>
    </w:p>
    <w:p w14:paraId="620185A6">
      <w:pPr>
        <w:spacing w:line="480" w:lineRule="auto"/>
        <w:jc w:val="both"/>
        <w:rPr>
          <w:rFonts w:hint="default" w:ascii="Arial" w:hAnsi="Arial" w:cs="Arial"/>
          <w:sz w:val="24"/>
          <w:szCs w:val="24"/>
        </w:rPr>
      </w:pPr>
      <w:r>
        <w:rPr>
          <w:rFonts w:hint="default" w:ascii="Arial" w:hAnsi="Arial" w:cs="Arial"/>
          <w:sz w:val="24"/>
          <w:szCs w:val="24"/>
        </w:rPr>
        <w:t xml:space="preserve">Table 2 shows Cronbach’s alpha is above 0.7 which shows that items are internally consistent in questionnaire. This is generally acceptable for reliability of scale where items are highly correlated and measuring the underlying constructs. </w:t>
      </w:r>
    </w:p>
    <w:p w14:paraId="6F711329">
      <w:pPr>
        <w:spacing w:line="480" w:lineRule="auto"/>
        <w:jc w:val="both"/>
        <w:rPr>
          <w:rFonts w:hint="default" w:ascii="Arial" w:hAnsi="Arial" w:cs="Arial"/>
          <w:sz w:val="24"/>
          <w:szCs w:val="24"/>
        </w:rPr>
      </w:pPr>
    </w:p>
    <w:tbl>
      <w:tblPr>
        <w:tblStyle w:val="20"/>
        <w:tblW w:w="93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41"/>
        <w:gridCol w:w="2090"/>
        <w:gridCol w:w="1800"/>
        <w:gridCol w:w="1771"/>
        <w:gridCol w:w="1963"/>
      </w:tblGrid>
      <w:tr w14:paraId="6BD9E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9365" w:type="dxa"/>
            <w:gridSpan w:val="5"/>
            <w:shd w:val="clear" w:color="auto" w:fill="FFFFFF"/>
          </w:tcPr>
          <w:p w14:paraId="5FF8EE46">
            <w:pPr>
              <w:spacing w:line="480" w:lineRule="auto"/>
              <w:jc w:val="both"/>
              <w:rPr>
                <w:rFonts w:hint="default" w:ascii="Arial" w:hAnsi="Arial" w:cs="Arial"/>
                <w:sz w:val="24"/>
                <w:szCs w:val="24"/>
              </w:rPr>
            </w:pPr>
            <w:r>
              <w:rPr>
                <w:rFonts w:hint="default" w:ascii="Arial" w:hAnsi="Arial" w:cs="Arial"/>
                <w:b/>
                <w:bCs/>
                <w:sz w:val="24"/>
                <w:szCs w:val="24"/>
              </w:rPr>
              <w:t>Item-Total Statistics</w:t>
            </w:r>
          </w:p>
        </w:tc>
      </w:tr>
      <w:tr w14:paraId="6A4F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tcPr>
          <w:p w14:paraId="207EC0E4">
            <w:pPr>
              <w:spacing w:line="480" w:lineRule="auto"/>
              <w:jc w:val="both"/>
              <w:rPr>
                <w:rFonts w:hint="default" w:ascii="Arial" w:hAnsi="Arial" w:cs="Arial"/>
                <w:sz w:val="24"/>
                <w:szCs w:val="24"/>
              </w:rPr>
            </w:pPr>
          </w:p>
        </w:tc>
        <w:tc>
          <w:tcPr>
            <w:tcW w:w="2090" w:type="dxa"/>
            <w:shd w:val="clear" w:color="auto" w:fill="FFFFFF"/>
          </w:tcPr>
          <w:p w14:paraId="39BAB947">
            <w:pPr>
              <w:spacing w:line="480" w:lineRule="auto"/>
              <w:jc w:val="both"/>
              <w:rPr>
                <w:rFonts w:hint="default" w:ascii="Arial" w:hAnsi="Arial" w:cs="Arial"/>
                <w:sz w:val="24"/>
                <w:szCs w:val="24"/>
              </w:rPr>
            </w:pPr>
            <w:r>
              <w:rPr>
                <w:rFonts w:hint="default" w:ascii="Arial" w:hAnsi="Arial" w:cs="Arial"/>
                <w:sz w:val="24"/>
                <w:szCs w:val="24"/>
              </w:rPr>
              <w:t>Scale Mean</w:t>
            </w:r>
            <w:r>
              <w:rPr>
                <w:rFonts w:hint="default" w:ascii="Arial" w:hAnsi="Arial" w:cs="Arial"/>
                <w:sz w:val="24"/>
                <w:szCs w:val="24"/>
                <w:lang w:val="en-US" w:eastAsia="zh-CN"/>
              </w:rPr>
              <w:t xml:space="preserve"> </w:t>
            </w:r>
            <w:r>
              <w:rPr>
                <w:rFonts w:hint="default" w:ascii="Arial" w:hAnsi="Arial" w:cs="Arial"/>
                <w:sz w:val="24"/>
                <w:szCs w:val="24"/>
              </w:rPr>
              <w:t>if Item Deleted</w:t>
            </w:r>
          </w:p>
        </w:tc>
        <w:tc>
          <w:tcPr>
            <w:tcW w:w="1800" w:type="dxa"/>
            <w:shd w:val="clear" w:color="auto" w:fill="FFFFFF"/>
          </w:tcPr>
          <w:p w14:paraId="4B62B973">
            <w:pPr>
              <w:spacing w:line="480" w:lineRule="auto"/>
              <w:jc w:val="both"/>
              <w:rPr>
                <w:rFonts w:hint="default" w:ascii="Arial" w:hAnsi="Arial" w:cs="Arial"/>
                <w:sz w:val="24"/>
                <w:szCs w:val="24"/>
              </w:rPr>
            </w:pPr>
            <w:r>
              <w:rPr>
                <w:rFonts w:hint="default" w:ascii="Arial" w:hAnsi="Arial" w:cs="Arial"/>
                <w:sz w:val="24"/>
                <w:szCs w:val="24"/>
              </w:rPr>
              <w:t>Scale Variance if Item Deleted</w:t>
            </w:r>
          </w:p>
        </w:tc>
        <w:tc>
          <w:tcPr>
            <w:tcW w:w="1771" w:type="dxa"/>
            <w:shd w:val="clear" w:color="auto" w:fill="FFFFFF"/>
          </w:tcPr>
          <w:p w14:paraId="257156C2">
            <w:pPr>
              <w:spacing w:line="480" w:lineRule="auto"/>
              <w:jc w:val="both"/>
              <w:rPr>
                <w:rFonts w:hint="default" w:ascii="Arial" w:hAnsi="Arial" w:cs="Arial"/>
                <w:sz w:val="24"/>
                <w:szCs w:val="24"/>
              </w:rPr>
            </w:pPr>
            <w:r>
              <w:rPr>
                <w:rFonts w:hint="default" w:ascii="Arial" w:hAnsi="Arial" w:cs="Arial"/>
                <w:sz w:val="24"/>
                <w:szCs w:val="24"/>
              </w:rPr>
              <w:t>Corrected Item-Total Correlation</w:t>
            </w:r>
          </w:p>
        </w:tc>
        <w:tc>
          <w:tcPr>
            <w:tcW w:w="1820" w:type="dxa"/>
            <w:shd w:val="clear" w:color="auto" w:fill="FFFFFF"/>
          </w:tcPr>
          <w:p w14:paraId="081A0C20">
            <w:pPr>
              <w:spacing w:line="480" w:lineRule="auto"/>
              <w:jc w:val="both"/>
              <w:rPr>
                <w:rFonts w:hint="default" w:ascii="Arial" w:hAnsi="Arial" w:cs="Arial"/>
                <w:sz w:val="24"/>
                <w:szCs w:val="24"/>
              </w:rPr>
            </w:pPr>
            <w:r>
              <w:rPr>
                <w:rFonts w:hint="default" w:ascii="Arial" w:hAnsi="Arial" w:cs="Arial"/>
                <w:sz w:val="24"/>
                <w:szCs w:val="24"/>
              </w:rPr>
              <w:t>Cronbach's Alpha if Item Deleted</w:t>
            </w:r>
          </w:p>
        </w:tc>
      </w:tr>
      <w:tr w14:paraId="0EF76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tcPr>
          <w:p w14:paraId="1233E18A">
            <w:pPr>
              <w:spacing w:line="480" w:lineRule="auto"/>
              <w:jc w:val="both"/>
              <w:rPr>
                <w:rFonts w:hint="default" w:ascii="Arial" w:hAnsi="Arial" w:cs="Arial"/>
                <w:b/>
                <w:sz w:val="24"/>
                <w:szCs w:val="24"/>
              </w:rPr>
            </w:pPr>
            <w:r>
              <w:rPr>
                <w:rFonts w:hint="default" w:ascii="Arial" w:hAnsi="Arial" w:cs="Arial"/>
                <w:b/>
                <w:sz w:val="24"/>
                <w:szCs w:val="24"/>
              </w:rPr>
              <w:t xml:space="preserve">Perceived ESG </w:t>
            </w:r>
          </w:p>
        </w:tc>
        <w:tc>
          <w:tcPr>
            <w:tcW w:w="2090" w:type="dxa"/>
            <w:shd w:val="clear" w:color="auto" w:fill="FFFFFF"/>
          </w:tcPr>
          <w:p w14:paraId="6B601577">
            <w:pPr>
              <w:spacing w:line="480" w:lineRule="auto"/>
              <w:jc w:val="both"/>
              <w:rPr>
                <w:rFonts w:hint="default" w:ascii="Arial" w:hAnsi="Arial" w:cs="Arial"/>
                <w:sz w:val="24"/>
                <w:szCs w:val="24"/>
              </w:rPr>
            </w:pPr>
          </w:p>
        </w:tc>
        <w:tc>
          <w:tcPr>
            <w:tcW w:w="1800" w:type="dxa"/>
            <w:shd w:val="clear" w:color="auto" w:fill="FFFFFF"/>
          </w:tcPr>
          <w:p w14:paraId="6024681F">
            <w:pPr>
              <w:spacing w:line="480" w:lineRule="auto"/>
              <w:jc w:val="both"/>
              <w:rPr>
                <w:rFonts w:hint="default" w:ascii="Arial" w:hAnsi="Arial" w:cs="Arial"/>
                <w:sz w:val="24"/>
                <w:szCs w:val="24"/>
              </w:rPr>
            </w:pPr>
          </w:p>
        </w:tc>
        <w:tc>
          <w:tcPr>
            <w:tcW w:w="1771" w:type="dxa"/>
            <w:shd w:val="clear" w:color="auto" w:fill="FFFFFF"/>
          </w:tcPr>
          <w:p w14:paraId="6FBB4AB2">
            <w:pPr>
              <w:spacing w:line="480" w:lineRule="auto"/>
              <w:jc w:val="both"/>
              <w:rPr>
                <w:rFonts w:hint="default" w:ascii="Arial" w:hAnsi="Arial" w:cs="Arial"/>
                <w:sz w:val="24"/>
                <w:szCs w:val="24"/>
              </w:rPr>
            </w:pPr>
          </w:p>
        </w:tc>
        <w:tc>
          <w:tcPr>
            <w:tcW w:w="1820" w:type="dxa"/>
            <w:shd w:val="clear" w:color="auto" w:fill="FFFFFF"/>
          </w:tcPr>
          <w:p w14:paraId="7F2D7BE8">
            <w:pPr>
              <w:spacing w:line="480" w:lineRule="auto"/>
              <w:jc w:val="both"/>
              <w:rPr>
                <w:rFonts w:hint="default" w:ascii="Arial" w:hAnsi="Arial" w:cs="Arial"/>
                <w:sz w:val="24"/>
                <w:szCs w:val="24"/>
              </w:rPr>
            </w:pPr>
          </w:p>
        </w:tc>
      </w:tr>
      <w:tr w14:paraId="64D54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4524B8A8">
            <w:pPr>
              <w:spacing w:line="480" w:lineRule="auto"/>
              <w:jc w:val="both"/>
              <w:rPr>
                <w:rFonts w:hint="default" w:ascii="Arial" w:hAnsi="Arial" w:cs="Arial"/>
                <w:sz w:val="24"/>
                <w:szCs w:val="24"/>
              </w:rPr>
            </w:pPr>
            <w:r>
              <w:rPr>
                <w:rFonts w:hint="default" w:ascii="Arial" w:hAnsi="Arial" w:cs="Arial"/>
                <w:sz w:val="24"/>
                <w:szCs w:val="24"/>
              </w:rPr>
              <w:t>PESG1</w:t>
            </w:r>
          </w:p>
        </w:tc>
        <w:tc>
          <w:tcPr>
            <w:tcW w:w="2090" w:type="dxa"/>
            <w:shd w:val="clear" w:color="auto" w:fill="FFFFFF"/>
          </w:tcPr>
          <w:p w14:paraId="2CCCE64A">
            <w:pPr>
              <w:spacing w:line="480" w:lineRule="auto"/>
              <w:jc w:val="both"/>
              <w:rPr>
                <w:rFonts w:hint="default" w:ascii="Arial" w:hAnsi="Arial" w:cs="Arial"/>
                <w:sz w:val="24"/>
                <w:szCs w:val="24"/>
              </w:rPr>
            </w:pPr>
            <w:r>
              <w:rPr>
                <w:rFonts w:hint="default" w:ascii="Arial" w:hAnsi="Arial" w:cs="Arial"/>
                <w:sz w:val="24"/>
                <w:szCs w:val="24"/>
              </w:rPr>
              <w:t>39.9400</w:t>
            </w:r>
          </w:p>
        </w:tc>
        <w:tc>
          <w:tcPr>
            <w:tcW w:w="1800" w:type="dxa"/>
            <w:shd w:val="clear" w:color="auto" w:fill="FFFFFF"/>
          </w:tcPr>
          <w:p w14:paraId="4BAB75E1">
            <w:pPr>
              <w:spacing w:line="480" w:lineRule="auto"/>
              <w:jc w:val="both"/>
              <w:rPr>
                <w:rFonts w:hint="default" w:ascii="Arial" w:hAnsi="Arial" w:cs="Arial"/>
                <w:sz w:val="24"/>
                <w:szCs w:val="24"/>
              </w:rPr>
            </w:pPr>
            <w:r>
              <w:rPr>
                <w:rFonts w:hint="default" w:ascii="Arial" w:hAnsi="Arial" w:cs="Arial"/>
                <w:sz w:val="24"/>
                <w:szCs w:val="24"/>
              </w:rPr>
              <w:t>59.390</w:t>
            </w:r>
          </w:p>
        </w:tc>
        <w:tc>
          <w:tcPr>
            <w:tcW w:w="1771" w:type="dxa"/>
            <w:shd w:val="clear" w:color="auto" w:fill="FFFFFF"/>
          </w:tcPr>
          <w:p w14:paraId="0BD62025">
            <w:pPr>
              <w:spacing w:line="480" w:lineRule="auto"/>
              <w:jc w:val="both"/>
              <w:rPr>
                <w:rFonts w:hint="default" w:ascii="Arial" w:hAnsi="Arial" w:cs="Arial"/>
                <w:sz w:val="24"/>
                <w:szCs w:val="24"/>
              </w:rPr>
            </w:pPr>
            <w:r>
              <w:rPr>
                <w:rFonts w:hint="default" w:ascii="Arial" w:hAnsi="Arial" w:cs="Arial"/>
                <w:sz w:val="24"/>
                <w:szCs w:val="24"/>
              </w:rPr>
              <w:t>.661</w:t>
            </w:r>
          </w:p>
        </w:tc>
        <w:tc>
          <w:tcPr>
            <w:tcW w:w="1820" w:type="dxa"/>
            <w:shd w:val="clear" w:color="auto" w:fill="FFFFFF"/>
          </w:tcPr>
          <w:p w14:paraId="309BD208">
            <w:pPr>
              <w:spacing w:line="480" w:lineRule="auto"/>
              <w:jc w:val="both"/>
              <w:rPr>
                <w:rFonts w:hint="default" w:ascii="Arial" w:hAnsi="Arial" w:cs="Arial"/>
                <w:sz w:val="24"/>
                <w:szCs w:val="24"/>
              </w:rPr>
            </w:pPr>
            <w:r>
              <w:rPr>
                <w:rFonts w:hint="default" w:ascii="Arial" w:hAnsi="Arial" w:cs="Arial"/>
                <w:sz w:val="24"/>
                <w:szCs w:val="24"/>
              </w:rPr>
              <w:t>.916</w:t>
            </w:r>
          </w:p>
        </w:tc>
      </w:tr>
      <w:tr w14:paraId="1A818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64CFED31">
            <w:pPr>
              <w:spacing w:line="480" w:lineRule="auto"/>
              <w:jc w:val="both"/>
              <w:rPr>
                <w:rFonts w:hint="default" w:ascii="Arial" w:hAnsi="Arial" w:cs="Arial"/>
                <w:sz w:val="24"/>
                <w:szCs w:val="24"/>
              </w:rPr>
            </w:pPr>
            <w:r>
              <w:rPr>
                <w:rFonts w:hint="default" w:ascii="Arial" w:hAnsi="Arial" w:cs="Arial"/>
                <w:sz w:val="24"/>
                <w:szCs w:val="24"/>
              </w:rPr>
              <w:t>PESG2</w:t>
            </w:r>
          </w:p>
        </w:tc>
        <w:tc>
          <w:tcPr>
            <w:tcW w:w="2090" w:type="dxa"/>
            <w:shd w:val="clear" w:color="auto" w:fill="FFFFFF"/>
          </w:tcPr>
          <w:p w14:paraId="17CB4B51">
            <w:pPr>
              <w:spacing w:line="480" w:lineRule="auto"/>
              <w:jc w:val="both"/>
              <w:rPr>
                <w:rFonts w:hint="default" w:ascii="Arial" w:hAnsi="Arial" w:cs="Arial"/>
                <w:sz w:val="24"/>
                <w:szCs w:val="24"/>
              </w:rPr>
            </w:pPr>
            <w:r>
              <w:rPr>
                <w:rFonts w:hint="default" w:ascii="Arial" w:hAnsi="Arial" w:cs="Arial"/>
                <w:sz w:val="24"/>
                <w:szCs w:val="24"/>
              </w:rPr>
              <w:t>39.7800</w:t>
            </w:r>
          </w:p>
        </w:tc>
        <w:tc>
          <w:tcPr>
            <w:tcW w:w="1800" w:type="dxa"/>
            <w:shd w:val="clear" w:color="auto" w:fill="FFFFFF"/>
          </w:tcPr>
          <w:p w14:paraId="6D152615">
            <w:pPr>
              <w:spacing w:line="480" w:lineRule="auto"/>
              <w:jc w:val="both"/>
              <w:rPr>
                <w:rFonts w:hint="default" w:ascii="Arial" w:hAnsi="Arial" w:cs="Arial"/>
                <w:sz w:val="24"/>
                <w:szCs w:val="24"/>
              </w:rPr>
            </w:pPr>
            <w:r>
              <w:rPr>
                <w:rFonts w:hint="default" w:ascii="Arial" w:hAnsi="Arial" w:cs="Arial"/>
                <w:sz w:val="24"/>
                <w:szCs w:val="24"/>
              </w:rPr>
              <w:t>57.446</w:t>
            </w:r>
          </w:p>
        </w:tc>
        <w:tc>
          <w:tcPr>
            <w:tcW w:w="1771" w:type="dxa"/>
            <w:shd w:val="clear" w:color="auto" w:fill="FFFFFF"/>
          </w:tcPr>
          <w:p w14:paraId="5F62F4A7">
            <w:pPr>
              <w:spacing w:line="480" w:lineRule="auto"/>
              <w:jc w:val="both"/>
              <w:rPr>
                <w:rFonts w:hint="default" w:ascii="Arial" w:hAnsi="Arial" w:cs="Arial"/>
                <w:sz w:val="24"/>
                <w:szCs w:val="24"/>
              </w:rPr>
            </w:pPr>
            <w:r>
              <w:rPr>
                <w:rFonts w:hint="default" w:ascii="Arial" w:hAnsi="Arial" w:cs="Arial"/>
                <w:sz w:val="24"/>
                <w:szCs w:val="24"/>
              </w:rPr>
              <w:t>.707</w:t>
            </w:r>
          </w:p>
        </w:tc>
        <w:tc>
          <w:tcPr>
            <w:tcW w:w="1820" w:type="dxa"/>
            <w:shd w:val="clear" w:color="auto" w:fill="FFFFFF"/>
          </w:tcPr>
          <w:p w14:paraId="7250A2C6">
            <w:pPr>
              <w:spacing w:line="480" w:lineRule="auto"/>
              <w:jc w:val="both"/>
              <w:rPr>
                <w:rFonts w:hint="default" w:ascii="Arial" w:hAnsi="Arial" w:cs="Arial"/>
                <w:sz w:val="24"/>
                <w:szCs w:val="24"/>
              </w:rPr>
            </w:pPr>
            <w:r>
              <w:rPr>
                <w:rFonts w:hint="default" w:ascii="Arial" w:hAnsi="Arial" w:cs="Arial"/>
                <w:sz w:val="24"/>
                <w:szCs w:val="24"/>
              </w:rPr>
              <w:t>.914</w:t>
            </w:r>
          </w:p>
        </w:tc>
      </w:tr>
      <w:tr w14:paraId="20D79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76FDACEB">
            <w:pPr>
              <w:spacing w:line="480" w:lineRule="auto"/>
              <w:jc w:val="both"/>
              <w:rPr>
                <w:rFonts w:hint="default" w:ascii="Arial" w:hAnsi="Arial" w:cs="Arial"/>
                <w:sz w:val="24"/>
                <w:szCs w:val="24"/>
              </w:rPr>
            </w:pPr>
            <w:r>
              <w:rPr>
                <w:rFonts w:hint="default" w:ascii="Arial" w:hAnsi="Arial" w:cs="Arial"/>
                <w:sz w:val="24"/>
                <w:szCs w:val="24"/>
              </w:rPr>
              <w:t>PESG3</w:t>
            </w:r>
          </w:p>
        </w:tc>
        <w:tc>
          <w:tcPr>
            <w:tcW w:w="2090" w:type="dxa"/>
            <w:shd w:val="clear" w:color="auto" w:fill="FFFFFF"/>
          </w:tcPr>
          <w:p w14:paraId="7CDFB3CB">
            <w:pPr>
              <w:spacing w:line="480" w:lineRule="auto"/>
              <w:jc w:val="both"/>
              <w:rPr>
                <w:rFonts w:hint="default" w:ascii="Arial" w:hAnsi="Arial" w:cs="Arial"/>
                <w:sz w:val="24"/>
                <w:szCs w:val="24"/>
              </w:rPr>
            </w:pPr>
            <w:r>
              <w:rPr>
                <w:rFonts w:hint="default" w:ascii="Arial" w:hAnsi="Arial" w:cs="Arial"/>
                <w:sz w:val="24"/>
                <w:szCs w:val="24"/>
              </w:rPr>
              <w:t>39.9900</w:t>
            </w:r>
          </w:p>
        </w:tc>
        <w:tc>
          <w:tcPr>
            <w:tcW w:w="1800" w:type="dxa"/>
            <w:shd w:val="clear" w:color="auto" w:fill="FFFFFF"/>
          </w:tcPr>
          <w:p w14:paraId="2D017FD6">
            <w:pPr>
              <w:spacing w:line="480" w:lineRule="auto"/>
              <w:jc w:val="both"/>
              <w:rPr>
                <w:rFonts w:hint="default" w:ascii="Arial" w:hAnsi="Arial" w:cs="Arial"/>
                <w:sz w:val="24"/>
                <w:szCs w:val="24"/>
              </w:rPr>
            </w:pPr>
            <w:r>
              <w:rPr>
                <w:rFonts w:hint="default" w:ascii="Arial" w:hAnsi="Arial" w:cs="Arial"/>
                <w:sz w:val="24"/>
                <w:szCs w:val="24"/>
              </w:rPr>
              <w:t>60.131</w:t>
            </w:r>
          </w:p>
        </w:tc>
        <w:tc>
          <w:tcPr>
            <w:tcW w:w="1771" w:type="dxa"/>
            <w:shd w:val="clear" w:color="auto" w:fill="FFFFFF"/>
          </w:tcPr>
          <w:p w14:paraId="2D920FC8">
            <w:pPr>
              <w:spacing w:line="480" w:lineRule="auto"/>
              <w:jc w:val="both"/>
              <w:rPr>
                <w:rFonts w:hint="default" w:ascii="Arial" w:hAnsi="Arial" w:cs="Arial"/>
                <w:sz w:val="24"/>
                <w:szCs w:val="24"/>
              </w:rPr>
            </w:pPr>
            <w:r>
              <w:rPr>
                <w:rFonts w:hint="default" w:ascii="Arial" w:hAnsi="Arial" w:cs="Arial"/>
                <w:sz w:val="24"/>
                <w:szCs w:val="24"/>
              </w:rPr>
              <w:t>.557</w:t>
            </w:r>
          </w:p>
        </w:tc>
        <w:tc>
          <w:tcPr>
            <w:tcW w:w="1820" w:type="dxa"/>
            <w:shd w:val="clear" w:color="auto" w:fill="FFFFFF"/>
          </w:tcPr>
          <w:p w14:paraId="577439BB">
            <w:pPr>
              <w:spacing w:line="480" w:lineRule="auto"/>
              <w:jc w:val="both"/>
              <w:rPr>
                <w:rFonts w:hint="default" w:ascii="Arial" w:hAnsi="Arial" w:cs="Arial"/>
                <w:sz w:val="24"/>
                <w:szCs w:val="24"/>
              </w:rPr>
            </w:pPr>
            <w:r>
              <w:rPr>
                <w:rFonts w:hint="default" w:ascii="Arial" w:hAnsi="Arial" w:cs="Arial"/>
                <w:sz w:val="24"/>
                <w:szCs w:val="24"/>
              </w:rPr>
              <w:t>.920</w:t>
            </w:r>
          </w:p>
        </w:tc>
      </w:tr>
      <w:tr w14:paraId="75CF0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0AFFEFC2">
            <w:pPr>
              <w:spacing w:line="480" w:lineRule="auto"/>
              <w:jc w:val="both"/>
              <w:rPr>
                <w:rFonts w:hint="default" w:ascii="Arial" w:hAnsi="Arial" w:cs="Arial"/>
                <w:sz w:val="24"/>
                <w:szCs w:val="24"/>
              </w:rPr>
            </w:pPr>
            <w:r>
              <w:rPr>
                <w:rFonts w:hint="default" w:ascii="Arial" w:hAnsi="Arial" w:cs="Arial"/>
                <w:sz w:val="24"/>
                <w:szCs w:val="24"/>
              </w:rPr>
              <w:t>PESG4</w:t>
            </w:r>
          </w:p>
        </w:tc>
        <w:tc>
          <w:tcPr>
            <w:tcW w:w="2090" w:type="dxa"/>
            <w:shd w:val="clear" w:color="auto" w:fill="FFFFFF"/>
          </w:tcPr>
          <w:p w14:paraId="179D9F40">
            <w:pPr>
              <w:spacing w:line="480" w:lineRule="auto"/>
              <w:jc w:val="both"/>
              <w:rPr>
                <w:rFonts w:hint="default" w:ascii="Arial" w:hAnsi="Arial" w:cs="Arial"/>
                <w:sz w:val="24"/>
                <w:szCs w:val="24"/>
              </w:rPr>
            </w:pPr>
            <w:r>
              <w:rPr>
                <w:rFonts w:hint="default" w:ascii="Arial" w:hAnsi="Arial" w:cs="Arial"/>
                <w:sz w:val="24"/>
                <w:szCs w:val="24"/>
              </w:rPr>
              <w:t>39.7700</w:t>
            </w:r>
          </w:p>
        </w:tc>
        <w:tc>
          <w:tcPr>
            <w:tcW w:w="1800" w:type="dxa"/>
            <w:shd w:val="clear" w:color="auto" w:fill="FFFFFF"/>
          </w:tcPr>
          <w:p w14:paraId="14F30F74">
            <w:pPr>
              <w:spacing w:line="480" w:lineRule="auto"/>
              <w:jc w:val="both"/>
              <w:rPr>
                <w:rFonts w:hint="default" w:ascii="Arial" w:hAnsi="Arial" w:cs="Arial"/>
                <w:sz w:val="24"/>
                <w:szCs w:val="24"/>
              </w:rPr>
            </w:pPr>
            <w:r>
              <w:rPr>
                <w:rFonts w:hint="default" w:ascii="Arial" w:hAnsi="Arial" w:cs="Arial"/>
                <w:sz w:val="24"/>
                <w:szCs w:val="24"/>
              </w:rPr>
              <w:t>60.361</w:t>
            </w:r>
          </w:p>
        </w:tc>
        <w:tc>
          <w:tcPr>
            <w:tcW w:w="1771" w:type="dxa"/>
            <w:shd w:val="clear" w:color="auto" w:fill="FFFFFF"/>
          </w:tcPr>
          <w:p w14:paraId="4BA48744">
            <w:pPr>
              <w:spacing w:line="480" w:lineRule="auto"/>
              <w:jc w:val="both"/>
              <w:rPr>
                <w:rFonts w:hint="default" w:ascii="Arial" w:hAnsi="Arial" w:cs="Arial"/>
                <w:sz w:val="24"/>
                <w:szCs w:val="24"/>
              </w:rPr>
            </w:pPr>
            <w:r>
              <w:rPr>
                <w:rFonts w:hint="default" w:ascii="Arial" w:hAnsi="Arial" w:cs="Arial"/>
                <w:sz w:val="24"/>
                <w:szCs w:val="24"/>
              </w:rPr>
              <w:t>.606</w:t>
            </w:r>
          </w:p>
        </w:tc>
        <w:tc>
          <w:tcPr>
            <w:tcW w:w="1820" w:type="dxa"/>
            <w:shd w:val="clear" w:color="auto" w:fill="FFFFFF"/>
          </w:tcPr>
          <w:p w14:paraId="01E62967">
            <w:pPr>
              <w:spacing w:line="480" w:lineRule="auto"/>
              <w:jc w:val="both"/>
              <w:rPr>
                <w:rFonts w:hint="default" w:ascii="Arial" w:hAnsi="Arial" w:cs="Arial"/>
                <w:sz w:val="24"/>
                <w:szCs w:val="24"/>
              </w:rPr>
            </w:pPr>
            <w:r>
              <w:rPr>
                <w:rFonts w:hint="default" w:ascii="Arial" w:hAnsi="Arial" w:cs="Arial"/>
                <w:sz w:val="24"/>
                <w:szCs w:val="24"/>
              </w:rPr>
              <w:t>.918</w:t>
            </w:r>
          </w:p>
        </w:tc>
      </w:tr>
      <w:tr w14:paraId="37B2F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21FBB30A">
            <w:pPr>
              <w:spacing w:line="480" w:lineRule="auto"/>
              <w:jc w:val="both"/>
              <w:rPr>
                <w:rFonts w:hint="default" w:ascii="Arial" w:hAnsi="Arial" w:cs="Arial"/>
                <w:b/>
                <w:sz w:val="24"/>
                <w:szCs w:val="24"/>
              </w:rPr>
            </w:pPr>
            <w:r>
              <w:rPr>
                <w:rFonts w:hint="default" w:ascii="Arial" w:hAnsi="Arial" w:cs="Arial"/>
                <w:b/>
                <w:sz w:val="24"/>
                <w:szCs w:val="24"/>
              </w:rPr>
              <w:t xml:space="preserve">Risk Performance </w:t>
            </w:r>
          </w:p>
        </w:tc>
        <w:tc>
          <w:tcPr>
            <w:tcW w:w="2090" w:type="dxa"/>
            <w:shd w:val="clear" w:color="auto" w:fill="FFFFFF"/>
          </w:tcPr>
          <w:p w14:paraId="50105C20">
            <w:pPr>
              <w:spacing w:line="480" w:lineRule="auto"/>
              <w:jc w:val="both"/>
              <w:rPr>
                <w:rFonts w:hint="default" w:ascii="Arial" w:hAnsi="Arial" w:cs="Arial"/>
                <w:sz w:val="24"/>
                <w:szCs w:val="24"/>
              </w:rPr>
            </w:pPr>
          </w:p>
        </w:tc>
        <w:tc>
          <w:tcPr>
            <w:tcW w:w="1800" w:type="dxa"/>
            <w:shd w:val="clear" w:color="auto" w:fill="FFFFFF"/>
          </w:tcPr>
          <w:p w14:paraId="1EAB1B22">
            <w:pPr>
              <w:spacing w:line="480" w:lineRule="auto"/>
              <w:jc w:val="both"/>
              <w:rPr>
                <w:rFonts w:hint="default" w:ascii="Arial" w:hAnsi="Arial" w:cs="Arial"/>
                <w:sz w:val="24"/>
                <w:szCs w:val="24"/>
              </w:rPr>
            </w:pPr>
          </w:p>
        </w:tc>
        <w:tc>
          <w:tcPr>
            <w:tcW w:w="1771" w:type="dxa"/>
            <w:shd w:val="clear" w:color="auto" w:fill="FFFFFF"/>
          </w:tcPr>
          <w:p w14:paraId="253CA339">
            <w:pPr>
              <w:spacing w:line="480" w:lineRule="auto"/>
              <w:jc w:val="both"/>
              <w:rPr>
                <w:rFonts w:hint="default" w:ascii="Arial" w:hAnsi="Arial" w:cs="Arial"/>
                <w:sz w:val="24"/>
                <w:szCs w:val="24"/>
              </w:rPr>
            </w:pPr>
          </w:p>
        </w:tc>
        <w:tc>
          <w:tcPr>
            <w:tcW w:w="1820" w:type="dxa"/>
            <w:shd w:val="clear" w:color="auto" w:fill="FFFFFF"/>
          </w:tcPr>
          <w:p w14:paraId="224E7A35">
            <w:pPr>
              <w:spacing w:line="480" w:lineRule="auto"/>
              <w:jc w:val="both"/>
              <w:rPr>
                <w:rFonts w:hint="default" w:ascii="Arial" w:hAnsi="Arial" w:cs="Arial"/>
                <w:sz w:val="24"/>
                <w:szCs w:val="24"/>
              </w:rPr>
            </w:pPr>
          </w:p>
        </w:tc>
      </w:tr>
      <w:tr w14:paraId="00B06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6770F873">
            <w:pPr>
              <w:spacing w:line="480" w:lineRule="auto"/>
              <w:jc w:val="both"/>
              <w:rPr>
                <w:rFonts w:hint="default" w:ascii="Arial" w:hAnsi="Arial" w:cs="Arial"/>
                <w:sz w:val="24"/>
                <w:szCs w:val="24"/>
              </w:rPr>
            </w:pPr>
            <w:r>
              <w:rPr>
                <w:rFonts w:hint="default" w:ascii="Arial" w:hAnsi="Arial" w:cs="Arial"/>
                <w:sz w:val="24"/>
                <w:szCs w:val="24"/>
              </w:rPr>
              <w:t>RP1</w:t>
            </w:r>
          </w:p>
        </w:tc>
        <w:tc>
          <w:tcPr>
            <w:tcW w:w="2090" w:type="dxa"/>
            <w:shd w:val="clear" w:color="auto" w:fill="FFFFFF"/>
          </w:tcPr>
          <w:p w14:paraId="73F83B1A">
            <w:pPr>
              <w:spacing w:line="480" w:lineRule="auto"/>
              <w:jc w:val="both"/>
              <w:rPr>
                <w:rFonts w:hint="default" w:ascii="Arial" w:hAnsi="Arial" w:cs="Arial"/>
                <w:sz w:val="24"/>
                <w:szCs w:val="24"/>
              </w:rPr>
            </w:pPr>
            <w:r>
              <w:rPr>
                <w:rFonts w:hint="default" w:ascii="Arial" w:hAnsi="Arial" w:cs="Arial"/>
                <w:sz w:val="24"/>
                <w:szCs w:val="24"/>
              </w:rPr>
              <w:t>39.8100</w:t>
            </w:r>
          </w:p>
        </w:tc>
        <w:tc>
          <w:tcPr>
            <w:tcW w:w="1800" w:type="dxa"/>
            <w:shd w:val="clear" w:color="auto" w:fill="FFFFFF"/>
          </w:tcPr>
          <w:p w14:paraId="150040CB">
            <w:pPr>
              <w:spacing w:line="480" w:lineRule="auto"/>
              <w:jc w:val="both"/>
              <w:rPr>
                <w:rFonts w:hint="default" w:ascii="Arial" w:hAnsi="Arial" w:cs="Arial"/>
                <w:sz w:val="24"/>
                <w:szCs w:val="24"/>
              </w:rPr>
            </w:pPr>
            <w:r>
              <w:rPr>
                <w:rFonts w:hint="default" w:ascii="Arial" w:hAnsi="Arial" w:cs="Arial"/>
                <w:sz w:val="24"/>
                <w:szCs w:val="24"/>
              </w:rPr>
              <w:t>59.953</w:t>
            </w:r>
          </w:p>
        </w:tc>
        <w:tc>
          <w:tcPr>
            <w:tcW w:w="1771" w:type="dxa"/>
            <w:shd w:val="clear" w:color="auto" w:fill="FFFFFF"/>
          </w:tcPr>
          <w:p w14:paraId="45C27866">
            <w:pPr>
              <w:spacing w:line="480" w:lineRule="auto"/>
              <w:jc w:val="both"/>
              <w:rPr>
                <w:rFonts w:hint="default" w:ascii="Arial" w:hAnsi="Arial" w:cs="Arial"/>
                <w:sz w:val="24"/>
                <w:szCs w:val="24"/>
              </w:rPr>
            </w:pPr>
            <w:r>
              <w:rPr>
                <w:rFonts w:hint="default" w:ascii="Arial" w:hAnsi="Arial" w:cs="Arial"/>
                <w:sz w:val="24"/>
                <w:szCs w:val="24"/>
              </w:rPr>
              <w:t>.630</w:t>
            </w:r>
          </w:p>
        </w:tc>
        <w:tc>
          <w:tcPr>
            <w:tcW w:w="1820" w:type="dxa"/>
            <w:shd w:val="clear" w:color="auto" w:fill="FFFFFF"/>
          </w:tcPr>
          <w:p w14:paraId="5091B3ED">
            <w:pPr>
              <w:spacing w:line="480" w:lineRule="auto"/>
              <w:jc w:val="both"/>
              <w:rPr>
                <w:rFonts w:hint="default" w:ascii="Arial" w:hAnsi="Arial" w:cs="Arial"/>
                <w:sz w:val="24"/>
                <w:szCs w:val="24"/>
              </w:rPr>
            </w:pPr>
            <w:r>
              <w:rPr>
                <w:rFonts w:hint="default" w:ascii="Arial" w:hAnsi="Arial" w:cs="Arial"/>
                <w:sz w:val="24"/>
                <w:szCs w:val="24"/>
              </w:rPr>
              <w:t>.917</w:t>
            </w:r>
          </w:p>
        </w:tc>
      </w:tr>
      <w:tr w14:paraId="4C7E3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0981E3D9">
            <w:pPr>
              <w:spacing w:line="480" w:lineRule="auto"/>
              <w:jc w:val="both"/>
              <w:rPr>
                <w:rFonts w:hint="default" w:ascii="Arial" w:hAnsi="Arial" w:cs="Arial"/>
                <w:sz w:val="24"/>
                <w:szCs w:val="24"/>
              </w:rPr>
            </w:pPr>
            <w:r>
              <w:rPr>
                <w:rFonts w:hint="default" w:ascii="Arial" w:hAnsi="Arial" w:cs="Arial"/>
                <w:sz w:val="24"/>
                <w:szCs w:val="24"/>
              </w:rPr>
              <w:t>RP2</w:t>
            </w:r>
          </w:p>
        </w:tc>
        <w:tc>
          <w:tcPr>
            <w:tcW w:w="2090" w:type="dxa"/>
            <w:shd w:val="clear" w:color="auto" w:fill="FFFFFF"/>
          </w:tcPr>
          <w:p w14:paraId="570EA737">
            <w:pPr>
              <w:spacing w:line="480" w:lineRule="auto"/>
              <w:jc w:val="both"/>
              <w:rPr>
                <w:rFonts w:hint="default" w:ascii="Arial" w:hAnsi="Arial" w:cs="Arial"/>
                <w:sz w:val="24"/>
                <w:szCs w:val="24"/>
              </w:rPr>
            </w:pPr>
            <w:r>
              <w:rPr>
                <w:rFonts w:hint="default" w:ascii="Arial" w:hAnsi="Arial" w:cs="Arial"/>
                <w:sz w:val="24"/>
                <w:szCs w:val="24"/>
              </w:rPr>
              <w:t>39.9300</w:t>
            </w:r>
          </w:p>
        </w:tc>
        <w:tc>
          <w:tcPr>
            <w:tcW w:w="1800" w:type="dxa"/>
            <w:shd w:val="clear" w:color="auto" w:fill="FFFFFF"/>
          </w:tcPr>
          <w:p w14:paraId="6831D4D6">
            <w:pPr>
              <w:spacing w:line="480" w:lineRule="auto"/>
              <w:jc w:val="both"/>
              <w:rPr>
                <w:rFonts w:hint="default" w:ascii="Arial" w:hAnsi="Arial" w:cs="Arial"/>
                <w:sz w:val="24"/>
                <w:szCs w:val="24"/>
              </w:rPr>
            </w:pPr>
            <w:r>
              <w:rPr>
                <w:rFonts w:hint="default" w:ascii="Arial" w:hAnsi="Arial" w:cs="Arial"/>
                <w:sz w:val="24"/>
                <w:szCs w:val="24"/>
              </w:rPr>
              <w:t>58.268</w:t>
            </w:r>
          </w:p>
        </w:tc>
        <w:tc>
          <w:tcPr>
            <w:tcW w:w="1771" w:type="dxa"/>
            <w:shd w:val="clear" w:color="auto" w:fill="FFFFFF"/>
          </w:tcPr>
          <w:p w14:paraId="5ABF14D2">
            <w:pPr>
              <w:spacing w:line="480" w:lineRule="auto"/>
              <w:jc w:val="both"/>
              <w:rPr>
                <w:rFonts w:hint="default" w:ascii="Arial" w:hAnsi="Arial" w:cs="Arial"/>
                <w:sz w:val="24"/>
                <w:szCs w:val="24"/>
              </w:rPr>
            </w:pPr>
            <w:r>
              <w:rPr>
                <w:rFonts w:hint="default" w:ascii="Arial" w:hAnsi="Arial" w:cs="Arial"/>
                <w:sz w:val="24"/>
                <w:szCs w:val="24"/>
              </w:rPr>
              <w:t>.748</w:t>
            </w:r>
          </w:p>
        </w:tc>
        <w:tc>
          <w:tcPr>
            <w:tcW w:w="1820" w:type="dxa"/>
            <w:shd w:val="clear" w:color="auto" w:fill="FFFFFF"/>
          </w:tcPr>
          <w:p w14:paraId="6F8E9886">
            <w:pPr>
              <w:spacing w:line="480" w:lineRule="auto"/>
              <w:jc w:val="both"/>
              <w:rPr>
                <w:rFonts w:hint="default" w:ascii="Arial" w:hAnsi="Arial" w:cs="Arial"/>
                <w:sz w:val="24"/>
                <w:szCs w:val="24"/>
              </w:rPr>
            </w:pPr>
            <w:r>
              <w:rPr>
                <w:rFonts w:hint="default" w:ascii="Arial" w:hAnsi="Arial" w:cs="Arial"/>
                <w:sz w:val="24"/>
                <w:szCs w:val="24"/>
              </w:rPr>
              <w:t>.912</w:t>
            </w:r>
          </w:p>
        </w:tc>
      </w:tr>
      <w:tr w14:paraId="4D38D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220B0670">
            <w:pPr>
              <w:spacing w:line="480" w:lineRule="auto"/>
              <w:jc w:val="both"/>
              <w:rPr>
                <w:rFonts w:hint="default" w:ascii="Arial" w:hAnsi="Arial" w:cs="Arial"/>
                <w:sz w:val="24"/>
                <w:szCs w:val="24"/>
              </w:rPr>
            </w:pPr>
            <w:r>
              <w:rPr>
                <w:rFonts w:hint="default" w:ascii="Arial" w:hAnsi="Arial" w:cs="Arial"/>
                <w:sz w:val="24"/>
                <w:szCs w:val="24"/>
              </w:rPr>
              <w:t>RP3</w:t>
            </w:r>
          </w:p>
        </w:tc>
        <w:tc>
          <w:tcPr>
            <w:tcW w:w="2090" w:type="dxa"/>
            <w:shd w:val="clear" w:color="auto" w:fill="FFFFFF"/>
          </w:tcPr>
          <w:p w14:paraId="1C02B87A">
            <w:pPr>
              <w:spacing w:line="480" w:lineRule="auto"/>
              <w:jc w:val="both"/>
              <w:rPr>
                <w:rFonts w:hint="default" w:ascii="Arial" w:hAnsi="Arial" w:cs="Arial"/>
                <w:sz w:val="24"/>
                <w:szCs w:val="24"/>
              </w:rPr>
            </w:pPr>
            <w:r>
              <w:rPr>
                <w:rFonts w:hint="default" w:ascii="Arial" w:hAnsi="Arial" w:cs="Arial"/>
                <w:sz w:val="24"/>
                <w:szCs w:val="24"/>
              </w:rPr>
              <w:t>39.8400</w:t>
            </w:r>
          </w:p>
        </w:tc>
        <w:tc>
          <w:tcPr>
            <w:tcW w:w="1800" w:type="dxa"/>
            <w:shd w:val="clear" w:color="auto" w:fill="FFFFFF"/>
          </w:tcPr>
          <w:p w14:paraId="2F6BE63B">
            <w:pPr>
              <w:spacing w:line="480" w:lineRule="auto"/>
              <w:jc w:val="both"/>
              <w:rPr>
                <w:rFonts w:hint="default" w:ascii="Arial" w:hAnsi="Arial" w:cs="Arial"/>
                <w:sz w:val="24"/>
                <w:szCs w:val="24"/>
              </w:rPr>
            </w:pPr>
            <w:r>
              <w:rPr>
                <w:rFonts w:hint="default" w:ascii="Arial" w:hAnsi="Arial" w:cs="Arial"/>
                <w:sz w:val="24"/>
                <w:szCs w:val="24"/>
              </w:rPr>
              <w:t>59.792</w:t>
            </w:r>
          </w:p>
        </w:tc>
        <w:tc>
          <w:tcPr>
            <w:tcW w:w="1771" w:type="dxa"/>
            <w:shd w:val="clear" w:color="auto" w:fill="FFFFFF"/>
          </w:tcPr>
          <w:p w14:paraId="596C2AF7">
            <w:pPr>
              <w:spacing w:line="480" w:lineRule="auto"/>
              <w:jc w:val="both"/>
              <w:rPr>
                <w:rFonts w:hint="default" w:ascii="Arial" w:hAnsi="Arial" w:cs="Arial"/>
                <w:sz w:val="24"/>
                <w:szCs w:val="24"/>
              </w:rPr>
            </w:pPr>
            <w:r>
              <w:rPr>
                <w:rFonts w:hint="default" w:ascii="Arial" w:hAnsi="Arial" w:cs="Arial"/>
                <w:sz w:val="24"/>
                <w:szCs w:val="24"/>
              </w:rPr>
              <w:t>.629</w:t>
            </w:r>
          </w:p>
        </w:tc>
        <w:tc>
          <w:tcPr>
            <w:tcW w:w="1820" w:type="dxa"/>
            <w:shd w:val="clear" w:color="auto" w:fill="FFFFFF"/>
          </w:tcPr>
          <w:p w14:paraId="25B93527">
            <w:pPr>
              <w:spacing w:line="480" w:lineRule="auto"/>
              <w:jc w:val="both"/>
              <w:rPr>
                <w:rFonts w:hint="default" w:ascii="Arial" w:hAnsi="Arial" w:cs="Arial"/>
                <w:sz w:val="24"/>
                <w:szCs w:val="24"/>
              </w:rPr>
            </w:pPr>
            <w:r>
              <w:rPr>
                <w:rFonts w:hint="default" w:ascii="Arial" w:hAnsi="Arial" w:cs="Arial"/>
                <w:sz w:val="24"/>
                <w:szCs w:val="24"/>
              </w:rPr>
              <w:t>.917</w:t>
            </w:r>
          </w:p>
        </w:tc>
      </w:tr>
      <w:tr w14:paraId="2F805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17A24105">
            <w:pPr>
              <w:spacing w:line="480" w:lineRule="auto"/>
              <w:jc w:val="both"/>
              <w:rPr>
                <w:rFonts w:hint="default" w:ascii="Arial" w:hAnsi="Arial" w:cs="Arial"/>
                <w:sz w:val="24"/>
                <w:szCs w:val="24"/>
              </w:rPr>
            </w:pPr>
            <w:r>
              <w:rPr>
                <w:rFonts w:hint="default" w:ascii="Arial" w:hAnsi="Arial" w:cs="Arial"/>
                <w:sz w:val="24"/>
                <w:szCs w:val="24"/>
              </w:rPr>
              <w:t>RP4</w:t>
            </w:r>
          </w:p>
        </w:tc>
        <w:tc>
          <w:tcPr>
            <w:tcW w:w="2090" w:type="dxa"/>
            <w:shd w:val="clear" w:color="auto" w:fill="FFFFFF"/>
          </w:tcPr>
          <w:p w14:paraId="46A523D9">
            <w:pPr>
              <w:spacing w:line="480" w:lineRule="auto"/>
              <w:jc w:val="both"/>
              <w:rPr>
                <w:rFonts w:hint="default" w:ascii="Arial" w:hAnsi="Arial" w:cs="Arial"/>
                <w:sz w:val="24"/>
                <w:szCs w:val="24"/>
              </w:rPr>
            </w:pPr>
            <w:r>
              <w:rPr>
                <w:rFonts w:hint="default" w:ascii="Arial" w:hAnsi="Arial" w:cs="Arial"/>
                <w:sz w:val="24"/>
                <w:szCs w:val="24"/>
              </w:rPr>
              <w:t>39.7800</w:t>
            </w:r>
          </w:p>
        </w:tc>
        <w:tc>
          <w:tcPr>
            <w:tcW w:w="1800" w:type="dxa"/>
            <w:shd w:val="clear" w:color="auto" w:fill="FFFFFF"/>
          </w:tcPr>
          <w:p w14:paraId="485D1D2A">
            <w:pPr>
              <w:spacing w:line="480" w:lineRule="auto"/>
              <w:jc w:val="both"/>
              <w:rPr>
                <w:rFonts w:hint="default" w:ascii="Arial" w:hAnsi="Arial" w:cs="Arial"/>
                <w:sz w:val="24"/>
                <w:szCs w:val="24"/>
              </w:rPr>
            </w:pPr>
            <w:r>
              <w:rPr>
                <w:rFonts w:hint="default" w:ascii="Arial" w:hAnsi="Arial" w:cs="Arial"/>
                <w:sz w:val="24"/>
                <w:szCs w:val="24"/>
              </w:rPr>
              <w:t>57.163</w:t>
            </w:r>
          </w:p>
        </w:tc>
        <w:tc>
          <w:tcPr>
            <w:tcW w:w="1771" w:type="dxa"/>
            <w:shd w:val="clear" w:color="auto" w:fill="FFFFFF"/>
          </w:tcPr>
          <w:p w14:paraId="3734AC39">
            <w:pPr>
              <w:spacing w:line="480" w:lineRule="auto"/>
              <w:jc w:val="both"/>
              <w:rPr>
                <w:rFonts w:hint="default" w:ascii="Arial" w:hAnsi="Arial" w:cs="Arial"/>
                <w:sz w:val="24"/>
                <w:szCs w:val="24"/>
              </w:rPr>
            </w:pPr>
            <w:r>
              <w:rPr>
                <w:rFonts w:hint="default" w:ascii="Arial" w:hAnsi="Arial" w:cs="Arial"/>
                <w:sz w:val="24"/>
                <w:szCs w:val="24"/>
              </w:rPr>
              <w:t>.781</w:t>
            </w:r>
          </w:p>
        </w:tc>
        <w:tc>
          <w:tcPr>
            <w:tcW w:w="1820" w:type="dxa"/>
            <w:shd w:val="clear" w:color="auto" w:fill="FFFFFF"/>
          </w:tcPr>
          <w:p w14:paraId="7ABFE9FC">
            <w:pPr>
              <w:spacing w:line="480" w:lineRule="auto"/>
              <w:jc w:val="both"/>
              <w:rPr>
                <w:rFonts w:hint="default" w:ascii="Arial" w:hAnsi="Arial" w:cs="Arial"/>
                <w:sz w:val="24"/>
                <w:szCs w:val="24"/>
              </w:rPr>
            </w:pPr>
            <w:r>
              <w:rPr>
                <w:rFonts w:hint="default" w:ascii="Arial" w:hAnsi="Arial" w:cs="Arial"/>
                <w:sz w:val="24"/>
                <w:szCs w:val="24"/>
              </w:rPr>
              <w:t>.911</w:t>
            </w:r>
          </w:p>
        </w:tc>
      </w:tr>
      <w:tr w14:paraId="45AFE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6A5F5504">
            <w:pPr>
              <w:spacing w:line="480" w:lineRule="auto"/>
              <w:jc w:val="both"/>
              <w:rPr>
                <w:rFonts w:hint="default" w:ascii="Arial" w:hAnsi="Arial" w:cs="Arial"/>
                <w:b/>
                <w:sz w:val="24"/>
                <w:szCs w:val="24"/>
              </w:rPr>
            </w:pPr>
            <w:r>
              <w:rPr>
                <w:rFonts w:hint="default" w:ascii="Arial" w:hAnsi="Arial" w:cs="Arial"/>
                <w:b/>
                <w:sz w:val="24"/>
                <w:szCs w:val="24"/>
              </w:rPr>
              <w:t xml:space="preserve">Challenges </w:t>
            </w:r>
          </w:p>
        </w:tc>
        <w:tc>
          <w:tcPr>
            <w:tcW w:w="2090" w:type="dxa"/>
            <w:shd w:val="clear" w:color="auto" w:fill="FFFFFF"/>
          </w:tcPr>
          <w:p w14:paraId="664D77E2">
            <w:pPr>
              <w:spacing w:line="480" w:lineRule="auto"/>
              <w:jc w:val="both"/>
              <w:rPr>
                <w:rFonts w:hint="default" w:ascii="Arial" w:hAnsi="Arial" w:cs="Arial"/>
                <w:sz w:val="24"/>
                <w:szCs w:val="24"/>
              </w:rPr>
            </w:pPr>
          </w:p>
        </w:tc>
        <w:tc>
          <w:tcPr>
            <w:tcW w:w="1800" w:type="dxa"/>
            <w:shd w:val="clear" w:color="auto" w:fill="FFFFFF"/>
          </w:tcPr>
          <w:p w14:paraId="44FCF57D">
            <w:pPr>
              <w:spacing w:line="480" w:lineRule="auto"/>
              <w:jc w:val="both"/>
              <w:rPr>
                <w:rFonts w:hint="default" w:ascii="Arial" w:hAnsi="Arial" w:cs="Arial"/>
                <w:sz w:val="24"/>
                <w:szCs w:val="24"/>
              </w:rPr>
            </w:pPr>
          </w:p>
        </w:tc>
        <w:tc>
          <w:tcPr>
            <w:tcW w:w="1771" w:type="dxa"/>
            <w:shd w:val="clear" w:color="auto" w:fill="FFFFFF"/>
          </w:tcPr>
          <w:p w14:paraId="376294D4">
            <w:pPr>
              <w:spacing w:line="480" w:lineRule="auto"/>
              <w:jc w:val="both"/>
              <w:rPr>
                <w:rFonts w:hint="default" w:ascii="Arial" w:hAnsi="Arial" w:cs="Arial"/>
                <w:sz w:val="24"/>
                <w:szCs w:val="24"/>
              </w:rPr>
            </w:pPr>
          </w:p>
        </w:tc>
        <w:tc>
          <w:tcPr>
            <w:tcW w:w="1820" w:type="dxa"/>
            <w:shd w:val="clear" w:color="auto" w:fill="FFFFFF"/>
          </w:tcPr>
          <w:p w14:paraId="5BF44961">
            <w:pPr>
              <w:spacing w:line="480" w:lineRule="auto"/>
              <w:jc w:val="both"/>
              <w:rPr>
                <w:rFonts w:hint="default" w:ascii="Arial" w:hAnsi="Arial" w:cs="Arial"/>
                <w:sz w:val="24"/>
                <w:szCs w:val="24"/>
              </w:rPr>
            </w:pPr>
          </w:p>
        </w:tc>
      </w:tr>
      <w:tr w14:paraId="0D72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08923700">
            <w:pPr>
              <w:spacing w:line="480" w:lineRule="auto"/>
              <w:jc w:val="both"/>
              <w:rPr>
                <w:rFonts w:hint="default" w:ascii="Arial" w:hAnsi="Arial" w:cs="Arial"/>
                <w:sz w:val="24"/>
                <w:szCs w:val="24"/>
              </w:rPr>
            </w:pPr>
            <w:r>
              <w:rPr>
                <w:rFonts w:hint="default" w:ascii="Arial" w:hAnsi="Arial" w:cs="Arial"/>
                <w:sz w:val="24"/>
                <w:szCs w:val="24"/>
              </w:rPr>
              <w:t>C1</w:t>
            </w:r>
          </w:p>
        </w:tc>
        <w:tc>
          <w:tcPr>
            <w:tcW w:w="2090" w:type="dxa"/>
            <w:shd w:val="clear" w:color="auto" w:fill="FFFFFF"/>
          </w:tcPr>
          <w:p w14:paraId="6C54BCEF">
            <w:pPr>
              <w:spacing w:line="480" w:lineRule="auto"/>
              <w:jc w:val="both"/>
              <w:rPr>
                <w:rFonts w:hint="default" w:ascii="Arial" w:hAnsi="Arial" w:cs="Arial"/>
                <w:sz w:val="24"/>
                <w:szCs w:val="24"/>
              </w:rPr>
            </w:pPr>
            <w:r>
              <w:rPr>
                <w:rFonts w:hint="default" w:ascii="Arial" w:hAnsi="Arial" w:cs="Arial"/>
                <w:sz w:val="24"/>
                <w:szCs w:val="24"/>
              </w:rPr>
              <w:t>39.9500</w:t>
            </w:r>
          </w:p>
        </w:tc>
        <w:tc>
          <w:tcPr>
            <w:tcW w:w="1800" w:type="dxa"/>
            <w:shd w:val="clear" w:color="auto" w:fill="FFFFFF"/>
          </w:tcPr>
          <w:p w14:paraId="09E11709">
            <w:pPr>
              <w:spacing w:line="480" w:lineRule="auto"/>
              <w:jc w:val="both"/>
              <w:rPr>
                <w:rFonts w:hint="default" w:ascii="Arial" w:hAnsi="Arial" w:cs="Arial"/>
                <w:sz w:val="24"/>
                <w:szCs w:val="24"/>
              </w:rPr>
            </w:pPr>
            <w:r>
              <w:rPr>
                <w:rFonts w:hint="default" w:ascii="Arial" w:hAnsi="Arial" w:cs="Arial"/>
                <w:sz w:val="24"/>
                <w:szCs w:val="24"/>
              </w:rPr>
              <w:t>58.937</w:t>
            </w:r>
          </w:p>
        </w:tc>
        <w:tc>
          <w:tcPr>
            <w:tcW w:w="1771" w:type="dxa"/>
            <w:shd w:val="clear" w:color="auto" w:fill="FFFFFF"/>
          </w:tcPr>
          <w:p w14:paraId="1B3D71A3">
            <w:pPr>
              <w:spacing w:line="480" w:lineRule="auto"/>
              <w:jc w:val="both"/>
              <w:rPr>
                <w:rFonts w:hint="default" w:ascii="Arial" w:hAnsi="Arial" w:cs="Arial"/>
                <w:sz w:val="24"/>
                <w:szCs w:val="24"/>
              </w:rPr>
            </w:pPr>
            <w:r>
              <w:rPr>
                <w:rFonts w:hint="default" w:ascii="Arial" w:hAnsi="Arial" w:cs="Arial"/>
                <w:sz w:val="24"/>
                <w:szCs w:val="24"/>
              </w:rPr>
              <w:t>.604</w:t>
            </w:r>
          </w:p>
        </w:tc>
        <w:tc>
          <w:tcPr>
            <w:tcW w:w="1820" w:type="dxa"/>
            <w:shd w:val="clear" w:color="auto" w:fill="FFFFFF"/>
          </w:tcPr>
          <w:p w14:paraId="1F3D4AFD">
            <w:pPr>
              <w:spacing w:line="480" w:lineRule="auto"/>
              <w:jc w:val="both"/>
              <w:rPr>
                <w:rFonts w:hint="default" w:ascii="Arial" w:hAnsi="Arial" w:cs="Arial"/>
                <w:sz w:val="24"/>
                <w:szCs w:val="24"/>
              </w:rPr>
            </w:pPr>
            <w:r>
              <w:rPr>
                <w:rFonts w:hint="default" w:ascii="Arial" w:hAnsi="Arial" w:cs="Arial"/>
                <w:sz w:val="24"/>
                <w:szCs w:val="24"/>
              </w:rPr>
              <w:t>.919</w:t>
            </w:r>
          </w:p>
        </w:tc>
      </w:tr>
      <w:tr w14:paraId="0994F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0133D51A">
            <w:pPr>
              <w:spacing w:line="480" w:lineRule="auto"/>
              <w:jc w:val="both"/>
              <w:rPr>
                <w:rFonts w:hint="default" w:ascii="Arial" w:hAnsi="Arial" w:cs="Arial"/>
                <w:sz w:val="24"/>
                <w:szCs w:val="24"/>
              </w:rPr>
            </w:pPr>
            <w:r>
              <w:rPr>
                <w:rFonts w:hint="default" w:ascii="Arial" w:hAnsi="Arial" w:cs="Arial"/>
                <w:sz w:val="24"/>
                <w:szCs w:val="24"/>
              </w:rPr>
              <w:t>C2</w:t>
            </w:r>
          </w:p>
        </w:tc>
        <w:tc>
          <w:tcPr>
            <w:tcW w:w="2090" w:type="dxa"/>
            <w:shd w:val="clear" w:color="auto" w:fill="FFFFFF"/>
          </w:tcPr>
          <w:p w14:paraId="3C82E757">
            <w:pPr>
              <w:spacing w:line="480" w:lineRule="auto"/>
              <w:jc w:val="both"/>
              <w:rPr>
                <w:rFonts w:hint="default" w:ascii="Arial" w:hAnsi="Arial" w:cs="Arial"/>
                <w:sz w:val="24"/>
                <w:szCs w:val="24"/>
              </w:rPr>
            </w:pPr>
            <w:r>
              <w:rPr>
                <w:rFonts w:hint="default" w:ascii="Arial" w:hAnsi="Arial" w:cs="Arial"/>
                <w:sz w:val="24"/>
                <w:szCs w:val="24"/>
              </w:rPr>
              <w:t>39.8500</w:t>
            </w:r>
          </w:p>
        </w:tc>
        <w:tc>
          <w:tcPr>
            <w:tcW w:w="1800" w:type="dxa"/>
            <w:shd w:val="clear" w:color="auto" w:fill="FFFFFF"/>
          </w:tcPr>
          <w:p w14:paraId="04F1C47C">
            <w:pPr>
              <w:spacing w:line="480" w:lineRule="auto"/>
              <w:jc w:val="both"/>
              <w:rPr>
                <w:rFonts w:hint="default" w:ascii="Arial" w:hAnsi="Arial" w:cs="Arial"/>
                <w:sz w:val="24"/>
                <w:szCs w:val="24"/>
              </w:rPr>
            </w:pPr>
            <w:r>
              <w:rPr>
                <w:rFonts w:hint="default" w:ascii="Arial" w:hAnsi="Arial" w:cs="Arial"/>
                <w:sz w:val="24"/>
                <w:szCs w:val="24"/>
              </w:rPr>
              <w:t>59.624</w:t>
            </w:r>
          </w:p>
        </w:tc>
        <w:tc>
          <w:tcPr>
            <w:tcW w:w="1771" w:type="dxa"/>
            <w:shd w:val="clear" w:color="auto" w:fill="FFFFFF"/>
          </w:tcPr>
          <w:p w14:paraId="4A0B79C0">
            <w:pPr>
              <w:spacing w:line="480" w:lineRule="auto"/>
              <w:jc w:val="both"/>
              <w:rPr>
                <w:rFonts w:hint="default" w:ascii="Arial" w:hAnsi="Arial" w:cs="Arial"/>
                <w:sz w:val="24"/>
                <w:szCs w:val="24"/>
              </w:rPr>
            </w:pPr>
            <w:r>
              <w:rPr>
                <w:rFonts w:hint="default" w:ascii="Arial" w:hAnsi="Arial" w:cs="Arial"/>
                <w:sz w:val="24"/>
                <w:szCs w:val="24"/>
              </w:rPr>
              <w:t>.660</w:t>
            </w:r>
          </w:p>
        </w:tc>
        <w:tc>
          <w:tcPr>
            <w:tcW w:w="1820" w:type="dxa"/>
            <w:shd w:val="clear" w:color="auto" w:fill="FFFFFF"/>
          </w:tcPr>
          <w:p w14:paraId="354A9723">
            <w:pPr>
              <w:spacing w:line="480" w:lineRule="auto"/>
              <w:jc w:val="both"/>
              <w:rPr>
                <w:rFonts w:hint="default" w:ascii="Arial" w:hAnsi="Arial" w:cs="Arial"/>
                <w:sz w:val="24"/>
                <w:szCs w:val="24"/>
              </w:rPr>
            </w:pPr>
            <w:r>
              <w:rPr>
                <w:rFonts w:hint="default" w:ascii="Arial" w:hAnsi="Arial" w:cs="Arial"/>
                <w:sz w:val="24"/>
                <w:szCs w:val="24"/>
              </w:rPr>
              <w:t>.916</w:t>
            </w:r>
          </w:p>
        </w:tc>
      </w:tr>
      <w:tr w14:paraId="2F7DE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3219C2B7">
            <w:pPr>
              <w:spacing w:line="480" w:lineRule="auto"/>
              <w:jc w:val="both"/>
              <w:rPr>
                <w:rFonts w:hint="default" w:ascii="Arial" w:hAnsi="Arial" w:cs="Arial"/>
                <w:sz w:val="24"/>
                <w:szCs w:val="24"/>
              </w:rPr>
            </w:pPr>
            <w:r>
              <w:rPr>
                <w:rFonts w:hint="default" w:ascii="Arial" w:hAnsi="Arial" w:cs="Arial"/>
                <w:sz w:val="24"/>
                <w:szCs w:val="24"/>
              </w:rPr>
              <w:t>C3</w:t>
            </w:r>
          </w:p>
        </w:tc>
        <w:tc>
          <w:tcPr>
            <w:tcW w:w="2090" w:type="dxa"/>
            <w:shd w:val="clear" w:color="auto" w:fill="FFFFFF"/>
          </w:tcPr>
          <w:p w14:paraId="214FC172">
            <w:pPr>
              <w:spacing w:line="480" w:lineRule="auto"/>
              <w:jc w:val="both"/>
              <w:rPr>
                <w:rFonts w:hint="default" w:ascii="Arial" w:hAnsi="Arial" w:cs="Arial"/>
                <w:sz w:val="24"/>
                <w:szCs w:val="24"/>
              </w:rPr>
            </w:pPr>
            <w:r>
              <w:rPr>
                <w:rFonts w:hint="default" w:ascii="Arial" w:hAnsi="Arial" w:cs="Arial"/>
                <w:sz w:val="24"/>
                <w:szCs w:val="24"/>
              </w:rPr>
              <w:t>39.8500</w:t>
            </w:r>
          </w:p>
        </w:tc>
        <w:tc>
          <w:tcPr>
            <w:tcW w:w="1800" w:type="dxa"/>
            <w:shd w:val="clear" w:color="auto" w:fill="FFFFFF"/>
          </w:tcPr>
          <w:p w14:paraId="0BBCF986">
            <w:pPr>
              <w:spacing w:line="480" w:lineRule="auto"/>
              <w:jc w:val="both"/>
              <w:rPr>
                <w:rFonts w:hint="default" w:ascii="Arial" w:hAnsi="Arial" w:cs="Arial"/>
                <w:sz w:val="24"/>
                <w:szCs w:val="24"/>
              </w:rPr>
            </w:pPr>
            <w:r>
              <w:rPr>
                <w:rFonts w:hint="default" w:ascii="Arial" w:hAnsi="Arial" w:cs="Arial"/>
                <w:sz w:val="24"/>
                <w:szCs w:val="24"/>
              </w:rPr>
              <w:t>57.967</w:t>
            </w:r>
          </w:p>
        </w:tc>
        <w:tc>
          <w:tcPr>
            <w:tcW w:w="1771" w:type="dxa"/>
            <w:shd w:val="clear" w:color="auto" w:fill="FFFFFF"/>
          </w:tcPr>
          <w:p w14:paraId="6BBD4B9D">
            <w:pPr>
              <w:spacing w:line="480" w:lineRule="auto"/>
              <w:jc w:val="both"/>
              <w:rPr>
                <w:rFonts w:hint="default" w:ascii="Arial" w:hAnsi="Arial" w:cs="Arial"/>
                <w:sz w:val="24"/>
                <w:szCs w:val="24"/>
              </w:rPr>
            </w:pPr>
            <w:r>
              <w:rPr>
                <w:rFonts w:hint="default" w:ascii="Arial" w:hAnsi="Arial" w:cs="Arial"/>
                <w:sz w:val="24"/>
                <w:szCs w:val="24"/>
              </w:rPr>
              <w:t>.738</w:t>
            </w:r>
          </w:p>
        </w:tc>
        <w:tc>
          <w:tcPr>
            <w:tcW w:w="1820" w:type="dxa"/>
            <w:shd w:val="clear" w:color="auto" w:fill="FFFFFF"/>
          </w:tcPr>
          <w:p w14:paraId="580AC03E">
            <w:pPr>
              <w:spacing w:line="480" w:lineRule="auto"/>
              <w:jc w:val="both"/>
              <w:rPr>
                <w:rFonts w:hint="default" w:ascii="Arial" w:hAnsi="Arial" w:cs="Arial"/>
                <w:sz w:val="24"/>
                <w:szCs w:val="24"/>
              </w:rPr>
            </w:pPr>
            <w:r>
              <w:rPr>
                <w:rFonts w:hint="default" w:ascii="Arial" w:hAnsi="Arial" w:cs="Arial"/>
                <w:sz w:val="24"/>
                <w:szCs w:val="24"/>
              </w:rPr>
              <w:t>.913</w:t>
            </w:r>
          </w:p>
        </w:tc>
      </w:tr>
      <w:tr w14:paraId="4FADF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741" w:type="dxa"/>
            <w:shd w:val="clear" w:color="auto" w:fill="FFFFFF"/>
            <w:vAlign w:val="center"/>
          </w:tcPr>
          <w:p w14:paraId="0D2A0464">
            <w:pPr>
              <w:spacing w:line="480" w:lineRule="auto"/>
              <w:jc w:val="both"/>
              <w:rPr>
                <w:rFonts w:hint="default" w:ascii="Arial" w:hAnsi="Arial" w:cs="Arial"/>
                <w:sz w:val="24"/>
                <w:szCs w:val="24"/>
              </w:rPr>
            </w:pPr>
            <w:r>
              <w:rPr>
                <w:rFonts w:hint="default" w:ascii="Arial" w:hAnsi="Arial" w:cs="Arial"/>
                <w:sz w:val="24"/>
                <w:szCs w:val="24"/>
              </w:rPr>
              <w:t>C4</w:t>
            </w:r>
          </w:p>
        </w:tc>
        <w:tc>
          <w:tcPr>
            <w:tcW w:w="2090" w:type="dxa"/>
            <w:shd w:val="clear" w:color="auto" w:fill="FFFFFF"/>
          </w:tcPr>
          <w:p w14:paraId="1FF71C77">
            <w:pPr>
              <w:spacing w:line="480" w:lineRule="auto"/>
              <w:jc w:val="both"/>
              <w:rPr>
                <w:rFonts w:hint="default" w:ascii="Arial" w:hAnsi="Arial" w:cs="Arial"/>
                <w:sz w:val="24"/>
                <w:szCs w:val="24"/>
              </w:rPr>
            </w:pPr>
            <w:r>
              <w:rPr>
                <w:rFonts w:hint="default" w:ascii="Arial" w:hAnsi="Arial" w:cs="Arial"/>
                <w:sz w:val="24"/>
                <w:szCs w:val="24"/>
              </w:rPr>
              <w:t>39.7900</w:t>
            </w:r>
          </w:p>
        </w:tc>
        <w:tc>
          <w:tcPr>
            <w:tcW w:w="1800" w:type="dxa"/>
            <w:shd w:val="clear" w:color="auto" w:fill="FFFFFF"/>
          </w:tcPr>
          <w:p w14:paraId="660BB42E">
            <w:pPr>
              <w:spacing w:line="480" w:lineRule="auto"/>
              <w:jc w:val="both"/>
              <w:rPr>
                <w:rFonts w:hint="default" w:ascii="Arial" w:hAnsi="Arial" w:cs="Arial"/>
                <w:sz w:val="24"/>
                <w:szCs w:val="24"/>
              </w:rPr>
            </w:pPr>
            <w:r>
              <w:rPr>
                <w:rFonts w:hint="default" w:ascii="Arial" w:hAnsi="Arial" w:cs="Arial"/>
                <w:sz w:val="24"/>
                <w:szCs w:val="24"/>
              </w:rPr>
              <w:t>57.198</w:t>
            </w:r>
          </w:p>
        </w:tc>
        <w:tc>
          <w:tcPr>
            <w:tcW w:w="1771" w:type="dxa"/>
            <w:shd w:val="clear" w:color="auto" w:fill="FFFFFF"/>
          </w:tcPr>
          <w:p w14:paraId="6A0C3654">
            <w:pPr>
              <w:spacing w:line="480" w:lineRule="auto"/>
              <w:jc w:val="both"/>
              <w:rPr>
                <w:rFonts w:hint="default" w:ascii="Arial" w:hAnsi="Arial" w:cs="Arial"/>
                <w:sz w:val="24"/>
                <w:szCs w:val="24"/>
              </w:rPr>
            </w:pPr>
            <w:r>
              <w:rPr>
                <w:rFonts w:hint="default" w:ascii="Arial" w:hAnsi="Arial" w:cs="Arial"/>
                <w:sz w:val="24"/>
                <w:szCs w:val="24"/>
              </w:rPr>
              <w:t>.776</w:t>
            </w:r>
          </w:p>
        </w:tc>
        <w:tc>
          <w:tcPr>
            <w:tcW w:w="1820" w:type="dxa"/>
            <w:shd w:val="clear" w:color="auto" w:fill="FFFFFF"/>
          </w:tcPr>
          <w:p w14:paraId="718D2AC0">
            <w:pPr>
              <w:spacing w:line="480" w:lineRule="auto"/>
              <w:jc w:val="both"/>
              <w:rPr>
                <w:rFonts w:hint="default" w:ascii="Arial" w:hAnsi="Arial" w:cs="Arial"/>
                <w:sz w:val="24"/>
                <w:szCs w:val="24"/>
              </w:rPr>
            </w:pPr>
            <w:r>
              <w:rPr>
                <w:rFonts w:hint="default" w:ascii="Arial" w:hAnsi="Arial" w:cs="Arial"/>
                <w:sz w:val="24"/>
                <w:szCs w:val="24"/>
              </w:rPr>
              <w:t>.911</w:t>
            </w:r>
          </w:p>
        </w:tc>
      </w:tr>
    </w:tbl>
    <w:p w14:paraId="6051C5F5">
      <w:pPr>
        <w:spacing w:line="480" w:lineRule="auto"/>
        <w:jc w:val="both"/>
        <w:rPr>
          <w:rFonts w:hint="default" w:ascii="Arial" w:hAnsi="Arial" w:cs="Arial"/>
          <w:i/>
          <w:iCs/>
          <w:sz w:val="24"/>
          <w:szCs w:val="24"/>
        </w:rPr>
      </w:pPr>
      <w:r>
        <w:rPr>
          <w:rFonts w:hint="default" w:ascii="Arial" w:hAnsi="Arial" w:cs="Arial"/>
          <w:i/>
          <w:iCs/>
          <w:sz w:val="24"/>
          <w:szCs w:val="24"/>
        </w:rPr>
        <w:t xml:space="preserve">Table </w:t>
      </w:r>
      <w:r>
        <w:rPr>
          <w:rFonts w:hint="default" w:ascii="Arial" w:hAnsi="Arial" w:cs="Arial"/>
          <w:i/>
          <w:iCs/>
          <w:sz w:val="24"/>
          <w:szCs w:val="24"/>
        </w:rPr>
        <w:fldChar w:fldCharType="begin"/>
      </w:r>
      <w:r>
        <w:rPr>
          <w:rFonts w:hint="default" w:ascii="Arial" w:hAnsi="Arial" w:cs="Arial"/>
          <w:i/>
          <w:iCs/>
          <w:sz w:val="24"/>
          <w:szCs w:val="24"/>
        </w:rPr>
        <w:instrText xml:space="preserve"> SEQ Table \* ARABIC </w:instrText>
      </w:r>
      <w:r>
        <w:rPr>
          <w:rFonts w:hint="default" w:ascii="Arial" w:hAnsi="Arial" w:cs="Arial"/>
          <w:i/>
          <w:iCs/>
          <w:sz w:val="24"/>
          <w:szCs w:val="24"/>
        </w:rPr>
        <w:fldChar w:fldCharType="separate"/>
      </w:r>
      <w:r>
        <w:rPr>
          <w:rFonts w:hint="default" w:ascii="Arial" w:hAnsi="Arial" w:cs="Arial"/>
          <w:i/>
          <w:iCs/>
          <w:sz w:val="24"/>
          <w:szCs w:val="24"/>
        </w:rPr>
        <w:t>3</w:t>
      </w:r>
      <w:r>
        <w:rPr>
          <w:rFonts w:hint="default" w:ascii="Arial" w:hAnsi="Arial" w:cs="Arial"/>
          <w:sz w:val="24"/>
          <w:szCs w:val="24"/>
        </w:rPr>
        <w:fldChar w:fldCharType="end"/>
      </w:r>
      <w:r>
        <w:rPr>
          <w:rFonts w:hint="default" w:ascii="Arial" w:hAnsi="Arial" w:cs="Arial"/>
          <w:i/>
          <w:iCs/>
          <w:sz w:val="24"/>
          <w:szCs w:val="24"/>
        </w:rPr>
        <w:t>: Reliability of Constructs</w:t>
      </w:r>
    </w:p>
    <w:p w14:paraId="3C243819">
      <w:pPr>
        <w:spacing w:line="480" w:lineRule="auto"/>
        <w:jc w:val="both"/>
        <w:rPr>
          <w:rFonts w:hint="default" w:ascii="Arial" w:hAnsi="Arial" w:cs="Arial"/>
          <w:sz w:val="24"/>
          <w:szCs w:val="24"/>
        </w:rPr>
      </w:pPr>
      <w:r>
        <w:rPr>
          <w:rFonts w:hint="default" w:ascii="Arial" w:hAnsi="Arial" w:cs="Arial"/>
          <w:sz w:val="24"/>
          <w:szCs w:val="24"/>
        </w:rPr>
        <w:t xml:space="preserve">A questionnaire's validity and reliability can be determined using an item-total analysis, as shown in the table 3.  This table shows that Perceived ESG (PESG) scale measures the perceived environmental, social and governance (ESG) adoption and impact on sales, price and brand reputation. The Cronbach's Alpha scores lie between 0.914 and 0.920 which shows internal consistency of items. Similarly, risk performance and challenges likert scales have also showcased internal consistency with values of 0.911–0.917. Overall, it has been assessed that survey is a reliable tool for measuring ESG, risk performance, and problems reflected through their strong internal consistency and substantial item-total correlations.  </w:t>
      </w:r>
    </w:p>
    <w:p w14:paraId="5488E6BB">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49" w:name="_Toc25295"/>
      <w:r>
        <w:rPr>
          <w:rFonts w:hint="eastAsia" w:ascii="Arial" w:hAnsi="Arial" w:cs="Arial"/>
          <w:b/>
          <w:color w:val="2E75B6" w:themeColor="accent1" w:themeShade="BF"/>
          <w:sz w:val="24"/>
          <w:szCs w:val="24"/>
          <w:lang w:val="en-US" w:eastAsia="zh-CN" w:bidi="ar-SA"/>
        </w:rPr>
        <w:t>4</w:t>
      </w:r>
      <w:r>
        <w:rPr>
          <w:rFonts w:hint="default" w:ascii="Arial" w:hAnsi="Arial" w:cs="Arial" w:eastAsiaTheme="majorEastAsia"/>
          <w:b/>
          <w:color w:val="2E75B6" w:themeColor="accent1" w:themeShade="BF"/>
          <w:sz w:val="24"/>
          <w:szCs w:val="24"/>
          <w:lang w:val="en-US" w:eastAsia="en-US" w:bidi="ar-SA"/>
        </w:rPr>
        <w:t>.2</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Descriptive</w:t>
      </w:r>
      <w:bookmarkEnd w:id="49"/>
      <w:r>
        <w:rPr>
          <w:rFonts w:hint="default" w:ascii="Arial" w:hAnsi="Arial" w:cs="Arial"/>
          <w:sz w:val="24"/>
          <w:szCs w:val="24"/>
        </w:rPr>
        <w:t xml:space="preserve"> </w:t>
      </w:r>
    </w:p>
    <w:p w14:paraId="230870FF">
      <w:pPr>
        <w:spacing w:line="480" w:lineRule="auto"/>
        <w:jc w:val="both"/>
        <w:rPr>
          <w:rFonts w:hint="default" w:ascii="Arial" w:hAnsi="Arial" w:cs="Arial"/>
          <w:sz w:val="24"/>
          <w:szCs w:val="24"/>
        </w:rPr>
      </w:pPr>
      <w:r>
        <w:rPr>
          <w:rFonts w:hint="default" w:ascii="Arial" w:hAnsi="Arial" w:cs="Arial"/>
          <w:sz w:val="24"/>
          <w:szCs w:val="24"/>
        </w:rPr>
        <w:t xml:space="preserve">The descriptive statistics provides summary of survey results for interpreting results (Kaliyadan and Kilkarni, 2019). The mean shows the average responses while standard deviation represents the variability in responses. Joshi et al. (2015) have explicated that descriptive statistics helps to generalize survey results by showing patterns, trends, and inconsistencies and allowing comparison, analysis, and outlier detection. Furthermore, Skewness and kurtosis shows the degree of symmetry and peak of dataset. </w:t>
      </w:r>
    </w:p>
    <w:tbl>
      <w:tblPr>
        <w:tblStyle w:val="20"/>
        <w:tblW w:w="87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739"/>
        <w:gridCol w:w="995"/>
        <w:gridCol w:w="2151"/>
        <w:gridCol w:w="1564"/>
        <w:gridCol w:w="1314"/>
      </w:tblGrid>
      <w:tr w14:paraId="6D36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tcPr>
          <w:p w14:paraId="15E3B10B">
            <w:pPr>
              <w:spacing w:line="480" w:lineRule="auto"/>
              <w:jc w:val="both"/>
              <w:rPr>
                <w:rFonts w:hint="default" w:ascii="Arial" w:hAnsi="Arial" w:cs="Arial"/>
                <w:b/>
                <w:sz w:val="24"/>
                <w:szCs w:val="24"/>
              </w:rPr>
            </w:pPr>
          </w:p>
        </w:tc>
        <w:tc>
          <w:tcPr>
            <w:tcW w:w="0" w:type="auto"/>
            <w:shd w:val="clear" w:color="auto" w:fill="FFFFFF"/>
          </w:tcPr>
          <w:p w14:paraId="5B0BB4A2">
            <w:pPr>
              <w:spacing w:line="480" w:lineRule="auto"/>
              <w:jc w:val="both"/>
              <w:rPr>
                <w:rFonts w:hint="default" w:ascii="Arial" w:hAnsi="Arial" w:cs="Arial"/>
                <w:b/>
                <w:sz w:val="24"/>
                <w:szCs w:val="24"/>
              </w:rPr>
            </w:pPr>
            <w:r>
              <w:rPr>
                <w:rFonts w:hint="default" w:ascii="Arial" w:hAnsi="Arial" w:cs="Arial"/>
                <w:b/>
                <w:sz w:val="24"/>
                <w:szCs w:val="24"/>
              </w:rPr>
              <w:t>Mean</w:t>
            </w:r>
          </w:p>
        </w:tc>
        <w:tc>
          <w:tcPr>
            <w:tcW w:w="0" w:type="auto"/>
            <w:shd w:val="clear" w:color="auto" w:fill="FFFFFF"/>
          </w:tcPr>
          <w:p w14:paraId="6B1D892F">
            <w:pPr>
              <w:spacing w:line="480" w:lineRule="auto"/>
              <w:jc w:val="both"/>
              <w:rPr>
                <w:rFonts w:hint="default" w:ascii="Arial" w:hAnsi="Arial" w:cs="Arial"/>
                <w:b/>
                <w:sz w:val="24"/>
                <w:szCs w:val="24"/>
              </w:rPr>
            </w:pPr>
            <w:r>
              <w:rPr>
                <w:rFonts w:hint="default" w:ascii="Arial" w:hAnsi="Arial" w:cs="Arial"/>
                <w:b/>
                <w:sz w:val="24"/>
                <w:szCs w:val="24"/>
              </w:rPr>
              <w:t>Std. Deviation</w:t>
            </w:r>
          </w:p>
        </w:tc>
        <w:tc>
          <w:tcPr>
            <w:tcW w:w="0" w:type="auto"/>
            <w:shd w:val="clear" w:color="auto" w:fill="FFFFFF"/>
          </w:tcPr>
          <w:p w14:paraId="6724C436">
            <w:pPr>
              <w:spacing w:line="480" w:lineRule="auto"/>
              <w:jc w:val="both"/>
              <w:rPr>
                <w:rFonts w:hint="default" w:ascii="Arial" w:hAnsi="Arial" w:cs="Arial"/>
                <w:b/>
                <w:sz w:val="24"/>
                <w:szCs w:val="24"/>
              </w:rPr>
            </w:pPr>
            <w:r>
              <w:rPr>
                <w:rFonts w:hint="default" w:ascii="Arial" w:hAnsi="Arial" w:cs="Arial"/>
                <w:b/>
                <w:sz w:val="24"/>
                <w:szCs w:val="24"/>
              </w:rPr>
              <w:t>Skewness</w:t>
            </w:r>
          </w:p>
        </w:tc>
        <w:tc>
          <w:tcPr>
            <w:tcW w:w="0" w:type="auto"/>
            <w:shd w:val="clear" w:color="auto" w:fill="FFFFFF"/>
          </w:tcPr>
          <w:p w14:paraId="08883A71">
            <w:pPr>
              <w:spacing w:line="480" w:lineRule="auto"/>
              <w:jc w:val="both"/>
              <w:rPr>
                <w:rFonts w:hint="default" w:ascii="Arial" w:hAnsi="Arial" w:cs="Arial"/>
                <w:b/>
                <w:sz w:val="24"/>
                <w:szCs w:val="24"/>
              </w:rPr>
            </w:pPr>
            <w:r>
              <w:rPr>
                <w:rFonts w:hint="default" w:ascii="Arial" w:hAnsi="Arial" w:cs="Arial"/>
                <w:b/>
                <w:sz w:val="24"/>
                <w:szCs w:val="24"/>
              </w:rPr>
              <w:t>Kurtosis</w:t>
            </w:r>
          </w:p>
        </w:tc>
      </w:tr>
      <w:tr w14:paraId="27F3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8" w:hRule="atLeast"/>
        </w:trPr>
        <w:tc>
          <w:tcPr>
            <w:tcW w:w="0" w:type="auto"/>
            <w:shd w:val="clear" w:color="auto" w:fill="FFFFFF"/>
          </w:tcPr>
          <w:p w14:paraId="64B0281F">
            <w:pPr>
              <w:spacing w:line="480" w:lineRule="auto"/>
              <w:jc w:val="both"/>
              <w:rPr>
                <w:rFonts w:hint="default" w:ascii="Arial" w:hAnsi="Arial" w:cs="Arial"/>
                <w:b/>
                <w:sz w:val="24"/>
                <w:szCs w:val="24"/>
              </w:rPr>
            </w:pPr>
            <w:r>
              <w:rPr>
                <w:rFonts w:hint="default" w:ascii="Arial" w:hAnsi="Arial" w:cs="Arial"/>
                <w:b/>
                <w:sz w:val="24"/>
                <w:szCs w:val="24"/>
              </w:rPr>
              <w:t>Perceived ESG</w:t>
            </w:r>
          </w:p>
        </w:tc>
        <w:tc>
          <w:tcPr>
            <w:tcW w:w="0" w:type="auto"/>
            <w:shd w:val="clear" w:color="auto" w:fill="FFFFFF"/>
          </w:tcPr>
          <w:p w14:paraId="550017BC">
            <w:pPr>
              <w:spacing w:line="480" w:lineRule="auto"/>
              <w:jc w:val="both"/>
              <w:rPr>
                <w:rFonts w:hint="default" w:ascii="Arial" w:hAnsi="Arial" w:cs="Arial"/>
                <w:sz w:val="24"/>
                <w:szCs w:val="24"/>
              </w:rPr>
            </w:pPr>
          </w:p>
        </w:tc>
        <w:tc>
          <w:tcPr>
            <w:tcW w:w="0" w:type="auto"/>
            <w:shd w:val="clear" w:color="auto" w:fill="FFFFFF"/>
          </w:tcPr>
          <w:p w14:paraId="7F9B6567">
            <w:pPr>
              <w:spacing w:line="480" w:lineRule="auto"/>
              <w:jc w:val="both"/>
              <w:rPr>
                <w:rFonts w:hint="default" w:ascii="Arial" w:hAnsi="Arial" w:cs="Arial"/>
                <w:sz w:val="24"/>
                <w:szCs w:val="24"/>
              </w:rPr>
            </w:pPr>
          </w:p>
        </w:tc>
        <w:tc>
          <w:tcPr>
            <w:tcW w:w="0" w:type="auto"/>
            <w:shd w:val="clear" w:color="auto" w:fill="FFFFFF"/>
          </w:tcPr>
          <w:p w14:paraId="078E2605">
            <w:pPr>
              <w:spacing w:line="480" w:lineRule="auto"/>
              <w:jc w:val="both"/>
              <w:rPr>
                <w:rFonts w:hint="default" w:ascii="Arial" w:hAnsi="Arial" w:cs="Arial"/>
                <w:sz w:val="24"/>
                <w:szCs w:val="24"/>
              </w:rPr>
            </w:pPr>
          </w:p>
        </w:tc>
        <w:tc>
          <w:tcPr>
            <w:tcW w:w="0" w:type="auto"/>
            <w:shd w:val="clear" w:color="auto" w:fill="FFFFFF"/>
          </w:tcPr>
          <w:p w14:paraId="73553C32">
            <w:pPr>
              <w:spacing w:line="480" w:lineRule="auto"/>
              <w:jc w:val="both"/>
              <w:rPr>
                <w:rFonts w:hint="default" w:ascii="Arial" w:hAnsi="Arial" w:cs="Arial"/>
                <w:sz w:val="24"/>
                <w:szCs w:val="24"/>
              </w:rPr>
            </w:pPr>
          </w:p>
        </w:tc>
      </w:tr>
      <w:tr w14:paraId="68374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383A0F59">
            <w:pPr>
              <w:spacing w:line="480" w:lineRule="auto"/>
              <w:jc w:val="both"/>
              <w:rPr>
                <w:rFonts w:hint="default" w:ascii="Arial" w:hAnsi="Arial" w:cs="Arial"/>
                <w:sz w:val="24"/>
                <w:szCs w:val="24"/>
              </w:rPr>
            </w:pPr>
            <w:r>
              <w:rPr>
                <w:rFonts w:hint="default" w:ascii="Arial" w:hAnsi="Arial" w:cs="Arial"/>
                <w:sz w:val="24"/>
                <w:szCs w:val="24"/>
              </w:rPr>
              <w:t>PESG1</w:t>
            </w:r>
          </w:p>
        </w:tc>
        <w:tc>
          <w:tcPr>
            <w:tcW w:w="0" w:type="auto"/>
            <w:shd w:val="clear" w:color="auto" w:fill="FFFFFF"/>
          </w:tcPr>
          <w:p w14:paraId="266B8C05">
            <w:pPr>
              <w:spacing w:line="480" w:lineRule="auto"/>
              <w:jc w:val="both"/>
              <w:rPr>
                <w:rFonts w:hint="default" w:ascii="Arial" w:hAnsi="Arial" w:cs="Arial"/>
                <w:sz w:val="24"/>
                <w:szCs w:val="24"/>
              </w:rPr>
            </w:pPr>
            <w:r>
              <w:rPr>
                <w:rFonts w:hint="default" w:ascii="Arial" w:hAnsi="Arial" w:cs="Arial"/>
                <w:sz w:val="24"/>
                <w:szCs w:val="24"/>
              </w:rPr>
              <w:t>3.54</w:t>
            </w:r>
          </w:p>
        </w:tc>
        <w:tc>
          <w:tcPr>
            <w:tcW w:w="0" w:type="auto"/>
            <w:shd w:val="clear" w:color="auto" w:fill="FFFFFF"/>
          </w:tcPr>
          <w:p w14:paraId="06E7689F">
            <w:pPr>
              <w:spacing w:line="480" w:lineRule="auto"/>
              <w:jc w:val="both"/>
              <w:rPr>
                <w:rFonts w:hint="default" w:ascii="Arial" w:hAnsi="Arial" w:cs="Arial"/>
                <w:sz w:val="24"/>
                <w:szCs w:val="24"/>
              </w:rPr>
            </w:pPr>
            <w:r>
              <w:rPr>
                <w:rFonts w:hint="default" w:ascii="Arial" w:hAnsi="Arial" w:cs="Arial"/>
                <w:sz w:val="24"/>
                <w:szCs w:val="24"/>
              </w:rPr>
              <w:t>.915</w:t>
            </w:r>
          </w:p>
        </w:tc>
        <w:tc>
          <w:tcPr>
            <w:tcW w:w="0" w:type="auto"/>
            <w:shd w:val="clear" w:color="auto" w:fill="FFFFFF"/>
          </w:tcPr>
          <w:p w14:paraId="76A55634">
            <w:pPr>
              <w:spacing w:line="480" w:lineRule="auto"/>
              <w:jc w:val="both"/>
              <w:rPr>
                <w:rFonts w:hint="default" w:ascii="Arial" w:hAnsi="Arial" w:cs="Arial"/>
                <w:sz w:val="24"/>
                <w:szCs w:val="24"/>
              </w:rPr>
            </w:pPr>
            <w:r>
              <w:rPr>
                <w:rFonts w:hint="default" w:ascii="Arial" w:hAnsi="Arial" w:cs="Arial"/>
                <w:sz w:val="24"/>
                <w:szCs w:val="24"/>
              </w:rPr>
              <w:t>-.322</w:t>
            </w:r>
          </w:p>
        </w:tc>
        <w:tc>
          <w:tcPr>
            <w:tcW w:w="0" w:type="auto"/>
            <w:shd w:val="clear" w:color="auto" w:fill="FFFFFF"/>
          </w:tcPr>
          <w:p w14:paraId="3FE8FCCE">
            <w:pPr>
              <w:spacing w:line="480" w:lineRule="auto"/>
              <w:jc w:val="both"/>
              <w:rPr>
                <w:rFonts w:hint="default" w:ascii="Arial" w:hAnsi="Arial" w:cs="Arial"/>
                <w:sz w:val="24"/>
                <w:szCs w:val="24"/>
              </w:rPr>
            </w:pPr>
            <w:r>
              <w:rPr>
                <w:rFonts w:hint="default" w:ascii="Arial" w:hAnsi="Arial" w:cs="Arial"/>
                <w:sz w:val="24"/>
                <w:szCs w:val="24"/>
              </w:rPr>
              <w:t>-.360</w:t>
            </w:r>
          </w:p>
        </w:tc>
      </w:tr>
      <w:tr w14:paraId="4AE64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2B527285">
            <w:pPr>
              <w:spacing w:line="480" w:lineRule="auto"/>
              <w:jc w:val="both"/>
              <w:rPr>
                <w:rFonts w:hint="default" w:ascii="Arial" w:hAnsi="Arial" w:cs="Arial"/>
                <w:sz w:val="24"/>
                <w:szCs w:val="24"/>
              </w:rPr>
            </w:pPr>
            <w:r>
              <w:rPr>
                <w:rFonts w:hint="default" w:ascii="Arial" w:hAnsi="Arial" w:cs="Arial"/>
                <w:sz w:val="24"/>
                <w:szCs w:val="24"/>
              </w:rPr>
              <w:t>PESG2</w:t>
            </w:r>
          </w:p>
        </w:tc>
        <w:tc>
          <w:tcPr>
            <w:tcW w:w="0" w:type="auto"/>
            <w:shd w:val="clear" w:color="auto" w:fill="FFFFFF"/>
          </w:tcPr>
          <w:p w14:paraId="150031B5">
            <w:pPr>
              <w:spacing w:line="480" w:lineRule="auto"/>
              <w:jc w:val="both"/>
              <w:rPr>
                <w:rFonts w:hint="default" w:ascii="Arial" w:hAnsi="Arial" w:cs="Arial"/>
                <w:sz w:val="24"/>
                <w:szCs w:val="24"/>
              </w:rPr>
            </w:pPr>
            <w:r>
              <w:rPr>
                <w:rFonts w:hint="default" w:ascii="Arial" w:hAnsi="Arial" w:cs="Arial"/>
                <w:sz w:val="24"/>
                <w:szCs w:val="24"/>
              </w:rPr>
              <w:t>3.70</w:t>
            </w:r>
          </w:p>
        </w:tc>
        <w:tc>
          <w:tcPr>
            <w:tcW w:w="0" w:type="auto"/>
            <w:shd w:val="clear" w:color="auto" w:fill="FFFFFF"/>
          </w:tcPr>
          <w:p w14:paraId="437FBAFB">
            <w:pPr>
              <w:spacing w:line="480" w:lineRule="auto"/>
              <w:jc w:val="both"/>
              <w:rPr>
                <w:rFonts w:hint="default" w:ascii="Arial" w:hAnsi="Arial" w:cs="Arial"/>
                <w:sz w:val="24"/>
                <w:szCs w:val="24"/>
              </w:rPr>
            </w:pPr>
            <w:r>
              <w:rPr>
                <w:rFonts w:hint="default" w:ascii="Arial" w:hAnsi="Arial" w:cs="Arial"/>
                <w:sz w:val="24"/>
                <w:szCs w:val="24"/>
              </w:rPr>
              <w:t>1.030</w:t>
            </w:r>
          </w:p>
        </w:tc>
        <w:tc>
          <w:tcPr>
            <w:tcW w:w="0" w:type="auto"/>
            <w:shd w:val="clear" w:color="auto" w:fill="FFFFFF"/>
          </w:tcPr>
          <w:p w14:paraId="1634FAF0">
            <w:pPr>
              <w:spacing w:line="480" w:lineRule="auto"/>
              <w:jc w:val="both"/>
              <w:rPr>
                <w:rFonts w:hint="default" w:ascii="Arial" w:hAnsi="Arial" w:cs="Arial"/>
                <w:sz w:val="24"/>
                <w:szCs w:val="24"/>
              </w:rPr>
            </w:pPr>
            <w:r>
              <w:rPr>
                <w:rFonts w:hint="default" w:ascii="Arial" w:hAnsi="Arial" w:cs="Arial"/>
                <w:sz w:val="24"/>
                <w:szCs w:val="24"/>
              </w:rPr>
              <w:t>-.328</w:t>
            </w:r>
          </w:p>
        </w:tc>
        <w:tc>
          <w:tcPr>
            <w:tcW w:w="0" w:type="auto"/>
            <w:shd w:val="clear" w:color="auto" w:fill="FFFFFF"/>
          </w:tcPr>
          <w:p w14:paraId="098B952B">
            <w:pPr>
              <w:spacing w:line="480" w:lineRule="auto"/>
              <w:jc w:val="both"/>
              <w:rPr>
                <w:rFonts w:hint="default" w:ascii="Arial" w:hAnsi="Arial" w:cs="Arial"/>
                <w:sz w:val="24"/>
                <w:szCs w:val="24"/>
              </w:rPr>
            </w:pPr>
            <w:r>
              <w:rPr>
                <w:rFonts w:hint="default" w:ascii="Arial" w:hAnsi="Arial" w:cs="Arial"/>
                <w:sz w:val="24"/>
                <w:szCs w:val="24"/>
              </w:rPr>
              <w:t>-.777</w:t>
            </w:r>
          </w:p>
        </w:tc>
      </w:tr>
      <w:tr w14:paraId="52AF2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002A329A">
            <w:pPr>
              <w:spacing w:line="480" w:lineRule="auto"/>
              <w:jc w:val="both"/>
              <w:rPr>
                <w:rFonts w:hint="default" w:ascii="Arial" w:hAnsi="Arial" w:cs="Arial"/>
                <w:sz w:val="24"/>
                <w:szCs w:val="24"/>
              </w:rPr>
            </w:pPr>
            <w:r>
              <w:rPr>
                <w:rFonts w:hint="default" w:ascii="Arial" w:hAnsi="Arial" w:cs="Arial"/>
                <w:sz w:val="24"/>
                <w:szCs w:val="24"/>
              </w:rPr>
              <w:t>PESG3</w:t>
            </w:r>
          </w:p>
        </w:tc>
        <w:tc>
          <w:tcPr>
            <w:tcW w:w="0" w:type="auto"/>
            <w:shd w:val="clear" w:color="auto" w:fill="FFFFFF"/>
          </w:tcPr>
          <w:p w14:paraId="6DE3ED39">
            <w:pPr>
              <w:spacing w:line="480" w:lineRule="auto"/>
              <w:jc w:val="both"/>
              <w:rPr>
                <w:rFonts w:hint="default" w:ascii="Arial" w:hAnsi="Arial" w:cs="Arial"/>
                <w:sz w:val="24"/>
                <w:szCs w:val="24"/>
              </w:rPr>
            </w:pPr>
            <w:r>
              <w:rPr>
                <w:rFonts w:hint="default" w:ascii="Arial" w:hAnsi="Arial" w:cs="Arial"/>
                <w:sz w:val="24"/>
                <w:szCs w:val="24"/>
              </w:rPr>
              <w:t>3.49</w:t>
            </w:r>
          </w:p>
        </w:tc>
        <w:tc>
          <w:tcPr>
            <w:tcW w:w="0" w:type="auto"/>
            <w:shd w:val="clear" w:color="auto" w:fill="FFFFFF"/>
          </w:tcPr>
          <w:p w14:paraId="5C109526">
            <w:pPr>
              <w:spacing w:line="480" w:lineRule="auto"/>
              <w:jc w:val="both"/>
              <w:rPr>
                <w:rFonts w:hint="default" w:ascii="Arial" w:hAnsi="Arial" w:cs="Arial"/>
                <w:sz w:val="24"/>
                <w:szCs w:val="24"/>
              </w:rPr>
            </w:pPr>
            <w:r>
              <w:rPr>
                <w:rFonts w:hint="default" w:ascii="Arial" w:hAnsi="Arial" w:cs="Arial"/>
                <w:sz w:val="24"/>
                <w:szCs w:val="24"/>
              </w:rPr>
              <w:t>.980</w:t>
            </w:r>
          </w:p>
        </w:tc>
        <w:tc>
          <w:tcPr>
            <w:tcW w:w="0" w:type="auto"/>
            <w:shd w:val="clear" w:color="auto" w:fill="FFFFFF"/>
          </w:tcPr>
          <w:p w14:paraId="0336BB2F">
            <w:pPr>
              <w:spacing w:line="480" w:lineRule="auto"/>
              <w:jc w:val="both"/>
              <w:rPr>
                <w:rFonts w:hint="default" w:ascii="Arial" w:hAnsi="Arial" w:cs="Arial"/>
                <w:sz w:val="24"/>
                <w:szCs w:val="24"/>
              </w:rPr>
            </w:pPr>
            <w:r>
              <w:rPr>
                <w:rFonts w:hint="default" w:ascii="Arial" w:hAnsi="Arial" w:cs="Arial"/>
                <w:sz w:val="24"/>
                <w:szCs w:val="24"/>
              </w:rPr>
              <w:t>-.268</w:t>
            </w:r>
          </w:p>
        </w:tc>
        <w:tc>
          <w:tcPr>
            <w:tcW w:w="0" w:type="auto"/>
            <w:shd w:val="clear" w:color="auto" w:fill="FFFFFF"/>
          </w:tcPr>
          <w:p w14:paraId="65B7AE86">
            <w:pPr>
              <w:spacing w:line="480" w:lineRule="auto"/>
              <w:jc w:val="both"/>
              <w:rPr>
                <w:rFonts w:hint="default" w:ascii="Arial" w:hAnsi="Arial" w:cs="Arial"/>
                <w:sz w:val="24"/>
                <w:szCs w:val="24"/>
              </w:rPr>
            </w:pPr>
            <w:r>
              <w:rPr>
                <w:rFonts w:hint="default" w:ascii="Arial" w:hAnsi="Arial" w:cs="Arial"/>
                <w:sz w:val="24"/>
                <w:szCs w:val="24"/>
              </w:rPr>
              <w:t>-.433</w:t>
            </w:r>
          </w:p>
        </w:tc>
      </w:tr>
      <w:tr w14:paraId="5E7DF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24F3612A">
            <w:pPr>
              <w:spacing w:line="480" w:lineRule="auto"/>
              <w:jc w:val="both"/>
              <w:rPr>
                <w:rFonts w:hint="default" w:ascii="Arial" w:hAnsi="Arial" w:cs="Arial"/>
                <w:sz w:val="24"/>
                <w:szCs w:val="24"/>
              </w:rPr>
            </w:pPr>
            <w:r>
              <w:rPr>
                <w:rFonts w:hint="default" w:ascii="Arial" w:hAnsi="Arial" w:cs="Arial"/>
                <w:sz w:val="24"/>
                <w:szCs w:val="24"/>
              </w:rPr>
              <w:t>PESG4</w:t>
            </w:r>
          </w:p>
        </w:tc>
        <w:tc>
          <w:tcPr>
            <w:tcW w:w="0" w:type="auto"/>
            <w:shd w:val="clear" w:color="auto" w:fill="FFFFFF"/>
          </w:tcPr>
          <w:p w14:paraId="27E3524A">
            <w:pPr>
              <w:spacing w:line="480" w:lineRule="auto"/>
              <w:jc w:val="both"/>
              <w:rPr>
                <w:rFonts w:hint="default" w:ascii="Arial" w:hAnsi="Arial" w:cs="Arial"/>
                <w:sz w:val="24"/>
                <w:szCs w:val="24"/>
              </w:rPr>
            </w:pPr>
            <w:r>
              <w:rPr>
                <w:rFonts w:hint="default" w:ascii="Arial" w:hAnsi="Arial" w:cs="Arial"/>
                <w:sz w:val="24"/>
                <w:szCs w:val="24"/>
              </w:rPr>
              <w:t>3.7100</w:t>
            </w:r>
          </w:p>
        </w:tc>
        <w:tc>
          <w:tcPr>
            <w:tcW w:w="0" w:type="auto"/>
            <w:shd w:val="clear" w:color="auto" w:fill="FFFFFF"/>
          </w:tcPr>
          <w:p w14:paraId="56D8A60A">
            <w:pPr>
              <w:spacing w:line="480" w:lineRule="auto"/>
              <w:jc w:val="both"/>
              <w:rPr>
                <w:rFonts w:hint="default" w:ascii="Arial" w:hAnsi="Arial" w:cs="Arial"/>
                <w:sz w:val="24"/>
                <w:szCs w:val="24"/>
              </w:rPr>
            </w:pPr>
            <w:r>
              <w:rPr>
                <w:rFonts w:hint="default" w:ascii="Arial" w:hAnsi="Arial" w:cs="Arial"/>
                <w:sz w:val="24"/>
                <w:szCs w:val="24"/>
              </w:rPr>
              <w:t>.89098</w:t>
            </w:r>
          </w:p>
        </w:tc>
        <w:tc>
          <w:tcPr>
            <w:tcW w:w="0" w:type="auto"/>
            <w:shd w:val="clear" w:color="auto" w:fill="FFFFFF"/>
          </w:tcPr>
          <w:p w14:paraId="5066C092">
            <w:pPr>
              <w:spacing w:line="480" w:lineRule="auto"/>
              <w:jc w:val="both"/>
              <w:rPr>
                <w:rFonts w:hint="default" w:ascii="Arial" w:hAnsi="Arial" w:cs="Arial"/>
                <w:sz w:val="24"/>
                <w:szCs w:val="24"/>
              </w:rPr>
            </w:pPr>
            <w:r>
              <w:rPr>
                <w:rFonts w:hint="default" w:ascii="Arial" w:hAnsi="Arial" w:cs="Arial"/>
                <w:sz w:val="24"/>
                <w:szCs w:val="24"/>
              </w:rPr>
              <w:t>-.090</w:t>
            </w:r>
          </w:p>
        </w:tc>
        <w:tc>
          <w:tcPr>
            <w:tcW w:w="0" w:type="auto"/>
            <w:shd w:val="clear" w:color="auto" w:fill="FFFFFF"/>
          </w:tcPr>
          <w:p w14:paraId="10F6934F">
            <w:pPr>
              <w:spacing w:line="480" w:lineRule="auto"/>
              <w:jc w:val="both"/>
              <w:rPr>
                <w:rFonts w:hint="default" w:ascii="Arial" w:hAnsi="Arial" w:cs="Arial"/>
                <w:sz w:val="24"/>
                <w:szCs w:val="24"/>
              </w:rPr>
            </w:pPr>
            <w:r>
              <w:rPr>
                <w:rFonts w:hint="default" w:ascii="Arial" w:hAnsi="Arial" w:cs="Arial"/>
                <w:sz w:val="24"/>
                <w:szCs w:val="24"/>
              </w:rPr>
              <w:t>-.786</w:t>
            </w:r>
          </w:p>
        </w:tc>
      </w:tr>
      <w:tr w14:paraId="5D89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209CFCE4">
            <w:pPr>
              <w:spacing w:line="480" w:lineRule="auto"/>
              <w:jc w:val="both"/>
              <w:rPr>
                <w:rFonts w:hint="default" w:ascii="Arial" w:hAnsi="Arial" w:cs="Arial"/>
                <w:b/>
                <w:sz w:val="24"/>
                <w:szCs w:val="24"/>
              </w:rPr>
            </w:pPr>
            <w:r>
              <w:rPr>
                <w:rFonts w:hint="default" w:ascii="Arial" w:hAnsi="Arial" w:cs="Arial"/>
                <w:b/>
                <w:sz w:val="24"/>
                <w:szCs w:val="24"/>
              </w:rPr>
              <w:t xml:space="preserve">Risk Performance </w:t>
            </w:r>
          </w:p>
        </w:tc>
        <w:tc>
          <w:tcPr>
            <w:tcW w:w="0" w:type="auto"/>
            <w:shd w:val="clear" w:color="auto" w:fill="FFFFFF"/>
          </w:tcPr>
          <w:p w14:paraId="419E8C19">
            <w:pPr>
              <w:spacing w:line="480" w:lineRule="auto"/>
              <w:jc w:val="both"/>
              <w:rPr>
                <w:rFonts w:hint="default" w:ascii="Arial" w:hAnsi="Arial" w:cs="Arial"/>
                <w:sz w:val="24"/>
                <w:szCs w:val="24"/>
              </w:rPr>
            </w:pPr>
          </w:p>
        </w:tc>
        <w:tc>
          <w:tcPr>
            <w:tcW w:w="0" w:type="auto"/>
            <w:shd w:val="clear" w:color="auto" w:fill="FFFFFF"/>
          </w:tcPr>
          <w:p w14:paraId="7A7169AE">
            <w:pPr>
              <w:spacing w:line="480" w:lineRule="auto"/>
              <w:jc w:val="both"/>
              <w:rPr>
                <w:rFonts w:hint="default" w:ascii="Arial" w:hAnsi="Arial" w:cs="Arial"/>
                <w:sz w:val="24"/>
                <w:szCs w:val="24"/>
              </w:rPr>
            </w:pPr>
          </w:p>
        </w:tc>
        <w:tc>
          <w:tcPr>
            <w:tcW w:w="0" w:type="auto"/>
            <w:shd w:val="clear" w:color="auto" w:fill="FFFFFF"/>
          </w:tcPr>
          <w:p w14:paraId="6BF026CE">
            <w:pPr>
              <w:spacing w:line="480" w:lineRule="auto"/>
              <w:jc w:val="both"/>
              <w:rPr>
                <w:rFonts w:hint="default" w:ascii="Arial" w:hAnsi="Arial" w:cs="Arial"/>
                <w:sz w:val="24"/>
                <w:szCs w:val="24"/>
              </w:rPr>
            </w:pPr>
          </w:p>
        </w:tc>
        <w:tc>
          <w:tcPr>
            <w:tcW w:w="0" w:type="auto"/>
            <w:shd w:val="clear" w:color="auto" w:fill="FFFFFF"/>
          </w:tcPr>
          <w:p w14:paraId="770D8A91">
            <w:pPr>
              <w:spacing w:line="480" w:lineRule="auto"/>
              <w:jc w:val="both"/>
              <w:rPr>
                <w:rFonts w:hint="default" w:ascii="Arial" w:hAnsi="Arial" w:cs="Arial"/>
                <w:sz w:val="24"/>
                <w:szCs w:val="24"/>
              </w:rPr>
            </w:pPr>
          </w:p>
        </w:tc>
      </w:tr>
      <w:tr w14:paraId="470F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0E4465F8">
            <w:pPr>
              <w:spacing w:line="480" w:lineRule="auto"/>
              <w:jc w:val="both"/>
              <w:rPr>
                <w:rFonts w:hint="default" w:ascii="Arial" w:hAnsi="Arial" w:cs="Arial"/>
                <w:sz w:val="24"/>
                <w:szCs w:val="24"/>
              </w:rPr>
            </w:pPr>
            <w:r>
              <w:rPr>
                <w:rFonts w:hint="default" w:ascii="Arial" w:hAnsi="Arial" w:cs="Arial"/>
                <w:sz w:val="24"/>
                <w:szCs w:val="24"/>
              </w:rPr>
              <w:t>RP1</w:t>
            </w:r>
          </w:p>
        </w:tc>
        <w:tc>
          <w:tcPr>
            <w:tcW w:w="0" w:type="auto"/>
            <w:shd w:val="clear" w:color="auto" w:fill="FFFFFF"/>
          </w:tcPr>
          <w:p w14:paraId="71089948">
            <w:pPr>
              <w:spacing w:line="480" w:lineRule="auto"/>
              <w:jc w:val="both"/>
              <w:rPr>
                <w:rFonts w:hint="default" w:ascii="Arial" w:hAnsi="Arial" w:cs="Arial"/>
                <w:sz w:val="24"/>
                <w:szCs w:val="24"/>
              </w:rPr>
            </w:pPr>
            <w:r>
              <w:rPr>
                <w:rFonts w:hint="default" w:ascii="Arial" w:hAnsi="Arial" w:cs="Arial"/>
                <w:sz w:val="24"/>
                <w:szCs w:val="24"/>
              </w:rPr>
              <w:t>3.67</w:t>
            </w:r>
          </w:p>
        </w:tc>
        <w:tc>
          <w:tcPr>
            <w:tcW w:w="0" w:type="auto"/>
            <w:shd w:val="clear" w:color="auto" w:fill="FFFFFF"/>
          </w:tcPr>
          <w:p w14:paraId="71ED5637">
            <w:pPr>
              <w:spacing w:line="480" w:lineRule="auto"/>
              <w:jc w:val="both"/>
              <w:rPr>
                <w:rFonts w:hint="default" w:ascii="Arial" w:hAnsi="Arial" w:cs="Arial"/>
                <w:sz w:val="24"/>
                <w:szCs w:val="24"/>
              </w:rPr>
            </w:pPr>
            <w:r>
              <w:rPr>
                <w:rFonts w:hint="default" w:ascii="Arial" w:hAnsi="Arial" w:cs="Arial"/>
                <w:sz w:val="24"/>
                <w:szCs w:val="24"/>
              </w:rPr>
              <w:t>.900</w:t>
            </w:r>
          </w:p>
        </w:tc>
        <w:tc>
          <w:tcPr>
            <w:tcW w:w="0" w:type="auto"/>
            <w:shd w:val="clear" w:color="auto" w:fill="FFFFFF"/>
          </w:tcPr>
          <w:p w14:paraId="39116DF2">
            <w:pPr>
              <w:spacing w:line="480" w:lineRule="auto"/>
              <w:jc w:val="both"/>
              <w:rPr>
                <w:rFonts w:hint="default" w:ascii="Arial" w:hAnsi="Arial" w:cs="Arial"/>
                <w:sz w:val="24"/>
                <w:szCs w:val="24"/>
              </w:rPr>
            </w:pPr>
            <w:r>
              <w:rPr>
                <w:rFonts w:hint="default" w:ascii="Arial" w:hAnsi="Arial" w:cs="Arial"/>
                <w:sz w:val="24"/>
                <w:szCs w:val="24"/>
              </w:rPr>
              <w:t>-.738</w:t>
            </w:r>
          </w:p>
        </w:tc>
        <w:tc>
          <w:tcPr>
            <w:tcW w:w="0" w:type="auto"/>
            <w:shd w:val="clear" w:color="auto" w:fill="FFFFFF"/>
          </w:tcPr>
          <w:p w14:paraId="6CB3C164">
            <w:pPr>
              <w:spacing w:line="480" w:lineRule="auto"/>
              <w:jc w:val="both"/>
              <w:rPr>
                <w:rFonts w:hint="default" w:ascii="Arial" w:hAnsi="Arial" w:cs="Arial"/>
                <w:sz w:val="24"/>
                <w:szCs w:val="24"/>
              </w:rPr>
            </w:pPr>
            <w:r>
              <w:rPr>
                <w:rFonts w:hint="default" w:ascii="Arial" w:hAnsi="Arial" w:cs="Arial"/>
                <w:sz w:val="24"/>
                <w:szCs w:val="24"/>
              </w:rPr>
              <w:t>.918</w:t>
            </w:r>
          </w:p>
        </w:tc>
      </w:tr>
      <w:tr w14:paraId="2645A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26E943E3">
            <w:pPr>
              <w:spacing w:line="480" w:lineRule="auto"/>
              <w:jc w:val="both"/>
              <w:rPr>
                <w:rFonts w:hint="default" w:ascii="Arial" w:hAnsi="Arial" w:cs="Arial"/>
                <w:sz w:val="24"/>
                <w:szCs w:val="24"/>
              </w:rPr>
            </w:pPr>
            <w:r>
              <w:rPr>
                <w:rFonts w:hint="default" w:ascii="Arial" w:hAnsi="Arial" w:cs="Arial"/>
                <w:sz w:val="24"/>
                <w:szCs w:val="24"/>
              </w:rPr>
              <w:t>RP2</w:t>
            </w:r>
          </w:p>
        </w:tc>
        <w:tc>
          <w:tcPr>
            <w:tcW w:w="0" w:type="auto"/>
            <w:shd w:val="clear" w:color="auto" w:fill="FFFFFF"/>
          </w:tcPr>
          <w:p w14:paraId="5DDE1229">
            <w:pPr>
              <w:spacing w:line="480" w:lineRule="auto"/>
              <w:jc w:val="both"/>
              <w:rPr>
                <w:rFonts w:hint="default" w:ascii="Arial" w:hAnsi="Arial" w:cs="Arial"/>
                <w:sz w:val="24"/>
                <w:szCs w:val="24"/>
              </w:rPr>
            </w:pPr>
            <w:r>
              <w:rPr>
                <w:rFonts w:hint="default" w:ascii="Arial" w:hAnsi="Arial" w:cs="Arial"/>
                <w:sz w:val="24"/>
                <w:szCs w:val="24"/>
              </w:rPr>
              <w:t>3.55</w:t>
            </w:r>
          </w:p>
        </w:tc>
        <w:tc>
          <w:tcPr>
            <w:tcW w:w="0" w:type="auto"/>
            <w:shd w:val="clear" w:color="auto" w:fill="FFFFFF"/>
          </w:tcPr>
          <w:p w14:paraId="2B6B9FAA">
            <w:pPr>
              <w:spacing w:line="480" w:lineRule="auto"/>
              <w:jc w:val="both"/>
              <w:rPr>
                <w:rFonts w:hint="default" w:ascii="Arial" w:hAnsi="Arial" w:cs="Arial"/>
                <w:sz w:val="24"/>
                <w:szCs w:val="24"/>
              </w:rPr>
            </w:pPr>
            <w:r>
              <w:rPr>
                <w:rFonts w:hint="default" w:ascii="Arial" w:hAnsi="Arial" w:cs="Arial"/>
                <w:sz w:val="24"/>
                <w:szCs w:val="24"/>
              </w:rPr>
              <w:t>.914</w:t>
            </w:r>
          </w:p>
        </w:tc>
        <w:tc>
          <w:tcPr>
            <w:tcW w:w="0" w:type="auto"/>
            <w:shd w:val="clear" w:color="auto" w:fill="FFFFFF"/>
          </w:tcPr>
          <w:p w14:paraId="5AD8FE65">
            <w:pPr>
              <w:spacing w:line="480" w:lineRule="auto"/>
              <w:jc w:val="both"/>
              <w:rPr>
                <w:rFonts w:hint="default" w:ascii="Arial" w:hAnsi="Arial" w:cs="Arial"/>
                <w:sz w:val="24"/>
                <w:szCs w:val="24"/>
              </w:rPr>
            </w:pPr>
            <w:r>
              <w:rPr>
                <w:rFonts w:hint="default" w:ascii="Arial" w:hAnsi="Arial" w:cs="Arial"/>
                <w:sz w:val="24"/>
                <w:szCs w:val="24"/>
              </w:rPr>
              <w:t>-.272</w:t>
            </w:r>
          </w:p>
        </w:tc>
        <w:tc>
          <w:tcPr>
            <w:tcW w:w="0" w:type="auto"/>
            <w:shd w:val="clear" w:color="auto" w:fill="FFFFFF"/>
          </w:tcPr>
          <w:p w14:paraId="51A44706">
            <w:pPr>
              <w:spacing w:line="480" w:lineRule="auto"/>
              <w:jc w:val="both"/>
              <w:rPr>
                <w:rFonts w:hint="default" w:ascii="Arial" w:hAnsi="Arial" w:cs="Arial"/>
                <w:sz w:val="24"/>
                <w:szCs w:val="24"/>
              </w:rPr>
            </w:pPr>
            <w:r>
              <w:rPr>
                <w:rFonts w:hint="default" w:ascii="Arial" w:hAnsi="Arial" w:cs="Arial"/>
                <w:sz w:val="24"/>
                <w:szCs w:val="24"/>
              </w:rPr>
              <w:t>-.358</w:t>
            </w:r>
          </w:p>
        </w:tc>
      </w:tr>
      <w:tr w14:paraId="609E2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58E40318">
            <w:pPr>
              <w:spacing w:line="480" w:lineRule="auto"/>
              <w:jc w:val="both"/>
              <w:rPr>
                <w:rFonts w:hint="default" w:ascii="Arial" w:hAnsi="Arial" w:cs="Arial"/>
                <w:sz w:val="24"/>
                <w:szCs w:val="24"/>
              </w:rPr>
            </w:pPr>
            <w:r>
              <w:rPr>
                <w:rFonts w:hint="default" w:ascii="Arial" w:hAnsi="Arial" w:cs="Arial"/>
                <w:sz w:val="24"/>
                <w:szCs w:val="24"/>
              </w:rPr>
              <w:t>RP3</w:t>
            </w:r>
          </w:p>
        </w:tc>
        <w:tc>
          <w:tcPr>
            <w:tcW w:w="0" w:type="auto"/>
            <w:shd w:val="clear" w:color="auto" w:fill="FFFFFF"/>
          </w:tcPr>
          <w:p w14:paraId="3E57946C">
            <w:pPr>
              <w:spacing w:line="480" w:lineRule="auto"/>
              <w:jc w:val="both"/>
              <w:rPr>
                <w:rFonts w:hint="default" w:ascii="Arial" w:hAnsi="Arial" w:cs="Arial"/>
                <w:sz w:val="24"/>
                <w:szCs w:val="24"/>
              </w:rPr>
            </w:pPr>
            <w:r>
              <w:rPr>
                <w:rFonts w:hint="default" w:ascii="Arial" w:hAnsi="Arial" w:cs="Arial"/>
                <w:sz w:val="24"/>
                <w:szCs w:val="24"/>
              </w:rPr>
              <w:t>3.64</w:t>
            </w:r>
          </w:p>
        </w:tc>
        <w:tc>
          <w:tcPr>
            <w:tcW w:w="0" w:type="auto"/>
            <w:shd w:val="clear" w:color="auto" w:fill="FFFFFF"/>
          </w:tcPr>
          <w:p w14:paraId="40E5D1DE">
            <w:pPr>
              <w:spacing w:line="480" w:lineRule="auto"/>
              <w:jc w:val="both"/>
              <w:rPr>
                <w:rFonts w:hint="default" w:ascii="Arial" w:hAnsi="Arial" w:cs="Arial"/>
                <w:sz w:val="24"/>
                <w:szCs w:val="24"/>
              </w:rPr>
            </w:pPr>
            <w:r>
              <w:rPr>
                <w:rFonts w:hint="default" w:ascii="Arial" w:hAnsi="Arial" w:cs="Arial"/>
                <w:sz w:val="24"/>
                <w:szCs w:val="24"/>
              </w:rPr>
              <w:t>.916</w:t>
            </w:r>
          </w:p>
        </w:tc>
        <w:tc>
          <w:tcPr>
            <w:tcW w:w="0" w:type="auto"/>
            <w:shd w:val="clear" w:color="auto" w:fill="FFFFFF"/>
          </w:tcPr>
          <w:p w14:paraId="4BB11B4C">
            <w:pPr>
              <w:spacing w:line="480" w:lineRule="auto"/>
              <w:jc w:val="both"/>
              <w:rPr>
                <w:rFonts w:hint="default" w:ascii="Arial" w:hAnsi="Arial" w:cs="Arial"/>
                <w:sz w:val="24"/>
                <w:szCs w:val="24"/>
              </w:rPr>
            </w:pPr>
            <w:r>
              <w:rPr>
                <w:rFonts w:hint="default" w:ascii="Arial" w:hAnsi="Arial" w:cs="Arial"/>
                <w:sz w:val="24"/>
                <w:szCs w:val="24"/>
              </w:rPr>
              <w:t>-.022</w:t>
            </w:r>
          </w:p>
        </w:tc>
        <w:tc>
          <w:tcPr>
            <w:tcW w:w="0" w:type="auto"/>
            <w:shd w:val="clear" w:color="auto" w:fill="FFFFFF"/>
          </w:tcPr>
          <w:p w14:paraId="647110CB">
            <w:pPr>
              <w:spacing w:line="480" w:lineRule="auto"/>
              <w:jc w:val="both"/>
              <w:rPr>
                <w:rFonts w:hint="default" w:ascii="Arial" w:hAnsi="Arial" w:cs="Arial"/>
                <w:sz w:val="24"/>
                <w:szCs w:val="24"/>
              </w:rPr>
            </w:pPr>
            <w:r>
              <w:rPr>
                <w:rFonts w:hint="default" w:ascii="Arial" w:hAnsi="Arial" w:cs="Arial"/>
                <w:sz w:val="24"/>
                <w:szCs w:val="24"/>
              </w:rPr>
              <w:t>-.845</w:t>
            </w:r>
          </w:p>
        </w:tc>
      </w:tr>
      <w:tr w14:paraId="201A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2D8937D4">
            <w:pPr>
              <w:spacing w:line="480" w:lineRule="auto"/>
              <w:jc w:val="both"/>
              <w:rPr>
                <w:rFonts w:hint="default" w:ascii="Arial" w:hAnsi="Arial" w:cs="Arial"/>
                <w:sz w:val="24"/>
                <w:szCs w:val="24"/>
              </w:rPr>
            </w:pPr>
            <w:r>
              <w:rPr>
                <w:rFonts w:hint="default" w:ascii="Arial" w:hAnsi="Arial" w:cs="Arial"/>
                <w:sz w:val="24"/>
                <w:szCs w:val="24"/>
              </w:rPr>
              <w:t>RP4</w:t>
            </w:r>
          </w:p>
        </w:tc>
        <w:tc>
          <w:tcPr>
            <w:tcW w:w="0" w:type="auto"/>
            <w:shd w:val="clear" w:color="auto" w:fill="FFFFFF"/>
          </w:tcPr>
          <w:p w14:paraId="042F7D9C">
            <w:pPr>
              <w:spacing w:line="480" w:lineRule="auto"/>
              <w:jc w:val="both"/>
              <w:rPr>
                <w:rFonts w:hint="default" w:ascii="Arial" w:hAnsi="Arial" w:cs="Arial"/>
                <w:sz w:val="24"/>
                <w:szCs w:val="24"/>
              </w:rPr>
            </w:pPr>
            <w:r>
              <w:rPr>
                <w:rFonts w:hint="default" w:ascii="Arial" w:hAnsi="Arial" w:cs="Arial"/>
                <w:sz w:val="24"/>
                <w:szCs w:val="24"/>
              </w:rPr>
              <w:t>3.7000</w:t>
            </w:r>
          </w:p>
        </w:tc>
        <w:tc>
          <w:tcPr>
            <w:tcW w:w="0" w:type="auto"/>
            <w:shd w:val="clear" w:color="auto" w:fill="FFFFFF"/>
          </w:tcPr>
          <w:p w14:paraId="2CF288FD">
            <w:pPr>
              <w:spacing w:line="480" w:lineRule="auto"/>
              <w:jc w:val="both"/>
              <w:rPr>
                <w:rFonts w:hint="default" w:ascii="Arial" w:hAnsi="Arial" w:cs="Arial"/>
                <w:sz w:val="24"/>
                <w:szCs w:val="24"/>
              </w:rPr>
            </w:pPr>
            <w:r>
              <w:rPr>
                <w:rFonts w:hint="default" w:ascii="Arial" w:hAnsi="Arial" w:cs="Arial"/>
                <w:sz w:val="24"/>
                <w:szCs w:val="24"/>
              </w:rPr>
              <w:t>.96922</w:t>
            </w:r>
          </w:p>
        </w:tc>
        <w:tc>
          <w:tcPr>
            <w:tcW w:w="0" w:type="auto"/>
            <w:shd w:val="clear" w:color="auto" w:fill="FFFFFF"/>
          </w:tcPr>
          <w:p w14:paraId="6F7E180A">
            <w:pPr>
              <w:spacing w:line="480" w:lineRule="auto"/>
              <w:jc w:val="both"/>
              <w:rPr>
                <w:rFonts w:hint="default" w:ascii="Arial" w:hAnsi="Arial" w:cs="Arial"/>
                <w:sz w:val="24"/>
                <w:szCs w:val="24"/>
              </w:rPr>
            </w:pPr>
            <w:r>
              <w:rPr>
                <w:rFonts w:hint="default" w:ascii="Arial" w:hAnsi="Arial" w:cs="Arial"/>
                <w:sz w:val="24"/>
                <w:szCs w:val="24"/>
              </w:rPr>
              <w:t>-.380</w:t>
            </w:r>
          </w:p>
        </w:tc>
        <w:tc>
          <w:tcPr>
            <w:tcW w:w="0" w:type="auto"/>
            <w:shd w:val="clear" w:color="auto" w:fill="FFFFFF"/>
          </w:tcPr>
          <w:p w14:paraId="536D386F">
            <w:pPr>
              <w:spacing w:line="480" w:lineRule="auto"/>
              <w:jc w:val="both"/>
              <w:rPr>
                <w:rFonts w:hint="default" w:ascii="Arial" w:hAnsi="Arial" w:cs="Arial"/>
                <w:sz w:val="24"/>
                <w:szCs w:val="24"/>
              </w:rPr>
            </w:pPr>
            <w:r>
              <w:rPr>
                <w:rFonts w:hint="default" w:ascii="Arial" w:hAnsi="Arial" w:cs="Arial"/>
                <w:sz w:val="24"/>
                <w:szCs w:val="24"/>
              </w:rPr>
              <w:t>-.483</w:t>
            </w:r>
          </w:p>
        </w:tc>
      </w:tr>
      <w:tr w14:paraId="6AB2F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41AE90E5">
            <w:pPr>
              <w:spacing w:line="480" w:lineRule="auto"/>
              <w:jc w:val="both"/>
              <w:rPr>
                <w:rFonts w:hint="default" w:ascii="Arial" w:hAnsi="Arial" w:cs="Arial"/>
                <w:b/>
                <w:sz w:val="24"/>
                <w:szCs w:val="24"/>
              </w:rPr>
            </w:pPr>
            <w:r>
              <w:rPr>
                <w:rFonts w:hint="default" w:ascii="Arial" w:hAnsi="Arial" w:cs="Arial"/>
                <w:b/>
                <w:sz w:val="24"/>
                <w:szCs w:val="24"/>
              </w:rPr>
              <w:t xml:space="preserve">Challenges </w:t>
            </w:r>
          </w:p>
        </w:tc>
        <w:tc>
          <w:tcPr>
            <w:tcW w:w="0" w:type="auto"/>
            <w:shd w:val="clear" w:color="auto" w:fill="FFFFFF"/>
          </w:tcPr>
          <w:p w14:paraId="60F96E4A">
            <w:pPr>
              <w:spacing w:line="480" w:lineRule="auto"/>
              <w:jc w:val="both"/>
              <w:rPr>
                <w:rFonts w:hint="default" w:ascii="Arial" w:hAnsi="Arial" w:cs="Arial"/>
                <w:sz w:val="24"/>
                <w:szCs w:val="24"/>
              </w:rPr>
            </w:pPr>
          </w:p>
        </w:tc>
        <w:tc>
          <w:tcPr>
            <w:tcW w:w="0" w:type="auto"/>
            <w:shd w:val="clear" w:color="auto" w:fill="FFFFFF"/>
          </w:tcPr>
          <w:p w14:paraId="5C090990">
            <w:pPr>
              <w:spacing w:line="480" w:lineRule="auto"/>
              <w:jc w:val="both"/>
              <w:rPr>
                <w:rFonts w:hint="default" w:ascii="Arial" w:hAnsi="Arial" w:cs="Arial"/>
                <w:sz w:val="24"/>
                <w:szCs w:val="24"/>
              </w:rPr>
            </w:pPr>
          </w:p>
        </w:tc>
        <w:tc>
          <w:tcPr>
            <w:tcW w:w="0" w:type="auto"/>
            <w:shd w:val="clear" w:color="auto" w:fill="FFFFFF"/>
          </w:tcPr>
          <w:p w14:paraId="61C0BCBE">
            <w:pPr>
              <w:spacing w:line="480" w:lineRule="auto"/>
              <w:jc w:val="both"/>
              <w:rPr>
                <w:rFonts w:hint="default" w:ascii="Arial" w:hAnsi="Arial" w:cs="Arial"/>
                <w:sz w:val="24"/>
                <w:szCs w:val="24"/>
              </w:rPr>
            </w:pPr>
          </w:p>
        </w:tc>
        <w:tc>
          <w:tcPr>
            <w:tcW w:w="0" w:type="auto"/>
            <w:shd w:val="clear" w:color="auto" w:fill="FFFFFF"/>
          </w:tcPr>
          <w:p w14:paraId="3A15A049">
            <w:pPr>
              <w:spacing w:line="480" w:lineRule="auto"/>
              <w:jc w:val="both"/>
              <w:rPr>
                <w:rFonts w:hint="default" w:ascii="Arial" w:hAnsi="Arial" w:cs="Arial"/>
                <w:sz w:val="24"/>
                <w:szCs w:val="24"/>
              </w:rPr>
            </w:pPr>
          </w:p>
        </w:tc>
      </w:tr>
      <w:tr w14:paraId="32B28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6E344D50">
            <w:pPr>
              <w:spacing w:line="480" w:lineRule="auto"/>
              <w:jc w:val="both"/>
              <w:rPr>
                <w:rFonts w:hint="default" w:ascii="Arial" w:hAnsi="Arial" w:cs="Arial"/>
                <w:sz w:val="24"/>
                <w:szCs w:val="24"/>
              </w:rPr>
            </w:pPr>
            <w:r>
              <w:rPr>
                <w:rFonts w:hint="default" w:ascii="Arial" w:hAnsi="Arial" w:cs="Arial"/>
                <w:sz w:val="24"/>
                <w:szCs w:val="24"/>
              </w:rPr>
              <w:t>C1</w:t>
            </w:r>
          </w:p>
        </w:tc>
        <w:tc>
          <w:tcPr>
            <w:tcW w:w="0" w:type="auto"/>
            <w:shd w:val="clear" w:color="auto" w:fill="FFFFFF"/>
          </w:tcPr>
          <w:p w14:paraId="6786F1C4">
            <w:pPr>
              <w:spacing w:line="480" w:lineRule="auto"/>
              <w:jc w:val="both"/>
              <w:rPr>
                <w:rFonts w:hint="default" w:ascii="Arial" w:hAnsi="Arial" w:cs="Arial"/>
                <w:sz w:val="24"/>
                <w:szCs w:val="24"/>
              </w:rPr>
            </w:pPr>
            <w:r>
              <w:rPr>
                <w:rFonts w:hint="default" w:ascii="Arial" w:hAnsi="Arial" w:cs="Arial"/>
                <w:sz w:val="24"/>
                <w:szCs w:val="24"/>
              </w:rPr>
              <w:t>3.53</w:t>
            </w:r>
          </w:p>
        </w:tc>
        <w:tc>
          <w:tcPr>
            <w:tcW w:w="0" w:type="auto"/>
            <w:shd w:val="clear" w:color="auto" w:fill="FFFFFF"/>
          </w:tcPr>
          <w:p w14:paraId="3EF5E836">
            <w:pPr>
              <w:spacing w:line="480" w:lineRule="auto"/>
              <w:jc w:val="both"/>
              <w:rPr>
                <w:rFonts w:hint="default" w:ascii="Arial" w:hAnsi="Arial" w:cs="Arial"/>
                <w:sz w:val="24"/>
                <w:szCs w:val="24"/>
              </w:rPr>
            </w:pPr>
            <w:r>
              <w:rPr>
                <w:rFonts w:hint="default" w:ascii="Arial" w:hAnsi="Arial" w:cs="Arial"/>
                <w:sz w:val="24"/>
                <w:szCs w:val="24"/>
              </w:rPr>
              <w:t>1.029</w:t>
            </w:r>
          </w:p>
        </w:tc>
        <w:tc>
          <w:tcPr>
            <w:tcW w:w="0" w:type="auto"/>
            <w:shd w:val="clear" w:color="auto" w:fill="FFFFFF"/>
          </w:tcPr>
          <w:p w14:paraId="7ADA2AB1">
            <w:pPr>
              <w:spacing w:line="480" w:lineRule="auto"/>
              <w:jc w:val="both"/>
              <w:rPr>
                <w:rFonts w:hint="default" w:ascii="Arial" w:hAnsi="Arial" w:cs="Arial"/>
                <w:sz w:val="24"/>
                <w:szCs w:val="24"/>
              </w:rPr>
            </w:pPr>
            <w:r>
              <w:rPr>
                <w:rFonts w:hint="default" w:ascii="Arial" w:hAnsi="Arial" w:cs="Arial"/>
                <w:sz w:val="24"/>
                <w:szCs w:val="24"/>
              </w:rPr>
              <w:t>-.536</w:t>
            </w:r>
          </w:p>
        </w:tc>
        <w:tc>
          <w:tcPr>
            <w:tcW w:w="0" w:type="auto"/>
            <w:shd w:val="clear" w:color="auto" w:fill="FFFFFF"/>
          </w:tcPr>
          <w:p w14:paraId="1EA4C8A8">
            <w:pPr>
              <w:spacing w:line="480" w:lineRule="auto"/>
              <w:jc w:val="both"/>
              <w:rPr>
                <w:rFonts w:hint="default" w:ascii="Arial" w:hAnsi="Arial" w:cs="Arial"/>
                <w:sz w:val="24"/>
                <w:szCs w:val="24"/>
              </w:rPr>
            </w:pPr>
            <w:r>
              <w:rPr>
                <w:rFonts w:hint="default" w:ascii="Arial" w:hAnsi="Arial" w:cs="Arial"/>
                <w:sz w:val="24"/>
                <w:szCs w:val="24"/>
              </w:rPr>
              <w:t>.085</w:t>
            </w:r>
          </w:p>
        </w:tc>
      </w:tr>
      <w:tr w14:paraId="0E955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070BEAD1">
            <w:pPr>
              <w:spacing w:line="480" w:lineRule="auto"/>
              <w:jc w:val="both"/>
              <w:rPr>
                <w:rFonts w:hint="default" w:ascii="Arial" w:hAnsi="Arial" w:cs="Arial"/>
                <w:sz w:val="24"/>
                <w:szCs w:val="24"/>
              </w:rPr>
            </w:pPr>
            <w:r>
              <w:rPr>
                <w:rFonts w:hint="default" w:ascii="Arial" w:hAnsi="Arial" w:cs="Arial"/>
                <w:sz w:val="24"/>
                <w:szCs w:val="24"/>
              </w:rPr>
              <w:t>C2</w:t>
            </w:r>
          </w:p>
        </w:tc>
        <w:tc>
          <w:tcPr>
            <w:tcW w:w="0" w:type="auto"/>
            <w:shd w:val="clear" w:color="auto" w:fill="FFFFFF"/>
          </w:tcPr>
          <w:p w14:paraId="6F3BF86A">
            <w:pPr>
              <w:spacing w:line="480" w:lineRule="auto"/>
              <w:jc w:val="both"/>
              <w:rPr>
                <w:rFonts w:hint="default" w:ascii="Arial" w:hAnsi="Arial" w:cs="Arial"/>
                <w:sz w:val="24"/>
                <w:szCs w:val="24"/>
              </w:rPr>
            </w:pPr>
            <w:r>
              <w:rPr>
                <w:rFonts w:hint="default" w:ascii="Arial" w:hAnsi="Arial" w:cs="Arial"/>
                <w:sz w:val="24"/>
                <w:szCs w:val="24"/>
              </w:rPr>
              <w:t>3.63</w:t>
            </w:r>
          </w:p>
        </w:tc>
        <w:tc>
          <w:tcPr>
            <w:tcW w:w="0" w:type="auto"/>
            <w:shd w:val="clear" w:color="auto" w:fill="FFFFFF"/>
          </w:tcPr>
          <w:p w14:paraId="6AB5E5F4">
            <w:pPr>
              <w:spacing w:line="480" w:lineRule="auto"/>
              <w:jc w:val="both"/>
              <w:rPr>
                <w:rFonts w:hint="default" w:ascii="Arial" w:hAnsi="Arial" w:cs="Arial"/>
                <w:sz w:val="24"/>
                <w:szCs w:val="24"/>
              </w:rPr>
            </w:pPr>
            <w:r>
              <w:rPr>
                <w:rFonts w:hint="default" w:ascii="Arial" w:hAnsi="Arial" w:cs="Arial"/>
                <w:sz w:val="24"/>
                <w:szCs w:val="24"/>
              </w:rPr>
              <w:t>.895</w:t>
            </w:r>
          </w:p>
        </w:tc>
        <w:tc>
          <w:tcPr>
            <w:tcW w:w="0" w:type="auto"/>
            <w:shd w:val="clear" w:color="auto" w:fill="FFFFFF"/>
          </w:tcPr>
          <w:p w14:paraId="5F43ADC3">
            <w:pPr>
              <w:spacing w:line="480" w:lineRule="auto"/>
              <w:jc w:val="both"/>
              <w:rPr>
                <w:rFonts w:hint="default" w:ascii="Arial" w:hAnsi="Arial" w:cs="Arial"/>
                <w:sz w:val="24"/>
                <w:szCs w:val="24"/>
              </w:rPr>
            </w:pPr>
            <w:r>
              <w:rPr>
                <w:rFonts w:hint="default" w:ascii="Arial" w:hAnsi="Arial" w:cs="Arial"/>
                <w:sz w:val="24"/>
                <w:szCs w:val="24"/>
              </w:rPr>
              <w:t>-.229</w:t>
            </w:r>
          </w:p>
        </w:tc>
        <w:tc>
          <w:tcPr>
            <w:tcW w:w="0" w:type="auto"/>
            <w:shd w:val="clear" w:color="auto" w:fill="FFFFFF"/>
          </w:tcPr>
          <w:p w14:paraId="426DEFCD">
            <w:pPr>
              <w:spacing w:line="480" w:lineRule="auto"/>
              <w:jc w:val="both"/>
              <w:rPr>
                <w:rFonts w:hint="default" w:ascii="Arial" w:hAnsi="Arial" w:cs="Arial"/>
                <w:sz w:val="24"/>
                <w:szCs w:val="24"/>
              </w:rPr>
            </w:pPr>
            <w:r>
              <w:rPr>
                <w:rFonts w:hint="default" w:ascii="Arial" w:hAnsi="Arial" w:cs="Arial"/>
                <w:sz w:val="24"/>
                <w:szCs w:val="24"/>
              </w:rPr>
              <w:t>-.243</w:t>
            </w:r>
          </w:p>
        </w:tc>
      </w:tr>
      <w:tr w14:paraId="0E0D5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1314CE7B">
            <w:pPr>
              <w:spacing w:line="480" w:lineRule="auto"/>
              <w:jc w:val="both"/>
              <w:rPr>
                <w:rFonts w:hint="default" w:ascii="Arial" w:hAnsi="Arial" w:cs="Arial"/>
                <w:sz w:val="24"/>
                <w:szCs w:val="24"/>
              </w:rPr>
            </w:pPr>
            <w:r>
              <w:rPr>
                <w:rFonts w:hint="default" w:ascii="Arial" w:hAnsi="Arial" w:cs="Arial"/>
                <w:sz w:val="24"/>
                <w:szCs w:val="24"/>
              </w:rPr>
              <w:t>C3</w:t>
            </w:r>
          </w:p>
        </w:tc>
        <w:tc>
          <w:tcPr>
            <w:tcW w:w="0" w:type="auto"/>
            <w:shd w:val="clear" w:color="auto" w:fill="FFFFFF"/>
          </w:tcPr>
          <w:p w14:paraId="20420127">
            <w:pPr>
              <w:spacing w:line="480" w:lineRule="auto"/>
              <w:jc w:val="both"/>
              <w:rPr>
                <w:rFonts w:hint="default" w:ascii="Arial" w:hAnsi="Arial" w:cs="Arial"/>
                <w:sz w:val="24"/>
                <w:szCs w:val="24"/>
              </w:rPr>
            </w:pPr>
            <w:r>
              <w:rPr>
                <w:rFonts w:hint="default" w:ascii="Arial" w:hAnsi="Arial" w:cs="Arial"/>
                <w:sz w:val="24"/>
                <w:szCs w:val="24"/>
              </w:rPr>
              <w:t>3.63</w:t>
            </w:r>
          </w:p>
        </w:tc>
        <w:tc>
          <w:tcPr>
            <w:tcW w:w="0" w:type="auto"/>
            <w:shd w:val="clear" w:color="auto" w:fill="FFFFFF"/>
          </w:tcPr>
          <w:p w14:paraId="1F32FF0D">
            <w:pPr>
              <w:spacing w:line="480" w:lineRule="auto"/>
              <w:jc w:val="both"/>
              <w:rPr>
                <w:rFonts w:hint="default" w:ascii="Arial" w:hAnsi="Arial" w:cs="Arial"/>
                <w:sz w:val="24"/>
                <w:szCs w:val="24"/>
              </w:rPr>
            </w:pPr>
            <w:r>
              <w:rPr>
                <w:rFonts w:hint="default" w:ascii="Arial" w:hAnsi="Arial" w:cs="Arial"/>
                <w:sz w:val="24"/>
                <w:szCs w:val="24"/>
              </w:rPr>
              <w:t>.950</w:t>
            </w:r>
          </w:p>
        </w:tc>
        <w:tc>
          <w:tcPr>
            <w:tcW w:w="0" w:type="auto"/>
            <w:shd w:val="clear" w:color="auto" w:fill="FFFFFF"/>
          </w:tcPr>
          <w:p w14:paraId="026F4CF3">
            <w:pPr>
              <w:spacing w:line="480" w:lineRule="auto"/>
              <w:jc w:val="both"/>
              <w:rPr>
                <w:rFonts w:hint="default" w:ascii="Arial" w:hAnsi="Arial" w:cs="Arial"/>
                <w:sz w:val="24"/>
                <w:szCs w:val="24"/>
              </w:rPr>
            </w:pPr>
            <w:r>
              <w:rPr>
                <w:rFonts w:hint="default" w:ascii="Arial" w:hAnsi="Arial" w:cs="Arial"/>
                <w:sz w:val="24"/>
                <w:szCs w:val="24"/>
              </w:rPr>
              <w:t>-.274</w:t>
            </w:r>
          </w:p>
        </w:tc>
        <w:tc>
          <w:tcPr>
            <w:tcW w:w="0" w:type="auto"/>
            <w:shd w:val="clear" w:color="auto" w:fill="FFFFFF"/>
          </w:tcPr>
          <w:p w14:paraId="02E7B4BD">
            <w:pPr>
              <w:spacing w:line="480" w:lineRule="auto"/>
              <w:jc w:val="both"/>
              <w:rPr>
                <w:rFonts w:hint="default" w:ascii="Arial" w:hAnsi="Arial" w:cs="Arial"/>
                <w:sz w:val="24"/>
                <w:szCs w:val="24"/>
              </w:rPr>
            </w:pPr>
            <w:r>
              <w:rPr>
                <w:rFonts w:hint="default" w:ascii="Arial" w:hAnsi="Arial" w:cs="Arial"/>
                <w:sz w:val="24"/>
                <w:szCs w:val="24"/>
              </w:rPr>
              <w:t>-.482</w:t>
            </w:r>
          </w:p>
        </w:tc>
      </w:tr>
      <w:tr w14:paraId="4B5D8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5" w:hRule="atLeast"/>
        </w:trPr>
        <w:tc>
          <w:tcPr>
            <w:tcW w:w="0" w:type="auto"/>
            <w:shd w:val="clear" w:color="auto" w:fill="FFFFFF"/>
            <w:vAlign w:val="center"/>
          </w:tcPr>
          <w:p w14:paraId="317A42BC">
            <w:pPr>
              <w:spacing w:line="480" w:lineRule="auto"/>
              <w:jc w:val="both"/>
              <w:rPr>
                <w:rFonts w:hint="default" w:ascii="Arial" w:hAnsi="Arial" w:cs="Arial"/>
                <w:sz w:val="24"/>
                <w:szCs w:val="24"/>
              </w:rPr>
            </w:pPr>
            <w:r>
              <w:rPr>
                <w:rFonts w:hint="default" w:ascii="Arial" w:hAnsi="Arial" w:cs="Arial"/>
                <w:sz w:val="24"/>
                <w:szCs w:val="24"/>
              </w:rPr>
              <w:t>C4</w:t>
            </w:r>
          </w:p>
        </w:tc>
        <w:tc>
          <w:tcPr>
            <w:tcW w:w="0" w:type="auto"/>
            <w:shd w:val="clear" w:color="auto" w:fill="FFFFFF"/>
          </w:tcPr>
          <w:p w14:paraId="3A5EF118">
            <w:pPr>
              <w:spacing w:line="480" w:lineRule="auto"/>
              <w:jc w:val="both"/>
              <w:rPr>
                <w:rFonts w:hint="default" w:ascii="Arial" w:hAnsi="Arial" w:cs="Arial"/>
                <w:sz w:val="24"/>
                <w:szCs w:val="24"/>
              </w:rPr>
            </w:pPr>
            <w:r>
              <w:rPr>
                <w:rFonts w:hint="default" w:ascii="Arial" w:hAnsi="Arial" w:cs="Arial"/>
                <w:sz w:val="24"/>
                <w:szCs w:val="24"/>
              </w:rPr>
              <w:t>3.69</w:t>
            </w:r>
          </w:p>
        </w:tc>
        <w:tc>
          <w:tcPr>
            <w:tcW w:w="0" w:type="auto"/>
            <w:shd w:val="clear" w:color="auto" w:fill="FFFFFF"/>
          </w:tcPr>
          <w:p w14:paraId="67540254">
            <w:pPr>
              <w:spacing w:line="480" w:lineRule="auto"/>
              <w:jc w:val="both"/>
              <w:rPr>
                <w:rFonts w:hint="default" w:ascii="Arial" w:hAnsi="Arial" w:cs="Arial"/>
                <w:sz w:val="24"/>
                <w:szCs w:val="24"/>
              </w:rPr>
            </w:pPr>
            <w:r>
              <w:rPr>
                <w:rFonts w:hint="default" w:ascii="Arial" w:hAnsi="Arial" w:cs="Arial"/>
                <w:sz w:val="24"/>
                <w:szCs w:val="24"/>
              </w:rPr>
              <w:t>.971</w:t>
            </w:r>
          </w:p>
        </w:tc>
        <w:tc>
          <w:tcPr>
            <w:tcW w:w="0" w:type="auto"/>
            <w:shd w:val="clear" w:color="auto" w:fill="FFFFFF"/>
          </w:tcPr>
          <w:p w14:paraId="1CEA3DD7">
            <w:pPr>
              <w:spacing w:line="480" w:lineRule="auto"/>
              <w:jc w:val="both"/>
              <w:rPr>
                <w:rFonts w:hint="default" w:ascii="Arial" w:hAnsi="Arial" w:cs="Arial"/>
                <w:sz w:val="24"/>
                <w:szCs w:val="24"/>
              </w:rPr>
            </w:pPr>
            <w:r>
              <w:rPr>
                <w:rFonts w:hint="default" w:ascii="Arial" w:hAnsi="Arial" w:cs="Arial"/>
                <w:sz w:val="24"/>
                <w:szCs w:val="24"/>
              </w:rPr>
              <w:t>-.351</w:t>
            </w:r>
          </w:p>
        </w:tc>
        <w:tc>
          <w:tcPr>
            <w:tcW w:w="0" w:type="auto"/>
            <w:shd w:val="clear" w:color="auto" w:fill="FFFFFF"/>
          </w:tcPr>
          <w:p w14:paraId="6153151B">
            <w:pPr>
              <w:spacing w:line="480" w:lineRule="auto"/>
              <w:jc w:val="both"/>
              <w:rPr>
                <w:rFonts w:hint="default" w:ascii="Arial" w:hAnsi="Arial" w:cs="Arial"/>
                <w:sz w:val="24"/>
                <w:szCs w:val="24"/>
              </w:rPr>
            </w:pPr>
            <w:r>
              <w:rPr>
                <w:rFonts w:hint="default" w:ascii="Arial" w:hAnsi="Arial" w:cs="Arial"/>
                <w:sz w:val="24"/>
                <w:szCs w:val="24"/>
              </w:rPr>
              <w:t>-.517</w:t>
            </w:r>
          </w:p>
        </w:tc>
      </w:tr>
    </w:tbl>
    <w:p w14:paraId="5E599C18">
      <w:pPr>
        <w:spacing w:line="480" w:lineRule="auto"/>
        <w:jc w:val="both"/>
        <w:rPr>
          <w:rFonts w:hint="default" w:ascii="Arial" w:hAnsi="Arial" w:cs="Arial"/>
          <w:i/>
          <w:iCs/>
          <w:sz w:val="24"/>
          <w:szCs w:val="24"/>
        </w:rPr>
      </w:pPr>
      <w:r>
        <w:rPr>
          <w:rFonts w:hint="default" w:ascii="Arial" w:hAnsi="Arial" w:cs="Arial"/>
          <w:i/>
          <w:iCs/>
          <w:sz w:val="24"/>
          <w:szCs w:val="24"/>
        </w:rPr>
        <w:t xml:space="preserve">Table </w:t>
      </w:r>
      <w:r>
        <w:rPr>
          <w:rFonts w:hint="default" w:ascii="Arial" w:hAnsi="Arial" w:cs="Arial"/>
          <w:i/>
          <w:iCs/>
          <w:sz w:val="24"/>
          <w:szCs w:val="24"/>
        </w:rPr>
        <w:fldChar w:fldCharType="begin"/>
      </w:r>
      <w:r>
        <w:rPr>
          <w:rFonts w:hint="default" w:ascii="Arial" w:hAnsi="Arial" w:cs="Arial"/>
          <w:i/>
          <w:iCs/>
          <w:sz w:val="24"/>
          <w:szCs w:val="24"/>
        </w:rPr>
        <w:instrText xml:space="preserve"> SEQ Table \* ARABIC </w:instrText>
      </w:r>
      <w:r>
        <w:rPr>
          <w:rFonts w:hint="default" w:ascii="Arial" w:hAnsi="Arial" w:cs="Arial"/>
          <w:i/>
          <w:iCs/>
          <w:sz w:val="24"/>
          <w:szCs w:val="24"/>
        </w:rPr>
        <w:fldChar w:fldCharType="separate"/>
      </w:r>
      <w:r>
        <w:rPr>
          <w:rFonts w:hint="default" w:ascii="Arial" w:hAnsi="Arial" w:cs="Arial"/>
          <w:i/>
          <w:iCs/>
          <w:sz w:val="24"/>
          <w:szCs w:val="24"/>
        </w:rPr>
        <w:t>4</w:t>
      </w:r>
      <w:r>
        <w:rPr>
          <w:rFonts w:hint="default" w:ascii="Arial" w:hAnsi="Arial" w:cs="Arial"/>
          <w:sz w:val="24"/>
          <w:szCs w:val="24"/>
        </w:rPr>
        <w:fldChar w:fldCharType="end"/>
      </w:r>
      <w:r>
        <w:rPr>
          <w:rFonts w:hint="default" w:ascii="Arial" w:hAnsi="Arial" w:cs="Arial"/>
          <w:i/>
          <w:iCs/>
          <w:sz w:val="24"/>
          <w:szCs w:val="24"/>
        </w:rPr>
        <w:t>: Descriptive</w:t>
      </w:r>
    </w:p>
    <w:p w14:paraId="2EC63BEE">
      <w:pPr>
        <w:spacing w:line="480" w:lineRule="auto"/>
        <w:jc w:val="both"/>
        <w:rPr>
          <w:rFonts w:hint="default" w:ascii="Arial" w:hAnsi="Arial" w:cs="Arial"/>
          <w:sz w:val="24"/>
          <w:szCs w:val="24"/>
        </w:rPr>
      </w:pPr>
      <w:r>
        <w:rPr>
          <w:rFonts w:hint="default" w:ascii="Arial" w:hAnsi="Arial" w:cs="Arial"/>
          <w:sz w:val="24"/>
          <w:szCs w:val="24"/>
        </w:rPr>
        <w:t>Using the 5-point Likert scale for ESG adoption and financial risk performance, the values of survey respondents vary between the ranges of 3.4 to 3.7 which indicates that most respondents had mixed sentiments. Due to neutral responses, the role of perceived ESG is less impactful for financial risk performance. While, the SD values lie between the ranges of 0.8 to 1.03 which shows that data points in dataset are moderately spread out the mean. The Skewness and kurtosis negative values presents right-skewed data with extended tails. When kurtosis is negative, the distribution is platykurtic, with flatter peaks and narrower tails.</w:t>
      </w:r>
    </w:p>
    <w:p w14:paraId="05F5F2EE">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50" w:name="_Toc18039"/>
      <w:r>
        <w:rPr>
          <w:rFonts w:hint="eastAsia" w:ascii="Arial" w:hAnsi="Arial" w:cs="Arial"/>
          <w:b/>
          <w:color w:val="2E75B6" w:themeColor="accent1" w:themeShade="BF"/>
          <w:sz w:val="24"/>
          <w:szCs w:val="24"/>
          <w:lang w:val="en-US" w:eastAsia="zh-CN" w:bidi="ar-SA"/>
        </w:rPr>
        <w:t>4</w:t>
      </w:r>
      <w:r>
        <w:rPr>
          <w:rFonts w:hint="default" w:ascii="Arial" w:hAnsi="Arial" w:cs="Arial" w:eastAsiaTheme="majorEastAsia"/>
          <w:b/>
          <w:color w:val="2E75B6" w:themeColor="accent1" w:themeShade="BF"/>
          <w:sz w:val="24"/>
          <w:szCs w:val="24"/>
          <w:lang w:val="en-US" w:eastAsia="en-US" w:bidi="ar-SA"/>
        </w:rPr>
        <w:t>.3</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Correlation</w:t>
      </w:r>
      <w:bookmarkEnd w:id="50"/>
      <w:r>
        <w:rPr>
          <w:rFonts w:hint="default" w:ascii="Arial" w:hAnsi="Arial" w:cs="Arial"/>
          <w:sz w:val="24"/>
          <w:szCs w:val="24"/>
        </w:rPr>
        <w:t xml:space="preserve"> </w:t>
      </w:r>
    </w:p>
    <w:p w14:paraId="4775434A">
      <w:pPr>
        <w:spacing w:line="480" w:lineRule="auto"/>
        <w:jc w:val="both"/>
        <w:rPr>
          <w:rFonts w:hint="default" w:ascii="Arial" w:hAnsi="Arial" w:cs="Arial"/>
          <w:sz w:val="24"/>
          <w:szCs w:val="24"/>
        </w:rPr>
      </w:pPr>
      <w:r>
        <w:rPr>
          <w:rFonts w:hint="default" w:ascii="Arial" w:hAnsi="Arial" w:cs="Arial"/>
          <w:sz w:val="24"/>
          <w:szCs w:val="24"/>
        </w:rPr>
        <w:t xml:space="preserve">This was conducted to demonstrate the relationship among variables where Senthilnathan (2019) has explicated that correlation showcases degree and direction of relationships. The correlation values ranges from -1 to +1 strong relationships are close to 1, whereas weak ones are far from 1. </w:t>
      </w:r>
    </w:p>
    <w:tbl>
      <w:tblPr>
        <w:tblStyle w:val="20"/>
        <w:tblW w:w="81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89"/>
        <w:gridCol w:w="2357"/>
        <w:gridCol w:w="2203"/>
        <w:gridCol w:w="1568"/>
      </w:tblGrid>
      <w:tr w14:paraId="2E089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8" w:hRule="atLeast"/>
        </w:trPr>
        <w:tc>
          <w:tcPr>
            <w:tcW w:w="8117" w:type="dxa"/>
            <w:gridSpan w:val="4"/>
            <w:shd w:val="clear" w:color="auto" w:fill="FFFFFF"/>
          </w:tcPr>
          <w:p w14:paraId="78A35BE0">
            <w:pPr>
              <w:spacing w:line="480" w:lineRule="auto"/>
              <w:jc w:val="both"/>
              <w:rPr>
                <w:rFonts w:hint="default" w:ascii="Arial" w:hAnsi="Arial" w:cs="Arial"/>
                <w:b/>
                <w:sz w:val="24"/>
                <w:szCs w:val="24"/>
              </w:rPr>
            </w:pPr>
            <w:r>
              <w:rPr>
                <w:rFonts w:hint="default" w:ascii="Arial" w:hAnsi="Arial" w:cs="Arial"/>
                <w:b/>
                <w:sz w:val="24"/>
                <w:szCs w:val="24"/>
              </w:rPr>
              <w:t>Correlations</w:t>
            </w:r>
          </w:p>
        </w:tc>
      </w:tr>
      <w:tr w14:paraId="2897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8" w:hRule="atLeast"/>
        </w:trPr>
        <w:tc>
          <w:tcPr>
            <w:tcW w:w="1989" w:type="dxa"/>
            <w:shd w:val="clear" w:color="auto" w:fill="FFFFFF"/>
          </w:tcPr>
          <w:p w14:paraId="19FFB6CB">
            <w:pPr>
              <w:spacing w:line="480" w:lineRule="auto"/>
              <w:jc w:val="both"/>
              <w:rPr>
                <w:rFonts w:hint="default" w:ascii="Arial" w:hAnsi="Arial" w:cs="Arial"/>
                <w:sz w:val="24"/>
                <w:szCs w:val="24"/>
              </w:rPr>
            </w:pPr>
          </w:p>
        </w:tc>
        <w:tc>
          <w:tcPr>
            <w:tcW w:w="2357" w:type="dxa"/>
            <w:shd w:val="clear" w:color="auto" w:fill="FFFFFF"/>
          </w:tcPr>
          <w:p w14:paraId="021450A2">
            <w:pPr>
              <w:spacing w:line="480" w:lineRule="auto"/>
              <w:jc w:val="both"/>
              <w:rPr>
                <w:rFonts w:hint="default" w:ascii="Arial" w:hAnsi="Arial" w:cs="Arial"/>
                <w:sz w:val="24"/>
                <w:szCs w:val="24"/>
              </w:rPr>
            </w:pPr>
            <w:r>
              <w:rPr>
                <w:rFonts w:hint="default" w:ascii="Arial" w:hAnsi="Arial" w:cs="Arial"/>
                <w:sz w:val="24"/>
                <w:szCs w:val="24"/>
              </w:rPr>
              <w:t>PESG</w:t>
            </w:r>
          </w:p>
        </w:tc>
        <w:tc>
          <w:tcPr>
            <w:tcW w:w="2203" w:type="dxa"/>
            <w:shd w:val="clear" w:color="auto" w:fill="FFFFFF"/>
          </w:tcPr>
          <w:p w14:paraId="606603E2">
            <w:pPr>
              <w:spacing w:line="480" w:lineRule="auto"/>
              <w:jc w:val="both"/>
              <w:rPr>
                <w:rFonts w:hint="default" w:ascii="Arial" w:hAnsi="Arial" w:cs="Arial"/>
                <w:sz w:val="24"/>
                <w:szCs w:val="24"/>
              </w:rPr>
            </w:pPr>
            <w:r>
              <w:rPr>
                <w:rFonts w:hint="default" w:ascii="Arial" w:hAnsi="Arial" w:cs="Arial"/>
                <w:sz w:val="24"/>
                <w:szCs w:val="24"/>
              </w:rPr>
              <w:t>RP</w:t>
            </w:r>
          </w:p>
        </w:tc>
        <w:tc>
          <w:tcPr>
            <w:tcW w:w="1567" w:type="dxa"/>
            <w:shd w:val="clear" w:color="auto" w:fill="FFFFFF"/>
          </w:tcPr>
          <w:p w14:paraId="44AFD550">
            <w:pPr>
              <w:spacing w:line="480" w:lineRule="auto"/>
              <w:jc w:val="both"/>
              <w:rPr>
                <w:rFonts w:hint="default" w:ascii="Arial" w:hAnsi="Arial" w:cs="Arial"/>
                <w:sz w:val="24"/>
                <w:szCs w:val="24"/>
              </w:rPr>
            </w:pPr>
            <w:r>
              <w:rPr>
                <w:rFonts w:hint="default" w:ascii="Arial" w:hAnsi="Arial" w:cs="Arial"/>
                <w:sz w:val="24"/>
                <w:szCs w:val="24"/>
              </w:rPr>
              <w:t>Challenges</w:t>
            </w:r>
          </w:p>
        </w:tc>
      </w:tr>
      <w:tr w14:paraId="78DD1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6" w:hRule="atLeast"/>
        </w:trPr>
        <w:tc>
          <w:tcPr>
            <w:tcW w:w="1989" w:type="dxa"/>
            <w:shd w:val="clear" w:color="auto" w:fill="FFFFFF"/>
            <w:vAlign w:val="center"/>
          </w:tcPr>
          <w:p w14:paraId="4B489619">
            <w:pPr>
              <w:spacing w:line="480" w:lineRule="auto"/>
              <w:jc w:val="both"/>
              <w:rPr>
                <w:rFonts w:hint="default" w:ascii="Arial" w:hAnsi="Arial" w:cs="Arial"/>
                <w:sz w:val="24"/>
                <w:szCs w:val="24"/>
              </w:rPr>
            </w:pPr>
            <w:r>
              <w:rPr>
                <w:rFonts w:hint="default" w:ascii="Arial" w:hAnsi="Arial" w:cs="Arial"/>
                <w:sz w:val="24"/>
                <w:szCs w:val="24"/>
              </w:rPr>
              <w:t>PESG</w:t>
            </w:r>
          </w:p>
        </w:tc>
        <w:tc>
          <w:tcPr>
            <w:tcW w:w="2357" w:type="dxa"/>
            <w:shd w:val="clear" w:color="auto" w:fill="FFFFFF"/>
          </w:tcPr>
          <w:p w14:paraId="3AB32BFA">
            <w:pPr>
              <w:spacing w:line="480" w:lineRule="auto"/>
              <w:jc w:val="both"/>
              <w:rPr>
                <w:rFonts w:hint="default" w:ascii="Arial" w:hAnsi="Arial" w:cs="Arial"/>
                <w:sz w:val="24"/>
                <w:szCs w:val="24"/>
              </w:rPr>
            </w:pPr>
            <w:r>
              <w:rPr>
                <w:rFonts w:hint="default" w:ascii="Arial" w:hAnsi="Arial" w:cs="Arial"/>
                <w:sz w:val="24"/>
                <w:szCs w:val="24"/>
              </w:rPr>
              <w:t>1</w:t>
            </w:r>
          </w:p>
        </w:tc>
        <w:tc>
          <w:tcPr>
            <w:tcW w:w="2203" w:type="dxa"/>
            <w:shd w:val="clear" w:color="auto" w:fill="FFFFFF"/>
          </w:tcPr>
          <w:p w14:paraId="06AAE912">
            <w:pPr>
              <w:spacing w:line="480" w:lineRule="auto"/>
              <w:jc w:val="both"/>
              <w:rPr>
                <w:rFonts w:hint="default" w:ascii="Arial" w:hAnsi="Arial" w:cs="Arial"/>
                <w:sz w:val="24"/>
                <w:szCs w:val="24"/>
              </w:rPr>
            </w:pPr>
          </w:p>
        </w:tc>
        <w:tc>
          <w:tcPr>
            <w:tcW w:w="1567" w:type="dxa"/>
            <w:shd w:val="clear" w:color="auto" w:fill="FFFFFF"/>
          </w:tcPr>
          <w:p w14:paraId="65BC0372">
            <w:pPr>
              <w:spacing w:line="480" w:lineRule="auto"/>
              <w:jc w:val="both"/>
              <w:rPr>
                <w:rFonts w:hint="default" w:ascii="Arial" w:hAnsi="Arial" w:cs="Arial"/>
                <w:sz w:val="24"/>
                <w:szCs w:val="24"/>
              </w:rPr>
            </w:pPr>
          </w:p>
        </w:tc>
      </w:tr>
      <w:tr w14:paraId="3E078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5" w:hRule="atLeast"/>
        </w:trPr>
        <w:tc>
          <w:tcPr>
            <w:tcW w:w="1989" w:type="dxa"/>
            <w:shd w:val="clear" w:color="auto" w:fill="FFFFFF"/>
            <w:vAlign w:val="center"/>
          </w:tcPr>
          <w:p w14:paraId="54CF600E">
            <w:pPr>
              <w:spacing w:line="480" w:lineRule="auto"/>
              <w:jc w:val="both"/>
              <w:rPr>
                <w:rFonts w:hint="default" w:ascii="Arial" w:hAnsi="Arial" w:cs="Arial"/>
                <w:sz w:val="24"/>
                <w:szCs w:val="24"/>
              </w:rPr>
            </w:pPr>
            <w:r>
              <w:rPr>
                <w:rFonts w:hint="default" w:ascii="Arial" w:hAnsi="Arial" w:cs="Arial"/>
                <w:sz w:val="24"/>
                <w:szCs w:val="24"/>
              </w:rPr>
              <w:t>RP</w:t>
            </w:r>
          </w:p>
        </w:tc>
        <w:tc>
          <w:tcPr>
            <w:tcW w:w="2357" w:type="dxa"/>
            <w:shd w:val="clear" w:color="auto" w:fill="FFFFFF"/>
          </w:tcPr>
          <w:p w14:paraId="32A4EE33">
            <w:pPr>
              <w:spacing w:line="480" w:lineRule="auto"/>
              <w:jc w:val="both"/>
              <w:rPr>
                <w:rFonts w:hint="default" w:ascii="Arial" w:hAnsi="Arial" w:cs="Arial"/>
                <w:sz w:val="24"/>
                <w:szCs w:val="24"/>
              </w:rPr>
            </w:pPr>
            <w:r>
              <w:rPr>
                <w:rFonts w:hint="default" w:ascii="Arial" w:hAnsi="Arial" w:cs="Arial"/>
                <w:sz w:val="24"/>
                <w:szCs w:val="24"/>
              </w:rPr>
              <w:t>.701</w:t>
            </w:r>
            <w:r>
              <w:rPr>
                <w:rFonts w:hint="default" w:ascii="Arial" w:hAnsi="Arial" w:cs="Arial"/>
                <w:sz w:val="24"/>
                <w:szCs w:val="24"/>
                <w:vertAlign w:val="superscript"/>
              </w:rPr>
              <w:t>**</w:t>
            </w:r>
          </w:p>
        </w:tc>
        <w:tc>
          <w:tcPr>
            <w:tcW w:w="2203" w:type="dxa"/>
            <w:shd w:val="clear" w:color="auto" w:fill="FFFFFF"/>
          </w:tcPr>
          <w:p w14:paraId="7C52F0B1">
            <w:pPr>
              <w:spacing w:line="480" w:lineRule="auto"/>
              <w:jc w:val="both"/>
              <w:rPr>
                <w:rFonts w:hint="default" w:ascii="Arial" w:hAnsi="Arial" w:cs="Arial"/>
                <w:sz w:val="24"/>
                <w:szCs w:val="24"/>
              </w:rPr>
            </w:pPr>
            <w:r>
              <w:rPr>
                <w:rFonts w:hint="default" w:ascii="Arial" w:hAnsi="Arial" w:cs="Arial"/>
                <w:sz w:val="24"/>
                <w:szCs w:val="24"/>
              </w:rPr>
              <w:t>1</w:t>
            </w:r>
          </w:p>
        </w:tc>
        <w:tc>
          <w:tcPr>
            <w:tcW w:w="1567" w:type="dxa"/>
            <w:shd w:val="clear" w:color="auto" w:fill="FFFFFF"/>
          </w:tcPr>
          <w:p w14:paraId="14E8B229">
            <w:pPr>
              <w:spacing w:line="480" w:lineRule="auto"/>
              <w:jc w:val="both"/>
              <w:rPr>
                <w:rFonts w:hint="default" w:ascii="Arial" w:hAnsi="Arial" w:cs="Arial"/>
                <w:sz w:val="24"/>
                <w:szCs w:val="24"/>
              </w:rPr>
            </w:pPr>
          </w:p>
        </w:tc>
      </w:tr>
      <w:tr w14:paraId="4D8D6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6" w:hRule="atLeast"/>
        </w:trPr>
        <w:tc>
          <w:tcPr>
            <w:tcW w:w="1989" w:type="dxa"/>
            <w:shd w:val="clear" w:color="auto" w:fill="FFFFFF"/>
            <w:vAlign w:val="center"/>
          </w:tcPr>
          <w:p w14:paraId="4296F75F">
            <w:pPr>
              <w:spacing w:line="480" w:lineRule="auto"/>
              <w:jc w:val="both"/>
              <w:rPr>
                <w:rFonts w:hint="default" w:ascii="Arial" w:hAnsi="Arial" w:cs="Arial"/>
                <w:sz w:val="24"/>
                <w:szCs w:val="24"/>
              </w:rPr>
            </w:pPr>
            <w:r>
              <w:rPr>
                <w:rFonts w:hint="default" w:ascii="Arial" w:hAnsi="Arial" w:cs="Arial"/>
                <w:sz w:val="24"/>
                <w:szCs w:val="24"/>
              </w:rPr>
              <w:t>Challenges</w:t>
            </w:r>
          </w:p>
        </w:tc>
        <w:tc>
          <w:tcPr>
            <w:tcW w:w="2357" w:type="dxa"/>
            <w:shd w:val="clear" w:color="auto" w:fill="FFFFFF"/>
          </w:tcPr>
          <w:p w14:paraId="349CD240">
            <w:pPr>
              <w:spacing w:line="480" w:lineRule="auto"/>
              <w:jc w:val="both"/>
              <w:rPr>
                <w:rFonts w:hint="default" w:ascii="Arial" w:hAnsi="Arial" w:cs="Arial"/>
                <w:sz w:val="24"/>
                <w:szCs w:val="24"/>
              </w:rPr>
            </w:pPr>
            <w:r>
              <w:rPr>
                <w:rFonts w:hint="default" w:ascii="Arial" w:hAnsi="Arial" w:cs="Arial"/>
                <w:sz w:val="24"/>
                <w:szCs w:val="24"/>
              </w:rPr>
              <w:t>.554</w:t>
            </w:r>
            <w:r>
              <w:rPr>
                <w:rFonts w:hint="default" w:ascii="Arial" w:hAnsi="Arial" w:cs="Arial"/>
                <w:sz w:val="24"/>
                <w:szCs w:val="24"/>
                <w:vertAlign w:val="superscript"/>
              </w:rPr>
              <w:t>**</w:t>
            </w:r>
          </w:p>
        </w:tc>
        <w:tc>
          <w:tcPr>
            <w:tcW w:w="2203" w:type="dxa"/>
            <w:shd w:val="clear" w:color="auto" w:fill="FFFFFF"/>
          </w:tcPr>
          <w:p w14:paraId="7F3AB9D0">
            <w:pPr>
              <w:spacing w:line="480" w:lineRule="auto"/>
              <w:jc w:val="both"/>
              <w:rPr>
                <w:rFonts w:hint="default" w:ascii="Arial" w:hAnsi="Arial" w:cs="Arial"/>
                <w:sz w:val="24"/>
                <w:szCs w:val="24"/>
              </w:rPr>
            </w:pPr>
            <w:r>
              <w:rPr>
                <w:rFonts w:hint="default" w:ascii="Arial" w:hAnsi="Arial" w:cs="Arial"/>
                <w:sz w:val="24"/>
                <w:szCs w:val="24"/>
              </w:rPr>
              <w:t>.833</w:t>
            </w:r>
            <w:r>
              <w:rPr>
                <w:rFonts w:hint="default" w:ascii="Arial" w:hAnsi="Arial" w:cs="Arial"/>
                <w:sz w:val="24"/>
                <w:szCs w:val="24"/>
                <w:vertAlign w:val="superscript"/>
              </w:rPr>
              <w:t>**</w:t>
            </w:r>
          </w:p>
        </w:tc>
        <w:tc>
          <w:tcPr>
            <w:tcW w:w="1567" w:type="dxa"/>
            <w:shd w:val="clear" w:color="auto" w:fill="FFFFFF"/>
          </w:tcPr>
          <w:p w14:paraId="0AF7553B">
            <w:pPr>
              <w:spacing w:line="480" w:lineRule="auto"/>
              <w:jc w:val="both"/>
              <w:rPr>
                <w:rFonts w:hint="default" w:ascii="Arial" w:hAnsi="Arial" w:cs="Arial"/>
                <w:sz w:val="24"/>
                <w:szCs w:val="24"/>
              </w:rPr>
            </w:pPr>
            <w:r>
              <w:rPr>
                <w:rFonts w:hint="default" w:ascii="Arial" w:hAnsi="Arial" w:cs="Arial"/>
                <w:sz w:val="24"/>
                <w:szCs w:val="24"/>
              </w:rPr>
              <w:t>1</w:t>
            </w:r>
          </w:p>
        </w:tc>
      </w:tr>
      <w:tr w14:paraId="3485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8" w:hRule="atLeast"/>
        </w:trPr>
        <w:tc>
          <w:tcPr>
            <w:tcW w:w="8117" w:type="dxa"/>
            <w:gridSpan w:val="4"/>
            <w:shd w:val="clear" w:color="auto" w:fill="FFFFFF"/>
          </w:tcPr>
          <w:p w14:paraId="44636779">
            <w:pPr>
              <w:spacing w:line="480" w:lineRule="auto"/>
              <w:jc w:val="both"/>
              <w:rPr>
                <w:rFonts w:hint="default" w:ascii="Arial" w:hAnsi="Arial" w:cs="Arial"/>
                <w:sz w:val="24"/>
                <w:szCs w:val="24"/>
              </w:rPr>
            </w:pPr>
            <w:r>
              <w:rPr>
                <w:rFonts w:hint="default" w:ascii="Arial" w:hAnsi="Arial" w:cs="Arial"/>
                <w:sz w:val="24"/>
                <w:szCs w:val="24"/>
              </w:rPr>
              <w:t>**. Correlation is significant at the 0.01 level (2-tailed).</w:t>
            </w:r>
          </w:p>
        </w:tc>
      </w:tr>
    </w:tbl>
    <w:p w14:paraId="7D43EC16">
      <w:pPr>
        <w:spacing w:line="480" w:lineRule="auto"/>
        <w:jc w:val="both"/>
        <w:rPr>
          <w:rFonts w:hint="default" w:ascii="Arial" w:hAnsi="Arial" w:cs="Arial"/>
          <w:i/>
          <w:iCs/>
          <w:sz w:val="24"/>
          <w:szCs w:val="24"/>
        </w:rPr>
      </w:pPr>
      <w:r>
        <w:rPr>
          <w:rFonts w:hint="default" w:ascii="Arial" w:hAnsi="Arial" w:cs="Arial"/>
          <w:i/>
          <w:iCs/>
          <w:sz w:val="24"/>
          <w:szCs w:val="24"/>
        </w:rPr>
        <w:t xml:space="preserve">Table </w:t>
      </w:r>
      <w:r>
        <w:rPr>
          <w:rFonts w:hint="default" w:ascii="Arial" w:hAnsi="Arial" w:cs="Arial"/>
          <w:i/>
          <w:iCs/>
          <w:sz w:val="24"/>
          <w:szCs w:val="24"/>
        </w:rPr>
        <w:fldChar w:fldCharType="begin"/>
      </w:r>
      <w:r>
        <w:rPr>
          <w:rFonts w:hint="default" w:ascii="Arial" w:hAnsi="Arial" w:cs="Arial"/>
          <w:i/>
          <w:iCs/>
          <w:sz w:val="24"/>
          <w:szCs w:val="24"/>
        </w:rPr>
        <w:instrText xml:space="preserve"> SEQ Table \* ARABIC </w:instrText>
      </w:r>
      <w:r>
        <w:rPr>
          <w:rFonts w:hint="default" w:ascii="Arial" w:hAnsi="Arial" w:cs="Arial"/>
          <w:i/>
          <w:iCs/>
          <w:sz w:val="24"/>
          <w:szCs w:val="24"/>
        </w:rPr>
        <w:fldChar w:fldCharType="separate"/>
      </w:r>
      <w:r>
        <w:rPr>
          <w:rFonts w:hint="default" w:ascii="Arial" w:hAnsi="Arial" w:cs="Arial"/>
          <w:i/>
          <w:iCs/>
          <w:sz w:val="24"/>
          <w:szCs w:val="24"/>
        </w:rPr>
        <w:t>5</w:t>
      </w:r>
      <w:r>
        <w:rPr>
          <w:rFonts w:hint="default" w:ascii="Arial" w:hAnsi="Arial" w:cs="Arial"/>
          <w:sz w:val="24"/>
          <w:szCs w:val="24"/>
        </w:rPr>
        <w:fldChar w:fldCharType="end"/>
      </w:r>
      <w:r>
        <w:rPr>
          <w:rFonts w:hint="default" w:ascii="Arial" w:hAnsi="Arial" w:cs="Arial"/>
          <w:i/>
          <w:iCs/>
          <w:sz w:val="24"/>
          <w:szCs w:val="24"/>
        </w:rPr>
        <w:t>: Correlation Analysis</w:t>
      </w:r>
    </w:p>
    <w:p w14:paraId="31C5123C">
      <w:pPr>
        <w:spacing w:line="480" w:lineRule="auto"/>
        <w:jc w:val="both"/>
        <w:rPr>
          <w:rFonts w:hint="default" w:ascii="Arial" w:hAnsi="Arial" w:cs="Arial"/>
          <w:sz w:val="24"/>
          <w:szCs w:val="24"/>
        </w:rPr>
      </w:pPr>
      <w:r>
        <w:rPr>
          <w:rFonts w:hint="default" w:ascii="Arial" w:hAnsi="Arial" w:cs="Arial"/>
          <w:sz w:val="24"/>
          <w:szCs w:val="24"/>
        </w:rPr>
        <w:t xml:space="preserve">The above table 5 presented strong positive relationship between perceived ESG (PESG) and risk performance of Chinese companies with value of 0.701. Furthermore, the challenges and risk performances relationship is also strong positive relationship with correlation value of 0.833. Through correlational analysis, it has been assessed that consumer perceptions are directly related to financial risk performances where challenges of ESG adoption also related to risk performance among Chinese performance. </w:t>
      </w:r>
    </w:p>
    <w:p w14:paraId="70596694">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51" w:name="_Toc3735"/>
      <w:r>
        <w:rPr>
          <w:rFonts w:hint="eastAsia" w:ascii="Arial" w:hAnsi="Arial" w:cs="Arial"/>
          <w:b/>
          <w:color w:val="2E75B6" w:themeColor="accent1" w:themeShade="BF"/>
          <w:sz w:val="24"/>
          <w:szCs w:val="24"/>
          <w:lang w:val="en-US" w:eastAsia="zh-CN" w:bidi="ar-SA"/>
        </w:rPr>
        <w:t>4</w:t>
      </w:r>
      <w:r>
        <w:rPr>
          <w:rFonts w:hint="default" w:ascii="Arial" w:hAnsi="Arial" w:cs="Arial" w:eastAsiaTheme="majorEastAsia"/>
          <w:b/>
          <w:color w:val="2E75B6" w:themeColor="accent1" w:themeShade="BF"/>
          <w:sz w:val="24"/>
          <w:szCs w:val="24"/>
          <w:lang w:val="en-US" w:eastAsia="en-US" w:bidi="ar-SA"/>
        </w:rPr>
        <w:t>.4</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Regression</w:t>
      </w:r>
      <w:bookmarkEnd w:id="51"/>
      <w:r>
        <w:rPr>
          <w:rFonts w:hint="default" w:ascii="Arial" w:hAnsi="Arial" w:cs="Arial"/>
          <w:sz w:val="24"/>
          <w:szCs w:val="24"/>
        </w:rPr>
        <w:t xml:space="preserve"> </w:t>
      </w:r>
    </w:p>
    <w:p w14:paraId="30C1335A">
      <w:pPr>
        <w:spacing w:line="480" w:lineRule="auto"/>
        <w:jc w:val="both"/>
        <w:rPr>
          <w:rFonts w:hint="default" w:ascii="Arial" w:hAnsi="Arial" w:cs="Arial"/>
          <w:sz w:val="24"/>
          <w:szCs w:val="24"/>
        </w:rPr>
      </w:pPr>
      <w:r>
        <w:rPr>
          <w:rFonts w:hint="default" w:ascii="Arial" w:hAnsi="Arial" w:cs="Arial"/>
          <w:sz w:val="24"/>
          <w:szCs w:val="24"/>
        </w:rPr>
        <w:t xml:space="preserve">The regression analysis is used to present the relationship among variables where dependent variable (DV) is financial risk performance and independent variables (IVs) are consumer perceptions and challenges. </w:t>
      </w:r>
    </w:p>
    <w:p w14:paraId="7EDBD9A2">
      <w:pPr>
        <w:numPr>
          <w:ilvl w:val="0"/>
          <w:numId w:val="3"/>
        </w:numPr>
        <w:spacing w:line="480" w:lineRule="auto"/>
        <w:jc w:val="both"/>
        <w:rPr>
          <w:rFonts w:hint="default" w:ascii="Arial" w:hAnsi="Arial" w:cs="Arial"/>
          <w:sz w:val="24"/>
          <w:szCs w:val="24"/>
        </w:rPr>
      </w:pPr>
      <w:r>
        <w:rPr>
          <w:rFonts w:hint="default" w:ascii="Arial" w:hAnsi="Arial" w:cs="Arial"/>
          <w:sz w:val="24"/>
          <w:szCs w:val="24"/>
        </w:rPr>
        <w:t xml:space="preserve">H1: Consumer perceptions of ESG impact financial risk performance of Chinese companies. </w:t>
      </w:r>
    </w:p>
    <w:p w14:paraId="5339292A">
      <w:pPr>
        <w:numPr>
          <w:ilvl w:val="0"/>
          <w:numId w:val="3"/>
        </w:numPr>
        <w:spacing w:line="480" w:lineRule="auto"/>
        <w:jc w:val="both"/>
        <w:rPr>
          <w:rFonts w:hint="default" w:ascii="Arial" w:hAnsi="Arial" w:cs="Arial"/>
          <w:sz w:val="24"/>
          <w:szCs w:val="24"/>
        </w:rPr>
      </w:pPr>
      <w:r>
        <w:rPr>
          <w:rFonts w:hint="default" w:ascii="Arial" w:hAnsi="Arial" w:cs="Arial"/>
          <w:sz w:val="24"/>
          <w:szCs w:val="24"/>
        </w:rPr>
        <w:t xml:space="preserve">H2: Challenges or consumer concerns for ESG adoption also impact the risk performance of Chinese companies. </w:t>
      </w:r>
    </w:p>
    <w:tbl>
      <w:tblPr>
        <w:tblStyle w:val="20"/>
        <w:tblW w:w="820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104"/>
        <w:gridCol w:w="1428"/>
        <w:gridCol w:w="1515"/>
        <w:gridCol w:w="2080"/>
        <w:gridCol w:w="2081"/>
      </w:tblGrid>
      <w:tr w14:paraId="6DFC0C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257" w:hRule="atLeast"/>
        </w:trPr>
        <w:tc>
          <w:tcPr>
            <w:tcW w:w="8208" w:type="dxa"/>
            <w:gridSpan w:val="5"/>
            <w:tcBorders>
              <w:top w:val="nil"/>
              <w:left w:val="nil"/>
              <w:bottom w:val="nil"/>
              <w:right w:val="nil"/>
            </w:tcBorders>
            <w:shd w:val="clear" w:color="auto" w:fill="FFFFFF"/>
          </w:tcPr>
          <w:p w14:paraId="52ED2046">
            <w:pPr>
              <w:spacing w:line="480" w:lineRule="auto"/>
              <w:jc w:val="both"/>
              <w:rPr>
                <w:rFonts w:hint="default" w:ascii="Arial" w:hAnsi="Arial" w:cs="Arial"/>
                <w:sz w:val="24"/>
                <w:szCs w:val="24"/>
              </w:rPr>
            </w:pPr>
            <w:r>
              <w:rPr>
                <w:rFonts w:hint="default" w:ascii="Arial" w:hAnsi="Arial" w:cs="Arial"/>
                <w:b/>
                <w:bCs/>
                <w:sz w:val="24"/>
                <w:szCs w:val="24"/>
              </w:rPr>
              <w:t>Model Summary</w:t>
            </w:r>
          </w:p>
        </w:tc>
      </w:tr>
      <w:tr w14:paraId="1D533B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515" w:hRule="atLeast"/>
        </w:trPr>
        <w:tc>
          <w:tcPr>
            <w:tcW w:w="1104" w:type="dxa"/>
            <w:tcBorders>
              <w:top w:val="single" w:color="000000" w:sz="16" w:space="0"/>
              <w:left w:val="single" w:color="000000" w:sz="16" w:space="0"/>
              <w:bottom w:val="single" w:color="000000" w:sz="16" w:space="0"/>
              <w:right w:val="single" w:color="000000" w:sz="16" w:space="0"/>
            </w:tcBorders>
            <w:shd w:val="clear" w:color="auto" w:fill="FFFFFF"/>
          </w:tcPr>
          <w:p w14:paraId="79775F23">
            <w:pPr>
              <w:spacing w:line="480" w:lineRule="auto"/>
              <w:jc w:val="both"/>
              <w:rPr>
                <w:rFonts w:hint="default" w:ascii="Arial" w:hAnsi="Arial" w:cs="Arial"/>
                <w:sz w:val="24"/>
                <w:szCs w:val="24"/>
              </w:rPr>
            </w:pPr>
            <w:r>
              <w:rPr>
                <w:rFonts w:hint="default" w:ascii="Arial" w:hAnsi="Arial" w:cs="Arial"/>
                <w:sz w:val="24"/>
                <w:szCs w:val="24"/>
              </w:rPr>
              <w:t>Model</w:t>
            </w:r>
          </w:p>
        </w:tc>
        <w:tc>
          <w:tcPr>
            <w:tcW w:w="1428" w:type="dxa"/>
            <w:tcBorders>
              <w:top w:val="single" w:color="000000" w:sz="16" w:space="0"/>
              <w:left w:val="single" w:color="000000" w:sz="16" w:space="0"/>
              <w:bottom w:val="single" w:color="000000" w:sz="16" w:space="0"/>
            </w:tcBorders>
            <w:shd w:val="clear" w:color="auto" w:fill="FFFFFF"/>
          </w:tcPr>
          <w:p w14:paraId="7389B22E">
            <w:pPr>
              <w:spacing w:line="480" w:lineRule="auto"/>
              <w:jc w:val="both"/>
              <w:rPr>
                <w:rFonts w:hint="default" w:ascii="Arial" w:hAnsi="Arial" w:cs="Arial"/>
                <w:sz w:val="24"/>
                <w:szCs w:val="24"/>
              </w:rPr>
            </w:pPr>
            <w:r>
              <w:rPr>
                <w:rFonts w:hint="default" w:ascii="Arial" w:hAnsi="Arial" w:cs="Arial"/>
                <w:sz w:val="24"/>
                <w:szCs w:val="24"/>
              </w:rPr>
              <w:t>R</w:t>
            </w:r>
          </w:p>
        </w:tc>
        <w:tc>
          <w:tcPr>
            <w:tcW w:w="1515" w:type="dxa"/>
            <w:tcBorders>
              <w:top w:val="single" w:color="000000" w:sz="16" w:space="0"/>
              <w:bottom w:val="single" w:color="000000" w:sz="16" w:space="0"/>
            </w:tcBorders>
            <w:shd w:val="clear" w:color="auto" w:fill="FFFFFF"/>
          </w:tcPr>
          <w:p w14:paraId="04858148">
            <w:pPr>
              <w:spacing w:line="480" w:lineRule="auto"/>
              <w:jc w:val="both"/>
              <w:rPr>
                <w:rFonts w:hint="default" w:ascii="Arial" w:hAnsi="Arial" w:cs="Arial"/>
                <w:sz w:val="24"/>
                <w:szCs w:val="24"/>
              </w:rPr>
            </w:pPr>
            <w:r>
              <w:rPr>
                <w:rFonts w:hint="default" w:ascii="Arial" w:hAnsi="Arial" w:cs="Arial"/>
                <w:sz w:val="24"/>
                <w:szCs w:val="24"/>
              </w:rPr>
              <w:t>R Square</w:t>
            </w:r>
          </w:p>
        </w:tc>
        <w:tc>
          <w:tcPr>
            <w:tcW w:w="2080" w:type="dxa"/>
            <w:tcBorders>
              <w:top w:val="single" w:color="000000" w:sz="16" w:space="0"/>
              <w:bottom w:val="single" w:color="000000" w:sz="16" w:space="0"/>
            </w:tcBorders>
            <w:shd w:val="clear" w:color="auto" w:fill="FFFFFF"/>
          </w:tcPr>
          <w:p w14:paraId="10BD504C">
            <w:pPr>
              <w:spacing w:line="480" w:lineRule="auto"/>
              <w:jc w:val="both"/>
              <w:rPr>
                <w:rFonts w:hint="default" w:ascii="Arial" w:hAnsi="Arial" w:cs="Arial"/>
                <w:sz w:val="24"/>
                <w:szCs w:val="24"/>
              </w:rPr>
            </w:pPr>
            <w:r>
              <w:rPr>
                <w:rFonts w:hint="default" w:ascii="Arial" w:hAnsi="Arial" w:cs="Arial"/>
                <w:sz w:val="24"/>
                <w:szCs w:val="24"/>
              </w:rPr>
              <w:t>Adjusted R Square</w:t>
            </w:r>
          </w:p>
        </w:tc>
        <w:tc>
          <w:tcPr>
            <w:tcW w:w="2080" w:type="dxa"/>
            <w:tcBorders>
              <w:top w:val="single" w:color="000000" w:sz="16" w:space="0"/>
              <w:bottom w:val="single" w:color="000000" w:sz="16" w:space="0"/>
              <w:right w:val="single" w:color="000000" w:sz="16" w:space="0"/>
            </w:tcBorders>
            <w:shd w:val="clear" w:color="auto" w:fill="FFFFFF"/>
          </w:tcPr>
          <w:p w14:paraId="49BE1C5F">
            <w:pPr>
              <w:spacing w:line="480" w:lineRule="auto"/>
              <w:jc w:val="both"/>
              <w:rPr>
                <w:rFonts w:hint="default" w:ascii="Arial" w:hAnsi="Arial" w:cs="Arial"/>
                <w:sz w:val="24"/>
                <w:szCs w:val="24"/>
              </w:rPr>
            </w:pPr>
            <w:r>
              <w:rPr>
                <w:rFonts w:hint="default" w:ascii="Arial" w:hAnsi="Arial" w:cs="Arial"/>
                <w:sz w:val="24"/>
                <w:szCs w:val="24"/>
              </w:rPr>
              <w:t>Std. Error of the Estimate</w:t>
            </w:r>
          </w:p>
        </w:tc>
      </w:tr>
      <w:tr w14:paraId="37D794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245" w:hRule="atLeast"/>
        </w:trPr>
        <w:tc>
          <w:tcPr>
            <w:tcW w:w="1104" w:type="dxa"/>
            <w:tcBorders>
              <w:top w:val="single" w:color="000000" w:sz="16" w:space="0"/>
              <w:left w:val="single" w:color="000000" w:sz="16" w:space="0"/>
              <w:bottom w:val="single" w:color="000000" w:sz="16" w:space="0"/>
              <w:right w:val="single" w:color="000000" w:sz="16" w:space="0"/>
            </w:tcBorders>
            <w:shd w:val="clear" w:color="auto" w:fill="FFFFFF"/>
            <w:vAlign w:val="center"/>
          </w:tcPr>
          <w:p w14:paraId="1D1154C9">
            <w:pPr>
              <w:spacing w:line="480" w:lineRule="auto"/>
              <w:jc w:val="both"/>
              <w:rPr>
                <w:rFonts w:hint="default" w:ascii="Arial" w:hAnsi="Arial" w:cs="Arial"/>
                <w:sz w:val="24"/>
                <w:szCs w:val="24"/>
              </w:rPr>
            </w:pPr>
            <w:r>
              <w:rPr>
                <w:rFonts w:hint="default" w:ascii="Arial" w:hAnsi="Arial" w:cs="Arial"/>
                <w:sz w:val="24"/>
                <w:szCs w:val="24"/>
              </w:rPr>
              <w:t>1</w:t>
            </w:r>
          </w:p>
        </w:tc>
        <w:tc>
          <w:tcPr>
            <w:tcW w:w="1428" w:type="dxa"/>
            <w:tcBorders>
              <w:top w:val="single" w:color="000000" w:sz="16" w:space="0"/>
              <w:left w:val="single" w:color="000000" w:sz="16" w:space="0"/>
              <w:bottom w:val="single" w:color="000000" w:sz="16" w:space="0"/>
            </w:tcBorders>
            <w:shd w:val="clear" w:color="auto" w:fill="FFFFFF"/>
          </w:tcPr>
          <w:p w14:paraId="3CEE6209">
            <w:pPr>
              <w:spacing w:line="480" w:lineRule="auto"/>
              <w:jc w:val="both"/>
              <w:rPr>
                <w:rFonts w:hint="default" w:ascii="Arial" w:hAnsi="Arial" w:cs="Arial"/>
                <w:sz w:val="24"/>
                <w:szCs w:val="24"/>
              </w:rPr>
            </w:pPr>
            <w:r>
              <w:rPr>
                <w:rFonts w:hint="default" w:ascii="Arial" w:hAnsi="Arial" w:cs="Arial"/>
                <w:sz w:val="24"/>
                <w:szCs w:val="24"/>
              </w:rPr>
              <w:t>.881</w:t>
            </w:r>
            <w:r>
              <w:rPr>
                <w:rFonts w:hint="default" w:ascii="Arial" w:hAnsi="Arial" w:cs="Arial"/>
                <w:sz w:val="24"/>
                <w:szCs w:val="24"/>
                <w:vertAlign w:val="superscript"/>
              </w:rPr>
              <w:t>a</w:t>
            </w:r>
          </w:p>
        </w:tc>
        <w:tc>
          <w:tcPr>
            <w:tcW w:w="1515" w:type="dxa"/>
            <w:tcBorders>
              <w:top w:val="single" w:color="000000" w:sz="16" w:space="0"/>
              <w:bottom w:val="single" w:color="000000" w:sz="16" w:space="0"/>
            </w:tcBorders>
            <w:shd w:val="clear" w:color="auto" w:fill="FFFFFF"/>
          </w:tcPr>
          <w:p w14:paraId="2033C3E5">
            <w:pPr>
              <w:spacing w:line="480" w:lineRule="auto"/>
              <w:jc w:val="both"/>
              <w:rPr>
                <w:rFonts w:hint="default" w:ascii="Arial" w:hAnsi="Arial" w:cs="Arial"/>
                <w:sz w:val="24"/>
                <w:szCs w:val="24"/>
              </w:rPr>
            </w:pPr>
            <w:r>
              <w:rPr>
                <w:rFonts w:hint="default" w:ascii="Arial" w:hAnsi="Arial" w:cs="Arial"/>
                <w:sz w:val="24"/>
                <w:szCs w:val="24"/>
              </w:rPr>
              <w:t>.776</w:t>
            </w:r>
          </w:p>
        </w:tc>
        <w:tc>
          <w:tcPr>
            <w:tcW w:w="2080" w:type="dxa"/>
            <w:tcBorders>
              <w:top w:val="single" w:color="000000" w:sz="16" w:space="0"/>
              <w:bottom w:val="single" w:color="000000" w:sz="16" w:space="0"/>
            </w:tcBorders>
            <w:shd w:val="clear" w:color="auto" w:fill="FFFFFF"/>
          </w:tcPr>
          <w:p w14:paraId="7CEEECBF">
            <w:pPr>
              <w:spacing w:line="480" w:lineRule="auto"/>
              <w:jc w:val="both"/>
              <w:rPr>
                <w:rFonts w:hint="default" w:ascii="Arial" w:hAnsi="Arial" w:cs="Arial"/>
                <w:sz w:val="24"/>
                <w:szCs w:val="24"/>
              </w:rPr>
            </w:pPr>
            <w:r>
              <w:rPr>
                <w:rFonts w:hint="default" w:ascii="Arial" w:hAnsi="Arial" w:cs="Arial"/>
                <w:sz w:val="24"/>
                <w:szCs w:val="24"/>
              </w:rPr>
              <w:t>.772</w:t>
            </w:r>
          </w:p>
        </w:tc>
        <w:tc>
          <w:tcPr>
            <w:tcW w:w="2080" w:type="dxa"/>
            <w:tcBorders>
              <w:top w:val="single" w:color="000000" w:sz="16" w:space="0"/>
              <w:bottom w:val="single" w:color="000000" w:sz="16" w:space="0"/>
              <w:right w:val="single" w:color="000000" w:sz="16" w:space="0"/>
            </w:tcBorders>
            <w:shd w:val="clear" w:color="auto" w:fill="FFFFFF"/>
          </w:tcPr>
          <w:p w14:paraId="74FD634E">
            <w:pPr>
              <w:spacing w:line="480" w:lineRule="auto"/>
              <w:jc w:val="both"/>
              <w:rPr>
                <w:rFonts w:hint="default" w:ascii="Arial" w:hAnsi="Arial" w:cs="Arial"/>
                <w:sz w:val="24"/>
                <w:szCs w:val="24"/>
              </w:rPr>
            </w:pPr>
            <w:r>
              <w:rPr>
                <w:rFonts w:hint="default" w:ascii="Arial" w:hAnsi="Arial" w:cs="Arial"/>
                <w:sz w:val="24"/>
                <w:szCs w:val="24"/>
              </w:rPr>
              <w:t>.35260</w:t>
            </w:r>
          </w:p>
        </w:tc>
      </w:tr>
      <w:tr w14:paraId="5066F6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257" w:hRule="atLeast"/>
        </w:trPr>
        <w:tc>
          <w:tcPr>
            <w:tcW w:w="8208" w:type="dxa"/>
            <w:gridSpan w:val="5"/>
            <w:tcBorders>
              <w:top w:val="nil"/>
              <w:left w:val="nil"/>
              <w:bottom w:val="nil"/>
              <w:right w:val="nil"/>
            </w:tcBorders>
            <w:shd w:val="clear" w:color="auto" w:fill="FFFFFF"/>
          </w:tcPr>
          <w:p w14:paraId="64634BFC">
            <w:pPr>
              <w:spacing w:line="480" w:lineRule="auto"/>
              <w:jc w:val="both"/>
              <w:rPr>
                <w:rFonts w:hint="default" w:ascii="Arial" w:hAnsi="Arial" w:cs="Arial"/>
                <w:sz w:val="24"/>
                <w:szCs w:val="24"/>
              </w:rPr>
            </w:pPr>
            <w:r>
              <w:rPr>
                <w:rFonts w:hint="default" w:ascii="Arial" w:hAnsi="Arial" w:cs="Arial"/>
                <w:sz w:val="24"/>
                <w:szCs w:val="24"/>
              </w:rPr>
              <w:t>a. Predictors: (Constant), Challenges, PESG</w:t>
            </w:r>
          </w:p>
        </w:tc>
      </w:tr>
    </w:tbl>
    <w:p w14:paraId="18FB8748">
      <w:pPr>
        <w:spacing w:line="480" w:lineRule="auto"/>
        <w:jc w:val="both"/>
        <w:rPr>
          <w:rFonts w:hint="default" w:ascii="Arial" w:hAnsi="Arial" w:cs="Arial"/>
          <w:sz w:val="24"/>
          <w:szCs w:val="24"/>
        </w:rPr>
      </w:pPr>
    </w:p>
    <w:p w14:paraId="04818E1B">
      <w:pPr>
        <w:spacing w:line="480" w:lineRule="auto"/>
        <w:jc w:val="both"/>
        <w:rPr>
          <w:rFonts w:hint="default" w:ascii="Arial" w:hAnsi="Arial" w:cs="Arial"/>
          <w:i/>
          <w:iCs/>
          <w:sz w:val="24"/>
          <w:szCs w:val="24"/>
        </w:rPr>
      </w:pPr>
      <w:r>
        <w:rPr>
          <w:rFonts w:hint="default" w:ascii="Arial" w:hAnsi="Arial" w:cs="Arial"/>
          <w:i/>
          <w:iCs/>
          <w:sz w:val="24"/>
          <w:szCs w:val="24"/>
        </w:rPr>
        <w:t xml:space="preserve">Table </w:t>
      </w:r>
      <w:r>
        <w:rPr>
          <w:rFonts w:hint="default" w:ascii="Arial" w:hAnsi="Arial" w:cs="Arial"/>
          <w:i/>
          <w:iCs/>
          <w:sz w:val="24"/>
          <w:szCs w:val="24"/>
        </w:rPr>
        <w:fldChar w:fldCharType="begin"/>
      </w:r>
      <w:r>
        <w:rPr>
          <w:rFonts w:hint="default" w:ascii="Arial" w:hAnsi="Arial" w:cs="Arial"/>
          <w:i/>
          <w:iCs/>
          <w:sz w:val="24"/>
          <w:szCs w:val="24"/>
        </w:rPr>
        <w:instrText xml:space="preserve"> SEQ Table \* ARABIC </w:instrText>
      </w:r>
      <w:r>
        <w:rPr>
          <w:rFonts w:hint="default" w:ascii="Arial" w:hAnsi="Arial" w:cs="Arial"/>
          <w:i/>
          <w:iCs/>
          <w:sz w:val="24"/>
          <w:szCs w:val="24"/>
        </w:rPr>
        <w:fldChar w:fldCharType="separate"/>
      </w:r>
      <w:r>
        <w:rPr>
          <w:rFonts w:hint="default" w:ascii="Arial" w:hAnsi="Arial" w:cs="Arial"/>
          <w:i/>
          <w:iCs/>
          <w:sz w:val="24"/>
          <w:szCs w:val="24"/>
        </w:rPr>
        <w:t>6</w:t>
      </w:r>
      <w:r>
        <w:rPr>
          <w:rFonts w:hint="default" w:ascii="Arial" w:hAnsi="Arial" w:cs="Arial"/>
          <w:sz w:val="24"/>
          <w:szCs w:val="24"/>
        </w:rPr>
        <w:fldChar w:fldCharType="end"/>
      </w:r>
      <w:r>
        <w:rPr>
          <w:rFonts w:hint="default" w:ascii="Arial" w:hAnsi="Arial" w:cs="Arial"/>
          <w:i/>
          <w:iCs/>
          <w:sz w:val="24"/>
          <w:szCs w:val="24"/>
        </w:rPr>
        <w:t>: Model Summary</w:t>
      </w:r>
    </w:p>
    <w:p w14:paraId="79355714">
      <w:pPr>
        <w:spacing w:line="480" w:lineRule="auto"/>
        <w:jc w:val="both"/>
        <w:rPr>
          <w:rFonts w:hint="default" w:ascii="Arial" w:hAnsi="Arial" w:cs="Arial"/>
          <w:sz w:val="24"/>
          <w:szCs w:val="24"/>
        </w:rPr>
      </w:pPr>
      <w:r>
        <w:rPr>
          <w:rFonts w:hint="default" w:ascii="Arial" w:hAnsi="Arial" w:cs="Arial"/>
          <w:sz w:val="24"/>
          <w:szCs w:val="24"/>
        </w:rPr>
        <w:t xml:space="preserve">The above table 6 shows R-squared score of 88.1% which indicated that the model adequately accounted for the observed variability. This proves that changes in consumer perceptions and challenges perceptions accounts for 77% of the variance in financial risk performance as determined by the R-squared value. </w:t>
      </w:r>
    </w:p>
    <w:tbl>
      <w:tblPr>
        <w:tblStyle w:val="20"/>
        <w:tblW w:w="879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16"/>
        <w:gridCol w:w="1413"/>
        <w:gridCol w:w="1636"/>
        <w:gridCol w:w="1124"/>
        <w:gridCol w:w="1550"/>
        <w:gridCol w:w="1124"/>
        <w:gridCol w:w="1128"/>
      </w:tblGrid>
      <w:tr w14:paraId="45BC55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rHeight w:val="292" w:hRule="atLeast"/>
        </w:trPr>
        <w:tc>
          <w:tcPr>
            <w:tcW w:w="8791" w:type="dxa"/>
            <w:gridSpan w:val="7"/>
            <w:tcBorders>
              <w:top w:val="nil"/>
              <w:left w:val="nil"/>
              <w:bottom w:val="nil"/>
              <w:right w:val="nil"/>
            </w:tcBorders>
            <w:shd w:val="clear" w:color="auto" w:fill="FFFFFF"/>
          </w:tcPr>
          <w:p w14:paraId="0E5AA017">
            <w:pPr>
              <w:spacing w:line="480" w:lineRule="auto"/>
              <w:jc w:val="both"/>
              <w:rPr>
                <w:rFonts w:hint="default" w:ascii="Arial" w:hAnsi="Arial" w:cs="Arial"/>
                <w:sz w:val="24"/>
                <w:szCs w:val="24"/>
              </w:rPr>
            </w:pPr>
            <w:r>
              <w:rPr>
                <w:rFonts w:hint="default" w:ascii="Arial" w:hAnsi="Arial" w:cs="Arial"/>
                <w:b/>
                <w:bCs/>
                <w:sz w:val="24"/>
                <w:szCs w:val="24"/>
              </w:rPr>
              <w:t>ANOVA</w:t>
            </w:r>
            <w:r>
              <w:rPr>
                <w:rFonts w:hint="default" w:ascii="Arial" w:hAnsi="Arial" w:cs="Arial"/>
                <w:b/>
                <w:bCs/>
                <w:sz w:val="24"/>
                <w:szCs w:val="24"/>
                <w:vertAlign w:val="superscript"/>
              </w:rPr>
              <w:t>a</w:t>
            </w:r>
          </w:p>
        </w:tc>
      </w:tr>
      <w:tr w14:paraId="5C69D6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585" w:hRule="atLeast"/>
        </w:trPr>
        <w:tc>
          <w:tcPr>
            <w:tcW w:w="2229" w:type="dxa"/>
            <w:gridSpan w:val="2"/>
            <w:tcBorders>
              <w:top w:val="single" w:color="000000" w:sz="16" w:space="0"/>
              <w:left w:val="single" w:color="000000" w:sz="16" w:space="0"/>
              <w:bottom w:val="single" w:color="000000" w:sz="16" w:space="0"/>
              <w:right w:val="nil"/>
            </w:tcBorders>
            <w:shd w:val="clear" w:color="auto" w:fill="FFFFFF"/>
          </w:tcPr>
          <w:p w14:paraId="653132A2">
            <w:pPr>
              <w:spacing w:line="480" w:lineRule="auto"/>
              <w:jc w:val="both"/>
              <w:rPr>
                <w:rFonts w:hint="default" w:ascii="Arial" w:hAnsi="Arial" w:cs="Arial"/>
                <w:sz w:val="24"/>
                <w:szCs w:val="24"/>
              </w:rPr>
            </w:pPr>
            <w:r>
              <w:rPr>
                <w:rFonts w:hint="default" w:ascii="Arial" w:hAnsi="Arial" w:cs="Arial"/>
                <w:sz w:val="24"/>
                <w:szCs w:val="24"/>
              </w:rPr>
              <w:t>Model</w:t>
            </w:r>
          </w:p>
        </w:tc>
        <w:tc>
          <w:tcPr>
            <w:tcW w:w="1636" w:type="dxa"/>
            <w:tcBorders>
              <w:top w:val="single" w:color="000000" w:sz="16" w:space="0"/>
              <w:left w:val="single" w:color="000000" w:sz="16" w:space="0"/>
              <w:bottom w:val="single" w:color="000000" w:sz="16" w:space="0"/>
            </w:tcBorders>
            <w:shd w:val="clear" w:color="auto" w:fill="FFFFFF"/>
          </w:tcPr>
          <w:p w14:paraId="2B7052EF">
            <w:pPr>
              <w:spacing w:line="480" w:lineRule="auto"/>
              <w:jc w:val="both"/>
              <w:rPr>
                <w:rFonts w:hint="default" w:ascii="Arial" w:hAnsi="Arial" w:cs="Arial"/>
                <w:sz w:val="24"/>
                <w:szCs w:val="24"/>
              </w:rPr>
            </w:pPr>
            <w:r>
              <w:rPr>
                <w:rFonts w:hint="default" w:ascii="Arial" w:hAnsi="Arial" w:cs="Arial"/>
                <w:sz w:val="24"/>
                <w:szCs w:val="24"/>
              </w:rPr>
              <w:t>Sum of Squares</w:t>
            </w:r>
          </w:p>
        </w:tc>
        <w:tc>
          <w:tcPr>
            <w:tcW w:w="1124" w:type="dxa"/>
            <w:tcBorders>
              <w:top w:val="single" w:color="000000" w:sz="16" w:space="0"/>
              <w:bottom w:val="single" w:color="000000" w:sz="16" w:space="0"/>
            </w:tcBorders>
            <w:shd w:val="clear" w:color="auto" w:fill="FFFFFF"/>
          </w:tcPr>
          <w:p w14:paraId="0F2A6BC0">
            <w:pPr>
              <w:spacing w:line="480" w:lineRule="auto"/>
              <w:jc w:val="both"/>
              <w:rPr>
                <w:rFonts w:hint="default" w:ascii="Arial" w:hAnsi="Arial" w:cs="Arial"/>
                <w:sz w:val="24"/>
                <w:szCs w:val="24"/>
              </w:rPr>
            </w:pPr>
            <w:r>
              <w:rPr>
                <w:rFonts w:hint="default" w:ascii="Arial" w:hAnsi="Arial" w:cs="Arial"/>
                <w:sz w:val="24"/>
                <w:szCs w:val="24"/>
              </w:rPr>
              <w:t>df</w:t>
            </w:r>
          </w:p>
        </w:tc>
        <w:tc>
          <w:tcPr>
            <w:tcW w:w="1550" w:type="dxa"/>
            <w:tcBorders>
              <w:top w:val="single" w:color="000000" w:sz="16" w:space="0"/>
              <w:bottom w:val="single" w:color="000000" w:sz="16" w:space="0"/>
            </w:tcBorders>
            <w:shd w:val="clear" w:color="auto" w:fill="FFFFFF"/>
          </w:tcPr>
          <w:p w14:paraId="69745ED1">
            <w:pPr>
              <w:spacing w:line="480" w:lineRule="auto"/>
              <w:jc w:val="both"/>
              <w:rPr>
                <w:rFonts w:hint="default" w:ascii="Arial" w:hAnsi="Arial" w:cs="Arial"/>
                <w:sz w:val="24"/>
                <w:szCs w:val="24"/>
              </w:rPr>
            </w:pPr>
            <w:r>
              <w:rPr>
                <w:rFonts w:hint="default" w:ascii="Arial" w:hAnsi="Arial" w:cs="Arial"/>
                <w:sz w:val="24"/>
                <w:szCs w:val="24"/>
              </w:rPr>
              <w:t>Mean Square</w:t>
            </w:r>
          </w:p>
        </w:tc>
        <w:tc>
          <w:tcPr>
            <w:tcW w:w="1124" w:type="dxa"/>
            <w:tcBorders>
              <w:top w:val="single" w:color="000000" w:sz="16" w:space="0"/>
              <w:bottom w:val="single" w:color="000000" w:sz="16" w:space="0"/>
            </w:tcBorders>
            <w:shd w:val="clear" w:color="auto" w:fill="FFFFFF"/>
          </w:tcPr>
          <w:p w14:paraId="30666F5D">
            <w:pPr>
              <w:spacing w:line="480" w:lineRule="auto"/>
              <w:jc w:val="both"/>
              <w:rPr>
                <w:rFonts w:hint="default" w:ascii="Arial" w:hAnsi="Arial" w:cs="Arial"/>
                <w:sz w:val="24"/>
                <w:szCs w:val="24"/>
              </w:rPr>
            </w:pPr>
            <w:r>
              <w:rPr>
                <w:rFonts w:hint="default" w:ascii="Arial" w:hAnsi="Arial" w:cs="Arial"/>
                <w:sz w:val="24"/>
                <w:szCs w:val="24"/>
              </w:rPr>
              <w:t>F</w:t>
            </w:r>
          </w:p>
        </w:tc>
        <w:tc>
          <w:tcPr>
            <w:tcW w:w="1124" w:type="dxa"/>
            <w:tcBorders>
              <w:top w:val="single" w:color="000000" w:sz="16" w:space="0"/>
              <w:bottom w:val="single" w:color="000000" w:sz="16" w:space="0"/>
              <w:right w:val="single" w:color="000000" w:sz="16" w:space="0"/>
            </w:tcBorders>
            <w:shd w:val="clear" w:color="auto" w:fill="FFFFFF"/>
          </w:tcPr>
          <w:p w14:paraId="64CB0ACA">
            <w:pPr>
              <w:spacing w:line="480" w:lineRule="auto"/>
              <w:jc w:val="both"/>
              <w:rPr>
                <w:rFonts w:hint="default" w:ascii="Arial" w:hAnsi="Arial" w:cs="Arial"/>
                <w:sz w:val="24"/>
                <w:szCs w:val="24"/>
              </w:rPr>
            </w:pPr>
            <w:r>
              <w:rPr>
                <w:rFonts w:hint="default" w:ascii="Arial" w:hAnsi="Arial" w:cs="Arial"/>
                <w:sz w:val="24"/>
                <w:szCs w:val="24"/>
              </w:rPr>
              <w:t>Sig.</w:t>
            </w:r>
          </w:p>
        </w:tc>
      </w:tr>
      <w:tr w14:paraId="7AD7F5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292" w:hRule="atLeast"/>
        </w:trPr>
        <w:tc>
          <w:tcPr>
            <w:tcW w:w="816" w:type="dxa"/>
            <w:vMerge w:val="restart"/>
            <w:tcBorders>
              <w:top w:val="single" w:color="000000" w:sz="16" w:space="0"/>
              <w:left w:val="single" w:color="000000" w:sz="16" w:space="0"/>
              <w:bottom w:val="single" w:color="000000" w:sz="16" w:space="0"/>
              <w:right w:val="nil"/>
            </w:tcBorders>
            <w:shd w:val="clear" w:color="auto" w:fill="FFFFFF"/>
            <w:vAlign w:val="center"/>
          </w:tcPr>
          <w:p w14:paraId="6359B485">
            <w:pPr>
              <w:spacing w:line="480" w:lineRule="auto"/>
              <w:jc w:val="both"/>
              <w:rPr>
                <w:rFonts w:hint="default" w:ascii="Arial" w:hAnsi="Arial" w:cs="Arial"/>
                <w:sz w:val="24"/>
                <w:szCs w:val="24"/>
              </w:rPr>
            </w:pPr>
            <w:r>
              <w:rPr>
                <w:rFonts w:hint="default" w:ascii="Arial" w:hAnsi="Arial" w:cs="Arial"/>
                <w:sz w:val="24"/>
                <w:szCs w:val="24"/>
              </w:rPr>
              <w:t>1</w:t>
            </w:r>
          </w:p>
        </w:tc>
        <w:tc>
          <w:tcPr>
            <w:tcW w:w="1413" w:type="dxa"/>
            <w:tcBorders>
              <w:top w:val="single" w:color="000000" w:sz="16" w:space="0"/>
              <w:left w:val="nil"/>
              <w:bottom w:val="nil"/>
              <w:right w:val="single" w:color="000000" w:sz="16" w:space="0"/>
            </w:tcBorders>
            <w:shd w:val="clear" w:color="auto" w:fill="FFFFFF"/>
            <w:vAlign w:val="center"/>
          </w:tcPr>
          <w:p w14:paraId="036F3A79">
            <w:pPr>
              <w:spacing w:line="480" w:lineRule="auto"/>
              <w:jc w:val="both"/>
              <w:rPr>
                <w:rFonts w:hint="default" w:ascii="Arial" w:hAnsi="Arial" w:cs="Arial"/>
                <w:sz w:val="24"/>
                <w:szCs w:val="24"/>
              </w:rPr>
            </w:pPr>
            <w:r>
              <w:rPr>
                <w:rFonts w:hint="default" w:ascii="Arial" w:hAnsi="Arial" w:cs="Arial"/>
                <w:sz w:val="24"/>
                <w:szCs w:val="24"/>
              </w:rPr>
              <w:t>Regression</w:t>
            </w:r>
          </w:p>
        </w:tc>
        <w:tc>
          <w:tcPr>
            <w:tcW w:w="1636" w:type="dxa"/>
            <w:tcBorders>
              <w:top w:val="single" w:color="000000" w:sz="16" w:space="0"/>
              <w:left w:val="single" w:color="000000" w:sz="16" w:space="0"/>
              <w:bottom w:val="nil"/>
            </w:tcBorders>
            <w:shd w:val="clear" w:color="auto" w:fill="FFFFFF"/>
          </w:tcPr>
          <w:p w14:paraId="5D22D380">
            <w:pPr>
              <w:spacing w:line="480" w:lineRule="auto"/>
              <w:jc w:val="both"/>
              <w:rPr>
                <w:rFonts w:hint="default" w:ascii="Arial" w:hAnsi="Arial" w:cs="Arial"/>
                <w:sz w:val="24"/>
                <w:szCs w:val="24"/>
              </w:rPr>
            </w:pPr>
            <w:r>
              <w:rPr>
                <w:rFonts w:hint="default" w:ascii="Arial" w:hAnsi="Arial" w:cs="Arial"/>
                <w:sz w:val="24"/>
                <w:szCs w:val="24"/>
              </w:rPr>
              <w:t>41.855</w:t>
            </w:r>
          </w:p>
        </w:tc>
        <w:tc>
          <w:tcPr>
            <w:tcW w:w="1124" w:type="dxa"/>
            <w:tcBorders>
              <w:top w:val="single" w:color="000000" w:sz="16" w:space="0"/>
              <w:bottom w:val="nil"/>
            </w:tcBorders>
            <w:shd w:val="clear" w:color="auto" w:fill="FFFFFF"/>
          </w:tcPr>
          <w:p w14:paraId="1C18C166">
            <w:pPr>
              <w:spacing w:line="480" w:lineRule="auto"/>
              <w:jc w:val="both"/>
              <w:rPr>
                <w:rFonts w:hint="default" w:ascii="Arial" w:hAnsi="Arial" w:cs="Arial"/>
                <w:sz w:val="24"/>
                <w:szCs w:val="24"/>
              </w:rPr>
            </w:pPr>
            <w:r>
              <w:rPr>
                <w:rFonts w:hint="default" w:ascii="Arial" w:hAnsi="Arial" w:cs="Arial"/>
                <w:sz w:val="24"/>
                <w:szCs w:val="24"/>
              </w:rPr>
              <w:t>2</w:t>
            </w:r>
          </w:p>
        </w:tc>
        <w:tc>
          <w:tcPr>
            <w:tcW w:w="1550" w:type="dxa"/>
            <w:tcBorders>
              <w:top w:val="single" w:color="000000" w:sz="16" w:space="0"/>
              <w:bottom w:val="nil"/>
            </w:tcBorders>
            <w:shd w:val="clear" w:color="auto" w:fill="FFFFFF"/>
          </w:tcPr>
          <w:p w14:paraId="7CC02F1B">
            <w:pPr>
              <w:spacing w:line="480" w:lineRule="auto"/>
              <w:jc w:val="both"/>
              <w:rPr>
                <w:rFonts w:hint="default" w:ascii="Arial" w:hAnsi="Arial" w:cs="Arial"/>
                <w:sz w:val="24"/>
                <w:szCs w:val="24"/>
              </w:rPr>
            </w:pPr>
            <w:r>
              <w:rPr>
                <w:rFonts w:hint="default" w:ascii="Arial" w:hAnsi="Arial" w:cs="Arial"/>
                <w:sz w:val="24"/>
                <w:szCs w:val="24"/>
              </w:rPr>
              <w:t>20.928</w:t>
            </w:r>
          </w:p>
        </w:tc>
        <w:tc>
          <w:tcPr>
            <w:tcW w:w="1124" w:type="dxa"/>
            <w:tcBorders>
              <w:top w:val="single" w:color="000000" w:sz="16" w:space="0"/>
              <w:bottom w:val="nil"/>
            </w:tcBorders>
            <w:shd w:val="clear" w:color="auto" w:fill="FFFFFF"/>
          </w:tcPr>
          <w:p w14:paraId="73DC22D4">
            <w:pPr>
              <w:spacing w:line="480" w:lineRule="auto"/>
              <w:jc w:val="both"/>
              <w:rPr>
                <w:rFonts w:hint="default" w:ascii="Arial" w:hAnsi="Arial" w:cs="Arial"/>
                <w:sz w:val="24"/>
                <w:szCs w:val="24"/>
              </w:rPr>
            </w:pPr>
            <w:r>
              <w:rPr>
                <w:rFonts w:hint="default" w:ascii="Arial" w:hAnsi="Arial" w:cs="Arial"/>
                <w:sz w:val="24"/>
                <w:szCs w:val="24"/>
              </w:rPr>
              <w:t>168.325</w:t>
            </w:r>
          </w:p>
        </w:tc>
        <w:tc>
          <w:tcPr>
            <w:tcW w:w="1124" w:type="dxa"/>
            <w:tcBorders>
              <w:top w:val="single" w:color="000000" w:sz="16" w:space="0"/>
              <w:bottom w:val="nil"/>
              <w:right w:val="single" w:color="000000" w:sz="16" w:space="0"/>
            </w:tcBorders>
            <w:shd w:val="clear" w:color="auto" w:fill="FFFFFF"/>
          </w:tcPr>
          <w:p w14:paraId="5F312150">
            <w:pPr>
              <w:spacing w:line="480" w:lineRule="auto"/>
              <w:jc w:val="both"/>
              <w:rPr>
                <w:rFonts w:hint="default" w:ascii="Arial" w:hAnsi="Arial" w:cs="Arial"/>
                <w:sz w:val="24"/>
                <w:szCs w:val="24"/>
              </w:rPr>
            </w:pPr>
            <w:r>
              <w:rPr>
                <w:rFonts w:hint="default" w:ascii="Arial" w:hAnsi="Arial" w:cs="Arial"/>
                <w:sz w:val="24"/>
                <w:szCs w:val="24"/>
              </w:rPr>
              <w:t>.000</w:t>
            </w:r>
            <w:r>
              <w:rPr>
                <w:rFonts w:hint="default" w:ascii="Arial" w:hAnsi="Arial" w:cs="Arial"/>
                <w:sz w:val="24"/>
                <w:szCs w:val="24"/>
                <w:vertAlign w:val="superscript"/>
              </w:rPr>
              <w:t>b</w:t>
            </w:r>
          </w:p>
        </w:tc>
      </w:tr>
      <w:tr w14:paraId="079F76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334" w:hRule="atLeast"/>
        </w:trPr>
        <w:tc>
          <w:tcPr>
            <w:tcW w:w="816" w:type="dxa"/>
            <w:vMerge w:val="continue"/>
            <w:tcBorders>
              <w:top w:val="single" w:color="000000" w:sz="16" w:space="0"/>
              <w:left w:val="single" w:color="000000" w:sz="16" w:space="0"/>
              <w:bottom w:val="single" w:color="000000" w:sz="16" w:space="0"/>
              <w:right w:val="nil"/>
            </w:tcBorders>
            <w:shd w:val="clear" w:color="auto" w:fill="FFFFFF"/>
            <w:vAlign w:val="center"/>
          </w:tcPr>
          <w:p w14:paraId="49F0DCA7">
            <w:pPr>
              <w:spacing w:line="480" w:lineRule="auto"/>
              <w:jc w:val="both"/>
              <w:rPr>
                <w:rFonts w:hint="default" w:ascii="Arial" w:hAnsi="Arial" w:cs="Arial"/>
                <w:sz w:val="24"/>
                <w:szCs w:val="24"/>
              </w:rPr>
            </w:pPr>
          </w:p>
        </w:tc>
        <w:tc>
          <w:tcPr>
            <w:tcW w:w="1413" w:type="dxa"/>
            <w:tcBorders>
              <w:top w:val="nil"/>
              <w:left w:val="nil"/>
              <w:bottom w:val="nil"/>
              <w:right w:val="single" w:color="000000" w:sz="16" w:space="0"/>
            </w:tcBorders>
            <w:shd w:val="clear" w:color="auto" w:fill="FFFFFF"/>
            <w:vAlign w:val="center"/>
          </w:tcPr>
          <w:p w14:paraId="384DC76A">
            <w:pPr>
              <w:spacing w:line="480" w:lineRule="auto"/>
              <w:jc w:val="both"/>
              <w:rPr>
                <w:rFonts w:hint="default" w:ascii="Arial" w:hAnsi="Arial" w:cs="Arial"/>
                <w:sz w:val="24"/>
                <w:szCs w:val="24"/>
              </w:rPr>
            </w:pPr>
            <w:r>
              <w:rPr>
                <w:rFonts w:hint="default" w:ascii="Arial" w:hAnsi="Arial" w:cs="Arial"/>
                <w:sz w:val="24"/>
                <w:szCs w:val="24"/>
              </w:rPr>
              <w:t>Residual</w:t>
            </w:r>
          </w:p>
        </w:tc>
        <w:tc>
          <w:tcPr>
            <w:tcW w:w="1636" w:type="dxa"/>
            <w:tcBorders>
              <w:top w:val="nil"/>
              <w:left w:val="single" w:color="000000" w:sz="16" w:space="0"/>
              <w:bottom w:val="nil"/>
            </w:tcBorders>
            <w:shd w:val="clear" w:color="auto" w:fill="FFFFFF"/>
          </w:tcPr>
          <w:p w14:paraId="1AE7F1B2">
            <w:pPr>
              <w:spacing w:line="480" w:lineRule="auto"/>
              <w:jc w:val="both"/>
              <w:rPr>
                <w:rFonts w:hint="default" w:ascii="Arial" w:hAnsi="Arial" w:cs="Arial"/>
                <w:sz w:val="24"/>
                <w:szCs w:val="24"/>
              </w:rPr>
            </w:pPr>
            <w:r>
              <w:rPr>
                <w:rFonts w:hint="default" w:ascii="Arial" w:hAnsi="Arial" w:cs="Arial"/>
                <w:sz w:val="24"/>
                <w:szCs w:val="24"/>
              </w:rPr>
              <w:t>12.060</w:t>
            </w:r>
          </w:p>
        </w:tc>
        <w:tc>
          <w:tcPr>
            <w:tcW w:w="1124" w:type="dxa"/>
            <w:tcBorders>
              <w:top w:val="nil"/>
              <w:bottom w:val="nil"/>
            </w:tcBorders>
            <w:shd w:val="clear" w:color="auto" w:fill="FFFFFF"/>
          </w:tcPr>
          <w:p w14:paraId="4F2FF861">
            <w:pPr>
              <w:spacing w:line="480" w:lineRule="auto"/>
              <w:jc w:val="both"/>
              <w:rPr>
                <w:rFonts w:hint="default" w:ascii="Arial" w:hAnsi="Arial" w:cs="Arial"/>
                <w:sz w:val="24"/>
                <w:szCs w:val="24"/>
              </w:rPr>
            </w:pPr>
            <w:r>
              <w:rPr>
                <w:rFonts w:hint="default" w:ascii="Arial" w:hAnsi="Arial" w:cs="Arial"/>
                <w:sz w:val="24"/>
                <w:szCs w:val="24"/>
              </w:rPr>
              <w:t>97</w:t>
            </w:r>
          </w:p>
        </w:tc>
        <w:tc>
          <w:tcPr>
            <w:tcW w:w="1550" w:type="dxa"/>
            <w:tcBorders>
              <w:top w:val="nil"/>
              <w:bottom w:val="nil"/>
            </w:tcBorders>
            <w:shd w:val="clear" w:color="auto" w:fill="FFFFFF"/>
          </w:tcPr>
          <w:p w14:paraId="7E587C59">
            <w:pPr>
              <w:spacing w:line="480" w:lineRule="auto"/>
              <w:jc w:val="both"/>
              <w:rPr>
                <w:rFonts w:hint="default" w:ascii="Arial" w:hAnsi="Arial" w:cs="Arial"/>
                <w:sz w:val="24"/>
                <w:szCs w:val="24"/>
              </w:rPr>
            </w:pPr>
            <w:r>
              <w:rPr>
                <w:rFonts w:hint="default" w:ascii="Arial" w:hAnsi="Arial" w:cs="Arial"/>
                <w:sz w:val="24"/>
                <w:szCs w:val="24"/>
              </w:rPr>
              <w:t>.124</w:t>
            </w:r>
          </w:p>
        </w:tc>
        <w:tc>
          <w:tcPr>
            <w:tcW w:w="1124" w:type="dxa"/>
            <w:tcBorders>
              <w:top w:val="nil"/>
              <w:bottom w:val="nil"/>
            </w:tcBorders>
            <w:shd w:val="clear" w:color="auto" w:fill="FFFFFF"/>
          </w:tcPr>
          <w:p w14:paraId="23A75DBE">
            <w:pPr>
              <w:spacing w:line="480" w:lineRule="auto"/>
              <w:jc w:val="both"/>
              <w:rPr>
                <w:rFonts w:hint="default" w:ascii="Arial" w:hAnsi="Arial" w:cs="Arial"/>
                <w:sz w:val="24"/>
                <w:szCs w:val="24"/>
              </w:rPr>
            </w:pPr>
          </w:p>
        </w:tc>
        <w:tc>
          <w:tcPr>
            <w:tcW w:w="1124" w:type="dxa"/>
            <w:tcBorders>
              <w:top w:val="nil"/>
              <w:bottom w:val="nil"/>
              <w:right w:val="single" w:color="000000" w:sz="16" w:space="0"/>
            </w:tcBorders>
            <w:shd w:val="clear" w:color="auto" w:fill="FFFFFF"/>
          </w:tcPr>
          <w:p w14:paraId="66C3FBCB">
            <w:pPr>
              <w:spacing w:line="480" w:lineRule="auto"/>
              <w:jc w:val="both"/>
              <w:rPr>
                <w:rFonts w:hint="default" w:ascii="Arial" w:hAnsi="Arial" w:cs="Arial"/>
                <w:sz w:val="24"/>
                <w:szCs w:val="24"/>
              </w:rPr>
            </w:pPr>
          </w:p>
        </w:tc>
      </w:tr>
      <w:tr w14:paraId="2CC8EC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320" w:hRule="atLeast"/>
        </w:trPr>
        <w:tc>
          <w:tcPr>
            <w:tcW w:w="816" w:type="dxa"/>
            <w:vMerge w:val="continue"/>
            <w:tcBorders>
              <w:top w:val="single" w:color="000000" w:sz="16" w:space="0"/>
              <w:left w:val="single" w:color="000000" w:sz="16" w:space="0"/>
              <w:bottom w:val="single" w:color="000000" w:sz="16" w:space="0"/>
              <w:right w:val="nil"/>
            </w:tcBorders>
            <w:shd w:val="clear" w:color="auto" w:fill="FFFFFF"/>
            <w:vAlign w:val="center"/>
          </w:tcPr>
          <w:p w14:paraId="0B8A8D31">
            <w:pPr>
              <w:spacing w:line="480" w:lineRule="auto"/>
              <w:jc w:val="both"/>
              <w:rPr>
                <w:rFonts w:hint="default" w:ascii="Arial" w:hAnsi="Arial" w:cs="Arial"/>
                <w:sz w:val="24"/>
                <w:szCs w:val="24"/>
              </w:rPr>
            </w:pPr>
          </w:p>
        </w:tc>
        <w:tc>
          <w:tcPr>
            <w:tcW w:w="1413" w:type="dxa"/>
            <w:tcBorders>
              <w:top w:val="nil"/>
              <w:left w:val="nil"/>
              <w:bottom w:val="single" w:color="000000" w:sz="16" w:space="0"/>
              <w:right w:val="single" w:color="000000" w:sz="16" w:space="0"/>
            </w:tcBorders>
            <w:shd w:val="clear" w:color="auto" w:fill="FFFFFF"/>
            <w:vAlign w:val="center"/>
          </w:tcPr>
          <w:p w14:paraId="5D575822">
            <w:pPr>
              <w:spacing w:line="480" w:lineRule="auto"/>
              <w:jc w:val="both"/>
              <w:rPr>
                <w:rFonts w:hint="default" w:ascii="Arial" w:hAnsi="Arial" w:cs="Arial"/>
                <w:sz w:val="24"/>
                <w:szCs w:val="24"/>
              </w:rPr>
            </w:pPr>
            <w:r>
              <w:rPr>
                <w:rFonts w:hint="default" w:ascii="Arial" w:hAnsi="Arial" w:cs="Arial"/>
                <w:sz w:val="24"/>
                <w:szCs w:val="24"/>
              </w:rPr>
              <w:t>Total</w:t>
            </w:r>
          </w:p>
        </w:tc>
        <w:tc>
          <w:tcPr>
            <w:tcW w:w="1636" w:type="dxa"/>
            <w:tcBorders>
              <w:top w:val="nil"/>
              <w:left w:val="single" w:color="000000" w:sz="16" w:space="0"/>
              <w:bottom w:val="single" w:color="000000" w:sz="16" w:space="0"/>
            </w:tcBorders>
            <w:shd w:val="clear" w:color="auto" w:fill="FFFFFF"/>
          </w:tcPr>
          <w:p w14:paraId="7ADCE731">
            <w:pPr>
              <w:spacing w:line="480" w:lineRule="auto"/>
              <w:jc w:val="both"/>
              <w:rPr>
                <w:rFonts w:hint="default" w:ascii="Arial" w:hAnsi="Arial" w:cs="Arial"/>
                <w:sz w:val="24"/>
                <w:szCs w:val="24"/>
              </w:rPr>
            </w:pPr>
            <w:r>
              <w:rPr>
                <w:rFonts w:hint="default" w:ascii="Arial" w:hAnsi="Arial" w:cs="Arial"/>
                <w:sz w:val="24"/>
                <w:szCs w:val="24"/>
              </w:rPr>
              <w:t>53.915</w:t>
            </w:r>
          </w:p>
        </w:tc>
        <w:tc>
          <w:tcPr>
            <w:tcW w:w="1124" w:type="dxa"/>
            <w:tcBorders>
              <w:top w:val="nil"/>
              <w:bottom w:val="single" w:color="000000" w:sz="16" w:space="0"/>
            </w:tcBorders>
            <w:shd w:val="clear" w:color="auto" w:fill="FFFFFF"/>
          </w:tcPr>
          <w:p w14:paraId="079E30A6">
            <w:pPr>
              <w:spacing w:line="480" w:lineRule="auto"/>
              <w:jc w:val="both"/>
              <w:rPr>
                <w:rFonts w:hint="default" w:ascii="Arial" w:hAnsi="Arial" w:cs="Arial"/>
                <w:sz w:val="24"/>
                <w:szCs w:val="24"/>
              </w:rPr>
            </w:pPr>
            <w:r>
              <w:rPr>
                <w:rFonts w:hint="default" w:ascii="Arial" w:hAnsi="Arial" w:cs="Arial"/>
                <w:sz w:val="24"/>
                <w:szCs w:val="24"/>
              </w:rPr>
              <w:t>99</w:t>
            </w:r>
          </w:p>
        </w:tc>
        <w:tc>
          <w:tcPr>
            <w:tcW w:w="1550" w:type="dxa"/>
            <w:tcBorders>
              <w:top w:val="nil"/>
              <w:bottom w:val="single" w:color="000000" w:sz="16" w:space="0"/>
            </w:tcBorders>
            <w:shd w:val="clear" w:color="auto" w:fill="FFFFFF"/>
          </w:tcPr>
          <w:p w14:paraId="5ABD0EDE">
            <w:pPr>
              <w:spacing w:line="480" w:lineRule="auto"/>
              <w:jc w:val="both"/>
              <w:rPr>
                <w:rFonts w:hint="default" w:ascii="Arial" w:hAnsi="Arial" w:cs="Arial"/>
                <w:sz w:val="24"/>
                <w:szCs w:val="24"/>
              </w:rPr>
            </w:pPr>
          </w:p>
        </w:tc>
        <w:tc>
          <w:tcPr>
            <w:tcW w:w="1124" w:type="dxa"/>
            <w:tcBorders>
              <w:top w:val="nil"/>
              <w:bottom w:val="single" w:color="000000" w:sz="16" w:space="0"/>
            </w:tcBorders>
            <w:shd w:val="clear" w:color="auto" w:fill="FFFFFF"/>
          </w:tcPr>
          <w:p w14:paraId="21F04E31">
            <w:pPr>
              <w:spacing w:line="480" w:lineRule="auto"/>
              <w:jc w:val="both"/>
              <w:rPr>
                <w:rFonts w:hint="default" w:ascii="Arial" w:hAnsi="Arial" w:cs="Arial"/>
                <w:sz w:val="24"/>
                <w:szCs w:val="24"/>
              </w:rPr>
            </w:pPr>
          </w:p>
        </w:tc>
        <w:tc>
          <w:tcPr>
            <w:tcW w:w="1124" w:type="dxa"/>
            <w:tcBorders>
              <w:top w:val="nil"/>
              <w:bottom w:val="single" w:color="000000" w:sz="16" w:space="0"/>
              <w:right w:val="single" w:color="000000" w:sz="16" w:space="0"/>
            </w:tcBorders>
            <w:shd w:val="clear" w:color="auto" w:fill="FFFFFF"/>
          </w:tcPr>
          <w:p w14:paraId="1AF464BA">
            <w:pPr>
              <w:spacing w:line="480" w:lineRule="auto"/>
              <w:jc w:val="both"/>
              <w:rPr>
                <w:rFonts w:hint="default" w:ascii="Arial" w:hAnsi="Arial" w:cs="Arial"/>
                <w:sz w:val="24"/>
                <w:szCs w:val="24"/>
              </w:rPr>
            </w:pPr>
          </w:p>
        </w:tc>
      </w:tr>
      <w:tr w14:paraId="622E03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rHeight w:val="292" w:hRule="atLeast"/>
        </w:trPr>
        <w:tc>
          <w:tcPr>
            <w:tcW w:w="8791" w:type="dxa"/>
            <w:gridSpan w:val="7"/>
            <w:tcBorders>
              <w:top w:val="nil"/>
              <w:left w:val="nil"/>
              <w:bottom w:val="nil"/>
              <w:right w:val="nil"/>
            </w:tcBorders>
            <w:shd w:val="clear" w:color="auto" w:fill="FFFFFF"/>
          </w:tcPr>
          <w:p w14:paraId="33265F97">
            <w:pPr>
              <w:spacing w:line="480" w:lineRule="auto"/>
              <w:jc w:val="both"/>
              <w:rPr>
                <w:rFonts w:hint="default" w:ascii="Arial" w:hAnsi="Arial" w:cs="Arial"/>
                <w:sz w:val="24"/>
                <w:szCs w:val="24"/>
              </w:rPr>
            </w:pPr>
            <w:r>
              <w:rPr>
                <w:rFonts w:hint="default" w:ascii="Arial" w:hAnsi="Arial" w:cs="Arial"/>
                <w:sz w:val="24"/>
                <w:szCs w:val="24"/>
              </w:rPr>
              <w:t>a. Dependent Variable: RP</w:t>
            </w:r>
          </w:p>
        </w:tc>
      </w:tr>
      <w:tr w14:paraId="70AC2D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rHeight w:val="292" w:hRule="atLeast"/>
        </w:trPr>
        <w:tc>
          <w:tcPr>
            <w:tcW w:w="8791" w:type="dxa"/>
            <w:gridSpan w:val="7"/>
            <w:tcBorders>
              <w:top w:val="nil"/>
              <w:left w:val="nil"/>
              <w:bottom w:val="nil"/>
              <w:right w:val="nil"/>
            </w:tcBorders>
            <w:shd w:val="clear" w:color="auto" w:fill="FFFFFF"/>
          </w:tcPr>
          <w:p w14:paraId="1A41FDA4">
            <w:pPr>
              <w:spacing w:line="480" w:lineRule="auto"/>
              <w:jc w:val="both"/>
              <w:rPr>
                <w:rFonts w:hint="default" w:ascii="Arial" w:hAnsi="Arial" w:cs="Arial"/>
                <w:sz w:val="24"/>
                <w:szCs w:val="24"/>
              </w:rPr>
            </w:pPr>
            <w:r>
              <w:rPr>
                <w:rFonts w:hint="default" w:ascii="Arial" w:hAnsi="Arial" w:cs="Arial"/>
                <w:sz w:val="24"/>
                <w:szCs w:val="24"/>
              </w:rPr>
              <w:t>b. Predictors: (Constant), Challenges, PESG</w:t>
            </w:r>
          </w:p>
        </w:tc>
      </w:tr>
    </w:tbl>
    <w:p w14:paraId="1857BF49">
      <w:pPr>
        <w:spacing w:line="480" w:lineRule="auto"/>
        <w:jc w:val="both"/>
        <w:rPr>
          <w:rFonts w:hint="default" w:ascii="Arial" w:hAnsi="Arial" w:cs="Arial"/>
          <w:sz w:val="24"/>
          <w:szCs w:val="24"/>
        </w:rPr>
      </w:pPr>
    </w:p>
    <w:p w14:paraId="795223C4">
      <w:pPr>
        <w:spacing w:line="480" w:lineRule="auto"/>
        <w:jc w:val="both"/>
        <w:rPr>
          <w:rFonts w:hint="default" w:ascii="Arial" w:hAnsi="Arial" w:cs="Arial"/>
          <w:sz w:val="24"/>
          <w:szCs w:val="24"/>
        </w:rPr>
      </w:pPr>
      <w:r>
        <w:rPr>
          <w:rFonts w:hint="default" w:ascii="Arial" w:hAnsi="Arial" w:cs="Arial"/>
          <w:sz w:val="24"/>
          <w:szCs w:val="24"/>
        </w:rPr>
        <w:t xml:space="preserve">The ANOVA table shows the fitness of model as the significance value is less than 0.05, showcasing that model is significant for determining the relationship </w:t>
      </w:r>
    </w:p>
    <w:p w14:paraId="5F3304A5">
      <w:pPr>
        <w:spacing w:line="480" w:lineRule="auto"/>
        <w:jc w:val="both"/>
        <w:rPr>
          <w:rFonts w:hint="default" w:ascii="Arial" w:hAnsi="Arial" w:cs="Arial"/>
          <w:sz w:val="24"/>
          <w:szCs w:val="24"/>
        </w:rPr>
      </w:pPr>
    </w:p>
    <w:p w14:paraId="43462441">
      <w:pPr>
        <w:spacing w:line="480" w:lineRule="auto"/>
        <w:jc w:val="both"/>
        <w:rPr>
          <w:rFonts w:hint="default" w:ascii="Arial" w:hAnsi="Arial" w:cs="Arial"/>
          <w:sz w:val="24"/>
          <w:szCs w:val="24"/>
        </w:rPr>
      </w:pPr>
    </w:p>
    <w:p w14:paraId="74E9A42E">
      <w:pPr>
        <w:spacing w:line="480" w:lineRule="auto"/>
        <w:jc w:val="both"/>
        <w:rPr>
          <w:rFonts w:hint="default" w:ascii="Arial" w:hAnsi="Arial" w:cs="Arial"/>
          <w:sz w:val="24"/>
          <w:szCs w:val="24"/>
        </w:rPr>
      </w:pPr>
    </w:p>
    <w:tbl>
      <w:tblPr>
        <w:tblStyle w:val="20"/>
        <w:tblW w:w="953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59"/>
        <w:gridCol w:w="1470"/>
        <w:gridCol w:w="1558"/>
        <w:gridCol w:w="1559"/>
        <w:gridCol w:w="1720"/>
        <w:gridCol w:w="1181"/>
        <w:gridCol w:w="1184"/>
      </w:tblGrid>
      <w:tr w14:paraId="0BBEAF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299" w:hRule="atLeast"/>
        </w:trPr>
        <w:tc>
          <w:tcPr>
            <w:tcW w:w="9531" w:type="dxa"/>
            <w:gridSpan w:val="7"/>
            <w:tcBorders>
              <w:top w:val="nil"/>
              <w:left w:val="nil"/>
              <w:bottom w:val="nil"/>
              <w:right w:val="nil"/>
            </w:tcBorders>
            <w:shd w:val="clear" w:color="auto" w:fill="FFFFFF"/>
          </w:tcPr>
          <w:p w14:paraId="424C7F5B">
            <w:pPr>
              <w:spacing w:line="480" w:lineRule="auto"/>
              <w:jc w:val="both"/>
              <w:rPr>
                <w:rFonts w:hint="default" w:ascii="Arial" w:hAnsi="Arial" w:cs="Arial"/>
                <w:sz w:val="24"/>
                <w:szCs w:val="24"/>
              </w:rPr>
            </w:pPr>
            <w:r>
              <w:rPr>
                <w:rFonts w:hint="default" w:ascii="Arial" w:hAnsi="Arial" w:cs="Arial"/>
                <w:b/>
                <w:bCs/>
                <w:sz w:val="24"/>
                <w:szCs w:val="24"/>
              </w:rPr>
              <w:t>Coefficients</w:t>
            </w:r>
            <w:r>
              <w:rPr>
                <w:rFonts w:hint="default" w:ascii="Arial" w:hAnsi="Arial" w:cs="Arial"/>
                <w:b/>
                <w:bCs/>
                <w:sz w:val="24"/>
                <w:szCs w:val="24"/>
                <w:vertAlign w:val="superscript"/>
              </w:rPr>
              <w:t>a</w:t>
            </w:r>
          </w:p>
        </w:tc>
      </w:tr>
      <w:tr w14:paraId="04DF26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613" w:hRule="atLeast"/>
        </w:trPr>
        <w:tc>
          <w:tcPr>
            <w:tcW w:w="2329" w:type="dxa"/>
            <w:gridSpan w:val="2"/>
            <w:vMerge w:val="restart"/>
            <w:tcBorders>
              <w:top w:val="single" w:color="000000" w:sz="16" w:space="0"/>
              <w:left w:val="single" w:color="000000" w:sz="16" w:space="0"/>
              <w:bottom w:val="nil"/>
              <w:right w:val="nil"/>
            </w:tcBorders>
            <w:shd w:val="clear" w:color="auto" w:fill="FFFFFF"/>
          </w:tcPr>
          <w:p w14:paraId="2D64B112">
            <w:pPr>
              <w:spacing w:line="480" w:lineRule="auto"/>
              <w:jc w:val="both"/>
              <w:rPr>
                <w:rFonts w:hint="default" w:ascii="Arial" w:hAnsi="Arial" w:cs="Arial"/>
                <w:sz w:val="24"/>
                <w:szCs w:val="24"/>
              </w:rPr>
            </w:pPr>
            <w:r>
              <w:rPr>
                <w:rFonts w:hint="default" w:ascii="Arial" w:hAnsi="Arial" w:cs="Arial"/>
                <w:sz w:val="24"/>
                <w:szCs w:val="24"/>
              </w:rPr>
              <w:t>Model</w:t>
            </w:r>
          </w:p>
        </w:tc>
        <w:tc>
          <w:tcPr>
            <w:tcW w:w="3117" w:type="dxa"/>
            <w:gridSpan w:val="2"/>
            <w:tcBorders>
              <w:top w:val="single" w:color="000000" w:sz="16" w:space="0"/>
              <w:left w:val="single" w:color="000000" w:sz="16" w:space="0"/>
            </w:tcBorders>
            <w:shd w:val="clear" w:color="auto" w:fill="FFFFFF"/>
          </w:tcPr>
          <w:p w14:paraId="0AE9C381">
            <w:pPr>
              <w:spacing w:line="480" w:lineRule="auto"/>
              <w:jc w:val="both"/>
              <w:rPr>
                <w:rFonts w:hint="default" w:ascii="Arial" w:hAnsi="Arial" w:cs="Arial"/>
                <w:sz w:val="24"/>
                <w:szCs w:val="24"/>
              </w:rPr>
            </w:pPr>
            <w:r>
              <w:rPr>
                <w:rFonts w:hint="default" w:ascii="Arial" w:hAnsi="Arial" w:cs="Arial"/>
                <w:sz w:val="24"/>
                <w:szCs w:val="24"/>
              </w:rPr>
              <w:t>Unstandardized Coefficients</w:t>
            </w:r>
          </w:p>
        </w:tc>
        <w:tc>
          <w:tcPr>
            <w:tcW w:w="1720" w:type="dxa"/>
            <w:tcBorders>
              <w:top w:val="single" w:color="000000" w:sz="16" w:space="0"/>
            </w:tcBorders>
            <w:shd w:val="clear" w:color="auto" w:fill="FFFFFF"/>
          </w:tcPr>
          <w:p w14:paraId="44FDD5AC">
            <w:pPr>
              <w:spacing w:line="480" w:lineRule="auto"/>
              <w:jc w:val="both"/>
              <w:rPr>
                <w:rFonts w:hint="default" w:ascii="Arial" w:hAnsi="Arial" w:cs="Arial"/>
                <w:sz w:val="24"/>
                <w:szCs w:val="24"/>
              </w:rPr>
            </w:pPr>
            <w:r>
              <w:rPr>
                <w:rFonts w:hint="default" w:ascii="Arial" w:hAnsi="Arial" w:cs="Arial"/>
                <w:sz w:val="24"/>
                <w:szCs w:val="24"/>
              </w:rPr>
              <w:t>Standardized Coefficients</w:t>
            </w:r>
          </w:p>
        </w:tc>
        <w:tc>
          <w:tcPr>
            <w:tcW w:w="1181" w:type="dxa"/>
            <w:vMerge w:val="restart"/>
            <w:tcBorders>
              <w:top w:val="single" w:color="000000" w:sz="16" w:space="0"/>
            </w:tcBorders>
            <w:shd w:val="clear" w:color="auto" w:fill="FFFFFF"/>
          </w:tcPr>
          <w:p w14:paraId="58FB0EF6">
            <w:pPr>
              <w:spacing w:line="480" w:lineRule="auto"/>
              <w:jc w:val="both"/>
              <w:rPr>
                <w:rFonts w:hint="default" w:ascii="Arial" w:hAnsi="Arial" w:cs="Arial"/>
                <w:sz w:val="24"/>
                <w:szCs w:val="24"/>
              </w:rPr>
            </w:pPr>
            <w:r>
              <w:rPr>
                <w:rFonts w:hint="default" w:ascii="Arial" w:hAnsi="Arial" w:cs="Arial"/>
                <w:sz w:val="24"/>
                <w:szCs w:val="24"/>
              </w:rPr>
              <w:t>t</w:t>
            </w:r>
          </w:p>
        </w:tc>
        <w:tc>
          <w:tcPr>
            <w:tcW w:w="1181" w:type="dxa"/>
            <w:vMerge w:val="restart"/>
            <w:tcBorders>
              <w:top w:val="single" w:color="000000" w:sz="16" w:space="0"/>
              <w:right w:val="single" w:color="000000" w:sz="16" w:space="0"/>
            </w:tcBorders>
            <w:shd w:val="clear" w:color="auto" w:fill="FFFFFF"/>
          </w:tcPr>
          <w:p w14:paraId="3279C74A">
            <w:pPr>
              <w:spacing w:line="480" w:lineRule="auto"/>
              <w:jc w:val="both"/>
              <w:rPr>
                <w:rFonts w:hint="default" w:ascii="Arial" w:hAnsi="Arial" w:cs="Arial"/>
                <w:sz w:val="24"/>
                <w:szCs w:val="24"/>
              </w:rPr>
            </w:pPr>
            <w:r>
              <w:rPr>
                <w:rFonts w:hint="default" w:ascii="Arial" w:hAnsi="Arial" w:cs="Arial"/>
                <w:sz w:val="24"/>
                <w:szCs w:val="24"/>
              </w:rPr>
              <w:t>Sig.</w:t>
            </w:r>
          </w:p>
        </w:tc>
      </w:tr>
      <w:tr w14:paraId="362C78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328" w:hRule="atLeast"/>
        </w:trPr>
        <w:tc>
          <w:tcPr>
            <w:tcW w:w="2329" w:type="dxa"/>
            <w:gridSpan w:val="2"/>
            <w:vMerge w:val="continue"/>
            <w:tcBorders>
              <w:top w:val="single" w:color="000000" w:sz="16" w:space="0"/>
              <w:left w:val="single" w:color="000000" w:sz="16" w:space="0"/>
              <w:bottom w:val="nil"/>
              <w:right w:val="nil"/>
            </w:tcBorders>
            <w:shd w:val="clear" w:color="auto" w:fill="FFFFFF"/>
          </w:tcPr>
          <w:p w14:paraId="7FC71F1F">
            <w:pPr>
              <w:spacing w:line="480" w:lineRule="auto"/>
              <w:jc w:val="both"/>
              <w:rPr>
                <w:rFonts w:hint="default" w:ascii="Arial" w:hAnsi="Arial" w:cs="Arial"/>
                <w:sz w:val="24"/>
                <w:szCs w:val="24"/>
              </w:rPr>
            </w:pPr>
          </w:p>
        </w:tc>
        <w:tc>
          <w:tcPr>
            <w:tcW w:w="1558" w:type="dxa"/>
            <w:tcBorders>
              <w:left w:val="single" w:color="000000" w:sz="16" w:space="0"/>
              <w:bottom w:val="single" w:color="000000" w:sz="16" w:space="0"/>
            </w:tcBorders>
            <w:shd w:val="clear" w:color="auto" w:fill="FFFFFF"/>
          </w:tcPr>
          <w:p w14:paraId="1501E59F">
            <w:pPr>
              <w:spacing w:line="480" w:lineRule="auto"/>
              <w:jc w:val="both"/>
              <w:rPr>
                <w:rFonts w:hint="default" w:ascii="Arial" w:hAnsi="Arial" w:cs="Arial"/>
                <w:sz w:val="24"/>
                <w:szCs w:val="24"/>
              </w:rPr>
            </w:pPr>
            <w:r>
              <w:rPr>
                <w:rFonts w:hint="default" w:ascii="Arial" w:hAnsi="Arial" w:cs="Arial"/>
                <w:sz w:val="24"/>
                <w:szCs w:val="24"/>
              </w:rPr>
              <w:t>B</w:t>
            </w:r>
          </w:p>
        </w:tc>
        <w:tc>
          <w:tcPr>
            <w:tcW w:w="1558" w:type="dxa"/>
            <w:tcBorders>
              <w:bottom w:val="single" w:color="000000" w:sz="16" w:space="0"/>
            </w:tcBorders>
            <w:shd w:val="clear" w:color="auto" w:fill="FFFFFF"/>
          </w:tcPr>
          <w:p w14:paraId="04D2B3E5">
            <w:pPr>
              <w:spacing w:line="480" w:lineRule="auto"/>
              <w:jc w:val="both"/>
              <w:rPr>
                <w:rFonts w:hint="default" w:ascii="Arial" w:hAnsi="Arial" w:cs="Arial"/>
                <w:sz w:val="24"/>
                <w:szCs w:val="24"/>
              </w:rPr>
            </w:pPr>
            <w:r>
              <w:rPr>
                <w:rFonts w:hint="default" w:ascii="Arial" w:hAnsi="Arial" w:cs="Arial"/>
                <w:sz w:val="24"/>
                <w:szCs w:val="24"/>
              </w:rPr>
              <w:t>Std. Error</w:t>
            </w:r>
          </w:p>
        </w:tc>
        <w:tc>
          <w:tcPr>
            <w:tcW w:w="1720" w:type="dxa"/>
            <w:tcBorders>
              <w:bottom w:val="single" w:color="000000" w:sz="16" w:space="0"/>
            </w:tcBorders>
            <w:shd w:val="clear" w:color="auto" w:fill="FFFFFF"/>
          </w:tcPr>
          <w:p w14:paraId="224C1556">
            <w:pPr>
              <w:spacing w:line="480" w:lineRule="auto"/>
              <w:jc w:val="both"/>
              <w:rPr>
                <w:rFonts w:hint="default" w:ascii="Arial" w:hAnsi="Arial" w:cs="Arial"/>
                <w:sz w:val="24"/>
                <w:szCs w:val="24"/>
              </w:rPr>
            </w:pPr>
            <w:r>
              <w:rPr>
                <w:rFonts w:hint="default" w:ascii="Arial" w:hAnsi="Arial" w:cs="Arial"/>
                <w:sz w:val="24"/>
                <w:szCs w:val="24"/>
              </w:rPr>
              <w:t>Beta</w:t>
            </w:r>
          </w:p>
        </w:tc>
        <w:tc>
          <w:tcPr>
            <w:tcW w:w="1181" w:type="dxa"/>
            <w:vMerge w:val="continue"/>
            <w:tcBorders>
              <w:top w:val="single" w:color="000000" w:sz="16" w:space="0"/>
            </w:tcBorders>
            <w:shd w:val="clear" w:color="auto" w:fill="FFFFFF"/>
          </w:tcPr>
          <w:p w14:paraId="5BDB401C">
            <w:pPr>
              <w:spacing w:line="480" w:lineRule="auto"/>
              <w:jc w:val="both"/>
              <w:rPr>
                <w:rFonts w:hint="default" w:ascii="Arial" w:hAnsi="Arial" w:cs="Arial"/>
                <w:sz w:val="24"/>
                <w:szCs w:val="24"/>
              </w:rPr>
            </w:pPr>
          </w:p>
        </w:tc>
        <w:tc>
          <w:tcPr>
            <w:tcW w:w="1181" w:type="dxa"/>
            <w:vMerge w:val="continue"/>
            <w:tcBorders>
              <w:top w:val="single" w:color="000000" w:sz="16" w:space="0"/>
              <w:right w:val="single" w:color="000000" w:sz="16" w:space="0"/>
            </w:tcBorders>
            <w:shd w:val="clear" w:color="auto" w:fill="FFFFFF"/>
          </w:tcPr>
          <w:p w14:paraId="05375109">
            <w:pPr>
              <w:spacing w:line="480" w:lineRule="auto"/>
              <w:jc w:val="both"/>
              <w:rPr>
                <w:rFonts w:hint="default" w:ascii="Arial" w:hAnsi="Arial" w:cs="Arial"/>
                <w:sz w:val="24"/>
                <w:szCs w:val="24"/>
              </w:rPr>
            </w:pPr>
          </w:p>
        </w:tc>
      </w:tr>
      <w:tr w14:paraId="6327BE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299" w:hRule="atLeast"/>
        </w:trPr>
        <w:tc>
          <w:tcPr>
            <w:tcW w:w="859" w:type="dxa"/>
            <w:vMerge w:val="restart"/>
            <w:tcBorders>
              <w:top w:val="single" w:color="000000" w:sz="16" w:space="0"/>
              <w:left w:val="single" w:color="000000" w:sz="16" w:space="0"/>
              <w:bottom w:val="single" w:color="000000" w:sz="16" w:space="0"/>
              <w:right w:val="nil"/>
            </w:tcBorders>
            <w:shd w:val="clear" w:color="auto" w:fill="FFFFFF"/>
            <w:vAlign w:val="center"/>
          </w:tcPr>
          <w:p w14:paraId="630828E7">
            <w:pPr>
              <w:spacing w:line="480" w:lineRule="auto"/>
              <w:jc w:val="both"/>
              <w:rPr>
                <w:rFonts w:hint="default" w:ascii="Arial" w:hAnsi="Arial" w:cs="Arial"/>
                <w:sz w:val="24"/>
                <w:szCs w:val="24"/>
              </w:rPr>
            </w:pPr>
          </w:p>
        </w:tc>
        <w:tc>
          <w:tcPr>
            <w:tcW w:w="1469" w:type="dxa"/>
            <w:tcBorders>
              <w:top w:val="single" w:color="000000" w:sz="16" w:space="0"/>
              <w:left w:val="nil"/>
              <w:bottom w:val="nil"/>
              <w:right w:val="single" w:color="000000" w:sz="16" w:space="0"/>
            </w:tcBorders>
            <w:shd w:val="clear" w:color="auto" w:fill="FFFFFF"/>
            <w:vAlign w:val="center"/>
          </w:tcPr>
          <w:p w14:paraId="4B160D3E">
            <w:pPr>
              <w:spacing w:line="480" w:lineRule="auto"/>
              <w:jc w:val="both"/>
              <w:rPr>
                <w:rFonts w:hint="default" w:ascii="Arial" w:hAnsi="Arial" w:cs="Arial"/>
                <w:sz w:val="24"/>
                <w:szCs w:val="24"/>
              </w:rPr>
            </w:pPr>
            <w:r>
              <w:rPr>
                <w:rFonts w:hint="default" w:ascii="Arial" w:hAnsi="Arial" w:cs="Arial"/>
                <w:sz w:val="24"/>
                <w:szCs w:val="24"/>
              </w:rPr>
              <w:t>(Constant)</w:t>
            </w:r>
          </w:p>
        </w:tc>
        <w:tc>
          <w:tcPr>
            <w:tcW w:w="1558" w:type="dxa"/>
            <w:tcBorders>
              <w:top w:val="single" w:color="000000" w:sz="16" w:space="0"/>
              <w:left w:val="single" w:color="000000" w:sz="16" w:space="0"/>
              <w:bottom w:val="nil"/>
            </w:tcBorders>
            <w:shd w:val="clear" w:color="auto" w:fill="FFFFFF"/>
          </w:tcPr>
          <w:p w14:paraId="2806EFDF">
            <w:pPr>
              <w:spacing w:line="480" w:lineRule="auto"/>
              <w:jc w:val="both"/>
              <w:rPr>
                <w:rFonts w:hint="default" w:ascii="Arial" w:hAnsi="Arial" w:cs="Arial"/>
                <w:sz w:val="24"/>
                <w:szCs w:val="24"/>
              </w:rPr>
            </w:pPr>
            <w:r>
              <w:rPr>
                <w:rFonts w:hint="default" w:ascii="Arial" w:hAnsi="Arial" w:cs="Arial"/>
                <w:sz w:val="24"/>
                <w:szCs w:val="24"/>
              </w:rPr>
              <w:t>.358</w:t>
            </w:r>
          </w:p>
        </w:tc>
        <w:tc>
          <w:tcPr>
            <w:tcW w:w="1558" w:type="dxa"/>
            <w:tcBorders>
              <w:top w:val="single" w:color="000000" w:sz="16" w:space="0"/>
              <w:bottom w:val="nil"/>
            </w:tcBorders>
            <w:shd w:val="clear" w:color="auto" w:fill="FFFFFF"/>
          </w:tcPr>
          <w:p w14:paraId="2D2D0A84">
            <w:pPr>
              <w:spacing w:line="480" w:lineRule="auto"/>
              <w:jc w:val="both"/>
              <w:rPr>
                <w:rFonts w:hint="default" w:ascii="Arial" w:hAnsi="Arial" w:cs="Arial"/>
                <w:sz w:val="24"/>
                <w:szCs w:val="24"/>
              </w:rPr>
            </w:pPr>
            <w:r>
              <w:rPr>
                <w:rFonts w:hint="default" w:ascii="Arial" w:hAnsi="Arial" w:cs="Arial"/>
                <w:sz w:val="24"/>
                <w:szCs w:val="24"/>
              </w:rPr>
              <w:t>.185</w:t>
            </w:r>
          </w:p>
        </w:tc>
        <w:tc>
          <w:tcPr>
            <w:tcW w:w="1720" w:type="dxa"/>
            <w:tcBorders>
              <w:top w:val="single" w:color="000000" w:sz="16" w:space="0"/>
              <w:bottom w:val="nil"/>
            </w:tcBorders>
            <w:shd w:val="clear" w:color="auto" w:fill="FFFFFF"/>
          </w:tcPr>
          <w:p w14:paraId="33F92EE3">
            <w:pPr>
              <w:spacing w:line="480" w:lineRule="auto"/>
              <w:jc w:val="both"/>
              <w:rPr>
                <w:rFonts w:hint="default" w:ascii="Arial" w:hAnsi="Arial" w:cs="Arial"/>
                <w:sz w:val="24"/>
                <w:szCs w:val="24"/>
              </w:rPr>
            </w:pPr>
          </w:p>
        </w:tc>
        <w:tc>
          <w:tcPr>
            <w:tcW w:w="1181" w:type="dxa"/>
            <w:tcBorders>
              <w:top w:val="single" w:color="000000" w:sz="16" w:space="0"/>
              <w:bottom w:val="nil"/>
            </w:tcBorders>
            <w:shd w:val="clear" w:color="auto" w:fill="FFFFFF"/>
          </w:tcPr>
          <w:p w14:paraId="7988987F">
            <w:pPr>
              <w:spacing w:line="480" w:lineRule="auto"/>
              <w:jc w:val="both"/>
              <w:rPr>
                <w:rFonts w:hint="default" w:ascii="Arial" w:hAnsi="Arial" w:cs="Arial"/>
                <w:sz w:val="24"/>
                <w:szCs w:val="24"/>
              </w:rPr>
            </w:pPr>
            <w:r>
              <w:rPr>
                <w:rFonts w:hint="default" w:ascii="Arial" w:hAnsi="Arial" w:cs="Arial"/>
                <w:sz w:val="24"/>
                <w:szCs w:val="24"/>
              </w:rPr>
              <w:t>1.935</w:t>
            </w:r>
          </w:p>
        </w:tc>
        <w:tc>
          <w:tcPr>
            <w:tcW w:w="1181" w:type="dxa"/>
            <w:tcBorders>
              <w:top w:val="single" w:color="000000" w:sz="16" w:space="0"/>
              <w:bottom w:val="nil"/>
              <w:right w:val="single" w:color="000000" w:sz="16" w:space="0"/>
            </w:tcBorders>
            <w:shd w:val="clear" w:color="auto" w:fill="FFFFFF"/>
          </w:tcPr>
          <w:p w14:paraId="084F3EC5">
            <w:pPr>
              <w:spacing w:line="480" w:lineRule="auto"/>
              <w:jc w:val="both"/>
              <w:rPr>
                <w:rFonts w:hint="default" w:ascii="Arial" w:hAnsi="Arial" w:cs="Arial"/>
                <w:sz w:val="24"/>
                <w:szCs w:val="24"/>
              </w:rPr>
            </w:pPr>
            <w:r>
              <w:rPr>
                <w:rFonts w:hint="default" w:ascii="Arial" w:hAnsi="Arial" w:cs="Arial"/>
                <w:sz w:val="24"/>
                <w:szCs w:val="24"/>
              </w:rPr>
              <w:t>.056</w:t>
            </w:r>
          </w:p>
        </w:tc>
      </w:tr>
      <w:tr w14:paraId="6EB36C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342" w:hRule="atLeast"/>
        </w:trPr>
        <w:tc>
          <w:tcPr>
            <w:tcW w:w="859" w:type="dxa"/>
            <w:vMerge w:val="continue"/>
            <w:tcBorders>
              <w:top w:val="single" w:color="000000" w:sz="16" w:space="0"/>
              <w:left w:val="single" w:color="000000" w:sz="16" w:space="0"/>
              <w:bottom w:val="single" w:color="000000" w:sz="16" w:space="0"/>
              <w:right w:val="nil"/>
            </w:tcBorders>
            <w:shd w:val="clear" w:color="auto" w:fill="FFFFFF"/>
            <w:vAlign w:val="center"/>
          </w:tcPr>
          <w:p w14:paraId="06B65C39">
            <w:pPr>
              <w:spacing w:line="480" w:lineRule="auto"/>
              <w:jc w:val="both"/>
              <w:rPr>
                <w:rFonts w:hint="default" w:ascii="Arial" w:hAnsi="Arial" w:cs="Arial"/>
                <w:sz w:val="24"/>
                <w:szCs w:val="24"/>
              </w:rPr>
            </w:pPr>
          </w:p>
        </w:tc>
        <w:tc>
          <w:tcPr>
            <w:tcW w:w="1469" w:type="dxa"/>
            <w:tcBorders>
              <w:top w:val="nil"/>
              <w:left w:val="nil"/>
              <w:bottom w:val="nil"/>
              <w:right w:val="single" w:color="000000" w:sz="16" w:space="0"/>
            </w:tcBorders>
            <w:shd w:val="clear" w:color="auto" w:fill="FFFFFF"/>
            <w:vAlign w:val="center"/>
          </w:tcPr>
          <w:p w14:paraId="1CFCB4D3">
            <w:pPr>
              <w:spacing w:line="480" w:lineRule="auto"/>
              <w:jc w:val="both"/>
              <w:rPr>
                <w:rFonts w:hint="default" w:ascii="Arial" w:hAnsi="Arial" w:cs="Arial"/>
                <w:sz w:val="24"/>
                <w:szCs w:val="24"/>
              </w:rPr>
            </w:pPr>
            <w:r>
              <w:rPr>
                <w:rFonts w:hint="default" w:ascii="Arial" w:hAnsi="Arial" w:cs="Arial"/>
                <w:sz w:val="24"/>
                <w:szCs w:val="24"/>
              </w:rPr>
              <w:t>PESG</w:t>
            </w:r>
          </w:p>
        </w:tc>
        <w:tc>
          <w:tcPr>
            <w:tcW w:w="1558" w:type="dxa"/>
            <w:tcBorders>
              <w:top w:val="nil"/>
              <w:left w:val="single" w:color="000000" w:sz="16" w:space="0"/>
              <w:bottom w:val="nil"/>
            </w:tcBorders>
            <w:shd w:val="clear" w:color="auto" w:fill="FFFFFF"/>
          </w:tcPr>
          <w:p w14:paraId="25B1CC62">
            <w:pPr>
              <w:spacing w:line="480" w:lineRule="auto"/>
              <w:jc w:val="both"/>
              <w:rPr>
                <w:rFonts w:hint="default" w:ascii="Arial" w:hAnsi="Arial" w:cs="Arial"/>
                <w:sz w:val="24"/>
                <w:szCs w:val="24"/>
              </w:rPr>
            </w:pPr>
            <w:r>
              <w:rPr>
                <w:rFonts w:hint="default" w:ascii="Arial" w:hAnsi="Arial" w:cs="Arial"/>
                <w:sz w:val="24"/>
                <w:szCs w:val="24"/>
              </w:rPr>
              <w:t>.321</w:t>
            </w:r>
          </w:p>
        </w:tc>
        <w:tc>
          <w:tcPr>
            <w:tcW w:w="1558" w:type="dxa"/>
            <w:tcBorders>
              <w:top w:val="nil"/>
              <w:bottom w:val="nil"/>
            </w:tcBorders>
            <w:shd w:val="clear" w:color="auto" w:fill="FFFFFF"/>
          </w:tcPr>
          <w:p w14:paraId="30FA9B40">
            <w:pPr>
              <w:spacing w:line="480" w:lineRule="auto"/>
              <w:jc w:val="both"/>
              <w:rPr>
                <w:rFonts w:hint="default" w:ascii="Arial" w:hAnsi="Arial" w:cs="Arial"/>
                <w:sz w:val="24"/>
                <w:szCs w:val="24"/>
              </w:rPr>
            </w:pPr>
            <w:r>
              <w:rPr>
                <w:rFonts w:hint="default" w:ascii="Arial" w:hAnsi="Arial" w:cs="Arial"/>
                <w:sz w:val="24"/>
                <w:szCs w:val="24"/>
              </w:rPr>
              <w:t>.054</w:t>
            </w:r>
          </w:p>
        </w:tc>
        <w:tc>
          <w:tcPr>
            <w:tcW w:w="1720" w:type="dxa"/>
            <w:tcBorders>
              <w:top w:val="nil"/>
              <w:bottom w:val="nil"/>
            </w:tcBorders>
            <w:shd w:val="clear" w:color="auto" w:fill="FFFFFF"/>
          </w:tcPr>
          <w:p w14:paraId="1922C350">
            <w:pPr>
              <w:spacing w:line="480" w:lineRule="auto"/>
              <w:jc w:val="both"/>
              <w:rPr>
                <w:rFonts w:hint="default" w:ascii="Arial" w:hAnsi="Arial" w:cs="Arial"/>
                <w:sz w:val="24"/>
                <w:szCs w:val="24"/>
              </w:rPr>
            </w:pPr>
            <w:r>
              <w:rPr>
                <w:rFonts w:hint="default" w:ascii="Arial" w:hAnsi="Arial" w:cs="Arial"/>
                <w:sz w:val="24"/>
                <w:szCs w:val="24"/>
              </w:rPr>
              <w:t>.345</w:t>
            </w:r>
          </w:p>
        </w:tc>
        <w:tc>
          <w:tcPr>
            <w:tcW w:w="1181" w:type="dxa"/>
            <w:tcBorders>
              <w:top w:val="nil"/>
              <w:bottom w:val="nil"/>
            </w:tcBorders>
            <w:shd w:val="clear" w:color="auto" w:fill="FFFFFF"/>
          </w:tcPr>
          <w:p w14:paraId="65AB9E77">
            <w:pPr>
              <w:spacing w:line="480" w:lineRule="auto"/>
              <w:jc w:val="both"/>
              <w:rPr>
                <w:rFonts w:hint="default" w:ascii="Arial" w:hAnsi="Arial" w:cs="Arial"/>
                <w:sz w:val="24"/>
                <w:szCs w:val="24"/>
              </w:rPr>
            </w:pPr>
            <w:r>
              <w:rPr>
                <w:rFonts w:hint="default" w:ascii="Arial" w:hAnsi="Arial" w:cs="Arial"/>
                <w:sz w:val="24"/>
                <w:szCs w:val="24"/>
              </w:rPr>
              <w:t>5.976</w:t>
            </w:r>
          </w:p>
        </w:tc>
        <w:tc>
          <w:tcPr>
            <w:tcW w:w="1181" w:type="dxa"/>
            <w:tcBorders>
              <w:top w:val="nil"/>
              <w:bottom w:val="nil"/>
              <w:right w:val="single" w:color="000000" w:sz="16" w:space="0"/>
            </w:tcBorders>
            <w:shd w:val="clear" w:color="auto" w:fill="FFFFFF"/>
          </w:tcPr>
          <w:p w14:paraId="03EB233C">
            <w:pPr>
              <w:spacing w:line="480" w:lineRule="auto"/>
              <w:jc w:val="both"/>
              <w:rPr>
                <w:rFonts w:hint="default" w:ascii="Arial" w:hAnsi="Arial" w:cs="Arial"/>
                <w:sz w:val="24"/>
                <w:szCs w:val="24"/>
              </w:rPr>
            </w:pPr>
            <w:r>
              <w:rPr>
                <w:rFonts w:hint="default" w:ascii="Arial" w:hAnsi="Arial" w:cs="Arial"/>
                <w:sz w:val="24"/>
                <w:szCs w:val="24"/>
              </w:rPr>
              <w:t>.000</w:t>
            </w:r>
          </w:p>
        </w:tc>
      </w:tr>
      <w:tr w14:paraId="1B8607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328" w:hRule="atLeast"/>
        </w:trPr>
        <w:tc>
          <w:tcPr>
            <w:tcW w:w="859" w:type="dxa"/>
            <w:vMerge w:val="continue"/>
            <w:tcBorders>
              <w:top w:val="single" w:color="000000" w:sz="16" w:space="0"/>
              <w:left w:val="single" w:color="000000" w:sz="16" w:space="0"/>
              <w:bottom w:val="single" w:color="000000" w:sz="16" w:space="0"/>
              <w:right w:val="nil"/>
            </w:tcBorders>
            <w:shd w:val="clear" w:color="auto" w:fill="FFFFFF"/>
            <w:vAlign w:val="center"/>
          </w:tcPr>
          <w:p w14:paraId="74608F57">
            <w:pPr>
              <w:spacing w:line="480" w:lineRule="auto"/>
              <w:jc w:val="both"/>
              <w:rPr>
                <w:rFonts w:hint="default" w:ascii="Arial" w:hAnsi="Arial" w:cs="Arial"/>
                <w:sz w:val="24"/>
                <w:szCs w:val="24"/>
              </w:rPr>
            </w:pPr>
          </w:p>
        </w:tc>
        <w:tc>
          <w:tcPr>
            <w:tcW w:w="1469" w:type="dxa"/>
            <w:tcBorders>
              <w:top w:val="nil"/>
              <w:left w:val="nil"/>
              <w:bottom w:val="single" w:color="000000" w:sz="16" w:space="0"/>
              <w:right w:val="single" w:color="000000" w:sz="16" w:space="0"/>
            </w:tcBorders>
            <w:shd w:val="clear" w:color="auto" w:fill="FFFFFF"/>
            <w:vAlign w:val="center"/>
          </w:tcPr>
          <w:p w14:paraId="3767EB6D">
            <w:pPr>
              <w:spacing w:line="480" w:lineRule="auto"/>
              <w:jc w:val="both"/>
              <w:rPr>
                <w:rFonts w:hint="default" w:ascii="Arial" w:hAnsi="Arial" w:cs="Arial"/>
                <w:sz w:val="24"/>
                <w:szCs w:val="24"/>
              </w:rPr>
            </w:pPr>
            <w:r>
              <w:rPr>
                <w:rFonts w:hint="default" w:ascii="Arial" w:hAnsi="Arial" w:cs="Arial"/>
                <w:sz w:val="24"/>
                <w:szCs w:val="24"/>
              </w:rPr>
              <w:t>Challenges</w:t>
            </w:r>
          </w:p>
        </w:tc>
        <w:tc>
          <w:tcPr>
            <w:tcW w:w="1558" w:type="dxa"/>
            <w:tcBorders>
              <w:top w:val="nil"/>
              <w:left w:val="single" w:color="000000" w:sz="16" w:space="0"/>
              <w:bottom w:val="single" w:color="000000" w:sz="16" w:space="0"/>
            </w:tcBorders>
            <w:shd w:val="clear" w:color="auto" w:fill="FFFFFF"/>
          </w:tcPr>
          <w:p w14:paraId="28BF80F4">
            <w:pPr>
              <w:spacing w:line="480" w:lineRule="auto"/>
              <w:jc w:val="both"/>
              <w:rPr>
                <w:rFonts w:hint="default" w:ascii="Arial" w:hAnsi="Arial" w:cs="Arial"/>
                <w:sz w:val="24"/>
                <w:szCs w:val="24"/>
              </w:rPr>
            </w:pPr>
            <w:r>
              <w:rPr>
                <w:rFonts w:hint="default" w:ascii="Arial" w:hAnsi="Arial" w:cs="Arial"/>
                <w:sz w:val="24"/>
                <w:szCs w:val="24"/>
              </w:rPr>
              <w:t>.586</w:t>
            </w:r>
          </w:p>
        </w:tc>
        <w:tc>
          <w:tcPr>
            <w:tcW w:w="1558" w:type="dxa"/>
            <w:tcBorders>
              <w:top w:val="nil"/>
              <w:bottom w:val="single" w:color="000000" w:sz="16" w:space="0"/>
            </w:tcBorders>
            <w:shd w:val="clear" w:color="auto" w:fill="FFFFFF"/>
          </w:tcPr>
          <w:p w14:paraId="55C2C7A3">
            <w:pPr>
              <w:spacing w:line="480" w:lineRule="auto"/>
              <w:jc w:val="both"/>
              <w:rPr>
                <w:rFonts w:hint="default" w:ascii="Arial" w:hAnsi="Arial" w:cs="Arial"/>
                <w:sz w:val="24"/>
                <w:szCs w:val="24"/>
              </w:rPr>
            </w:pPr>
            <w:r>
              <w:rPr>
                <w:rFonts w:hint="default" w:ascii="Arial" w:hAnsi="Arial" w:cs="Arial"/>
                <w:sz w:val="24"/>
                <w:szCs w:val="24"/>
              </w:rPr>
              <w:t>.053</w:t>
            </w:r>
          </w:p>
        </w:tc>
        <w:tc>
          <w:tcPr>
            <w:tcW w:w="1720" w:type="dxa"/>
            <w:tcBorders>
              <w:top w:val="nil"/>
              <w:bottom w:val="single" w:color="000000" w:sz="16" w:space="0"/>
            </w:tcBorders>
            <w:shd w:val="clear" w:color="auto" w:fill="FFFFFF"/>
          </w:tcPr>
          <w:p w14:paraId="2C719E7E">
            <w:pPr>
              <w:spacing w:line="480" w:lineRule="auto"/>
              <w:jc w:val="both"/>
              <w:rPr>
                <w:rFonts w:hint="default" w:ascii="Arial" w:hAnsi="Arial" w:cs="Arial"/>
                <w:sz w:val="24"/>
                <w:szCs w:val="24"/>
              </w:rPr>
            </w:pPr>
            <w:r>
              <w:rPr>
                <w:rFonts w:hint="default" w:ascii="Arial" w:hAnsi="Arial" w:cs="Arial"/>
                <w:sz w:val="24"/>
                <w:szCs w:val="24"/>
              </w:rPr>
              <w:t>.642</w:t>
            </w:r>
          </w:p>
        </w:tc>
        <w:tc>
          <w:tcPr>
            <w:tcW w:w="1181" w:type="dxa"/>
            <w:tcBorders>
              <w:top w:val="nil"/>
              <w:bottom w:val="single" w:color="000000" w:sz="16" w:space="0"/>
            </w:tcBorders>
            <w:shd w:val="clear" w:color="auto" w:fill="FFFFFF"/>
          </w:tcPr>
          <w:p w14:paraId="1DDA1F4B">
            <w:pPr>
              <w:spacing w:line="480" w:lineRule="auto"/>
              <w:jc w:val="both"/>
              <w:rPr>
                <w:rFonts w:hint="default" w:ascii="Arial" w:hAnsi="Arial" w:cs="Arial"/>
                <w:sz w:val="24"/>
                <w:szCs w:val="24"/>
              </w:rPr>
            </w:pPr>
            <w:r>
              <w:rPr>
                <w:rFonts w:hint="default" w:ascii="Arial" w:hAnsi="Arial" w:cs="Arial"/>
                <w:sz w:val="24"/>
                <w:szCs w:val="24"/>
              </w:rPr>
              <w:t>11.125</w:t>
            </w:r>
          </w:p>
        </w:tc>
        <w:tc>
          <w:tcPr>
            <w:tcW w:w="1181" w:type="dxa"/>
            <w:tcBorders>
              <w:top w:val="nil"/>
              <w:bottom w:val="single" w:color="000000" w:sz="16" w:space="0"/>
              <w:right w:val="single" w:color="000000" w:sz="16" w:space="0"/>
            </w:tcBorders>
            <w:shd w:val="clear" w:color="auto" w:fill="FFFFFF"/>
          </w:tcPr>
          <w:p w14:paraId="53EF39B7">
            <w:pPr>
              <w:spacing w:line="480" w:lineRule="auto"/>
              <w:jc w:val="both"/>
              <w:rPr>
                <w:rFonts w:hint="default" w:ascii="Arial" w:hAnsi="Arial" w:cs="Arial"/>
                <w:sz w:val="24"/>
                <w:szCs w:val="24"/>
              </w:rPr>
            </w:pPr>
            <w:r>
              <w:rPr>
                <w:rFonts w:hint="default" w:ascii="Arial" w:hAnsi="Arial" w:cs="Arial"/>
                <w:sz w:val="24"/>
                <w:szCs w:val="24"/>
              </w:rPr>
              <w:t>.000</w:t>
            </w:r>
          </w:p>
        </w:tc>
      </w:tr>
      <w:tr w14:paraId="2F95D6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299" w:hRule="atLeast"/>
        </w:trPr>
        <w:tc>
          <w:tcPr>
            <w:tcW w:w="9531" w:type="dxa"/>
            <w:gridSpan w:val="7"/>
            <w:tcBorders>
              <w:top w:val="nil"/>
              <w:left w:val="nil"/>
              <w:bottom w:val="nil"/>
              <w:right w:val="nil"/>
            </w:tcBorders>
            <w:shd w:val="clear" w:color="auto" w:fill="FFFFFF"/>
          </w:tcPr>
          <w:p w14:paraId="7FDBD561">
            <w:pPr>
              <w:spacing w:line="480" w:lineRule="auto"/>
              <w:jc w:val="both"/>
              <w:rPr>
                <w:rFonts w:hint="default" w:ascii="Arial" w:hAnsi="Arial" w:cs="Arial"/>
                <w:sz w:val="24"/>
                <w:szCs w:val="24"/>
              </w:rPr>
            </w:pPr>
            <w:r>
              <w:rPr>
                <w:rFonts w:hint="default" w:ascii="Arial" w:hAnsi="Arial" w:cs="Arial"/>
                <w:sz w:val="24"/>
                <w:szCs w:val="24"/>
              </w:rPr>
              <w:t>a. Dependent Variable: RP</w:t>
            </w:r>
          </w:p>
        </w:tc>
      </w:tr>
    </w:tbl>
    <w:p w14:paraId="22504541">
      <w:pPr>
        <w:spacing w:line="480" w:lineRule="auto"/>
        <w:jc w:val="both"/>
        <w:rPr>
          <w:rFonts w:hint="default" w:ascii="Arial" w:hAnsi="Arial" w:cs="Arial"/>
          <w:i/>
          <w:iCs/>
          <w:sz w:val="24"/>
          <w:szCs w:val="24"/>
        </w:rPr>
      </w:pPr>
      <w:r>
        <w:rPr>
          <w:rFonts w:hint="default" w:ascii="Arial" w:hAnsi="Arial" w:cs="Arial"/>
          <w:i/>
          <w:iCs/>
          <w:sz w:val="24"/>
          <w:szCs w:val="24"/>
        </w:rPr>
        <w:t xml:space="preserve">Table </w:t>
      </w:r>
      <w:r>
        <w:rPr>
          <w:rFonts w:hint="default" w:ascii="Arial" w:hAnsi="Arial" w:cs="Arial"/>
          <w:i/>
          <w:iCs/>
          <w:sz w:val="24"/>
          <w:szCs w:val="24"/>
        </w:rPr>
        <w:fldChar w:fldCharType="begin"/>
      </w:r>
      <w:r>
        <w:rPr>
          <w:rFonts w:hint="default" w:ascii="Arial" w:hAnsi="Arial" w:cs="Arial"/>
          <w:i/>
          <w:iCs/>
          <w:sz w:val="24"/>
          <w:szCs w:val="24"/>
        </w:rPr>
        <w:instrText xml:space="preserve"> SEQ Table \* ARABIC </w:instrText>
      </w:r>
      <w:r>
        <w:rPr>
          <w:rFonts w:hint="default" w:ascii="Arial" w:hAnsi="Arial" w:cs="Arial"/>
          <w:i/>
          <w:iCs/>
          <w:sz w:val="24"/>
          <w:szCs w:val="24"/>
        </w:rPr>
        <w:fldChar w:fldCharType="separate"/>
      </w:r>
      <w:r>
        <w:rPr>
          <w:rFonts w:hint="default" w:ascii="Arial" w:hAnsi="Arial" w:cs="Arial"/>
          <w:i/>
          <w:iCs/>
          <w:sz w:val="24"/>
          <w:szCs w:val="24"/>
        </w:rPr>
        <w:t>7</w:t>
      </w:r>
      <w:r>
        <w:rPr>
          <w:rFonts w:hint="default" w:ascii="Arial" w:hAnsi="Arial" w:cs="Arial"/>
          <w:sz w:val="24"/>
          <w:szCs w:val="24"/>
        </w:rPr>
        <w:fldChar w:fldCharType="end"/>
      </w:r>
      <w:r>
        <w:rPr>
          <w:rFonts w:hint="default" w:ascii="Arial" w:hAnsi="Arial" w:cs="Arial"/>
          <w:i/>
          <w:iCs/>
          <w:sz w:val="24"/>
          <w:szCs w:val="24"/>
        </w:rPr>
        <w:t>: Regression table</w:t>
      </w:r>
    </w:p>
    <w:p w14:paraId="7C7D9BC9">
      <w:pPr>
        <w:spacing w:line="480" w:lineRule="auto"/>
        <w:jc w:val="both"/>
        <w:rPr>
          <w:rFonts w:hint="default" w:ascii="Arial" w:hAnsi="Arial" w:cs="Arial"/>
          <w:sz w:val="24"/>
          <w:szCs w:val="24"/>
        </w:rPr>
      </w:pPr>
      <w:r>
        <w:rPr>
          <w:rFonts w:hint="default" w:ascii="Arial" w:hAnsi="Arial" w:cs="Arial"/>
          <w:sz w:val="24"/>
          <w:szCs w:val="24"/>
        </w:rPr>
        <w:t xml:space="preserve">Table 7 shows that consumer perceptions of ESG are significantly related to financial risk performance of Chinese companies as the p-value is less than 0.05, hence H1 is accepted. Also, the consumers concerns of ESG companies are also significantly related to risk performances as the p-value for this is also less than 0.05, hence accepting H2. </w:t>
      </w:r>
    </w:p>
    <w:p w14:paraId="79CE71AA">
      <w:pPr>
        <w:spacing w:line="480" w:lineRule="auto"/>
        <w:jc w:val="both"/>
        <w:rPr>
          <w:rFonts w:hint="default" w:ascii="Arial" w:hAnsi="Arial" w:cs="Arial"/>
          <w:sz w:val="24"/>
          <w:szCs w:val="24"/>
        </w:rPr>
      </w:pPr>
      <w:r>
        <w:rPr>
          <w:rFonts w:hint="default" w:ascii="Arial" w:hAnsi="Arial" w:cs="Arial"/>
          <w:sz w:val="24"/>
          <w:szCs w:val="24"/>
        </w:rPr>
        <w:t xml:space="preserve">The survey findings presented that majority of respondents are male with graduation degree and belong to age group range of 26-35 and they are mostly professionals. The descriptive statistics has showed that majority of respondents presented their neutral stance in dataset. Through correlation analysis, the strong positive relationship has been found among consumer perception, challenges and financial risk performances. The regression analysis has showed the significance of relationship between consumer perceptions and risk performance. Also, challenges of ESG adoption significantly impact the risk performance of Chinese companies. </w:t>
      </w:r>
    </w:p>
    <w:p w14:paraId="7FEB8C80">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52" w:name="_Toc2209"/>
      <w:r>
        <w:rPr>
          <w:rFonts w:hint="eastAsia" w:ascii="Arial" w:hAnsi="Arial" w:cs="Arial"/>
          <w:b/>
          <w:color w:val="2E75B6" w:themeColor="accent1" w:themeShade="BF"/>
          <w:sz w:val="24"/>
          <w:szCs w:val="24"/>
          <w:lang w:val="en-US" w:eastAsia="zh-CN" w:bidi="ar-SA"/>
        </w:rPr>
        <w:t>4</w:t>
      </w:r>
      <w:r>
        <w:rPr>
          <w:rFonts w:hint="default" w:ascii="Arial" w:hAnsi="Arial" w:cs="Arial" w:eastAsiaTheme="majorEastAsia"/>
          <w:b/>
          <w:color w:val="2E75B6" w:themeColor="accent1" w:themeShade="BF"/>
          <w:sz w:val="24"/>
          <w:szCs w:val="24"/>
          <w:lang w:val="en-US" w:eastAsia="en-US" w:bidi="ar-SA"/>
        </w:rPr>
        <w:t>.5</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Discussions</w:t>
      </w:r>
      <w:bookmarkEnd w:id="52"/>
    </w:p>
    <w:p w14:paraId="0A7A138C">
      <w:pPr>
        <w:spacing w:line="480" w:lineRule="auto"/>
        <w:jc w:val="both"/>
        <w:rPr>
          <w:rFonts w:hint="default" w:ascii="Arial" w:hAnsi="Arial" w:cs="Arial"/>
          <w:sz w:val="24"/>
          <w:szCs w:val="24"/>
        </w:rPr>
      </w:pPr>
      <w:r>
        <w:rPr>
          <w:rFonts w:hint="default" w:ascii="Arial" w:hAnsi="Arial" w:cs="Arial"/>
          <w:sz w:val="24"/>
          <w:szCs w:val="24"/>
        </w:rPr>
        <w:t>This study has used a case of Chinese consumers to explore their impressions on ESG practices used in companies and their consequences on financial and risk performance. The findings encompass few critical areas concerning consumer perception, concern and possible effect of ESG practices on financial performance and regulation risk. The findings are valuable especially for Chinese firms, which seek to improve their ESG approaches and satisfy the consumers.</w:t>
      </w:r>
    </w:p>
    <w:p w14:paraId="084C9DE1">
      <w:pPr>
        <w:pStyle w:val="4"/>
        <w:numPr>
          <w:ilvl w:val="2"/>
          <w:numId w:val="0"/>
        </w:numPr>
        <w:spacing w:line="480" w:lineRule="auto"/>
        <w:ind w:left="1200" w:leftChars="0" w:hanging="720" w:firstLineChars="0"/>
        <w:jc w:val="both"/>
        <w:rPr>
          <w:rFonts w:hint="default" w:ascii="Arial" w:hAnsi="Arial" w:cs="Arial"/>
          <w:sz w:val="24"/>
          <w:szCs w:val="24"/>
        </w:rPr>
      </w:pPr>
      <w:r>
        <w:rPr>
          <w:rFonts w:hint="eastAsia" w:ascii="Arial" w:hAnsi="Arial" w:cs="Arial"/>
          <w:b/>
          <w:color w:val="1F4E79" w:themeColor="accent1" w:themeShade="80"/>
          <w:sz w:val="24"/>
          <w:szCs w:val="24"/>
          <w:lang w:val="en-US" w:eastAsia="zh-CN" w:bidi="ar-SA"/>
        </w:rPr>
        <w:t>4</w:t>
      </w:r>
      <w:r>
        <w:rPr>
          <w:rFonts w:hint="default" w:ascii="Arial" w:hAnsi="Arial" w:cs="Arial" w:eastAsiaTheme="majorEastAsia"/>
          <w:b/>
          <w:color w:val="1F4E79" w:themeColor="accent1" w:themeShade="80"/>
          <w:sz w:val="24"/>
          <w:szCs w:val="24"/>
          <w:lang w:val="en-US" w:eastAsia="en-US" w:bidi="ar-SA"/>
        </w:rPr>
        <w:t>.5.1</w:t>
      </w:r>
      <w:r>
        <w:rPr>
          <w:rFonts w:hint="eastAsia" w:ascii="Arial" w:hAnsi="Arial" w:cs="Arial"/>
          <w:b/>
          <w:color w:val="1F4E79" w:themeColor="accent1" w:themeShade="80"/>
          <w:sz w:val="24"/>
          <w:szCs w:val="24"/>
          <w:lang w:val="en-US" w:eastAsia="zh-CN" w:bidi="ar-SA"/>
        </w:rPr>
        <w:t xml:space="preserve"> </w:t>
      </w:r>
      <w:r>
        <w:rPr>
          <w:rFonts w:hint="default" w:ascii="Arial" w:hAnsi="Arial" w:cs="Arial"/>
          <w:sz w:val="24"/>
          <w:szCs w:val="24"/>
        </w:rPr>
        <w:t>Consumer Perceptions of ESG and Financial Performance</w:t>
      </w:r>
    </w:p>
    <w:p w14:paraId="7E51872B">
      <w:pPr>
        <w:spacing w:line="480" w:lineRule="auto"/>
        <w:jc w:val="both"/>
        <w:rPr>
          <w:rFonts w:hint="default" w:ascii="Arial" w:hAnsi="Arial" w:cs="Arial"/>
          <w:sz w:val="24"/>
          <w:szCs w:val="24"/>
        </w:rPr>
      </w:pPr>
      <w:r>
        <w:rPr>
          <w:rFonts w:hint="default" w:ascii="Arial" w:hAnsi="Arial" w:cs="Arial"/>
          <w:sz w:val="24"/>
          <w:szCs w:val="24"/>
        </w:rPr>
        <w:t>Key findings of the study Therefore, consumers’ perceptions regarding the link between the ESG adoption and financial performance are not straightforward. Based on the descriptive analysis, respondents mostly offered neutral to positive respond on average Likert scale response from 3. 4 to 3. 7. This implies awareness of the general gains to be made that are linked to ESG practices including increased sales, better reputation, and proper ‘behaviour’ by corporations. However, signs of some scepticism or weak positive sentiment indicate that consumers are not completely sold on such benefits, reasonably because they may not fully understand, or trust, corporate ESG activities.</w:t>
      </w:r>
    </w:p>
    <w:p w14:paraId="18BB72F0">
      <w:pPr>
        <w:spacing w:line="480" w:lineRule="auto"/>
        <w:jc w:val="both"/>
        <w:rPr>
          <w:rFonts w:hint="default" w:ascii="Arial" w:hAnsi="Arial" w:cs="Arial"/>
          <w:sz w:val="24"/>
          <w:szCs w:val="24"/>
        </w:rPr>
      </w:pPr>
      <w:r>
        <w:rPr>
          <w:rFonts w:hint="default" w:ascii="Arial" w:hAnsi="Arial" w:cs="Arial"/>
          <w:sz w:val="24"/>
          <w:szCs w:val="24"/>
        </w:rPr>
        <w:t>The results further depict a positively skewed distribution indicating a bias in respondent’s attitudes in regarding the positive effects of ESG on financial performance. This is in line with the literature evidence that noted the higher consumer awareness regarding companies’ responsibility and their intention to support organizations with high ESG profiles. Wang (2023) and other researchers have noted that trust in companies’ often reported ESG activities would provide more clients and, hence, result in better financial performance.</w:t>
      </w:r>
    </w:p>
    <w:p w14:paraId="6A350D78">
      <w:pPr>
        <w:spacing w:line="480" w:lineRule="auto"/>
        <w:jc w:val="both"/>
        <w:rPr>
          <w:rFonts w:hint="default" w:ascii="Arial" w:hAnsi="Arial" w:cs="Arial"/>
          <w:sz w:val="24"/>
          <w:szCs w:val="24"/>
        </w:rPr>
      </w:pPr>
      <w:r>
        <w:rPr>
          <w:rFonts w:hint="default" w:ascii="Arial" w:hAnsi="Arial" w:cs="Arial"/>
          <w:sz w:val="24"/>
          <w:szCs w:val="24"/>
        </w:rPr>
        <w:t xml:space="preserve">The correlation analysis further enhances this relationship by showing that perceived ESG adoption has a very significant positive link with financial risk performance with a correlation coefficient of 0. 701. This fact supports prior studies that state that companies that effectively manage their ESG factors have higher financial performance KPMG, 2017: principles, customer satisfaction and lower operating risks. The literature backs the notion that ESG initiatives can be a source of competitive advantage, as is characteristic of the case studied by Borodako (2023) and Nylund (2023) that explicate the role of ESG performance in shaping credit ratings and consuming public. </w:t>
      </w:r>
    </w:p>
    <w:p w14:paraId="10529BD9">
      <w:pPr>
        <w:spacing w:line="480" w:lineRule="auto"/>
        <w:jc w:val="both"/>
        <w:rPr>
          <w:rFonts w:hint="default" w:ascii="Arial" w:hAnsi="Arial" w:cs="Arial"/>
          <w:sz w:val="24"/>
          <w:szCs w:val="24"/>
        </w:rPr>
      </w:pPr>
      <w:r>
        <w:rPr>
          <w:rFonts w:hint="default" w:ascii="Arial" w:hAnsi="Arial" w:cs="Arial"/>
          <w:sz w:val="24"/>
          <w:szCs w:val="24"/>
        </w:rPr>
        <w:t xml:space="preserve">From the Chinese companies, the results highlight that it is not enough just to follow the regulatory guidelines but it is equally crucial for firms to champion and spearhead the implementation of ESG strategies in order to cater for the modern consumers who are aware of the social responsibilities that firms have. Consequently, companies that engage in clear communication and operation of the firm’s ESG plans are positioned to benefit from higher earning and better market position since consumers gain awareness about their rights and the need to be informed about the business firm’s accountability. </w:t>
      </w:r>
    </w:p>
    <w:p w14:paraId="4C3192D9">
      <w:pPr>
        <w:spacing w:line="480" w:lineRule="auto"/>
        <w:jc w:val="both"/>
        <w:rPr>
          <w:rFonts w:hint="default" w:ascii="Arial" w:hAnsi="Arial" w:cs="Arial"/>
          <w:sz w:val="24"/>
          <w:szCs w:val="24"/>
        </w:rPr>
      </w:pPr>
      <w:r>
        <w:rPr>
          <w:rFonts w:hint="default" w:ascii="Arial" w:hAnsi="Arial" w:cs="Arial"/>
          <w:sz w:val="24"/>
          <w:szCs w:val="24"/>
        </w:rPr>
        <w:t>Thus, concluding the examined research with other literature, it is possible to assert that, although there is an increasing awareness of the advantages of adopting ESG among consumers, there is still a long way to go for companies to gain people’s confidence. In this way, existing companies might improve their financial performance, clients’ loyalty, managed risks, and market position.</w:t>
      </w:r>
    </w:p>
    <w:p w14:paraId="24DB5F75">
      <w:pPr>
        <w:pStyle w:val="4"/>
        <w:numPr>
          <w:ilvl w:val="2"/>
          <w:numId w:val="0"/>
        </w:numPr>
        <w:spacing w:line="480" w:lineRule="auto"/>
        <w:ind w:left="1200" w:leftChars="0" w:hanging="720" w:firstLineChars="0"/>
        <w:jc w:val="both"/>
        <w:outlineLvl w:val="1"/>
        <w:rPr>
          <w:rFonts w:hint="default" w:ascii="Arial" w:hAnsi="Arial" w:cs="Arial"/>
          <w:sz w:val="24"/>
          <w:szCs w:val="24"/>
        </w:rPr>
      </w:pPr>
      <w:bookmarkStart w:id="53" w:name="_Toc24628"/>
      <w:r>
        <w:rPr>
          <w:rFonts w:hint="eastAsia" w:ascii="Arial" w:hAnsi="Arial" w:cs="Arial"/>
          <w:b/>
          <w:color w:val="1F4E79" w:themeColor="accent1" w:themeShade="80"/>
          <w:sz w:val="24"/>
          <w:szCs w:val="24"/>
          <w:lang w:val="en-US" w:eastAsia="zh-CN" w:bidi="ar-SA"/>
        </w:rPr>
        <w:t>4</w:t>
      </w:r>
      <w:r>
        <w:rPr>
          <w:rFonts w:hint="default" w:ascii="Arial" w:hAnsi="Arial" w:cs="Arial" w:eastAsiaTheme="majorEastAsia"/>
          <w:b/>
          <w:color w:val="1F4E79" w:themeColor="accent1" w:themeShade="80"/>
          <w:sz w:val="24"/>
          <w:szCs w:val="24"/>
          <w:lang w:val="en-US" w:eastAsia="en-US" w:bidi="ar-SA"/>
        </w:rPr>
        <w:t>.5.2</w:t>
      </w:r>
      <w:r>
        <w:rPr>
          <w:rFonts w:hint="eastAsia" w:ascii="Arial" w:hAnsi="Arial" w:cs="Arial"/>
          <w:b/>
          <w:color w:val="1F4E79" w:themeColor="accent1" w:themeShade="80"/>
          <w:sz w:val="24"/>
          <w:szCs w:val="24"/>
          <w:lang w:val="en-US" w:eastAsia="zh-CN" w:bidi="ar-SA"/>
        </w:rPr>
        <w:t xml:space="preserve"> </w:t>
      </w:r>
      <w:r>
        <w:rPr>
          <w:rFonts w:hint="default" w:ascii="Arial" w:hAnsi="Arial" w:cs="Arial"/>
          <w:sz w:val="24"/>
          <w:szCs w:val="24"/>
        </w:rPr>
        <w:t>Challenges in ESG Adoption</w:t>
      </w:r>
      <w:bookmarkEnd w:id="53"/>
    </w:p>
    <w:p w14:paraId="0EE9D011">
      <w:pPr>
        <w:spacing w:line="480" w:lineRule="auto"/>
        <w:jc w:val="both"/>
        <w:rPr>
          <w:rFonts w:hint="default" w:ascii="Arial" w:hAnsi="Arial" w:cs="Arial"/>
          <w:sz w:val="24"/>
          <w:szCs w:val="24"/>
        </w:rPr>
      </w:pPr>
      <w:r>
        <w:rPr>
          <w:rFonts w:hint="default" w:ascii="Arial" w:hAnsi="Arial" w:cs="Arial"/>
          <w:sz w:val="24"/>
          <w:szCs w:val="24"/>
        </w:rPr>
        <w:t xml:space="preserve">The integration of the study’s findings with previous literature on ESG performance of Chinese enterprises provide an holistic view of financial consequences of implementing ESG practices. It is especially important for the analysis because the results show the connection between the social and the environmental performance and the financial success, but governance performance is not as strong. This is in line with the findings provided by Shen (2023) establishing the fact that; social and environmental investment returns can potentially improve financial results and this may indicate that investors value ESG. </w:t>
      </w:r>
    </w:p>
    <w:p w14:paraId="3ADFD75F">
      <w:pPr>
        <w:spacing w:line="480" w:lineRule="auto"/>
        <w:jc w:val="both"/>
        <w:rPr>
          <w:rFonts w:hint="default" w:ascii="Arial" w:hAnsi="Arial" w:cs="Arial"/>
          <w:sz w:val="24"/>
          <w:szCs w:val="24"/>
        </w:rPr>
      </w:pPr>
      <w:r>
        <w:rPr>
          <w:rFonts w:hint="default" w:ascii="Arial" w:hAnsi="Arial" w:cs="Arial"/>
          <w:sz w:val="24"/>
          <w:szCs w:val="24"/>
        </w:rPr>
        <w:t xml:space="preserve"> Xu and Zhu (2024) have also provided evidence in favour of the idea that ESG performance improves firms’ social and environmental dimensions to subsequently positively affect CFP through innovation. However, this positive relationship is moderated by factors such as budget constraints and thus ESG initiatives may not positively impact on the financial aspect. The results of research affirm the fact that it is vital to evaluate the general financial environment in which ESG activities are going to be conducted. </w:t>
      </w:r>
    </w:p>
    <w:p w14:paraId="38561E05">
      <w:pPr>
        <w:spacing w:line="480" w:lineRule="auto"/>
        <w:jc w:val="both"/>
        <w:rPr>
          <w:rFonts w:hint="default" w:ascii="Arial" w:hAnsi="Arial" w:cs="Arial"/>
          <w:sz w:val="24"/>
          <w:szCs w:val="24"/>
        </w:rPr>
      </w:pPr>
      <w:r>
        <w:rPr>
          <w:rFonts w:hint="default" w:ascii="Arial" w:hAnsi="Arial" w:cs="Arial"/>
          <w:sz w:val="24"/>
          <w:szCs w:val="24"/>
        </w:rPr>
        <w:t xml:space="preserve">Luo et al. (2023) as well as Zhao and Choi (2023) extend this knowledge by actualizing that high ESG scores reduce financial risks including minimizing stock market crashes and boosting business steady. These studies help strengthen the notion of ESG as viable and responsible practices that also serve as effective shields against the fluctuations in financial market. </w:t>
      </w:r>
    </w:p>
    <w:p w14:paraId="5ACA7CBB">
      <w:pPr>
        <w:spacing w:line="480" w:lineRule="auto"/>
        <w:jc w:val="both"/>
        <w:rPr>
          <w:rFonts w:hint="default" w:ascii="Arial" w:hAnsi="Arial" w:cs="Arial"/>
          <w:sz w:val="24"/>
          <w:szCs w:val="24"/>
        </w:rPr>
      </w:pPr>
      <w:r>
        <w:rPr>
          <w:rFonts w:hint="default" w:ascii="Arial" w:hAnsi="Arial" w:cs="Arial"/>
          <w:sz w:val="24"/>
          <w:szCs w:val="24"/>
        </w:rPr>
        <w:t xml:space="preserve">These findings integrated with the previous discussions on the consumer’s perception about ESG indicate the importance of the credibility and transparency in order to further enhance the economic value derived out of ESG implementation. Customers are demanding more those companies who have good ESG scores since this may help create better brand image and subsequent consumer loyalty as stated by Liu et al. (2022). However, greenwashing can also be a major issue because raising doubts in consumers’ minds negates the value of ESG investments and thus raises the financial risks. </w:t>
      </w:r>
    </w:p>
    <w:p w14:paraId="252006C0">
      <w:pPr>
        <w:spacing w:line="480" w:lineRule="auto"/>
        <w:jc w:val="both"/>
        <w:rPr>
          <w:rFonts w:hint="default" w:ascii="Arial" w:hAnsi="Arial" w:cs="Arial"/>
          <w:sz w:val="24"/>
          <w:szCs w:val="24"/>
        </w:rPr>
      </w:pPr>
      <w:r>
        <w:rPr>
          <w:rFonts w:hint="default" w:ascii="Arial" w:hAnsi="Arial" w:cs="Arial"/>
          <w:sz w:val="24"/>
          <w:szCs w:val="24"/>
        </w:rPr>
        <w:t>Also, the study reveals that the big gains that firms enjoy after embracing the ESG principles take time to be realized and this means that adopting long-term strategic approaches to enjoy these gains. This is true especially in the Chinese environment where Shen et al. (2023) postulate that the correlation between the ESG performance and financial returns may differ by industry and region. Hence, despite the numerous advantages of ESG practices for business operations, there are issues about the transparency of such plans, how skeptical consumers are towards them, and the continuous support towards good, sustainable standards for every corporation.</w:t>
      </w:r>
    </w:p>
    <w:p w14:paraId="58AFAE0B">
      <w:pPr>
        <w:pStyle w:val="4"/>
        <w:numPr>
          <w:ilvl w:val="2"/>
          <w:numId w:val="0"/>
        </w:numPr>
        <w:spacing w:line="480" w:lineRule="auto"/>
        <w:ind w:left="1200" w:leftChars="0" w:hanging="720" w:firstLineChars="0"/>
        <w:jc w:val="both"/>
        <w:rPr>
          <w:rFonts w:hint="default" w:ascii="Arial" w:hAnsi="Arial" w:cs="Arial"/>
          <w:sz w:val="24"/>
          <w:szCs w:val="24"/>
        </w:rPr>
      </w:pPr>
      <w:r>
        <w:rPr>
          <w:rFonts w:hint="eastAsia" w:ascii="Arial" w:hAnsi="Arial" w:cs="Arial"/>
          <w:b/>
          <w:color w:val="1F4E79" w:themeColor="accent1" w:themeShade="80"/>
          <w:sz w:val="24"/>
          <w:szCs w:val="24"/>
          <w:lang w:val="en-US" w:eastAsia="zh-CN" w:bidi="ar-SA"/>
        </w:rPr>
        <w:t>4</w:t>
      </w:r>
      <w:r>
        <w:rPr>
          <w:rFonts w:hint="default" w:ascii="Arial" w:hAnsi="Arial" w:cs="Arial" w:eastAsiaTheme="majorEastAsia"/>
          <w:b/>
          <w:color w:val="1F4E79" w:themeColor="accent1" w:themeShade="80"/>
          <w:sz w:val="24"/>
          <w:szCs w:val="24"/>
          <w:lang w:val="en-US" w:eastAsia="en-US" w:bidi="ar-SA"/>
        </w:rPr>
        <w:t>.5.3</w:t>
      </w:r>
      <w:r>
        <w:rPr>
          <w:rFonts w:hint="eastAsia" w:ascii="Arial" w:hAnsi="Arial" w:cs="Arial"/>
          <w:b/>
          <w:color w:val="1F4E79" w:themeColor="accent1" w:themeShade="80"/>
          <w:sz w:val="24"/>
          <w:szCs w:val="24"/>
          <w:lang w:val="en-US" w:eastAsia="zh-CN" w:bidi="ar-SA"/>
        </w:rPr>
        <w:t xml:space="preserve"> </w:t>
      </w:r>
      <w:r>
        <w:rPr>
          <w:rFonts w:hint="default" w:ascii="Arial" w:hAnsi="Arial" w:cs="Arial"/>
          <w:sz w:val="24"/>
          <w:szCs w:val="24"/>
        </w:rPr>
        <w:t>Implications for Companies and Policymakers</w:t>
      </w:r>
    </w:p>
    <w:p w14:paraId="66B4C1F9">
      <w:pPr>
        <w:spacing w:line="480" w:lineRule="auto"/>
        <w:jc w:val="both"/>
        <w:rPr>
          <w:rFonts w:hint="default" w:ascii="Arial" w:hAnsi="Arial" w:cs="Arial"/>
          <w:sz w:val="24"/>
          <w:szCs w:val="24"/>
        </w:rPr>
      </w:pPr>
      <w:r>
        <w:rPr>
          <w:rFonts w:hint="default" w:ascii="Arial" w:hAnsi="Arial" w:cs="Arial"/>
          <w:sz w:val="24"/>
          <w:szCs w:val="24"/>
        </w:rPr>
        <w:t>This research has shown several implications to companies and policymakers in China in regards to ESG adoption, the positives and negatives that are connected to it.</w:t>
      </w:r>
    </w:p>
    <w:p w14:paraId="166C8A3E">
      <w:pPr>
        <w:spacing w:line="480" w:lineRule="auto"/>
        <w:jc w:val="both"/>
        <w:rPr>
          <w:rFonts w:hint="default" w:ascii="Arial" w:hAnsi="Arial" w:cs="Arial"/>
          <w:sz w:val="24"/>
          <w:szCs w:val="24"/>
        </w:rPr>
      </w:pPr>
      <w:r>
        <w:rPr>
          <w:rFonts w:hint="default" w:ascii="Arial" w:hAnsi="Arial" w:cs="Arial"/>
          <w:sz w:val="24"/>
          <w:szCs w:val="24"/>
        </w:rPr>
        <w:t xml:space="preserve">First, the key finding of the paper, the positive and very significant relationship between consumers’ ESG and financial risk performance, indicate that companies should engage consumers in their ESG strategies. Since various ESG issues increase in popularity, the companies can adapt their performance to customers’ needs if they know how to communicate with their consumers. </w:t>
      </w:r>
    </w:p>
    <w:p w14:paraId="3F824F77">
      <w:pPr>
        <w:spacing w:line="480" w:lineRule="auto"/>
        <w:jc w:val="both"/>
        <w:rPr>
          <w:rFonts w:hint="default" w:ascii="Arial" w:hAnsi="Arial" w:cs="Arial"/>
          <w:sz w:val="24"/>
          <w:szCs w:val="24"/>
        </w:rPr>
      </w:pPr>
      <w:r>
        <w:rPr>
          <w:rFonts w:hint="default" w:ascii="Arial" w:hAnsi="Arial" w:cs="Arial"/>
          <w:sz w:val="24"/>
          <w:szCs w:val="24"/>
        </w:rPr>
        <w:t>Furthermore, it assists in satisfying the consumer demand and contributes positively to the company’s competitor edge by strengthening trust, loyalty and a favorable brand image. Businesses can engage in practices such as disclosing such practices on their social media platforms, coming up with ESG reports that the public can access, and engaging the consumers in means the organization can address their concerns on ESG practices. By doing so they can easily distinguish themselves in a seemingly congested market, appeal to the conscience of the globe hence, increase their sales, and therefore its profitability.</w:t>
      </w:r>
    </w:p>
    <w:p w14:paraId="1C8EE6B1">
      <w:pPr>
        <w:spacing w:line="480" w:lineRule="auto"/>
        <w:jc w:val="both"/>
        <w:rPr>
          <w:rFonts w:hint="default" w:ascii="Arial" w:hAnsi="Arial" w:cs="Arial"/>
          <w:sz w:val="24"/>
          <w:szCs w:val="24"/>
        </w:rPr>
      </w:pPr>
      <w:r>
        <w:rPr>
          <w:rFonts w:hint="default" w:ascii="Arial" w:hAnsi="Arial" w:cs="Arial"/>
          <w:sz w:val="24"/>
          <w:szCs w:val="24"/>
        </w:rPr>
        <w:t xml:space="preserve">Also, the barriers for the implementation of ESGs, which has been mentioned above, namely issues of transparency, greenwashing, and the costs of the process, require more emphasis on the government role and support. Transparency in ESG reporting is prominent since it involves consumers’ trust, something that is directly proportional to the company’s financial risk performance. </w:t>
      </w:r>
    </w:p>
    <w:p w14:paraId="052F5230">
      <w:pPr>
        <w:spacing w:line="480" w:lineRule="auto"/>
        <w:jc w:val="both"/>
        <w:rPr>
          <w:rFonts w:hint="default" w:ascii="Arial" w:hAnsi="Arial" w:cs="Arial"/>
          <w:sz w:val="24"/>
          <w:szCs w:val="24"/>
        </w:rPr>
      </w:pPr>
      <w:r>
        <w:rPr>
          <w:rFonts w:hint="default" w:ascii="Arial" w:hAnsi="Arial" w:cs="Arial"/>
          <w:sz w:val="24"/>
          <w:szCs w:val="24"/>
        </w:rPr>
        <w:t>To remedy this, there is a possibility for the policymakers to put in place enhanced rules on ESG reporting that would require that companies to provide authentic, synchronized and credible information about the sustainability measures that they are implementing. This could help reduce the cost of implementing genuine ESG controls through subsidies, tax reliefs and regulating authorities putting pressure on corporate to embrace ESG mechanisms more seriously. Further, the development of frameworks for ESG reporting would act as a measure of control against greenwashing since the companies would be more accountable for what they disclose to the public.</w:t>
      </w:r>
    </w:p>
    <w:p w14:paraId="0370B9A2">
      <w:pPr>
        <w:spacing w:line="480" w:lineRule="auto"/>
        <w:jc w:val="both"/>
        <w:rPr>
          <w:rFonts w:hint="default" w:ascii="Arial" w:hAnsi="Arial" w:cs="Arial"/>
          <w:sz w:val="24"/>
          <w:szCs w:val="24"/>
        </w:rPr>
      </w:pPr>
      <w:r>
        <w:rPr>
          <w:rFonts w:hint="default" w:ascii="Arial" w:hAnsi="Arial" w:cs="Arial"/>
          <w:sz w:val="24"/>
          <w:szCs w:val="24"/>
        </w:rPr>
        <w:t>In conclusion, ESG’s integrated implementation is essential in defining consumers’ perceptions and successfully driving the Chinese companies’ financial and risk performance. More so, the study reveals the direction for a potential development of the topic: despite a relative increase in the awareness of ESG practices, many challenges remain, including problems of transparency and the potential for greenwashing. That is why it is possible to state that by overcoming these challenges, multiple-fold results can be achieved, the ESG performance will be improved, the market reputation will be built, and the financial risks will be minimized. In other words, this is about the fact that ESG is no longer additional to Chinese companies’ operational standards but a strategic key to success.</w:t>
      </w:r>
    </w:p>
    <w:p w14:paraId="168E2630">
      <w:pPr>
        <w:pStyle w:val="3"/>
        <w:numPr>
          <w:ilvl w:val="1"/>
          <w:numId w:val="0"/>
        </w:numPr>
        <w:spacing w:line="480" w:lineRule="auto"/>
        <w:ind w:left="576" w:leftChars="0" w:hanging="576" w:firstLineChars="0"/>
        <w:jc w:val="both"/>
        <w:outlineLvl w:val="0"/>
        <w:rPr>
          <w:rFonts w:hint="default" w:ascii="Arial" w:hAnsi="Arial" w:cs="Arial"/>
          <w:sz w:val="24"/>
          <w:szCs w:val="24"/>
        </w:rPr>
      </w:pPr>
      <w:bookmarkStart w:id="54" w:name="_Toc4504"/>
      <w:r>
        <w:rPr>
          <w:rFonts w:hint="eastAsia" w:ascii="Arial" w:hAnsi="Arial" w:cs="Arial"/>
          <w:b/>
          <w:color w:val="2E75B6" w:themeColor="accent1" w:themeShade="BF"/>
          <w:sz w:val="24"/>
          <w:szCs w:val="24"/>
          <w:lang w:val="en-US" w:eastAsia="zh-CN" w:bidi="ar-SA"/>
        </w:rPr>
        <w:t>4</w:t>
      </w:r>
      <w:r>
        <w:rPr>
          <w:rFonts w:hint="default" w:ascii="Arial" w:hAnsi="Arial" w:cs="Arial" w:eastAsiaTheme="majorEastAsia"/>
          <w:b/>
          <w:color w:val="2E75B6" w:themeColor="accent1" w:themeShade="BF"/>
          <w:sz w:val="24"/>
          <w:szCs w:val="24"/>
          <w:lang w:val="en-US" w:eastAsia="en-US" w:bidi="ar-SA"/>
        </w:rPr>
        <w:t>.6</w:t>
      </w:r>
      <w:r>
        <w:rPr>
          <w:rFonts w:hint="eastAsia" w:ascii="Arial" w:hAnsi="Arial" w:cs="Arial"/>
          <w:b/>
          <w:color w:val="2E75B6" w:themeColor="accent1" w:themeShade="BF"/>
          <w:sz w:val="24"/>
          <w:szCs w:val="24"/>
          <w:lang w:val="en-US" w:eastAsia="zh-CN" w:bidi="ar-SA"/>
        </w:rPr>
        <w:t xml:space="preserve"> </w:t>
      </w:r>
      <w:r>
        <w:rPr>
          <w:rFonts w:hint="default" w:ascii="Arial" w:hAnsi="Arial" w:cs="Arial"/>
          <w:sz w:val="24"/>
          <w:szCs w:val="24"/>
        </w:rPr>
        <w:t>Chapter Summary</w:t>
      </w:r>
      <w:bookmarkEnd w:id="54"/>
    </w:p>
    <w:p w14:paraId="4F8B4CCC">
      <w:pPr>
        <w:spacing w:line="480" w:lineRule="auto"/>
        <w:jc w:val="both"/>
        <w:rPr>
          <w:rFonts w:hint="default" w:ascii="Arial" w:hAnsi="Arial" w:cs="Arial"/>
          <w:sz w:val="24"/>
          <w:szCs w:val="24"/>
        </w:rPr>
      </w:pPr>
      <w:r>
        <w:rPr>
          <w:rFonts w:hint="default" w:ascii="Arial" w:hAnsi="Arial" w:cs="Arial"/>
          <w:sz w:val="24"/>
          <w:szCs w:val="24"/>
        </w:rPr>
        <w:t xml:space="preserve">In Chapter 4, the study investigates the association between ESG adoption and financial performance from the Chinese consumers’ view. The data in the surveyed items reveal that, although consumers mildly to moderately agree with the notion that ESG considerations are positively associated with better financial results, there is a certain level of doubt among them. Multiple regression and correlation tests show that the perceived ESG adoption has a significant and strong positive relationship with firms’ financial risk performance highlighting the value of corporate ESG strategies to address operational risks and establish reputation. However, issues discussed includes the level of transparency in ESG reporting and concerns of green washing meaning that there is a need to enhance on corporate governance practices and the regulations set in place. The chapter also states that although ESG is widely accepted as being critical for competitive advantage, there are problems with transparency that businesses need to solve to realize the potentials and serve customers expectations. </w:t>
      </w:r>
    </w:p>
    <w:p w14:paraId="665BCAF7">
      <w:pPr>
        <w:spacing w:line="480" w:lineRule="auto"/>
        <w:jc w:val="both"/>
        <w:rPr>
          <w:rFonts w:hint="default" w:ascii="Arial" w:hAnsi="Arial" w:cs="Arial"/>
          <w:sz w:val="24"/>
          <w:szCs w:val="24"/>
        </w:rPr>
      </w:pPr>
      <w:r>
        <w:rPr>
          <w:rFonts w:hint="default" w:ascii="Arial" w:hAnsi="Arial" w:cs="Arial"/>
          <w:sz w:val="24"/>
          <w:szCs w:val="24"/>
        </w:rPr>
        <w:t>The research emphasise the importance of consumer perceptions for the formation of corporate initiatives and the further need to investigate the impacts of ESG practices on brand affinity and market positioning in the long term.</w:t>
      </w:r>
    </w:p>
    <w:p w14:paraId="6A86432A">
      <w:pPr>
        <w:spacing w:line="480" w:lineRule="auto"/>
        <w:jc w:val="both"/>
        <w:rPr>
          <w:rFonts w:hint="default" w:ascii="Arial" w:hAnsi="Arial" w:cs="Arial"/>
          <w:sz w:val="24"/>
          <w:szCs w:val="24"/>
        </w:rPr>
      </w:pPr>
    </w:p>
    <w:p w14:paraId="3BCB8F81">
      <w:pPr>
        <w:spacing w:line="480" w:lineRule="auto"/>
        <w:jc w:val="both"/>
        <w:rPr>
          <w:rFonts w:hint="default" w:ascii="Arial" w:hAnsi="Arial" w:cs="Arial"/>
          <w:sz w:val="24"/>
          <w:szCs w:val="24"/>
        </w:rPr>
      </w:pPr>
    </w:p>
    <w:p w14:paraId="0B4D1B43">
      <w:pPr>
        <w:spacing w:line="480" w:lineRule="auto"/>
        <w:jc w:val="both"/>
        <w:rPr>
          <w:rFonts w:hint="default" w:ascii="Arial" w:hAnsi="Arial" w:cs="Arial"/>
          <w:sz w:val="24"/>
          <w:szCs w:val="24"/>
        </w:rPr>
      </w:pPr>
    </w:p>
    <w:p w14:paraId="281B9330">
      <w:pPr>
        <w:spacing w:line="480" w:lineRule="auto"/>
        <w:jc w:val="both"/>
        <w:rPr>
          <w:rFonts w:hint="default" w:ascii="Arial" w:hAnsi="Arial" w:cs="Arial"/>
          <w:sz w:val="24"/>
          <w:szCs w:val="24"/>
        </w:rPr>
      </w:pPr>
    </w:p>
    <w:p w14:paraId="44EA549B">
      <w:pPr>
        <w:spacing w:line="480" w:lineRule="auto"/>
        <w:jc w:val="both"/>
        <w:rPr>
          <w:rFonts w:hint="default" w:ascii="Arial" w:hAnsi="Arial" w:cs="Arial"/>
          <w:sz w:val="24"/>
          <w:szCs w:val="24"/>
        </w:rPr>
      </w:pPr>
    </w:p>
    <w:p w14:paraId="6CBC92AD">
      <w:pPr>
        <w:spacing w:line="480" w:lineRule="auto"/>
        <w:jc w:val="both"/>
        <w:rPr>
          <w:rFonts w:hint="default" w:ascii="Arial" w:hAnsi="Arial" w:cs="Arial"/>
          <w:sz w:val="24"/>
          <w:szCs w:val="24"/>
        </w:rPr>
      </w:pPr>
    </w:p>
    <w:p w14:paraId="1953E4EC">
      <w:pPr>
        <w:spacing w:line="480" w:lineRule="auto"/>
        <w:jc w:val="both"/>
        <w:rPr>
          <w:rFonts w:hint="default" w:ascii="Arial" w:hAnsi="Arial" w:cs="Arial"/>
          <w:sz w:val="24"/>
          <w:szCs w:val="24"/>
        </w:rPr>
      </w:pPr>
    </w:p>
    <w:p w14:paraId="4281DEC4">
      <w:pPr>
        <w:spacing w:line="480" w:lineRule="auto"/>
        <w:jc w:val="both"/>
        <w:rPr>
          <w:rFonts w:hint="default" w:ascii="Arial" w:hAnsi="Arial" w:cs="Arial"/>
          <w:sz w:val="24"/>
          <w:szCs w:val="24"/>
        </w:rPr>
      </w:pPr>
    </w:p>
    <w:p w14:paraId="610FAE50">
      <w:pPr>
        <w:spacing w:line="480" w:lineRule="auto"/>
        <w:jc w:val="both"/>
        <w:rPr>
          <w:rFonts w:hint="default" w:ascii="Arial" w:hAnsi="Arial" w:cs="Arial"/>
          <w:sz w:val="24"/>
          <w:szCs w:val="24"/>
        </w:rPr>
      </w:pPr>
    </w:p>
    <w:p w14:paraId="0B4BE56A">
      <w:pPr>
        <w:pStyle w:val="2"/>
        <w:numPr>
          <w:ilvl w:val="0"/>
          <w:numId w:val="0"/>
        </w:numPr>
        <w:spacing w:line="480" w:lineRule="auto"/>
        <w:ind w:left="432" w:leftChars="0" w:hanging="432" w:firstLineChars="0"/>
        <w:jc w:val="both"/>
        <w:rPr>
          <w:rFonts w:hint="default" w:ascii="Arial" w:hAnsi="Arial" w:cs="Arial"/>
          <w:sz w:val="24"/>
          <w:szCs w:val="24"/>
        </w:rPr>
      </w:pPr>
      <w:bookmarkStart w:id="55" w:name="_Toc31104"/>
      <w:r>
        <w:rPr>
          <w:rFonts w:hint="default" w:ascii="Arial" w:hAnsi="Arial" w:cs="Arial"/>
          <w:sz w:val="24"/>
          <w:szCs w:val="24"/>
        </w:rPr>
        <w:t>Chapter 5: Conclusion and recommendations</w:t>
      </w:r>
      <w:bookmarkEnd w:id="55"/>
      <w:r>
        <w:rPr>
          <w:rFonts w:hint="default" w:ascii="Arial" w:hAnsi="Arial" w:cs="Arial"/>
          <w:sz w:val="24"/>
          <w:szCs w:val="24"/>
        </w:rPr>
        <w:t xml:space="preserve"> </w:t>
      </w:r>
    </w:p>
    <w:p w14:paraId="79ACCFAC">
      <w:pPr>
        <w:pStyle w:val="4"/>
        <w:numPr>
          <w:ilvl w:val="2"/>
          <w:numId w:val="0"/>
        </w:numPr>
        <w:spacing w:line="480" w:lineRule="auto"/>
        <w:jc w:val="both"/>
        <w:outlineLvl w:val="1"/>
        <w:rPr>
          <w:rFonts w:hint="default" w:ascii="Arial" w:hAnsi="Arial" w:cs="Arial" w:eastAsiaTheme="majorEastAsia"/>
          <w:b/>
          <w:color w:val="2E75B6" w:themeColor="accent1" w:themeShade="BF"/>
          <w:sz w:val="24"/>
          <w:szCs w:val="24"/>
          <w:lang w:val="en-US" w:eastAsia="en-US" w:bidi="ar-SA"/>
        </w:rPr>
      </w:pPr>
      <w:bookmarkStart w:id="56" w:name="_Toc8249"/>
      <w:r>
        <w:rPr>
          <w:rFonts w:hint="eastAsia" w:ascii="Arial" w:hAnsi="Arial" w:cs="Arial" w:eastAsiaTheme="majorEastAsia"/>
          <w:b/>
          <w:color w:val="2E75B6" w:themeColor="accent1" w:themeShade="BF"/>
          <w:sz w:val="24"/>
          <w:szCs w:val="24"/>
          <w:lang w:val="en-US" w:eastAsia="zh-CN" w:bidi="ar-SA"/>
        </w:rPr>
        <w:t>5</w:t>
      </w:r>
      <w:r>
        <w:rPr>
          <w:rFonts w:hint="default" w:ascii="Arial" w:hAnsi="Arial" w:cs="Arial" w:eastAsiaTheme="majorEastAsia"/>
          <w:b/>
          <w:color w:val="2E75B6" w:themeColor="accent1" w:themeShade="BF"/>
          <w:sz w:val="24"/>
          <w:szCs w:val="24"/>
          <w:lang w:val="en-US" w:eastAsia="en-US" w:bidi="ar-SA"/>
        </w:rPr>
        <w:t>.1</w:t>
      </w:r>
      <w:r>
        <w:rPr>
          <w:rFonts w:hint="eastAsia" w:ascii="Arial" w:hAnsi="Arial" w:cs="Arial" w:eastAsiaTheme="majorEastAsia"/>
          <w:b/>
          <w:color w:val="2E75B6" w:themeColor="accent1" w:themeShade="BF"/>
          <w:sz w:val="24"/>
          <w:szCs w:val="24"/>
          <w:lang w:val="en-US" w:eastAsia="zh-CN" w:bidi="ar-SA"/>
        </w:rPr>
        <w:t xml:space="preserve"> </w:t>
      </w:r>
      <w:r>
        <w:rPr>
          <w:rFonts w:hint="default" w:ascii="Arial" w:hAnsi="Arial" w:cs="Arial" w:eastAsiaTheme="majorEastAsia"/>
          <w:b/>
          <w:color w:val="2E75B6" w:themeColor="accent1" w:themeShade="BF"/>
          <w:sz w:val="24"/>
          <w:szCs w:val="24"/>
          <w:lang w:val="en-US" w:eastAsia="en-US" w:bidi="ar-SA"/>
        </w:rPr>
        <w:t>Introduction</w:t>
      </w:r>
      <w:bookmarkEnd w:id="56"/>
    </w:p>
    <w:p w14:paraId="75A7F437">
      <w:pPr>
        <w:spacing w:line="480" w:lineRule="auto"/>
        <w:jc w:val="both"/>
        <w:rPr>
          <w:rFonts w:hint="default" w:ascii="Arial" w:hAnsi="Arial" w:cs="Arial"/>
          <w:sz w:val="24"/>
          <w:szCs w:val="24"/>
        </w:rPr>
      </w:pPr>
      <w:r>
        <w:rPr>
          <w:rFonts w:hint="default" w:ascii="Arial" w:hAnsi="Arial" w:cs="Arial"/>
          <w:sz w:val="24"/>
          <w:szCs w:val="24"/>
        </w:rPr>
        <w:t>The objective of this research was to examine the success of Chinese organizations in the implementation of ESG frameworks (Environment, Social, Governance), with emphasis on attitude of consumers pertaining to financial and risk factors. Specifically, the research objectives of this study were to understand the Chinese consumers ‘perception of ESG adoption, to investigate the overall financial and risk performance effect of ESG adoption, to identify the associated challenges of ESG adoption and to provide proposition for the Chinese companies that want to align with the consumer perception of ESG adoption.</w:t>
      </w:r>
    </w:p>
    <w:p w14:paraId="4750D033">
      <w:pPr>
        <w:pStyle w:val="4"/>
        <w:numPr>
          <w:ilvl w:val="2"/>
          <w:numId w:val="0"/>
        </w:numPr>
        <w:spacing w:line="480" w:lineRule="auto"/>
        <w:jc w:val="both"/>
        <w:outlineLvl w:val="1"/>
        <w:rPr>
          <w:rFonts w:hint="default" w:ascii="Arial" w:hAnsi="Arial" w:cs="Arial" w:eastAsiaTheme="majorEastAsia"/>
          <w:b/>
          <w:color w:val="2E75B6" w:themeColor="accent1" w:themeShade="BF"/>
          <w:sz w:val="24"/>
          <w:szCs w:val="24"/>
          <w:lang w:val="en-US" w:eastAsia="en-US" w:bidi="ar-SA"/>
        </w:rPr>
      </w:pPr>
      <w:bookmarkStart w:id="57" w:name="_Toc22699"/>
      <w:r>
        <w:rPr>
          <w:rFonts w:hint="eastAsia" w:ascii="Arial" w:hAnsi="Arial" w:cs="Arial" w:eastAsiaTheme="majorEastAsia"/>
          <w:b/>
          <w:color w:val="2E75B6" w:themeColor="accent1" w:themeShade="BF"/>
          <w:sz w:val="24"/>
          <w:szCs w:val="24"/>
          <w:lang w:val="en-US" w:eastAsia="zh-CN" w:bidi="ar-SA"/>
        </w:rPr>
        <w:t>5</w:t>
      </w:r>
      <w:r>
        <w:rPr>
          <w:rFonts w:hint="default" w:ascii="Arial" w:hAnsi="Arial" w:cs="Arial" w:eastAsiaTheme="majorEastAsia"/>
          <w:b/>
          <w:color w:val="2E75B6" w:themeColor="accent1" w:themeShade="BF"/>
          <w:sz w:val="24"/>
          <w:szCs w:val="24"/>
          <w:lang w:val="en-US" w:eastAsia="en-US" w:bidi="ar-SA"/>
        </w:rPr>
        <w:t>.2</w:t>
      </w:r>
      <w:r>
        <w:rPr>
          <w:rFonts w:hint="eastAsia" w:ascii="Arial" w:hAnsi="Arial" w:cs="Arial" w:eastAsiaTheme="majorEastAsia"/>
          <w:b/>
          <w:color w:val="2E75B6" w:themeColor="accent1" w:themeShade="BF"/>
          <w:sz w:val="24"/>
          <w:szCs w:val="24"/>
          <w:lang w:val="en-US" w:eastAsia="zh-CN" w:bidi="ar-SA"/>
        </w:rPr>
        <w:t xml:space="preserve"> </w:t>
      </w:r>
      <w:r>
        <w:rPr>
          <w:rFonts w:hint="default" w:ascii="Arial" w:hAnsi="Arial" w:cs="Arial" w:eastAsiaTheme="majorEastAsia"/>
          <w:b/>
          <w:color w:val="2E75B6" w:themeColor="accent1" w:themeShade="BF"/>
          <w:sz w:val="24"/>
          <w:szCs w:val="24"/>
          <w:lang w:val="en-US" w:eastAsia="en-US" w:bidi="ar-SA"/>
        </w:rPr>
        <w:t>Conclusion</w:t>
      </w:r>
      <w:bookmarkEnd w:id="57"/>
    </w:p>
    <w:p w14:paraId="778CB73C">
      <w:pPr>
        <w:spacing w:line="480" w:lineRule="auto"/>
        <w:jc w:val="both"/>
        <w:rPr>
          <w:rFonts w:hint="default" w:ascii="Arial" w:hAnsi="Arial" w:cs="Arial"/>
          <w:sz w:val="24"/>
          <w:szCs w:val="24"/>
        </w:rPr>
      </w:pPr>
      <w:r>
        <w:rPr>
          <w:rFonts w:hint="default" w:ascii="Arial" w:hAnsi="Arial" w:cs="Arial"/>
          <w:sz w:val="24"/>
          <w:szCs w:val="24"/>
        </w:rPr>
        <w:t xml:space="preserve">The study also found out that Chinese consumers have positive attitudes toward the adoption of ESG considering its advantages for firms’ performance. The managers believe that higher levels of ESG integration are connected with better sales revenues, better pricing capabilities, customer satisfaction and enhanced corporate image. </w:t>
      </w:r>
    </w:p>
    <w:p w14:paraId="025015DD">
      <w:pPr>
        <w:spacing w:line="480" w:lineRule="auto"/>
        <w:jc w:val="both"/>
        <w:rPr>
          <w:rFonts w:hint="default" w:ascii="Arial" w:hAnsi="Arial" w:cs="Arial"/>
          <w:sz w:val="24"/>
          <w:szCs w:val="24"/>
        </w:rPr>
      </w:pPr>
      <w:r>
        <w:rPr>
          <w:rFonts w:hint="default" w:ascii="Arial" w:hAnsi="Arial" w:cs="Arial"/>
          <w:sz w:val="24"/>
          <w:szCs w:val="24"/>
        </w:rPr>
        <w:t xml:space="preserve">The results highlight that consumers are getting more concerned with sustainability and social responsibility aspects as the key success factors of a firm. This positive perception suggests that organisations implementing sound ESG principles will be perceived as having a competitive advantage through implementing successful strategies that align with customers’ expectations as a way of creating customer loyalty and thus capture an increased market share. </w:t>
      </w:r>
    </w:p>
    <w:p w14:paraId="2A8ECF6E">
      <w:pPr>
        <w:spacing w:line="480" w:lineRule="auto"/>
        <w:jc w:val="both"/>
        <w:rPr>
          <w:rFonts w:hint="default" w:ascii="Arial" w:hAnsi="Arial" w:cs="Arial"/>
          <w:sz w:val="24"/>
          <w:szCs w:val="24"/>
        </w:rPr>
      </w:pPr>
      <w:r>
        <w:rPr>
          <w:rFonts w:hint="default" w:ascii="Arial" w:hAnsi="Arial" w:cs="Arial"/>
          <w:sz w:val="24"/>
          <w:szCs w:val="24"/>
        </w:rPr>
        <w:t xml:space="preserve"> The survey also ascertained other aspects of consumer perception of the ESG influence on firms’ financial and risk outcomes. The findings revealed a highly significant relationship between the level of ESG adoption and the consumers’ perceived financial stability meaning that, consumers have high confidence in organizations with higher levels of ESG standards as they suggested these are less likely to be affected by financial uncertainties. </w:t>
      </w:r>
    </w:p>
    <w:p w14:paraId="556370E3">
      <w:pPr>
        <w:spacing w:line="480" w:lineRule="auto"/>
        <w:jc w:val="both"/>
        <w:rPr>
          <w:rFonts w:hint="default" w:ascii="Arial" w:hAnsi="Arial" w:cs="Arial"/>
          <w:sz w:val="24"/>
          <w:szCs w:val="24"/>
        </w:rPr>
      </w:pPr>
      <w:r>
        <w:rPr>
          <w:rFonts w:hint="default" w:ascii="Arial" w:hAnsi="Arial" w:cs="Arial"/>
          <w:sz w:val="24"/>
          <w:szCs w:val="24"/>
        </w:rPr>
        <w:t xml:space="preserve">This relationship serves further to give weightage to adopting ESG leverage as a way of moderating operational risk and improving on financial performances. Nonetheless, in the research also it was found that consumer in overall knowledge about these benefits but there is little doubts regarding the operations of ESG on financial outlook, especially for the short term. </w:t>
      </w:r>
    </w:p>
    <w:p w14:paraId="094BEAB0">
      <w:pPr>
        <w:spacing w:line="480" w:lineRule="auto"/>
        <w:jc w:val="both"/>
        <w:rPr>
          <w:rFonts w:hint="default" w:ascii="Arial" w:hAnsi="Arial" w:cs="Arial"/>
          <w:sz w:val="24"/>
          <w:szCs w:val="24"/>
        </w:rPr>
      </w:pPr>
      <w:r>
        <w:rPr>
          <w:rFonts w:hint="default" w:ascii="Arial" w:hAnsi="Arial" w:cs="Arial"/>
          <w:sz w:val="24"/>
          <w:szCs w:val="24"/>
        </w:rPr>
        <w:t xml:space="preserve"> Among them the issue of ESG reporting opacity was raised as one of the most critical problems alongside the issue of greenwashing, when consumers are not sure whether a company is being truthful about its sustainability activities. This skepticism came out clearly in the responses analysed, whereby while the organisations raised moderate concern over the authenticity of ESG claims. </w:t>
      </w:r>
    </w:p>
    <w:p w14:paraId="62EE97BF">
      <w:pPr>
        <w:spacing w:line="480" w:lineRule="auto"/>
        <w:jc w:val="both"/>
        <w:rPr>
          <w:rFonts w:hint="default" w:ascii="Arial" w:hAnsi="Arial" w:cs="Arial"/>
          <w:sz w:val="24"/>
          <w:szCs w:val="24"/>
        </w:rPr>
      </w:pPr>
      <w:r>
        <w:rPr>
          <w:rFonts w:hint="default" w:ascii="Arial" w:hAnsi="Arial" w:cs="Arial"/>
          <w:sz w:val="24"/>
          <w:szCs w:val="24"/>
        </w:rPr>
        <w:t xml:space="preserve">From the regression analysis, these challenges were seen to affect the financial risk performance; where consumer mistrust was noted to cause heightened financial as well as reputational risks for the firms. The study emphasises on the increased demand and the lack of credibility in the ESG reporting and suggests that companies should involve third-party auditors who could check on the authenticity of the company’s claims. </w:t>
      </w:r>
    </w:p>
    <w:p w14:paraId="76405EB6">
      <w:pPr>
        <w:spacing w:line="480" w:lineRule="auto"/>
        <w:jc w:val="both"/>
        <w:rPr>
          <w:rFonts w:hint="default" w:ascii="Arial" w:hAnsi="Arial" w:cs="Arial"/>
          <w:sz w:val="24"/>
          <w:szCs w:val="24"/>
        </w:rPr>
      </w:pPr>
      <w:r>
        <w:rPr>
          <w:rFonts w:hint="default" w:ascii="Arial" w:hAnsi="Arial" w:cs="Arial"/>
          <w:sz w:val="24"/>
          <w:szCs w:val="24"/>
        </w:rPr>
        <w:t xml:space="preserve">The implication of the finding of this study are as follows: The study presents the importance of including consumers’ perceptions for firms when formulating their ESG policies. Consumers also get a chance to be heard, and when their voices are incorporated into the companies, market expectations are more likely to be met hence improving the companies’ performance and competitiveness. This spans taking appropriate environmental measures in organizational processes and products and reporting those measures to the consumers. </w:t>
      </w:r>
    </w:p>
    <w:p w14:paraId="1E7E74A4">
      <w:pPr>
        <w:spacing w:line="480" w:lineRule="auto"/>
        <w:jc w:val="both"/>
        <w:rPr>
          <w:rFonts w:hint="default" w:ascii="Arial" w:hAnsi="Arial" w:cs="Arial"/>
          <w:sz w:val="24"/>
          <w:szCs w:val="24"/>
        </w:rPr>
      </w:pPr>
      <w:r>
        <w:rPr>
          <w:rFonts w:hint="default" w:ascii="Arial" w:hAnsi="Arial" w:cs="Arial"/>
          <w:sz w:val="24"/>
          <w:szCs w:val="24"/>
        </w:rPr>
        <w:t xml:space="preserve"> Based on the study, the policymakers are encouraged to increase the regulation and funding toward the improvement of ESG reporting. Some of the policy interventions could include; proposing rules that enhance ESG disclosure, offering incentives to companies who practice better ESG practices, making sure that companies stick to the rules. In this way, the advance of ESG adoption by companies becomes less risky for policy makers and those regulatory improvements open the space for companies to work on their sustainable development in better conditions. </w:t>
      </w:r>
    </w:p>
    <w:p w14:paraId="419B7712">
      <w:pPr>
        <w:spacing w:line="480" w:lineRule="auto"/>
        <w:jc w:val="both"/>
        <w:rPr>
          <w:rFonts w:hint="default" w:ascii="Arial" w:hAnsi="Arial" w:cs="Arial"/>
          <w:sz w:val="24"/>
          <w:szCs w:val="24"/>
        </w:rPr>
      </w:pPr>
      <w:r>
        <w:rPr>
          <w:rFonts w:hint="default" w:ascii="Arial" w:hAnsi="Arial" w:cs="Arial"/>
          <w:sz w:val="24"/>
          <w:szCs w:val="24"/>
        </w:rPr>
        <w:t xml:space="preserve">Hence, this study focus on the impact of consumer perceptions towards ESG performance of firms in China. To begin with, it is worth noting that there is an increasing awareness of the advantages of ESG practices Although, there are also stipulations such as transparency and greenwash risk that hinders the overall achievement of these advantages. To overcome such challenges and realize ESG initiatives that are aligned with consumer preferences, Chinese firms can experience a better financial and risk profile and improve their market standing and future sustainability. </w:t>
      </w:r>
    </w:p>
    <w:p w14:paraId="744D6941">
      <w:pPr>
        <w:spacing w:line="480" w:lineRule="auto"/>
        <w:jc w:val="both"/>
        <w:rPr>
          <w:rFonts w:hint="default" w:ascii="Arial" w:hAnsi="Arial" w:cs="Arial"/>
          <w:sz w:val="24"/>
          <w:szCs w:val="24"/>
        </w:rPr>
      </w:pPr>
      <w:r>
        <w:rPr>
          <w:rFonts w:hint="default" w:ascii="Arial" w:hAnsi="Arial" w:cs="Arial"/>
          <w:sz w:val="24"/>
          <w:szCs w:val="24"/>
        </w:rPr>
        <w:t>Future research may also explore an extended study of the continuing effects of ESG adoption among consumers on their loyalty as well as the brand equity, which will be beneficial for understanding the dynamics of consumer-sustainability interaction in China.</w:t>
      </w:r>
    </w:p>
    <w:p w14:paraId="58CBCCDC">
      <w:pPr>
        <w:pStyle w:val="4"/>
        <w:numPr>
          <w:ilvl w:val="2"/>
          <w:numId w:val="0"/>
        </w:numPr>
        <w:spacing w:line="480" w:lineRule="auto"/>
        <w:jc w:val="both"/>
        <w:outlineLvl w:val="1"/>
        <w:rPr>
          <w:rFonts w:hint="default" w:ascii="Arial" w:hAnsi="Arial" w:cs="Arial" w:eastAsiaTheme="majorEastAsia"/>
          <w:b/>
          <w:color w:val="2E75B6" w:themeColor="accent1" w:themeShade="BF"/>
          <w:sz w:val="24"/>
          <w:szCs w:val="24"/>
          <w:lang w:val="en-US" w:eastAsia="en-US" w:bidi="ar-SA"/>
        </w:rPr>
      </w:pPr>
      <w:bookmarkStart w:id="58" w:name="_Toc4530"/>
      <w:r>
        <w:rPr>
          <w:rFonts w:hint="eastAsia" w:ascii="Arial" w:hAnsi="Arial" w:cs="Arial" w:eastAsiaTheme="majorEastAsia"/>
          <w:b/>
          <w:color w:val="2E75B6" w:themeColor="accent1" w:themeShade="BF"/>
          <w:sz w:val="24"/>
          <w:szCs w:val="24"/>
          <w:lang w:val="en-US" w:eastAsia="zh-CN" w:bidi="ar-SA"/>
        </w:rPr>
        <w:t>5</w:t>
      </w:r>
      <w:r>
        <w:rPr>
          <w:rFonts w:hint="default" w:ascii="Arial" w:hAnsi="Arial" w:cs="Arial" w:eastAsiaTheme="majorEastAsia"/>
          <w:b/>
          <w:color w:val="2E75B6" w:themeColor="accent1" w:themeShade="BF"/>
          <w:sz w:val="24"/>
          <w:szCs w:val="24"/>
          <w:lang w:val="en-US" w:eastAsia="en-US" w:bidi="ar-SA"/>
        </w:rPr>
        <w:t>.3</w:t>
      </w:r>
      <w:r>
        <w:rPr>
          <w:rFonts w:hint="eastAsia" w:ascii="Arial" w:hAnsi="Arial" w:cs="Arial" w:eastAsiaTheme="majorEastAsia"/>
          <w:b/>
          <w:color w:val="2E75B6" w:themeColor="accent1" w:themeShade="BF"/>
          <w:sz w:val="24"/>
          <w:szCs w:val="24"/>
          <w:lang w:val="en-US" w:eastAsia="zh-CN" w:bidi="ar-SA"/>
        </w:rPr>
        <w:t xml:space="preserve"> </w:t>
      </w:r>
      <w:r>
        <w:rPr>
          <w:rFonts w:hint="default" w:ascii="Arial" w:hAnsi="Arial" w:cs="Arial" w:eastAsiaTheme="majorEastAsia"/>
          <w:b/>
          <w:color w:val="2E75B6" w:themeColor="accent1" w:themeShade="BF"/>
          <w:sz w:val="24"/>
          <w:szCs w:val="24"/>
          <w:lang w:val="en-US" w:eastAsia="en-US" w:bidi="ar-SA"/>
        </w:rPr>
        <w:t>Recommendations</w:t>
      </w:r>
      <w:bookmarkEnd w:id="58"/>
      <w:r>
        <w:rPr>
          <w:rFonts w:hint="default" w:ascii="Arial" w:hAnsi="Arial" w:cs="Arial" w:eastAsiaTheme="majorEastAsia"/>
          <w:b/>
          <w:color w:val="2E75B6" w:themeColor="accent1" w:themeShade="BF"/>
          <w:sz w:val="24"/>
          <w:szCs w:val="24"/>
          <w:lang w:val="en-US" w:eastAsia="en-US" w:bidi="ar-SA"/>
        </w:rPr>
        <w:t xml:space="preserve"> </w:t>
      </w:r>
    </w:p>
    <w:p w14:paraId="07DAE0E8">
      <w:pPr>
        <w:spacing w:line="480" w:lineRule="auto"/>
        <w:jc w:val="both"/>
        <w:rPr>
          <w:rFonts w:hint="default" w:ascii="Arial" w:hAnsi="Arial" w:cs="Arial"/>
          <w:sz w:val="24"/>
          <w:szCs w:val="24"/>
        </w:rPr>
      </w:pPr>
      <w:r>
        <w:rPr>
          <w:rFonts w:hint="default" w:ascii="Arial" w:hAnsi="Arial" w:cs="Arial"/>
          <w:sz w:val="24"/>
          <w:szCs w:val="24"/>
        </w:rPr>
        <w:t xml:space="preserve">It has been assessed that consumers are concerned about transparency in ESG reporting in Chinese firms and consumers also consider that companies demonstrate ESG efforts as greenwashing. This has been assessed through SWOT analysis that overestimation of ESG lead to consumer distrust. Considering the challenges, it is recommended that Chinese government should develop and strengthen transparent disclosure requirements in ESG reporting. Atan et al. (2016) have highlighted that firms should ensure compliance with international standards such as Global Reporting Initiatives (GRI) to improve transparency of ESG reporting. The government role is important for setting standards of ESG transparent disclosure. </w:t>
      </w:r>
    </w:p>
    <w:p w14:paraId="1D7F03A4">
      <w:pPr>
        <w:spacing w:line="480" w:lineRule="auto"/>
        <w:jc w:val="both"/>
        <w:rPr>
          <w:rFonts w:hint="default" w:ascii="Arial" w:hAnsi="Arial" w:cs="Arial"/>
          <w:sz w:val="24"/>
          <w:szCs w:val="24"/>
        </w:rPr>
      </w:pPr>
      <w:r>
        <w:rPr>
          <w:rFonts w:hint="default" w:ascii="Arial" w:hAnsi="Arial" w:cs="Arial"/>
          <w:sz w:val="24"/>
          <w:szCs w:val="24"/>
        </w:rPr>
        <w:t xml:space="preserve">Through transparent disclosure, consumers and investors can compare ESG policies of different companies and depict actual performance of companies. Xiao et al. (2023) have signified that technological development such as big data and cloud computing enable organizations to increase transparency of supply chains. </w:t>
      </w:r>
    </w:p>
    <w:p w14:paraId="2CBB7DC0">
      <w:pPr>
        <w:spacing w:line="480" w:lineRule="auto"/>
        <w:jc w:val="both"/>
        <w:rPr>
          <w:rFonts w:hint="default" w:ascii="Arial" w:hAnsi="Arial" w:cs="Arial"/>
          <w:sz w:val="24"/>
          <w:szCs w:val="24"/>
        </w:rPr>
      </w:pPr>
      <w:r>
        <w:rPr>
          <w:rFonts w:hint="default" w:ascii="Arial" w:hAnsi="Arial" w:cs="Arial"/>
          <w:sz w:val="24"/>
          <w:szCs w:val="24"/>
        </w:rPr>
        <w:t xml:space="preserve">The consumer perceive companies ESG as greenwashing practices and for reducing these practices, Chinese companies are recommended to engage with independent third party auditors whp provide unbiased opinions about ESG. Through this, the companies can improve transparency of its ESG reporting and also contributes to consumer trust. By actively addressing greenwashing, Chinese companies can not only improve consumer perceptions but also reduced the perceived financial risks associated with misleading ESG.   For improving ESG adoption, consumer and investor education is important to hold firms accountable for their ESG consequences (Álvarez-García and Sureda-Negrem, 2023). Through public education, the ESG adoption can be improved by comprehending that consumer behaviors affect firms. </w:t>
      </w:r>
    </w:p>
    <w:p w14:paraId="2FD3FA0E">
      <w:pPr>
        <w:spacing w:line="480" w:lineRule="auto"/>
        <w:jc w:val="both"/>
        <w:rPr>
          <w:rFonts w:hint="default" w:ascii="Arial" w:hAnsi="Arial" w:cs="Arial"/>
          <w:sz w:val="24"/>
          <w:szCs w:val="24"/>
        </w:rPr>
      </w:pPr>
      <w:r>
        <w:rPr>
          <w:rFonts w:hint="default" w:ascii="Arial" w:hAnsi="Arial" w:cs="Arial"/>
          <w:sz w:val="24"/>
          <w:szCs w:val="24"/>
        </w:rPr>
        <w:t xml:space="preserve">The key challenge of ESG adoption in relation to financial performance, the high cost of sustainable initiatives discourages ESG adoption. Through government support in relation to tax credits, subsidies, and preferential treatment in government contracts, companies are encouraged to adopt ESG practices (Mendenhall and Sutte, 2023). It is recommended that government should provide subsidies and support for companies adopting ESG which will overcome the cost issues. Furthermore, the R&amp;D initiatives should be funded to generate effective and economical ESG solutions and technology to reduce financial barriers to ESG adoption. Furthermore, government oversight is needed to ensure enterprises meet ESG requirements. </w:t>
      </w:r>
    </w:p>
    <w:p w14:paraId="722CB39D">
      <w:pPr>
        <w:spacing w:line="480" w:lineRule="auto"/>
        <w:jc w:val="both"/>
        <w:rPr>
          <w:rFonts w:hint="default" w:ascii="Arial" w:hAnsi="Arial" w:cs="Arial"/>
          <w:sz w:val="24"/>
          <w:szCs w:val="24"/>
        </w:rPr>
      </w:pPr>
      <w:r>
        <w:rPr>
          <w:rFonts w:hint="default" w:ascii="Arial" w:hAnsi="Arial" w:cs="Arial"/>
          <w:sz w:val="24"/>
          <w:szCs w:val="24"/>
        </w:rPr>
        <w:t xml:space="preserve">The study has highlighted that consumer perceptions for ESG adoption are important for financial risk performances of Chinese companies. Thus, it is recommended that businesses should leverage consumer perceptions to enhance their risk management strategies. The companies are encouraged to engage consumers through feedback, surveys and focus group to understand their concerns regarding ESG practices (Finger nad Rosenboim, 2022). This can help identify and fix ESG performance issues where corporate involvement in local communities also improves reputation and relationships. </w:t>
      </w:r>
    </w:p>
    <w:p w14:paraId="37F387A5">
      <w:pPr>
        <w:spacing w:line="480" w:lineRule="auto"/>
        <w:jc w:val="both"/>
        <w:rPr>
          <w:rFonts w:hint="default" w:ascii="Arial" w:hAnsi="Arial" w:cs="Arial"/>
          <w:sz w:val="24"/>
          <w:szCs w:val="24"/>
        </w:rPr>
      </w:pPr>
      <w:r>
        <w:rPr>
          <w:rFonts w:hint="default" w:ascii="Arial" w:hAnsi="Arial" w:cs="Arial"/>
          <w:sz w:val="24"/>
          <w:szCs w:val="24"/>
        </w:rPr>
        <w:t xml:space="preserve">It has been assessed that Chinese companies should improve its regulatory practices for improving transparency and reducing greenwashing. Also, government support for regulatory compliance and funding support also encourage firms to improve their ESG performances. </w:t>
      </w:r>
    </w:p>
    <w:p w14:paraId="14A7974A">
      <w:pPr>
        <w:spacing w:line="480" w:lineRule="auto"/>
        <w:jc w:val="both"/>
        <w:rPr>
          <w:rFonts w:hint="default" w:ascii="Arial" w:hAnsi="Arial" w:cs="Arial"/>
          <w:sz w:val="24"/>
          <w:szCs w:val="24"/>
        </w:rPr>
      </w:pPr>
    </w:p>
    <w:p w14:paraId="7C63BD42">
      <w:pPr>
        <w:spacing w:line="480" w:lineRule="auto"/>
        <w:jc w:val="both"/>
        <w:rPr>
          <w:rFonts w:hint="default" w:ascii="Arial" w:hAnsi="Arial" w:cs="Arial"/>
          <w:sz w:val="24"/>
          <w:szCs w:val="24"/>
        </w:rPr>
      </w:pPr>
    </w:p>
    <w:p w14:paraId="196082D7">
      <w:pPr>
        <w:spacing w:line="480" w:lineRule="auto"/>
        <w:jc w:val="both"/>
        <w:rPr>
          <w:rFonts w:hint="default" w:ascii="Arial" w:hAnsi="Arial" w:cs="Arial"/>
          <w:b/>
          <w:sz w:val="24"/>
          <w:szCs w:val="24"/>
        </w:rPr>
      </w:pPr>
    </w:p>
    <w:p w14:paraId="2688414E">
      <w:pPr>
        <w:spacing w:line="480" w:lineRule="auto"/>
        <w:jc w:val="both"/>
        <w:rPr>
          <w:rFonts w:hint="default" w:ascii="Arial" w:hAnsi="Arial" w:cs="Arial"/>
          <w:sz w:val="24"/>
          <w:szCs w:val="24"/>
        </w:rPr>
      </w:pPr>
    </w:p>
    <w:p w14:paraId="543E26F3">
      <w:pPr>
        <w:spacing w:line="480" w:lineRule="auto"/>
        <w:jc w:val="both"/>
        <w:rPr>
          <w:rFonts w:hint="default" w:ascii="Arial" w:hAnsi="Arial" w:cs="Arial"/>
          <w:b/>
          <w:sz w:val="24"/>
          <w:szCs w:val="24"/>
        </w:rPr>
      </w:pPr>
    </w:p>
    <w:p w14:paraId="2C571B80">
      <w:pPr>
        <w:spacing w:line="480" w:lineRule="auto"/>
        <w:jc w:val="both"/>
        <w:rPr>
          <w:rFonts w:hint="default" w:ascii="Arial" w:hAnsi="Arial" w:cs="Arial"/>
          <w:sz w:val="24"/>
          <w:szCs w:val="24"/>
        </w:rPr>
      </w:pPr>
      <w:r>
        <w:rPr>
          <w:rFonts w:hint="default" w:ascii="Arial" w:hAnsi="Arial" w:cs="Arial"/>
          <w:sz w:val="24"/>
          <w:szCs w:val="24"/>
        </w:rPr>
        <w:br w:type="page"/>
      </w:r>
    </w:p>
    <w:p w14:paraId="78511927">
      <w:pPr>
        <w:pStyle w:val="2"/>
        <w:numPr>
          <w:ilvl w:val="0"/>
          <w:numId w:val="0"/>
        </w:numPr>
        <w:spacing w:line="480" w:lineRule="auto"/>
        <w:jc w:val="both"/>
        <w:rPr>
          <w:rFonts w:hint="default" w:ascii="Arial" w:hAnsi="Arial" w:cs="Arial"/>
          <w:sz w:val="24"/>
          <w:szCs w:val="24"/>
        </w:rPr>
      </w:pPr>
      <w:bookmarkStart w:id="59" w:name="_Toc18171"/>
      <w:r>
        <w:rPr>
          <w:rFonts w:hint="default" w:ascii="Arial" w:hAnsi="Arial" w:cs="Arial"/>
          <w:sz w:val="24"/>
          <w:szCs w:val="24"/>
        </w:rPr>
        <w:t>References</w:t>
      </w:r>
      <w:bookmarkEnd w:id="59"/>
    </w:p>
    <w:p w14:paraId="5D9BF47B">
      <w:pPr>
        <w:pStyle w:val="18"/>
        <w:spacing w:before="0" w:beforeAutospacing="0" w:after="240" w:afterAutospacing="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Acuity Knowledge Partners. (2024). </w:t>
      </w:r>
      <w:r>
        <w:rPr>
          <w:rFonts w:hint="default" w:ascii="Arial" w:hAnsi="Arial" w:cs="Arial"/>
          <w:i/>
          <w:iCs/>
          <w:color w:val="000000"/>
          <w:sz w:val="24"/>
          <w:szCs w:val="24"/>
        </w:rPr>
        <w:t>Acuity Knowledge Partners</w:t>
      </w:r>
      <w:r>
        <w:rPr>
          <w:rFonts w:hint="default" w:ascii="Arial" w:hAnsi="Arial" w:cs="Arial"/>
          <w:color w:val="000000"/>
          <w:sz w:val="24"/>
          <w:szCs w:val="24"/>
        </w:rPr>
        <w:t>. [online] Available at: https://www.acuitykp.com/blog/the-rising-significance-of-esg-adoption/ [Accessed 13 Jun. 2024].</w:t>
      </w:r>
    </w:p>
    <w:p w14:paraId="42FEE9C0">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Ahlklo, Y., &amp; Lind, C. (2018). E, S or G? A study of ESG score and financial performance.</w:t>
      </w:r>
    </w:p>
    <w:p w14:paraId="485A4723">
      <w:pPr>
        <w:pStyle w:val="18"/>
        <w:spacing w:after="24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Álvarez-García, O. and Sureda-Negre, J., 2023. Greenwashing and education: An evidence-based approach. The Journal of Environmental Education, 54(4), pp.265-277.</w:t>
      </w:r>
    </w:p>
    <w:p w14:paraId="4A67E221">
      <w:pPr>
        <w:pStyle w:val="18"/>
        <w:spacing w:after="24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Atan, R.U.H.A.Y.A., Razali, F.A., Said, J.A.M.A.L.I.A.H. and Zainun, S., 2016. Environmental, social and governance (ESG) disclosure and its effect on firm’s performance: A comparative study. International Journal of Economics and Management, 10(2), pp.355-375.</w:t>
      </w:r>
    </w:p>
    <w:p w14:paraId="0E5AF2B8">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Borodako, A. (2023). ESG integration in banking: A qualitative study on the impact of regulation on banks´ operations (Master's thesis, NTNU).</w:t>
      </w:r>
    </w:p>
    <w:p w14:paraId="521E3171">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Bryman, A. (2016). Social Research Methods (5th ed.). Oxford University Press.</w:t>
      </w:r>
    </w:p>
    <w:p w14:paraId="6B5BA985">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Cao, Y., Mi, W., &amp; Zhang, R. (2024). Provincial ESG performance in China: Evolution trends and the role of environmental regulation. Environmental Impact Assessment Review, 107, 107570.</w:t>
      </w:r>
    </w:p>
    <w:p w14:paraId="36833B9E">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Chen, F., Liu, Y. H., &amp; Chen, X. Z. (2024). ESG performance and business risk—empirical evidence from China's listed companies. Innovation and Green Development, 3(3), 100142.</w:t>
      </w:r>
    </w:p>
    <w:p w14:paraId="6392F03E">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Chen, F., Liu, Y.H. and Chen, X.Z., 2024. ESG performance and business risk—empirical evidence from China's listed companies. </w:t>
      </w:r>
      <w:r>
        <w:rPr>
          <w:rFonts w:hint="default" w:ascii="Arial" w:hAnsi="Arial" w:cs="Arial"/>
          <w:i/>
          <w:iCs/>
          <w:color w:val="222222"/>
          <w:sz w:val="24"/>
          <w:szCs w:val="24"/>
          <w:shd w:val="clear" w:color="auto" w:fill="FFFFFF"/>
        </w:rPr>
        <w:t>Innovation and Green Development</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3</w:t>
      </w:r>
      <w:r>
        <w:rPr>
          <w:rFonts w:hint="default" w:ascii="Arial" w:hAnsi="Arial" w:cs="Arial"/>
          <w:color w:val="222222"/>
          <w:sz w:val="24"/>
          <w:szCs w:val="24"/>
          <w:shd w:val="clear" w:color="auto" w:fill="FFFFFF"/>
        </w:rPr>
        <w:t>(3), p.100142.</w:t>
      </w:r>
    </w:p>
    <w:p w14:paraId="17175E2E">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Chen, S., Han, X., Zhang, Z. and Zhao, X., 2023. ESG investment in China: Doing well by doing good. </w:t>
      </w:r>
      <w:r>
        <w:rPr>
          <w:rFonts w:hint="default" w:ascii="Arial" w:hAnsi="Arial" w:cs="Arial"/>
          <w:i/>
          <w:iCs/>
          <w:color w:val="222222"/>
          <w:sz w:val="24"/>
          <w:szCs w:val="24"/>
          <w:shd w:val="clear" w:color="auto" w:fill="FFFFFF"/>
        </w:rPr>
        <w:t>Pacific-Basin Finance Journal</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77</w:t>
      </w:r>
      <w:r>
        <w:rPr>
          <w:rFonts w:hint="default" w:ascii="Arial" w:hAnsi="Arial" w:cs="Arial"/>
          <w:color w:val="222222"/>
          <w:sz w:val="24"/>
          <w:szCs w:val="24"/>
          <w:shd w:val="clear" w:color="auto" w:fill="FFFFFF"/>
        </w:rPr>
        <w:t>, p.101907.</w:t>
      </w:r>
    </w:p>
    <w:p w14:paraId="7684D483">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Cheng, R., Kim, H. and Ryu, D., 2024. ESG performance and firm value in the Chinese market. </w:t>
      </w:r>
      <w:r>
        <w:rPr>
          <w:rFonts w:hint="default" w:ascii="Arial" w:hAnsi="Arial" w:cs="Arial"/>
          <w:i/>
          <w:iCs/>
          <w:color w:val="222222"/>
          <w:sz w:val="24"/>
          <w:szCs w:val="24"/>
          <w:shd w:val="clear" w:color="auto" w:fill="FFFFFF"/>
        </w:rPr>
        <w:t>Investment Analysts Journal</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53</w:t>
      </w:r>
      <w:r>
        <w:rPr>
          <w:rFonts w:hint="default" w:ascii="Arial" w:hAnsi="Arial" w:cs="Arial"/>
          <w:color w:val="222222"/>
          <w:sz w:val="24"/>
          <w:szCs w:val="24"/>
          <w:shd w:val="clear" w:color="auto" w:fill="FFFFFF"/>
        </w:rPr>
        <w:t>(1), pp.1-15.</w:t>
      </w:r>
    </w:p>
    <w:p w14:paraId="60D9A292">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Chiozzini, V. (2018). Sustainability Reporting Practices of Chinese Listed Companies.</w:t>
      </w:r>
    </w:p>
    <w:p w14:paraId="183E93FB">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Creswell, J. W., &amp; Creswell, J. D. (2017). Research Design: Qualitative, Quantitative, and Mixed Methods Approaches (5th ed.). SAGE Publications.</w:t>
      </w:r>
    </w:p>
    <w:p w14:paraId="33BFCEF7">
      <w:pPr>
        <w:pStyle w:val="18"/>
        <w:spacing w:before="0" w:beforeAutospacing="0" w:after="240" w:afterAutospacing="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 xml:space="preserve">Danwillis., 2023. </w:t>
      </w:r>
      <w:r>
        <w:rPr>
          <w:rFonts w:hint="default" w:ascii="Arial" w:hAnsi="Arial" w:cs="Arial"/>
          <w:i/>
          <w:iCs/>
          <w:color w:val="000000"/>
          <w:sz w:val="24"/>
          <w:szCs w:val="24"/>
        </w:rPr>
        <w:t>Chinese firms embracing ESG strategies to meet growing demand, survey finds</w:t>
      </w:r>
      <w:r>
        <w:rPr>
          <w:rFonts w:hint="default" w:ascii="Arial" w:hAnsi="Arial" w:cs="Arial"/>
          <w:color w:val="000000"/>
          <w:sz w:val="24"/>
          <w:szCs w:val="24"/>
        </w:rPr>
        <w:t>. [online] FinTech Global. Available at: https://fintech.global/2023/05/30/chinese-firms-embracing-esg-strategies-to-meet-growing-demand-survey-finds/ [Accessed 13 Jun. 2024].</w:t>
      </w:r>
    </w:p>
    <w:p w14:paraId="607397D8">
      <w:pPr>
        <w:pStyle w:val="18"/>
        <w:spacing w:before="0" w:beforeAutospacing="0" w:after="240" w:afterAutospacing="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Du, L., Hadiyan, N., Azman, N., 2023. The impact of ESG performance on corporate risk-taking: empirical evidence from China. (2023). </w:t>
      </w:r>
      <w:r>
        <w:rPr>
          <w:rFonts w:hint="default" w:ascii="Arial" w:hAnsi="Arial" w:cs="Arial"/>
          <w:i/>
          <w:iCs/>
          <w:color w:val="000000"/>
          <w:sz w:val="24"/>
          <w:szCs w:val="24"/>
        </w:rPr>
        <w:t>Journal of Sustainable Finance &amp; Investment</w:t>
      </w:r>
      <w:r>
        <w:rPr>
          <w:rFonts w:hint="default" w:ascii="Arial" w:hAnsi="Arial" w:cs="Arial"/>
          <w:color w:val="000000"/>
          <w:sz w:val="24"/>
          <w:szCs w:val="24"/>
        </w:rPr>
        <w:t>. [online] doi:https://doi.org/10.1080//20430795.2024.2366179.</w:t>
      </w:r>
    </w:p>
    <w:p w14:paraId="4D952990">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Etikan, I., Musa, S. A., &amp; Alkassim, R. S. (2016). Comparison of convenience sampling and purposive sampling. American Journal of Theoretical and Applied Statistics, 5(1), 1-4.</w:t>
      </w:r>
    </w:p>
    <w:p w14:paraId="6E6848F5">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Evans, J. R., &amp; Mathur, A. (2018). The value of online surveys: A look back and a look ahead. Internet Research, 28(4), 854-887.</w:t>
      </w:r>
    </w:p>
    <w:p w14:paraId="31C3E26E">
      <w:pPr>
        <w:pStyle w:val="18"/>
        <w:spacing w:after="24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Finger, M. and Rosenboim, M., 2022. Going ESG: The economic value of adopting an ESG policy. Sustainability, 14(21), p.13917.</w:t>
      </w:r>
    </w:p>
    <w:p w14:paraId="42D26084">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Forsberg, W., Lewerentz, L., Muameleci, K., Pilhall, K., Söderholm, A., &amp; Wallinder, E. (2020). Advantages of applying ESG for sustainable growth.</w:t>
      </w:r>
    </w:p>
    <w:p w14:paraId="1BCD7788">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Fowler, F. J. (2014). Survey Research Methods (5th ed.). SAGE Publications.</w:t>
      </w:r>
    </w:p>
    <w:p w14:paraId="346F4C23">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Freiberg, D., Rogers, J. and Serafeim, G., 2020. How ESG issues become financially material to corporations and their investors. </w:t>
      </w:r>
      <w:r>
        <w:rPr>
          <w:rFonts w:hint="default" w:ascii="Arial" w:hAnsi="Arial" w:cs="Arial"/>
          <w:i/>
          <w:iCs/>
          <w:color w:val="222222"/>
          <w:sz w:val="24"/>
          <w:szCs w:val="24"/>
          <w:shd w:val="clear" w:color="auto" w:fill="FFFFFF"/>
        </w:rPr>
        <w:t>Harvard Business School Accounting &amp; Management Unit Working Paper</w:t>
      </w:r>
      <w:r>
        <w:rPr>
          <w:rFonts w:hint="default" w:ascii="Arial" w:hAnsi="Arial" w:cs="Arial"/>
          <w:color w:val="222222"/>
          <w:sz w:val="24"/>
          <w:szCs w:val="24"/>
          <w:shd w:val="clear" w:color="auto" w:fill="FFFFFF"/>
        </w:rPr>
        <w:t>, (20-056).</w:t>
      </w:r>
    </w:p>
    <w:p w14:paraId="2CC8A93E">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Friede, G., Busch, T., &amp; Bassen, A. (2015). ESG and financial performance: aggregated evidence from more than 2000 empirical studies. Journal of sustainable finance &amp; investment, 5(4), 210-233.</w:t>
      </w:r>
    </w:p>
    <w:p w14:paraId="291170CA">
      <w:pPr>
        <w:pStyle w:val="18"/>
        <w:spacing w:after="24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Glaser, P., 2012. Respondents’ cooperation: Demographic profile of survey respondents and its implication. Handbook of survey methodology for the social sciences, pp.195-207.</w:t>
      </w:r>
    </w:p>
    <w:p w14:paraId="1D20B0E1">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Hall, R. P. (2020). Mixing methods in social research: qualitative, quantitative and combined methods.</w:t>
      </w:r>
    </w:p>
    <w:p w14:paraId="0A2E63C2">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Han, J. J., Kim, H. J., &amp; Yu, J. (2016). Empirical study on relationship between corporate social responsibility and financial performance in Korea. Asian Journal of Sustainability and Social Responsibility, 1, 61-76.</w:t>
      </w:r>
    </w:p>
    <w:p w14:paraId="30B5CFE9">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He, F., Ding, C., Yue, W. and Liu, G., 2023. ESG performance and corporate risk-taking: Evidence from China. </w:t>
      </w:r>
      <w:r>
        <w:rPr>
          <w:rFonts w:hint="default" w:ascii="Arial" w:hAnsi="Arial" w:cs="Arial"/>
          <w:i/>
          <w:iCs/>
          <w:color w:val="222222"/>
          <w:sz w:val="24"/>
          <w:szCs w:val="24"/>
          <w:shd w:val="clear" w:color="auto" w:fill="FFFFFF"/>
        </w:rPr>
        <w:t>International Review of Financial Analysis</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87</w:t>
      </w:r>
      <w:r>
        <w:rPr>
          <w:rFonts w:hint="default" w:ascii="Arial" w:hAnsi="Arial" w:cs="Arial"/>
          <w:color w:val="222222"/>
          <w:sz w:val="24"/>
          <w:szCs w:val="24"/>
          <w:shd w:val="clear" w:color="auto" w:fill="FFFFFF"/>
        </w:rPr>
        <w:t>, p.102550.</w:t>
      </w:r>
    </w:p>
    <w:p w14:paraId="49F5ED98">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Ikeda, A.A. (2009). Reflections on qualitative research in business. REGE. Revista de Gestão. 16(3), p.49.</w:t>
      </w:r>
    </w:p>
    <w:p w14:paraId="7AA8B2C9">
      <w:pPr>
        <w:pStyle w:val="18"/>
        <w:spacing w:after="24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Joshi, A., Kale, S., Chandel, S. and Pal, D.K., 2015. Likert scale: Explored and explained. British journal of applied science &amp; technology, 7(4), pp.396-403.</w:t>
      </w:r>
    </w:p>
    <w:p w14:paraId="34DFCFAB">
      <w:pPr>
        <w:pStyle w:val="18"/>
        <w:spacing w:after="24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Kaliyadan, F. and Kulkarni, V., 2019. Types of variables, descriptive statistics, and sample size. Indian dermatology online journal, 10(1), pp.82-86.</w:t>
      </w:r>
    </w:p>
    <w:p w14:paraId="092E9656">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Koh, H.K., Burnasheva, R. and Suh, Y.G., 2022. Perceived ESG (environmental, social, governance) and consumers’ responses: The mediating role of brand credibility, Brand Image, and perceived quality. </w:t>
      </w:r>
      <w:r>
        <w:rPr>
          <w:rFonts w:hint="default" w:ascii="Arial" w:hAnsi="Arial" w:cs="Arial"/>
          <w:i/>
          <w:iCs/>
          <w:color w:val="222222"/>
          <w:sz w:val="24"/>
          <w:szCs w:val="24"/>
          <w:shd w:val="clear" w:color="auto" w:fill="FFFFFF"/>
        </w:rPr>
        <w:t>Sustainability</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14</w:t>
      </w:r>
      <w:r>
        <w:rPr>
          <w:rFonts w:hint="default" w:ascii="Arial" w:hAnsi="Arial" w:cs="Arial"/>
          <w:color w:val="222222"/>
          <w:sz w:val="24"/>
          <w:szCs w:val="24"/>
          <w:shd w:val="clear" w:color="auto" w:fill="FFFFFF"/>
        </w:rPr>
        <w:t>(8), p.4515.</w:t>
      </w:r>
    </w:p>
    <w:p w14:paraId="5B4A1218">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Likert, R. (1932). A technique for the measurement of attitudes. Archives of Psychology, 22(140), 1-55.</w:t>
      </w:r>
    </w:p>
    <w:p w14:paraId="43A50D0B">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Liu, P., Zhu, B., Yang, M. and Chu, X., 2022. ESG and financial performance: A qualitative comparative analysis in China's new energy companies. </w:t>
      </w:r>
      <w:r>
        <w:rPr>
          <w:rFonts w:hint="default" w:ascii="Arial" w:hAnsi="Arial" w:cs="Arial"/>
          <w:i/>
          <w:iCs/>
          <w:color w:val="222222"/>
          <w:sz w:val="24"/>
          <w:szCs w:val="24"/>
          <w:shd w:val="clear" w:color="auto" w:fill="FFFFFF"/>
        </w:rPr>
        <w:t>Journal of Cleaner Production</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379</w:t>
      </w:r>
      <w:r>
        <w:rPr>
          <w:rFonts w:hint="default" w:ascii="Arial" w:hAnsi="Arial" w:cs="Arial"/>
          <w:color w:val="222222"/>
          <w:sz w:val="24"/>
          <w:szCs w:val="24"/>
          <w:shd w:val="clear" w:color="auto" w:fill="FFFFFF"/>
        </w:rPr>
        <w:t>, p.134721.</w:t>
      </w:r>
    </w:p>
    <w:p w14:paraId="2DF22F2C">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Malshe, A.V., Yin, Y., Colicev, A., Bart, Y. and Pauwels, K., 2023. How ESG Reduces Risk: The Role of Consumers and Institutional Investors. </w:t>
      </w:r>
      <w:r>
        <w:rPr>
          <w:rFonts w:hint="default" w:ascii="Arial" w:hAnsi="Arial" w:cs="Arial"/>
          <w:i/>
          <w:iCs/>
          <w:color w:val="222222"/>
          <w:sz w:val="24"/>
          <w:szCs w:val="24"/>
          <w:shd w:val="clear" w:color="auto" w:fill="FFFFFF"/>
        </w:rPr>
        <w:t>Available at SSRN 4410032</w:t>
      </w:r>
      <w:r>
        <w:rPr>
          <w:rFonts w:hint="default" w:ascii="Arial" w:hAnsi="Arial" w:cs="Arial"/>
          <w:color w:val="222222"/>
          <w:sz w:val="24"/>
          <w:szCs w:val="24"/>
          <w:shd w:val="clear" w:color="auto" w:fill="FFFFFF"/>
        </w:rPr>
        <w:t>.</w:t>
      </w:r>
    </w:p>
    <w:p w14:paraId="3F086C19">
      <w:pPr>
        <w:pStyle w:val="18"/>
        <w:spacing w:after="24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Mendenhall, A. and Sutter, D., 2023. ESG Investing: Government Push or Market Pull?. Santa Clara J. Int'l L., 22, p.75.</w:t>
      </w:r>
    </w:p>
    <w:p w14:paraId="4127CF01">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Nylund, J. (2023). The Relationship between ESG Performance and Credit Ratings</w:t>
      </w:r>
    </w:p>
    <w:p w14:paraId="2F3D1DA0">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Olli, K. (2021). Impact of ESG on financial performance: empirical evidence from the European market 2002–2019 (Doctoral dissertation, Dissertação de Mestrado da University of Turku, Turku, Finlândia).</w:t>
      </w:r>
    </w:p>
    <w:p w14:paraId="56A648CF">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Oyewole, T. (2021). Assessing the Role of Securities Exchanges on Environmental, Social and Governance (ESG) Practice (Master's thesis, University of Waterloo).</w:t>
      </w:r>
    </w:p>
    <w:p w14:paraId="44440431">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Park, H., Park, S., &amp; Park, J. (2020). Philosophical Foundations of Social Research. Academic Press.</w:t>
      </w:r>
    </w:p>
    <w:p w14:paraId="0061A139">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Runqi, L., &amp; Ke, R. (2021). Transformation, Challenge, and Optimization: The ESG Evolution of Chinese Corporate Governance. Tsinghua China L. Rev., 14, 307.</w:t>
      </w:r>
    </w:p>
    <w:p w14:paraId="3C72BDE1">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Saccon, L. (2023). Sustainable Investment and Sustainable Consumption: an empirical analysis.</w:t>
      </w:r>
    </w:p>
    <w:p w14:paraId="18EB4718">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Saci, F., Jasimuddin, S. M., &amp; Zhang, J. Z. (2024). Does ESG performance affect the systemic risk sensitivity? Empirical evidence from Chinese listed companies. Management of Environmental Quality: An International Journal.</w:t>
      </w:r>
    </w:p>
    <w:p w14:paraId="15132A3B">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Sassen, R., Hinze, A.K. and Hardeck, I., 2016. Impact of ESG factors on firm risk in Europe. </w:t>
      </w:r>
      <w:r>
        <w:rPr>
          <w:rFonts w:hint="default" w:ascii="Arial" w:hAnsi="Arial" w:cs="Arial"/>
          <w:i/>
          <w:iCs/>
          <w:color w:val="222222"/>
          <w:sz w:val="24"/>
          <w:szCs w:val="24"/>
          <w:shd w:val="clear" w:color="auto" w:fill="FFFFFF"/>
        </w:rPr>
        <w:t>Journal of business economics</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86</w:t>
      </w:r>
      <w:r>
        <w:rPr>
          <w:rFonts w:hint="default" w:ascii="Arial" w:hAnsi="Arial" w:cs="Arial"/>
          <w:color w:val="222222"/>
          <w:sz w:val="24"/>
          <w:szCs w:val="24"/>
          <w:shd w:val="clear" w:color="auto" w:fill="FFFFFF"/>
        </w:rPr>
        <w:t>, pp.867-904.</w:t>
      </w:r>
    </w:p>
    <w:p w14:paraId="1B47C9FD">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Saunders, M., Lewis, P., &amp; Thornhill, A. (2014). Research Methods for Business Students (8th ed.). Pearson.</w:t>
      </w:r>
    </w:p>
    <w:p w14:paraId="2C1CBD5D">
      <w:pPr>
        <w:pStyle w:val="18"/>
        <w:spacing w:before="0" w:beforeAutospacing="0" w:after="240" w:afterAutospacing="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SEC Newgate Greater China (2021). </w:t>
      </w:r>
      <w:r>
        <w:rPr>
          <w:rFonts w:hint="default" w:ascii="Arial" w:hAnsi="Arial" w:cs="Arial"/>
          <w:i/>
          <w:iCs/>
          <w:color w:val="000000"/>
          <w:sz w:val="24"/>
          <w:szCs w:val="24"/>
        </w:rPr>
        <w:t>China’s interest in ESG surpasses the rest of The world</w:t>
      </w:r>
      <w:r>
        <w:rPr>
          <w:rFonts w:hint="default" w:ascii="Arial" w:hAnsi="Arial" w:cs="Arial"/>
          <w:color w:val="000000"/>
          <w:sz w:val="24"/>
          <w:szCs w:val="24"/>
        </w:rPr>
        <w:t>. [online] SEC Newgate . Available at: https://www.secnewgate.hk/post/china-s-interest-in-esg-surpasses-the-rest-of-the-world [Accessed 13 Jun. 2024].</w:t>
      </w:r>
    </w:p>
    <w:p w14:paraId="65995314">
      <w:pPr>
        <w:pStyle w:val="18"/>
        <w:spacing w:before="0" w:beforeAutospacing="0" w:after="240" w:afterAutospacing="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Senthilnathan, S., 2019. Usefulness of correlation analysis. Available at SSRN 3416918.</w:t>
      </w:r>
    </w:p>
    <w:p w14:paraId="46150C3E">
      <w:pPr>
        <w:spacing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Shen, H., Lin, H., Han, W. and Wu, H., 2023. ESG in China: A review of practice and research, and future research avenues. </w:t>
      </w:r>
      <w:r>
        <w:rPr>
          <w:rFonts w:hint="default" w:ascii="Arial" w:hAnsi="Arial" w:cs="Arial"/>
          <w:i/>
          <w:iCs/>
          <w:color w:val="222222"/>
          <w:sz w:val="24"/>
          <w:szCs w:val="24"/>
          <w:shd w:val="clear" w:color="auto" w:fill="FFFFFF"/>
        </w:rPr>
        <w:t>China Journal of Accounting Research</w:t>
      </w:r>
      <w:r>
        <w:rPr>
          <w:rFonts w:hint="default" w:ascii="Arial" w:hAnsi="Arial" w:cs="Arial"/>
          <w:color w:val="222222"/>
          <w:sz w:val="24"/>
          <w:szCs w:val="24"/>
          <w:shd w:val="clear" w:color="auto" w:fill="FFFFFF"/>
        </w:rPr>
        <w:t>, p.100325.</w:t>
      </w:r>
    </w:p>
    <w:p w14:paraId="30838888">
      <w:pPr>
        <w:pStyle w:val="18"/>
        <w:spacing w:before="0" w:beforeAutospacing="0" w:after="240" w:afterAutospacing="0" w:line="480" w:lineRule="auto"/>
        <w:ind w:left="720" w:hanging="720"/>
        <w:jc w:val="both"/>
        <w:rPr>
          <w:rFonts w:hint="default" w:ascii="Arial" w:hAnsi="Arial" w:cs="Arial"/>
          <w:color w:val="000000"/>
          <w:sz w:val="24"/>
          <w:szCs w:val="24"/>
        </w:rPr>
      </w:pPr>
      <w:r>
        <w:rPr>
          <w:rFonts w:hint="default" w:ascii="Arial" w:hAnsi="Arial" w:cs="Arial"/>
          <w:color w:val="000000"/>
          <w:sz w:val="24"/>
          <w:szCs w:val="24"/>
        </w:rPr>
        <w:t xml:space="preserve">Shen, Y., 2023. </w:t>
      </w:r>
      <w:r>
        <w:rPr>
          <w:rFonts w:hint="default" w:ascii="Arial" w:hAnsi="Arial" w:cs="Arial"/>
          <w:sz w:val="24"/>
          <w:szCs w:val="24"/>
        </w:rPr>
        <w:t xml:space="preserve">The Impact of Environmental, Social, and Governance Factor on the Financial Performance of China's Companies. </w:t>
      </w:r>
      <w:r>
        <w:rPr>
          <w:rFonts w:hint="default" w:ascii="Arial" w:hAnsi="Arial" w:cs="Arial"/>
          <w:i/>
          <w:sz w:val="24"/>
          <w:szCs w:val="24"/>
        </w:rPr>
        <w:t xml:space="preserve">College of art and science, New York University, New York 10013, U.S.A. </w:t>
      </w:r>
      <w:r>
        <w:rPr>
          <w:rFonts w:hint="default" w:ascii="Arial" w:hAnsi="Arial" w:cs="Arial"/>
          <w:color w:val="000000"/>
          <w:sz w:val="24"/>
          <w:szCs w:val="24"/>
        </w:rPr>
        <w:t>[Accessed 13 Jun. 2024].</w:t>
      </w:r>
    </w:p>
    <w:p w14:paraId="4119935C">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Shobhwani, K., &amp; Lodha, S. (2023). Impact of ESG Risk Scores on Firm Performance: An Empirical Analysis of NSE-100 Companies. Asia-Pacific Journal of Management Research and Innovation, 19(1), 7-18.</w:t>
      </w:r>
    </w:p>
    <w:p w14:paraId="0D3714FB">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Suen, L.J.W., Huang, H.M. and Lee, H.H., (2014). A comparison of convenience sampling and purposive sampling. Hu li za zhi, 61(3), p.105.</w:t>
      </w:r>
    </w:p>
    <w:p w14:paraId="152C8B85">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Velte, P. (2017). Does ESG performance have an impact on financial performance? Evidence from Germany. Journal of global responsibility, 8(2), 169-178.</w:t>
      </w:r>
    </w:p>
    <w:p w14:paraId="68F138D8">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Vianelli, E. (2021). Sustainable Finance and Sustainable Development: The SDGs and ESG Indicators in Sustainable Investment Evaluation in Italy.</w:t>
      </w:r>
    </w:p>
    <w:p w14:paraId="091E93E8">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Wan, G. (2023). Impact of ESG ratings on information efficiency in capital market for chinese-listed companies (Doctoral dissertation, Chiang Mai: Graduate School, Chiang Mai University).</w:t>
      </w:r>
    </w:p>
    <w:p w14:paraId="751CF229">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Wang, J. (2023). The Role of Social Trust in Corporate Sustainability Performance and Disclosure (Doctoral dissertation, ResearchSpace@ Auckland).</w:t>
      </w:r>
    </w:p>
    <w:p w14:paraId="728308A6">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Watson, M. (2015). Methodological Approaches in Social Research. Routledge.</w:t>
      </w:r>
    </w:p>
    <w:p w14:paraId="27EFCEF4">
      <w:pPr>
        <w:pStyle w:val="18"/>
        <w:spacing w:before="0" w:beforeAutospacing="0" w:after="240" w:afterAutospacing="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Watson, R., 2015. Quantitative research. </w:t>
      </w:r>
      <w:r>
        <w:rPr>
          <w:rFonts w:hint="default" w:ascii="Arial" w:hAnsi="Arial" w:cs="Arial"/>
          <w:i/>
          <w:iCs/>
          <w:color w:val="222222"/>
          <w:sz w:val="24"/>
          <w:szCs w:val="24"/>
          <w:shd w:val="clear" w:color="auto" w:fill="FFFFFF"/>
        </w:rPr>
        <w:t>Nursing standard</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29</w:t>
      </w:r>
      <w:r>
        <w:rPr>
          <w:rFonts w:hint="default" w:ascii="Arial" w:hAnsi="Arial" w:cs="Arial"/>
          <w:color w:val="222222"/>
          <w:sz w:val="24"/>
          <w:szCs w:val="24"/>
          <w:shd w:val="clear" w:color="auto" w:fill="FFFFFF"/>
        </w:rPr>
        <w:t>(31).</w:t>
      </w:r>
    </w:p>
    <w:p w14:paraId="35E329DA">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Whitelock, V. G. (2015). Relationship between environmental social governance (ESG) management and performance–the role of collaboration in the supply chain (Doctoral dissertation, University of Toledo).</w:t>
      </w:r>
    </w:p>
    <w:p w14:paraId="66C96769">
      <w:pPr>
        <w:pStyle w:val="18"/>
        <w:spacing w:after="240" w:line="480" w:lineRule="auto"/>
        <w:ind w:left="720" w:hanging="720"/>
        <w:jc w:val="both"/>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Xiao, S., Xu, J., &amp; Li, R. Are digital trends driving corporate environmental, social, and governance practices? Evidence from China. Business Strategy and the Environment.</w:t>
      </w:r>
    </w:p>
    <w:p w14:paraId="594C19CE">
      <w:pPr>
        <w:pStyle w:val="18"/>
        <w:spacing w:before="0" w:beforeAutospacing="0" w:after="240" w:afterAutospacing="0" w:line="480" w:lineRule="auto"/>
        <w:ind w:left="720" w:hanging="720"/>
        <w:jc w:val="both"/>
        <w:rPr>
          <w:rFonts w:hint="default" w:ascii="Arial" w:hAnsi="Arial" w:eastAsia="Times New Roman" w:cs="Arial"/>
          <w:b w:val="0"/>
          <w:color w:val="222222"/>
          <w:sz w:val="24"/>
          <w:szCs w:val="24"/>
          <w:shd w:val="clear" w:color="auto" w:fill="FFFFFF"/>
          <w:lang w:val="en-US" w:eastAsia="en-US" w:bidi="ar-SA"/>
        </w:rPr>
      </w:pPr>
      <w:r>
        <w:rPr>
          <w:rFonts w:hint="default" w:ascii="Arial" w:hAnsi="Arial" w:cs="Arial"/>
          <w:color w:val="222222"/>
          <w:sz w:val="24"/>
          <w:szCs w:val="24"/>
          <w:shd w:val="clear" w:color="auto" w:fill="FFFFFF"/>
        </w:rPr>
        <w:t>Xu, Y. and Zhu, N., 2024. The Effect of Environmental, Social, and Governance (ESG) Performance on Corporate Financial Performance in China: Based on the Perspective of Innovation and Financial Constraints. </w:t>
      </w:r>
      <w:r>
        <w:rPr>
          <w:rFonts w:hint="default" w:ascii="Arial" w:hAnsi="Arial" w:cs="Arial"/>
          <w:i/>
          <w:iCs/>
          <w:color w:val="222222"/>
          <w:sz w:val="24"/>
          <w:szCs w:val="24"/>
          <w:shd w:val="clear" w:color="auto" w:fill="FFFFFF"/>
        </w:rPr>
        <w:t>Sustainability</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16</w:t>
      </w:r>
      <w:r>
        <w:rPr>
          <w:rFonts w:hint="default" w:ascii="Arial" w:hAnsi="Arial" w:cs="Arial"/>
          <w:color w:val="222222"/>
          <w:sz w:val="24"/>
          <w:szCs w:val="24"/>
          <w:shd w:val="clear" w:color="auto" w:fill="FFFFFF"/>
        </w:rPr>
        <w:t>(8), p.3329.</w:t>
      </w:r>
      <w:bookmarkStart w:id="60" w:name="_Toc1488"/>
      <w:r>
        <w:rPr>
          <w:rFonts w:hint="default" w:ascii="Arial" w:hAnsi="Arial" w:eastAsia="Times New Roman" w:cs="Arial"/>
          <w:b w:val="0"/>
          <w:color w:val="222222"/>
          <w:sz w:val="24"/>
          <w:szCs w:val="24"/>
          <w:shd w:val="clear" w:color="auto" w:fill="FFFFFF"/>
          <w:lang w:val="en-US" w:eastAsia="en-US" w:bidi="ar-SA"/>
        </w:rPr>
        <w:t>Zhao, Y. and Choi, T.Y., 2023. An Analysis of the Effects of ESG on Firm Performance and Financial Risk: Evidence from Chinese Stock Markets. 글로벌융합연구학회지, 2(1), pp.94-104.</w:t>
      </w:r>
      <w:bookmarkEnd w:id="60"/>
    </w:p>
    <w:p w14:paraId="258A4C99">
      <w:pPr>
        <w:pStyle w:val="2"/>
        <w:numPr>
          <w:ilvl w:val="0"/>
          <w:numId w:val="0"/>
        </w:numPr>
        <w:spacing w:before="0" w:line="480" w:lineRule="auto"/>
        <w:jc w:val="both"/>
        <w:outlineLvl w:val="9"/>
        <w:rPr>
          <w:rFonts w:hint="default" w:ascii="Arial" w:hAnsi="Arial" w:eastAsia="Times New Roman" w:cs="Arial"/>
          <w:b w:val="0"/>
          <w:color w:val="222222"/>
          <w:sz w:val="24"/>
          <w:szCs w:val="24"/>
          <w:shd w:val="clear" w:color="auto" w:fill="FFFFFF"/>
          <w:lang w:val="en-US" w:eastAsia="en-US" w:bidi="ar-SA"/>
        </w:rPr>
      </w:pPr>
    </w:p>
    <w:p w14:paraId="35807621">
      <w:pPr>
        <w:pStyle w:val="2"/>
        <w:numPr>
          <w:ilvl w:val="0"/>
          <w:numId w:val="0"/>
        </w:numPr>
        <w:spacing w:before="0" w:line="480" w:lineRule="auto"/>
        <w:jc w:val="both"/>
        <w:outlineLvl w:val="9"/>
        <w:rPr>
          <w:rFonts w:hint="default" w:ascii="Arial" w:hAnsi="Arial" w:eastAsia="Times New Roman" w:cs="Arial"/>
          <w:b w:val="0"/>
          <w:color w:val="222222"/>
          <w:sz w:val="24"/>
          <w:szCs w:val="24"/>
          <w:shd w:val="clear" w:color="auto" w:fill="FFFFFF"/>
          <w:lang w:val="en-US" w:eastAsia="en-US" w:bidi="ar-SA"/>
        </w:rPr>
      </w:pPr>
    </w:p>
    <w:p w14:paraId="01B3B323">
      <w:pPr>
        <w:pStyle w:val="2"/>
        <w:numPr>
          <w:ilvl w:val="0"/>
          <w:numId w:val="0"/>
        </w:numPr>
        <w:spacing w:before="0" w:line="480" w:lineRule="auto"/>
        <w:jc w:val="both"/>
        <w:outlineLvl w:val="9"/>
        <w:rPr>
          <w:rFonts w:hint="default" w:ascii="Arial" w:hAnsi="Arial" w:eastAsia="Times New Roman" w:cs="Arial"/>
          <w:b w:val="0"/>
          <w:color w:val="222222"/>
          <w:sz w:val="24"/>
          <w:szCs w:val="24"/>
          <w:shd w:val="clear" w:color="auto" w:fill="FFFFFF"/>
          <w:lang w:val="en-US" w:eastAsia="en-US" w:bidi="ar-SA"/>
        </w:rPr>
      </w:pPr>
    </w:p>
    <w:p w14:paraId="0CD0EB26">
      <w:pPr>
        <w:pStyle w:val="2"/>
        <w:numPr>
          <w:ilvl w:val="0"/>
          <w:numId w:val="0"/>
        </w:numPr>
        <w:spacing w:before="0" w:line="480" w:lineRule="auto"/>
        <w:jc w:val="both"/>
        <w:outlineLvl w:val="9"/>
        <w:rPr>
          <w:rFonts w:hint="default" w:ascii="Arial" w:hAnsi="Arial" w:eastAsia="Times New Roman" w:cs="Arial"/>
          <w:b w:val="0"/>
          <w:color w:val="222222"/>
          <w:sz w:val="24"/>
          <w:szCs w:val="24"/>
          <w:shd w:val="clear" w:color="auto" w:fill="FFFFFF"/>
          <w:lang w:val="en-US" w:eastAsia="en-US" w:bidi="ar-SA"/>
        </w:rPr>
      </w:pPr>
    </w:p>
    <w:p w14:paraId="69A484FB">
      <w:pPr>
        <w:rPr>
          <w:rFonts w:hint="default" w:ascii="Arial" w:hAnsi="Arial" w:eastAsia="Times New Roman" w:cs="Arial"/>
          <w:b w:val="0"/>
          <w:color w:val="222222"/>
          <w:sz w:val="24"/>
          <w:szCs w:val="24"/>
          <w:shd w:val="clear" w:color="auto" w:fill="FFFFFF"/>
          <w:lang w:val="en-US" w:eastAsia="en-US" w:bidi="ar-SA"/>
        </w:rPr>
      </w:pPr>
    </w:p>
    <w:p w14:paraId="2B429A57">
      <w:pPr>
        <w:rPr>
          <w:rFonts w:hint="default" w:ascii="Arial" w:hAnsi="Arial" w:eastAsia="Times New Roman" w:cs="Arial"/>
          <w:b w:val="0"/>
          <w:color w:val="222222"/>
          <w:sz w:val="24"/>
          <w:szCs w:val="24"/>
          <w:shd w:val="clear" w:color="auto" w:fill="FFFFFF"/>
          <w:lang w:val="en-US" w:eastAsia="en-US" w:bidi="ar-SA"/>
        </w:rPr>
      </w:pPr>
    </w:p>
    <w:p w14:paraId="70DDEB8E">
      <w:pPr>
        <w:pStyle w:val="2"/>
        <w:numPr>
          <w:ilvl w:val="0"/>
          <w:numId w:val="0"/>
        </w:numPr>
        <w:spacing w:before="0" w:line="480" w:lineRule="auto"/>
        <w:jc w:val="both"/>
        <w:rPr>
          <w:rFonts w:hint="default" w:ascii="Arial" w:hAnsi="Arial" w:cs="Arial"/>
          <w:sz w:val="24"/>
          <w:szCs w:val="24"/>
          <w:shd w:val="clear" w:color="auto" w:fill="FFFFFF"/>
        </w:rPr>
      </w:pPr>
    </w:p>
    <w:p w14:paraId="60896428">
      <w:pPr>
        <w:pStyle w:val="2"/>
        <w:numPr>
          <w:ilvl w:val="0"/>
          <w:numId w:val="0"/>
        </w:numPr>
        <w:spacing w:before="0" w:line="480" w:lineRule="auto"/>
        <w:jc w:val="both"/>
        <w:rPr>
          <w:rFonts w:hint="default" w:ascii="Arial" w:hAnsi="Arial" w:cs="Arial"/>
          <w:sz w:val="24"/>
          <w:szCs w:val="24"/>
          <w:shd w:val="clear" w:color="auto" w:fill="FFFFFF"/>
        </w:rPr>
      </w:pPr>
    </w:p>
    <w:p w14:paraId="4C1BEFB8">
      <w:pPr>
        <w:pStyle w:val="2"/>
        <w:numPr>
          <w:ilvl w:val="0"/>
          <w:numId w:val="0"/>
        </w:numPr>
        <w:spacing w:before="0" w:line="480" w:lineRule="auto"/>
        <w:jc w:val="both"/>
        <w:rPr>
          <w:rFonts w:hint="default" w:ascii="Arial" w:hAnsi="Arial" w:cs="Arial"/>
          <w:sz w:val="24"/>
          <w:szCs w:val="24"/>
        </w:rPr>
      </w:pPr>
      <w:bookmarkStart w:id="61" w:name="_Toc12213"/>
      <w:r>
        <w:rPr>
          <w:rFonts w:hint="default" w:ascii="Arial" w:hAnsi="Arial" w:cs="Arial"/>
          <w:sz w:val="24"/>
          <w:szCs w:val="24"/>
          <w:shd w:val="clear" w:color="auto" w:fill="FFFFFF"/>
        </w:rPr>
        <w:t>Appendix</w:t>
      </w:r>
      <w:bookmarkEnd w:id="61"/>
    </w:p>
    <w:p w14:paraId="239CF5F3">
      <w:pPr>
        <w:spacing w:line="480" w:lineRule="auto"/>
        <w:jc w:val="both"/>
        <w:rPr>
          <w:rFonts w:hint="default" w:ascii="Arial" w:hAnsi="Arial" w:cs="Arial"/>
          <w:b/>
          <w:sz w:val="24"/>
          <w:szCs w:val="24"/>
        </w:rPr>
      </w:pPr>
      <w:r>
        <w:rPr>
          <w:rFonts w:hint="default" w:ascii="Arial" w:hAnsi="Arial" w:cs="Arial"/>
          <w:b/>
          <w:sz w:val="24"/>
          <w:szCs w:val="24"/>
        </w:rPr>
        <w:t>Exploring the Impact of ESG Adoption on Financial and Risk Performance in China:</w:t>
      </w:r>
    </w:p>
    <w:p w14:paraId="579442CB">
      <w:pPr>
        <w:spacing w:line="480" w:lineRule="auto"/>
        <w:jc w:val="both"/>
        <w:rPr>
          <w:rFonts w:hint="default" w:ascii="Arial" w:hAnsi="Arial" w:cs="Arial"/>
          <w:b/>
          <w:sz w:val="24"/>
          <w:szCs w:val="24"/>
        </w:rPr>
      </w:pPr>
      <w:r>
        <w:rPr>
          <w:rFonts w:hint="default" w:ascii="Arial" w:hAnsi="Arial" w:cs="Arial"/>
          <w:b/>
          <w:sz w:val="24"/>
          <w:szCs w:val="24"/>
        </w:rPr>
        <w:t xml:space="preserve"> A Consumer Perspective </w:t>
      </w:r>
    </w:p>
    <w:p w14:paraId="6DD34594">
      <w:pPr>
        <w:spacing w:line="480" w:lineRule="auto"/>
        <w:jc w:val="both"/>
        <w:rPr>
          <w:rFonts w:hint="default" w:ascii="Arial" w:hAnsi="Arial" w:cs="Arial"/>
          <w:b/>
          <w:bCs/>
          <w:sz w:val="24"/>
          <w:szCs w:val="24"/>
        </w:rPr>
      </w:pPr>
      <w:bookmarkStart w:id="62" w:name="_Toc169180990"/>
      <w:r>
        <w:rPr>
          <w:rFonts w:hint="default" w:ascii="Arial" w:hAnsi="Arial" w:cs="Arial"/>
          <w:b/>
          <w:bCs/>
          <w:sz w:val="24"/>
          <w:szCs w:val="24"/>
        </w:rPr>
        <w:t>Questionnaire</w:t>
      </w:r>
      <w:bookmarkEnd w:id="62"/>
    </w:p>
    <w:p w14:paraId="01A6C9D2">
      <w:pPr>
        <w:spacing w:line="480" w:lineRule="auto"/>
        <w:jc w:val="both"/>
        <w:rPr>
          <w:rFonts w:hint="default" w:ascii="Arial" w:hAnsi="Arial" w:cs="Arial"/>
          <w:sz w:val="24"/>
          <w:szCs w:val="24"/>
        </w:rPr>
      </w:pPr>
      <w:r>
        <w:rPr>
          <w:rFonts w:hint="default" w:ascii="Arial" w:hAnsi="Arial" w:cs="Arial"/>
          <w:sz w:val="24"/>
          <w:szCs w:val="24"/>
        </w:rPr>
        <w:t xml:space="preserve">Your voluntary participation is required to assess the impact of consumer perceptions on Chinese firms’ ESG and financial risk performance. This survey is conducted to fulfill the academic requirement and is assured that your responses will be anonymized and your confidentiality is highly assured. By progressing with questionnaire, it is assumed that you have informed consent of voluntary participation. </w:t>
      </w:r>
    </w:p>
    <w:p w14:paraId="76992154">
      <w:pPr>
        <w:spacing w:line="480" w:lineRule="auto"/>
        <w:jc w:val="both"/>
        <w:rPr>
          <w:rFonts w:hint="default" w:ascii="Arial" w:hAnsi="Arial" w:cs="Arial"/>
          <w:b/>
          <w:sz w:val="24"/>
          <w:szCs w:val="24"/>
        </w:rPr>
      </w:pPr>
      <w:r>
        <w:rPr>
          <w:rFonts w:hint="default" w:ascii="Arial" w:hAnsi="Arial" w:cs="Arial"/>
          <w:b/>
          <w:sz w:val="24"/>
          <w:szCs w:val="24"/>
        </w:rPr>
        <w:t xml:space="preserve">Demographics </w:t>
      </w:r>
    </w:p>
    <w:p w14:paraId="6BA07B84">
      <w:pPr>
        <w:numPr>
          <w:ilvl w:val="0"/>
          <w:numId w:val="4"/>
        </w:numPr>
        <w:spacing w:line="480" w:lineRule="auto"/>
        <w:jc w:val="both"/>
        <w:rPr>
          <w:rFonts w:hint="default" w:ascii="Arial" w:hAnsi="Arial" w:cs="Arial"/>
          <w:sz w:val="24"/>
          <w:szCs w:val="24"/>
        </w:rPr>
      </w:pPr>
      <w:r>
        <w:rPr>
          <w:rFonts w:hint="default" w:ascii="Arial" w:hAnsi="Arial" w:cs="Arial"/>
          <w:sz w:val="24"/>
          <w:szCs w:val="24"/>
        </w:rPr>
        <w:t xml:space="preserve">Gender </w:t>
      </w:r>
    </w:p>
    <w:p w14:paraId="06AF60D5">
      <w:pPr>
        <w:numPr>
          <w:ilvl w:val="1"/>
          <w:numId w:val="4"/>
        </w:numPr>
        <w:spacing w:line="480" w:lineRule="auto"/>
        <w:jc w:val="both"/>
        <w:rPr>
          <w:rFonts w:hint="default" w:ascii="Arial" w:hAnsi="Arial" w:cs="Arial"/>
          <w:sz w:val="24"/>
          <w:szCs w:val="24"/>
        </w:rPr>
      </w:pPr>
      <w:r>
        <w:rPr>
          <w:rFonts w:hint="default" w:ascii="Arial" w:hAnsi="Arial" w:cs="Arial"/>
          <w:sz w:val="24"/>
          <w:szCs w:val="24"/>
        </w:rPr>
        <w:t xml:space="preserve">Male </w:t>
      </w:r>
    </w:p>
    <w:p w14:paraId="112271D2">
      <w:pPr>
        <w:numPr>
          <w:ilvl w:val="1"/>
          <w:numId w:val="4"/>
        </w:numPr>
        <w:spacing w:line="480" w:lineRule="auto"/>
        <w:jc w:val="both"/>
        <w:rPr>
          <w:rFonts w:hint="default" w:ascii="Arial" w:hAnsi="Arial" w:cs="Arial"/>
          <w:sz w:val="24"/>
          <w:szCs w:val="24"/>
        </w:rPr>
      </w:pPr>
      <w:r>
        <w:rPr>
          <w:rFonts w:hint="default" w:ascii="Arial" w:hAnsi="Arial" w:cs="Arial"/>
          <w:sz w:val="24"/>
          <w:szCs w:val="24"/>
        </w:rPr>
        <w:t xml:space="preserve">Female </w:t>
      </w:r>
    </w:p>
    <w:p w14:paraId="71753FBB">
      <w:pPr>
        <w:numPr>
          <w:ilvl w:val="1"/>
          <w:numId w:val="4"/>
        </w:numPr>
        <w:spacing w:line="480" w:lineRule="auto"/>
        <w:jc w:val="both"/>
        <w:rPr>
          <w:rFonts w:hint="default" w:ascii="Arial" w:hAnsi="Arial" w:cs="Arial"/>
          <w:sz w:val="24"/>
          <w:szCs w:val="24"/>
        </w:rPr>
      </w:pPr>
      <w:r>
        <w:rPr>
          <w:rFonts w:hint="default" w:ascii="Arial" w:hAnsi="Arial" w:cs="Arial"/>
          <w:sz w:val="24"/>
          <w:szCs w:val="24"/>
        </w:rPr>
        <w:t xml:space="preserve">Others </w:t>
      </w:r>
    </w:p>
    <w:p w14:paraId="3A1ADCD9">
      <w:pPr>
        <w:numPr>
          <w:ilvl w:val="0"/>
          <w:numId w:val="4"/>
        </w:numPr>
        <w:spacing w:line="480" w:lineRule="auto"/>
        <w:jc w:val="both"/>
        <w:rPr>
          <w:rFonts w:hint="default" w:ascii="Arial" w:hAnsi="Arial" w:cs="Arial"/>
          <w:sz w:val="24"/>
          <w:szCs w:val="24"/>
        </w:rPr>
      </w:pPr>
      <w:r>
        <w:rPr>
          <w:rFonts w:hint="default" w:ascii="Arial" w:hAnsi="Arial" w:cs="Arial"/>
          <w:sz w:val="24"/>
          <w:szCs w:val="24"/>
        </w:rPr>
        <w:t xml:space="preserve">Age </w:t>
      </w:r>
    </w:p>
    <w:p w14:paraId="33974AAC">
      <w:pPr>
        <w:numPr>
          <w:ilvl w:val="1"/>
          <w:numId w:val="4"/>
        </w:numPr>
        <w:spacing w:line="480" w:lineRule="auto"/>
        <w:jc w:val="both"/>
        <w:rPr>
          <w:rFonts w:hint="default" w:ascii="Arial" w:hAnsi="Arial" w:cs="Arial"/>
          <w:sz w:val="24"/>
          <w:szCs w:val="24"/>
        </w:rPr>
      </w:pPr>
      <w:r>
        <w:rPr>
          <w:rFonts w:hint="default" w:ascii="Arial" w:hAnsi="Arial" w:cs="Arial"/>
          <w:sz w:val="24"/>
          <w:szCs w:val="24"/>
        </w:rPr>
        <w:t>18-25</w:t>
      </w:r>
    </w:p>
    <w:p w14:paraId="4E187A28">
      <w:pPr>
        <w:numPr>
          <w:ilvl w:val="1"/>
          <w:numId w:val="4"/>
        </w:numPr>
        <w:spacing w:line="480" w:lineRule="auto"/>
        <w:jc w:val="both"/>
        <w:rPr>
          <w:rFonts w:hint="default" w:ascii="Arial" w:hAnsi="Arial" w:cs="Arial"/>
          <w:sz w:val="24"/>
          <w:szCs w:val="24"/>
        </w:rPr>
      </w:pPr>
      <w:r>
        <w:rPr>
          <w:rFonts w:hint="default" w:ascii="Arial" w:hAnsi="Arial" w:cs="Arial"/>
          <w:sz w:val="24"/>
          <w:szCs w:val="24"/>
        </w:rPr>
        <w:t>26-35</w:t>
      </w:r>
    </w:p>
    <w:p w14:paraId="1C1329EC">
      <w:pPr>
        <w:numPr>
          <w:ilvl w:val="1"/>
          <w:numId w:val="4"/>
        </w:numPr>
        <w:spacing w:line="480" w:lineRule="auto"/>
        <w:jc w:val="both"/>
        <w:rPr>
          <w:rFonts w:hint="default" w:ascii="Arial" w:hAnsi="Arial" w:cs="Arial"/>
          <w:sz w:val="24"/>
          <w:szCs w:val="24"/>
        </w:rPr>
      </w:pPr>
      <w:r>
        <w:rPr>
          <w:rFonts w:hint="default" w:ascii="Arial" w:hAnsi="Arial" w:cs="Arial"/>
          <w:sz w:val="24"/>
          <w:szCs w:val="24"/>
        </w:rPr>
        <w:t>36-45</w:t>
      </w:r>
    </w:p>
    <w:p w14:paraId="263C10F6">
      <w:pPr>
        <w:numPr>
          <w:ilvl w:val="1"/>
          <w:numId w:val="4"/>
        </w:numPr>
        <w:spacing w:line="480" w:lineRule="auto"/>
        <w:jc w:val="both"/>
        <w:rPr>
          <w:rFonts w:hint="default" w:ascii="Arial" w:hAnsi="Arial" w:cs="Arial"/>
          <w:sz w:val="24"/>
          <w:szCs w:val="24"/>
        </w:rPr>
      </w:pPr>
      <w:r>
        <w:rPr>
          <w:rFonts w:hint="default" w:ascii="Arial" w:hAnsi="Arial" w:cs="Arial"/>
          <w:sz w:val="24"/>
          <w:szCs w:val="24"/>
        </w:rPr>
        <w:t>Above 45</w:t>
      </w:r>
    </w:p>
    <w:p w14:paraId="6963791E">
      <w:pPr>
        <w:numPr>
          <w:ilvl w:val="0"/>
          <w:numId w:val="4"/>
        </w:numPr>
        <w:spacing w:line="480" w:lineRule="auto"/>
        <w:jc w:val="both"/>
        <w:rPr>
          <w:rFonts w:hint="default" w:ascii="Arial" w:hAnsi="Arial" w:cs="Arial"/>
          <w:sz w:val="24"/>
          <w:szCs w:val="24"/>
        </w:rPr>
      </w:pPr>
      <w:r>
        <w:rPr>
          <w:rFonts w:hint="default" w:ascii="Arial" w:hAnsi="Arial" w:cs="Arial"/>
          <w:sz w:val="24"/>
          <w:szCs w:val="24"/>
        </w:rPr>
        <w:t xml:space="preserve">Education </w:t>
      </w:r>
    </w:p>
    <w:p w14:paraId="282A663E">
      <w:pPr>
        <w:numPr>
          <w:ilvl w:val="1"/>
          <w:numId w:val="4"/>
        </w:numPr>
        <w:spacing w:line="480" w:lineRule="auto"/>
        <w:jc w:val="both"/>
        <w:rPr>
          <w:rFonts w:hint="default" w:ascii="Arial" w:hAnsi="Arial" w:cs="Arial"/>
          <w:sz w:val="24"/>
          <w:szCs w:val="24"/>
        </w:rPr>
      </w:pPr>
      <w:r>
        <w:rPr>
          <w:rFonts w:hint="default" w:ascii="Arial" w:hAnsi="Arial" w:cs="Arial"/>
          <w:sz w:val="24"/>
          <w:szCs w:val="24"/>
        </w:rPr>
        <w:t xml:space="preserve">High School </w:t>
      </w:r>
    </w:p>
    <w:p w14:paraId="7DA1130A">
      <w:pPr>
        <w:numPr>
          <w:ilvl w:val="1"/>
          <w:numId w:val="4"/>
        </w:numPr>
        <w:spacing w:line="480" w:lineRule="auto"/>
        <w:jc w:val="both"/>
        <w:rPr>
          <w:rFonts w:hint="default" w:ascii="Arial" w:hAnsi="Arial" w:cs="Arial"/>
          <w:sz w:val="24"/>
          <w:szCs w:val="24"/>
        </w:rPr>
      </w:pPr>
      <w:r>
        <w:rPr>
          <w:rFonts w:hint="default" w:ascii="Arial" w:hAnsi="Arial" w:cs="Arial"/>
          <w:sz w:val="24"/>
          <w:szCs w:val="24"/>
        </w:rPr>
        <w:t xml:space="preserve">Graduation </w:t>
      </w:r>
    </w:p>
    <w:p w14:paraId="27646184">
      <w:pPr>
        <w:numPr>
          <w:ilvl w:val="1"/>
          <w:numId w:val="4"/>
        </w:numPr>
        <w:spacing w:line="480" w:lineRule="auto"/>
        <w:jc w:val="both"/>
        <w:rPr>
          <w:rFonts w:hint="default" w:ascii="Arial" w:hAnsi="Arial" w:cs="Arial"/>
          <w:sz w:val="24"/>
          <w:szCs w:val="24"/>
        </w:rPr>
      </w:pPr>
      <w:r>
        <w:rPr>
          <w:rFonts w:hint="default" w:ascii="Arial" w:hAnsi="Arial" w:cs="Arial"/>
          <w:sz w:val="24"/>
          <w:szCs w:val="24"/>
        </w:rPr>
        <w:t xml:space="preserve">Masters </w:t>
      </w:r>
    </w:p>
    <w:p w14:paraId="50FDDA98">
      <w:pPr>
        <w:numPr>
          <w:ilvl w:val="1"/>
          <w:numId w:val="4"/>
        </w:numPr>
        <w:spacing w:line="480" w:lineRule="auto"/>
        <w:jc w:val="both"/>
        <w:rPr>
          <w:rFonts w:hint="default" w:ascii="Arial" w:hAnsi="Arial" w:cs="Arial"/>
          <w:sz w:val="24"/>
          <w:szCs w:val="24"/>
        </w:rPr>
      </w:pPr>
      <w:r>
        <w:rPr>
          <w:rFonts w:hint="default" w:ascii="Arial" w:hAnsi="Arial" w:cs="Arial"/>
          <w:sz w:val="24"/>
          <w:szCs w:val="24"/>
        </w:rPr>
        <w:t xml:space="preserve">Others </w:t>
      </w:r>
    </w:p>
    <w:p w14:paraId="35B7EAA9">
      <w:pPr>
        <w:numPr>
          <w:ilvl w:val="0"/>
          <w:numId w:val="4"/>
        </w:numPr>
        <w:spacing w:line="480" w:lineRule="auto"/>
        <w:jc w:val="both"/>
        <w:rPr>
          <w:rFonts w:hint="default" w:ascii="Arial" w:hAnsi="Arial" w:cs="Arial"/>
          <w:sz w:val="24"/>
          <w:szCs w:val="24"/>
        </w:rPr>
      </w:pPr>
      <w:r>
        <w:rPr>
          <w:rFonts w:hint="default" w:ascii="Arial" w:hAnsi="Arial" w:cs="Arial"/>
          <w:sz w:val="24"/>
          <w:szCs w:val="24"/>
        </w:rPr>
        <w:t xml:space="preserve">Profession </w:t>
      </w:r>
    </w:p>
    <w:p w14:paraId="6BB22F62">
      <w:pPr>
        <w:numPr>
          <w:ilvl w:val="1"/>
          <w:numId w:val="4"/>
        </w:numPr>
        <w:spacing w:line="480" w:lineRule="auto"/>
        <w:jc w:val="both"/>
        <w:rPr>
          <w:rFonts w:hint="default" w:ascii="Arial" w:hAnsi="Arial" w:cs="Arial"/>
          <w:sz w:val="24"/>
          <w:szCs w:val="24"/>
        </w:rPr>
      </w:pPr>
      <w:r>
        <w:rPr>
          <w:rFonts w:hint="default" w:ascii="Arial" w:hAnsi="Arial" w:cs="Arial"/>
          <w:sz w:val="24"/>
          <w:szCs w:val="24"/>
        </w:rPr>
        <w:t xml:space="preserve">Student </w:t>
      </w:r>
    </w:p>
    <w:p w14:paraId="2DD0A236">
      <w:pPr>
        <w:numPr>
          <w:ilvl w:val="1"/>
          <w:numId w:val="4"/>
        </w:numPr>
        <w:spacing w:line="480" w:lineRule="auto"/>
        <w:jc w:val="both"/>
        <w:rPr>
          <w:rFonts w:hint="default" w:ascii="Arial" w:hAnsi="Arial" w:cs="Arial"/>
          <w:sz w:val="24"/>
          <w:szCs w:val="24"/>
        </w:rPr>
      </w:pPr>
      <w:r>
        <w:rPr>
          <w:rFonts w:hint="default" w:ascii="Arial" w:hAnsi="Arial" w:cs="Arial"/>
          <w:sz w:val="24"/>
          <w:szCs w:val="24"/>
        </w:rPr>
        <w:t xml:space="preserve">Working professional </w:t>
      </w:r>
    </w:p>
    <w:p w14:paraId="37EBC2C4">
      <w:pPr>
        <w:spacing w:line="480" w:lineRule="auto"/>
        <w:jc w:val="both"/>
        <w:rPr>
          <w:rFonts w:hint="default" w:ascii="Arial" w:hAnsi="Arial" w:cs="Arial"/>
          <w:sz w:val="24"/>
          <w:szCs w:val="24"/>
        </w:rPr>
      </w:pPr>
      <w:r>
        <w:rPr>
          <w:rFonts w:hint="default" w:ascii="Arial" w:hAnsi="Arial" w:cs="Arial"/>
          <w:sz w:val="24"/>
          <w:szCs w:val="24"/>
        </w:rPr>
        <w:t xml:space="preserve">Following questions require your degree of agreeableness where 1 refers to high disagreement, 2 is about disagreement, 3 shows your neutral response, 4 means agreement and 5 shows higher agreement. </w:t>
      </w:r>
    </w:p>
    <w:p w14:paraId="6A9BA82D">
      <w:pPr>
        <w:spacing w:line="480" w:lineRule="auto"/>
        <w:jc w:val="both"/>
        <w:rPr>
          <w:rFonts w:hint="default" w:ascii="Arial" w:hAnsi="Arial" w:cs="Arial"/>
          <w:b/>
          <w:sz w:val="24"/>
          <w:szCs w:val="24"/>
        </w:rPr>
      </w:pPr>
      <w:r>
        <w:rPr>
          <w:rFonts w:hint="default" w:ascii="Arial" w:hAnsi="Arial" w:cs="Arial"/>
          <w:b/>
          <w:sz w:val="24"/>
          <w:szCs w:val="24"/>
        </w:rPr>
        <w:t xml:space="preserve">Perceived ESG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2"/>
        <w:gridCol w:w="550"/>
        <w:gridCol w:w="390"/>
        <w:gridCol w:w="990"/>
        <w:gridCol w:w="390"/>
        <w:gridCol w:w="537"/>
      </w:tblGrid>
      <w:tr w14:paraId="69983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708FB16B">
            <w:pPr>
              <w:spacing w:line="480" w:lineRule="auto"/>
              <w:jc w:val="both"/>
              <w:rPr>
                <w:rFonts w:hint="default" w:ascii="Arial" w:hAnsi="Arial" w:cs="Arial"/>
                <w:sz w:val="24"/>
                <w:szCs w:val="24"/>
              </w:rPr>
            </w:pPr>
          </w:p>
        </w:tc>
        <w:tc>
          <w:tcPr>
            <w:tcW w:w="523" w:type="dxa"/>
          </w:tcPr>
          <w:p w14:paraId="5396455D">
            <w:pPr>
              <w:spacing w:line="480" w:lineRule="auto"/>
              <w:jc w:val="both"/>
              <w:rPr>
                <w:rFonts w:hint="default" w:ascii="Arial" w:hAnsi="Arial" w:cs="Arial"/>
                <w:sz w:val="24"/>
                <w:szCs w:val="24"/>
              </w:rPr>
            </w:pPr>
            <w:r>
              <w:rPr>
                <w:rFonts w:hint="default" w:ascii="Arial" w:hAnsi="Arial" w:cs="Arial"/>
                <w:sz w:val="24"/>
                <w:szCs w:val="24"/>
              </w:rPr>
              <w:t>SD</w:t>
            </w:r>
          </w:p>
        </w:tc>
        <w:tc>
          <w:tcPr>
            <w:tcW w:w="390" w:type="dxa"/>
          </w:tcPr>
          <w:p w14:paraId="46EFE56A">
            <w:pPr>
              <w:spacing w:line="480" w:lineRule="auto"/>
              <w:jc w:val="both"/>
              <w:rPr>
                <w:rFonts w:hint="default" w:ascii="Arial" w:hAnsi="Arial" w:cs="Arial"/>
                <w:sz w:val="24"/>
                <w:szCs w:val="24"/>
              </w:rPr>
            </w:pPr>
            <w:r>
              <w:rPr>
                <w:rFonts w:hint="default" w:ascii="Arial" w:hAnsi="Arial" w:cs="Arial"/>
                <w:sz w:val="24"/>
                <w:szCs w:val="24"/>
              </w:rPr>
              <w:t>D</w:t>
            </w:r>
          </w:p>
        </w:tc>
        <w:tc>
          <w:tcPr>
            <w:tcW w:w="960" w:type="dxa"/>
          </w:tcPr>
          <w:p w14:paraId="7C40EB2C">
            <w:pPr>
              <w:spacing w:line="480" w:lineRule="auto"/>
              <w:jc w:val="both"/>
              <w:rPr>
                <w:rFonts w:hint="default" w:ascii="Arial" w:hAnsi="Arial" w:cs="Arial"/>
                <w:sz w:val="24"/>
                <w:szCs w:val="24"/>
              </w:rPr>
            </w:pPr>
            <w:r>
              <w:rPr>
                <w:rFonts w:hint="default" w:ascii="Arial" w:hAnsi="Arial" w:cs="Arial"/>
                <w:sz w:val="24"/>
                <w:szCs w:val="24"/>
              </w:rPr>
              <w:t>Neutral</w:t>
            </w:r>
          </w:p>
        </w:tc>
        <w:tc>
          <w:tcPr>
            <w:tcW w:w="390" w:type="dxa"/>
          </w:tcPr>
          <w:p w14:paraId="618AE4C1">
            <w:pPr>
              <w:spacing w:line="480" w:lineRule="auto"/>
              <w:jc w:val="both"/>
              <w:rPr>
                <w:rFonts w:hint="default" w:ascii="Arial" w:hAnsi="Arial" w:cs="Arial"/>
                <w:sz w:val="24"/>
                <w:szCs w:val="24"/>
              </w:rPr>
            </w:pPr>
            <w:r>
              <w:rPr>
                <w:rFonts w:hint="default" w:ascii="Arial" w:hAnsi="Arial" w:cs="Arial"/>
                <w:sz w:val="24"/>
                <w:szCs w:val="24"/>
              </w:rPr>
              <w:t>A</w:t>
            </w:r>
          </w:p>
        </w:tc>
        <w:tc>
          <w:tcPr>
            <w:tcW w:w="535" w:type="dxa"/>
          </w:tcPr>
          <w:p w14:paraId="28769E00">
            <w:pPr>
              <w:spacing w:line="480" w:lineRule="auto"/>
              <w:jc w:val="both"/>
              <w:rPr>
                <w:rFonts w:hint="default" w:ascii="Arial" w:hAnsi="Arial" w:cs="Arial"/>
                <w:sz w:val="24"/>
                <w:szCs w:val="24"/>
              </w:rPr>
            </w:pPr>
            <w:r>
              <w:rPr>
                <w:rFonts w:hint="default" w:ascii="Arial" w:hAnsi="Arial" w:cs="Arial"/>
                <w:sz w:val="24"/>
                <w:szCs w:val="24"/>
              </w:rPr>
              <w:t>SA</w:t>
            </w:r>
          </w:p>
        </w:tc>
      </w:tr>
      <w:tr w14:paraId="27F3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0E82E78D">
            <w:pPr>
              <w:spacing w:line="480" w:lineRule="auto"/>
              <w:jc w:val="both"/>
              <w:rPr>
                <w:rFonts w:hint="default" w:ascii="Arial" w:hAnsi="Arial" w:cs="Arial"/>
                <w:sz w:val="24"/>
                <w:szCs w:val="24"/>
              </w:rPr>
            </w:pPr>
            <w:r>
              <w:rPr>
                <w:rFonts w:hint="default" w:ascii="Arial" w:hAnsi="Arial" w:cs="Arial"/>
                <w:sz w:val="24"/>
                <w:szCs w:val="24"/>
              </w:rPr>
              <w:t xml:space="preserve">ESG adoption improves company’s financial performance in terms of sales </w:t>
            </w:r>
          </w:p>
        </w:tc>
        <w:tc>
          <w:tcPr>
            <w:tcW w:w="523" w:type="dxa"/>
          </w:tcPr>
          <w:p w14:paraId="4EF9C851">
            <w:pPr>
              <w:spacing w:line="480" w:lineRule="auto"/>
              <w:jc w:val="both"/>
              <w:rPr>
                <w:rFonts w:hint="default" w:ascii="Arial" w:hAnsi="Arial" w:cs="Arial"/>
                <w:sz w:val="24"/>
                <w:szCs w:val="24"/>
              </w:rPr>
            </w:pPr>
          </w:p>
        </w:tc>
        <w:tc>
          <w:tcPr>
            <w:tcW w:w="390" w:type="dxa"/>
          </w:tcPr>
          <w:p w14:paraId="5F8698D3">
            <w:pPr>
              <w:spacing w:line="480" w:lineRule="auto"/>
              <w:jc w:val="both"/>
              <w:rPr>
                <w:rFonts w:hint="default" w:ascii="Arial" w:hAnsi="Arial" w:cs="Arial"/>
                <w:sz w:val="24"/>
                <w:szCs w:val="24"/>
              </w:rPr>
            </w:pPr>
          </w:p>
        </w:tc>
        <w:tc>
          <w:tcPr>
            <w:tcW w:w="960" w:type="dxa"/>
          </w:tcPr>
          <w:p w14:paraId="49A1C8D8">
            <w:pPr>
              <w:spacing w:line="480" w:lineRule="auto"/>
              <w:jc w:val="both"/>
              <w:rPr>
                <w:rFonts w:hint="default" w:ascii="Arial" w:hAnsi="Arial" w:cs="Arial"/>
                <w:sz w:val="24"/>
                <w:szCs w:val="24"/>
              </w:rPr>
            </w:pPr>
          </w:p>
        </w:tc>
        <w:tc>
          <w:tcPr>
            <w:tcW w:w="390" w:type="dxa"/>
          </w:tcPr>
          <w:p w14:paraId="5EA2D96A">
            <w:pPr>
              <w:spacing w:line="480" w:lineRule="auto"/>
              <w:jc w:val="both"/>
              <w:rPr>
                <w:rFonts w:hint="default" w:ascii="Arial" w:hAnsi="Arial" w:cs="Arial"/>
                <w:sz w:val="24"/>
                <w:szCs w:val="24"/>
              </w:rPr>
            </w:pPr>
          </w:p>
        </w:tc>
        <w:tc>
          <w:tcPr>
            <w:tcW w:w="535" w:type="dxa"/>
          </w:tcPr>
          <w:p w14:paraId="287B9445">
            <w:pPr>
              <w:spacing w:line="480" w:lineRule="auto"/>
              <w:jc w:val="both"/>
              <w:rPr>
                <w:rFonts w:hint="default" w:ascii="Arial" w:hAnsi="Arial" w:cs="Arial"/>
                <w:sz w:val="24"/>
                <w:szCs w:val="24"/>
              </w:rPr>
            </w:pPr>
          </w:p>
        </w:tc>
      </w:tr>
      <w:tr w14:paraId="2B7C5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5449827D">
            <w:pPr>
              <w:spacing w:line="480" w:lineRule="auto"/>
              <w:jc w:val="both"/>
              <w:rPr>
                <w:rFonts w:hint="default" w:ascii="Arial" w:hAnsi="Arial" w:cs="Arial"/>
                <w:sz w:val="24"/>
                <w:szCs w:val="24"/>
              </w:rPr>
            </w:pPr>
            <w:r>
              <w:rPr>
                <w:rFonts w:hint="default" w:ascii="Arial" w:hAnsi="Arial" w:cs="Arial"/>
                <w:sz w:val="24"/>
                <w:szCs w:val="24"/>
              </w:rPr>
              <w:t xml:space="preserve">ESG focused companies charge premium prices </w:t>
            </w:r>
          </w:p>
        </w:tc>
        <w:tc>
          <w:tcPr>
            <w:tcW w:w="523" w:type="dxa"/>
          </w:tcPr>
          <w:p w14:paraId="231FD240">
            <w:pPr>
              <w:spacing w:line="480" w:lineRule="auto"/>
              <w:jc w:val="both"/>
              <w:rPr>
                <w:rFonts w:hint="default" w:ascii="Arial" w:hAnsi="Arial" w:cs="Arial"/>
                <w:sz w:val="24"/>
                <w:szCs w:val="24"/>
              </w:rPr>
            </w:pPr>
          </w:p>
        </w:tc>
        <w:tc>
          <w:tcPr>
            <w:tcW w:w="390" w:type="dxa"/>
          </w:tcPr>
          <w:p w14:paraId="16D196C0">
            <w:pPr>
              <w:spacing w:line="480" w:lineRule="auto"/>
              <w:jc w:val="both"/>
              <w:rPr>
                <w:rFonts w:hint="default" w:ascii="Arial" w:hAnsi="Arial" w:cs="Arial"/>
                <w:sz w:val="24"/>
                <w:szCs w:val="24"/>
              </w:rPr>
            </w:pPr>
          </w:p>
        </w:tc>
        <w:tc>
          <w:tcPr>
            <w:tcW w:w="960" w:type="dxa"/>
          </w:tcPr>
          <w:p w14:paraId="019111C1">
            <w:pPr>
              <w:spacing w:line="480" w:lineRule="auto"/>
              <w:jc w:val="both"/>
              <w:rPr>
                <w:rFonts w:hint="default" w:ascii="Arial" w:hAnsi="Arial" w:cs="Arial"/>
                <w:sz w:val="24"/>
                <w:szCs w:val="24"/>
              </w:rPr>
            </w:pPr>
          </w:p>
        </w:tc>
        <w:tc>
          <w:tcPr>
            <w:tcW w:w="390" w:type="dxa"/>
          </w:tcPr>
          <w:p w14:paraId="3562CFF6">
            <w:pPr>
              <w:spacing w:line="480" w:lineRule="auto"/>
              <w:jc w:val="both"/>
              <w:rPr>
                <w:rFonts w:hint="default" w:ascii="Arial" w:hAnsi="Arial" w:cs="Arial"/>
                <w:sz w:val="24"/>
                <w:szCs w:val="24"/>
              </w:rPr>
            </w:pPr>
          </w:p>
        </w:tc>
        <w:tc>
          <w:tcPr>
            <w:tcW w:w="535" w:type="dxa"/>
          </w:tcPr>
          <w:p w14:paraId="2AD0E8B6">
            <w:pPr>
              <w:spacing w:line="480" w:lineRule="auto"/>
              <w:jc w:val="both"/>
              <w:rPr>
                <w:rFonts w:hint="default" w:ascii="Arial" w:hAnsi="Arial" w:cs="Arial"/>
                <w:sz w:val="24"/>
                <w:szCs w:val="24"/>
              </w:rPr>
            </w:pPr>
          </w:p>
        </w:tc>
      </w:tr>
      <w:tr w14:paraId="5BDA9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552" w:type="dxa"/>
          </w:tcPr>
          <w:p w14:paraId="5B8817E3">
            <w:pPr>
              <w:spacing w:line="480" w:lineRule="auto"/>
              <w:jc w:val="both"/>
              <w:rPr>
                <w:rFonts w:hint="default" w:ascii="Arial" w:hAnsi="Arial" w:cs="Arial"/>
                <w:sz w:val="24"/>
                <w:szCs w:val="24"/>
              </w:rPr>
            </w:pPr>
            <w:r>
              <w:rPr>
                <w:rFonts w:hint="default" w:ascii="Arial" w:hAnsi="Arial" w:cs="Arial"/>
                <w:sz w:val="24"/>
                <w:szCs w:val="24"/>
              </w:rPr>
              <w:t xml:space="preserve">A company committed to ESG is more responsible with high brand reputation. </w:t>
            </w:r>
          </w:p>
        </w:tc>
        <w:tc>
          <w:tcPr>
            <w:tcW w:w="523" w:type="dxa"/>
          </w:tcPr>
          <w:p w14:paraId="0F093BDB">
            <w:pPr>
              <w:spacing w:line="480" w:lineRule="auto"/>
              <w:jc w:val="both"/>
              <w:rPr>
                <w:rFonts w:hint="default" w:ascii="Arial" w:hAnsi="Arial" w:cs="Arial"/>
                <w:sz w:val="24"/>
                <w:szCs w:val="24"/>
              </w:rPr>
            </w:pPr>
          </w:p>
        </w:tc>
        <w:tc>
          <w:tcPr>
            <w:tcW w:w="390" w:type="dxa"/>
          </w:tcPr>
          <w:p w14:paraId="7049F29C">
            <w:pPr>
              <w:spacing w:line="480" w:lineRule="auto"/>
              <w:jc w:val="both"/>
              <w:rPr>
                <w:rFonts w:hint="default" w:ascii="Arial" w:hAnsi="Arial" w:cs="Arial"/>
                <w:sz w:val="24"/>
                <w:szCs w:val="24"/>
              </w:rPr>
            </w:pPr>
          </w:p>
        </w:tc>
        <w:tc>
          <w:tcPr>
            <w:tcW w:w="960" w:type="dxa"/>
          </w:tcPr>
          <w:p w14:paraId="5FED3166">
            <w:pPr>
              <w:spacing w:line="480" w:lineRule="auto"/>
              <w:jc w:val="both"/>
              <w:rPr>
                <w:rFonts w:hint="default" w:ascii="Arial" w:hAnsi="Arial" w:cs="Arial"/>
                <w:sz w:val="24"/>
                <w:szCs w:val="24"/>
              </w:rPr>
            </w:pPr>
          </w:p>
        </w:tc>
        <w:tc>
          <w:tcPr>
            <w:tcW w:w="390" w:type="dxa"/>
          </w:tcPr>
          <w:p w14:paraId="298CF118">
            <w:pPr>
              <w:spacing w:line="480" w:lineRule="auto"/>
              <w:jc w:val="both"/>
              <w:rPr>
                <w:rFonts w:hint="default" w:ascii="Arial" w:hAnsi="Arial" w:cs="Arial"/>
                <w:sz w:val="24"/>
                <w:szCs w:val="24"/>
              </w:rPr>
            </w:pPr>
          </w:p>
        </w:tc>
        <w:tc>
          <w:tcPr>
            <w:tcW w:w="535" w:type="dxa"/>
          </w:tcPr>
          <w:p w14:paraId="1F09F3CC">
            <w:pPr>
              <w:spacing w:line="480" w:lineRule="auto"/>
              <w:jc w:val="both"/>
              <w:rPr>
                <w:rFonts w:hint="default" w:ascii="Arial" w:hAnsi="Arial" w:cs="Arial"/>
                <w:sz w:val="24"/>
                <w:szCs w:val="24"/>
              </w:rPr>
            </w:pPr>
          </w:p>
        </w:tc>
      </w:tr>
      <w:tr w14:paraId="22540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6BDCD651">
            <w:pPr>
              <w:spacing w:line="480" w:lineRule="auto"/>
              <w:jc w:val="both"/>
              <w:rPr>
                <w:rFonts w:hint="default" w:ascii="Arial" w:hAnsi="Arial" w:cs="Arial"/>
                <w:sz w:val="24"/>
                <w:szCs w:val="24"/>
              </w:rPr>
            </w:pPr>
            <w:r>
              <w:rPr>
                <w:rFonts w:hint="default" w:ascii="Arial" w:hAnsi="Arial" w:cs="Arial"/>
                <w:sz w:val="24"/>
                <w:szCs w:val="24"/>
              </w:rPr>
              <w:t>I am more likely to purchase products from companies that prioritize ESG</w:t>
            </w:r>
          </w:p>
        </w:tc>
        <w:tc>
          <w:tcPr>
            <w:tcW w:w="523" w:type="dxa"/>
          </w:tcPr>
          <w:p w14:paraId="1216C190">
            <w:pPr>
              <w:spacing w:line="480" w:lineRule="auto"/>
              <w:jc w:val="both"/>
              <w:rPr>
                <w:rFonts w:hint="default" w:ascii="Arial" w:hAnsi="Arial" w:cs="Arial"/>
                <w:sz w:val="24"/>
                <w:szCs w:val="24"/>
              </w:rPr>
            </w:pPr>
          </w:p>
        </w:tc>
        <w:tc>
          <w:tcPr>
            <w:tcW w:w="390" w:type="dxa"/>
          </w:tcPr>
          <w:p w14:paraId="0E0C6697">
            <w:pPr>
              <w:spacing w:line="480" w:lineRule="auto"/>
              <w:jc w:val="both"/>
              <w:rPr>
                <w:rFonts w:hint="default" w:ascii="Arial" w:hAnsi="Arial" w:cs="Arial"/>
                <w:sz w:val="24"/>
                <w:szCs w:val="24"/>
              </w:rPr>
            </w:pPr>
          </w:p>
        </w:tc>
        <w:tc>
          <w:tcPr>
            <w:tcW w:w="960" w:type="dxa"/>
          </w:tcPr>
          <w:p w14:paraId="0CC867F4">
            <w:pPr>
              <w:spacing w:line="480" w:lineRule="auto"/>
              <w:jc w:val="both"/>
              <w:rPr>
                <w:rFonts w:hint="default" w:ascii="Arial" w:hAnsi="Arial" w:cs="Arial"/>
                <w:sz w:val="24"/>
                <w:szCs w:val="24"/>
              </w:rPr>
            </w:pPr>
          </w:p>
        </w:tc>
        <w:tc>
          <w:tcPr>
            <w:tcW w:w="390" w:type="dxa"/>
          </w:tcPr>
          <w:p w14:paraId="7F48BED9">
            <w:pPr>
              <w:spacing w:line="480" w:lineRule="auto"/>
              <w:jc w:val="both"/>
              <w:rPr>
                <w:rFonts w:hint="default" w:ascii="Arial" w:hAnsi="Arial" w:cs="Arial"/>
                <w:sz w:val="24"/>
                <w:szCs w:val="24"/>
              </w:rPr>
            </w:pPr>
          </w:p>
        </w:tc>
        <w:tc>
          <w:tcPr>
            <w:tcW w:w="535" w:type="dxa"/>
          </w:tcPr>
          <w:p w14:paraId="24CE886A">
            <w:pPr>
              <w:spacing w:line="480" w:lineRule="auto"/>
              <w:jc w:val="both"/>
              <w:rPr>
                <w:rFonts w:hint="default" w:ascii="Arial" w:hAnsi="Arial" w:cs="Arial"/>
                <w:sz w:val="24"/>
                <w:szCs w:val="24"/>
              </w:rPr>
            </w:pPr>
          </w:p>
        </w:tc>
      </w:tr>
    </w:tbl>
    <w:p w14:paraId="0DBBE1C5">
      <w:pPr>
        <w:spacing w:line="480" w:lineRule="auto"/>
        <w:jc w:val="both"/>
        <w:rPr>
          <w:rFonts w:hint="default" w:ascii="Arial" w:hAnsi="Arial" w:cs="Arial"/>
          <w:sz w:val="24"/>
          <w:szCs w:val="24"/>
        </w:rPr>
      </w:pPr>
    </w:p>
    <w:p w14:paraId="7BD103AD">
      <w:pPr>
        <w:spacing w:line="480" w:lineRule="auto"/>
        <w:jc w:val="both"/>
        <w:rPr>
          <w:rFonts w:hint="default" w:ascii="Arial" w:hAnsi="Arial" w:cs="Arial"/>
          <w:b/>
          <w:sz w:val="24"/>
          <w:szCs w:val="24"/>
        </w:rPr>
      </w:pPr>
      <w:r>
        <w:rPr>
          <w:rFonts w:hint="default" w:ascii="Arial" w:hAnsi="Arial" w:cs="Arial"/>
          <w:b/>
          <w:sz w:val="24"/>
          <w:szCs w:val="24"/>
        </w:rPr>
        <w:t xml:space="preserve">Financial Risk performance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2"/>
        <w:gridCol w:w="550"/>
        <w:gridCol w:w="390"/>
        <w:gridCol w:w="990"/>
        <w:gridCol w:w="390"/>
        <w:gridCol w:w="537"/>
      </w:tblGrid>
      <w:tr w14:paraId="6217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1C86FE22">
            <w:pPr>
              <w:spacing w:line="480" w:lineRule="auto"/>
              <w:jc w:val="both"/>
              <w:rPr>
                <w:rFonts w:hint="default" w:ascii="Arial" w:hAnsi="Arial" w:cs="Arial"/>
                <w:sz w:val="24"/>
                <w:szCs w:val="24"/>
              </w:rPr>
            </w:pPr>
          </w:p>
        </w:tc>
        <w:tc>
          <w:tcPr>
            <w:tcW w:w="523" w:type="dxa"/>
          </w:tcPr>
          <w:p w14:paraId="01D0229E">
            <w:pPr>
              <w:spacing w:line="480" w:lineRule="auto"/>
              <w:jc w:val="both"/>
              <w:rPr>
                <w:rFonts w:hint="default" w:ascii="Arial" w:hAnsi="Arial" w:cs="Arial"/>
                <w:sz w:val="24"/>
                <w:szCs w:val="24"/>
              </w:rPr>
            </w:pPr>
            <w:r>
              <w:rPr>
                <w:rFonts w:hint="default" w:ascii="Arial" w:hAnsi="Arial" w:cs="Arial"/>
                <w:sz w:val="24"/>
                <w:szCs w:val="24"/>
              </w:rPr>
              <w:t>SD</w:t>
            </w:r>
          </w:p>
        </w:tc>
        <w:tc>
          <w:tcPr>
            <w:tcW w:w="390" w:type="dxa"/>
          </w:tcPr>
          <w:p w14:paraId="28CCA6B8">
            <w:pPr>
              <w:spacing w:line="480" w:lineRule="auto"/>
              <w:jc w:val="both"/>
              <w:rPr>
                <w:rFonts w:hint="default" w:ascii="Arial" w:hAnsi="Arial" w:cs="Arial"/>
                <w:sz w:val="24"/>
                <w:szCs w:val="24"/>
              </w:rPr>
            </w:pPr>
            <w:r>
              <w:rPr>
                <w:rFonts w:hint="default" w:ascii="Arial" w:hAnsi="Arial" w:cs="Arial"/>
                <w:sz w:val="24"/>
                <w:szCs w:val="24"/>
              </w:rPr>
              <w:t>D</w:t>
            </w:r>
          </w:p>
        </w:tc>
        <w:tc>
          <w:tcPr>
            <w:tcW w:w="960" w:type="dxa"/>
          </w:tcPr>
          <w:p w14:paraId="4E24B7D6">
            <w:pPr>
              <w:spacing w:line="480" w:lineRule="auto"/>
              <w:jc w:val="both"/>
              <w:rPr>
                <w:rFonts w:hint="default" w:ascii="Arial" w:hAnsi="Arial" w:cs="Arial"/>
                <w:sz w:val="24"/>
                <w:szCs w:val="24"/>
              </w:rPr>
            </w:pPr>
            <w:r>
              <w:rPr>
                <w:rFonts w:hint="default" w:ascii="Arial" w:hAnsi="Arial" w:cs="Arial"/>
                <w:sz w:val="24"/>
                <w:szCs w:val="24"/>
              </w:rPr>
              <w:t>Neutral</w:t>
            </w:r>
          </w:p>
        </w:tc>
        <w:tc>
          <w:tcPr>
            <w:tcW w:w="390" w:type="dxa"/>
          </w:tcPr>
          <w:p w14:paraId="71AD7929">
            <w:pPr>
              <w:spacing w:line="480" w:lineRule="auto"/>
              <w:jc w:val="both"/>
              <w:rPr>
                <w:rFonts w:hint="default" w:ascii="Arial" w:hAnsi="Arial" w:cs="Arial"/>
                <w:sz w:val="24"/>
                <w:szCs w:val="24"/>
              </w:rPr>
            </w:pPr>
            <w:r>
              <w:rPr>
                <w:rFonts w:hint="default" w:ascii="Arial" w:hAnsi="Arial" w:cs="Arial"/>
                <w:sz w:val="24"/>
                <w:szCs w:val="24"/>
              </w:rPr>
              <w:t>A</w:t>
            </w:r>
          </w:p>
        </w:tc>
        <w:tc>
          <w:tcPr>
            <w:tcW w:w="535" w:type="dxa"/>
          </w:tcPr>
          <w:p w14:paraId="270E13BB">
            <w:pPr>
              <w:spacing w:line="480" w:lineRule="auto"/>
              <w:jc w:val="both"/>
              <w:rPr>
                <w:rFonts w:hint="default" w:ascii="Arial" w:hAnsi="Arial" w:cs="Arial"/>
                <w:sz w:val="24"/>
                <w:szCs w:val="24"/>
              </w:rPr>
            </w:pPr>
            <w:r>
              <w:rPr>
                <w:rFonts w:hint="default" w:ascii="Arial" w:hAnsi="Arial" w:cs="Arial"/>
                <w:sz w:val="24"/>
                <w:szCs w:val="24"/>
              </w:rPr>
              <w:t>SA</w:t>
            </w:r>
          </w:p>
        </w:tc>
      </w:tr>
      <w:tr w14:paraId="7CEC1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4177168A">
            <w:pPr>
              <w:spacing w:line="480" w:lineRule="auto"/>
              <w:jc w:val="both"/>
              <w:rPr>
                <w:rFonts w:hint="default" w:ascii="Arial" w:hAnsi="Arial" w:cs="Arial"/>
                <w:sz w:val="24"/>
                <w:szCs w:val="24"/>
              </w:rPr>
            </w:pPr>
            <w:r>
              <w:rPr>
                <w:rFonts w:hint="default" w:ascii="Arial" w:hAnsi="Arial" w:cs="Arial"/>
                <w:sz w:val="24"/>
                <w:szCs w:val="24"/>
              </w:rPr>
              <w:t>Companies with strong ESG practices are less likely to face regulatory fines.</w:t>
            </w:r>
          </w:p>
        </w:tc>
        <w:tc>
          <w:tcPr>
            <w:tcW w:w="523" w:type="dxa"/>
          </w:tcPr>
          <w:p w14:paraId="10A878A3">
            <w:pPr>
              <w:spacing w:line="480" w:lineRule="auto"/>
              <w:jc w:val="both"/>
              <w:rPr>
                <w:rFonts w:hint="default" w:ascii="Arial" w:hAnsi="Arial" w:cs="Arial"/>
                <w:sz w:val="24"/>
                <w:szCs w:val="24"/>
              </w:rPr>
            </w:pPr>
          </w:p>
        </w:tc>
        <w:tc>
          <w:tcPr>
            <w:tcW w:w="390" w:type="dxa"/>
          </w:tcPr>
          <w:p w14:paraId="2A28CA27">
            <w:pPr>
              <w:spacing w:line="480" w:lineRule="auto"/>
              <w:jc w:val="both"/>
              <w:rPr>
                <w:rFonts w:hint="default" w:ascii="Arial" w:hAnsi="Arial" w:cs="Arial"/>
                <w:sz w:val="24"/>
                <w:szCs w:val="24"/>
              </w:rPr>
            </w:pPr>
          </w:p>
        </w:tc>
        <w:tc>
          <w:tcPr>
            <w:tcW w:w="960" w:type="dxa"/>
          </w:tcPr>
          <w:p w14:paraId="79DFF1D6">
            <w:pPr>
              <w:spacing w:line="480" w:lineRule="auto"/>
              <w:jc w:val="both"/>
              <w:rPr>
                <w:rFonts w:hint="default" w:ascii="Arial" w:hAnsi="Arial" w:cs="Arial"/>
                <w:sz w:val="24"/>
                <w:szCs w:val="24"/>
              </w:rPr>
            </w:pPr>
          </w:p>
        </w:tc>
        <w:tc>
          <w:tcPr>
            <w:tcW w:w="390" w:type="dxa"/>
          </w:tcPr>
          <w:p w14:paraId="1F4D9D60">
            <w:pPr>
              <w:spacing w:line="480" w:lineRule="auto"/>
              <w:jc w:val="both"/>
              <w:rPr>
                <w:rFonts w:hint="default" w:ascii="Arial" w:hAnsi="Arial" w:cs="Arial"/>
                <w:sz w:val="24"/>
                <w:szCs w:val="24"/>
              </w:rPr>
            </w:pPr>
          </w:p>
        </w:tc>
        <w:tc>
          <w:tcPr>
            <w:tcW w:w="535" w:type="dxa"/>
          </w:tcPr>
          <w:p w14:paraId="7F9B1E73">
            <w:pPr>
              <w:spacing w:line="480" w:lineRule="auto"/>
              <w:jc w:val="both"/>
              <w:rPr>
                <w:rFonts w:hint="default" w:ascii="Arial" w:hAnsi="Arial" w:cs="Arial"/>
                <w:sz w:val="24"/>
                <w:szCs w:val="24"/>
              </w:rPr>
            </w:pPr>
          </w:p>
        </w:tc>
      </w:tr>
      <w:tr w14:paraId="7E250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079EA601">
            <w:pPr>
              <w:spacing w:line="480" w:lineRule="auto"/>
              <w:jc w:val="both"/>
              <w:rPr>
                <w:rFonts w:hint="default" w:ascii="Arial" w:hAnsi="Arial" w:cs="Arial"/>
                <w:sz w:val="24"/>
                <w:szCs w:val="24"/>
              </w:rPr>
            </w:pPr>
            <w:r>
              <w:rPr>
                <w:rFonts w:hint="default" w:ascii="Arial" w:hAnsi="Arial" w:cs="Arial"/>
                <w:sz w:val="24"/>
                <w:szCs w:val="24"/>
              </w:rPr>
              <w:t>ESG initiatives can help companies mitigate climate change risks.</w:t>
            </w:r>
          </w:p>
        </w:tc>
        <w:tc>
          <w:tcPr>
            <w:tcW w:w="523" w:type="dxa"/>
          </w:tcPr>
          <w:p w14:paraId="6C5325BD">
            <w:pPr>
              <w:spacing w:line="480" w:lineRule="auto"/>
              <w:jc w:val="both"/>
              <w:rPr>
                <w:rFonts w:hint="default" w:ascii="Arial" w:hAnsi="Arial" w:cs="Arial"/>
                <w:sz w:val="24"/>
                <w:szCs w:val="24"/>
              </w:rPr>
            </w:pPr>
          </w:p>
        </w:tc>
        <w:tc>
          <w:tcPr>
            <w:tcW w:w="390" w:type="dxa"/>
          </w:tcPr>
          <w:p w14:paraId="4CDBB866">
            <w:pPr>
              <w:spacing w:line="480" w:lineRule="auto"/>
              <w:jc w:val="both"/>
              <w:rPr>
                <w:rFonts w:hint="default" w:ascii="Arial" w:hAnsi="Arial" w:cs="Arial"/>
                <w:sz w:val="24"/>
                <w:szCs w:val="24"/>
              </w:rPr>
            </w:pPr>
          </w:p>
        </w:tc>
        <w:tc>
          <w:tcPr>
            <w:tcW w:w="960" w:type="dxa"/>
          </w:tcPr>
          <w:p w14:paraId="243DFAE5">
            <w:pPr>
              <w:spacing w:line="480" w:lineRule="auto"/>
              <w:jc w:val="both"/>
              <w:rPr>
                <w:rFonts w:hint="default" w:ascii="Arial" w:hAnsi="Arial" w:cs="Arial"/>
                <w:sz w:val="24"/>
                <w:szCs w:val="24"/>
              </w:rPr>
            </w:pPr>
          </w:p>
        </w:tc>
        <w:tc>
          <w:tcPr>
            <w:tcW w:w="390" w:type="dxa"/>
          </w:tcPr>
          <w:p w14:paraId="78CEF4DC">
            <w:pPr>
              <w:spacing w:line="480" w:lineRule="auto"/>
              <w:jc w:val="both"/>
              <w:rPr>
                <w:rFonts w:hint="default" w:ascii="Arial" w:hAnsi="Arial" w:cs="Arial"/>
                <w:sz w:val="24"/>
                <w:szCs w:val="24"/>
              </w:rPr>
            </w:pPr>
          </w:p>
        </w:tc>
        <w:tc>
          <w:tcPr>
            <w:tcW w:w="535" w:type="dxa"/>
          </w:tcPr>
          <w:p w14:paraId="36949BAD">
            <w:pPr>
              <w:spacing w:line="480" w:lineRule="auto"/>
              <w:jc w:val="both"/>
              <w:rPr>
                <w:rFonts w:hint="default" w:ascii="Arial" w:hAnsi="Arial" w:cs="Arial"/>
                <w:sz w:val="24"/>
                <w:szCs w:val="24"/>
              </w:rPr>
            </w:pPr>
          </w:p>
        </w:tc>
      </w:tr>
      <w:tr w14:paraId="0BDF1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6E032686">
            <w:pPr>
              <w:spacing w:line="480" w:lineRule="auto"/>
              <w:jc w:val="both"/>
              <w:rPr>
                <w:rFonts w:hint="default" w:ascii="Arial" w:hAnsi="Arial" w:cs="Arial"/>
                <w:sz w:val="24"/>
                <w:szCs w:val="24"/>
              </w:rPr>
            </w:pPr>
            <w:r>
              <w:rPr>
                <w:rFonts w:hint="default" w:ascii="Arial" w:hAnsi="Arial" w:cs="Arial"/>
                <w:sz w:val="24"/>
                <w:szCs w:val="24"/>
              </w:rPr>
              <w:t>Companies with strong ESG practices are better prepared for regulatory changes</w:t>
            </w:r>
          </w:p>
        </w:tc>
        <w:tc>
          <w:tcPr>
            <w:tcW w:w="523" w:type="dxa"/>
          </w:tcPr>
          <w:p w14:paraId="09E9D0E7">
            <w:pPr>
              <w:spacing w:line="480" w:lineRule="auto"/>
              <w:jc w:val="both"/>
              <w:rPr>
                <w:rFonts w:hint="default" w:ascii="Arial" w:hAnsi="Arial" w:cs="Arial"/>
                <w:sz w:val="24"/>
                <w:szCs w:val="24"/>
              </w:rPr>
            </w:pPr>
          </w:p>
        </w:tc>
        <w:tc>
          <w:tcPr>
            <w:tcW w:w="390" w:type="dxa"/>
          </w:tcPr>
          <w:p w14:paraId="69FFE8E2">
            <w:pPr>
              <w:spacing w:line="480" w:lineRule="auto"/>
              <w:jc w:val="both"/>
              <w:rPr>
                <w:rFonts w:hint="default" w:ascii="Arial" w:hAnsi="Arial" w:cs="Arial"/>
                <w:sz w:val="24"/>
                <w:szCs w:val="24"/>
              </w:rPr>
            </w:pPr>
          </w:p>
        </w:tc>
        <w:tc>
          <w:tcPr>
            <w:tcW w:w="960" w:type="dxa"/>
          </w:tcPr>
          <w:p w14:paraId="1996246F">
            <w:pPr>
              <w:spacing w:line="480" w:lineRule="auto"/>
              <w:jc w:val="both"/>
              <w:rPr>
                <w:rFonts w:hint="default" w:ascii="Arial" w:hAnsi="Arial" w:cs="Arial"/>
                <w:sz w:val="24"/>
                <w:szCs w:val="24"/>
              </w:rPr>
            </w:pPr>
          </w:p>
        </w:tc>
        <w:tc>
          <w:tcPr>
            <w:tcW w:w="390" w:type="dxa"/>
          </w:tcPr>
          <w:p w14:paraId="3000733E">
            <w:pPr>
              <w:spacing w:line="480" w:lineRule="auto"/>
              <w:jc w:val="both"/>
              <w:rPr>
                <w:rFonts w:hint="default" w:ascii="Arial" w:hAnsi="Arial" w:cs="Arial"/>
                <w:sz w:val="24"/>
                <w:szCs w:val="24"/>
              </w:rPr>
            </w:pPr>
          </w:p>
        </w:tc>
        <w:tc>
          <w:tcPr>
            <w:tcW w:w="535" w:type="dxa"/>
          </w:tcPr>
          <w:p w14:paraId="1C51DEDA">
            <w:pPr>
              <w:spacing w:line="480" w:lineRule="auto"/>
              <w:jc w:val="both"/>
              <w:rPr>
                <w:rFonts w:hint="default" w:ascii="Arial" w:hAnsi="Arial" w:cs="Arial"/>
                <w:sz w:val="24"/>
                <w:szCs w:val="24"/>
              </w:rPr>
            </w:pPr>
          </w:p>
        </w:tc>
      </w:tr>
      <w:tr w14:paraId="0DE15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085DEE28">
            <w:pPr>
              <w:spacing w:line="480" w:lineRule="auto"/>
              <w:jc w:val="both"/>
              <w:rPr>
                <w:rFonts w:hint="default" w:ascii="Arial" w:hAnsi="Arial" w:cs="Arial"/>
                <w:sz w:val="24"/>
                <w:szCs w:val="24"/>
              </w:rPr>
            </w:pPr>
            <w:r>
              <w:rPr>
                <w:rFonts w:hint="default" w:ascii="Arial" w:hAnsi="Arial" w:cs="Arial"/>
                <w:sz w:val="24"/>
                <w:szCs w:val="24"/>
              </w:rPr>
              <w:t>Adherence to ESG principles improves a company's reputation among regulators.</w:t>
            </w:r>
          </w:p>
        </w:tc>
        <w:tc>
          <w:tcPr>
            <w:tcW w:w="523" w:type="dxa"/>
          </w:tcPr>
          <w:p w14:paraId="16862A8F">
            <w:pPr>
              <w:spacing w:line="480" w:lineRule="auto"/>
              <w:jc w:val="both"/>
              <w:rPr>
                <w:rFonts w:hint="default" w:ascii="Arial" w:hAnsi="Arial" w:cs="Arial"/>
                <w:sz w:val="24"/>
                <w:szCs w:val="24"/>
              </w:rPr>
            </w:pPr>
          </w:p>
        </w:tc>
        <w:tc>
          <w:tcPr>
            <w:tcW w:w="390" w:type="dxa"/>
          </w:tcPr>
          <w:p w14:paraId="341B6201">
            <w:pPr>
              <w:spacing w:line="480" w:lineRule="auto"/>
              <w:jc w:val="both"/>
              <w:rPr>
                <w:rFonts w:hint="default" w:ascii="Arial" w:hAnsi="Arial" w:cs="Arial"/>
                <w:sz w:val="24"/>
                <w:szCs w:val="24"/>
              </w:rPr>
            </w:pPr>
          </w:p>
        </w:tc>
        <w:tc>
          <w:tcPr>
            <w:tcW w:w="960" w:type="dxa"/>
          </w:tcPr>
          <w:p w14:paraId="198B80BB">
            <w:pPr>
              <w:spacing w:line="480" w:lineRule="auto"/>
              <w:jc w:val="both"/>
              <w:rPr>
                <w:rFonts w:hint="default" w:ascii="Arial" w:hAnsi="Arial" w:cs="Arial"/>
                <w:sz w:val="24"/>
                <w:szCs w:val="24"/>
              </w:rPr>
            </w:pPr>
          </w:p>
        </w:tc>
        <w:tc>
          <w:tcPr>
            <w:tcW w:w="390" w:type="dxa"/>
          </w:tcPr>
          <w:p w14:paraId="17D63A89">
            <w:pPr>
              <w:spacing w:line="480" w:lineRule="auto"/>
              <w:jc w:val="both"/>
              <w:rPr>
                <w:rFonts w:hint="default" w:ascii="Arial" w:hAnsi="Arial" w:cs="Arial"/>
                <w:sz w:val="24"/>
                <w:szCs w:val="24"/>
              </w:rPr>
            </w:pPr>
          </w:p>
        </w:tc>
        <w:tc>
          <w:tcPr>
            <w:tcW w:w="535" w:type="dxa"/>
          </w:tcPr>
          <w:p w14:paraId="109060E1">
            <w:pPr>
              <w:spacing w:line="480" w:lineRule="auto"/>
              <w:jc w:val="both"/>
              <w:rPr>
                <w:rFonts w:hint="default" w:ascii="Arial" w:hAnsi="Arial" w:cs="Arial"/>
                <w:sz w:val="24"/>
                <w:szCs w:val="24"/>
              </w:rPr>
            </w:pPr>
          </w:p>
        </w:tc>
      </w:tr>
    </w:tbl>
    <w:p w14:paraId="193A15B2">
      <w:pPr>
        <w:spacing w:line="480" w:lineRule="auto"/>
        <w:jc w:val="both"/>
        <w:rPr>
          <w:rFonts w:hint="default" w:ascii="Arial" w:hAnsi="Arial" w:cs="Arial"/>
          <w:sz w:val="24"/>
          <w:szCs w:val="24"/>
        </w:rPr>
      </w:pPr>
    </w:p>
    <w:p w14:paraId="645F0AF4">
      <w:pPr>
        <w:spacing w:line="480" w:lineRule="auto"/>
        <w:jc w:val="both"/>
        <w:rPr>
          <w:rFonts w:hint="default" w:ascii="Arial" w:hAnsi="Arial" w:cs="Arial"/>
          <w:b/>
          <w:sz w:val="24"/>
          <w:szCs w:val="24"/>
        </w:rPr>
      </w:pPr>
      <w:r>
        <w:rPr>
          <w:rFonts w:hint="default" w:ascii="Arial" w:hAnsi="Arial" w:cs="Arial"/>
          <w:b/>
          <w:sz w:val="24"/>
          <w:szCs w:val="24"/>
        </w:rPr>
        <w:t xml:space="preserve">Challenges or consumer concerns about ESG adoption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2"/>
        <w:gridCol w:w="550"/>
        <w:gridCol w:w="390"/>
        <w:gridCol w:w="990"/>
        <w:gridCol w:w="390"/>
        <w:gridCol w:w="537"/>
      </w:tblGrid>
      <w:tr w14:paraId="261AD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2D3422CF">
            <w:pPr>
              <w:spacing w:line="480" w:lineRule="auto"/>
              <w:jc w:val="both"/>
              <w:rPr>
                <w:rFonts w:hint="default" w:ascii="Arial" w:hAnsi="Arial" w:cs="Arial"/>
                <w:sz w:val="24"/>
                <w:szCs w:val="24"/>
              </w:rPr>
            </w:pPr>
          </w:p>
        </w:tc>
        <w:tc>
          <w:tcPr>
            <w:tcW w:w="523" w:type="dxa"/>
          </w:tcPr>
          <w:p w14:paraId="442835D1">
            <w:pPr>
              <w:spacing w:line="480" w:lineRule="auto"/>
              <w:jc w:val="both"/>
              <w:rPr>
                <w:rFonts w:hint="default" w:ascii="Arial" w:hAnsi="Arial" w:cs="Arial"/>
                <w:sz w:val="24"/>
                <w:szCs w:val="24"/>
              </w:rPr>
            </w:pPr>
            <w:r>
              <w:rPr>
                <w:rFonts w:hint="default" w:ascii="Arial" w:hAnsi="Arial" w:cs="Arial"/>
                <w:sz w:val="24"/>
                <w:szCs w:val="24"/>
              </w:rPr>
              <w:t>SD</w:t>
            </w:r>
          </w:p>
        </w:tc>
        <w:tc>
          <w:tcPr>
            <w:tcW w:w="390" w:type="dxa"/>
          </w:tcPr>
          <w:p w14:paraId="55A56BDD">
            <w:pPr>
              <w:spacing w:line="480" w:lineRule="auto"/>
              <w:jc w:val="both"/>
              <w:rPr>
                <w:rFonts w:hint="default" w:ascii="Arial" w:hAnsi="Arial" w:cs="Arial"/>
                <w:sz w:val="24"/>
                <w:szCs w:val="24"/>
              </w:rPr>
            </w:pPr>
            <w:r>
              <w:rPr>
                <w:rFonts w:hint="default" w:ascii="Arial" w:hAnsi="Arial" w:cs="Arial"/>
                <w:sz w:val="24"/>
                <w:szCs w:val="24"/>
              </w:rPr>
              <w:t>D</w:t>
            </w:r>
          </w:p>
        </w:tc>
        <w:tc>
          <w:tcPr>
            <w:tcW w:w="960" w:type="dxa"/>
          </w:tcPr>
          <w:p w14:paraId="4627EE6D">
            <w:pPr>
              <w:spacing w:line="480" w:lineRule="auto"/>
              <w:jc w:val="both"/>
              <w:rPr>
                <w:rFonts w:hint="default" w:ascii="Arial" w:hAnsi="Arial" w:cs="Arial"/>
                <w:sz w:val="24"/>
                <w:szCs w:val="24"/>
              </w:rPr>
            </w:pPr>
            <w:r>
              <w:rPr>
                <w:rFonts w:hint="default" w:ascii="Arial" w:hAnsi="Arial" w:cs="Arial"/>
                <w:sz w:val="24"/>
                <w:szCs w:val="24"/>
              </w:rPr>
              <w:t>Neutral</w:t>
            </w:r>
          </w:p>
        </w:tc>
        <w:tc>
          <w:tcPr>
            <w:tcW w:w="390" w:type="dxa"/>
          </w:tcPr>
          <w:p w14:paraId="04F2B015">
            <w:pPr>
              <w:spacing w:line="480" w:lineRule="auto"/>
              <w:jc w:val="both"/>
              <w:rPr>
                <w:rFonts w:hint="default" w:ascii="Arial" w:hAnsi="Arial" w:cs="Arial"/>
                <w:sz w:val="24"/>
                <w:szCs w:val="24"/>
              </w:rPr>
            </w:pPr>
            <w:r>
              <w:rPr>
                <w:rFonts w:hint="default" w:ascii="Arial" w:hAnsi="Arial" w:cs="Arial"/>
                <w:sz w:val="24"/>
                <w:szCs w:val="24"/>
              </w:rPr>
              <w:t>A</w:t>
            </w:r>
          </w:p>
        </w:tc>
        <w:tc>
          <w:tcPr>
            <w:tcW w:w="535" w:type="dxa"/>
          </w:tcPr>
          <w:p w14:paraId="6D59B8FE">
            <w:pPr>
              <w:spacing w:line="480" w:lineRule="auto"/>
              <w:jc w:val="both"/>
              <w:rPr>
                <w:rFonts w:hint="default" w:ascii="Arial" w:hAnsi="Arial" w:cs="Arial"/>
                <w:sz w:val="24"/>
                <w:szCs w:val="24"/>
              </w:rPr>
            </w:pPr>
            <w:r>
              <w:rPr>
                <w:rFonts w:hint="default" w:ascii="Arial" w:hAnsi="Arial" w:cs="Arial"/>
                <w:sz w:val="24"/>
                <w:szCs w:val="24"/>
              </w:rPr>
              <w:t>SA</w:t>
            </w:r>
          </w:p>
        </w:tc>
      </w:tr>
      <w:tr w14:paraId="36E57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6FCE73A7">
            <w:pPr>
              <w:spacing w:line="480" w:lineRule="auto"/>
              <w:jc w:val="both"/>
              <w:rPr>
                <w:rFonts w:hint="default" w:ascii="Arial" w:hAnsi="Arial" w:cs="Arial"/>
                <w:sz w:val="24"/>
                <w:szCs w:val="24"/>
              </w:rPr>
            </w:pPr>
            <w:r>
              <w:rPr>
                <w:rFonts w:hint="default" w:ascii="Arial" w:hAnsi="Arial" w:cs="Arial"/>
                <w:sz w:val="24"/>
                <w:szCs w:val="24"/>
              </w:rPr>
              <w:t>Lack of transparency in ESG reporting is a concern.</w:t>
            </w:r>
          </w:p>
        </w:tc>
        <w:tc>
          <w:tcPr>
            <w:tcW w:w="523" w:type="dxa"/>
          </w:tcPr>
          <w:p w14:paraId="5E37C567">
            <w:pPr>
              <w:spacing w:line="480" w:lineRule="auto"/>
              <w:jc w:val="both"/>
              <w:rPr>
                <w:rFonts w:hint="default" w:ascii="Arial" w:hAnsi="Arial" w:cs="Arial"/>
                <w:sz w:val="24"/>
                <w:szCs w:val="24"/>
              </w:rPr>
            </w:pPr>
          </w:p>
        </w:tc>
        <w:tc>
          <w:tcPr>
            <w:tcW w:w="390" w:type="dxa"/>
          </w:tcPr>
          <w:p w14:paraId="1C9CE473">
            <w:pPr>
              <w:spacing w:line="480" w:lineRule="auto"/>
              <w:jc w:val="both"/>
              <w:rPr>
                <w:rFonts w:hint="default" w:ascii="Arial" w:hAnsi="Arial" w:cs="Arial"/>
                <w:sz w:val="24"/>
                <w:szCs w:val="24"/>
              </w:rPr>
            </w:pPr>
          </w:p>
        </w:tc>
        <w:tc>
          <w:tcPr>
            <w:tcW w:w="960" w:type="dxa"/>
          </w:tcPr>
          <w:p w14:paraId="49F4D60F">
            <w:pPr>
              <w:spacing w:line="480" w:lineRule="auto"/>
              <w:jc w:val="both"/>
              <w:rPr>
                <w:rFonts w:hint="default" w:ascii="Arial" w:hAnsi="Arial" w:cs="Arial"/>
                <w:sz w:val="24"/>
                <w:szCs w:val="24"/>
              </w:rPr>
            </w:pPr>
          </w:p>
        </w:tc>
        <w:tc>
          <w:tcPr>
            <w:tcW w:w="390" w:type="dxa"/>
          </w:tcPr>
          <w:p w14:paraId="50C4E5D3">
            <w:pPr>
              <w:spacing w:line="480" w:lineRule="auto"/>
              <w:jc w:val="both"/>
              <w:rPr>
                <w:rFonts w:hint="default" w:ascii="Arial" w:hAnsi="Arial" w:cs="Arial"/>
                <w:sz w:val="24"/>
                <w:szCs w:val="24"/>
              </w:rPr>
            </w:pPr>
          </w:p>
        </w:tc>
        <w:tc>
          <w:tcPr>
            <w:tcW w:w="535" w:type="dxa"/>
          </w:tcPr>
          <w:p w14:paraId="2CB1AA78">
            <w:pPr>
              <w:spacing w:line="480" w:lineRule="auto"/>
              <w:jc w:val="both"/>
              <w:rPr>
                <w:rFonts w:hint="default" w:ascii="Arial" w:hAnsi="Arial" w:cs="Arial"/>
                <w:sz w:val="24"/>
                <w:szCs w:val="24"/>
              </w:rPr>
            </w:pPr>
          </w:p>
        </w:tc>
      </w:tr>
      <w:tr w14:paraId="5C4E5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1C0A0762">
            <w:pPr>
              <w:spacing w:line="480" w:lineRule="auto"/>
              <w:jc w:val="both"/>
              <w:rPr>
                <w:rFonts w:hint="default" w:ascii="Arial" w:hAnsi="Arial" w:cs="Arial"/>
                <w:sz w:val="24"/>
                <w:szCs w:val="24"/>
              </w:rPr>
            </w:pPr>
            <w:r>
              <w:rPr>
                <w:rFonts w:hint="default" w:ascii="Arial" w:hAnsi="Arial" w:cs="Arial"/>
                <w:sz w:val="24"/>
                <w:szCs w:val="24"/>
              </w:rPr>
              <w:t>Some Chinese companies may greenwash their ESG efforts.</w:t>
            </w:r>
          </w:p>
        </w:tc>
        <w:tc>
          <w:tcPr>
            <w:tcW w:w="523" w:type="dxa"/>
          </w:tcPr>
          <w:p w14:paraId="47CA0DB2">
            <w:pPr>
              <w:spacing w:line="480" w:lineRule="auto"/>
              <w:jc w:val="both"/>
              <w:rPr>
                <w:rFonts w:hint="default" w:ascii="Arial" w:hAnsi="Arial" w:cs="Arial"/>
                <w:sz w:val="24"/>
                <w:szCs w:val="24"/>
              </w:rPr>
            </w:pPr>
          </w:p>
        </w:tc>
        <w:tc>
          <w:tcPr>
            <w:tcW w:w="390" w:type="dxa"/>
          </w:tcPr>
          <w:p w14:paraId="2D7C505D">
            <w:pPr>
              <w:spacing w:line="480" w:lineRule="auto"/>
              <w:jc w:val="both"/>
              <w:rPr>
                <w:rFonts w:hint="default" w:ascii="Arial" w:hAnsi="Arial" w:cs="Arial"/>
                <w:sz w:val="24"/>
                <w:szCs w:val="24"/>
              </w:rPr>
            </w:pPr>
          </w:p>
        </w:tc>
        <w:tc>
          <w:tcPr>
            <w:tcW w:w="960" w:type="dxa"/>
          </w:tcPr>
          <w:p w14:paraId="1523CC71">
            <w:pPr>
              <w:spacing w:line="480" w:lineRule="auto"/>
              <w:jc w:val="both"/>
              <w:rPr>
                <w:rFonts w:hint="default" w:ascii="Arial" w:hAnsi="Arial" w:cs="Arial"/>
                <w:sz w:val="24"/>
                <w:szCs w:val="24"/>
              </w:rPr>
            </w:pPr>
          </w:p>
        </w:tc>
        <w:tc>
          <w:tcPr>
            <w:tcW w:w="390" w:type="dxa"/>
          </w:tcPr>
          <w:p w14:paraId="1966B790">
            <w:pPr>
              <w:spacing w:line="480" w:lineRule="auto"/>
              <w:jc w:val="both"/>
              <w:rPr>
                <w:rFonts w:hint="default" w:ascii="Arial" w:hAnsi="Arial" w:cs="Arial"/>
                <w:sz w:val="24"/>
                <w:szCs w:val="24"/>
              </w:rPr>
            </w:pPr>
          </w:p>
        </w:tc>
        <w:tc>
          <w:tcPr>
            <w:tcW w:w="535" w:type="dxa"/>
          </w:tcPr>
          <w:p w14:paraId="149CBEBF">
            <w:pPr>
              <w:spacing w:line="480" w:lineRule="auto"/>
              <w:jc w:val="both"/>
              <w:rPr>
                <w:rFonts w:hint="default" w:ascii="Arial" w:hAnsi="Arial" w:cs="Arial"/>
                <w:sz w:val="24"/>
                <w:szCs w:val="24"/>
              </w:rPr>
            </w:pPr>
          </w:p>
        </w:tc>
      </w:tr>
      <w:tr w14:paraId="33A0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44944961">
            <w:pPr>
              <w:spacing w:line="480" w:lineRule="auto"/>
              <w:jc w:val="both"/>
              <w:rPr>
                <w:rFonts w:hint="default" w:ascii="Arial" w:hAnsi="Arial" w:cs="Arial"/>
                <w:sz w:val="24"/>
                <w:szCs w:val="24"/>
              </w:rPr>
            </w:pPr>
            <w:r>
              <w:rPr>
                <w:rFonts w:hint="default" w:ascii="Arial" w:hAnsi="Arial" w:cs="Arial"/>
                <w:sz w:val="24"/>
                <w:szCs w:val="24"/>
              </w:rPr>
              <w:t>ESG initiatives are costly to implement.</w:t>
            </w:r>
          </w:p>
        </w:tc>
        <w:tc>
          <w:tcPr>
            <w:tcW w:w="523" w:type="dxa"/>
          </w:tcPr>
          <w:p w14:paraId="07CFEE9A">
            <w:pPr>
              <w:spacing w:line="480" w:lineRule="auto"/>
              <w:jc w:val="both"/>
              <w:rPr>
                <w:rFonts w:hint="default" w:ascii="Arial" w:hAnsi="Arial" w:cs="Arial"/>
                <w:sz w:val="24"/>
                <w:szCs w:val="24"/>
              </w:rPr>
            </w:pPr>
          </w:p>
        </w:tc>
        <w:tc>
          <w:tcPr>
            <w:tcW w:w="390" w:type="dxa"/>
          </w:tcPr>
          <w:p w14:paraId="4F012DAF">
            <w:pPr>
              <w:spacing w:line="480" w:lineRule="auto"/>
              <w:jc w:val="both"/>
              <w:rPr>
                <w:rFonts w:hint="default" w:ascii="Arial" w:hAnsi="Arial" w:cs="Arial"/>
                <w:sz w:val="24"/>
                <w:szCs w:val="24"/>
              </w:rPr>
            </w:pPr>
          </w:p>
        </w:tc>
        <w:tc>
          <w:tcPr>
            <w:tcW w:w="960" w:type="dxa"/>
          </w:tcPr>
          <w:p w14:paraId="7B428510">
            <w:pPr>
              <w:spacing w:line="480" w:lineRule="auto"/>
              <w:jc w:val="both"/>
              <w:rPr>
                <w:rFonts w:hint="default" w:ascii="Arial" w:hAnsi="Arial" w:cs="Arial"/>
                <w:sz w:val="24"/>
                <w:szCs w:val="24"/>
              </w:rPr>
            </w:pPr>
          </w:p>
        </w:tc>
        <w:tc>
          <w:tcPr>
            <w:tcW w:w="390" w:type="dxa"/>
          </w:tcPr>
          <w:p w14:paraId="41F7A5A2">
            <w:pPr>
              <w:spacing w:line="480" w:lineRule="auto"/>
              <w:jc w:val="both"/>
              <w:rPr>
                <w:rFonts w:hint="default" w:ascii="Arial" w:hAnsi="Arial" w:cs="Arial"/>
                <w:sz w:val="24"/>
                <w:szCs w:val="24"/>
              </w:rPr>
            </w:pPr>
          </w:p>
        </w:tc>
        <w:tc>
          <w:tcPr>
            <w:tcW w:w="535" w:type="dxa"/>
          </w:tcPr>
          <w:p w14:paraId="549A0434">
            <w:pPr>
              <w:spacing w:line="480" w:lineRule="auto"/>
              <w:jc w:val="both"/>
              <w:rPr>
                <w:rFonts w:hint="default" w:ascii="Arial" w:hAnsi="Arial" w:cs="Arial"/>
                <w:sz w:val="24"/>
                <w:szCs w:val="24"/>
              </w:rPr>
            </w:pPr>
          </w:p>
        </w:tc>
      </w:tr>
      <w:tr w14:paraId="1614A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2" w:type="dxa"/>
          </w:tcPr>
          <w:p w14:paraId="2068A988">
            <w:pPr>
              <w:spacing w:line="480" w:lineRule="auto"/>
              <w:jc w:val="both"/>
              <w:rPr>
                <w:rFonts w:hint="default" w:ascii="Arial" w:hAnsi="Arial" w:cs="Arial"/>
                <w:sz w:val="24"/>
                <w:szCs w:val="24"/>
              </w:rPr>
            </w:pPr>
            <w:r>
              <w:rPr>
                <w:rFonts w:hint="default" w:ascii="Arial" w:hAnsi="Arial" w:cs="Arial"/>
                <w:sz w:val="24"/>
                <w:szCs w:val="24"/>
              </w:rPr>
              <w:t>Consumers are not well-informed about ESG issues.</w:t>
            </w:r>
          </w:p>
        </w:tc>
        <w:tc>
          <w:tcPr>
            <w:tcW w:w="523" w:type="dxa"/>
          </w:tcPr>
          <w:p w14:paraId="6A3C778F">
            <w:pPr>
              <w:spacing w:line="480" w:lineRule="auto"/>
              <w:jc w:val="both"/>
              <w:rPr>
                <w:rFonts w:hint="default" w:ascii="Arial" w:hAnsi="Arial" w:cs="Arial"/>
                <w:sz w:val="24"/>
                <w:szCs w:val="24"/>
              </w:rPr>
            </w:pPr>
          </w:p>
        </w:tc>
        <w:tc>
          <w:tcPr>
            <w:tcW w:w="390" w:type="dxa"/>
          </w:tcPr>
          <w:p w14:paraId="2CC388C9">
            <w:pPr>
              <w:spacing w:line="480" w:lineRule="auto"/>
              <w:jc w:val="both"/>
              <w:rPr>
                <w:rFonts w:hint="default" w:ascii="Arial" w:hAnsi="Arial" w:cs="Arial"/>
                <w:sz w:val="24"/>
                <w:szCs w:val="24"/>
              </w:rPr>
            </w:pPr>
          </w:p>
        </w:tc>
        <w:tc>
          <w:tcPr>
            <w:tcW w:w="960" w:type="dxa"/>
          </w:tcPr>
          <w:p w14:paraId="646346B5">
            <w:pPr>
              <w:spacing w:line="480" w:lineRule="auto"/>
              <w:jc w:val="both"/>
              <w:rPr>
                <w:rFonts w:hint="default" w:ascii="Arial" w:hAnsi="Arial" w:cs="Arial"/>
                <w:sz w:val="24"/>
                <w:szCs w:val="24"/>
              </w:rPr>
            </w:pPr>
          </w:p>
        </w:tc>
        <w:tc>
          <w:tcPr>
            <w:tcW w:w="390" w:type="dxa"/>
          </w:tcPr>
          <w:p w14:paraId="4F9C76BA">
            <w:pPr>
              <w:spacing w:line="480" w:lineRule="auto"/>
              <w:jc w:val="both"/>
              <w:rPr>
                <w:rFonts w:hint="default" w:ascii="Arial" w:hAnsi="Arial" w:cs="Arial"/>
                <w:sz w:val="24"/>
                <w:szCs w:val="24"/>
              </w:rPr>
            </w:pPr>
          </w:p>
        </w:tc>
        <w:tc>
          <w:tcPr>
            <w:tcW w:w="535" w:type="dxa"/>
          </w:tcPr>
          <w:p w14:paraId="4083A9C4">
            <w:pPr>
              <w:spacing w:line="480" w:lineRule="auto"/>
              <w:jc w:val="both"/>
              <w:rPr>
                <w:rFonts w:hint="default" w:ascii="Arial" w:hAnsi="Arial" w:cs="Arial"/>
                <w:sz w:val="24"/>
                <w:szCs w:val="24"/>
              </w:rPr>
            </w:pPr>
          </w:p>
        </w:tc>
      </w:tr>
    </w:tbl>
    <w:p w14:paraId="3EDB8004">
      <w:pPr>
        <w:spacing w:line="480" w:lineRule="auto"/>
        <w:jc w:val="both"/>
        <w:rPr>
          <w:rFonts w:hint="default" w:ascii="Arial" w:hAnsi="Arial" w:cs="Arial"/>
          <w:sz w:val="24"/>
          <w:szCs w:val="24"/>
        </w:rPr>
      </w:pPr>
    </w:p>
    <w:sectPr>
      <w:footerReference r:id="rId5" w:type="default"/>
      <w:pgSz w:w="12240" w:h="15840"/>
      <w:pgMar w:top="1440" w:right="1440" w:bottom="1440" w:left="144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7AD96">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754CD">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8A754CD">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3C169C"/>
    <w:multiLevelType w:val="multilevel"/>
    <w:tmpl w:val="0F3C169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B4C6B62"/>
    <w:multiLevelType w:val="multilevel"/>
    <w:tmpl w:val="1B4C6B6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D3F376D"/>
    <w:multiLevelType w:val="multilevel"/>
    <w:tmpl w:val="1D3F376D"/>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2280" w:hanging="720"/>
      </w:pPr>
      <w:rPr>
        <w:rFonts w:hint="default" w:ascii="Arial" w:hAnsi="Arial" w:cs="Arial"/>
        <w:sz w:val="24"/>
        <w:szCs w:val="24"/>
      </w:r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abstractNum w:abstractNumId="3">
    <w:nsid w:val="4CB87CBA"/>
    <w:multiLevelType w:val="multilevel"/>
    <w:tmpl w:val="4CB87CBA"/>
    <w:lvl w:ilvl="0" w:tentative="0">
      <w:start w:val="1"/>
      <w:numFmt w:val="decimal"/>
      <w:lvlText w:val="%1)"/>
      <w:lvlJc w:val="left"/>
      <w:pPr>
        <w:ind w:left="360" w:hanging="360"/>
      </w:pPr>
    </w:lvl>
    <w:lvl w:ilvl="1" w:tentative="0">
      <w:start w:val="1"/>
      <w:numFmt w:val="lowerLetter"/>
      <w:lvlText w:val="%2)"/>
      <w:lvlJc w:val="left"/>
      <w:pPr>
        <w:ind w:left="720" w:hanging="360"/>
      </w:pPr>
    </w:lvl>
    <w:lvl w:ilvl="2" w:tentative="0">
      <w:start w:val="1"/>
      <w:numFmt w:val="lowerRoman"/>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VjMjM5OGE2YzAyYTI5NzVmOTYxYWM4YTkzNmM2MmIifQ=="/>
  </w:docVars>
  <w:rsids>
    <w:rsidRoot w:val="004A7BC5"/>
    <w:rsid w:val="00015E56"/>
    <w:rsid w:val="000263CF"/>
    <w:rsid w:val="00034460"/>
    <w:rsid w:val="00035449"/>
    <w:rsid w:val="00040562"/>
    <w:rsid w:val="000557ED"/>
    <w:rsid w:val="00072379"/>
    <w:rsid w:val="00091E3F"/>
    <w:rsid w:val="000A77E9"/>
    <w:rsid w:val="000B732F"/>
    <w:rsid w:val="000C7F34"/>
    <w:rsid w:val="00130AE1"/>
    <w:rsid w:val="00136BFE"/>
    <w:rsid w:val="0014405E"/>
    <w:rsid w:val="001508DD"/>
    <w:rsid w:val="00153DA6"/>
    <w:rsid w:val="0015663D"/>
    <w:rsid w:val="00191824"/>
    <w:rsid w:val="001B1C29"/>
    <w:rsid w:val="001E498C"/>
    <w:rsid w:val="00207DA7"/>
    <w:rsid w:val="00216067"/>
    <w:rsid w:val="00226DA0"/>
    <w:rsid w:val="00232993"/>
    <w:rsid w:val="00241D60"/>
    <w:rsid w:val="002747F6"/>
    <w:rsid w:val="00282DDA"/>
    <w:rsid w:val="002857E5"/>
    <w:rsid w:val="00286A52"/>
    <w:rsid w:val="00291D00"/>
    <w:rsid w:val="002B0544"/>
    <w:rsid w:val="002B5630"/>
    <w:rsid w:val="002D0B8B"/>
    <w:rsid w:val="003013EA"/>
    <w:rsid w:val="00316DD2"/>
    <w:rsid w:val="00325F39"/>
    <w:rsid w:val="00331D6F"/>
    <w:rsid w:val="0033499C"/>
    <w:rsid w:val="00341DC8"/>
    <w:rsid w:val="00351018"/>
    <w:rsid w:val="00371A96"/>
    <w:rsid w:val="00375677"/>
    <w:rsid w:val="003815E4"/>
    <w:rsid w:val="00382942"/>
    <w:rsid w:val="003A0B6B"/>
    <w:rsid w:val="003B08A2"/>
    <w:rsid w:val="003B0B18"/>
    <w:rsid w:val="003D0D65"/>
    <w:rsid w:val="003D453E"/>
    <w:rsid w:val="003E32EB"/>
    <w:rsid w:val="00411F0B"/>
    <w:rsid w:val="00432DB3"/>
    <w:rsid w:val="0043356A"/>
    <w:rsid w:val="00434AC9"/>
    <w:rsid w:val="00434F99"/>
    <w:rsid w:val="004416E6"/>
    <w:rsid w:val="00444777"/>
    <w:rsid w:val="00451F09"/>
    <w:rsid w:val="00457DD9"/>
    <w:rsid w:val="00490B07"/>
    <w:rsid w:val="004921E2"/>
    <w:rsid w:val="004A7BC5"/>
    <w:rsid w:val="004D05BC"/>
    <w:rsid w:val="004D5F00"/>
    <w:rsid w:val="004E0F42"/>
    <w:rsid w:val="004E3A24"/>
    <w:rsid w:val="004F3972"/>
    <w:rsid w:val="00531DEC"/>
    <w:rsid w:val="005647E4"/>
    <w:rsid w:val="0057229A"/>
    <w:rsid w:val="00582A45"/>
    <w:rsid w:val="00593D08"/>
    <w:rsid w:val="005A26F5"/>
    <w:rsid w:val="005C7D58"/>
    <w:rsid w:val="005E5F29"/>
    <w:rsid w:val="005F4AD1"/>
    <w:rsid w:val="005F6A8D"/>
    <w:rsid w:val="0061075C"/>
    <w:rsid w:val="0061360B"/>
    <w:rsid w:val="0061584F"/>
    <w:rsid w:val="0062393F"/>
    <w:rsid w:val="0065134A"/>
    <w:rsid w:val="0065233C"/>
    <w:rsid w:val="006A2A25"/>
    <w:rsid w:val="006D0ED6"/>
    <w:rsid w:val="0070515C"/>
    <w:rsid w:val="007066E4"/>
    <w:rsid w:val="00711F4A"/>
    <w:rsid w:val="00735982"/>
    <w:rsid w:val="00736920"/>
    <w:rsid w:val="00744DE4"/>
    <w:rsid w:val="007531B7"/>
    <w:rsid w:val="00756CB7"/>
    <w:rsid w:val="0076541B"/>
    <w:rsid w:val="007767CD"/>
    <w:rsid w:val="00785A98"/>
    <w:rsid w:val="007969E9"/>
    <w:rsid w:val="007D02A4"/>
    <w:rsid w:val="007D2806"/>
    <w:rsid w:val="007E6E84"/>
    <w:rsid w:val="00813029"/>
    <w:rsid w:val="00814DCC"/>
    <w:rsid w:val="0085229A"/>
    <w:rsid w:val="0085544E"/>
    <w:rsid w:val="00862F6B"/>
    <w:rsid w:val="008654DE"/>
    <w:rsid w:val="00867783"/>
    <w:rsid w:val="00872DF4"/>
    <w:rsid w:val="008738FF"/>
    <w:rsid w:val="008B03BB"/>
    <w:rsid w:val="008C2188"/>
    <w:rsid w:val="008C4568"/>
    <w:rsid w:val="008D409E"/>
    <w:rsid w:val="008D78FE"/>
    <w:rsid w:val="008E3A7B"/>
    <w:rsid w:val="009127A1"/>
    <w:rsid w:val="0091676D"/>
    <w:rsid w:val="00920F2B"/>
    <w:rsid w:val="009371B9"/>
    <w:rsid w:val="00940E5C"/>
    <w:rsid w:val="00952CFB"/>
    <w:rsid w:val="00971118"/>
    <w:rsid w:val="00977C8A"/>
    <w:rsid w:val="00990C55"/>
    <w:rsid w:val="00997D31"/>
    <w:rsid w:val="009A3765"/>
    <w:rsid w:val="009A7DB9"/>
    <w:rsid w:val="009B3CF7"/>
    <w:rsid w:val="009B5D10"/>
    <w:rsid w:val="009B6A75"/>
    <w:rsid w:val="009C6913"/>
    <w:rsid w:val="009C7924"/>
    <w:rsid w:val="009D04BD"/>
    <w:rsid w:val="009D7C7E"/>
    <w:rsid w:val="009E44A1"/>
    <w:rsid w:val="00A0362B"/>
    <w:rsid w:val="00A177BF"/>
    <w:rsid w:val="00A57D8A"/>
    <w:rsid w:val="00A63E78"/>
    <w:rsid w:val="00A668CC"/>
    <w:rsid w:val="00A83162"/>
    <w:rsid w:val="00AD329F"/>
    <w:rsid w:val="00B02AF5"/>
    <w:rsid w:val="00B0372F"/>
    <w:rsid w:val="00B16F28"/>
    <w:rsid w:val="00B45153"/>
    <w:rsid w:val="00B56AF0"/>
    <w:rsid w:val="00B81B35"/>
    <w:rsid w:val="00BB1DF8"/>
    <w:rsid w:val="00BC523F"/>
    <w:rsid w:val="00BC5842"/>
    <w:rsid w:val="00BF1DBF"/>
    <w:rsid w:val="00C2094B"/>
    <w:rsid w:val="00C21A78"/>
    <w:rsid w:val="00C5099E"/>
    <w:rsid w:val="00C52945"/>
    <w:rsid w:val="00C5353C"/>
    <w:rsid w:val="00C63A84"/>
    <w:rsid w:val="00C74BCA"/>
    <w:rsid w:val="00C76201"/>
    <w:rsid w:val="00C84062"/>
    <w:rsid w:val="00C9517F"/>
    <w:rsid w:val="00CA141C"/>
    <w:rsid w:val="00CB37E1"/>
    <w:rsid w:val="00CD2F56"/>
    <w:rsid w:val="00CD567C"/>
    <w:rsid w:val="00CE018B"/>
    <w:rsid w:val="00CE363A"/>
    <w:rsid w:val="00D07D5A"/>
    <w:rsid w:val="00D11D31"/>
    <w:rsid w:val="00D2151B"/>
    <w:rsid w:val="00D23242"/>
    <w:rsid w:val="00D53173"/>
    <w:rsid w:val="00D55533"/>
    <w:rsid w:val="00D6520E"/>
    <w:rsid w:val="00D771E5"/>
    <w:rsid w:val="00D830E2"/>
    <w:rsid w:val="00D85FDE"/>
    <w:rsid w:val="00DA4995"/>
    <w:rsid w:val="00DC55D4"/>
    <w:rsid w:val="00DD216C"/>
    <w:rsid w:val="00DF3DF3"/>
    <w:rsid w:val="00E0386E"/>
    <w:rsid w:val="00E30261"/>
    <w:rsid w:val="00E56861"/>
    <w:rsid w:val="00ED1837"/>
    <w:rsid w:val="00ED183A"/>
    <w:rsid w:val="00ED3A44"/>
    <w:rsid w:val="00ED4227"/>
    <w:rsid w:val="00EE7ABC"/>
    <w:rsid w:val="00F11CB8"/>
    <w:rsid w:val="00F13EF3"/>
    <w:rsid w:val="00F60605"/>
    <w:rsid w:val="00F67D20"/>
    <w:rsid w:val="00FB3CFE"/>
    <w:rsid w:val="00FE0CD7"/>
    <w:rsid w:val="00FF4BAB"/>
    <w:rsid w:val="015B115D"/>
    <w:rsid w:val="02EB7084"/>
    <w:rsid w:val="0345528A"/>
    <w:rsid w:val="045301F6"/>
    <w:rsid w:val="050463C4"/>
    <w:rsid w:val="05973B4C"/>
    <w:rsid w:val="06C57774"/>
    <w:rsid w:val="074003FC"/>
    <w:rsid w:val="07630750"/>
    <w:rsid w:val="07D34A4E"/>
    <w:rsid w:val="0858402D"/>
    <w:rsid w:val="08DC53F0"/>
    <w:rsid w:val="09F75FDB"/>
    <w:rsid w:val="0ABC1A8E"/>
    <w:rsid w:val="0AD414BC"/>
    <w:rsid w:val="0CAF1744"/>
    <w:rsid w:val="0CE40585"/>
    <w:rsid w:val="0D4E2AD2"/>
    <w:rsid w:val="0DA9532B"/>
    <w:rsid w:val="0DD028B8"/>
    <w:rsid w:val="0DD1622F"/>
    <w:rsid w:val="0E3326AB"/>
    <w:rsid w:val="0EA969AA"/>
    <w:rsid w:val="0EF75085"/>
    <w:rsid w:val="0F2E3D3A"/>
    <w:rsid w:val="0FC0634A"/>
    <w:rsid w:val="103947FE"/>
    <w:rsid w:val="115F1E63"/>
    <w:rsid w:val="11E2588B"/>
    <w:rsid w:val="143560FD"/>
    <w:rsid w:val="143F42F3"/>
    <w:rsid w:val="15146C09"/>
    <w:rsid w:val="16704C38"/>
    <w:rsid w:val="16E2541D"/>
    <w:rsid w:val="17400AAE"/>
    <w:rsid w:val="177366C3"/>
    <w:rsid w:val="17B13B40"/>
    <w:rsid w:val="180B2C8E"/>
    <w:rsid w:val="18A94431"/>
    <w:rsid w:val="18B72072"/>
    <w:rsid w:val="18DB57ED"/>
    <w:rsid w:val="1A6670E8"/>
    <w:rsid w:val="1D4A74C3"/>
    <w:rsid w:val="1DAE0FF9"/>
    <w:rsid w:val="1E865B1A"/>
    <w:rsid w:val="1FC27D82"/>
    <w:rsid w:val="1FC73179"/>
    <w:rsid w:val="20360CA0"/>
    <w:rsid w:val="22B934C3"/>
    <w:rsid w:val="250824DF"/>
    <w:rsid w:val="26DC2F84"/>
    <w:rsid w:val="27817875"/>
    <w:rsid w:val="27BB1274"/>
    <w:rsid w:val="281A70C0"/>
    <w:rsid w:val="29C713DD"/>
    <w:rsid w:val="2A1D4C7F"/>
    <w:rsid w:val="2A9C722E"/>
    <w:rsid w:val="2AD215C5"/>
    <w:rsid w:val="2AEA2DB3"/>
    <w:rsid w:val="2B40408C"/>
    <w:rsid w:val="2C275941"/>
    <w:rsid w:val="2C3047F6"/>
    <w:rsid w:val="2C41055E"/>
    <w:rsid w:val="2C6E598A"/>
    <w:rsid w:val="2CAB47C4"/>
    <w:rsid w:val="2E692241"/>
    <w:rsid w:val="2EEE48EB"/>
    <w:rsid w:val="2F8310E0"/>
    <w:rsid w:val="2F9C21A2"/>
    <w:rsid w:val="2FAB0A48"/>
    <w:rsid w:val="3012506F"/>
    <w:rsid w:val="315A1B13"/>
    <w:rsid w:val="32A95302"/>
    <w:rsid w:val="33240E2C"/>
    <w:rsid w:val="33447797"/>
    <w:rsid w:val="34072EF1"/>
    <w:rsid w:val="389C001A"/>
    <w:rsid w:val="38A95BD3"/>
    <w:rsid w:val="3A315E82"/>
    <w:rsid w:val="3D2D16A6"/>
    <w:rsid w:val="3D7529B0"/>
    <w:rsid w:val="3EFF43CD"/>
    <w:rsid w:val="3FA16FFD"/>
    <w:rsid w:val="3FBE6A6F"/>
    <w:rsid w:val="400C28EA"/>
    <w:rsid w:val="4053278D"/>
    <w:rsid w:val="422E137F"/>
    <w:rsid w:val="42E63A08"/>
    <w:rsid w:val="43866F99"/>
    <w:rsid w:val="43911BC6"/>
    <w:rsid w:val="43B43B06"/>
    <w:rsid w:val="448101D1"/>
    <w:rsid w:val="44896D41"/>
    <w:rsid w:val="45765517"/>
    <w:rsid w:val="4622349E"/>
    <w:rsid w:val="464C6532"/>
    <w:rsid w:val="464D7120"/>
    <w:rsid w:val="47136D96"/>
    <w:rsid w:val="476475F1"/>
    <w:rsid w:val="4780570A"/>
    <w:rsid w:val="49964797"/>
    <w:rsid w:val="499917D4"/>
    <w:rsid w:val="49E335D2"/>
    <w:rsid w:val="4C92075D"/>
    <w:rsid w:val="4CFF4CB4"/>
    <w:rsid w:val="4D522188"/>
    <w:rsid w:val="4E54216E"/>
    <w:rsid w:val="4F626108"/>
    <w:rsid w:val="4F693DE7"/>
    <w:rsid w:val="4F986150"/>
    <w:rsid w:val="50E81293"/>
    <w:rsid w:val="51E33833"/>
    <w:rsid w:val="522A0EBE"/>
    <w:rsid w:val="52463183"/>
    <w:rsid w:val="52657C81"/>
    <w:rsid w:val="530D0324"/>
    <w:rsid w:val="53177C0E"/>
    <w:rsid w:val="53911E75"/>
    <w:rsid w:val="53E1595C"/>
    <w:rsid w:val="56EE45EC"/>
    <w:rsid w:val="5714693E"/>
    <w:rsid w:val="57272997"/>
    <w:rsid w:val="57FE4859"/>
    <w:rsid w:val="58825080"/>
    <w:rsid w:val="5986574F"/>
    <w:rsid w:val="5AF80325"/>
    <w:rsid w:val="5B0373F5"/>
    <w:rsid w:val="5C2A0A4D"/>
    <w:rsid w:val="5CA37ECD"/>
    <w:rsid w:val="5D5850AB"/>
    <w:rsid w:val="5D7C45C9"/>
    <w:rsid w:val="5DE652CA"/>
    <w:rsid w:val="5E160F34"/>
    <w:rsid w:val="5E3F1A16"/>
    <w:rsid w:val="5E5E5C71"/>
    <w:rsid w:val="5F831A87"/>
    <w:rsid w:val="5FCC26FB"/>
    <w:rsid w:val="5FE506D1"/>
    <w:rsid w:val="603A0512"/>
    <w:rsid w:val="60E70C20"/>
    <w:rsid w:val="611B1F8A"/>
    <w:rsid w:val="618D5C6B"/>
    <w:rsid w:val="61D04BC5"/>
    <w:rsid w:val="61F96E5C"/>
    <w:rsid w:val="621A5025"/>
    <w:rsid w:val="62731F0A"/>
    <w:rsid w:val="627F39D6"/>
    <w:rsid w:val="648F3C88"/>
    <w:rsid w:val="672F48CC"/>
    <w:rsid w:val="675B2B4C"/>
    <w:rsid w:val="67DA3B14"/>
    <w:rsid w:val="68330BEE"/>
    <w:rsid w:val="68A35D74"/>
    <w:rsid w:val="68D128E1"/>
    <w:rsid w:val="694A5ADC"/>
    <w:rsid w:val="69684A2F"/>
    <w:rsid w:val="69937B96"/>
    <w:rsid w:val="69E462AD"/>
    <w:rsid w:val="69EF46E2"/>
    <w:rsid w:val="69F85C4B"/>
    <w:rsid w:val="6A0B50B1"/>
    <w:rsid w:val="6D384470"/>
    <w:rsid w:val="6E7F16D1"/>
    <w:rsid w:val="6EB8024E"/>
    <w:rsid w:val="6F1C062E"/>
    <w:rsid w:val="6F5855BF"/>
    <w:rsid w:val="6F6B532E"/>
    <w:rsid w:val="6FC45674"/>
    <w:rsid w:val="71BF43D4"/>
    <w:rsid w:val="72077373"/>
    <w:rsid w:val="72A77130"/>
    <w:rsid w:val="735937A8"/>
    <w:rsid w:val="73FF76A9"/>
    <w:rsid w:val="759E7305"/>
    <w:rsid w:val="764F0D9A"/>
    <w:rsid w:val="775F730A"/>
    <w:rsid w:val="77A47413"/>
    <w:rsid w:val="78A70E4E"/>
    <w:rsid w:val="792879F4"/>
    <w:rsid w:val="798B088A"/>
    <w:rsid w:val="7A8E43D0"/>
    <w:rsid w:val="7B15123B"/>
    <w:rsid w:val="7B566C76"/>
    <w:rsid w:val="7BC17B02"/>
    <w:rsid w:val="7E6C69F3"/>
    <w:rsid w:val="7F264BB1"/>
    <w:rsid w:val="7F281E91"/>
    <w:rsid w:val="7FBD57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26"/>
    <w:qFormat/>
    <w:uiPriority w:val="9"/>
    <w:pPr>
      <w:keepNext/>
      <w:keepLines/>
      <w:numPr>
        <w:ilvl w:val="0"/>
        <w:numId w:val="1"/>
      </w:numPr>
      <w:spacing w:before="240" w:after="0"/>
      <w:outlineLvl w:val="0"/>
    </w:pPr>
    <w:rPr>
      <w:rFonts w:eastAsiaTheme="majorEastAsia" w:cstheme="majorBidi"/>
      <w:b/>
      <w:color w:val="2E75B6" w:themeColor="accent1" w:themeShade="BF"/>
      <w:szCs w:val="32"/>
    </w:rPr>
  </w:style>
  <w:style w:type="paragraph" w:styleId="3">
    <w:name w:val="heading 2"/>
    <w:basedOn w:val="1"/>
    <w:next w:val="1"/>
    <w:link w:val="27"/>
    <w:unhideWhenUsed/>
    <w:qFormat/>
    <w:uiPriority w:val="9"/>
    <w:pPr>
      <w:keepNext/>
      <w:keepLines/>
      <w:numPr>
        <w:ilvl w:val="1"/>
        <w:numId w:val="1"/>
      </w:numPr>
      <w:spacing w:before="40" w:after="0"/>
      <w:outlineLvl w:val="1"/>
    </w:pPr>
    <w:rPr>
      <w:rFonts w:eastAsiaTheme="majorEastAsia" w:cstheme="majorBidi"/>
      <w:b/>
      <w:color w:val="2E75B6" w:themeColor="accent1" w:themeShade="BF"/>
      <w:szCs w:val="26"/>
    </w:rPr>
  </w:style>
  <w:style w:type="paragraph" w:styleId="4">
    <w:name w:val="heading 3"/>
    <w:basedOn w:val="1"/>
    <w:next w:val="1"/>
    <w:link w:val="28"/>
    <w:unhideWhenUsed/>
    <w:qFormat/>
    <w:uiPriority w:val="9"/>
    <w:pPr>
      <w:keepNext/>
      <w:keepLines/>
      <w:numPr>
        <w:ilvl w:val="2"/>
        <w:numId w:val="1"/>
      </w:numPr>
      <w:spacing w:before="40" w:after="0"/>
      <w:ind w:left="720"/>
      <w:outlineLvl w:val="2"/>
    </w:pPr>
    <w:rPr>
      <w:rFonts w:eastAsiaTheme="majorEastAsia" w:cstheme="majorBidi"/>
      <w:b/>
      <w:color w:val="1F4E79" w:themeColor="accent1" w:themeShade="80"/>
      <w:szCs w:val="24"/>
    </w:rPr>
  </w:style>
  <w:style w:type="paragraph" w:styleId="5">
    <w:name w:val="heading 4"/>
    <w:basedOn w:val="1"/>
    <w:next w:val="1"/>
    <w:link w:val="29"/>
    <w:unhideWhenUsed/>
    <w:qFormat/>
    <w:uiPriority w:val="9"/>
    <w:pPr>
      <w:keepNext/>
      <w:keepLines/>
      <w:numPr>
        <w:ilvl w:val="3"/>
        <w:numId w:val="1"/>
      </w:numPr>
      <w:spacing w:before="40" w:after="0"/>
      <w:outlineLvl w:val="3"/>
    </w:pPr>
    <w:rPr>
      <w:rFonts w:asciiTheme="majorHAnsi" w:hAnsiTheme="majorHAnsi" w:eastAsiaTheme="majorEastAsia" w:cstheme="majorBidi"/>
      <w:i/>
      <w:iCs/>
      <w:color w:val="2E75B6" w:themeColor="accent1" w:themeShade="BF"/>
    </w:rPr>
  </w:style>
  <w:style w:type="paragraph" w:styleId="6">
    <w:name w:val="heading 5"/>
    <w:basedOn w:val="1"/>
    <w:next w:val="1"/>
    <w:link w:val="30"/>
    <w:semiHidden/>
    <w:unhideWhenUsed/>
    <w:qFormat/>
    <w:uiPriority w:val="9"/>
    <w:pPr>
      <w:keepNext/>
      <w:keepLines/>
      <w:numPr>
        <w:ilvl w:val="4"/>
        <w:numId w:val="1"/>
      </w:numPr>
      <w:spacing w:before="40" w:after="0"/>
      <w:outlineLvl w:val="4"/>
    </w:pPr>
    <w:rPr>
      <w:rFonts w:asciiTheme="majorHAnsi" w:hAnsiTheme="majorHAnsi" w:eastAsiaTheme="majorEastAsia" w:cstheme="majorBidi"/>
      <w:color w:val="2E75B6" w:themeColor="accent1" w:themeShade="BF"/>
    </w:rPr>
  </w:style>
  <w:style w:type="paragraph" w:styleId="7">
    <w:name w:val="heading 6"/>
    <w:basedOn w:val="1"/>
    <w:next w:val="1"/>
    <w:link w:val="31"/>
    <w:semiHidden/>
    <w:unhideWhenUsed/>
    <w:qFormat/>
    <w:uiPriority w:val="9"/>
    <w:pPr>
      <w:keepNext/>
      <w:keepLines/>
      <w:numPr>
        <w:ilvl w:val="5"/>
        <w:numId w:val="1"/>
      </w:numPr>
      <w:spacing w:before="40" w:after="0"/>
      <w:outlineLvl w:val="5"/>
    </w:pPr>
    <w:rPr>
      <w:rFonts w:asciiTheme="majorHAnsi" w:hAnsiTheme="majorHAnsi" w:eastAsiaTheme="majorEastAsia" w:cstheme="majorBidi"/>
      <w:color w:val="1F4E79" w:themeColor="accent1" w:themeShade="80"/>
    </w:rPr>
  </w:style>
  <w:style w:type="paragraph" w:styleId="8">
    <w:name w:val="heading 7"/>
    <w:basedOn w:val="1"/>
    <w:next w:val="1"/>
    <w:link w:val="32"/>
    <w:semiHidden/>
    <w:unhideWhenUsed/>
    <w:qFormat/>
    <w:uiPriority w:val="9"/>
    <w:pPr>
      <w:keepNext/>
      <w:keepLines/>
      <w:numPr>
        <w:ilvl w:val="6"/>
        <w:numId w:val="1"/>
      </w:numPr>
      <w:spacing w:before="40" w:after="0"/>
      <w:outlineLvl w:val="6"/>
    </w:pPr>
    <w:rPr>
      <w:rFonts w:asciiTheme="majorHAnsi" w:hAnsiTheme="majorHAnsi" w:eastAsiaTheme="majorEastAsia" w:cstheme="majorBidi"/>
      <w:i/>
      <w:iCs/>
      <w:color w:val="1F4E79" w:themeColor="accent1" w:themeShade="80"/>
    </w:rPr>
  </w:style>
  <w:style w:type="paragraph" w:styleId="9">
    <w:name w:val="heading 8"/>
    <w:basedOn w:val="1"/>
    <w:next w:val="1"/>
    <w:link w:val="33"/>
    <w:semiHidden/>
    <w:unhideWhenUsed/>
    <w:qFormat/>
    <w:uiPriority w:val="9"/>
    <w:pPr>
      <w:keepNext/>
      <w:keepLines/>
      <w:numPr>
        <w:ilvl w:val="7"/>
        <w:numId w:val="1"/>
      </w:numPr>
      <w:spacing w:before="40" w:after="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34"/>
    <w:semiHidden/>
    <w:unhideWhenUsed/>
    <w:qFormat/>
    <w:uiPriority w:val="9"/>
    <w:pPr>
      <w:keepNext/>
      <w:keepLines/>
      <w:numPr>
        <w:ilvl w:val="8"/>
        <w:numId w:val="1"/>
      </w:numPr>
      <w:spacing w:before="40" w:after="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2">
    <w:name w:val="annotation text"/>
    <w:basedOn w:val="1"/>
    <w:link w:val="35"/>
    <w:unhideWhenUsed/>
    <w:qFormat/>
    <w:uiPriority w:val="99"/>
    <w:pPr>
      <w:spacing w:after="200" w:line="240" w:lineRule="auto"/>
    </w:pPr>
    <w:rPr>
      <w:rFonts w:asciiTheme="minorHAnsi" w:hAnsiTheme="minorHAnsi"/>
      <w:sz w:val="20"/>
      <w:szCs w:val="20"/>
    </w:rPr>
  </w:style>
  <w:style w:type="paragraph" w:styleId="13">
    <w:name w:val="Balloon Text"/>
    <w:basedOn w:val="1"/>
    <w:link w:val="36"/>
    <w:semiHidden/>
    <w:unhideWhenUsed/>
    <w:qFormat/>
    <w:uiPriority w:val="99"/>
    <w:pPr>
      <w:spacing w:after="0" w:line="240" w:lineRule="auto"/>
    </w:pPr>
    <w:rPr>
      <w:rFonts w:ascii="Segoe UI" w:hAnsi="Segoe UI" w:cs="Segoe UI"/>
      <w:sz w:val="18"/>
      <w:szCs w:val="18"/>
    </w:rPr>
  </w:style>
  <w:style w:type="paragraph" w:styleId="14">
    <w:name w:val="footer"/>
    <w:basedOn w:val="1"/>
    <w:unhideWhenUsed/>
    <w:qFormat/>
    <w:uiPriority w:val="99"/>
    <w:pPr>
      <w:tabs>
        <w:tab w:val="center" w:pos="4153"/>
        <w:tab w:val="right" w:pos="8306"/>
      </w:tabs>
      <w:snapToGrid w:val="0"/>
      <w:jc w:val="left"/>
    </w:pPr>
    <w:rPr>
      <w:sz w:val="18"/>
    </w:rPr>
  </w:style>
  <w:style w:type="paragraph" w:styleId="1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6">
    <w:name w:val="toc 1"/>
    <w:basedOn w:val="1"/>
    <w:next w:val="1"/>
    <w:semiHidden/>
    <w:unhideWhenUsed/>
    <w:qFormat/>
    <w:uiPriority w:val="39"/>
  </w:style>
  <w:style w:type="paragraph" w:styleId="17">
    <w:name w:val="toc 2"/>
    <w:basedOn w:val="1"/>
    <w:next w:val="1"/>
    <w:semiHidden/>
    <w:unhideWhenUsed/>
    <w:qFormat/>
    <w:uiPriority w:val="39"/>
    <w:pPr>
      <w:ind w:left="420" w:leftChars="200"/>
    </w:pPr>
  </w:style>
  <w:style w:type="paragraph" w:styleId="18">
    <w:name w:val="Normal (Web)"/>
    <w:basedOn w:val="1"/>
    <w:unhideWhenUsed/>
    <w:qFormat/>
    <w:uiPriority w:val="99"/>
    <w:pPr>
      <w:spacing w:before="100" w:beforeAutospacing="1" w:after="100" w:afterAutospacing="1" w:line="240" w:lineRule="auto"/>
    </w:pPr>
    <w:rPr>
      <w:rFonts w:eastAsia="Times New Roman" w:cs="Times New Roman"/>
      <w:szCs w:val="24"/>
    </w:rPr>
  </w:style>
  <w:style w:type="paragraph" w:styleId="19">
    <w:name w:val="annotation subject"/>
    <w:basedOn w:val="12"/>
    <w:next w:val="12"/>
    <w:link w:val="40"/>
    <w:semiHidden/>
    <w:unhideWhenUsed/>
    <w:qFormat/>
    <w:uiPriority w:val="99"/>
    <w:pPr>
      <w:spacing w:after="160"/>
    </w:pPr>
    <w:rPr>
      <w:rFonts w:ascii="Times New Roman" w:hAnsi="Times New Roman"/>
      <w:b/>
      <w:bCs/>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character" w:styleId="24">
    <w:name w:val="Hyperlink"/>
    <w:basedOn w:val="22"/>
    <w:unhideWhenUsed/>
    <w:qFormat/>
    <w:uiPriority w:val="99"/>
    <w:rPr>
      <w:color w:val="0563C1" w:themeColor="hyperlink"/>
      <w:u w:val="single"/>
      <w14:textFill>
        <w14:solidFill>
          <w14:schemeClr w14:val="hlink"/>
        </w14:solidFill>
      </w14:textFill>
    </w:rPr>
  </w:style>
  <w:style w:type="character" w:styleId="25">
    <w:name w:val="annotation reference"/>
    <w:basedOn w:val="22"/>
    <w:semiHidden/>
    <w:unhideWhenUsed/>
    <w:qFormat/>
    <w:uiPriority w:val="99"/>
    <w:rPr>
      <w:sz w:val="16"/>
      <w:szCs w:val="16"/>
    </w:rPr>
  </w:style>
  <w:style w:type="character" w:customStyle="1" w:styleId="26">
    <w:name w:val="Heading 1 Char"/>
    <w:basedOn w:val="22"/>
    <w:link w:val="2"/>
    <w:qFormat/>
    <w:uiPriority w:val="9"/>
    <w:rPr>
      <w:rFonts w:ascii="Times New Roman" w:hAnsi="Times New Roman" w:eastAsiaTheme="majorEastAsia" w:cstheme="majorBidi"/>
      <w:b/>
      <w:color w:val="2E75B6" w:themeColor="accent1" w:themeShade="BF"/>
      <w:sz w:val="24"/>
      <w:szCs w:val="32"/>
    </w:rPr>
  </w:style>
  <w:style w:type="character" w:customStyle="1" w:styleId="27">
    <w:name w:val="Heading 2 Char"/>
    <w:basedOn w:val="22"/>
    <w:link w:val="3"/>
    <w:qFormat/>
    <w:uiPriority w:val="9"/>
    <w:rPr>
      <w:rFonts w:ascii="Times New Roman" w:hAnsi="Times New Roman" w:eastAsiaTheme="majorEastAsia" w:cstheme="majorBidi"/>
      <w:b/>
      <w:color w:val="2E75B6" w:themeColor="accent1" w:themeShade="BF"/>
      <w:sz w:val="24"/>
      <w:szCs w:val="26"/>
    </w:rPr>
  </w:style>
  <w:style w:type="character" w:customStyle="1" w:styleId="28">
    <w:name w:val="Heading 3 Char"/>
    <w:basedOn w:val="22"/>
    <w:link w:val="4"/>
    <w:qFormat/>
    <w:uiPriority w:val="9"/>
    <w:rPr>
      <w:rFonts w:ascii="Times New Roman" w:hAnsi="Times New Roman" w:eastAsiaTheme="majorEastAsia" w:cstheme="majorBidi"/>
      <w:b/>
      <w:color w:val="1F4E79" w:themeColor="accent1" w:themeShade="80"/>
      <w:sz w:val="24"/>
      <w:szCs w:val="24"/>
    </w:rPr>
  </w:style>
  <w:style w:type="character" w:customStyle="1" w:styleId="29">
    <w:name w:val="Heading 4 Char"/>
    <w:basedOn w:val="22"/>
    <w:link w:val="5"/>
    <w:qFormat/>
    <w:uiPriority w:val="9"/>
    <w:rPr>
      <w:rFonts w:asciiTheme="majorHAnsi" w:hAnsiTheme="majorHAnsi" w:eastAsiaTheme="majorEastAsia" w:cstheme="majorBidi"/>
      <w:i/>
      <w:iCs/>
      <w:color w:val="2E75B6" w:themeColor="accent1" w:themeShade="BF"/>
      <w:sz w:val="24"/>
    </w:rPr>
  </w:style>
  <w:style w:type="character" w:customStyle="1" w:styleId="30">
    <w:name w:val="Heading 5 Char"/>
    <w:basedOn w:val="22"/>
    <w:link w:val="6"/>
    <w:semiHidden/>
    <w:qFormat/>
    <w:uiPriority w:val="9"/>
    <w:rPr>
      <w:rFonts w:asciiTheme="majorHAnsi" w:hAnsiTheme="majorHAnsi" w:eastAsiaTheme="majorEastAsia" w:cstheme="majorBidi"/>
      <w:color w:val="2E75B6" w:themeColor="accent1" w:themeShade="BF"/>
      <w:sz w:val="24"/>
    </w:rPr>
  </w:style>
  <w:style w:type="character" w:customStyle="1" w:styleId="31">
    <w:name w:val="Heading 6 Char"/>
    <w:basedOn w:val="22"/>
    <w:link w:val="7"/>
    <w:semiHidden/>
    <w:qFormat/>
    <w:uiPriority w:val="9"/>
    <w:rPr>
      <w:rFonts w:asciiTheme="majorHAnsi" w:hAnsiTheme="majorHAnsi" w:eastAsiaTheme="majorEastAsia" w:cstheme="majorBidi"/>
      <w:color w:val="1F4E79" w:themeColor="accent1" w:themeShade="80"/>
      <w:sz w:val="24"/>
    </w:rPr>
  </w:style>
  <w:style w:type="character" w:customStyle="1" w:styleId="32">
    <w:name w:val="Heading 7 Char"/>
    <w:basedOn w:val="22"/>
    <w:link w:val="8"/>
    <w:semiHidden/>
    <w:qFormat/>
    <w:uiPriority w:val="9"/>
    <w:rPr>
      <w:rFonts w:asciiTheme="majorHAnsi" w:hAnsiTheme="majorHAnsi" w:eastAsiaTheme="majorEastAsia" w:cstheme="majorBidi"/>
      <w:i/>
      <w:iCs/>
      <w:color w:val="1F4E79" w:themeColor="accent1" w:themeShade="80"/>
      <w:sz w:val="24"/>
    </w:rPr>
  </w:style>
  <w:style w:type="character" w:customStyle="1" w:styleId="33">
    <w:name w:val="Heading 8 Char"/>
    <w:basedOn w:val="22"/>
    <w:link w:val="9"/>
    <w:semiHidden/>
    <w:qFormat/>
    <w:uiPriority w:val="9"/>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character" w:customStyle="1" w:styleId="34">
    <w:name w:val="Heading 9 Char"/>
    <w:basedOn w:val="22"/>
    <w:link w:val="10"/>
    <w:semiHidden/>
    <w:qFormat/>
    <w:uiPriority w:val="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customStyle="1" w:styleId="35">
    <w:name w:val="Comment Text Char"/>
    <w:basedOn w:val="22"/>
    <w:link w:val="12"/>
    <w:qFormat/>
    <w:uiPriority w:val="99"/>
    <w:rPr>
      <w:rFonts w:eastAsiaTheme="minorEastAsia"/>
      <w:sz w:val="20"/>
      <w:szCs w:val="20"/>
    </w:rPr>
  </w:style>
  <w:style w:type="character" w:customStyle="1" w:styleId="36">
    <w:name w:val="Balloon Text Char"/>
    <w:basedOn w:val="22"/>
    <w:link w:val="13"/>
    <w:semiHidden/>
    <w:qFormat/>
    <w:uiPriority w:val="99"/>
    <w:rPr>
      <w:rFonts w:ascii="Segoe UI" w:hAnsi="Segoe UI" w:cs="Segoe UI"/>
      <w:sz w:val="18"/>
      <w:szCs w:val="18"/>
    </w:rPr>
  </w:style>
  <w:style w:type="paragraph" w:styleId="37">
    <w:name w:val="List Paragraph"/>
    <w:basedOn w:val="1"/>
    <w:qFormat/>
    <w:uiPriority w:val="34"/>
    <w:pPr>
      <w:ind w:left="720"/>
      <w:contextualSpacing/>
    </w:pPr>
  </w:style>
  <w:style w:type="table" w:customStyle="1" w:styleId="38">
    <w:name w:val="Grid Table 4 - Accent 51"/>
    <w:basedOn w:val="20"/>
    <w:qFormat/>
    <w:uiPriority w:val="49"/>
    <w:tblPr>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
    <w:tblStylePr w:type="firstRow">
      <w:rPr>
        <w:b/>
        <w:bCs/>
        <w:color w:val="FFFFFF" w:themeColor="background1"/>
        <w14:textFill>
          <w14:solidFill>
            <w14:schemeClr w14:val="bg1"/>
          </w14:solidFill>
        </w14:textFill>
      </w:r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w:type="lastRow">
      <w:rPr>
        <w:b/>
        <w:bCs/>
      </w:rPr>
      <w:tcPr>
        <w:tcBorders>
          <w:top w:val="double" w:color="4472C4" w:themeColor="accent5" w:sz="4" w:space="0"/>
        </w:tcBorders>
      </w:tcPr>
    </w:tblStylePr>
    <w:tblStylePr w:type="firstCol">
      <w:rPr>
        <w:b/>
        <w:bCs/>
      </w:rPr>
    </w:tblStylePr>
    <w:tblStylePr w:type="lastCol">
      <w:rPr>
        <w:b/>
        <w:bCs/>
      </w:rPr>
    </w:tblStylePr>
    <w:tblStylePr w:type="band1Vert">
      <w:tcPr>
        <w:shd w:val="clear" w:color="auto" w:fill="D9E2F3" w:themeFill="accent5" w:themeFillTint="33"/>
      </w:tcPr>
    </w:tblStylePr>
    <w:tblStylePr w:type="band1Horz">
      <w:tcPr>
        <w:shd w:val="clear" w:color="auto" w:fill="D9E2F3" w:themeFill="accent5" w:themeFillTint="33"/>
      </w:tcPr>
    </w:tblStylePr>
  </w:style>
  <w:style w:type="table" w:customStyle="1" w:styleId="39">
    <w:name w:val="Grid Table 5 Dark - Accent 51"/>
    <w:basedOn w:val="20"/>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5"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5"/>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5"/>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5"/>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5"/>
      </w:tcPr>
    </w:tblStylePr>
    <w:tblStylePr w:type="band1Vert">
      <w:tcPr>
        <w:shd w:val="clear" w:color="auto" w:fill="B4C6E7" w:themeFill="accent5" w:themeFillTint="66"/>
      </w:tcPr>
    </w:tblStylePr>
    <w:tblStylePr w:type="band1Horz">
      <w:tcPr>
        <w:shd w:val="clear" w:color="auto" w:fill="B4C6E7" w:themeFill="accent5" w:themeFillTint="66"/>
      </w:tcPr>
    </w:tblStylePr>
  </w:style>
  <w:style w:type="character" w:customStyle="1" w:styleId="40">
    <w:name w:val="Comment Subject Char"/>
    <w:basedOn w:val="35"/>
    <w:link w:val="19"/>
    <w:semiHidden/>
    <w:qFormat/>
    <w:uiPriority w:val="99"/>
    <w:rPr>
      <w:rFonts w:ascii="Times New Roman" w:hAnsi="Times New Roman" w:eastAsiaTheme="minorEastAsia"/>
      <w:b/>
      <w:bCs/>
      <w:sz w:val="20"/>
      <w:szCs w:val="20"/>
    </w:rPr>
  </w:style>
  <w:style w:type="character" w:customStyle="1" w:styleId="41">
    <w:name w:val="未处理的提及1"/>
    <w:basedOn w:val="22"/>
    <w:semiHidden/>
    <w:unhideWhenUsed/>
    <w:qFormat/>
    <w:uiPriority w:val="99"/>
    <w:rPr>
      <w:color w:val="605E5C"/>
      <w:shd w:val="clear" w:color="auto" w:fill="E1DFDD"/>
    </w:rPr>
  </w:style>
  <w:style w:type="table" w:customStyle="1" w:styleId="42">
    <w:name w:val="List Table 4 - Accent 11"/>
    <w:basedOn w:val="20"/>
    <w:qFormat/>
    <w:uiPriority w:val="49"/>
    <w:tblP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tblBorders>
    </w:tblPr>
    <w:tblStylePr w:type="firstRow">
      <w:rPr>
        <w:b/>
        <w:bCs/>
        <w:color w:val="FFFFFF" w:themeColor="background1"/>
        <w14:textFill>
          <w14:solidFill>
            <w14:schemeClr w14:val="bg1"/>
          </w14:solidFill>
        </w14:textFill>
      </w:r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tcBorders>
        <w:shd w:val="clear" w:color="auto" w:fill="5B9BD5" w:themeFill="accent1"/>
      </w:tcPr>
    </w:tblStylePr>
    <w:tblStylePr w:type="lastRow">
      <w:rPr>
        <w:b/>
        <w:bCs/>
      </w:rPr>
      <w:tcPr>
        <w:tcBorders>
          <w:top w:val="double" w:color="9CC2E5" w:themeColor="accent1" w:themeTint="99" w:sz="4" w:space="0"/>
        </w:tcBorders>
      </w:tcPr>
    </w:tblStylePr>
    <w:tblStylePr w:type="firstCol">
      <w:rPr>
        <w:b/>
        <w:bCs/>
      </w:rPr>
    </w:tblStylePr>
    <w:tblStylePr w:type="lastCol">
      <w:rPr>
        <w:b/>
        <w:bCs/>
      </w:rPr>
    </w:tblStylePr>
    <w:tblStylePr w:type="band1Vert">
      <w:tcPr>
        <w:shd w:val="clear" w:color="auto" w:fill="DEEAF6" w:themeFill="accent1" w:themeFillTint="33"/>
      </w:tcPr>
    </w:tblStylePr>
    <w:tblStylePr w:type="band1Horz">
      <w:tcPr>
        <w:shd w:val="clear" w:color="auto" w:fill="DEEAF6" w:themeFill="accent1" w:themeFillTint="33"/>
      </w:tcPr>
    </w:tblStylePr>
  </w:style>
  <w:style w:type="paragraph" w:customStyle="1" w:styleId="43">
    <w:name w:val="WPSOffice手动目录 1"/>
    <w:uiPriority w:val="0"/>
    <w:pPr>
      <w:ind w:leftChars="0"/>
    </w:pPr>
    <w:rPr>
      <w:rFonts w:ascii="Times New Roman" w:hAnsi="Times New Roman" w:eastAsia="宋体" w:cs="Times New Roman"/>
      <w:sz w:val="20"/>
      <w:szCs w:val="20"/>
    </w:rPr>
  </w:style>
  <w:style w:type="paragraph" w:customStyle="1" w:styleId="44">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24037;&#20316;&#31807;1"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forceAA="0"/>
          <a:lstStyle/>
          <a:p>
            <a:pPr>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Gender</a:t>
            </a:r>
          </a:p>
        </c:rich>
      </c:tx>
      <c:layout>
        <c:manualLayout>
          <c:xMode val="edge"/>
          <c:yMode val="edge"/>
          <c:x val="0.430986842105263"/>
          <c:y val="0.0167014613778706"/>
        </c:manualLayout>
      </c:layout>
      <c:overlay val="0"/>
      <c:spPr>
        <a:noFill/>
        <a:ln>
          <a:noFill/>
        </a:ln>
        <a:effectLst/>
      </c:spPr>
    </c:title>
    <c:autoTitleDeleted val="0"/>
    <c:plotArea>
      <c:layout/>
      <c:pieChart>
        <c:varyColors val="1"/>
        <c:ser>
          <c:idx val="1"/>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[工作簿1]Sheet1!$B$2:$B$3</c:f>
              <c:strCache>
                <c:ptCount val="2"/>
                <c:pt idx="0">
                  <c:v>Male</c:v>
                </c:pt>
                <c:pt idx="1">
                  <c:v>Female</c:v>
                </c:pt>
              </c:strCache>
            </c:strRef>
          </c:cat>
          <c:val>
            <c:numRef>
              <c:f>[工作簿1]Sheet1!$C$2:$C$3</c:f>
              <c:numCache>
                <c:formatCode>General</c:formatCode>
                <c:ptCount val="2"/>
                <c:pt idx="0">
                  <c:v>67</c:v>
                </c:pt>
                <c:pt idx="1">
                  <c:v>33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forceAA="0"/>
          <a:lstStyle/>
          <a:p>
            <a:pPr>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Age</a:t>
            </a:r>
            <a:endParaRPr lang="en-US" altLang="zh-CN"/>
          </a:p>
        </c:rich>
      </c:tx>
      <c:layout>
        <c:manualLayout>
          <c:xMode val="edge"/>
          <c:yMode val="edge"/>
          <c:x val="0.430986842105263"/>
          <c:y val="0.0167014613778706"/>
        </c:manualLayout>
      </c:layout>
      <c:overlay val="0"/>
      <c:spPr>
        <a:noFill/>
        <a:ln>
          <a:noFill/>
        </a:ln>
        <a:effectLst/>
      </c:spPr>
    </c:title>
    <c:autoTitleDeleted val="0"/>
    <c:plotArea>
      <c:layout/>
      <c:pieChart>
        <c:varyColors val="1"/>
        <c:ser>
          <c:idx val="1"/>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[工作簿1]Sheet1!$B$4:$B$7</c:f>
              <c:strCache>
                <c:ptCount val="4"/>
                <c:pt idx="0">
                  <c:v>18-25</c:v>
                </c:pt>
                <c:pt idx="1">
                  <c:v>26-35</c:v>
                </c:pt>
                <c:pt idx="2">
                  <c:v>35-45</c:v>
                </c:pt>
                <c:pt idx="3">
                  <c:v>45-55</c:v>
                </c:pt>
              </c:strCache>
            </c:strRef>
          </c:cat>
          <c:val>
            <c:numRef>
              <c:f>[工作簿1]Sheet1!$C$4:$C$7</c:f>
              <c:numCache>
                <c:formatCode>General</c:formatCode>
                <c:ptCount val="4"/>
                <c:pt idx="0">
                  <c:v>11</c:v>
                </c:pt>
                <c:pt idx="1">
                  <c:v>37</c:v>
                </c:pt>
                <c:pt idx="2">
                  <c:v>25</c:v>
                </c:pt>
                <c:pt idx="3">
                  <c:v>27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forceAA="0"/>
          <a:lstStyle/>
          <a:p>
            <a:pPr>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Education</a:t>
            </a:r>
            <a:endParaRPr lang="en-US" altLang="zh-CN"/>
          </a:p>
        </c:rich>
      </c:tx>
      <c:layout>
        <c:manualLayout>
          <c:xMode val="edge"/>
          <c:yMode val="edge"/>
          <c:x val="0.430986842105263"/>
          <c:y val="0.0167014613778706"/>
        </c:manualLayout>
      </c:layout>
      <c:overlay val="0"/>
      <c:spPr>
        <a:noFill/>
        <a:ln>
          <a:noFill/>
        </a:ln>
        <a:effectLst/>
      </c:spPr>
    </c:title>
    <c:autoTitleDeleted val="0"/>
    <c:plotArea>
      <c:layout/>
      <c:pieChart>
        <c:varyColors val="1"/>
        <c:ser>
          <c:idx val="1"/>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[工作簿1]Sheet1!$B$8:$B$11</c:f>
              <c:strCache>
                <c:ptCount val="4"/>
                <c:pt idx="0">
                  <c:v>High school</c:v>
                </c:pt>
                <c:pt idx="1">
                  <c:v>Graduate</c:v>
                </c:pt>
                <c:pt idx="2">
                  <c:v>Masters</c:v>
                </c:pt>
                <c:pt idx="3">
                  <c:v>Professional degree</c:v>
                </c:pt>
              </c:strCache>
            </c:strRef>
          </c:cat>
          <c:val>
            <c:numRef>
              <c:f>[工作簿1]Sheet1!$C$8:$C$11</c:f>
              <c:numCache>
                <c:formatCode>General</c:formatCode>
                <c:ptCount val="4"/>
                <c:pt idx="0">
                  <c:v>12</c:v>
                </c:pt>
                <c:pt idx="1">
                  <c:v>52</c:v>
                </c:pt>
                <c:pt idx="2">
                  <c:v>28</c:v>
                </c:pt>
                <c:pt idx="3">
                  <c:v>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forceAA="0"/>
          <a:lstStyle/>
          <a:p>
            <a:pPr>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Profession</a:t>
            </a:r>
            <a:endParaRPr lang="en-US" altLang="zh-CN"/>
          </a:p>
        </c:rich>
      </c:tx>
      <c:layout>
        <c:manualLayout>
          <c:xMode val="edge"/>
          <c:yMode val="edge"/>
          <c:x val="0.430986842105263"/>
          <c:y val="0.0167014613778706"/>
        </c:manualLayout>
      </c:layout>
      <c:overlay val="0"/>
      <c:spPr>
        <a:noFill/>
        <a:ln>
          <a:noFill/>
        </a:ln>
        <a:effectLst/>
      </c:spPr>
    </c:title>
    <c:autoTitleDeleted val="0"/>
    <c:plotArea>
      <c:layout/>
      <c:pieChart>
        <c:varyColors val="1"/>
        <c:ser>
          <c:idx val="1"/>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[工作簿1]Sheet1!$B$12:$B$13</c:f>
              <c:strCache>
                <c:ptCount val="2"/>
                <c:pt idx="0">
                  <c:v>Professional worker</c:v>
                </c:pt>
                <c:pt idx="1">
                  <c:v>Students</c:v>
                </c:pt>
              </c:strCache>
            </c:strRef>
          </c:cat>
          <c:val>
            <c:numRef>
              <c:f>[工作簿1]Sheet1!$C$12:$C$13</c:f>
              <c:numCache>
                <c:formatCode>General</c:formatCode>
                <c:ptCount val="2"/>
                <c:pt idx="0">
                  <c:v>63</c:v>
                </c:pt>
                <c:pt idx="1">
                  <c:v>37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4E67DA-185D-48A6-BDBF-7DBDBAB1DC36}">
  <ds:schemaRefs/>
</ds:datastoreItem>
</file>

<file path=docProps/app.xml><?xml version="1.0" encoding="utf-8"?>
<Properties xmlns="http://schemas.openxmlformats.org/officeDocument/2006/extended-properties" xmlns:vt="http://schemas.openxmlformats.org/officeDocument/2006/docPropsVTypes">
  <Template>Normal.dotm</Template>
  <Pages>89</Pages>
  <Words>17436</Words>
  <Characters>100001</Characters>
  <Lines>825</Lines>
  <Paragraphs>232</Paragraphs>
  <TotalTime>3</TotalTime>
  <ScaleCrop>false</ScaleCrop>
  <LinksUpToDate>false</LinksUpToDate>
  <CharactersWithSpaces>116988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2024-09-20T08:48:00Z</dcterms:created>
  <dc:creator>LEI GUI</dc:creator>
  <cp:lastModifiedBy>ReNee Gui</cp:lastModifiedBy>
  <dcterms:modified xsi:type="dcterms:W3CDTF">2024-09-26T18:46:00Z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2CF8B34EFC144D9585A8693C67232158_13</vt:lpwstr>
  </property>
</Properties>
</file>