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6597DA6F"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w:t>
      </w:r>
      <w:r w:rsidR="008D0E6E">
        <w:rPr>
          <w:rFonts w:asciiTheme="minorBidi" w:hAnsiTheme="minorBidi"/>
          <w:b/>
          <w:bCs/>
          <w:sz w:val="48"/>
          <w:szCs w:val="48"/>
        </w:rPr>
        <w:t xml:space="preserve"> </w:t>
      </w:r>
      <w:r w:rsidR="008D0E6E">
        <w:rPr>
          <w:rFonts w:asciiTheme="minorBidi" w:hAnsiTheme="minorBidi"/>
          <w:sz w:val="48"/>
          <w:szCs w:val="48"/>
        </w:rPr>
        <w:t>ACADEMIC SKILLS</w:t>
      </w:r>
      <w:r w:rsidR="00445C0E">
        <w:rPr>
          <w:rFonts w:asciiTheme="minorBidi" w:hAnsiTheme="minorBidi"/>
          <w:b/>
          <w:bCs/>
          <w:sz w:val="48"/>
          <w:szCs w:val="48"/>
        </w:rPr>
        <w:t xml:space="preserve"> </w:t>
      </w:r>
    </w:p>
    <w:p w14:paraId="14F1CDB2" w14:textId="4126BC4C" w:rsidR="00E6780D" w:rsidRPr="008D0E6E" w:rsidRDefault="00E6780D" w:rsidP="00E6780D">
      <w:pPr>
        <w:spacing w:before="3"/>
        <w:rPr>
          <w:rFonts w:asciiTheme="minorBidi" w:hAnsiTheme="minorBidi"/>
          <w:bCs/>
          <w:sz w:val="48"/>
          <w:szCs w:val="48"/>
        </w:rPr>
      </w:pPr>
      <w:r w:rsidRPr="0040098D">
        <w:rPr>
          <w:rFonts w:asciiTheme="minorBidi" w:hAnsiTheme="minorBidi"/>
          <w:b/>
          <w:sz w:val="48"/>
          <w:szCs w:val="48"/>
        </w:rPr>
        <w:t>Student Name:</w:t>
      </w:r>
      <w:r w:rsidR="008D0E6E">
        <w:rPr>
          <w:rFonts w:asciiTheme="minorBidi" w:hAnsiTheme="minorBidi"/>
          <w:b/>
          <w:sz w:val="48"/>
          <w:szCs w:val="48"/>
        </w:rPr>
        <w:t xml:space="preserve"> </w:t>
      </w:r>
      <w:r w:rsidR="008D0E6E">
        <w:rPr>
          <w:rFonts w:asciiTheme="minorBidi" w:hAnsiTheme="minorBidi"/>
          <w:bCs/>
          <w:sz w:val="48"/>
          <w:szCs w:val="48"/>
        </w:rPr>
        <w:t>AYSAN BULBUL</w:t>
      </w:r>
    </w:p>
    <w:p w14:paraId="1B6CEBE0" w14:textId="1A038DC1" w:rsidR="00E6780D" w:rsidRPr="008D0E6E" w:rsidRDefault="00E6780D" w:rsidP="00E6780D">
      <w:pPr>
        <w:spacing w:before="3"/>
        <w:rPr>
          <w:rFonts w:asciiTheme="minorBidi" w:hAnsiTheme="minorBidi"/>
          <w:bCs/>
          <w:sz w:val="48"/>
          <w:szCs w:val="48"/>
        </w:rPr>
      </w:pPr>
      <w:r w:rsidRPr="0040098D">
        <w:rPr>
          <w:rFonts w:asciiTheme="minorBidi" w:hAnsiTheme="minorBidi"/>
          <w:b/>
          <w:sz w:val="48"/>
          <w:szCs w:val="48"/>
        </w:rPr>
        <w:t>Student Number:</w:t>
      </w:r>
      <w:r w:rsidR="0028336A">
        <w:rPr>
          <w:rFonts w:asciiTheme="minorBidi" w:hAnsiTheme="minorBidi"/>
          <w:b/>
          <w:sz w:val="48"/>
          <w:szCs w:val="48"/>
        </w:rPr>
        <w:t xml:space="preserve"> </w:t>
      </w:r>
      <w:r w:rsidR="003A29F1">
        <w:rPr>
          <w:rFonts w:asciiTheme="minorBidi" w:hAnsiTheme="minorBidi"/>
          <w:bCs/>
          <w:sz w:val="48"/>
          <w:szCs w:val="48"/>
        </w:rPr>
        <w:t>2410319</w:t>
      </w:r>
    </w:p>
    <w:p w14:paraId="3CA1AB6B" w14:textId="3D1849D8" w:rsidR="00E6780D" w:rsidRPr="003A29F1"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D22685">
        <w:rPr>
          <w:rFonts w:asciiTheme="minorBidi" w:hAnsiTheme="minorBidi"/>
          <w:bCs/>
          <w:sz w:val="48"/>
          <w:szCs w:val="48"/>
        </w:rPr>
        <w:t>CHRIS WILKIN</w:t>
      </w:r>
      <w:r w:rsidRPr="0040098D">
        <w:rPr>
          <w:rFonts w:asciiTheme="minorBidi" w:hAnsiTheme="minorBidi"/>
          <w:b/>
          <w:sz w:val="48"/>
          <w:szCs w:val="48"/>
        </w:rPr>
        <w:br/>
        <w:t xml:space="preserve">Deadline: </w:t>
      </w:r>
      <w:r w:rsidR="0028336A">
        <w:rPr>
          <w:rFonts w:asciiTheme="minorBidi" w:hAnsiTheme="minorBidi"/>
          <w:bCs/>
          <w:sz w:val="48"/>
          <w:szCs w:val="48"/>
        </w:rPr>
        <w:t>27 FEBRUARY 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71B8EB4E" w14:textId="5EC22BE0" w:rsidR="00E6780D" w:rsidRDefault="00C963C3" w:rsidP="00E6780D">
      <w:pPr>
        <w:rPr>
          <w:rFonts w:ascii="Aptos" w:hAnsi="Aptos"/>
          <w:b/>
          <w:bCs/>
          <w:sz w:val="32"/>
          <w:szCs w:val="32"/>
        </w:rPr>
      </w:pPr>
      <w:r>
        <w:rPr>
          <w:rFonts w:ascii="Aptos" w:hAnsi="Aptos"/>
          <w:b/>
          <w:bCs/>
          <w:sz w:val="32"/>
          <w:szCs w:val="32"/>
        </w:rPr>
        <w:t>Wordcount:</w:t>
      </w:r>
      <w:r w:rsidR="00612E37">
        <w:rPr>
          <w:rFonts w:ascii="Aptos" w:hAnsi="Aptos"/>
          <w:b/>
          <w:bCs/>
          <w:sz w:val="32"/>
          <w:szCs w:val="32"/>
        </w:rPr>
        <w:t>147</w:t>
      </w:r>
      <w:r w:rsidR="003877FC">
        <w:rPr>
          <w:rFonts w:ascii="Aptos" w:hAnsi="Aptos"/>
          <w:b/>
          <w:bCs/>
          <w:sz w:val="32"/>
          <w:szCs w:val="32"/>
        </w:rPr>
        <w:t>6</w:t>
      </w:r>
      <w:r>
        <w:rPr>
          <w:rFonts w:ascii="Aptos" w:hAnsi="Aptos"/>
          <w:b/>
          <w:bCs/>
          <w:sz w:val="32"/>
          <w:szCs w:val="32"/>
        </w:rPr>
        <w:br/>
      </w:r>
    </w:p>
    <w:p w14:paraId="3D58DD7A" w14:textId="3B8F679A" w:rsidR="00C963C3" w:rsidRPr="009F24C9" w:rsidRDefault="00C963C3" w:rsidP="00C963C3">
      <w:pPr>
        <w:rPr>
          <w:rFonts w:ascii="Arial" w:hAnsi="Arial" w:cs="Arial"/>
          <w:b/>
          <w:bCs/>
        </w:rPr>
      </w:pPr>
      <w:r w:rsidRPr="009F24C9">
        <w:rPr>
          <w:rFonts w:ascii="Arial" w:hAnsi="Arial" w:cs="Arial"/>
          <w:b/>
          <w:bCs/>
        </w:rPr>
        <w:lastRenderedPageBreak/>
        <w:t>AI Acknowledgement</w:t>
      </w:r>
    </w:p>
    <w:p w14:paraId="15356910" w14:textId="77777777" w:rsidR="00C963C3" w:rsidRPr="009F24C9" w:rsidRDefault="00C963C3" w:rsidP="00C963C3">
      <w:pPr>
        <w:rPr>
          <w:rFonts w:ascii="Arial" w:hAnsi="Arial" w:cs="Arial"/>
        </w:rPr>
      </w:pPr>
      <w:r w:rsidRPr="009F24C9">
        <w:rPr>
          <w:rFonts w:ascii="Arial" w:hAnsi="Arial" w:cs="Arial"/>
          <w:i/>
          <w:iCs/>
        </w:rPr>
        <w:t>(This section is compulsory for all students.)</w:t>
      </w:r>
    </w:p>
    <w:p w14:paraId="3D0C5930" w14:textId="77777777" w:rsidR="00C963C3" w:rsidRPr="009F24C9" w:rsidRDefault="00C963C3" w:rsidP="00C963C3">
      <w:pPr>
        <w:rPr>
          <w:rFonts w:ascii="Arial" w:hAnsi="Arial" w:cs="Arial"/>
        </w:rPr>
      </w:pPr>
      <w:r w:rsidRPr="009F24C9">
        <w:rPr>
          <w:rFonts w:ascii="Arial" w:hAnsi="Arial" w:cs="Arial"/>
        </w:rPr>
        <w:t xml:space="preserve">I acknowledge the use of </w:t>
      </w:r>
      <w:r w:rsidRPr="009F24C9">
        <w:rPr>
          <w:rFonts w:ascii="Arial" w:hAnsi="Arial" w:cs="Arial"/>
          <w:b/>
          <w:bCs/>
        </w:rPr>
        <w:t>[AI tool name]</w:t>
      </w:r>
      <w:r w:rsidRPr="009F24C9">
        <w:rPr>
          <w:rFonts w:ascii="Arial" w:hAnsi="Arial" w:cs="Arial"/>
        </w:rPr>
        <w:t xml:space="preserve"> (</w:t>
      </w:r>
      <w:r w:rsidRPr="009F24C9">
        <w:rPr>
          <w:rFonts w:ascii="Arial" w:hAnsi="Arial" w:cs="Arial"/>
          <w:b/>
          <w:bCs/>
        </w:rPr>
        <w:t>[AI tool URL]</w:t>
      </w:r>
      <w:r w:rsidRPr="009F24C9">
        <w:rPr>
          <w:rFonts w:ascii="Arial" w:hAnsi="Arial" w:cs="Arial"/>
        </w:rPr>
        <w:t xml:space="preserve">) on </w:t>
      </w:r>
      <w:r w:rsidRPr="009F24C9">
        <w:rPr>
          <w:rFonts w:ascii="Arial" w:hAnsi="Arial" w:cs="Arial"/>
          <w:b/>
          <w:bCs/>
        </w:rPr>
        <w:t>[date]</w:t>
      </w:r>
      <w:r w:rsidRPr="009F24C9">
        <w:rPr>
          <w:rFonts w:ascii="Arial" w:hAnsi="Arial" w:cs="Arial"/>
        </w:rPr>
        <w:t xml:space="preserve"> to support </w:t>
      </w:r>
      <w:r w:rsidRPr="009F24C9">
        <w:rPr>
          <w:rFonts w:ascii="Arial" w:hAnsi="Arial" w:cs="Arial"/>
          <w:b/>
          <w:bCs/>
        </w:rPr>
        <w:t>[state purpose – e.g. research / proofreading / none]</w:t>
      </w:r>
      <w:r w:rsidRPr="009F24C9">
        <w:rPr>
          <w:rFonts w:ascii="Arial" w:hAnsi="Arial" w:cs="Arial"/>
        </w:rPr>
        <w:t>.</w:t>
      </w:r>
    </w:p>
    <w:p w14:paraId="1DC66021" w14:textId="77777777" w:rsidR="00C963C3" w:rsidRPr="009F24C9" w:rsidRDefault="00C963C3" w:rsidP="00C963C3">
      <w:pPr>
        <w:rPr>
          <w:rFonts w:ascii="Arial" w:hAnsi="Arial" w:cs="Arial"/>
          <w:b/>
          <w:bCs/>
        </w:rPr>
      </w:pPr>
      <w:r w:rsidRPr="009F24C9">
        <w:rPr>
          <w:rFonts w:ascii="Arial" w:hAnsi="Arial" w:cs="Arial"/>
          <w:b/>
          <w:bCs/>
        </w:rPr>
        <w:t>Prompt(s) used (if applicable):</w:t>
      </w:r>
    </w:p>
    <w:p w14:paraId="5E6295B9" w14:textId="77777777" w:rsidR="00C963C3" w:rsidRPr="009F24C9" w:rsidRDefault="00C963C3" w:rsidP="00C963C3">
      <w:pPr>
        <w:numPr>
          <w:ilvl w:val="0"/>
          <w:numId w:val="3"/>
        </w:numPr>
        <w:rPr>
          <w:rFonts w:ascii="Arial" w:hAnsi="Arial" w:cs="Arial"/>
        </w:rPr>
      </w:pPr>
    </w:p>
    <w:p w14:paraId="078665C0" w14:textId="77777777" w:rsidR="00C963C3" w:rsidRPr="009F24C9" w:rsidRDefault="00C963C3" w:rsidP="00C963C3">
      <w:pPr>
        <w:rPr>
          <w:rFonts w:ascii="Arial" w:hAnsi="Arial" w:cs="Arial"/>
        </w:rPr>
        <w:sectPr w:rsidR="00C963C3" w:rsidRPr="009F24C9">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tools.</w:t>
      </w:r>
    </w:p>
    <w:sdt>
      <w:sdtPr>
        <w:rPr>
          <w:rFonts w:ascii="Arial" w:eastAsiaTheme="minorEastAsia" w:hAnsi="Arial" w:cs="Arial"/>
          <w:color w:val="auto"/>
          <w:kern w:val="2"/>
          <w:sz w:val="24"/>
          <w:szCs w:val="24"/>
          <w:lang w:val="en-GB" w:eastAsia="zh-CN"/>
          <w14:ligatures w14:val="standardContextual"/>
        </w:rPr>
        <w:id w:val="-1599325537"/>
        <w:docPartObj>
          <w:docPartGallery w:val="Table of Contents"/>
          <w:docPartUnique/>
        </w:docPartObj>
      </w:sdtPr>
      <w:sdtEndPr>
        <w:rPr>
          <w:b/>
          <w:bCs/>
          <w:noProof/>
        </w:rPr>
      </w:sdtEndPr>
      <w:sdtContent>
        <w:p w14:paraId="53E499C3" w14:textId="2BB85D98" w:rsidR="00C963C3" w:rsidRPr="009F24C9" w:rsidRDefault="00C963C3">
          <w:pPr>
            <w:pStyle w:val="TOCHeading"/>
            <w:rPr>
              <w:rFonts w:ascii="Arial" w:hAnsi="Arial" w:cs="Arial"/>
            </w:rPr>
          </w:pPr>
          <w:r w:rsidRPr="009F24C9">
            <w:rPr>
              <w:rFonts w:ascii="Arial" w:hAnsi="Arial" w:cs="Arial"/>
            </w:rPr>
            <w:t>Contents</w:t>
          </w:r>
        </w:p>
        <w:p w14:paraId="6E985652" w14:textId="5D601D0A" w:rsidR="009F24C9" w:rsidRDefault="00C963C3">
          <w:pPr>
            <w:pStyle w:val="TOC1"/>
            <w:tabs>
              <w:tab w:val="right" w:leader="dot" w:pos="9016"/>
            </w:tabs>
            <w:rPr>
              <w:noProof/>
            </w:rPr>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hyperlink w:anchor="_Toc218876933" w:history="1">
            <w:r w:rsidR="009F24C9" w:rsidRPr="00731828">
              <w:rPr>
                <w:rStyle w:val="Hyperlink"/>
                <w:rFonts w:ascii="Arial" w:hAnsi="Arial" w:cs="Arial"/>
                <w:noProof/>
              </w:rPr>
              <w:t>Component 1 – Development of Academic Skills (500 words)</w:t>
            </w:r>
            <w:r w:rsidR="009F24C9">
              <w:rPr>
                <w:noProof/>
                <w:webHidden/>
              </w:rPr>
              <w:tab/>
            </w:r>
            <w:r w:rsidR="009F24C9">
              <w:rPr>
                <w:noProof/>
                <w:webHidden/>
              </w:rPr>
              <w:fldChar w:fldCharType="begin"/>
            </w:r>
            <w:r w:rsidR="009F24C9">
              <w:rPr>
                <w:noProof/>
                <w:webHidden/>
              </w:rPr>
              <w:instrText xml:space="preserve"> PAGEREF _Toc218876933 \h </w:instrText>
            </w:r>
            <w:r w:rsidR="009F24C9">
              <w:rPr>
                <w:noProof/>
                <w:webHidden/>
              </w:rPr>
            </w:r>
            <w:r w:rsidR="009F24C9">
              <w:rPr>
                <w:noProof/>
                <w:webHidden/>
              </w:rPr>
              <w:fldChar w:fldCharType="separate"/>
            </w:r>
            <w:r w:rsidR="009F24C9">
              <w:rPr>
                <w:noProof/>
                <w:webHidden/>
              </w:rPr>
              <w:t>4</w:t>
            </w:r>
            <w:r w:rsidR="009F24C9">
              <w:rPr>
                <w:noProof/>
                <w:webHidden/>
              </w:rPr>
              <w:fldChar w:fldCharType="end"/>
            </w:r>
          </w:hyperlink>
        </w:p>
        <w:p w14:paraId="65348511" w14:textId="0BB84FA4" w:rsidR="009F24C9" w:rsidRDefault="009F24C9">
          <w:pPr>
            <w:pStyle w:val="TOC1"/>
            <w:tabs>
              <w:tab w:val="right" w:leader="dot" w:pos="9016"/>
            </w:tabs>
            <w:rPr>
              <w:noProof/>
            </w:rPr>
          </w:pPr>
          <w:hyperlink w:anchor="_Toc218876934" w:history="1">
            <w:r w:rsidRPr="00731828">
              <w:rPr>
                <w:rStyle w:val="Hyperlink"/>
                <w:rFonts w:ascii="Arial" w:hAnsi="Arial" w:cs="Arial"/>
                <w:noProof/>
              </w:rPr>
              <w:t>Component 2 – Application of Academic Skills (1,000 words)</w:t>
            </w:r>
            <w:r>
              <w:rPr>
                <w:noProof/>
                <w:webHidden/>
              </w:rPr>
              <w:tab/>
            </w:r>
            <w:r w:rsidR="00BE6CF2">
              <w:rPr>
                <w:noProof/>
                <w:webHidden/>
              </w:rPr>
              <w:t>9</w:t>
            </w:r>
          </w:hyperlink>
        </w:p>
        <w:p w14:paraId="2AE1D1FE" w14:textId="4C664A48" w:rsidR="009F24C9" w:rsidRDefault="009F24C9">
          <w:pPr>
            <w:pStyle w:val="TOC1"/>
            <w:tabs>
              <w:tab w:val="right" w:leader="dot" w:pos="9016"/>
            </w:tabs>
            <w:rPr>
              <w:noProof/>
            </w:rPr>
          </w:pPr>
          <w:hyperlink w:anchor="_Toc218876935" w:history="1">
            <w:r w:rsidRPr="00731828">
              <w:rPr>
                <w:rStyle w:val="Hyperlink"/>
                <w:rFonts w:ascii="Arial" w:hAnsi="Arial" w:cs="Arial"/>
                <w:noProof/>
              </w:rPr>
              <w:t>Component 3 – Academic Poster</w:t>
            </w:r>
            <w:r>
              <w:rPr>
                <w:noProof/>
                <w:webHidden/>
              </w:rPr>
              <w:tab/>
            </w:r>
            <w:r w:rsidR="008470D2">
              <w:rPr>
                <w:noProof/>
                <w:webHidden/>
              </w:rPr>
              <w:t>13</w:t>
            </w:r>
          </w:hyperlink>
        </w:p>
        <w:p w14:paraId="03EBA343" w14:textId="3441B792" w:rsidR="00C963C3" w:rsidRPr="009F24C9" w:rsidRDefault="00C963C3">
          <w:pPr>
            <w:rPr>
              <w:rFonts w:ascii="Arial" w:hAnsi="Arial" w:cs="Arial"/>
            </w:rPr>
          </w:pPr>
          <w:r w:rsidRPr="009F24C9">
            <w:rPr>
              <w:rFonts w:ascii="Arial" w:hAnsi="Arial" w:cs="Arial"/>
              <w:b/>
              <w:bCs/>
              <w:noProof/>
            </w:rPr>
            <w:fldChar w:fldCharType="end"/>
          </w:r>
        </w:p>
      </w:sdtContent>
    </w:sdt>
    <w:p w14:paraId="1AF98FE6" w14:textId="77777777" w:rsidR="00C963C3" w:rsidRPr="009F24C9" w:rsidRDefault="00C963C3" w:rsidP="00C963C3">
      <w:pPr>
        <w:rPr>
          <w:rFonts w:ascii="Arial" w:hAnsi="Arial" w:cs="Arial"/>
        </w:rPr>
        <w:sectPr w:rsidR="00C963C3" w:rsidRPr="009F24C9">
          <w:pgSz w:w="11906" w:h="16838"/>
          <w:pgMar w:top="1440" w:right="1440" w:bottom="1440" w:left="1440" w:header="708" w:footer="708" w:gutter="0"/>
          <w:cols w:space="708"/>
          <w:docGrid w:linePitch="360"/>
        </w:sectPr>
      </w:pPr>
    </w:p>
    <w:p w14:paraId="6083AB43" w14:textId="1C8DB929" w:rsidR="00AB6267" w:rsidRPr="00C8461D" w:rsidRDefault="00C963C3" w:rsidP="00C8461D">
      <w:pPr>
        <w:pStyle w:val="Heading1"/>
        <w:rPr>
          <w:rFonts w:ascii="Arial" w:hAnsi="Arial" w:cs="Arial"/>
        </w:rPr>
      </w:pPr>
      <w:bookmarkStart w:id="0" w:name="_Toc218876933"/>
      <w:r w:rsidRPr="009F24C9">
        <w:rPr>
          <w:rFonts w:ascii="Arial" w:hAnsi="Arial" w:cs="Arial"/>
        </w:rPr>
        <w:lastRenderedPageBreak/>
        <w:t xml:space="preserve">Component 1 – Development of Academic Skills </w:t>
      </w:r>
      <w:bookmarkEnd w:id="0"/>
    </w:p>
    <w:p w14:paraId="29963419" w14:textId="77777777" w:rsidR="00C963C3" w:rsidRPr="009F24C9" w:rsidRDefault="00C963C3" w:rsidP="00C963C3">
      <w:pPr>
        <w:rPr>
          <w:rFonts w:ascii="Arial" w:hAnsi="Arial" w:cs="Arial"/>
          <w:b/>
          <w:bCs/>
        </w:rPr>
      </w:pPr>
      <w:r w:rsidRPr="009F24C9">
        <w:rPr>
          <w:rFonts w:ascii="Arial" w:hAnsi="Arial" w:cs="Arial"/>
          <w:b/>
          <w:bCs/>
        </w:rPr>
        <w:t>Source 1</w:t>
      </w:r>
    </w:p>
    <w:p w14:paraId="02597761" w14:textId="1E7000FF" w:rsidR="00C963C3" w:rsidRPr="006C36CA" w:rsidRDefault="00C963C3" w:rsidP="008240D2">
      <w:pPr>
        <w:spacing w:line="360" w:lineRule="auto"/>
        <w:rPr>
          <w:rFonts w:ascii="Arial" w:hAnsi="Arial" w:cs="Arial"/>
        </w:rPr>
      </w:pPr>
      <w:r w:rsidRPr="006C36CA">
        <w:rPr>
          <w:rFonts w:ascii="Arial" w:hAnsi="Arial" w:cs="Arial"/>
        </w:rPr>
        <w:t>Author(s) and year:</w:t>
      </w:r>
      <w:r w:rsidR="007D475D" w:rsidRPr="006C36CA">
        <w:t xml:space="preserve"> </w:t>
      </w:r>
      <w:proofErr w:type="spellStart"/>
      <w:r w:rsidR="007D475D" w:rsidRPr="006C36CA">
        <w:rPr>
          <w:rFonts w:ascii="Arial" w:hAnsi="Arial" w:cs="Arial"/>
        </w:rPr>
        <w:t>Mexhuani</w:t>
      </w:r>
      <w:proofErr w:type="spellEnd"/>
      <w:r w:rsidR="007D475D" w:rsidRPr="006C36CA">
        <w:rPr>
          <w:rFonts w:ascii="Arial" w:hAnsi="Arial" w:cs="Arial"/>
        </w:rPr>
        <w:t>, B.2025 ‘Adopting Digital Tools in Higher Education: Opportunities, Challenges and Theoretical Insights’</w:t>
      </w:r>
      <w:r w:rsidRPr="006C36CA">
        <w:rPr>
          <w:rFonts w:ascii="Arial" w:hAnsi="Arial" w:cs="Arial"/>
        </w:rPr>
        <w:br/>
        <w:t>Where you found the source (e.g. library database, Google Scholar):</w:t>
      </w:r>
      <w:r w:rsidR="007A735E" w:rsidRPr="006C36CA">
        <w:t xml:space="preserve"> </w:t>
      </w:r>
      <w:r w:rsidR="007A735E" w:rsidRPr="006C36CA">
        <w:rPr>
          <w:rFonts w:ascii="Arial" w:hAnsi="Arial" w:cs="Arial"/>
        </w:rPr>
        <w:t>University Library Database</w:t>
      </w:r>
    </w:p>
    <w:p w14:paraId="3D4584FA" w14:textId="77777777" w:rsidR="00C963C3" w:rsidRPr="006C36CA" w:rsidRDefault="00C963C3" w:rsidP="008240D2">
      <w:pPr>
        <w:spacing w:line="360" w:lineRule="auto"/>
        <w:rPr>
          <w:rFonts w:ascii="Arial" w:hAnsi="Arial" w:cs="Arial"/>
        </w:rPr>
      </w:pPr>
      <w:r w:rsidRPr="006C36CA">
        <w:rPr>
          <w:rFonts w:ascii="Arial" w:hAnsi="Arial" w:cs="Arial"/>
        </w:rPr>
        <w:t>Using the CRAAP Test, briefly evaluate:</w:t>
      </w:r>
    </w:p>
    <w:p w14:paraId="53DA7E3B" w14:textId="31CA3161" w:rsidR="005C237D" w:rsidRPr="006C36CA" w:rsidRDefault="00C963C3" w:rsidP="008240D2">
      <w:pPr>
        <w:numPr>
          <w:ilvl w:val="0"/>
          <w:numId w:val="18"/>
        </w:numPr>
        <w:spacing w:line="360" w:lineRule="auto"/>
        <w:rPr>
          <w:rFonts w:ascii="Arial" w:hAnsi="Arial" w:cs="Arial"/>
        </w:rPr>
      </w:pPr>
      <w:r w:rsidRPr="006C36CA">
        <w:rPr>
          <w:rFonts w:ascii="Arial" w:hAnsi="Arial" w:cs="Arial"/>
        </w:rPr>
        <w:t>Currency:</w:t>
      </w:r>
      <w:r w:rsidR="008200D6" w:rsidRPr="006C36CA">
        <w:t xml:space="preserve"> </w:t>
      </w:r>
      <w:proofErr w:type="spellStart"/>
      <w:r w:rsidR="008200D6" w:rsidRPr="006C36CA">
        <w:rPr>
          <w:rFonts w:ascii="Arial" w:hAnsi="Arial" w:cs="Arial"/>
        </w:rPr>
        <w:t>Mexhuani</w:t>
      </w:r>
      <w:proofErr w:type="spellEnd"/>
      <w:r w:rsidR="008200D6" w:rsidRPr="006C36CA">
        <w:rPr>
          <w:rFonts w:ascii="Arial" w:hAnsi="Arial" w:cs="Arial"/>
        </w:rPr>
        <w:t xml:space="preserve"> exhibits strong currency using the CRAAP Test since it discusses current advancements in higher education's digital transformation.</w:t>
      </w:r>
    </w:p>
    <w:p w14:paraId="0E64EC64" w14:textId="14093C6C" w:rsidR="00BC28FC" w:rsidRPr="006C36CA" w:rsidRDefault="00C963C3" w:rsidP="008240D2">
      <w:pPr>
        <w:numPr>
          <w:ilvl w:val="0"/>
          <w:numId w:val="18"/>
        </w:numPr>
        <w:spacing w:line="360" w:lineRule="auto"/>
        <w:rPr>
          <w:rFonts w:ascii="Arial" w:hAnsi="Arial" w:cs="Arial"/>
        </w:rPr>
      </w:pPr>
      <w:r w:rsidRPr="006C36CA">
        <w:rPr>
          <w:rFonts w:ascii="Arial" w:hAnsi="Arial" w:cs="Arial"/>
        </w:rPr>
        <w:t>Relevance:</w:t>
      </w:r>
      <w:r w:rsidR="00BC28FC" w:rsidRPr="006C36CA">
        <w:t xml:space="preserve"> </w:t>
      </w:r>
      <w:r w:rsidR="00BC28FC" w:rsidRPr="006C36CA">
        <w:rPr>
          <w:rFonts w:ascii="Arial" w:hAnsi="Arial" w:cs="Arial"/>
        </w:rPr>
        <w:t>The article's concentrated focus on the advantages and disadvantages of implementing digital tools makes it highly relevant.</w:t>
      </w:r>
    </w:p>
    <w:p w14:paraId="2CAAD3D0" w14:textId="7C6E65BD" w:rsidR="009540A8" w:rsidRPr="006C36CA" w:rsidRDefault="00C963C3" w:rsidP="008240D2">
      <w:pPr>
        <w:numPr>
          <w:ilvl w:val="0"/>
          <w:numId w:val="18"/>
        </w:numPr>
        <w:spacing w:line="360" w:lineRule="auto"/>
        <w:rPr>
          <w:rFonts w:ascii="Arial" w:hAnsi="Arial" w:cs="Arial"/>
        </w:rPr>
      </w:pPr>
      <w:r w:rsidRPr="006C36CA">
        <w:rPr>
          <w:rFonts w:ascii="Arial" w:hAnsi="Arial" w:cs="Arial"/>
        </w:rPr>
        <w:t>Authority:</w:t>
      </w:r>
      <w:r w:rsidR="00FB5C91" w:rsidRPr="006C36CA">
        <w:rPr>
          <w:rFonts w:ascii="Arial" w:hAnsi="Arial" w:cs="Arial"/>
        </w:rPr>
        <w:t xml:space="preserve"> The author's academic training in political science and research increases credibility in terms of authority. Dr Burim </w:t>
      </w:r>
      <w:proofErr w:type="spellStart"/>
      <w:r w:rsidR="00FB5C91" w:rsidRPr="006C36CA">
        <w:rPr>
          <w:rFonts w:ascii="Arial" w:hAnsi="Arial" w:cs="Arial"/>
        </w:rPr>
        <w:t>Mexhuani</w:t>
      </w:r>
      <w:proofErr w:type="spellEnd"/>
      <w:r w:rsidR="00FB5C91" w:rsidRPr="006C36CA">
        <w:rPr>
          <w:rFonts w:ascii="Arial" w:hAnsi="Arial" w:cs="Arial"/>
        </w:rPr>
        <w:t xml:space="preserve"> is an independent researcher in political science and international relations. He holds a PhD from the European University of Tirana, specialising in ideology and political parties in Kosovo. His work examines governance and democratisation in post-conflict Balkan societies (Ideology and Identity in Kosovo’s Political Landscape, 2024)</w:t>
      </w:r>
    </w:p>
    <w:p w14:paraId="082DB097" w14:textId="07D9FD17" w:rsidR="00011232" w:rsidRPr="006C36CA" w:rsidRDefault="00C963C3" w:rsidP="008240D2">
      <w:pPr>
        <w:numPr>
          <w:ilvl w:val="0"/>
          <w:numId w:val="18"/>
        </w:numPr>
        <w:spacing w:line="360" w:lineRule="auto"/>
        <w:rPr>
          <w:rFonts w:ascii="Arial" w:hAnsi="Arial" w:cs="Arial"/>
        </w:rPr>
      </w:pPr>
      <w:r w:rsidRPr="006C36CA">
        <w:rPr>
          <w:rFonts w:ascii="Arial" w:hAnsi="Arial" w:cs="Arial"/>
        </w:rPr>
        <w:t>Accuracy:</w:t>
      </w:r>
      <w:r w:rsidR="00011232" w:rsidRPr="006C36CA">
        <w:t xml:space="preserve"> </w:t>
      </w:r>
      <w:r w:rsidR="00011232" w:rsidRPr="006C36CA">
        <w:rPr>
          <w:rFonts w:ascii="Arial" w:hAnsi="Arial" w:cs="Arial"/>
        </w:rPr>
        <w:t>Since arguments are supported by academic references and theoretical frameworks, the discussion seems to be accurate.</w:t>
      </w:r>
    </w:p>
    <w:p w14:paraId="588B271F" w14:textId="7ECADB7E" w:rsidR="00B018FF" w:rsidRPr="006C36CA" w:rsidRDefault="00C963C3" w:rsidP="008240D2">
      <w:pPr>
        <w:numPr>
          <w:ilvl w:val="0"/>
          <w:numId w:val="18"/>
        </w:numPr>
        <w:spacing w:line="360" w:lineRule="auto"/>
        <w:rPr>
          <w:rFonts w:ascii="Arial" w:hAnsi="Arial" w:cs="Arial"/>
        </w:rPr>
      </w:pPr>
      <w:r w:rsidRPr="006C36CA">
        <w:rPr>
          <w:rFonts w:ascii="Arial" w:hAnsi="Arial" w:cs="Arial"/>
        </w:rPr>
        <w:t>Purpose:</w:t>
      </w:r>
      <w:r w:rsidR="00B018FF" w:rsidRPr="006C36CA">
        <w:t xml:space="preserve"> </w:t>
      </w:r>
      <w:r w:rsidR="00B018FF" w:rsidRPr="006C36CA">
        <w:rPr>
          <w:rFonts w:ascii="Arial" w:hAnsi="Arial" w:cs="Arial"/>
        </w:rPr>
        <w:t>The article's academic legitimacy is increased by its analytical and educational goal, which is to critically assess digital adoption rather than support for a specific technological solution.</w:t>
      </w:r>
    </w:p>
    <w:p w14:paraId="2B2E8ABD" w14:textId="77777777" w:rsidR="00C963C3" w:rsidRPr="006C36CA" w:rsidRDefault="00C963C3" w:rsidP="008240D2">
      <w:pPr>
        <w:spacing w:line="360" w:lineRule="auto"/>
        <w:rPr>
          <w:rFonts w:ascii="Arial" w:hAnsi="Arial" w:cs="Arial"/>
        </w:rPr>
      </w:pPr>
      <w:r w:rsidRPr="006C36CA">
        <w:rPr>
          <w:rFonts w:ascii="Arial" w:hAnsi="Arial" w:cs="Arial"/>
        </w:rPr>
        <w:t>Full reference (Harvard style):</w:t>
      </w:r>
    </w:p>
    <w:p w14:paraId="716E3899" w14:textId="77777777" w:rsidR="00906B0D" w:rsidRPr="006C36CA" w:rsidRDefault="00906B0D" w:rsidP="008240D2">
      <w:pPr>
        <w:spacing w:line="360" w:lineRule="auto"/>
        <w:rPr>
          <w:rFonts w:ascii="Arial" w:hAnsi="Arial" w:cs="Arial"/>
        </w:rPr>
      </w:pPr>
      <w:proofErr w:type="spellStart"/>
      <w:r w:rsidRPr="006C36CA">
        <w:rPr>
          <w:rFonts w:ascii="Arial" w:hAnsi="Arial" w:cs="Arial"/>
        </w:rPr>
        <w:t>Mexhuani</w:t>
      </w:r>
      <w:proofErr w:type="spellEnd"/>
      <w:r w:rsidRPr="006C36CA">
        <w:rPr>
          <w:rFonts w:ascii="Arial" w:hAnsi="Arial" w:cs="Arial"/>
        </w:rPr>
        <w:t>, B. (2025). Adopting Digital Tools in Higher Education: Opportunities, Challenges and Theoretical Insights. European Journal of Education, 60(1). https://doi.org/10.1111/ejed.12819</w:t>
      </w:r>
    </w:p>
    <w:p w14:paraId="5FEDA260" w14:textId="1D13E758" w:rsidR="001E5C71" w:rsidRPr="006C36CA" w:rsidRDefault="00906B0D" w:rsidP="008240D2">
      <w:pPr>
        <w:spacing w:line="360" w:lineRule="auto"/>
        <w:rPr>
          <w:rFonts w:ascii="Arial" w:hAnsi="Arial" w:cs="Arial"/>
        </w:rPr>
      </w:pPr>
      <w:r w:rsidRPr="006C36CA">
        <w:rPr>
          <w:rFonts w:ascii="Arial" w:hAnsi="Arial" w:cs="Arial"/>
        </w:rPr>
        <w:t xml:space="preserve">Ideology and Identity in Kosovo’s Political Landscape (2024) Google Books. Available at: </w:t>
      </w:r>
      <w:r w:rsidRPr="006C36CA">
        <w:rPr>
          <w:rFonts w:ascii="Arial" w:hAnsi="Arial" w:cs="Arial"/>
        </w:rPr>
        <w:lastRenderedPageBreak/>
        <w:t>https://books.google.co.uk/books/about/Ideology_and_Identity_in_Kosovo_s_Politi.html?id=Wlrl0AEACAAJ&amp;source=kp_author_description&amp;redir_esc=y (Accessed: 21 February 2026)</w:t>
      </w:r>
    </w:p>
    <w:p w14:paraId="4D7CA805" w14:textId="77777777" w:rsidR="00C963C3" w:rsidRPr="006C36CA" w:rsidRDefault="00C963C3" w:rsidP="00C963C3">
      <w:pPr>
        <w:rPr>
          <w:rFonts w:ascii="Arial" w:hAnsi="Arial" w:cs="Arial"/>
          <w:b/>
          <w:bCs/>
        </w:rPr>
      </w:pPr>
      <w:r w:rsidRPr="006C36CA">
        <w:rPr>
          <w:rFonts w:ascii="Arial" w:hAnsi="Arial" w:cs="Arial"/>
          <w:b/>
          <w:bCs/>
        </w:rPr>
        <w:t>Source 2</w:t>
      </w:r>
    </w:p>
    <w:p w14:paraId="40F1B661" w14:textId="6C5864E1" w:rsidR="006A6CC0" w:rsidRPr="006C36CA" w:rsidRDefault="00C963C3" w:rsidP="008240D2">
      <w:pPr>
        <w:spacing w:line="360" w:lineRule="auto"/>
        <w:rPr>
          <w:rFonts w:ascii="Arial" w:hAnsi="Arial" w:cs="Arial"/>
        </w:rPr>
      </w:pPr>
      <w:r w:rsidRPr="006C36CA">
        <w:rPr>
          <w:rFonts w:ascii="Arial" w:hAnsi="Arial" w:cs="Arial"/>
        </w:rPr>
        <w:t>Author(s) and year:</w:t>
      </w:r>
      <w:r w:rsidR="00C10429" w:rsidRPr="006C36CA">
        <w:rPr>
          <w:rFonts w:ascii="Arial" w:hAnsi="Arial" w:cs="Arial"/>
        </w:rPr>
        <w:t xml:space="preserve"> (Whitmore, C. 2024) ‘Combating Student Disconnection in Higher Education Using Place-Based Pedagogy: Encouraging Its Use as a Transformative Learning Practice in Digital Classrooms’</w:t>
      </w:r>
      <w:r w:rsidRPr="006C36CA">
        <w:rPr>
          <w:rFonts w:ascii="Arial" w:hAnsi="Arial" w:cs="Arial"/>
        </w:rPr>
        <w:br/>
        <w:t>Where you found the source (e.g. library database, Google Scholar):</w:t>
      </w:r>
      <w:r w:rsidR="005F09FD" w:rsidRPr="006C36CA">
        <w:t xml:space="preserve"> </w:t>
      </w:r>
      <w:r w:rsidR="005F09FD" w:rsidRPr="006C36CA">
        <w:rPr>
          <w:rFonts w:ascii="Arial" w:hAnsi="Arial" w:cs="Arial"/>
        </w:rPr>
        <w:t>University Library Database</w:t>
      </w:r>
    </w:p>
    <w:p w14:paraId="29A0881F" w14:textId="77777777" w:rsidR="00C963C3" w:rsidRPr="006C36CA" w:rsidRDefault="00C963C3" w:rsidP="008240D2">
      <w:pPr>
        <w:spacing w:line="360" w:lineRule="auto"/>
        <w:rPr>
          <w:rFonts w:ascii="Arial" w:hAnsi="Arial" w:cs="Arial"/>
        </w:rPr>
      </w:pPr>
      <w:r w:rsidRPr="006C36CA">
        <w:rPr>
          <w:rFonts w:ascii="Arial" w:hAnsi="Arial" w:cs="Arial"/>
        </w:rPr>
        <w:t>Using the CRAAP Test, briefly evaluate:</w:t>
      </w:r>
    </w:p>
    <w:p w14:paraId="0E92CC48" w14:textId="00DFF422" w:rsidR="00C963C3" w:rsidRPr="006C36CA" w:rsidRDefault="00C963C3" w:rsidP="008240D2">
      <w:pPr>
        <w:numPr>
          <w:ilvl w:val="0"/>
          <w:numId w:val="19"/>
        </w:numPr>
        <w:spacing w:line="360" w:lineRule="auto"/>
        <w:rPr>
          <w:rFonts w:ascii="Arial" w:hAnsi="Arial" w:cs="Arial"/>
        </w:rPr>
      </w:pPr>
      <w:r w:rsidRPr="006C36CA">
        <w:rPr>
          <w:rFonts w:ascii="Arial" w:hAnsi="Arial" w:cs="Arial"/>
        </w:rPr>
        <w:t>Currency:</w:t>
      </w:r>
      <w:r w:rsidR="00E47B86" w:rsidRPr="006C36CA">
        <w:t xml:space="preserve"> </w:t>
      </w:r>
      <w:r w:rsidR="00E47B86" w:rsidRPr="006C36CA">
        <w:rPr>
          <w:rFonts w:ascii="Arial" w:hAnsi="Arial" w:cs="Arial"/>
        </w:rPr>
        <w:t>Whitmore addresses the current problem of student disengagement in digital classrooms using the CRAAP Test, demonstrating strong currency.</w:t>
      </w:r>
    </w:p>
    <w:p w14:paraId="6AFD4262" w14:textId="49A09182" w:rsidR="00942B47" w:rsidRPr="006C36CA" w:rsidRDefault="00C963C3" w:rsidP="008240D2">
      <w:pPr>
        <w:numPr>
          <w:ilvl w:val="0"/>
          <w:numId w:val="19"/>
        </w:numPr>
        <w:spacing w:line="360" w:lineRule="auto"/>
        <w:rPr>
          <w:rFonts w:ascii="Arial" w:hAnsi="Arial" w:cs="Arial"/>
        </w:rPr>
      </w:pPr>
      <w:r w:rsidRPr="006C36CA">
        <w:rPr>
          <w:rFonts w:ascii="Arial" w:hAnsi="Arial" w:cs="Arial"/>
        </w:rPr>
        <w:t>Relevance:</w:t>
      </w:r>
      <w:r w:rsidR="00942B47" w:rsidRPr="006C36CA">
        <w:t xml:space="preserve"> </w:t>
      </w:r>
      <w:r w:rsidR="00942B47" w:rsidRPr="006C36CA">
        <w:rPr>
          <w:rFonts w:ascii="Arial" w:hAnsi="Arial" w:cs="Arial"/>
        </w:rPr>
        <w:t>Because it examines place-based pedagogy as a solution to engagement issues in higher education, the article is quite relevant.</w:t>
      </w:r>
    </w:p>
    <w:p w14:paraId="5DD7BC8F" w14:textId="7526FF2E" w:rsidR="004110D6" w:rsidRPr="006C36CA" w:rsidRDefault="00C963C3" w:rsidP="008240D2">
      <w:pPr>
        <w:numPr>
          <w:ilvl w:val="0"/>
          <w:numId w:val="19"/>
        </w:numPr>
        <w:spacing w:line="360" w:lineRule="auto"/>
        <w:rPr>
          <w:rFonts w:ascii="Arial" w:hAnsi="Arial" w:cs="Arial"/>
        </w:rPr>
      </w:pPr>
      <w:r w:rsidRPr="006C36CA">
        <w:rPr>
          <w:rFonts w:ascii="Arial" w:hAnsi="Arial" w:cs="Arial"/>
        </w:rPr>
        <w:t>Authority:</w:t>
      </w:r>
      <w:r w:rsidR="004110D6" w:rsidRPr="006C36CA">
        <w:t xml:space="preserve"> </w:t>
      </w:r>
      <w:r w:rsidR="004110D6" w:rsidRPr="006C36CA">
        <w:rPr>
          <w:rFonts w:ascii="Arial" w:hAnsi="Arial" w:cs="Arial"/>
        </w:rPr>
        <w:t>The authority of the author is reinforced by their academic background. Dr Whitmore is a lifelong Alaskan who returned after completing an MSc in Industrial and Organisational Psychology and a PhD in Developmental Psychology at Virginia Tech to help develop Alaska’s workforce. Her research explores trust in patient–provider relationships, programme evaluation and effective health science teaching, linking public health education with community practice (Corrie Whitmore | College of Health | University of Alaska Anchorage, 2025).</w:t>
      </w:r>
    </w:p>
    <w:p w14:paraId="726FAF26" w14:textId="0AFE47DC" w:rsidR="00CD4752" w:rsidRPr="006C36CA" w:rsidRDefault="00C963C3" w:rsidP="008240D2">
      <w:pPr>
        <w:numPr>
          <w:ilvl w:val="0"/>
          <w:numId w:val="19"/>
        </w:numPr>
        <w:spacing w:line="360" w:lineRule="auto"/>
        <w:rPr>
          <w:rFonts w:ascii="Arial" w:hAnsi="Arial" w:cs="Arial"/>
        </w:rPr>
      </w:pPr>
      <w:r w:rsidRPr="006C36CA">
        <w:rPr>
          <w:rFonts w:ascii="Arial" w:hAnsi="Arial" w:cs="Arial"/>
        </w:rPr>
        <w:t>Accuracy:</w:t>
      </w:r>
      <w:r w:rsidR="00CD4752" w:rsidRPr="006C36CA">
        <w:t xml:space="preserve"> </w:t>
      </w:r>
      <w:r w:rsidR="00CD4752" w:rsidRPr="006C36CA">
        <w:rPr>
          <w:rFonts w:ascii="Arial" w:hAnsi="Arial" w:cs="Arial"/>
        </w:rPr>
        <w:t>Based on academic research and educational theory, the topic seems to be correct</w:t>
      </w:r>
    </w:p>
    <w:p w14:paraId="21E4FDAB" w14:textId="08D6B91E" w:rsidR="007F18C2" w:rsidRPr="006C36CA" w:rsidRDefault="00C963C3" w:rsidP="008240D2">
      <w:pPr>
        <w:numPr>
          <w:ilvl w:val="0"/>
          <w:numId w:val="19"/>
        </w:numPr>
        <w:spacing w:line="360" w:lineRule="auto"/>
        <w:rPr>
          <w:rFonts w:ascii="Arial" w:hAnsi="Arial" w:cs="Arial"/>
        </w:rPr>
      </w:pPr>
      <w:r w:rsidRPr="006C36CA">
        <w:rPr>
          <w:rFonts w:ascii="Arial" w:hAnsi="Arial" w:cs="Arial"/>
        </w:rPr>
        <w:t>Purpose:</w:t>
      </w:r>
      <w:r w:rsidR="00895599" w:rsidRPr="006C36CA">
        <w:t xml:space="preserve"> </w:t>
      </w:r>
      <w:r w:rsidR="00895599" w:rsidRPr="006C36CA">
        <w:rPr>
          <w:rFonts w:ascii="Arial" w:hAnsi="Arial" w:cs="Arial"/>
        </w:rPr>
        <w:t>Its academic credibility is supported by its analytical and pedagogical goals, which will improve teaching methods rather than advance opinions.</w:t>
      </w:r>
    </w:p>
    <w:p w14:paraId="79FDB623" w14:textId="467A99BA" w:rsidR="00C963C3" w:rsidRPr="006C36CA" w:rsidRDefault="00C963C3" w:rsidP="008240D2">
      <w:pPr>
        <w:spacing w:line="360" w:lineRule="auto"/>
        <w:rPr>
          <w:rFonts w:ascii="Arial" w:hAnsi="Arial" w:cs="Arial"/>
        </w:rPr>
      </w:pPr>
      <w:r w:rsidRPr="006C36CA">
        <w:rPr>
          <w:rFonts w:ascii="Arial" w:hAnsi="Arial" w:cs="Arial"/>
        </w:rPr>
        <w:t>Full reference (Harvard style):</w:t>
      </w:r>
    </w:p>
    <w:p w14:paraId="74ECCAFF" w14:textId="77777777" w:rsidR="0087758B" w:rsidRPr="006C36CA" w:rsidRDefault="0087758B" w:rsidP="008240D2">
      <w:pPr>
        <w:spacing w:line="360" w:lineRule="auto"/>
        <w:rPr>
          <w:rFonts w:ascii="Arial" w:hAnsi="Arial" w:cs="Arial"/>
        </w:rPr>
      </w:pPr>
      <w:r w:rsidRPr="006C36CA">
        <w:rPr>
          <w:rFonts w:ascii="Arial" w:hAnsi="Arial" w:cs="Arial"/>
        </w:rPr>
        <w:t xml:space="preserve">Whitmore, C. (2024). Combating Student Disconnection in Higher Education Using Place-Based Pedagogy: Encouraging Its Use as a Transformative Learning Practice </w:t>
      </w:r>
      <w:r w:rsidRPr="006C36CA">
        <w:rPr>
          <w:rFonts w:ascii="Arial" w:hAnsi="Arial" w:cs="Arial"/>
        </w:rPr>
        <w:lastRenderedPageBreak/>
        <w:t>in Digital Classrooms. The International Journal of Pedagogy and Curriculum, 32(1), 1–14. https://doi.org/10.18848/2327-7963/CGP/v32i01/1-14 (Accessed: 12-02-26)</w:t>
      </w:r>
    </w:p>
    <w:p w14:paraId="259F931C" w14:textId="77777777" w:rsidR="00592763" w:rsidRDefault="0087758B" w:rsidP="00592763">
      <w:pPr>
        <w:spacing w:line="360" w:lineRule="auto"/>
        <w:rPr>
          <w:rFonts w:ascii="Arial" w:hAnsi="Arial" w:cs="Arial"/>
        </w:rPr>
      </w:pPr>
      <w:r w:rsidRPr="006C36CA">
        <w:rPr>
          <w:rFonts w:ascii="Arial" w:hAnsi="Arial" w:cs="Arial"/>
        </w:rPr>
        <w:t>Corrie Whitmore | College of Health | University of Alaska Anchorage (2025) Alaska.edu. Available at: https://www.uaa.alaska.edu/academics/college-of-health/departments/population-health-sciences/faculty-and-staff/whitmore-corrie.cshtml (Accessed: 21 February 2026).</w:t>
      </w:r>
    </w:p>
    <w:p w14:paraId="1541605E" w14:textId="7498D13A" w:rsidR="00C963C3" w:rsidRPr="00592763" w:rsidRDefault="00C963C3" w:rsidP="00592763">
      <w:pPr>
        <w:spacing w:line="360" w:lineRule="auto"/>
        <w:rPr>
          <w:rFonts w:ascii="Arial" w:hAnsi="Arial" w:cs="Arial"/>
        </w:rPr>
      </w:pPr>
      <w:r w:rsidRPr="006C36CA">
        <w:rPr>
          <w:rFonts w:ascii="Arial" w:hAnsi="Arial" w:cs="Arial"/>
          <w:b/>
          <w:bCs/>
        </w:rPr>
        <w:t>Synthesis of Academic Sources</w:t>
      </w:r>
    </w:p>
    <w:p w14:paraId="6785FB14" w14:textId="77777777" w:rsidR="003B36E9" w:rsidRPr="006C36CA" w:rsidRDefault="003B36E9" w:rsidP="00455F5B">
      <w:pPr>
        <w:spacing w:line="360" w:lineRule="auto"/>
        <w:rPr>
          <w:rFonts w:ascii="Arial" w:hAnsi="Arial" w:cs="Arial"/>
        </w:rPr>
      </w:pPr>
      <w:r w:rsidRPr="006C36CA">
        <w:rPr>
          <w:rFonts w:ascii="Arial" w:hAnsi="Arial" w:cs="Arial"/>
        </w:rPr>
        <w:t>The larger topic of digital transformation in higher education is covered by both sources. With a focus on theoretical frameworks like constructivism and cognitive load theory, Adopting Digital Tools in Higher Education examines the structural difficulties and potential related to technological integration. On the other hand, the article Combating Student Disconnection in Higher Education Using Place-Based Pedagogy is primarily focused on the emotional and social effects of digital learning environments as well as the involvement of learners.</w:t>
      </w:r>
    </w:p>
    <w:p w14:paraId="2FA60297" w14:textId="77777777" w:rsidR="00592763" w:rsidRDefault="003B36E9" w:rsidP="00592763">
      <w:pPr>
        <w:spacing w:line="360" w:lineRule="auto"/>
        <w:rPr>
          <w:rFonts w:ascii="Arial" w:hAnsi="Arial" w:cs="Arial"/>
        </w:rPr>
      </w:pPr>
      <w:r w:rsidRPr="006C36CA">
        <w:rPr>
          <w:rFonts w:ascii="Arial" w:hAnsi="Arial" w:cs="Arial"/>
        </w:rPr>
        <w:t>The second source focuses on pedagogical solutions to student disengagement, in contrast to the first examines digital tools from an institutional and theoretical standpoint. By blending structural analysis with useful teaching techniques, they increase each other. When combined, both perspectives offer a more thorough understanding of digital learning, emphasizing the importance of meaningful human interaction in virtual environments as well as advances in technology (</w:t>
      </w:r>
      <w:proofErr w:type="spellStart"/>
      <w:r w:rsidRPr="006C36CA">
        <w:rPr>
          <w:rFonts w:ascii="Arial" w:hAnsi="Arial" w:cs="Arial"/>
        </w:rPr>
        <w:t>Mexhuani</w:t>
      </w:r>
      <w:proofErr w:type="spellEnd"/>
      <w:r w:rsidRPr="006C36CA">
        <w:rPr>
          <w:rFonts w:ascii="Arial" w:hAnsi="Arial" w:cs="Arial"/>
        </w:rPr>
        <w:t>, B. 2025; Whitmore, C. 2024).</w:t>
      </w:r>
    </w:p>
    <w:p w14:paraId="4E612D60" w14:textId="55621AAB" w:rsidR="00C963C3" w:rsidRPr="00592763" w:rsidRDefault="00C963C3" w:rsidP="00592763">
      <w:pPr>
        <w:spacing w:line="360" w:lineRule="auto"/>
        <w:rPr>
          <w:rFonts w:ascii="Arial" w:hAnsi="Arial" w:cs="Arial"/>
        </w:rPr>
      </w:pPr>
      <w:r w:rsidRPr="006A5708">
        <w:rPr>
          <w:rFonts w:ascii="Arial" w:hAnsi="Arial" w:cs="Arial"/>
          <w:b/>
          <w:bCs/>
        </w:rPr>
        <w:t xml:space="preserve">Identifying a Key Challenge and Opportunity </w:t>
      </w:r>
    </w:p>
    <w:p w14:paraId="691DE564" w14:textId="77777777" w:rsidR="00086DA8" w:rsidRPr="006A5708" w:rsidRDefault="00086DA8" w:rsidP="00455F5B">
      <w:pPr>
        <w:spacing w:line="360" w:lineRule="auto"/>
        <w:rPr>
          <w:rFonts w:ascii="Arial" w:hAnsi="Arial" w:cs="Arial"/>
        </w:rPr>
      </w:pPr>
      <w:r w:rsidRPr="006A5708">
        <w:rPr>
          <w:rFonts w:ascii="Arial" w:hAnsi="Arial" w:cs="Arial"/>
        </w:rPr>
        <w:t>Based only on the two chosen sources, learners’ disconnection is an important problem in the digital age. According to the second source, students' sense of involvement and belonging may be reduced in online environments, which could have a negative impact on their motivation and academic achievement (Whitmore, C. 2024).</w:t>
      </w:r>
    </w:p>
    <w:p w14:paraId="3AF6158E" w14:textId="77777777" w:rsidR="00086DA8" w:rsidRPr="006A5708" w:rsidRDefault="00086DA8" w:rsidP="00455F5B">
      <w:pPr>
        <w:spacing w:line="360" w:lineRule="auto"/>
        <w:rPr>
          <w:rFonts w:ascii="Arial" w:hAnsi="Arial" w:cs="Arial"/>
        </w:rPr>
      </w:pPr>
      <w:r w:rsidRPr="006A5708">
        <w:rPr>
          <w:rFonts w:ascii="Arial" w:hAnsi="Arial" w:cs="Arial"/>
        </w:rPr>
        <w:t>The first source highlights the potential of digital tools to improve accessibility, flexibility, and individualized learning as an important opportunity. Technology can improve the accessibility of education and adapt to a range of learning requests when used properly (</w:t>
      </w:r>
      <w:proofErr w:type="spellStart"/>
      <w:r w:rsidRPr="006A5708">
        <w:rPr>
          <w:rFonts w:ascii="Arial" w:hAnsi="Arial" w:cs="Arial"/>
        </w:rPr>
        <w:t>Mexhuani</w:t>
      </w:r>
      <w:proofErr w:type="spellEnd"/>
      <w:r w:rsidRPr="006A5708">
        <w:rPr>
          <w:rFonts w:ascii="Arial" w:hAnsi="Arial" w:cs="Arial"/>
        </w:rPr>
        <w:t>, B.2025).</w:t>
      </w:r>
    </w:p>
    <w:p w14:paraId="7B20146B" w14:textId="0DA5B577" w:rsidR="00086DA8" w:rsidRPr="006A5708" w:rsidRDefault="00086DA8" w:rsidP="00455F5B">
      <w:pPr>
        <w:spacing w:line="360" w:lineRule="auto"/>
        <w:rPr>
          <w:rFonts w:ascii="Arial" w:hAnsi="Arial" w:cs="Arial"/>
        </w:rPr>
      </w:pPr>
      <w:r w:rsidRPr="006A5708">
        <w:rPr>
          <w:rFonts w:ascii="Arial" w:hAnsi="Arial" w:cs="Arial"/>
        </w:rPr>
        <w:lastRenderedPageBreak/>
        <w:t>Together, these results show that, depending on pedagogical design, digital tools can both help and hinder learning for students.</w:t>
      </w:r>
    </w:p>
    <w:p w14:paraId="3B8F8E8B" w14:textId="7D459DDD" w:rsidR="00C963C3" w:rsidRPr="006A5708" w:rsidRDefault="00C963C3" w:rsidP="00C963C3">
      <w:pPr>
        <w:rPr>
          <w:rFonts w:ascii="Arial" w:hAnsi="Arial" w:cs="Arial"/>
          <w:b/>
          <w:bCs/>
        </w:rPr>
      </w:pPr>
      <w:r w:rsidRPr="006A5708">
        <w:rPr>
          <w:rFonts w:ascii="Arial" w:hAnsi="Arial" w:cs="Arial"/>
          <w:b/>
          <w:bCs/>
        </w:rPr>
        <w:t>Academic Planning for Component 2</w:t>
      </w:r>
    </w:p>
    <w:p w14:paraId="43BA9D5F" w14:textId="42A9D0F4" w:rsidR="00462B66" w:rsidRPr="00C40B3B" w:rsidRDefault="005A6431" w:rsidP="00C40B3B">
      <w:pPr>
        <w:spacing w:line="360" w:lineRule="auto"/>
        <w:rPr>
          <w:rFonts w:ascii="Arial" w:hAnsi="Arial" w:cs="Arial"/>
        </w:rPr>
      </w:pPr>
      <w:r w:rsidRPr="006A5708">
        <w:rPr>
          <w:rFonts w:ascii="Arial" w:hAnsi="Arial" w:cs="Arial"/>
        </w:rPr>
        <w:t xml:space="preserve">Since the introduction and the problems section set the report's focus and theoretical orientation, I will give them top priority for Component 2. A clear and consistent argument will be ensured by developing these sections first. I want to improve my ability to critically </w:t>
      </w:r>
      <w:proofErr w:type="spellStart"/>
      <w:r w:rsidRPr="006A5708">
        <w:rPr>
          <w:rFonts w:ascii="Arial" w:hAnsi="Arial" w:cs="Arial"/>
        </w:rPr>
        <w:t>analyze</w:t>
      </w:r>
      <w:proofErr w:type="spellEnd"/>
      <w:r w:rsidRPr="006A5708">
        <w:rPr>
          <w:rFonts w:ascii="Arial" w:hAnsi="Arial" w:cs="Arial"/>
        </w:rPr>
        <w:t>, synthesize academic texts, and properly cite sources. To reinforce my argument, I will also pay more attention to pertinent lesson material. An introduction, challenges, opportunities, proposed strategies, and a concise conclusion will complete the report's framework.</w:t>
      </w:r>
    </w:p>
    <w:p w14:paraId="52910193" w14:textId="08F07256" w:rsidR="00C963C3" w:rsidRPr="006A5708" w:rsidRDefault="00C963C3" w:rsidP="00C963C3">
      <w:pPr>
        <w:rPr>
          <w:rFonts w:ascii="Arial" w:hAnsi="Arial" w:cs="Arial"/>
          <w:b/>
          <w:bCs/>
        </w:rPr>
      </w:pPr>
      <w:r w:rsidRPr="006A5708">
        <w:rPr>
          <w:rFonts w:ascii="Arial" w:hAnsi="Arial" w:cs="Arial"/>
          <w:b/>
          <w:bCs/>
        </w:rPr>
        <w:t>Timeline</w:t>
      </w:r>
    </w:p>
    <w:tbl>
      <w:tblPr>
        <w:tblStyle w:val="TableGrid"/>
        <w:tblW w:w="0" w:type="auto"/>
        <w:tblLook w:val="04A0" w:firstRow="1" w:lastRow="0" w:firstColumn="1" w:lastColumn="0" w:noHBand="0" w:noVBand="1"/>
      </w:tblPr>
      <w:tblGrid>
        <w:gridCol w:w="4486"/>
        <w:gridCol w:w="4530"/>
      </w:tblGrid>
      <w:tr w:rsidR="00B668ED" w:rsidRPr="006A5708" w14:paraId="6E7EE347" w14:textId="77777777" w:rsidTr="00C226A7">
        <w:tc>
          <w:tcPr>
            <w:tcW w:w="5552" w:type="dxa"/>
          </w:tcPr>
          <w:p w14:paraId="7310234C" w14:textId="77777777" w:rsidR="00B668ED" w:rsidRPr="006A5708" w:rsidRDefault="00B668ED" w:rsidP="00C226A7">
            <w:pPr>
              <w:spacing w:after="160" w:line="278" w:lineRule="auto"/>
              <w:jc w:val="center"/>
              <w:rPr>
                <w:rFonts w:ascii="Arial" w:hAnsi="Arial" w:cs="Arial"/>
                <w:b/>
                <w:bCs/>
              </w:rPr>
            </w:pPr>
            <w:r w:rsidRPr="006A5708">
              <w:rPr>
                <w:rFonts w:ascii="Arial" w:hAnsi="Arial" w:cs="Arial"/>
                <w:b/>
                <w:bCs/>
              </w:rPr>
              <w:t>Task</w:t>
            </w:r>
          </w:p>
        </w:tc>
        <w:tc>
          <w:tcPr>
            <w:tcW w:w="5552" w:type="dxa"/>
          </w:tcPr>
          <w:p w14:paraId="4D270F33" w14:textId="77777777" w:rsidR="00B668ED" w:rsidRPr="006A5708" w:rsidRDefault="00B668ED" w:rsidP="00C226A7">
            <w:pPr>
              <w:spacing w:after="160" w:line="278" w:lineRule="auto"/>
              <w:jc w:val="center"/>
              <w:rPr>
                <w:rFonts w:ascii="Arial" w:hAnsi="Arial" w:cs="Arial"/>
                <w:b/>
                <w:bCs/>
              </w:rPr>
            </w:pPr>
            <w:r w:rsidRPr="006A5708">
              <w:rPr>
                <w:rFonts w:ascii="Arial" w:hAnsi="Arial" w:cs="Arial"/>
                <w:b/>
                <w:bCs/>
              </w:rPr>
              <w:t>Date/ Deadline</w:t>
            </w:r>
          </w:p>
        </w:tc>
      </w:tr>
      <w:tr w:rsidR="00B668ED" w:rsidRPr="006A5708" w14:paraId="17AE3C0F" w14:textId="77777777" w:rsidTr="00C226A7">
        <w:tc>
          <w:tcPr>
            <w:tcW w:w="5552" w:type="dxa"/>
          </w:tcPr>
          <w:p w14:paraId="14E20D23" w14:textId="77777777" w:rsidR="00B668ED" w:rsidRPr="006A5708" w:rsidRDefault="00B668ED" w:rsidP="00C226A7">
            <w:pPr>
              <w:spacing w:after="160" w:line="278" w:lineRule="auto"/>
              <w:jc w:val="center"/>
              <w:rPr>
                <w:rFonts w:ascii="Arial" w:hAnsi="Arial" w:cs="Arial"/>
              </w:rPr>
            </w:pPr>
            <w:r w:rsidRPr="006A5708">
              <w:rPr>
                <w:rFonts w:ascii="Arial" w:hAnsi="Arial" w:cs="Arial"/>
              </w:rPr>
              <w:t>Finish research</w:t>
            </w:r>
          </w:p>
        </w:tc>
        <w:tc>
          <w:tcPr>
            <w:tcW w:w="5552" w:type="dxa"/>
          </w:tcPr>
          <w:p w14:paraId="3F1EB262" w14:textId="28251DF4" w:rsidR="00B668ED" w:rsidRPr="006A5708" w:rsidRDefault="00385F28" w:rsidP="00C226A7">
            <w:pPr>
              <w:spacing w:after="160" w:line="278" w:lineRule="auto"/>
              <w:jc w:val="center"/>
              <w:rPr>
                <w:rFonts w:ascii="Arial" w:hAnsi="Arial" w:cs="Arial"/>
              </w:rPr>
            </w:pPr>
            <w:r w:rsidRPr="006A5708">
              <w:rPr>
                <w:rFonts w:ascii="Arial" w:hAnsi="Arial" w:cs="Arial"/>
              </w:rPr>
              <w:t>21</w:t>
            </w:r>
            <w:r w:rsidR="00E618F6" w:rsidRPr="006A5708">
              <w:rPr>
                <w:rFonts w:ascii="Arial" w:hAnsi="Arial" w:cs="Arial"/>
              </w:rPr>
              <w:t>/</w:t>
            </w:r>
            <w:r w:rsidR="005F1ECB" w:rsidRPr="006A5708">
              <w:rPr>
                <w:rFonts w:ascii="Arial" w:hAnsi="Arial" w:cs="Arial"/>
              </w:rPr>
              <w:t>02/2026</w:t>
            </w:r>
          </w:p>
        </w:tc>
      </w:tr>
      <w:tr w:rsidR="00B668ED" w:rsidRPr="006A5708" w14:paraId="122F8C21" w14:textId="77777777" w:rsidTr="00C226A7">
        <w:tc>
          <w:tcPr>
            <w:tcW w:w="5552" w:type="dxa"/>
          </w:tcPr>
          <w:p w14:paraId="1242D8DA" w14:textId="77777777" w:rsidR="00B668ED" w:rsidRPr="006A5708" w:rsidRDefault="00B668ED" w:rsidP="00C226A7">
            <w:pPr>
              <w:spacing w:after="160" w:line="278" w:lineRule="auto"/>
              <w:jc w:val="center"/>
              <w:rPr>
                <w:rFonts w:ascii="Arial" w:hAnsi="Arial" w:cs="Arial"/>
              </w:rPr>
            </w:pPr>
            <w:r w:rsidRPr="006A5708">
              <w:rPr>
                <w:rFonts w:ascii="Arial" w:hAnsi="Arial" w:cs="Arial"/>
              </w:rPr>
              <w:t>Draft first section</w:t>
            </w:r>
          </w:p>
        </w:tc>
        <w:tc>
          <w:tcPr>
            <w:tcW w:w="5552" w:type="dxa"/>
          </w:tcPr>
          <w:p w14:paraId="2985EF06" w14:textId="6DA5B29A" w:rsidR="00B668ED" w:rsidRPr="006A5708" w:rsidRDefault="00574208" w:rsidP="00C226A7">
            <w:pPr>
              <w:spacing w:after="160" w:line="278" w:lineRule="auto"/>
              <w:jc w:val="center"/>
              <w:rPr>
                <w:rFonts w:ascii="Arial" w:hAnsi="Arial" w:cs="Arial"/>
              </w:rPr>
            </w:pPr>
            <w:r w:rsidRPr="006A5708">
              <w:rPr>
                <w:rFonts w:ascii="Arial" w:hAnsi="Arial" w:cs="Arial"/>
              </w:rPr>
              <w:t>21</w:t>
            </w:r>
            <w:r w:rsidR="00F409B0" w:rsidRPr="006A5708">
              <w:rPr>
                <w:rFonts w:ascii="Arial" w:hAnsi="Arial" w:cs="Arial"/>
              </w:rPr>
              <w:t>/02/2026</w:t>
            </w:r>
          </w:p>
        </w:tc>
      </w:tr>
      <w:tr w:rsidR="00B668ED" w:rsidRPr="006A5708" w14:paraId="15A9300C" w14:textId="77777777" w:rsidTr="00C226A7">
        <w:tc>
          <w:tcPr>
            <w:tcW w:w="5552" w:type="dxa"/>
          </w:tcPr>
          <w:p w14:paraId="451F8463" w14:textId="77777777" w:rsidR="00B668ED" w:rsidRPr="006A5708" w:rsidRDefault="00B668ED" w:rsidP="00C226A7">
            <w:pPr>
              <w:spacing w:after="160" w:line="278" w:lineRule="auto"/>
              <w:jc w:val="center"/>
              <w:rPr>
                <w:rFonts w:ascii="Arial" w:hAnsi="Arial" w:cs="Arial"/>
              </w:rPr>
            </w:pPr>
            <w:r w:rsidRPr="006A5708">
              <w:rPr>
                <w:rFonts w:ascii="Arial" w:hAnsi="Arial" w:cs="Arial"/>
              </w:rPr>
              <w:t>Complete first draft</w:t>
            </w:r>
          </w:p>
        </w:tc>
        <w:tc>
          <w:tcPr>
            <w:tcW w:w="5552" w:type="dxa"/>
          </w:tcPr>
          <w:p w14:paraId="65269EDB" w14:textId="26A19EFA" w:rsidR="00B668ED" w:rsidRPr="006A5708" w:rsidRDefault="00F409B0" w:rsidP="00C226A7">
            <w:pPr>
              <w:spacing w:after="160" w:line="278" w:lineRule="auto"/>
              <w:jc w:val="center"/>
              <w:rPr>
                <w:rFonts w:ascii="Arial" w:hAnsi="Arial" w:cs="Arial"/>
              </w:rPr>
            </w:pPr>
            <w:r w:rsidRPr="006A5708">
              <w:rPr>
                <w:rFonts w:ascii="Arial" w:hAnsi="Arial" w:cs="Arial"/>
              </w:rPr>
              <w:t>22/02/2026</w:t>
            </w:r>
          </w:p>
        </w:tc>
      </w:tr>
      <w:tr w:rsidR="00B668ED" w:rsidRPr="006A5708" w14:paraId="3C106586" w14:textId="77777777" w:rsidTr="00C226A7">
        <w:tc>
          <w:tcPr>
            <w:tcW w:w="5552" w:type="dxa"/>
          </w:tcPr>
          <w:p w14:paraId="16A4F2D6" w14:textId="77777777" w:rsidR="00B668ED" w:rsidRPr="006A5708" w:rsidRDefault="00B668ED" w:rsidP="00C226A7">
            <w:pPr>
              <w:spacing w:after="160" w:line="278" w:lineRule="auto"/>
              <w:jc w:val="center"/>
              <w:rPr>
                <w:rFonts w:ascii="Arial" w:hAnsi="Arial" w:cs="Arial"/>
              </w:rPr>
            </w:pPr>
            <w:r w:rsidRPr="006A5708">
              <w:rPr>
                <w:rFonts w:ascii="Arial" w:hAnsi="Arial" w:cs="Arial"/>
              </w:rPr>
              <w:t>Final editing</w:t>
            </w:r>
          </w:p>
        </w:tc>
        <w:tc>
          <w:tcPr>
            <w:tcW w:w="5552" w:type="dxa"/>
          </w:tcPr>
          <w:p w14:paraId="5104B13E" w14:textId="267FEE52" w:rsidR="00B668ED" w:rsidRPr="006A5708" w:rsidRDefault="00025872" w:rsidP="00C226A7">
            <w:pPr>
              <w:spacing w:after="160" w:line="278" w:lineRule="auto"/>
              <w:jc w:val="center"/>
              <w:rPr>
                <w:rFonts w:ascii="Arial" w:hAnsi="Arial" w:cs="Arial"/>
              </w:rPr>
            </w:pPr>
            <w:r w:rsidRPr="006A5708">
              <w:rPr>
                <w:rFonts w:ascii="Arial" w:hAnsi="Arial" w:cs="Arial"/>
              </w:rPr>
              <w:t>26</w:t>
            </w:r>
            <w:r w:rsidR="00E8555A" w:rsidRPr="006A5708">
              <w:rPr>
                <w:rFonts w:ascii="Arial" w:hAnsi="Arial" w:cs="Arial"/>
              </w:rPr>
              <w:t>/02/2026</w:t>
            </w:r>
          </w:p>
        </w:tc>
      </w:tr>
    </w:tbl>
    <w:p w14:paraId="622CA990" w14:textId="7719488C" w:rsidR="00C963C3" w:rsidRPr="009F24C9" w:rsidRDefault="00C963C3" w:rsidP="00C963C3">
      <w:pPr>
        <w:rPr>
          <w:rFonts w:ascii="Arial" w:hAnsi="Arial" w:cs="Arial"/>
        </w:rPr>
      </w:pPr>
    </w:p>
    <w:p w14:paraId="0C560C8E" w14:textId="77777777" w:rsidR="00462B66" w:rsidRDefault="00C963C3" w:rsidP="00462B66">
      <w:pPr>
        <w:rPr>
          <w:rFonts w:ascii="Arial" w:hAnsi="Arial" w:cs="Arial"/>
          <w:b/>
          <w:bCs/>
        </w:rPr>
      </w:pPr>
      <w:r w:rsidRPr="009F24C9">
        <w:rPr>
          <w:rFonts w:ascii="Arial" w:hAnsi="Arial" w:cs="Arial"/>
          <w:b/>
          <w:bCs/>
        </w:rPr>
        <w:t>Reference List – Component 1</w:t>
      </w:r>
    </w:p>
    <w:p w14:paraId="4D271092" w14:textId="61E5478B" w:rsidR="00462B66" w:rsidRDefault="00BD3EC9" w:rsidP="00462B66">
      <w:pPr>
        <w:rPr>
          <w:rFonts w:ascii="Arial" w:hAnsi="Arial" w:cs="Arial"/>
        </w:rPr>
      </w:pPr>
      <w:r w:rsidRPr="00347024">
        <w:rPr>
          <w:rFonts w:ascii="Arial" w:hAnsi="Arial" w:cs="Arial"/>
        </w:rPr>
        <w:t xml:space="preserve"> </w:t>
      </w:r>
      <w:proofErr w:type="spellStart"/>
      <w:r w:rsidRPr="00347024">
        <w:rPr>
          <w:rFonts w:ascii="Arial" w:hAnsi="Arial" w:cs="Arial"/>
        </w:rPr>
        <w:t>Mexhuani</w:t>
      </w:r>
      <w:proofErr w:type="spellEnd"/>
      <w:r w:rsidRPr="00347024">
        <w:rPr>
          <w:rFonts w:ascii="Arial" w:hAnsi="Arial" w:cs="Arial"/>
        </w:rPr>
        <w:t xml:space="preserve">, B. (2025). Adopting Digital Tools in Higher Education: Opportunities, Challenges and Theoretical Insights. European Journal of Education, 60(1). </w:t>
      </w:r>
      <w:hyperlink r:id="rId8" w:history="1">
        <w:r w:rsidR="00462B66" w:rsidRPr="00193641">
          <w:rPr>
            <w:rStyle w:val="Hyperlink"/>
            <w:rFonts w:ascii="Arial" w:hAnsi="Arial" w:cs="Arial"/>
          </w:rPr>
          <w:t>https://doi.org/10.1111/ejed.12819</w:t>
        </w:r>
      </w:hyperlink>
    </w:p>
    <w:p w14:paraId="704055B3" w14:textId="1B880B52" w:rsidR="00B668ED" w:rsidRPr="00462B66" w:rsidRDefault="00BD3EC9" w:rsidP="00462B66">
      <w:pPr>
        <w:rPr>
          <w:rFonts w:ascii="Arial" w:hAnsi="Arial" w:cs="Arial"/>
          <w:b/>
          <w:bCs/>
        </w:rPr>
      </w:pPr>
      <w:r w:rsidRPr="00347024">
        <w:rPr>
          <w:rFonts w:ascii="Arial" w:hAnsi="Arial" w:cs="Arial"/>
        </w:rPr>
        <w:t>Ideology and Identity in Kosovo’s Political Landscape (2024) Google Books. Available at: https://books.google.co.uk/books/about/Ideology_and_Identity_in_Kosovo_s_Politi.html?id=Wlrl0AEACAAJ&amp;source=kp_author_description&amp;redir_esc=y (Accessed: 21 February 2026)</w:t>
      </w:r>
    </w:p>
    <w:p w14:paraId="6CC65238" w14:textId="77777777" w:rsidR="00417505" w:rsidRDefault="00417505" w:rsidP="00455F5B">
      <w:pPr>
        <w:spacing w:line="360" w:lineRule="auto"/>
      </w:pPr>
      <w:r>
        <w:t>Whitmore, C. (2024). Combating Student Disconnection in Higher Education Using Place-Based Pedagogy: Encouraging Its Use as a Transformative Learning Practice in Digital Classrooms. The International Journal of Pedagogy and Curriculum, 32(1), 1–14. https://doi.org/10.18848/2327-7963/CGP/v32i01/1-14 (Accessed: 12-02-26)</w:t>
      </w:r>
    </w:p>
    <w:p w14:paraId="7B1AEA4C" w14:textId="0F4D29E7" w:rsidR="00800D8B" w:rsidRPr="00800D8B" w:rsidRDefault="00417505" w:rsidP="00455F5B">
      <w:pPr>
        <w:spacing w:line="360" w:lineRule="auto"/>
        <w:sectPr w:rsidR="00800D8B" w:rsidRPr="00800D8B">
          <w:pgSz w:w="11906" w:h="16838"/>
          <w:pgMar w:top="1440" w:right="1440" w:bottom="1440" w:left="1440" w:header="708" w:footer="708" w:gutter="0"/>
          <w:cols w:space="708"/>
          <w:docGrid w:linePitch="360"/>
        </w:sectPr>
      </w:pPr>
      <w:r>
        <w:t>Corrie Whitmore | College of Health | University of Alaska Anchorage (2025) Alaska.edu. Available at: https://www.uaa.alaska.edu/academics/college-of-</w:t>
      </w:r>
      <w:r>
        <w:lastRenderedPageBreak/>
        <w:t>health/departments/population-health-sciences/faculty-and-staff/whitmore-corrie.cshtml (Accessed: 21 February 2026).</w:t>
      </w:r>
    </w:p>
    <w:p w14:paraId="52CA9B5F" w14:textId="72C628AF" w:rsidR="00C963C3" w:rsidRPr="009F24C9" w:rsidRDefault="00C963C3" w:rsidP="00C963C3">
      <w:pPr>
        <w:pStyle w:val="Heading1"/>
        <w:rPr>
          <w:rFonts w:ascii="Arial" w:hAnsi="Arial" w:cs="Arial"/>
        </w:rPr>
      </w:pPr>
      <w:bookmarkStart w:id="1" w:name="_Toc218876934"/>
      <w:r w:rsidRPr="009F24C9">
        <w:rPr>
          <w:rFonts w:ascii="Arial" w:hAnsi="Arial" w:cs="Arial"/>
        </w:rPr>
        <w:lastRenderedPageBreak/>
        <w:t xml:space="preserve">Component 2 – Application of Academic Skills </w:t>
      </w:r>
      <w:bookmarkEnd w:id="1"/>
    </w:p>
    <w:p w14:paraId="075A7D93" w14:textId="3713B617" w:rsidR="00C963C3" w:rsidRDefault="00C963C3" w:rsidP="00C963C3">
      <w:pPr>
        <w:rPr>
          <w:rFonts w:ascii="Arial" w:hAnsi="Arial" w:cs="Arial"/>
          <w:b/>
          <w:bCs/>
        </w:rPr>
      </w:pPr>
      <w:r w:rsidRPr="009F24C9">
        <w:rPr>
          <w:rFonts w:ascii="Arial" w:hAnsi="Arial" w:cs="Arial"/>
          <w:b/>
          <w:bCs/>
        </w:rPr>
        <w:t xml:space="preserve">Introduction </w:t>
      </w:r>
    </w:p>
    <w:p w14:paraId="561328D9" w14:textId="7937548F" w:rsidR="0078745D" w:rsidRPr="00417505" w:rsidRDefault="0078745D" w:rsidP="00455F5B">
      <w:pPr>
        <w:spacing w:line="360" w:lineRule="auto"/>
        <w:rPr>
          <w:rFonts w:ascii="Arial" w:hAnsi="Arial" w:cs="Arial"/>
        </w:rPr>
      </w:pPr>
      <w:r w:rsidRPr="00417505">
        <w:rPr>
          <w:rFonts w:ascii="Arial" w:hAnsi="Arial" w:cs="Arial"/>
        </w:rPr>
        <w:t xml:space="preserve">Digital learning's enormous growth in higher education has changed how students interact with course materials, get knowledge, and demonstrate their academic skills. Students must use a wide range of academic skills with reliability and flexibility </w:t>
      </w:r>
      <w:r w:rsidR="00BA246D" w:rsidRPr="00417505">
        <w:rPr>
          <w:rFonts w:ascii="Arial" w:hAnsi="Arial" w:cs="Arial"/>
        </w:rPr>
        <w:t>to</w:t>
      </w:r>
      <w:r w:rsidRPr="00417505">
        <w:rPr>
          <w:rFonts w:ascii="Arial" w:hAnsi="Arial" w:cs="Arial"/>
        </w:rPr>
        <w:t xml:space="preserve"> succeed in this setting. Navigating online platforms, assessing digital resources, and actively engaging in virtual learning communities now require critical thinking, digital literacy, independent study, and effective communication.</w:t>
      </w:r>
    </w:p>
    <w:p w14:paraId="563E3460" w14:textId="5129EED6" w:rsidR="0078745D" w:rsidRPr="00417505" w:rsidRDefault="0078745D" w:rsidP="00455F5B">
      <w:pPr>
        <w:spacing w:line="360" w:lineRule="auto"/>
        <w:rPr>
          <w:rFonts w:ascii="Arial" w:hAnsi="Arial" w:cs="Arial"/>
        </w:rPr>
      </w:pPr>
      <w:r w:rsidRPr="00417505">
        <w:rPr>
          <w:rFonts w:ascii="Arial" w:hAnsi="Arial" w:cs="Arial"/>
        </w:rPr>
        <w:t>This report applies these skills to examine key challenges and opportunities in digital learning and to propose practical strategies that support academic success.</w:t>
      </w:r>
    </w:p>
    <w:p w14:paraId="7847A77B" w14:textId="6DFAF60B" w:rsidR="00C963C3" w:rsidRDefault="00C963C3" w:rsidP="00C963C3">
      <w:pPr>
        <w:rPr>
          <w:rFonts w:ascii="Arial" w:hAnsi="Arial" w:cs="Arial"/>
          <w:b/>
          <w:bCs/>
        </w:rPr>
      </w:pPr>
      <w:r w:rsidRPr="009F24C9">
        <w:rPr>
          <w:rFonts w:ascii="Arial" w:hAnsi="Arial" w:cs="Arial"/>
          <w:b/>
          <w:bCs/>
        </w:rPr>
        <w:t>Challenges for Students in the Digital Era</w:t>
      </w:r>
    </w:p>
    <w:p w14:paraId="383B1990" w14:textId="77777777" w:rsidR="006F1C9A" w:rsidRPr="00417505" w:rsidRDefault="006F1C9A" w:rsidP="00455F5B">
      <w:pPr>
        <w:spacing w:line="360" w:lineRule="auto"/>
        <w:rPr>
          <w:rFonts w:ascii="Arial" w:hAnsi="Arial" w:cs="Arial"/>
        </w:rPr>
      </w:pPr>
      <w:r w:rsidRPr="00417505">
        <w:rPr>
          <w:rFonts w:ascii="Arial" w:hAnsi="Arial" w:cs="Arial"/>
        </w:rPr>
        <w:t>Learner disconnection is a major issue in digital higher education. Using place-based pedagogy to deal with student disconnection in higher education underlines how virtual spaces may reduce meaningful contact and students' sense of belonging. A lack of social interaction can have a negative effect on dedication, motivation, and engagement, all of which can influence academic achievement. The complexity of digital technologies and the possibility of cognitive overload present a second difficulty. According to the author of Adopting Digital Tools in Higher Education: Opportunities, Challenges and Theoretical Insights, a large amount of information, a variety of platforms, and continuous digital engagement might impair focus and deep learning (</w:t>
      </w:r>
      <w:proofErr w:type="spellStart"/>
      <w:r w:rsidRPr="00417505">
        <w:rPr>
          <w:rFonts w:ascii="Arial" w:hAnsi="Arial" w:cs="Arial"/>
        </w:rPr>
        <w:t>Mexhuani</w:t>
      </w:r>
      <w:proofErr w:type="spellEnd"/>
      <w:r w:rsidRPr="00417505">
        <w:rPr>
          <w:rFonts w:ascii="Arial" w:hAnsi="Arial" w:cs="Arial"/>
        </w:rPr>
        <w:t>, B. 2025).</w:t>
      </w:r>
    </w:p>
    <w:p w14:paraId="621BD7FD" w14:textId="77777777" w:rsidR="00592763" w:rsidRDefault="006F1C9A" w:rsidP="00592763">
      <w:pPr>
        <w:spacing w:line="360" w:lineRule="auto"/>
        <w:rPr>
          <w:rFonts w:ascii="Arial" w:hAnsi="Arial" w:cs="Arial"/>
        </w:rPr>
      </w:pPr>
      <w:r w:rsidRPr="00417505">
        <w:rPr>
          <w:rFonts w:ascii="Arial" w:hAnsi="Arial" w:cs="Arial"/>
        </w:rPr>
        <w:t xml:space="preserve">These difficulties have a direct impact on the main academic abilities learned in higher education, such as academic writing, critical thinking, and efficient time management. Students' capacity to interact critically with academic content may suffer if they have trouble navigating digital platforms or feel socially isolated. To avoid inequality and academic disengagement, </w:t>
      </w:r>
      <w:proofErr w:type="spellStart"/>
      <w:r w:rsidRPr="00417505">
        <w:rPr>
          <w:rFonts w:ascii="Arial" w:hAnsi="Arial" w:cs="Arial"/>
        </w:rPr>
        <w:t>Alenezi</w:t>
      </w:r>
      <w:proofErr w:type="spellEnd"/>
      <w:r w:rsidRPr="00417505">
        <w:rPr>
          <w:rFonts w:ascii="Arial" w:hAnsi="Arial" w:cs="Arial"/>
        </w:rPr>
        <w:t xml:space="preserve"> defends in Digital Teaching and Learning in Higher Education that institutional digital transformation must be supported by assistance for digital literacy (</w:t>
      </w:r>
      <w:proofErr w:type="spellStart"/>
      <w:r w:rsidRPr="00417505">
        <w:rPr>
          <w:rFonts w:ascii="Arial" w:hAnsi="Arial" w:cs="Arial"/>
        </w:rPr>
        <w:t>Alenezi</w:t>
      </w:r>
      <w:proofErr w:type="spellEnd"/>
      <w:r w:rsidRPr="00417505">
        <w:rPr>
          <w:rFonts w:ascii="Arial" w:hAnsi="Arial" w:cs="Arial"/>
        </w:rPr>
        <w:t>, 2023).</w:t>
      </w:r>
    </w:p>
    <w:p w14:paraId="07311A40" w14:textId="77777777" w:rsidR="00592763" w:rsidRDefault="00592763" w:rsidP="00592763">
      <w:pPr>
        <w:spacing w:line="360" w:lineRule="auto"/>
        <w:rPr>
          <w:rFonts w:ascii="Arial" w:hAnsi="Arial" w:cs="Arial"/>
        </w:rPr>
      </w:pPr>
    </w:p>
    <w:p w14:paraId="0BA9CC82" w14:textId="77777777" w:rsidR="00592763" w:rsidRDefault="00592763" w:rsidP="00592763">
      <w:pPr>
        <w:spacing w:line="360" w:lineRule="auto"/>
        <w:rPr>
          <w:rFonts w:ascii="Arial" w:hAnsi="Arial" w:cs="Arial"/>
        </w:rPr>
      </w:pPr>
    </w:p>
    <w:p w14:paraId="617B6542" w14:textId="01C8B3E3" w:rsidR="00C963C3" w:rsidRPr="00592763" w:rsidRDefault="00C963C3" w:rsidP="00592763">
      <w:pPr>
        <w:spacing w:line="360" w:lineRule="auto"/>
        <w:rPr>
          <w:rFonts w:ascii="Arial" w:hAnsi="Arial" w:cs="Arial"/>
        </w:rPr>
      </w:pPr>
      <w:r w:rsidRPr="009F24C9">
        <w:rPr>
          <w:rFonts w:ascii="Arial" w:hAnsi="Arial" w:cs="Arial"/>
          <w:b/>
          <w:bCs/>
        </w:rPr>
        <w:lastRenderedPageBreak/>
        <w:t>Opportunities in the Digital Era</w:t>
      </w:r>
    </w:p>
    <w:p w14:paraId="5AC5D2D4" w14:textId="77777777" w:rsidR="000B1D19" w:rsidRPr="00A810C1" w:rsidRDefault="000B1D19" w:rsidP="00455F5B">
      <w:pPr>
        <w:spacing w:line="360" w:lineRule="auto"/>
        <w:rPr>
          <w:rFonts w:ascii="Arial" w:hAnsi="Arial" w:cs="Arial"/>
        </w:rPr>
      </w:pPr>
      <w:r w:rsidRPr="00A810C1">
        <w:rPr>
          <w:rFonts w:ascii="Arial" w:hAnsi="Arial" w:cs="Arial"/>
        </w:rPr>
        <w:t>For students in higher education, digital learning provides enormous possibilities, especially regarding inclusivity, flexibility, and creativity. Digital settings are better equipped to accommodate a range of linguistic and cultural backgrounds (Anselm Böhmer, Schwab and Illie Isso, 2023). Students can interact with the content at their own pace and from different places using online platforms, which might encourage better educational equity and wider engagement.</w:t>
      </w:r>
    </w:p>
    <w:p w14:paraId="730B8B4B" w14:textId="70BC3C11" w:rsidR="000B1D19" w:rsidRPr="00A810C1" w:rsidRDefault="000B1D19" w:rsidP="00455F5B">
      <w:pPr>
        <w:spacing w:line="360" w:lineRule="auto"/>
        <w:rPr>
          <w:rFonts w:ascii="Arial" w:hAnsi="Arial" w:cs="Arial"/>
        </w:rPr>
      </w:pPr>
      <w:r w:rsidRPr="00A810C1">
        <w:rPr>
          <w:rFonts w:ascii="Arial" w:hAnsi="Arial" w:cs="Arial"/>
        </w:rPr>
        <w:t>Technological advancements can facilitate individualized feedback, increase communication, and improve access to resources (McClelland, 2001). Digital technologies can improve critical engagement and self-directed learning when used carefully. However, thorough integration into teaching practice and efficient evaluation are necessary for their effectiveness. Digital technologies can enhance academic experiences and student achievements when they are in line with specific learning objectives.</w:t>
      </w:r>
    </w:p>
    <w:p w14:paraId="05DA24FA" w14:textId="24AF41BB" w:rsidR="00C963C3" w:rsidRPr="009F24C9" w:rsidRDefault="00C963C3" w:rsidP="00C963C3">
      <w:pPr>
        <w:rPr>
          <w:rFonts w:ascii="Arial" w:hAnsi="Arial" w:cs="Arial"/>
          <w:b/>
          <w:bCs/>
        </w:rPr>
      </w:pPr>
      <w:r w:rsidRPr="009F24C9">
        <w:rPr>
          <w:rFonts w:ascii="Arial" w:hAnsi="Arial" w:cs="Arial"/>
          <w:b/>
          <w:bCs/>
        </w:rPr>
        <w:t xml:space="preserve">How Students Can Adapt to Succeed </w:t>
      </w:r>
    </w:p>
    <w:p w14:paraId="6F4FE0F9" w14:textId="77777777" w:rsidR="00AE4E81" w:rsidRPr="00A810C1" w:rsidRDefault="00AE4E81" w:rsidP="00B11F6E">
      <w:pPr>
        <w:spacing w:line="360" w:lineRule="auto"/>
        <w:rPr>
          <w:rFonts w:ascii="Arial" w:hAnsi="Arial" w:cs="Arial"/>
        </w:rPr>
      </w:pPr>
      <w:r w:rsidRPr="00A810C1">
        <w:rPr>
          <w:rFonts w:ascii="Arial" w:hAnsi="Arial" w:cs="Arial"/>
        </w:rPr>
        <w:t>By using structured methods that improve academic abilities, students can effectively address the barriers of digital learning. Developing advanced digital literacy is the first step. This requires utilising technology ethically, managing digital information properly, and critically assessing online sources. As stated in Adopting Digital Tools in Higher Education, digital literacy promotes academic integrity and lowers the possibility of false information. It helps pupils develop their analytical abilities and get the confidence to use digital platforms (</w:t>
      </w:r>
      <w:proofErr w:type="spellStart"/>
      <w:r w:rsidRPr="00A810C1">
        <w:rPr>
          <w:rFonts w:ascii="Arial" w:hAnsi="Arial" w:cs="Arial"/>
        </w:rPr>
        <w:t>Mexhuani</w:t>
      </w:r>
      <w:proofErr w:type="spellEnd"/>
      <w:r w:rsidRPr="00A810C1">
        <w:rPr>
          <w:rFonts w:ascii="Arial" w:hAnsi="Arial" w:cs="Arial"/>
        </w:rPr>
        <w:t>, B.2025).</w:t>
      </w:r>
    </w:p>
    <w:p w14:paraId="66769575" w14:textId="77777777" w:rsidR="00AE4E81" w:rsidRPr="00A810C1" w:rsidRDefault="00AE4E81" w:rsidP="00B11F6E">
      <w:pPr>
        <w:spacing w:line="360" w:lineRule="auto"/>
        <w:rPr>
          <w:rFonts w:ascii="Arial" w:hAnsi="Arial" w:cs="Arial"/>
        </w:rPr>
      </w:pPr>
      <w:r w:rsidRPr="00A810C1">
        <w:rPr>
          <w:rFonts w:ascii="Arial" w:hAnsi="Arial" w:cs="Arial"/>
        </w:rPr>
        <w:t>Participating actively in online learning forums is a second strategy. Engaging in online forums, group projects, and online courses improves communication abilities and reduces feelings of loneliness. The research emphasizes the importance of social presence and belonging. Students reinforce their understanding and develop their critical discussion abilities by actively interacting with peers and tutors (Whitmore, C. 2024).</w:t>
      </w:r>
    </w:p>
    <w:p w14:paraId="36EAEE5A" w14:textId="2305B990" w:rsidR="00AE4E81" w:rsidRPr="00A810C1" w:rsidRDefault="00AE4E81" w:rsidP="00B11F6E">
      <w:pPr>
        <w:spacing w:line="360" w:lineRule="auto"/>
        <w:rPr>
          <w:rFonts w:ascii="Arial" w:hAnsi="Arial" w:cs="Arial"/>
        </w:rPr>
      </w:pPr>
      <w:r w:rsidRPr="00A810C1">
        <w:rPr>
          <w:rFonts w:ascii="Arial" w:hAnsi="Arial" w:cs="Arial"/>
        </w:rPr>
        <w:t xml:space="preserve">Practicing self-regulated learning is a third strategy. Effective time management, setting targets, and reflective practice are necessary in digital environments. Students can follow of their progress and modify their study strategies as necessary </w:t>
      </w:r>
      <w:r w:rsidRPr="00A810C1">
        <w:rPr>
          <w:rFonts w:ascii="Arial" w:hAnsi="Arial" w:cs="Arial"/>
        </w:rPr>
        <w:lastRenderedPageBreak/>
        <w:t>(Daniela, L. 2020). Self-regulation maximises the flexibility provided by digital tools while addressing the problem of cognitive</w:t>
      </w:r>
      <w:r w:rsidR="00596207" w:rsidRPr="00A810C1">
        <w:t xml:space="preserve"> </w:t>
      </w:r>
      <w:r w:rsidR="00596207" w:rsidRPr="00A810C1">
        <w:rPr>
          <w:rFonts w:ascii="Arial" w:hAnsi="Arial" w:cs="Arial"/>
        </w:rPr>
        <w:t xml:space="preserve">overload. When combined, these strategies support confidence, durability, and academic success in digitally mediated learning. </w:t>
      </w:r>
    </w:p>
    <w:p w14:paraId="5247C8B5" w14:textId="109D3962" w:rsidR="00C963C3" w:rsidRDefault="00C963C3" w:rsidP="00C963C3">
      <w:pPr>
        <w:rPr>
          <w:rFonts w:ascii="Arial" w:hAnsi="Arial" w:cs="Arial"/>
          <w:b/>
          <w:bCs/>
        </w:rPr>
      </w:pPr>
      <w:r w:rsidRPr="009F24C9">
        <w:rPr>
          <w:rFonts w:ascii="Arial" w:hAnsi="Arial" w:cs="Arial"/>
          <w:b/>
          <w:bCs/>
        </w:rPr>
        <w:t>Conclusion</w:t>
      </w:r>
    </w:p>
    <w:p w14:paraId="500ADF3C" w14:textId="3ABAEAEC" w:rsidR="00AA497A" w:rsidRPr="00D20E5A" w:rsidRDefault="00AA497A" w:rsidP="00B11F6E">
      <w:pPr>
        <w:spacing w:line="360" w:lineRule="auto"/>
        <w:rPr>
          <w:rFonts w:ascii="Arial" w:hAnsi="Arial" w:cs="Arial"/>
        </w:rPr>
      </w:pPr>
      <w:r w:rsidRPr="00D20E5A">
        <w:rPr>
          <w:rFonts w:ascii="Arial" w:hAnsi="Arial" w:cs="Arial"/>
        </w:rPr>
        <w:t>Digital learning has introduced both advantages and problems to higher education, causing a fundamental chaos. Although digital technologies might provide accessibility, flexibility, and personalized learning, they can also lead to student disengagement and cognitive overload. The literature demonstrates that optimizing benefits requires effective educational design that combines place-based tactics with structured digital frameworks. Students can succeed by engaging in online communities, practicing self-regulated learning, and developing digital literacy. The impact of digital technologies ultimately depends on how they are supported and used; improved education is not necessarily the outcome. When combined with exceptional academic skills and thoughtful institutional strategies, digital learning may boost engagement, deepen understanding, and promote inclusive educational outcomes.</w:t>
      </w:r>
    </w:p>
    <w:p w14:paraId="53D4117B" w14:textId="71E35881" w:rsidR="00C963C3" w:rsidRPr="00592763" w:rsidRDefault="00C963C3" w:rsidP="00592763">
      <w:pPr>
        <w:rPr>
          <w:rFonts w:ascii="Arial" w:hAnsi="Arial" w:cs="Arial"/>
          <w:b/>
          <w:bCs/>
        </w:rPr>
      </w:pPr>
      <w:r w:rsidRPr="009F24C9">
        <w:rPr>
          <w:rFonts w:ascii="Arial" w:hAnsi="Arial" w:cs="Arial"/>
          <w:b/>
          <w:bCs/>
        </w:rPr>
        <w:t>Reference List – Component 2</w:t>
      </w:r>
    </w:p>
    <w:p w14:paraId="10369CD3" w14:textId="77777777" w:rsidR="00DA3D6D" w:rsidRPr="00DA3D6D" w:rsidRDefault="00DA3D6D" w:rsidP="00B11F6E">
      <w:pPr>
        <w:spacing w:line="360" w:lineRule="auto"/>
        <w:rPr>
          <w:rFonts w:ascii="Arial" w:hAnsi="Arial" w:cs="Arial"/>
        </w:rPr>
      </w:pPr>
      <w:proofErr w:type="spellStart"/>
      <w:r w:rsidRPr="00DA3D6D">
        <w:rPr>
          <w:rFonts w:ascii="Arial" w:hAnsi="Arial" w:cs="Arial"/>
        </w:rPr>
        <w:t>Alenezi</w:t>
      </w:r>
      <w:proofErr w:type="spellEnd"/>
      <w:r w:rsidRPr="00DA3D6D">
        <w:rPr>
          <w:rFonts w:ascii="Arial" w:hAnsi="Arial" w:cs="Arial"/>
        </w:rPr>
        <w:t>, M. (2023) ‘Digital Learning and Digital Institution in Higher Education’, Education Sciences, 13(1), p. 88. Available at: https://www.mdpi.com/2227-7102/13/1/88</w:t>
      </w:r>
    </w:p>
    <w:p w14:paraId="1A2AF870" w14:textId="77777777" w:rsidR="00DA3D6D" w:rsidRDefault="00DA3D6D" w:rsidP="00B11F6E">
      <w:pPr>
        <w:spacing w:line="360" w:lineRule="auto"/>
        <w:rPr>
          <w:rFonts w:ascii="Arial" w:hAnsi="Arial" w:cs="Arial"/>
        </w:rPr>
      </w:pPr>
      <w:r w:rsidRPr="00DA3D6D">
        <w:rPr>
          <w:rFonts w:ascii="Arial" w:hAnsi="Arial" w:cs="Arial"/>
        </w:rPr>
        <w:t xml:space="preserve">Böhmer, A., </w:t>
      </w:r>
      <w:proofErr w:type="spellStart"/>
      <w:r w:rsidRPr="00DA3D6D">
        <w:rPr>
          <w:rFonts w:ascii="Arial" w:hAnsi="Arial" w:cs="Arial"/>
        </w:rPr>
        <w:t>Isso</w:t>
      </w:r>
      <w:proofErr w:type="spellEnd"/>
      <w:r w:rsidRPr="00DA3D6D">
        <w:rPr>
          <w:rFonts w:ascii="Arial" w:hAnsi="Arial" w:cs="Arial"/>
        </w:rPr>
        <w:t>, I. and Schwab, G. (eds.) (2023) Digital Teaching and Learning in Higher Education: Culture, Language, Social Issues. 1st ed. Bielefeld: transcript Verlag. Available at: https://doi.org/10.1515/9783839462768. (Accessed: 22 February 2026).</w:t>
      </w:r>
    </w:p>
    <w:p w14:paraId="277D2371" w14:textId="60EF7388" w:rsidR="00356F9C" w:rsidRPr="00DA3D6D" w:rsidRDefault="00356F9C" w:rsidP="00B11F6E">
      <w:pPr>
        <w:spacing w:line="360" w:lineRule="auto"/>
        <w:rPr>
          <w:rFonts w:ascii="Arial" w:hAnsi="Arial" w:cs="Arial"/>
        </w:rPr>
      </w:pPr>
      <w:r w:rsidRPr="00356F9C">
        <w:rPr>
          <w:rFonts w:ascii="Arial" w:hAnsi="Arial" w:cs="Arial"/>
        </w:rPr>
        <w:t xml:space="preserve"> Daniela, L. (ed.) (2020) Pedagogies of digital learning in higher education. 1st ed. Abingdon: Routledge. Available at: https://doi.org/10.4324/9781003019466.</w:t>
      </w:r>
    </w:p>
    <w:p w14:paraId="21EC0219" w14:textId="385B89CA" w:rsidR="00DA3D6D" w:rsidRPr="00DA3D6D" w:rsidRDefault="00DA3D6D" w:rsidP="00B11F6E">
      <w:pPr>
        <w:spacing w:line="360" w:lineRule="auto"/>
        <w:rPr>
          <w:rFonts w:ascii="Arial" w:hAnsi="Arial" w:cs="Arial"/>
        </w:rPr>
      </w:pPr>
      <w:r w:rsidRPr="00DA3D6D">
        <w:rPr>
          <w:rFonts w:ascii="Arial" w:hAnsi="Arial" w:cs="Arial"/>
        </w:rPr>
        <w:t>McClelland, B. (2001) ‘Digital learning and teaching: Evaluation of developments for students in higher education’, European Journal of Engineering Education, 26(2), pp. 107–115. Available at: https://doi.org/10.1080/03043790110033583.</w:t>
      </w:r>
    </w:p>
    <w:p w14:paraId="76192AE8" w14:textId="24AB768B" w:rsidR="00DA3D6D" w:rsidRPr="00DA3D6D" w:rsidRDefault="00DA3D6D" w:rsidP="00B11F6E">
      <w:pPr>
        <w:spacing w:line="360" w:lineRule="auto"/>
        <w:rPr>
          <w:rFonts w:ascii="Arial" w:hAnsi="Arial" w:cs="Arial"/>
        </w:rPr>
      </w:pPr>
      <w:r w:rsidRPr="00DA3D6D">
        <w:rPr>
          <w:rFonts w:ascii="Arial" w:hAnsi="Arial" w:cs="Arial"/>
        </w:rPr>
        <w:lastRenderedPageBreak/>
        <w:t xml:space="preserve"> </w:t>
      </w:r>
      <w:proofErr w:type="spellStart"/>
      <w:r w:rsidRPr="00DA3D6D">
        <w:rPr>
          <w:rFonts w:ascii="Arial" w:hAnsi="Arial" w:cs="Arial"/>
        </w:rPr>
        <w:t>Mexhuani</w:t>
      </w:r>
      <w:proofErr w:type="spellEnd"/>
      <w:r w:rsidRPr="00DA3D6D">
        <w:rPr>
          <w:rFonts w:ascii="Arial" w:hAnsi="Arial" w:cs="Arial"/>
        </w:rPr>
        <w:t>, B. (2025). Adopting Digital Tools in Higher Education: Opportunities, Challenges and Theoretical Insights. European Journal of Education, 60(1). https://doi.org/10.1111/ejed.12819</w:t>
      </w:r>
    </w:p>
    <w:p w14:paraId="09AF6B30" w14:textId="3E8FFE77" w:rsidR="00C963C3" w:rsidRPr="009F24C9" w:rsidRDefault="00DA3D6D" w:rsidP="00B11F6E">
      <w:pPr>
        <w:spacing w:line="360" w:lineRule="auto"/>
        <w:rPr>
          <w:rFonts w:ascii="Arial" w:hAnsi="Arial" w:cs="Arial"/>
        </w:rPr>
      </w:pPr>
      <w:r w:rsidRPr="00DA3D6D">
        <w:rPr>
          <w:rFonts w:ascii="Arial" w:hAnsi="Arial" w:cs="Arial"/>
        </w:rPr>
        <w:t>Whitmore, C. (2024). Combating Student Disconnection in Higher Education Using Place-Based Pedagogy: Encouraging Its Use as a Transformative Learning Practice in Digital Classrooms. The International Journal of Pedagogy and Curriculum, 32(1), 1–14. https://doi.org/10.18848/2327-7963/CGP/v32i01/1-14 (Accessed: 12-02-26)</w:t>
      </w:r>
    </w:p>
    <w:p w14:paraId="0238A94E" w14:textId="77777777" w:rsidR="00B668ED" w:rsidRDefault="00B668ED" w:rsidP="00C963C3">
      <w:pPr>
        <w:pStyle w:val="Heading1"/>
        <w:sectPr w:rsidR="00B668ED">
          <w:pgSz w:w="11906" w:h="16838"/>
          <w:pgMar w:top="1440" w:right="1440" w:bottom="1440" w:left="1440" w:header="708" w:footer="708" w:gutter="0"/>
          <w:cols w:space="708"/>
          <w:docGrid w:linePitch="360"/>
        </w:sectPr>
      </w:pPr>
    </w:p>
    <w:p w14:paraId="5560AC2C" w14:textId="194D2CDF" w:rsidR="00C963C3" w:rsidRPr="009F24C9" w:rsidRDefault="00C963C3" w:rsidP="003D53E1">
      <w:pPr>
        <w:pStyle w:val="Heading1"/>
        <w:rPr>
          <w:rFonts w:ascii="Arial" w:hAnsi="Arial" w:cs="Arial"/>
        </w:rPr>
      </w:pPr>
      <w:bookmarkStart w:id="2" w:name="_Toc218876935"/>
      <w:r w:rsidRPr="009F24C9">
        <w:rPr>
          <w:rFonts w:ascii="Arial" w:hAnsi="Arial" w:cs="Arial"/>
        </w:rPr>
        <w:lastRenderedPageBreak/>
        <w:t>Component 3 – Academic Poster</w:t>
      </w:r>
      <w:bookmarkEnd w:id="2"/>
    </w:p>
    <w:p w14:paraId="4FF8E504" w14:textId="257C43F7" w:rsidR="00C963C3" w:rsidRPr="009F24C9" w:rsidRDefault="00E37F6A" w:rsidP="00E37F6A">
      <w:pPr>
        <w:rPr>
          <w:rFonts w:ascii="Arial" w:hAnsi="Arial" w:cs="Arial"/>
        </w:rPr>
      </w:pPr>
      <w:r>
        <w:rPr>
          <w:rFonts w:ascii="Arial" w:hAnsi="Arial" w:cs="Arial"/>
          <w:noProof/>
        </w:rPr>
        <w:drawing>
          <wp:inline distT="0" distB="0" distL="0" distR="0" wp14:anchorId="74C0F561" wp14:editId="4D7BE7E6">
            <wp:extent cx="2383790" cy="5126990"/>
            <wp:effectExtent l="0" t="0" r="0" b="0"/>
            <wp:docPr id="519216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3790" cy="5126990"/>
                    </a:xfrm>
                    <a:prstGeom prst="rect">
                      <a:avLst/>
                    </a:prstGeom>
                    <a:noFill/>
                  </pic:spPr>
                </pic:pic>
              </a:graphicData>
            </a:graphic>
          </wp:inline>
        </w:drawing>
      </w:r>
    </w:p>
    <w:p w14:paraId="1A76B89A" w14:textId="77777777" w:rsidR="00C963C3" w:rsidRPr="009F24C9" w:rsidRDefault="00C963C3" w:rsidP="00C963C3">
      <w:pPr>
        <w:rPr>
          <w:rFonts w:ascii="Arial" w:hAnsi="Arial" w:cs="Arial"/>
          <w:b/>
          <w:bCs/>
        </w:rPr>
      </w:pPr>
      <w:r w:rsidRPr="009F24C9">
        <w:rPr>
          <w:rFonts w:ascii="Arial" w:hAnsi="Arial" w:cs="Arial"/>
          <w:b/>
          <w:bCs/>
        </w:rPr>
        <w:t>Reference List – Component 3</w:t>
      </w:r>
    </w:p>
    <w:p w14:paraId="57949FDF" w14:textId="77777777" w:rsidR="00C963C3" w:rsidRPr="009F24C9" w:rsidRDefault="00C963C3" w:rsidP="00C963C3">
      <w:pPr>
        <w:rPr>
          <w:rFonts w:ascii="Arial" w:hAnsi="Arial" w:cs="Arial"/>
        </w:rPr>
      </w:pPr>
      <w:r w:rsidRPr="009F24C9">
        <w:rPr>
          <w:rFonts w:ascii="Arial" w:hAnsi="Arial" w:cs="Arial"/>
          <w:i/>
          <w:iCs/>
        </w:rPr>
        <w:t>(Only sources cited on the poster.)</w:t>
      </w:r>
    </w:p>
    <w:p w14:paraId="3345515F" w14:textId="77777777" w:rsidR="00244D28" w:rsidRDefault="00244D28" w:rsidP="004220C7">
      <w:pPr>
        <w:spacing w:line="360" w:lineRule="auto"/>
      </w:pPr>
      <w:r>
        <w:t xml:space="preserve">  Galindo Domínguez, H., Bezanilla, M.J. and Poblete Ruiz, M. (2021) “Importance of Teaching Critical Thinking in Higher Education and Existing Difficulties According to Teacher´s Views,” Multidisciplinary journal of educational research, 11(1), pp. 20–48.</w:t>
      </w:r>
    </w:p>
    <w:p w14:paraId="1F3A2820" w14:textId="51296FBB" w:rsidR="001B0E32" w:rsidRDefault="001B0E32" w:rsidP="004220C7">
      <w:pPr>
        <w:spacing w:line="360" w:lineRule="auto"/>
      </w:pPr>
      <w:r w:rsidRPr="001B0E32">
        <w:t xml:space="preserve">  Santini, A. (2018) “The Importance of Referencing,” Journal of critical care medicine (</w:t>
      </w:r>
      <w:proofErr w:type="spellStart"/>
      <w:r w:rsidRPr="001B0E32">
        <w:t>Universitatea</w:t>
      </w:r>
      <w:proofErr w:type="spellEnd"/>
      <w:r w:rsidRPr="001B0E32">
        <w:t xml:space="preserve"> de </w:t>
      </w:r>
      <w:proofErr w:type="spellStart"/>
      <w:r w:rsidRPr="001B0E32">
        <w:t>Medicină</w:t>
      </w:r>
      <w:proofErr w:type="spellEnd"/>
      <w:r w:rsidRPr="001B0E32">
        <w:t xml:space="preserve"> </w:t>
      </w:r>
      <w:proofErr w:type="spellStart"/>
      <w:r w:rsidRPr="001B0E32">
        <w:t>și</w:t>
      </w:r>
      <w:proofErr w:type="spellEnd"/>
      <w:r w:rsidRPr="001B0E32">
        <w:t xml:space="preserve"> </w:t>
      </w:r>
      <w:proofErr w:type="spellStart"/>
      <w:r w:rsidRPr="001B0E32">
        <w:t>Farmacie</w:t>
      </w:r>
      <w:proofErr w:type="spellEnd"/>
      <w:r w:rsidRPr="001B0E32">
        <w:t xml:space="preserve"> din Târgu-Mureș), 4(1), pp. 3–4. Available at: https://doi.org/10.2478/jccm-2018-0002.</w:t>
      </w:r>
    </w:p>
    <w:p w14:paraId="054F7066" w14:textId="7E5E0706" w:rsidR="00244D28" w:rsidRDefault="00244D28" w:rsidP="004220C7">
      <w:pPr>
        <w:spacing w:line="360" w:lineRule="auto"/>
      </w:pPr>
      <w:r>
        <w:lastRenderedPageBreak/>
        <w:t xml:space="preserve">  Wolters, C.A. and Brady, A.C. (2021) “College Students’ Time Management: a Self-Regulated Learning Perspective,” Educational psychology review, 33(4), pp. 1319–1351. Available at: </w:t>
      </w:r>
      <w:hyperlink r:id="rId10" w:history="1">
        <w:r w:rsidR="002805AA" w:rsidRPr="00193641">
          <w:rPr>
            <w:rStyle w:val="Hyperlink"/>
          </w:rPr>
          <w:t>https://doi.org/10.1007/s10648-020-09519-z</w:t>
        </w:r>
      </w:hyperlink>
      <w:r>
        <w:t>.</w:t>
      </w:r>
    </w:p>
    <w:p w14:paraId="332789D9" w14:textId="77777777" w:rsidR="00021DD6" w:rsidRDefault="00021DD6" w:rsidP="00C61828">
      <w:pPr>
        <w:spacing w:line="360" w:lineRule="auto"/>
        <w:rPr>
          <w:b/>
          <w:bCs/>
        </w:rPr>
      </w:pPr>
    </w:p>
    <w:p w14:paraId="43C31D53" w14:textId="77777777" w:rsidR="00021DD6" w:rsidRDefault="00021DD6" w:rsidP="00C61828">
      <w:pPr>
        <w:spacing w:line="360" w:lineRule="auto"/>
        <w:rPr>
          <w:b/>
          <w:bCs/>
        </w:rPr>
      </w:pPr>
    </w:p>
    <w:p w14:paraId="19C47593" w14:textId="77777777" w:rsidR="00021DD6" w:rsidRDefault="00021DD6" w:rsidP="00C61828">
      <w:pPr>
        <w:spacing w:line="360" w:lineRule="auto"/>
        <w:rPr>
          <w:b/>
          <w:bCs/>
        </w:rPr>
      </w:pPr>
    </w:p>
    <w:p w14:paraId="315BFDA4" w14:textId="77777777" w:rsidR="00021DD6" w:rsidRDefault="00021DD6" w:rsidP="00C61828">
      <w:pPr>
        <w:spacing w:line="360" w:lineRule="auto"/>
        <w:rPr>
          <w:b/>
          <w:bCs/>
        </w:rPr>
      </w:pPr>
    </w:p>
    <w:p w14:paraId="727908F7" w14:textId="77777777" w:rsidR="00021DD6" w:rsidRDefault="00021DD6" w:rsidP="00C61828">
      <w:pPr>
        <w:spacing w:line="360" w:lineRule="auto"/>
        <w:rPr>
          <w:b/>
          <w:bCs/>
        </w:rPr>
      </w:pPr>
    </w:p>
    <w:p w14:paraId="1A9DBA17" w14:textId="77777777" w:rsidR="00021DD6" w:rsidRDefault="00021DD6" w:rsidP="00C61828">
      <w:pPr>
        <w:spacing w:line="360" w:lineRule="auto"/>
        <w:rPr>
          <w:b/>
          <w:bCs/>
        </w:rPr>
      </w:pPr>
    </w:p>
    <w:p w14:paraId="77742CB9" w14:textId="77777777" w:rsidR="00021DD6" w:rsidRDefault="00021DD6" w:rsidP="00C61828">
      <w:pPr>
        <w:spacing w:line="360" w:lineRule="auto"/>
        <w:rPr>
          <w:b/>
          <w:bCs/>
        </w:rPr>
      </w:pPr>
    </w:p>
    <w:p w14:paraId="67132EAF" w14:textId="77777777" w:rsidR="00021DD6" w:rsidRDefault="00021DD6" w:rsidP="00C61828">
      <w:pPr>
        <w:spacing w:line="360" w:lineRule="auto"/>
        <w:rPr>
          <w:b/>
          <w:bCs/>
        </w:rPr>
      </w:pPr>
    </w:p>
    <w:p w14:paraId="33361EDB" w14:textId="77777777" w:rsidR="00021DD6" w:rsidRDefault="00021DD6" w:rsidP="00C61828">
      <w:pPr>
        <w:spacing w:line="360" w:lineRule="auto"/>
        <w:rPr>
          <w:b/>
          <w:bCs/>
        </w:rPr>
      </w:pPr>
    </w:p>
    <w:p w14:paraId="4B15461E" w14:textId="77777777" w:rsidR="00021DD6" w:rsidRDefault="00021DD6" w:rsidP="00C61828">
      <w:pPr>
        <w:spacing w:line="360" w:lineRule="auto"/>
        <w:rPr>
          <w:b/>
          <w:bCs/>
        </w:rPr>
      </w:pPr>
    </w:p>
    <w:p w14:paraId="673E22F1" w14:textId="77777777" w:rsidR="00021DD6" w:rsidRDefault="00021DD6" w:rsidP="00C61828">
      <w:pPr>
        <w:spacing w:line="360" w:lineRule="auto"/>
        <w:rPr>
          <w:b/>
          <w:bCs/>
        </w:rPr>
      </w:pPr>
    </w:p>
    <w:p w14:paraId="0EA00D6D" w14:textId="77777777" w:rsidR="00021DD6" w:rsidRDefault="00021DD6" w:rsidP="00C61828">
      <w:pPr>
        <w:spacing w:line="360" w:lineRule="auto"/>
        <w:rPr>
          <w:b/>
          <w:bCs/>
        </w:rPr>
      </w:pPr>
    </w:p>
    <w:p w14:paraId="1A88D7D9" w14:textId="77777777" w:rsidR="00021DD6" w:rsidRDefault="00021DD6" w:rsidP="00C61828">
      <w:pPr>
        <w:spacing w:line="360" w:lineRule="auto"/>
        <w:rPr>
          <w:b/>
          <w:bCs/>
        </w:rPr>
      </w:pPr>
    </w:p>
    <w:p w14:paraId="75F92FC2" w14:textId="77777777" w:rsidR="00021DD6" w:rsidRDefault="00021DD6" w:rsidP="00C61828">
      <w:pPr>
        <w:spacing w:line="360" w:lineRule="auto"/>
        <w:rPr>
          <w:b/>
          <w:bCs/>
        </w:rPr>
      </w:pPr>
    </w:p>
    <w:p w14:paraId="5D7DA3AF" w14:textId="77777777" w:rsidR="00021DD6" w:rsidRDefault="00021DD6" w:rsidP="00C61828">
      <w:pPr>
        <w:spacing w:line="360" w:lineRule="auto"/>
        <w:rPr>
          <w:b/>
          <w:bCs/>
        </w:rPr>
      </w:pPr>
    </w:p>
    <w:p w14:paraId="0CAF0414" w14:textId="77777777" w:rsidR="00021DD6" w:rsidRDefault="00021DD6" w:rsidP="00C61828">
      <w:pPr>
        <w:spacing w:line="360" w:lineRule="auto"/>
        <w:rPr>
          <w:b/>
          <w:bCs/>
        </w:rPr>
      </w:pPr>
    </w:p>
    <w:p w14:paraId="6B5C5C0E" w14:textId="77777777" w:rsidR="00021DD6" w:rsidRDefault="00021DD6" w:rsidP="00C61828">
      <w:pPr>
        <w:spacing w:line="360" w:lineRule="auto"/>
        <w:rPr>
          <w:b/>
          <w:bCs/>
        </w:rPr>
      </w:pPr>
    </w:p>
    <w:p w14:paraId="4B78481D" w14:textId="77777777" w:rsidR="00021DD6" w:rsidRDefault="00021DD6" w:rsidP="00C61828">
      <w:pPr>
        <w:spacing w:line="360" w:lineRule="auto"/>
        <w:rPr>
          <w:b/>
          <w:bCs/>
        </w:rPr>
      </w:pPr>
    </w:p>
    <w:p w14:paraId="4586F93A" w14:textId="77777777" w:rsidR="00021DD6" w:rsidRDefault="00021DD6" w:rsidP="00C61828">
      <w:pPr>
        <w:spacing w:line="360" w:lineRule="auto"/>
        <w:rPr>
          <w:b/>
          <w:bCs/>
        </w:rPr>
      </w:pPr>
    </w:p>
    <w:p w14:paraId="27DD445D" w14:textId="77777777" w:rsidR="00021DD6" w:rsidRDefault="00021DD6" w:rsidP="00C61828">
      <w:pPr>
        <w:spacing w:line="360" w:lineRule="auto"/>
        <w:rPr>
          <w:b/>
          <w:bCs/>
        </w:rPr>
      </w:pPr>
    </w:p>
    <w:p w14:paraId="7AE73628" w14:textId="77777777" w:rsidR="006604A1" w:rsidRDefault="006604A1" w:rsidP="00C61828">
      <w:pPr>
        <w:spacing w:line="360" w:lineRule="auto"/>
        <w:rPr>
          <w:b/>
          <w:bCs/>
        </w:rPr>
      </w:pPr>
    </w:p>
    <w:p w14:paraId="20FF5908" w14:textId="3199F8B6" w:rsidR="002805AA" w:rsidRDefault="00C75B37" w:rsidP="00C61828">
      <w:pPr>
        <w:spacing w:line="360" w:lineRule="auto"/>
        <w:rPr>
          <w:b/>
          <w:bCs/>
        </w:rPr>
      </w:pPr>
      <w:r>
        <w:rPr>
          <w:b/>
          <w:bCs/>
        </w:rPr>
        <w:lastRenderedPageBreak/>
        <w:t>References</w:t>
      </w:r>
    </w:p>
    <w:p w14:paraId="4C8074B1" w14:textId="77777777" w:rsidR="00995ED1" w:rsidRDefault="00995ED1" w:rsidP="00C61828">
      <w:pPr>
        <w:spacing w:line="360" w:lineRule="auto"/>
      </w:pPr>
      <w:proofErr w:type="spellStart"/>
      <w:r>
        <w:t>Alenezi</w:t>
      </w:r>
      <w:proofErr w:type="spellEnd"/>
      <w:r>
        <w:t>, M. (2023) ‘Digital Learning and Digital Institution in Higher Education’, Education Sciences, 13(1), p. 88. Available at: https://www.mdpi.com/2227-7102/13/1/88</w:t>
      </w:r>
    </w:p>
    <w:p w14:paraId="44CEE7B2" w14:textId="77099658" w:rsidR="00995ED1" w:rsidRDefault="00995ED1" w:rsidP="00C61828">
      <w:pPr>
        <w:spacing w:line="360" w:lineRule="auto"/>
      </w:pPr>
      <w:r>
        <w:t xml:space="preserve">Böhmer, A., </w:t>
      </w:r>
      <w:proofErr w:type="spellStart"/>
      <w:r>
        <w:t>Isso</w:t>
      </w:r>
      <w:proofErr w:type="spellEnd"/>
      <w:r>
        <w:t>, I. and Schwab, G. (eds.) (2023) Digital Teaching and Learning in Higher Education: Culture, Language, Social Issues. 1st ed. Bielefeld: transcript Verlag. Available at: https://doi.org/10.1515/9783839462768. (Accessed: 22 February 2026).</w:t>
      </w:r>
    </w:p>
    <w:p w14:paraId="570936CA" w14:textId="772E430B" w:rsidR="005640A9" w:rsidRDefault="005640A9" w:rsidP="00C61828">
      <w:pPr>
        <w:spacing w:line="360" w:lineRule="auto"/>
      </w:pPr>
      <w:r w:rsidRPr="005640A9">
        <w:t>Corrie Whitmore | College of Health | University of Alaska Anchorage (2025) Alaska.edu. Available at: https://www.uaa.alaska.edu/academics/college-of-health/departments/population-health-sciences/faculty-and-staff/whitmore-corrie.cshtml (Accessed: 21 February 2026).</w:t>
      </w:r>
    </w:p>
    <w:p w14:paraId="4149E0BC" w14:textId="08430958" w:rsidR="00EE56F0" w:rsidRDefault="00EE56F0" w:rsidP="00C61828">
      <w:pPr>
        <w:spacing w:line="360" w:lineRule="auto"/>
      </w:pPr>
      <w:r w:rsidRPr="00EE56F0">
        <w:t xml:space="preserve">Daniela, L. (ed.) (2020) Pedagogies of digital learning in higher education. 1st ed. Abingdon: Routledge. Available at: </w:t>
      </w:r>
      <w:hyperlink r:id="rId11" w:history="1">
        <w:r w:rsidR="00C23B95" w:rsidRPr="00193641">
          <w:rPr>
            <w:rStyle w:val="Hyperlink"/>
          </w:rPr>
          <w:t>https://doi.org/10.4324/9781003019466</w:t>
        </w:r>
      </w:hyperlink>
      <w:r w:rsidRPr="00EE56F0">
        <w:t>.</w:t>
      </w:r>
    </w:p>
    <w:p w14:paraId="03842335" w14:textId="46E59866" w:rsidR="008252C4" w:rsidRPr="005640A9" w:rsidRDefault="00C23B95" w:rsidP="00C61828">
      <w:pPr>
        <w:spacing w:line="360" w:lineRule="auto"/>
      </w:pPr>
      <w:r w:rsidRPr="00C23B95">
        <w:t xml:space="preserve">  Galindo Domínguez, H., Bezanilla, M.J. and Poblete Ruiz, M. (2021) “Importance of Teaching Critical Thinking in Higher Education and Existing Difficulties According to Teacher´s Views,” Multidisciplinary journal of educational research, 11(1), pp. 20–48.</w:t>
      </w:r>
    </w:p>
    <w:p w14:paraId="3713DE29" w14:textId="0F51D0F2" w:rsidR="00C75B37" w:rsidRDefault="009D75B0" w:rsidP="00C61828">
      <w:pPr>
        <w:spacing w:line="360" w:lineRule="auto"/>
      </w:pPr>
      <w:r>
        <w:t>Ideology and Identity in Kosovo’s Political Landscape (2024) Google Books. Available at: https://books.google.co.uk/books/about/Ideology_and_Identity_in_Kosovo_s_Politi.html?id=Wlrl0AEACAAJ&amp;source=kp_author_description&amp;redir_esc=y (Accessed: 21 February 2026)</w:t>
      </w:r>
    </w:p>
    <w:p w14:paraId="28523686" w14:textId="27D5C38E" w:rsidR="00C23B95" w:rsidRDefault="00C23B95" w:rsidP="00C61828">
      <w:pPr>
        <w:spacing w:line="360" w:lineRule="auto"/>
      </w:pPr>
      <w:r w:rsidRPr="00C23B95">
        <w:t xml:space="preserve">McClelland, B. (2001) ‘Digital learning and teaching: Evaluation of developments for students in higher education’, European Journal of Engineering Education, 26(2), pp. 107–115. Available at: </w:t>
      </w:r>
      <w:hyperlink r:id="rId12" w:history="1">
        <w:r w:rsidRPr="00193641">
          <w:rPr>
            <w:rStyle w:val="Hyperlink"/>
          </w:rPr>
          <w:t>https://doi.org/10.1080/03043790110033583</w:t>
        </w:r>
      </w:hyperlink>
      <w:r w:rsidRPr="00C23B95">
        <w:t>.</w:t>
      </w:r>
    </w:p>
    <w:p w14:paraId="105252F3" w14:textId="66E3DDB1" w:rsidR="00C23B95" w:rsidRDefault="00C23B95" w:rsidP="00C61828">
      <w:pPr>
        <w:spacing w:line="360" w:lineRule="auto"/>
      </w:pPr>
      <w:r w:rsidRPr="00C23B95">
        <w:t xml:space="preserve">  </w:t>
      </w:r>
      <w:proofErr w:type="spellStart"/>
      <w:r w:rsidRPr="00C23B95">
        <w:t>Mexhuani</w:t>
      </w:r>
      <w:proofErr w:type="spellEnd"/>
      <w:r w:rsidRPr="00C23B95">
        <w:t xml:space="preserve">, B. (2025). Adopting Digital Tools in Higher Education: Opportunities, Challenges and Theoretical Insights. European Journal of Education, 60(1). </w:t>
      </w:r>
      <w:hyperlink r:id="rId13" w:history="1">
        <w:r w:rsidR="003550AF" w:rsidRPr="00193641">
          <w:rPr>
            <w:rStyle w:val="Hyperlink"/>
          </w:rPr>
          <w:t>https://doi.org/10.1111/ejed.12819</w:t>
        </w:r>
      </w:hyperlink>
    </w:p>
    <w:p w14:paraId="32CACD91" w14:textId="4055758D" w:rsidR="003550AF" w:rsidRDefault="003550AF" w:rsidP="00C61828">
      <w:pPr>
        <w:spacing w:line="360" w:lineRule="auto"/>
      </w:pPr>
      <w:r w:rsidRPr="003550AF">
        <w:lastRenderedPageBreak/>
        <w:t xml:space="preserve">  Santini, A. (2018) “The Importance of Referencing,” Journal of critical care medicine (</w:t>
      </w:r>
      <w:proofErr w:type="spellStart"/>
      <w:r w:rsidRPr="003550AF">
        <w:t>Universitatea</w:t>
      </w:r>
      <w:proofErr w:type="spellEnd"/>
      <w:r w:rsidRPr="003550AF">
        <w:t xml:space="preserve"> de </w:t>
      </w:r>
      <w:proofErr w:type="spellStart"/>
      <w:r w:rsidRPr="003550AF">
        <w:t>Medicină</w:t>
      </w:r>
      <w:proofErr w:type="spellEnd"/>
      <w:r w:rsidRPr="003550AF">
        <w:t xml:space="preserve"> </w:t>
      </w:r>
      <w:proofErr w:type="spellStart"/>
      <w:r w:rsidRPr="003550AF">
        <w:t>și</w:t>
      </w:r>
      <w:proofErr w:type="spellEnd"/>
      <w:r w:rsidRPr="003550AF">
        <w:t xml:space="preserve"> </w:t>
      </w:r>
      <w:proofErr w:type="spellStart"/>
      <w:r w:rsidRPr="003550AF">
        <w:t>Farmacie</w:t>
      </w:r>
      <w:proofErr w:type="spellEnd"/>
      <w:r w:rsidRPr="003550AF">
        <w:t xml:space="preserve"> din Târgu-Mureș), 4(1), pp. 3–4. Available at: https://doi.org/10.2478/jccm-2018-0002.</w:t>
      </w:r>
    </w:p>
    <w:p w14:paraId="6D601593" w14:textId="77777777" w:rsidR="00792B39" w:rsidRDefault="00792B39" w:rsidP="00C61828">
      <w:pPr>
        <w:spacing w:line="360" w:lineRule="auto"/>
      </w:pPr>
      <w:r>
        <w:t>Whitmore, C. (2024). Combating Student Disconnection in Higher Education Using Place-Based Pedagogy: Encouraging Its Use as a Transformative Learning Practice in Digital Classrooms. The International Journal of Pedagogy and Curriculum, 32(1), 1–14. https://doi.org/10.18848/2327-7963/CGP/v32i01/1-14 (Accessed: 12-02-26)</w:t>
      </w:r>
    </w:p>
    <w:p w14:paraId="77690B35" w14:textId="5170382F" w:rsidR="00FE038E" w:rsidRDefault="00407CF1" w:rsidP="00C61828">
      <w:pPr>
        <w:spacing w:line="360" w:lineRule="auto"/>
      </w:pPr>
      <w:r>
        <w:t>Whitmore, C. (2024). Combating Student Disconnection in Higher Education Using Place-Based Pedagogy: Encouraging Its Use as a Transformative Learning Practice in Digital Classrooms. The International Journal of Pedagogy and Curriculum, 32(1), 1–14. https://doi.org/10.18848/2327-7963/CGP/v32i01/1-14 (Accessed: 12-02-26)</w:t>
      </w:r>
    </w:p>
    <w:p w14:paraId="2E96AF56" w14:textId="4E463750" w:rsidR="00C61828" w:rsidRDefault="00C61828" w:rsidP="00C61828">
      <w:pPr>
        <w:spacing w:line="360" w:lineRule="auto"/>
      </w:pPr>
      <w:r w:rsidRPr="00C61828">
        <w:t xml:space="preserve">  Wolters, C.A. and Brady, A.C. (2021) “College Students’ Time Management: a Self-Regulated Learning Perspective,” Educational psychology review, 33(4), pp. 1319–1351. Available at: https://doi.org/10.1007/s10648-020-09519-z.</w:t>
      </w:r>
    </w:p>
    <w:p w14:paraId="7967690F" w14:textId="77777777" w:rsidR="00C61828" w:rsidRPr="009D75B0" w:rsidRDefault="00C61828" w:rsidP="00407CF1">
      <w:pPr>
        <w:spacing w:line="360" w:lineRule="auto"/>
      </w:pPr>
    </w:p>
    <w:p w14:paraId="6695DA5E" w14:textId="77777777" w:rsidR="003A5D77" w:rsidRPr="00E6780D" w:rsidRDefault="003A5D77" w:rsidP="00C963C3">
      <w:pPr>
        <w:ind w:left="720"/>
      </w:pPr>
    </w:p>
    <w:sectPr w:rsidR="003A5D77"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DF950" w14:textId="77777777" w:rsidR="00D22200" w:rsidRDefault="00D22200" w:rsidP="006D4055">
      <w:pPr>
        <w:spacing w:after="0" w:line="240" w:lineRule="auto"/>
      </w:pPr>
      <w:r>
        <w:separator/>
      </w:r>
    </w:p>
  </w:endnote>
  <w:endnote w:type="continuationSeparator" w:id="0">
    <w:p w14:paraId="038F3DA7" w14:textId="77777777" w:rsidR="00D22200" w:rsidRDefault="00D22200"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E4048" w14:textId="77777777" w:rsidR="00D22200" w:rsidRDefault="00D22200" w:rsidP="006D4055">
      <w:pPr>
        <w:spacing w:after="0" w:line="240" w:lineRule="auto"/>
      </w:pPr>
      <w:r>
        <w:separator/>
      </w:r>
    </w:p>
  </w:footnote>
  <w:footnote w:type="continuationSeparator" w:id="0">
    <w:p w14:paraId="6FD99A18" w14:textId="77777777" w:rsidR="00D22200" w:rsidRDefault="00D22200"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F0230E"/>
    <w:multiLevelType w:val="multilevel"/>
    <w:tmpl w:val="21CA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3"/>
  </w:num>
  <w:num w:numId="2" w16cid:durableId="93602246">
    <w:abstractNumId w:val="24"/>
  </w:num>
  <w:num w:numId="3" w16cid:durableId="1344435272">
    <w:abstractNumId w:val="5"/>
  </w:num>
  <w:num w:numId="4" w16cid:durableId="1712344868">
    <w:abstractNumId w:val="10"/>
  </w:num>
  <w:num w:numId="5" w16cid:durableId="1352295286">
    <w:abstractNumId w:val="17"/>
  </w:num>
  <w:num w:numId="6" w16cid:durableId="2115124356">
    <w:abstractNumId w:val="27"/>
  </w:num>
  <w:num w:numId="7" w16cid:durableId="2086759185">
    <w:abstractNumId w:val="16"/>
  </w:num>
  <w:num w:numId="8" w16cid:durableId="872960361">
    <w:abstractNumId w:val="15"/>
  </w:num>
  <w:num w:numId="9" w16cid:durableId="634411233">
    <w:abstractNumId w:val="25"/>
  </w:num>
  <w:num w:numId="10" w16cid:durableId="238636803">
    <w:abstractNumId w:val="6"/>
  </w:num>
  <w:num w:numId="11" w16cid:durableId="843322808">
    <w:abstractNumId w:val="19"/>
  </w:num>
  <w:num w:numId="12" w16cid:durableId="2017271467">
    <w:abstractNumId w:val="21"/>
  </w:num>
  <w:num w:numId="13" w16cid:durableId="367410237">
    <w:abstractNumId w:val="14"/>
  </w:num>
  <w:num w:numId="14" w16cid:durableId="967859512">
    <w:abstractNumId w:val="12"/>
  </w:num>
  <w:num w:numId="15" w16cid:durableId="1302073288">
    <w:abstractNumId w:val="22"/>
  </w:num>
  <w:num w:numId="16" w16cid:durableId="1710840803">
    <w:abstractNumId w:val="9"/>
  </w:num>
  <w:num w:numId="17" w16cid:durableId="1389962408">
    <w:abstractNumId w:val="18"/>
  </w:num>
  <w:num w:numId="18" w16cid:durableId="1867601031">
    <w:abstractNumId w:val="26"/>
  </w:num>
  <w:num w:numId="19" w16cid:durableId="1049035496">
    <w:abstractNumId w:val="1"/>
  </w:num>
  <w:num w:numId="20" w16cid:durableId="442461968">
    <w:abstractNumId w:val="4"/>
  </w:num>
  <w:num w:numId="21" w16cid:durableId="257644272">
    <w:abstractNumId w:val="2"/>
  </w:num>
  <w:num w:numId="22" w16cid:durableId="199050719">
    <w:abstractNumId w:val="0"/>
  </w:num>
  <w:num w:numId="23" w16cid:durableId="1524661628">
    <w:abstractNumId w:val="3"/>
  </w:num>
  <w:num w:numId="24" w16cid:durableId="1146701939">
    <w:abstractNumId w:val="20"/>
  </w:num>
  <w:num w:numId="25" w16cid:durableId="1110588447">
    <w:abstractNumId w:val="11"/>
  </w:num>
  <w:num w:numId="26" w16cid:durableId="721754015">
    <w:abstractNumId w:val="8"/>
  </w:num>
  <w:num w:numId="27" w16cid:durableId="1039814628">
    <w:abstractNumId w:val="23"/>
  </w:num>
  <w:num w:numId="28" w16cid:durableId="11204132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11232"/>
    <w:rsid w:val="00021CFE"/>
    <w:rsid w:val="00021DD6"/>
    <w:rsid w:val="00025872"/>
    <w:rsid w:val="00086DA8"/>
    <w:rsid w:val="000B1D19"/>
    <w:rsid w:val="000B5D92"/>
    <w:rsid w:val="0019149B"/>
    <w:rsid w:val="001B0E32"/>
    <w:rsid w:val="001E5C71"/>
    <w:rsid w:val="00244D28"/>
    <w:rsid w:val="002805AA"/>
    <w:rsid w:val="0028336A"/>
    <w:rsid w:val="002D1900"/>
    <w:rsid w:val="00307CD3"/>
    <w:rsid w:val="003412DD"/>
    <w:rsid w:val="00347024"/>
    <w:rsid w:val="003550AF"/>
    <w:rsid w:val="00356F9C"/>
    <w:rsid w:val="00385F28"/>
    <w:rsid w:val="003877FC"/>
    <w:rsid w:val="003A29F1"/>
    <w:rsid w:val="003A5D77"/>
    <w:rsid w:val="003B1399"/>
    <w:rsid w:val="003B36E9"/>
    <w:rsid w:val="003C3B5F"/>
    <w:rsid w:val="003D53E1"/>
    <w:rsid w:val="003E4C33"/>
    <w:rsid w:val="00407CF1"/>
    <w:rsid w:val="004110D6"/>
    <w:rsid w:val="00417505"/>
    <w:rsid w:val="004220C7"/>
    <w:rsid w:val="00434A22"/>
    <w:rsid w:val="00445C0E"/>
    <w:rsid w:val="00455F5B"/>
    <w:rsid w:val="00462B66"/>
    <w:rsid w:val="004B3716"/>
    <w:rsid w:val="004C5D50"/>
    <w:rsid w:val="005640A9"/>
    <w:rsid w:val="00574208"/>
    <w:rsid w:val="00592763"/>
    <w:rsid w:val="00596207"/>
    <w:rsid w:val="005A42FD"/>
    <w:rsid w:val="005A6431"/>
    <w:rsid w:val="005C237D"/>
    <w:rsid w:val="005C6F57"/>
    <w:rsid w:val="005F09FD"/>
    <w:rsid w:val="005F1ECB"/>
    <w:rsid w:val="00612E37"/>
    <w:rsid w:val="006604A1"/>
    <w:rsid w:val="00692819"/>
    <w:rsid w:val="006A5708"/>
    <w:rsid w:val="006A6CC0"/>
    <w:rsid w:val="006B3C7C"/>
    <w:rsid w:val="006C36CA"/>
    <w:rsid w:val="006D4055"/>
    <w:rsid w:val="006F18EA"/>
    <w:rsid w:val="006F1C9A"/>
    <w:rsid w:val="007421E0"/>
    <w:rsid w:val="00742574"/>
    <w:rsid w:val="007533FC"/>
    <w:rsid w:val="00753E19"/>
    <w:rsid w:val="0078745D"/>
    <w:rsid w:val="00792B39"/>
    <w:rsid w:val="007946CC"/>
    <w:rsid w:val="007A735E"/>
    <w:rsid w:val="007D475D"/>
    <w:rsid w:val="007F18C2"/>
    <w:rsid w:val="00800D8B"/>
    <w:rsid w:val="00813EB3"/>
    <w:rsid w:val="008200D6"/>
    <w:rsid w:val="008240D2"/>
    <w:rsid w:val="008252C4"/>
    <w:rsid w:val="00842AC9"/>
    <w:rsid w:val="008470D2"/>
    <w:rsid w:val="0087758B"/>
    <w:rsid w:val="00895599"/>
    <w:rsid w:val="00895E11"/>
    <w:rsid w:val="008D0E6E"/>
    <w:rsid w:val="00906B0D"/>
    <w:rsid w:val="00942B47"/>
    <w:rsid w:val="009540A8"/>
    <w:rsid w:val="0097469F"/>
    <w:rsid w:val="009939D4"/>
    <w:rsid w:val="00995ED1"/>
    <w:rsid w:val="009A41CE"/>
    <w:rsid w:val="009D75B0"/>
    <w:rsid w:val="009F24C9"/>
    <w:rsid w:val="00A13147"/>
    <w:rsid w:val="00A166B1"/>
    <w:rsid w:val="00A810C1"/>
    <w:rsid w:val="00A85354"/>
    <w:rsid w:val="00AA497A"/>
    <w:rsid w:val="00AB6267"/>
    <w:rsid w:val="00AE4E81"/>
    <w:rsid w:val="00B018FF"/>
    <w:rsid w:val="00B11F6E"/>
    <w:rsid w:val="00B17444"/>
    <w:rsid w:val="00B668ED"/>
    <w:rsid w:val="00BA246D"/>
    <w:rsid w:val="00BA34E0"/>
    <w:rsid w:val="00BC28FC"/>
    <w:rsid w:val="00BD3EC9"/>
    <w:rsid w:val="00BE6CF2"/>
    <w:rsid w:val="00C10429"/>
    <w:rsid w:val="00C23B95"/>
    <w:rsid w:val="00C40B3B"/>
    <w:rsid w:val="00C61828"/>
    <w:rsid w:val="00C75B37"/>
    <w:rsid w:val="00C8461D"/>
    <w:rsid w:val="00C963C3"/>
    <w:rsid w:val="00CD4752"/>
    <w:rsid w:val="00D14056"/>
    <w:rsid w:val="00D20E5A"/>
    <w:rsid w:val="00D22200"/>
    <w:rsid w:val="00D22685"/>
    <w:rsid w:val="00D8134F"/>
    <w:rsid w:val="00D95C9F"/>
    <w:rsid w:val="00DA3D6D"/>
    <w:rsid w:val="00DB3AE7"/>
    <w:rsid w:val="00DE22B3"/>
    <w:rsid w:val="00E37F6A"/>
    <w:rsid w:val="00E4419A"/>
    <w:rsid w:val="00E47B86"/>
    <w:rsid w:val="00E618F6"/>
    <w:rsid w:val="00E6780D"/>
    <w:rsid w:val="00E8555A"/>
    <w:rsid w:val="00EA39E7"/>
    <w:rsid w:val="00EC2CD8"/>
    <w:rsid w:val="00EE56F0"/>
    <w:rsid w:val="00EF669D"/>
    <w:rsid w:val="00F409B0"/>
    <w:rsid w:val="00F80DBD"/>
    <w:rsid w:val="00FB5C91"/>
    <w:rsid w:val="00FE038E"/>
    <w:rsid w:val="00FE09D7"/>
    <w:rsid w:val="00FF4B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ejed.12819" TargetMode="External"/><Relationship Id="rId13" Type="http://schemas.openxmlformats.org/officeDocument/2006/relationships/hyperlink" Target="https://doi.org/10.1111/ejed.1281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80/0304379011003358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324/978100301946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07/s10648-020-09519-z"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16</Pages>
  <Words>2906</Words>
  <Characters>16567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Mehmet Tasoglu</cp:lastModifiedBy>
  <cp:revision>117</cp:revision>
  <dcterms:created xsi:type="dcterms:W3CDTF">2025-11-19T11:14:00Z</dcterms:created>
  <dcterms:modified xsi:type="dcterms:W3CDTF">2026-02-26T22:58:00Z</dcterms:modified>
</cp:coreProperties>
</file>