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116EB23D">
      <w:pPr>
        <w:jc w:val="center"/>
        <w:rPr>
          <w:rFonts w:hint="eastAsia" w:ascii="Times New Roman" w:hAnsi="Times New Roman" w:cs="Times New Roman"/>
          <w:b/>
          <w:bCs/>
          <w:color w:val="auto"/>
          <w:sz w:val="32"/>
          <w:szCs w:val="32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color w:val="auto"/>
          <w:sz w:val="32"/>
          <w:szCs w:val="32"/>
          <w:highlight w:val="none"/>
          <w:lang w:val="en-US" w:eastAsia="zh-CN"/>
        </w:rPr>
        <w:t>UWTSD</w:t>
      </w:r>
    </w:p>
    <w:p w14:paraId="74BF364F">
      <w:pPr>
        <w:jc w:val="center"/>
        <w:rPr>
          <w:rFonts w:hint="eastAsia" w:ascii="Times New Roman" w:hAnsi="Times New Roman" w:cs="Times New Roman"/>
          <w:b/>
          <w:bCs/>
          <w:sz w:val="32"/>
          <w:szCs w:val="32"/>
          <w:highlight w:val="yellow"/>
          <w:lang w:val="en-US" w:eastAsia="zh-CN"/>
        </w:rPr>
      </w:pPr>
    </w:p>
    <w:p w14:paraId="21582B3D">
      <w:pPr>
        <w:jc w:val="center"/>
        <w:rPr>
          <w:rFonts w:hint="eastAsia" w:ascii="Times New Roman" w:hAnsi="Times New Roman" w:cs="Times New Roman"/>
          <w:b/>
          <w:bCs/>
          <w:sz w:val="32"/>
          <w:szCs w:val="32"/>
          <w:highlight w:val="yellow"/>
          <w:lang w:val="en-US" w:eastAsia="zh-CN"/>
        </w:rPr>
      </w:pPr>
    </w:p>
    <w:p w14:paraId="2B9D5E87">
      <w:pPr>
        <w:jc w:val="center"/>
        <w:rPr>
          <w:rFonts w:hint="eastAsia" w:ascii="Times New Roman" w:hAnsi="Times New Roman" w:cs="Times New Roman"/>
          <w:b/>
          <w:bCs/>
          <w:sz w:val="32"/>
          <w:szCs w:val="32"/>
          <w:highlight w:val="yellow"/>
          <w:lang w:val="en-US" w:eastAsia="zh-CN"/>
        </w:rPr>
      </w:pPr>
    </w:p>
    <w:p w14:paraId="1EFE7CE3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BMBM6003</w:t>
      </w:r>
      <w:r>
        <w:rPr>
          <w:rFonts w:hint="eastAsia" w:ascii="Times New Roman" w:hAnsi="Times New Roman" w:cs="Times New Roman"/>
          <w:b/>
          <w:bCs/>
          <w:sz w:val="32"/>
          <w:szCs w:val="32"/>
        </w:rPr>
        <w:t xml:space="preserve"> - </w:t>
      </w:r>
      <w:r>
        <w:rPr>
          <w:rFonts w:ascii="Times New Roman" w:hAnsi="Times New Roman" w:cs="Times New Roman"/>
          <w:b/>
          <w:bCs/>
          <w:sz w:val="32"/>
          <w:szCs w:val="32"/>
        </w:rPr>
        <w:t>Contemporary Issues in Management</w:t>
      </w:r>
    </w:p>
    <w:p w14:paraId="6E90DB42">
      <w:pPr>
        <w:rPr>
          <w:rFonts w:ascii="Times New Roman" w:hAnsi="Times New Roman" w:cs="Times New Roman"/>
          <w:b/>
          <w:bCs/>
          <w:sz w:val="24"/>
        </w:rPr>
      </w:pPr>
    </w:p>
    <w:p w14:paraId="7F0EF8CC">
      <w:pPr>
        <w:rPr>
          <w:rFonts w:ascii="Times New Roman" w:hAnsi="Times New Roman" w:cs="Times New Roman"/>
          <w:b/>
          <w:bCs/>
          <w:sz w:val="24"/>
        </w:rPr>
      </w:pPr>
    </w:p>
    <w:p w14:paraId="4B2F1CD7">
      <w:pPr>
        <w:rPr>
          <w:rFonts w:ascii="Times New Roman" w:hAnsi="Times New Roman" w:cs="Times New Roman"/>
          <w:b/>
          <w:bCs/>
          <w:sz w:val="24"/>
        </w:rPr>
      </w:pPr>
    </w:p>
    <w:p w14:paraId="71614C43">
      <w:pPr>
        <w:rPr>
          <w:rFonts w:hint="eastAsia" w:ascii="Times New Roman" w:hAnsi="Times New Roman" w:cs="Times New Roman"/>
          <w:b/>
          <w:bCs/>
          <w:sz w:val="24"/>
        </w:rPr>
      </w:pPr>
    </w:p>
    <w:p w14:paraId="46505CA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Assessment of BMW's Management Issues and Proposed Solutions</w:t>
      </w:r>
    </w:p>
    <w:p w14:paraId="6B1E4405">
      <w:pPr>
        <w:rPr>
          <w:rFonts w:ascii="Times New Roman" w:hAnsi="Times New Roman" w:cs="Times New Roman"/>
          <w:b/>
          <w:bCs/>
          <w:sz w:val="24"/>
        </w:rPr>
      </w:pPr>
    </w:p>
    <w:p w14:paraId="24594578">
      <w:pPr>
        <w:rPr>
          <w:rFonts w:ascii="Times New Roman" w:hAnsi="Times New Roman" w:cs="Times New Roman"/>
          <w:b/>
          <w:bCs/>
          <w:sz w:val="24"/>
        </w:rPr>
      </w:pPr>
    </w:p>
    <w:p w14:paraId="750E4379">
      <w:pPr>
        <w:rPr>
          <w:rFonts w:ascii="Times New Roman" w:hAnsi="Times New Roman" w:cs="Times New Roman"/>
          <w:b/>
          <w:bCs/>
          <w:sz w:val="24"/>
        </w:rPr>
      </w:pPr>
    </w:p>
    <w:p w14:paraId="7DF30FD9">
      <w:pPr>
        <w:rPr>
          <w:rFonts w:ascii="Times New Roman" w:hAnsi="Times New Roman" w:cs="Times New Roman"/>
          <w:b/>
          <w:bCs/>
          <w:sz w:val="24"/>
        </w:rPr>
      </w:pPr>
    </w:p>
    <w:p w14:paraId="44AC52AB">
      <w:pPr>
        <w:rPr>
          <w:rFonts w:ascii="Times New Roman" w:hAnsi="Times New Roman" w:cs="Times New Roman"/>
          <w:b/>
          <w:bCs/>
          <w:sz w:val="24"/>
        </w:rPr>
      </w:pPr>
    </w:p>
    <w:p w14:paraId="0DDB8957">
      <w:pPr>
        <w:rPr>
          <w:rFonts w:ascii="Times New Roman" w:hAnsi="Times New Roman" w:cs="Times New Roman"/>
          <w:b/>
          <w:bCs/>
          <w:sz w:val="24"/>
        </w:rPr>
      </w:pPr>
    </w:p>
    <w:p w14:paraId="72A359BB">
      <w:pPr>
        <w:jc w:val="center"/>
        <w:rPr>
          <w:rFonts w:hint="default" w:ascii="Times New Roman" w:hAnsi="Times New Roman" w:cs="Times New Roman" w:eastAsiaTheme="minorEastAsia"/>
          <w:b/>
          <w:bCs/>
          <w:sz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highlight w:val="none"/>
        </w:rPr>
        <w:t>Student Name</w:t>
      </w:r>
      <w:r>
        <w:rPr>
          <w:rFonts w:hint="eastAsia" w:ascii="Times New Roman" w:hAnsi="Times New Roman" w:cs="Times New Roman"/>
          <w:b/>
          <w:bCs/>
          <w:sz w:val="24"/>
          <w:highlight w:val="none"/>
          <w:lang w:val="en-US" w:eastAsia="zh-CN"/>
        </w:rPr>
        <w:t xml:space="preserve"> Yuyang Chen</w:t>
      </w:r>
    </w:p>
    <w:p w14:paraId="23E652DD">
      <w:pPr>
        <w:jc w:val="center"/>
        <w:rPr>
          <w:rFonts w:hint="default" w:ascii="Times New Roman" w:hAnsi="Times New Roman" w:cs="Times New Roman" w:eastAsiaTheme="minorEastAsia"/>
          <w:b/>
          <w:bCs/>
          <w:sz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highlight w:val="none"/>
        </w:rPr>
        <w:t>Student ID</w:t>
      </w:r>
      <w:r>
        <w:rPr>
          <w:rFonts w:hint="eastAsia" w:ascii="Times New Roman" w:hAnsi="Times New Roman" w:cs="Times New Roman"/>
          <w:b/>
          <w:bCs/>
          <w:sz w:val="24"/>
          <w:highlight w:val="none"/>
          <w:lang w:val="en-US" w:eastAsia="zh-CN"/>
        </w:rPr>
        <w:t xml:space="preserve"> 2400262</w:t>
      </w:r>
    </w:p>
    <w:p w14:paraId="1F90A976">
      <w:pPr>
        <w:jc w:val="center"/>
        <w:rPr>
          <w:rFonts w:hint="default" w:ascii="Times New Roman" w:hAnsi="Times New Roman" w:cs="Times New Roman" w:eastAsiaTheme="minorEastAsia"/>
          <w:b/>
          <w:bCs/>
          <w:sz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highlight w:val="none"/>
        </w:rPr>
        <w:t>Date</w:t>
      </w:r>
      <w:r>
        <w:rPr>
          <w:rFonts w:hint="eastAsia" w:ascii="Times New Roman" w:hAnsi="Times New Roman" w:cs="Times New Roman"/>
          <w:b/>
          <w:bCs/>
          <w:sz w:val="24"/>
          <w:highlight w:val="none"/>
          <w:lang w:val="en-US" w:eastAsia="zh-CN"/>
        </w:rPr>
        <w:t xml:space="preserve"> 1/16/2025</w:t>
      </w:r>
    </w:p>
    <w:p w14:paraId="603D279B">
      <w:pPr>
        <w:rPr>
          <w:rFonts w:hint="eastAsia" w:ascii="Times New Roman" w:hAnsi="Times New Roman" w:cs="Times New Roman"/>
          <w:b/>
          <w:bCs/>
          <w:sz w:val="24"/>
        </w:rPr>
      </w:pPr>
    </w:p>
    <w:p w14:paraId="1B0384D4">
      <w:pPr>
        <w:rPr>
          <w:rFonts w:hint="eastAsia" w:ascii="Times New Roman" w:hAnsi="Times New Roman" w:cs="Times New Roman"/>
          <w:b/>
          <w:bCs/>
          <w:sz w:val="24"/>
        </w:rPr>
      </w:pPr>
    </w:p>
    <w:p w14:paraId="18B35A4C">
      <w:pPr>
        <w:rPr>
          <w:rFonts w:hint="eastAsia" w:ascii="Times New Roman" w:hAnsi="Times New Roman" w:cs="Times New Roman"/>
          <w:b/>
          <w:bCs/>
          <w:sz w:val="24"/>
        </w:rPr>
      </w:pPr>
    </w:p>
    <w:p w14:paraId="5EC7560E">
      <w:pPr>
        <w:rPr>
          <w:rFonts w:hint="default" w:ascii="Arial" w:hAnsi="Arial" w:cs="Arial"/>
          <w:b/>
          <w:bCs/>
          <w:sz w:val="24"/>
          <w:szCs w:val="24"/>
          <w:lang w:val="en-US" w:eastAsia="zh-CN"/>
        </w:rPr>
      </w:pPr>
      <w:r>
        <w:rPr>
          <w:rFonts w:hint="default" w:ascii="Arial" w:hAnsi="Arial" w:cs="Arial"/>
          <w:b/>
          <w:bCs/>
          <w:sz w:val="24"/>
          <w:szCs w:val="24"/>
          <w:lang w:val="en-US" w:eastAsia="zh-CN"/>
        </w:rPr>
        <w:t>Powerpoint</w:t>
      </w:r>
    </w:p>
    <w:p w14:paraId="6F145CF0">
      <w:pPr>
        <w:rPr>
          <w:rFonts w:hint="default" w:ascii="Arial" w:hAnsi="Arial" w:cs="Arial"/>
          <w:b/>
          <w:bCs/>
          <w:sz w:val="24"/>
          <w:szCs w:val="24"/>
          <w:lang w:val="en-US" w:eastAsia="zh-CN"/>
        </w:rPr>
      </w:pPr>
      <w:bookmarkStart w:id="0" w:name="_GoBack"/>
      <w:r>
        <w:rPr>
          <w:rFonts w:hint="default" w:ascii="Arial" w:hAnsi="Arial" w:cs="Arial"/>
          <w:b/>
          <w:bCs/>
          <w:sz w:val="24"/>
          <w:szCs w:val="24"/>
          <w:lang w:val="en-US" w:eastAsia="zh-CN"/>
        </w:rPr>
        <w:object>
          <v:shape id="_x0000_i1025" o:spt="75" type="#_x0000_t75" style="height:65.5pt;width:72.5pt;" o:ole="t" filled="f" o:preferrelative="t" stroked="f" coordsize="21600,21600">
            <v:path/>
            <v:fill on="f" focussize="0,0"/>
            <v:stroke on="f"/>
            <v:imagedata r:id="rId7" o:title=""/>
            <o:lock v:ext="edit" aspectratio="t"/>
            <w10:wrap type="none"/>
            <w10:anchorlock/>
          </v:shape>
          <o:OLEObject Type="Embed" ProgID="PowerPoint.Show.12" ShapeID="_x0000_i1025" DrawAspect="Icon" ObjectID="_1468075725" r:id="rId6">
            <o:LockedField>false</o:LockedField>
          </o:OLEObject>
        </w:object>
      </w:r>
      <w:bookmarkEnd w:id="0"/>
    </w:p>
    <w:p w14:paraId="4535424A">
      <w:pPr>
        <w:rPr>
          <w:rFonts w:hint="default" w:ascii="Arial" w:hAnsi="Arial" w:cs="Arial" w:eastAsiaTheme="minorEastAsia"/>
          <w:sz w:val="24"/>
          <w:szCs w:val="24"/>
          <w:lang w:eastAsia="zh-CN"/>
        </w:rPr>
      </w:pPr>
    </w:p>
    <w:p w14:paraId="56535707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Presentation</w:t>
      </w:r>
    </w:p>
    <w:p w14:paraId="10BCEECC">
      <w:pPr>
        <w:rPr>
          <w:rFonts w:hint="eastAsia"/>
          <w:lang w:val="en-US" w:eastAsia="zh-CN"/>
        </w:rPr>
      </w:pPr>
    </w:p>
    <w:p w14:paraId="1957DA92">
      <w:pPr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object>
          <v:shape id="_x0000_i1026" o:spt="75" type="#_x0000_t75" style="height:65.5pt;width:72.5pt;" o:ole="t" filled="f" o:preferrelative="t" stroked="f" coordsize="21600,21600">
            <v:path/>
            <v:fill on="f" focussize="0,0"/>
            <v:stroke on="f"/>
            <v:imagedata r:id="rId9" o:title=""/>
            <o:lock v:ext="edit" aspectratio="t"/>
            <w10:wrap type="none"/>
            <w10:anchorlock/>
          </v:shape>
          <o:OLEObject Type="Embed" ProgID="Package" ShapeID="_x0000_i1026" DrawAspect="Icon" ObjectID="_1468075726" r:id="rId8">
            <o:LockedField>false</o:LockedField>
          </o:OLEObject>
        </w:object>
      </w:r>
    </w:p>
    <w:p w14:paraId="3A9427F1">
      <w:pPr>
        <w:rPr>
          <w:rFonts w:hint="default"/>
          <w:lang w:val="en-US" w:eastAsia="zh-CN"/>
        </w:rPr>
      </w:pPr>
    </w:p>
    <w:p w14:paraId="46256B55">
      <w:pPr>
        <w:rPr>
          <w:rFonts w:hint="default"/>
          <w:lang w:val="en-US" w:eastAsia="zh-CN"/>
        </w:rPr>
      </w:pPr>
    </w:p>
    <w:p w14:paraId="61562E5D">
      <w:pPr>
        <w:rPr>
          <w:rFonts w:hint="default"/>
          <w:lang w:val="en-US" w:eastAsia="zh-CN"/>
        </w:rPr>
      </w:pPr>
    </w:p>
    <w:p w14:paraId="21DA4C84">
      <w:pPr>
        <w:rPr>
          <w:rFonts w:hint="default"/>
          <w:lang w:val="en-US" w:eastAsia="zh-CN"/>
        </w:rPr>
      </w:pPr>
    </w:p>
    <w:p w14:paraId="3F3EFB4E">
      <w:pPr>
        <w:rPr>
          <w:rFonts w:hint="default"/>
          <w:lang w:val="en-US" w:eastAsia="zh-CN"/>
        </w:rPr>
      </w:pPr>
    </w:p>
    <w:p w14:paraId="5E5BC73C">
      <w:pPr>
        <w:rPr>
          <w:rFonts w:hint="default"/>
          <w:lang w:val="en-US" w:eastAsia="zh-CN"/>
        </w:rPr>
      </w:pPr>
    </w:p>
    <w:p w14:paraId="55D652A9">
      <w:pPr>
        <w:rPr>
          <w:rFonts w:hint="default"/>
          <w:lang w:val="en-US" w:eastAsia="zh-CN"/>
        </w:rPr>
      </w:pPr>
    </w:p>
    <w:p w14:paraId="27776C2E">
      <w:pPr>
        <w:rPr>
          <w:rFonts w:hint="default"/>
          <w:lang w:val="en-US" w:eastAsia="zh-CN"/>
        </w:rPr>
      </w:pPr>
    </w:p>
    <w:p w14:paraId="7245E921">
      <w:pPr>
        <w:rPr>
          <w:rFonts w:hint="default"/>
          <w:lang w:val="en-US" w:eastAsia="zh-CN"/>
        </w:rPr>
      </w:pPr>
    </w:p>
    <w:p w14:paraId="63D6F0F0">
      <w:pPr>
        <w:rPr>
          <w:rFonts w:hint="default"/>
          <w:lang w:val="en-US" w:eastAsia="zh-CN"/>
        </w:rPr>
      </w:pPr>
    </w:p>
    <w:p w14:paraId="20241053">
      <w:pPr>
        <w:rPr>
          <w:rFonts w:hint="default"/>
          <w:lang w:val="en-US" w:eastAsia="zh-CN"/>
        </w:rPr>
      </w:pPr>
    </w:p>
    <w:p w14:paraId="37CE778B">
      <w:pPr>
        <w:rPr>
          <w:rFonts w:hint="default"/>
          <w:lang w:val="en-US" w:eastAsia="zh-CN"/>
        </w:rPr>
      </w:pPr>
    </w:p>
    <w:p w14:paraId="437D2227">
      <w:pPr>
        <w:rPr>
          <w:rFonts w:hint="default"/>
          <w:lang w:val="en-US" w:eastAsia="zh-CN"/>
        </w:rPr>
      </w:pPr>
    </w:p>
    <w:p w14:paraId="5C6906F2">
      <w:pPr>
        <w:rPr>
          <w:rFonts w:hint="default"/>
          <w:lang w:val="en-US" w:eastAsia="zh-CN"/>
        </w:rPr>
      </w:pPr>
    </w:p>
    <w:p w14:paraId="5AD24261">
      <w:pPr>
        <w:rPr>
          <w:rFonts w:hint="default"/>
          <w:lang w:val="en-US" w:eastAsia="zh-CN"/>
        </w:rPr>
      </w:pPr>
    </w:p>
    <w:p w14:paraId="1C7FE8AB">
      <w:pPr>
        <w:rPr>
          <w:rFonts w:hint="default"/>
          <w:lang w:val="en-US" w:eastAsia="zh-CN"/>
        </w:rPr>
      </w:pPr>
    </w:p>
    <w:p w14:paraId="37DBD3D7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Reference</w:t>
      </w:r>
    </w:p>
    <w:p w14:paraId="78B4D432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 xml:space="preserve">BMW Group. (2020). Seven principles for AI: BMW Group sets out code of ethics for the use of artificial intelligence. </w:t>
      </w:r>
    </w:p>
    <w:p w14:paraId="2952667E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 xml:space="preserve">BMW Group. (2025). BMW Group Profile. Available at: https://www.bmwgroup.com/en/company/leadership-and-governance.html [Accessed: 13 January, 2025] </w:t>
      </w:r>
    </w:p>
    <w:p w14:paraId="6B5F826C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 xml:space="preserve">BMW Group. (2024). Financial Statement. Available at: https://www.bmwgroup.com/en/report/2023/financial-statements/income-statement/index.html [Accessed: 13 January, 2025] </w:t>
      </w:r>
    </w:p>
    <w:p w14:paraId="53DA1C3A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Furtado, J. V., Moreira, A. C., &amp; Mota, J. (2021). Gender affirmative action and management: A systematic literature review on how diversity and inclusion management affect gender equity in organizations. Behavioral sciences, 11(2), 21.</w:t>
      </w:r>
    </w:p>
    <w:p w14:paraId="216166A1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Furlonger, D. (2024). WATCH: What’s really driving the strike at BMW?. Available at: https://www.businesslive.co.za/bd/national/labour/2024-09-22-watch-whats-really-driving-the-strike-at-bmw/ [Accessed: 13 January, 2025]</w:t>
      </w:r>
    </w:p>
    <w:p w14:paraId="558C2E6C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Hesketh, I., &amp; Cooper, C. (2023). Wellbeing at work: how to design, implement and evaluate an effective strategy. Kogan Page Publishers.</w:t>
      </w:r>
    </w:p>
    <w:p w14:paraId="0CEC609A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Industri All. (2015). MW workers in the UK announce strike action over pensions threat. Available at: https://www.industriall-union.org/bmw-workers-in-the-uk-announce-strike-action-over-pensions-threat [Accessed: 13 January, 2025]</w:t>
      </w:r>
    </w:p>
    <w:p w14:paraId="5C607DD5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Otley, D. (2016). The contingency theory of management accounting and control: 1980–2014. Management accounting research, 31, 45-62.</w:t>
      </w:r>
    </w:p>
    <w:p w14:paraId="62DCB899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Sturdy, A., Wright, C., &amp; Wylie, N. (2016). Managers as consultants: The hybridity and tensions of neo-bureaucratic management. Organization, 23(2), 184-205.</w:t>
      </w:r>
    </w:p>
    <w:p w14:paraId="32BD8242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U.S. Equal Employment Opportunity Commission. (2015). BMW to Pay $1.6 Million and Offer Jobs to Settle Federal Race Discrimination Lawsuit. Available at: https://www.eeoc.gov/newsroom/bmw-pay-16-million-and-offer-jobs-settle-federal-race-discrimination-lawsuit [Accessed: 13 January, 2025]</w:t>
      </w:r>
    </w:p>
    <w:p w14:paraId="7E439BFF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Nag, R., Hambrick, D. C., &amp; Chen, M. J. (2007). What is strategic management, really? Inductive derivation of a consensus definition of the field. Strategic management journal, 28(9), 935-955.</w:t>
      </w:r>
    </w:p>
    <w:p w14:paraId="10C2C9FD">
      <w:pPr>
        <w:rPr>
          <w:rFonts w:hint="default" w:ascii="Arial" w:hAnsi="Arial" w:cs="Arial"/>
          <w:sz w:val="24"/>
          <w:szCs w:val="24"/>
          <w:lang w:val="en-US" w:eastAsia="zh-CN"/>
        </w:rPr>
      </w:pPr>
      <w:r>
        <w:rPr>
          <w:rFonts w:hint="default" w:ascii="Arial" w:hAnsi="Arial" w:cs="Arial"/>
          <w:sz w:val="24"/>
          <w:szCs w:val="24"/>
          <w:lang w:val="en-US" w:eastAsia="zh-CN"/>
        </w:rPr>
        <w:t>Wittmer, D. P. (2019). Ethical decision-making. In Handbook of administrative ethics (pp. 481-507). Routledge.</w:t>
      </w:r>
    </w:p>
    <w:p w14:paraId="19801394">
      <w:pPr>
        <w:rPr>
          <w:rFonts w:hint="default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0DC35297"/>
    <w:rsid w:val="209335F4"/>
    <w:rsid w:val="20E7224B"/>
    <w:rsid w:val="57B65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spacing w:after="160" w:line="278" w:lineRule="auto"/>
    </w:pPr>
    <w:rPr>
      <w:rFonts w:asciiTheme="minorHAnsi" w:hAnsiTheme="minorHAnsi" w:eastAsiaTheme="minorEastAsia" w:cstheme="minorBidi"/>
      <w:kern w:val="2"/>
      <w:sz w:val="22"/>
      <w:szCs w:val="24"/>
      <w:lang w:val="en-US" w:eastAsia="zh-CN" w:bidi="ar-SA"/>
      <w14:ligatures w14:val="standardContextual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emf"/><Relationship Id="rId8" Type="http://schemas.openxmlformats.org/officeDocument/2006/relationships/oleObject" Target="embeddings/oleObject2.bin"/><Relationship Id="rId7" Type="http://schemas.openxmlformats.org/officeDocument/2006/relationships/image" Target="media/image1.emf"/><Relationship Id="rId6" Type="http://schemas.openxmlformats.org/officeDocument/2006/relationships/oleObject" Target="embeddings/oleObject1.bin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0" Type="http://schemas.openxmlformats.org/officeDocument/2006/relationships/fontTable" Target="fontTable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4</Pages>
  <Words>274</Words>
  <Characters>2080</Characters>
  <Lines>0</Lines>
  <Paragraphs>0</Paragraphs>
  <TotalTime>7</TotalTime>
  <ScaleCrop>false</ScaleCrop>
  <LinksUpToDate>false</LinksUpToDate>
  <CharactersWithSpaces>2336</CharactersWithSpaces>
  <Application>WPS Office_12.1.0.19770_F1E327BC-269C-435d-A152-05C5408002CA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2025-01-16T16:20:00Z</dcterms:created>
  <dc:creator>lenovo</dc:creator>
  <cp:lastModifiedBy>WPS_1479666331</cp:lastModifiedBy>
  <dcterms:modified xsi:type="dcterms:W3CDTF">2025-01-16T16:40:45Z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2052-12.1.0.19770</vt:lpwstr>
  </property>
  <property fmtid="{D5CDD505-2E9C-101B-9397-08002B2CF9AE}" pid="3" name="KSOTemplateDocerSaveRecord">
    <vt:lpwstr>eyJoZGlkIjoiYWUyNWI0NmU2MGY0Zjk0YTRlNTZjY2I5ZjY1ZWRlYzkiLCJ1c2VySWQiOiIxNDc5NjY2MzMxIn0=</vt:lpwstr>
  </property>
  <property fmtid="{D5CDD505-2E9C-101B-9397-08002B2CF9AE}" pid="4" name="ICV">
    <vt:lpwstr>BADF576653094B7BB9CBE1DB836C5350_13</vt:lpwstr>
  </property>
</Properties>
</file>