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EF293" w14:textId="345CF9CF" w:rsidR="006362A9" w:rsidRDefault="007C3AEA" w:rsidP="006362A9">
      <w:pPr>
        <w:rPr>
          <w:sz w:val="44"/>
          <w:szCs w:val="44"/>
        </w:rPr>
      </w:pPr>
      <w:r w:rsidRPr="007C3AEA">
        <w:rPr>
          <w:sz w:val="44"/>
          <w:szCs w:val="44"/>
        </w:rPr>
        <w:t>Copnenent:1</w:t>
      </w:r>
    </w:p>
    <w:p w14:paraId="202C4C95" w14:textId="386EFF22" w:rsidR="007C3AEA" w:rsidRDefault="000A46E1" w:rsidP="006362A9">
      <w:pPr>
        <w:rPr>
          <w:sz w:val="44"/>
          <w:szCs w:val="44"/>
        </w:rPr>
      </w:pPr>
      <w:r>
        <w:rPr>
          <w:sz w:val="44"/>
          <w:szCs w:val="44"/>
        </w:rPr>
        <w:t xml:space="preserve">        Poster+ Essay</w:t>
      </w:r>
    </w:p>
    <w:p w14:paraId="1B675C10" w14:textId="77777777" w:rsidR="000A46E1" w:rsidRDefault="000A46E1" w:rsidP="006362A9">
      <w:pPr>
        <w:rPr>
          <w:sz w:val="44"/>
          <w:szCs w:val="44"/>
        </w:rPr>
      </w:pPr>
    </w:p>
    <w:p w14:paraId="27CCD1FC" w14:textId="2F7C8154" w:rsidR="000A46E1" w:rsidRDefault="000A46E1" w:rsidP="006362A9">
      <w:pPr>
        <w:rPr>
          <w:sz w:val="44"/>
          <w:szCs w:val="44"/>
        </w:rPr>
      </w:pPr>
      <w:r>
        <w:rPr>
          <w:sz w:val="44"/>
          <w:szCs w:val="44"/>
        </w:rPr>
        <w:t>Module Code: LCHS 4003</w:t>
      </w:r>
    </w:p>
    <w:p w14:paraId="41560488" w14:textId="6DC8BE66" w:rsidR="000A46E1" w:rsidRDefault="000A46E1" w:rsidP="006362A9">
      <w:pPr>
        <w:rPr>
          <w:sz w:val="44"/>
          <w:szCs w:val="44"/>
        </w:rPr>
      </w:pPr>
      <w:r>
        <w:rPr>
          <w:sz w:val="44"/>
          <w:szCs w:val="44"/>
        </w:rPr>
        <w:t>Module: Intro</w:t>
      </w:r>
      <w:r w:rsidR="00731F36">
        <w:rPr>
          <w:sz w:val="44"/>
          <w:szCs w:val="44"/>
        </w:rPr>
        <w:t>duction to Health and Social Care</w:t>
      </w:r>
    </w:p>
    <w:p w14:paraId="4F950E9E" w14:textId="77777777" w:rsidR="00731F36" w:rsidRDefault="00731F36" w:rsidP="006362A9">
      <w:pPr>
        <w:rPr>
          <w:sz w:val="44"/>
          <w:szCs w:val="44"/>
        </w:rPr>
      </w:pPr>
    </w:p>
    <w:p w14:paraId="56A6248D" w14:textId="77777777" w:rsidR="00731F36" w:rsidRDefault="00731F36" w:rsidP="006362A9">
      <w:pPr>
        <w:rPr>
          <w:sz w:val="44"/>
          <w:szCs w:val="44"/>
        </w:rPr>
      </w:pPr>
    </w:p>
    <w:p w14:paraId="123641E1" w14:textId="1C508072" w:rsidR="00731F36" w:rsidRDefault="00731F36" w:rsidP="006362A9">
      <w:pPr>
        <w:rPr>
          <w:sz w:val="44"/>
          <w:szCs w:val="44"/>
        </w:rPr>
      </w:pPr>
      <w:r>
        <w:rPr>
          <w:sz w:val="44"/>
          <w:szCs w:val="44"/>
        </w:rPr>
        <w:t xml:space="preserve">         Student Number: 25092</w:t>
      </w:r>
      <w:r w:rsidR="009A1F22">
        <w:rPr>
          <w:sz w:val="44"/>
          <w:szCs w:val="44"/>
        </w:rPr>
        <w:t>54</w:t>
      </w:r>
    </w:p>
    <w:p w14:paraId="17F17B3E" w14:textId="06B36E81" w:rsidR="00731F36" w:rsidRDefault="00731F36" w:rsidP="006362A9">
      <w:pPr>
        <w:rPr>
          <w:sz w:val="44"/>
          <w:szCs w:val="44"/>
        </w:rPr>
      </w:pPr>
      <w:r>
        <w:rPr>
          <w:sz w:val="44"/>
          <w:szCs w:val="44"/>
        </w:rPr>
        <w:t xml:space="preserve">         Student Name: Shamaila Kashan</w:t>
      </w:r>
    </w:p>
    <w:p w14:paraId="6962163B" w14:textId="21E82279" w:rsidR="00731F36" w:rsidRDefault="00731F36" w:rsidP="006362A9">
      <w:pPr>
        <w:rPr>
          <w:sz w:val="44"/>
          <w:szCs w:val="44"/>
        </w:rPr>
      </w:pPr>
      <w:r>
        <w:rPr>
          <w:sz w:val="44"/>
          <w:szCs w:val="44"/>
        </w:rPr>
        <w:t xml:space="preserve">          Lecturers Name: Daniel Hanura</w:t>
      </w:r>
    </w:p>
    <w:p w14:paraId="39E56695" w14:textId="77777777" w:rsidR="00731F36" w:rsidRDefault="00731F36" w:rsidP="006362A9">
      <w:pPr>
        <w:rPr>
          <w:sz w:val="44"/>
          <w:szCs w:val="44"/>
        </w:rPr>
      </w:pPr>
    </w:p>
    <w:p w14:paraId="19F8B771" w14:textId="5E91B425" w:rsidR="00731F36" w:rsidRDefault="00731F36" w:rsidP="006362A9">
      <w:pPr>
        <w:rPr>
          <w:sz w:val="44"/>
          <w:szCs w:val="44"/>
        </w:rPr>
      </w:pPr>
    </w:p>
    <w:p w14:paraId="6A4A7392" w14:textId="71D4E046" w:rsidR="00731F36" w:rsidRDefault="00731F36" w:rsidP="006362A9">
      <w:pPr>
        <w:rPr>
          <w:sz w:val="44"/>
          <w:szCs w:val="44"/>
        </w:rPr>
      </w:pPr>
      <w:r>
        <w:rPr>
          <w:sz w:val="44"/>
          <w:szCs w:val="44"/>
        </w:rPr>
        <w:t xml:space="preserve">                   </w:t>
      </w:r>
    </w:p>
    <w:p w14:paraId="430A42BC" w14:textId="694EAD98" w:rsidR="00731F36" w:rsidRPr="007C3AEA" w:rsidRDefault="00731F36" w:rsidP="006362A9">
      <w:pPr>
        <w:rPr>
          <w:sz w:val="44"/>
          <w:szCs w:val="44"/>
        </w:rPr>
      </w:pPr>
    </w:p>
    <w:p w14:paraId="4BA56295" w14:textId="6B59B889" w:rsidR="006362A9" w:rsidRDefault="00731F36" w:rsidP="006362A9">
      <w:r>
        <w:t xml:space="preserve">   </w:t>
      </w:r>
      <w:r w:rsidR="006362A9">
        <w:br w:type="page"/>
      </w:r>
    </w:p>
    <w:p w14:paraId="0EF5B240" w14:textId="3B8430A0" w:rsidR="002E7BEF" w:rsidRDefault="002E7BEF" w:rsidP="006362A9"/>
    <w:p w14:paraId="4EA3CD89" w14:textId="1AA9A3E9" w:rsidR="001C3053" w:rsidRDefault="00A523EF" w:rsidP="00B73D78">
      <w:pPr>
        <w:jc w:val="both"/>
        <w:rPr>
          <w:sz w:val="48"/>
          <w:szCs w:val="48"/>
        </w:rPr>
      </w:pPr>
      <w:r>
        <w:rPr>
          <w:noProof/>
        </w:rPr>
        <w:drawing>
          <wp:inline distT="0" distB="0" distL="0" distR="0" wp14:anchorId="4AB1C902" wp14:editId="1F8852C5">
            <wp:extent cx="5274310" cy="7460615"/>
            <wp:effectExtent l="0" t="0" r="2540" b="6985"/>
            <wp:docPr id="7429731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73159" name=""/>
                    <pic:cNvPicPr/>
                  </pic:nvPicPr>
                  <pic:blipFill>
                    <a:blip r:embed="rId6">
                      <a:extLst>
                        <a:ext uri="{96DAC541-7B7A-43D3-8B79-37D633B846F1}">
                          <asvg:svgBlip xmlns:asvg="http://schemas.microsoft.com/office/drawing/2016/SVG/main" r:embed="rId7"/>
                        </a:ext>
                      </a:extLst>
                    </a:blip>
                    <a:stretch>
                      <a:fillRect/>
                    </a:stretch>
                  </pic:blipFill>
                  <pic:spPr>
                    <a:xfrm>
                      <a:off x="0" y="0"/>
                      <a:ext cx="5274310" cy="7460615"/>
                    </a:xfrm>
                    <a:prstGeom prst="rect">
                      <a:avLst/>
                    </a:prstGeom>
                  </pic:spPr>
                </pic:pic>
              </a:graphicData>
            </a:graphic>
          </wp:inline>
        </w:drawing>
      </w:r>
      <w:r w:rsidR="00794458">
        <w:rPr>
          <w:noProof/>
        </w:rPr>
        <mc:AlternateContent>
          <mc:Choice Requires="wps">
            <w:drawing>
              <wp:anchor distT="0" distB="0" distL="114300" distR="114300" simplePos="0" relativeHeight="251658240" behindDoc="0" locked="0" layoutInCell="1" allowOverlap="1" wp14:anchorId="494380E8" wp14:editId="5A47644E">
                <wp:simplePos x="0" y="0"/>
                <wp:positionH relativeFrom="column">
                  <wp:posOffset>0</wp:posOffset>
                </wp:positionH>
                <wp:positionV relativeFrom="paragraph">
                  <wp:posOffset>-635</wp:posOffset>
                </wp:positionV>
                <wp:extent cx="12529313" cy="461665"/>
                <wp:effectExtent l="0" t="0" r="0" b="0"/>
                <wp:wrapNone/>
                <wp:docPr id="32" name="TextBox 32"/>
                <wp:cNvGraphicFramePr/>
                <a:graphic xmlns:a="http://schemas.openxmlformats.org/drawingml/2006/main">
                  <a:graphicData uri="http://schemas.microsoft.com/office/word/2010/wordprocessingShape">
                    <wps:wsp>
                      <wps:cNvSpPr txBox="1"/>
                      <wps:spPr>
                        <a:xfrm>
                          <a:off x="0" y="0"/>
                          <a:ext cx="12529313" cy="461665"/>
                        </a:xfrm>
                        <a:prstGeom prst="rect">
                          <a:avLst/>
                        </a:prstGeom>
                      </wps:spPr>
                      <wps:txbx>
                        <w:txbxContent>
                          <w:p w14:paraId="2384067B" w14:textId="2E9153DF" w:rsidR="005F5077" w:rsidRDefault="005F5077"/>
                        </w:txbxContent>
                      </wps:txbx>
                      <wps:bodyPr lIns="0" tIns="0" rIns="0" bIns="0" rtlCol="0" anchor="t">
                        <a:spAutoFit/>
                      </wps:bodyPr>
                    </wps:wsp>
                  </a:graphicData>
                </a:graphic>
              </wp:anchor>
            </w:drawing>
          </mc:Choice>
          <mc:Fallback>
            <w:pict>
              <v:shapetype w14:anchorId="494380E8" id="_x0000_t202" coordsize="21600,21600" o:spt="202" path="m,l,21600r21600,l21600,xe">
                <v:stroke joinstyle="miter"/>
                <v:path gradientshapeok="t" o:connecttype="rect"/>
              </v:shapetype>
              <v:shape id="TextBox 32" o:spid="_x0000_s1026" type="#_x0000_t202" style="position:absolute;left:0;text-align:left;margin-left:0;margin-top:-.05pt;width:986.55pt;height:36.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" filled="f" stroked="f">
                <v:textbox style="mso-fit-shape-to-text:t" inset="0,0,0,0">
                  <w:txbxContent>
                    <w:p w14:paraId="2384067B" w14:textId="2E9153DF" w:rsidR="005F5077" w:rsidRDefault="005F5077"/>
                  </w:txbxContent>
                </v:textbox>
              </v:shape>
            </w:pict>
          </mc:Fallback>
        </mc:AlternateContent>
      </w:r>
      <w:r w:rsidR="000612C7">
        <w:br w:type="page"/>
      </w:r>
      <w:r w:rsidR="00EC6218" w:rsidRPr="00EC6218">
        <w:rPr>
          <w:sz w:val="48"/>
          <w:szCs w:val="48"/>
        </w:rPr>
        <w:lastRenderedPageBreak/>
        <w:t xml:space="preserve"> </w:t>
      </w:r>
      <w:r w:rsidR="00A64E7E">
        <w:rPr>
          <w:sz w:val="48"/>
          <w:szCs w:val="48"/>
        </w:rPr>
        <w:t xml:space="preserve">                </w:t>
      </w:r>
      <w:r w:rsidR="00B73D78">
        <w:rPr>
          <w:sz w:val="48"/>
          <w:szCs w:val="48"/>
        </w:rPr>
        <w:t xml:space="preserve">               </w:t>
      </w:r>
      <w:r w:rsidR="00A64E7E">
        <w:rPr>
          <w:sz w:val="48"/>
          <w:szCs w:val="48"/>
        </w:rPr>
        <w:t xml:space="preserve"> </w:t>
      </w:r>
      <w:r w:rsidR="00DE0B62">
        <w:rPr>
          <w:sz w:val="48"/>
          <w:szCs w:val="48"/>
        </w:rPr>
        <w:t>E</w:t>
      </w:r>
      <w:r w:rsidR="001C3053">
        <w:rPr>
          <w:sz w:val="48"/>
          <w:szCs w:val="48"/>
        </w:rPr>
        <w:t>SSAY</w:t>
      </w:r>
    </w:p>
    <w:p w14:paraId="76E2E718" w14:textId="1C9FB93D" w:rsidR="00B73D78" w:rsidRDefault="001C3053" w:rsidP="00BD2C2C">
      <w:pPr>
        <w:rPr>
          <w:sz w:val="48"/>
          <w:szCs w:val="48"/>
        </w:rPr>
      </w:pPr>
      <w:r>
        <w:rPr>
          <w:sz w:val="48"/>
          <w:szCs w:val="48"/>
        </w:rPr>
        <w:t xml:space="preserve">  </w:t>
      </w:r>
      <w:r w:rsidR="00B73D78">
        <w:rPr>
          <w:sz w:val="48"/>
          <w:szCs w:val="48"/>
        </w:rPr>
        <w:t xml:space="preserve">          </w:t>
      </w:r>
    </w:p>
    <w:p w14:paraId="6C3C45D0" w14:textId="209345FF" w:rsidR="0038425C" w:rsidRPr="005865F9" w:rsidRDefault="006D418C" w:rsidP="005865F9">
      <w:pPr>
        <w:ind w:firstLine="720"/>
        <w:rPr>
          <w:sz w:val="48"/>
          <w:szCs w:val="48"/>
        </w:rPr>
      </w:pPr>
      <w:r w:rsidRPr="002A1DD8">
        <w:rPr>
          <w:b/>
          <w:bCs/>
          <w:sz w:val="48"/>
          <w:szCs w:val="48"/>
          <w:lang w:val="en-IN"/>
        </w:rPr>
        <w:t>Title:</w:t>
      </w:r>
      <w:r w:rsidR="002A1DD8" w:rsidRPr="002A1DD8">
        <w:rPr>
          <w:b/>
          <w:bCs/>
          <w:sz w:val="48"/>
          <w:szCs w:val="48"/>
          <w:lang w:val="en-IN"/>
        </w:rPr>
        <w:t> Pharmacy Services: Origins, Development and Impact on Quality of Life</w:t>
      </w:r>
      <w:r w:rsidR="002A1DD8" w:rsidRPr="002A1DD8">
        <w:rPr>
          <w:sz w:val="48"/>
          <w:szCs w:val="48"/>
        </w:rPr>
        <w:t> </w:t>
      </w:r>
    </w:p>
    <w:p w14:paraId="5F4F3798" w14:textId="08CB6407" w:rsidR="0038425C" w:rsidRPr="00E733DB" w:rsidRDefault="00322832" w:rsidP="0038425C">
      <w:pPr>
        <w:spacing w:after="200" w:line="276" w:lineRule="auto"/>
        <w:rPr>
          <w:rFonts w:ascii="Arial" w:eastAsia="MS Mincho" w:hAnsi="Arial" w:cs="Arial"/>
          <w:kern w:val="0"/>
          <w:sz w:val="32"/>
          <w:szCs w:val="32"/>
          <w:lang w:val="en-IN"/>
          <w14:ligatures w14:val="none"/>
        </w:rPr>
      </w:pPr>
      <w:r w:rsidRPr="00E733DB">
        <w:rPr>
          <w:rFonts w:ascii="Arial" w:eastAsia="MS Mincho" w:hAnsi="Arial" w:cs="Arial"/>
          <w:b/>
          <w:bCs/>
          <w:kern w:val="0"/>
          <w:sz w:val="32"/>
          <w:szCs w:val="32"/>
          <w:lang w:val="en-IN"/>
          <w14:ligatures w14:val="none"/>
        </w:rPr>
        <w:t>Introduction</w:t>
      </w:r>
      <w:r w:rsidRPr="00E733DB">
        <w:rPr>
          <w:rFonts w:ascii="Arial" w:eastAsia="MS Mincho" w:hAnsi="Arial" w:cs="Arial"/>
          <w:kern w:val="0"/>
          <w:sz w:val="32"/>
          <w:szCs w:val="32"/>
          <w14:ligatures w14:val="none"/>
        </w:rPr>
        <w:t> </w:t>
      </w:r>
    </w:p>
    <w:p w14:paraId="024EB85E" w14:textId="67835201" w:rsidR="00606F9C" w:rsidRDefault="00E5020D" w:rsidP="006A1A62">
      <w:pPr>
        <w:spacing w:after="200" w:line="360" w:lineRule="auto"/>
        <w:rPr>
          <w:rFonts w:ascii="Arial" w:eastAsia="MS Mincho" w:hAnsi="Arial" w:cs="Arial"/>
          <w:kern w:val="0"/>
          <w:lang w:val="en-IN"/>
          <w14:ligatures w14:val="none"/>
        </w:rPr>
      </w:pPr>
      <w:r w:rsidRPr="00E5020D">
        <w:rPr>
          <w:rFonts w:ascii="Arial" w:eastAsia="MS Mincho" w:hAnsi="Arial" w:cs="Arial"/>
          <w:kern w:val="0"/>
          <w:lang w:val="en-IN"/>
          <w14:ligatures w14:val="none"/>
        </w:rPr>
        <w:t>The provision of pharmacy services is an essential component of modern healthcare systems, since they enable the secure and efficient use of pharmaceuticals and contribute to the improvement of public health. Patient </w:t>
      </w:r>
      <w:r w:rsidR="00550A91" w:rsidRPr="00E5020D">
        <w:rPr>
          <w:rFonts w:ascii="Arial" w:eastAsia="MS Mincho" w:hAnsi="Arial" w:cs="Arial"/>
          <w:kern w:val="0"/>
          <w:lang w:val="en-IN"/>
          <w14:ligatures w14:val="none"/>
        </w:rPr>
        <w:t>cantered</w:t>
      </w:r>
      <w:r w:rsidRPr="00E5020D">
        <w:rPr>
          <w:rFonts w:ascii="Arial" w:eastAsia="MS Mincho" w:hAnsi="Arial" w:cs="Arial"/>
          <w:kern w:val="0"/>
          <w:lang w:val="en-IN"/>
          <w14:ligatures w14:val="none"/>
        </w:rPr>
        <w:t xml:space="preserve"> clinical care has become an integral part of pharmacy services, which have evolved beyond the dispensing of basic medications. In this article, the origins of pharmacy services are investigated, the historical context that has played a role in their development is analysed, the current operations of pharmacy services are evaluated critically, and the significance of pharmacy services in improving the quality of life for consumers of pharmacy </w:t>
      </w:r>
      <w:r w:rsidR="00606F9C">
        <w:rPr>
          <w:rFonts w:ascii="Arial" w:eastAsia="MS Mincho" w:hAnsi="Arial" w:cs="Arial"/>
          <w:kern w:val="0"/>
          <w:lang w:val="en-IN"/>
          <w14:ligatures w14:val="none"/>
        </w:rPr>
        <w:t>services</w:t>
      </w:r>
      <w:r w:rsidR="00B54206">
        <w:rPr>
          <w:rFonts w:ascii="Arial" w:eastAsia="MS Mincho" w:hAnsi="Arial" w:cs="Arial"/>
          <w:kern w:val="0"/>
          <w:lang w:val="en-IN"/>
          <w14:ligatures w14:val="none"/>
        </w:rPr>
        <w:t xml:space="preserve"> is considered.</w:t>
      </w:r>
    </w:p>
    <w:p w14:paraId="7AE5E254" w14:textId="15D448D7" w:rsidR="006A1A62" w:rsidRPr="00E733DB" w:rsidRDefault="002046CC" w:rsidP="006A1A62">
      <w:pPr>
        <w:spacing w:after="200" w:line="360" w:lineRule="auto"/>
        <w:rPr>
          <w:rFonts w:ascii="Arial" w:eastAsia="MS Mincho" w:hAnsi="Arial" w:cs="Arial"/>
          <w:kern w:val="0"/>
          <w:sz w:val="28"/>
          <w:szCs w:val="28"/>
          <w14:ligatures w14:val="none"/>
        </w:rPr>
      </w:pPr>
      <w:r w:rsidRPr="00E733DB">
        <w:rPr>
          <w:rFonts w:ascii="Arial" w:eastAsia="MS Mincho" w:hAnsi="Arial" w:cs="Arial"/>
          <w:kern w:val="0"/>
          <w:sz w:val="28"/>
          <w:szCs w:val="28"/>
          <w:lang w:val="en-IN"/>
          <w14:ligatures w14:val="none"/>
        </w:rPr>
        <w:t>O</w:t>
      </w:r>
      <w:r w:rsidRPr="00E733DB">
        <w:rPr>
          <w:rFonts w:ascii="Arial" w:eastAsia="MS Mincho" w:hAnsi="Arial" w:cs="Arial"/>
          <w:b/>
          <w:bCs/>
          <w:kern w:val="0"/>
          <w:sz w:val="28"/>
          <w:szCs w:val="28"/>
          <w:lang w:val="en-IN"/>
          <w14:ligatures w14:val="none"/>
        </w:rPr>
        <w:t>rigins</w:t>
      </w:r>
      <w:r w:rsidR="006A1A62" w:rsidRPr="00E733DB">
        <w:rPr>
          <w:rFonts w:ascii="Arial" w:eastAsia="MS Mincho" w:hAnsi="Arial" w:cs="Arial"/>
          <w:b/>
          <w:bCs/>
          <w:kern w:val="0"/>
          <w:sz w:val="28"/>
          <w:szCs w:val="28"/>
          <w:lang w:val="en-IN"/>
          <w14:ligatures w14:val="none"/>
        </w:rPr>
        <w:t xml:space="preserve"> and Historical Development</w:t>
      </w:r>
      <w:r w:rsidR="006A1A62" w:rsidRPr="00E733DB">
        <w:rPr>
          <w:rFonts w:ascii="Arial" w:eastAsia="MS Mincho" w:hAnsi="Arial" w:cs="Arial"/>
          <w:kern w:val="0"/>
          <w:sz w:val="28"/>
          <w:szCs w:val="28"/>
          <w14:ligatures w14:val="none"/>
        </w:rPr>
        <w:t> </w:t>
      </w:r>
    </w:p>
    <w:p w14:paraId="60289D03" w14:textId="5A8AC767" w:rsidR="006A1A62" w:rsidRPr="006A1A62" w:rsidRDefault="006A1A62" w:rsidP="009A18F3">
      <w:pPr>
        <w:spacing w:after="200" w:line="360" w:lineRule="auto"/>
        <w:rPr>
          <w:rFonts w:ascii="Arial" w:eastAsia="MS Mincho" w:hAnsi="Arial" w:cs="Arial"/>
          <w:kern w:val="0"/>
          <w14:ligatures w14:val="none"/>
        </w:rPr>
      </w:pPr>
      <w:r w:rsidRPr="006A1A62">
        <w:rPr>
          <w:rFonts w:ascii="Arial" w:eastAsia="MS Mincho" w:hAnsi="Arial" w:cs="Arial"/>
          <w:kern w:val="0"/>
          <w:lang w:val="en-IN"/>
          <w14:ligatures w14:val="none"/>
        </w:rPr>
        <w:t>The first apothecaries, which were responsible for the production of therapeutic remedies using natural ingredients, were the originators of pharmacy services. Over the course of the nineteenth century, advances in scientific knowledge led to the standardising of pharmaceuticals and the professionalisation of pharmacy practice. According to Anderson (2002), formal regulation in the United Kingdom increased the responsibilities and duties that pharmacists are expected to fulfil. </w:t>
      </w:r>
      <w:r w:rsidRPr="006A1A62">
        <w:rPr>
          <w:rFonts w:ascii="Arial" w:eastAsia="MS Mincho" w:hAnsi="Arial" w:cs="Arial"/>
          <w:kern w:val="0"/>
          <w14:ligatures w14:val="none"/>
        </w:rPr>
        <w:t> </w:t>
      </w:r>
      <w:r w:rsidRPr="006A1A62">
        <w:rPr>
          <w:rFonts w:ascii="Arial" w:eastAsia="MS Mincho" w:hAnsi="Arial" w:cs="Arial"/>
          <w:kern w:val="0"/>
          <w14:ligatures w14:val="none"/>
        </w:rPr>
        <w:br/>
      </w:r>
      <w:r w:rsidRPr="006A1A62">
        <w:rPr>
          <w:rFonts w:ascii="Arial" w:eastAsia="MS Mincho" w:hAnsi="Arial" w:cs="Arial"/>
          <w:kern w:val="0"/>
          <w:lang w:val="en-IN"/>
          <w14:ligatures w14:val="none"/>
        </w:rPr>
        <w:t>It was a watershed moment when the National Health Service was established in 1948, as it was the moment that integrated pharmacy services with publicly funded healthcare. Pharmacists took on the task of not only supplying medications but also ensuring the safety of patients while </w:t>
      </w:r>
      <w:r w:rsidR="0096654A" w:rsidRPr="006A1A62">
        <w:rPr>
          <w:rFonts w:ascii="Arial" w:eastAsia="MS Mincho" w:hAnsi="Arial" w:cs="Arial"/>
          <w:kern w:val="0"/>
          <w:lang w:val="en-IN"/>
          <w14:ligatures w14:val="none"/>
        </w:rPr>
        <w:t>helping</w:t>
      </w:r>
      <w:r w:rsidRPr="006A1A62">
        <w:rPr>
          <w:rFonts w:ascii="Arial" w:eastAsia="MS Mincho" w:hAnsi="Arial" w:cs="Arial"/>
          <w:kern w:val="0"/>
          <w:lang w:val="en-IN"/>
          <w14:ligatures w14:val="none"/>
        </w:rPr>
        <w:t> for treatments prescribed by medical professionals. According to Taylor and Harding (2015), healthcare changes in the latter part of the 20th century placed an emphasis on preventative care, which resulted in an increase in the function of the pharmacist. </w:t>
      </w:r>
      <w:r w:rsidRPr="006A1A62">
        <w:rPr>
          <w:rFonts w:ascii="Arial" w:eastAsia="MS Mincho" w:hAnsi="Arial" w:cs="Arial"/>
          <w:kern w:val="0"/>
          <w14:ligatures w14:val="none"/>
        </w:rPr>
        <w:t> </w:t>
      </w:r>
    </w:p>
    <w:p w14:paraId="1E11E99A" w14:textId="77777777" w:rsidR="0034702E" w:rsidRPr="0034702E" w:rsidRDefault="0034702E" w:rsidP="0034702E">
      <w:pPr>
        <w:spacing w:after="200" w:line="360" w:lineRule="auto"/>
        <w:rPr>
          <w:rFonts w:ascii="Arial" w:eastAsia="MS Mincho" w:hAnsi="Arial" w:cs="Arial"/>
          <w:kern w:val="0"/>
          <w:sz w:val="28"/>
          <w:szCs w:val="28"/>
          <w14:ligatures w14:val="none"/>
        </w:rPr>
      </w:pPr>
      <w:r w:rsidRPr="0034702E">
        <w:rPr>
          <w:rFonts w:ascii="Arial" w:eastAsia="MS Mincho" w:hAnsi="Arial" w:cs="Arial"/>
          <w:b/>
          <w:bCs/>
          <w:kern w:val="0"/>
          <w:sz w:val="28"/>
          <w:szCs w:val="28"/>
          <w:lang w:val="en-IN"/>
          <w14:ligatures w14:val="none"/>
        </w:rPr>
        <w:t>Current Functioning of Pharmacy Services</w:t>
      </w:r>
      <w:r w:rsidRPr="0034702E">
        <w:rPr>
          <w:rFonts w:ascii="Arial" w:eastAsia="MS Mincho" w:hAnsi="Arial" w:cs="Arial"/>
          <w:kern w:val="0"/>
          <w:sz w:val="28"/>
          <w:szCs w:val="28"/>
          <w14:ligatures w14:val="none"/>
        </w:rPr>
        <w:t> </w:t>
      </w:r>
    </w:p>
    <w:p w14:paraId="303B6D79" w14:textId="50663EDC" w:rsidR="0034702E" w:rsidRPr="0034702E" w:rsidRDefault="0034702E" w:rsidP="0034702E">
      <w:pPr>
        <w:spacing w:after="200" w:line="360" w:lineRule="auto"/>
        <w:rPr>
          <w:rFonts w:ascii="Arial" w:eastAsia="MS Mincho" w:hAnsi="Arial" w:cs="Arial"/>
          <w:kern w:val="0"/>
          <w14:ligatures w14:val="none"/>
        </w:rPr>
      </w:pPr>
      <w:r w:rsidRPr="0034702E">
        <w:rPr>
          <w:rFonts w:ascii="Arial" w:eastAsia="MS Mincho" w:hAnsi="Arial" w:cs="Arial"/>
          <w:kern w:val="0"/>
          <w:lang w:val="en-IN"/>
          <w14:ligatures w14:val="none"/>
        </w:rPr>
        <w:t xml:space="preserve">Community pharmacies, hospitals, and clinical settings are the current locations where pharmacy services are provided. Providing accessible healthcare advice, dispensing drugs, and providing </w:t>
      </w:r>
      <w:r w:rsidRPr="0034702E">
        <w:rPr>
          <w:rFonts w:ascii="Arial" w:eastAsia="MS Mincho" w:hAnsi="Arial" w:cs="Arial"/>
          <w:kern w:val="0"/>
          <w:lang w:val="en-IN"/>
          <w14:ligatures w14:val="none"/>
        </w:rPr>
        <w:lastRenderedPageBreak/>
        <w:t>public health services such as immunisations and health screenings are among services that community pharmacies specialise in providing. </w:t>
      </w:r>
      <w:r w:rsidR="00C21B91" w:rsidRPr="0034702E">
        <w:rPr>
          <w:rFonts w:ascii="Arial" w:eastAsia="MS Mincho" w:hAnsi="Arial" w:cs="Arial"/>
          <w:kern w:val="0"/>
          <w:lang w:val="en-IN"/>
          <w14:ligatures w14:val="none"/>
        </w:rPr>
        <w:t>For</w:t>
      </w:r>
      <w:r w:rsidRPr="0034702E">
        <w:rPr>
          <w:rFonts w:ascii="Arial" w:eastAsia="MS Mincho" w:hAnsi="Arial" w:cs="Arial"/>
          <w:kern w:val="0"/>
          <w:lang w:val="en-IN"/>
          <w14:ligatures w14:val="none"/>
        </w:rPr>
        <w:t> assisting patients in the efficient management of chronic diseases, pharmacists are responsible for conducting medication reviews (NHS England, 2023).  </w:t>
      </w:r>
      <w:r w:rsidR="00C21B91" w:rsidRPr="0034702E">
        <w:rPr>
          <w:rFonts w:ascii="Arial" w:eastAsia="MS Mincho" w:hAnsi="Arial" w:cs="Arial"/>
          <w:kern w:val="0"/>
          <w:lang w:val="en-IN"/>
          <w14:ligatures w14:val="none"/>
        </w:rPr>
        <w:t>Despite</w:t>
      </w:r>
      <w:r w:rsidRPr="0034702E">
        <w:rPr>
          <w:rFonts w:ascii="Arial" w:eastAsia="MS Mincho" w:hAnsi="Arial" w:cs="Arial"/>
          <w:kern w:val="0"/>
          <w:lang w:val="en-IN"/>
          <w14:ligatures w14:val="none"/>
        </w:rPr>
        <w:t> these advancements, issues still exist. The delivery of services is impacted by factors such as increased workload, workforce shortages, and budgetary constraints. According to Bush et al. (2021), the change in the function that pharmacists play within multidisciplinary healthcare teams is exemplified by the increasing participation of pharmacists in clinical decision-making.</w:t>
      </w:r>
      <w:r w:rsidRPr="0034702E">
        <w:rPr>
          <w:rFonts w:ascii="Arial" w:eastAsia="MS Mincho" w:hAnsi="Arial" w:cs="Arial"/>
          <w:kern w:val="0"/>
          <w14:ligatures w14:val="none"/>
        </w:rPr>
        <w:t> </w:t>
      </w:r>
    </w:p>
    <w:p w14:paraId="537839DF" w14:textId="77777777" w:rsidR="007C7167" w:rsidRPr="007C7167" w:rsidRDefault="007C7167" w:rsidP="007C7167">
      <w:pPr>
        <w:spacing w:after="200" w:line="360" w:lineRule="auto"/>
        <w:rPr>
          <w:rFonts w:ascii="Arial" w:eastAsia="MS Mincho" w:hAnsi="Arial" w:cs="Arial"/>
          <w:kern w:val="0"/>
          <w:sz w:val="28"/>
          <w:szCs w:val="28"/>
          <w14:ligatures w14:val="none"/>
        </w:rPr>
      </w:pPr>
      <w:r w:rsidRPr="007C7167">
        <w:rPr>
          <w:rFonts w:ascii="Arial" w:eastAsia="MS Mincho" w:hAnsi="Arial" w:cs="Arial"/>
          <w:b/>
          <w:bCs/>
          <w:kern w:val="0"/>
          <w:sz w:val="28"/>
          <w:szCs w:val="28"/>
          <w:lang w:val="en-IN"/>
          <w14:ligatures w14:val="none"/>
        </w:rPr>
        <w:t>Significance in Enhancing Quality of Life</w:t>
      </w:r>
      <w:r w:rsidRPr="007C7167">
        <w:rPr>
          <w:rFonts w:ascii="Arial" w:eastAsia="MS Mincho" w:hAnsi="Arial" w:cs="Arial"/>
          <w:kern w:val="0"/>
          <w:sz w:val="28"/>
          <w:szCs w:val="28"/>
          <w14:ligatures w14:val="none"/>
        </w:rPr>
        <w:t> </w:t>
      </w:r>
    </w:p>
    <w:p w14:paraId="465111AE" w14:textId="30B5194E" w:rsidR="007C7167" w:rsidRPr="007C7167" w:rsidRDefault="007C7167" w:rsidP="007C7167">
      <w:pPr>
        <w:spacing w:after="200" w:line="360" w:lineRule="auto"/>
        <w:rPr>
          <w:rFonts w:ascii="Arial" w:eastAsia="MS Mincho" w:hAnsi="Arial" w:cs="Arial"/>
          <w:kern w:val="0"/>
          <w14:ligatures w14:val="none"/>
        </w:rPr>
      </w:pPr>
      <w:r w:rsidRPr="007C7167">
        <w:rPr>
          <w:rFonts w:ascii="Arial" w:eastAsia="MS Mincho" w:hAnsi="Arial" w:cs="Arial"/>
          <w:kern w:val="0"/>
          <w:lang w:val="en-IN"/>
          <w14:ligatures w14:val="none"/>
        </w:rPr>
        <w:t>The services provided by pharmacies have evolved from the preparation of conventional medicine to a central role in the delivery of modern healthcare. Throughout history, they have undergone significant changes that are reflective of broader shifts in healthcare policy and public health approaches. </w:t>
      </w:r>
      <w:r w:rsidR="00C21B91" w:rsidRPr="007C7167">
        <w:rPr>
          <w:rFonts w:ascii="Arial" w:eastAsia="MS Mincho" w:hAnsi="Arial" w:cs="Arial"/>
          <w:kern w:val="0"/>
          <w:lang w:val="en-IN"/>
          <w14:ligatures w14:val="none"/>
        </w:rPr>
        <w:t>Even though</w:t>
      </w:r>
      <w:r w:rsidRPr="007C7167">
        <w:rPr>
          <w:rFonts w:ascii="Arial" w:eastAsia="MS Mincho" w:hAnsi="Arial" w:cs="Arial"/>
          <w:kern w:val="0"/>
          <w:lang w:val="en-IN"/>
          <w14:ligatures w14:val="none"/>
        </w:rPr>
        <w:t> difficulties continue to exist, pharmacy services continue to work towards improving patient safety, accessibility, and quality of life. Because of the increasing demands placed on healthcare, pharmacy services will continue to be essential </w:t>
      </w:r>
      <w:r w:rsidR="00C21B91" w:rsidRPr="007C7167">
        <w:rPr>
          <w:rFonts w:ascii="Arial" w:eastAsia="MS Mincho" w:hAnsi="Arial" w:cs="Arial"/>
          <w:kern w:val="0"/>
          <w:lang w:val="en-IN"/>
          <w14:ligatures w14:val="none"/>
        </w:rPr>
        <w:t>to</w:t>
      </w:r>
      <w:r w:rsidRPr="007C7167">
        <w:rPr>
          <w:rFonts w:ascii="Arial" w:eastAsia="MS Mincho" w:hAnsi="Arial" w:cs="Arial"/>
          <w:kern w:val="0"/>
          <w:lang w:val="en-IN"/>
          <w14:ligatures w14:val="none"/>
        </w:rPr>
        <w:t> provide care that is both effective and focused on the community.</w:t>
      </w:r>
      <w:r w:rsidRPr="007C7167">
        <w:rPr>
          <w:rFonts w:ascii="Arial" w:eastAsia="MS Mincho" w:hAnsi="Arial" w:cs="Arial"/>
          <w:kern w:val="0"/>
          <w14:ligatures w14:val="none"/>
        </w:rPr>
        <w:t> </w:t>
      </w:r>
    </w:p>
    <w:p w14:paraId="2F2008BE" w14:textId="77777777" w:rsidR="007C7167" w:rsidRPr="007C7167" w:rsidRDefault="007C7167" w:rsidP="007C7167">
      <w:pPr>
        <w:spacing w:after="200" w:line="360" w:lineRule="auto"/>
        <w:rPr>
          <w:rFonts w:ascii="Arial" w:eastAsia="MS Mincho" w:hAnsi="Arial" w:cs="Arial"/>
          <w:kern w:val="0"/>
          <w:sz w:val="28"/>
          <w:szCs w:val="28"/>
          <w14:ligatures w14:val="none"/>
        </w:rPr>
      </w:pPr>
      <w:r w:rsidRPr="007C7167">
        <w:rPr>
          <w:rFonts w:ascii="Arial" w:eastAsia="MS Mincho" w:hAnsi="Arial" w:cs="Arial"/>
          <w:b/>
          <w:bCs/>
          <w:kern w:val="0"/>
          <w:sz w:val="28"/>
          <w:szCs w:val="28"/>
          <w:lang w:val="en-IN"/>
          <w14:ligatures w14:val="none"/>
        </w:rPr>
        <w:t>Conclusion</w:t>
      </w:r>
      <w:r w:rsidRPr="007C7167">
        <w:rPr>
          <w:rFonts w:ascii="Arial" w:eastAsia="MS Mincho" w:hAnsi="Arial" w:cs="Arial"/>
          <w:kern w:val="0"/>
          <w:sz w:val="28"/>
          <w:szCs w:val="28"/>
          <w14:ligatures w14:val="none"/>
        </w:rPr>
        <w:t> </w:t>
      </w:r>
    </w:p>
    <w:p w14:paraId="7AFC3444" w14:textId="5C4F298B" w:rsidR="007C7167" w:rsidRPr="007C7167" w:rsidRDefault="007C7167" w:rsidP="007C7167">
      <w:pPr>
        <w:spacing w:after="200" w:line="360" w:lineRule="auto"/>
        <w:rPr>
          <w:rFonts w:ascii="Arial" w:eastAsia="MS Mincho" w:hAnsi="Arial" w:cs="Arial"/>
          <w:kern w:val="0"/>
          <w14:ligatures w14:val="none"/>
        </w:rPr>
      </w:pPr>
      <w:r w:rsidRPr="007C7167">
        <w:rPr>
          <w:rFonts w:ascii="Arial" w:eastAsia="MS Mincho" w:hAnsi="Arial" w:cs="Arial"/>
          <w:kern w:val="0"/>
          <w:lang w:val="en-IN"/>
          <w14:ligatures w14:val="none"/>
        </w:rPr>
        <w:t>The services provided by pharmacies have evolved from the preparation of conventional medicine to a central role in the delivery of modern healthcare. Throughout history, they have undergone significant changes that are reflective of broader shifts in healthcare policy and public health approaches. </w:t>
      </w:r>
      <w:r w:rsidR="00C21B91" w:rsidRPr="007C7167">
        <w:rPr>
          <w:rFonts w:ascii="Arial" w:eastAsia="MS Mincho" w:hAnsi="Arial" w:cs="Arial"/>
          <w:kern w:val="0"/>
          <w:lang w:val="en-IN"/>
          <w14:ligatures w14:val="none"/>
        </w:rPr>
        <w:t>Even though</w:t>
      </w:r>
      <w:r w:rsidRPr="007C7167">
        <w:rPr>
          <w:rFonts w:ascii="Arial" w:eastAsia="MS Mincho" w:hAnsi="Arial" w:cs="Arial"/>
          <w:kern w:val="0"/>
          <w:lang w:val="en-IN"/>
          <w14:ligatures w14:val="none"/>
        </w:rPr>
        <w:t> difficulties continue to exist, pharmacy services continue to work towards improving patient safety, accessibility, and quality of life. Because of the increasing demands placed on healthcare, pharmacy services will continue to be essential </w:t>
      </w:r>
      <w:r w:rsidR="00C21B91" w:rsidRPr="007C7167">
        <w:rPr>
          <w:rFonts w:ascii="Arial" w:eastAsia="MS Mincho" w:hAnsi="Arial" w:cs="Arial"/>
          <w:kern w:val="0"/>
          <w:lang w:val="en-IN"/>
          <w14:ligatures w14:val="none"/>
        </w:rPr>
        <w:t>to</w:t>
      </w:r>
      <w:r w:rsidRPr="007C7167">
        <w:rPr>
          <w:rFonts w:ascii="Arial" w:eastAsia="MS Mincho" w:hAnsi="Arial" w:cs="Arial"/>
          <w:kern w:val="0"/>
          <w:lang w:val="en-IN"/>
          <w14:ligatures w14:val="none"/>
        </w:rPr>
        <w:t> provide care that is both effective and focused on the community.</w:t>
      </w:r>
      <w:r w:rsidRPr="007C7167">
        <w:rPr>
          <w:rFonts w:ascii="Arial" w:eastAsia="MS Mincho" w:hAnsi="Arial" w:cs="Arial"/>
          <w:kern w:val="0"/>
          <w14:ligatures w14:val="none"/>
        </w:rPr>
        <w:t> </w:t>
      </w:r>
    </w:p>
    <w:p w14:paraId="5BC7444B" w14:textId="3E3D9383" w:rsidR="00B92C1D" w:rsidRPr="008608C4" w:rsidRDefault="00B92C1D" w:rsidP="008608C4">
      <w:pPr>
        <w:spacing w:after="200" w:line="360" w:lineRule="auto"/>
        <w:rPr>
          <w:rFonts w:ascii="Arial" w:eastAsia="MS Mincho" w:hAnsi="Arial" w:cs="Arial"/>
          <w:kern w:val="0"/>
          <w:lang w:val="en-IN"/>
          <w14:ligatures w14:val="none"/>
        </w:rPr>
      </w:pPr>
    </w:p>
    <w:p w14:paraId="5B2DF4B2" w14:textId="20EB512B" w:rsidR="00E020EC" w:rsidRDefault="00E020EC">
      <w:pPr>
        <w:rPr>
          <w:rFonts w:ascii="Times New Roman" w:eastAsia="MS Mincho" w:hAnsi="Times New Roman" w:cs="Times New Roman"/>
          <w:kern w:val="0"/>
          <w:sz w:val="24"/>
          <w:szCs w:val="24"/>
          <w:lang w:val="en-IN"/>
          <w14:ligatures w14:val="none"/>
        </w:rPr>
      </w:pPr>
    </w:p>
    <w:p w14:paraId="3EAA1CE5" w14:textId="4F105C9A" w:rsidR="006970D4" w:rsidRPr="002B1D06" w:rsidRDefault="00E020EC">
      <w:pPr>
        <w:rPr>
          <w:rFonts w:ascii="Arial" w:eastAsia="MS Mincho" w:hAnsi="Arial" w:cs="Arial"/>
          <w:color w:val="0F4761" w:themeColor="accent1" w:themeShade="BF"/>
          <w:kern w:val="0"/>
          <w:sz w:val="52"/>
          <w:szCs w:val="52"/>
          <w:lang w:val="en-IN"/>
          <w14:ligatures w14:val="none"/>
        </w:rPr>
      </w:pPr>
      <w:r w:rsidRPr="002B1D06">
        <w:rPr>
          <w:rFonts w:ascii="Arial" w:eastAsia="MS Mincho" w:hAnsi="Arial" w:cs="Arial"/>
          <w:color w:val="0F4761" w:themeColor="accent1" w:themeShade="BF"/>
          <w:kern w:val="0"/>
          <w:sz w:val="52"/>
          <w:szCs w:val="52"/>
          <w:lang w:val="en-IN"/>
          <w14:ligatures w14:val="none"/>
        </w:rPr>
        <w:t>R</w:t>
      </w:r>
      <w:r w:rsidR="006970D4" w:rsidRPr="002B1D06">
        <w:rPr>
          <w:rFonts w:ascii="Arial" w:eastAsia="MS Mincho" w:hAnsi="Arial" w:cs="Arial"/>
          <w:color w:val="0F4761" w:themeColor="accent1" w:themeShade="BF"/>
          <w:kern w:val="0"/>
          <w:sz w:val="52"/>
          <w:szCs w:val="52"/>
          <w:lang w:val="en-IN"/>
          <w14:ligatures w14:val="none"/>
        </w:rPr>
        <w:t>EFERENCES</w:t>
      </w:r>
    </w:p>
    <w:p w14:paraId="5680DAC9" w14:textId="77777777" w:rsidR="00932280" w:rsidRDefault="00932280" w:rsidP="00932280">
      <w:pPr>
        <w:pStyle w:val="NormalWeb"/>
        <w:spacing w:before="0" w:beforeAutospacing="0" w:after="0" w:afterAutospacing="0" w:line="353" w:lineRule="exact"/>
      </w:pPr>
      <w:r>
        <w:rPr>
          <w:rFonts w:ascii="Arial" w:eastAsia="Quicksand Bold" w:hAnsi="Arial" w:cs="Arial"/>
          <w:b/>
          <w:bCs/>
          <w:color w:val="0D0D0D"/>
          <w:kern w:val="24"/>
          <w:sz w:val="22"/>
          <w:szCs w:val="22"/>
          <w:lang w:val="en-US"/>
        </w:rPr>
        <w:t xml:space="preserve">NHS England (2023) NHS England, England.nhs.uk. Available at: https://www.england.nhs.uk. </w:t>
      </w:r>
    </w:p>
    <w:p w14:paraId="28563AD2" w14:textId="725C26F2" w:rsidR="00932280" w:rsidRDefault="00932280" w:rsidP="00932280">
      <w:pPr>
        <w:pStyle w:val="NormalWeb"/>
        <w:spacing w:before="0" w:beforeAutospacing="0" w:after="0" w:afterAutospacing="0" w:line="353" w:lineRule="exact"/>
      </w:pPr>
      <w:r>
        <w:rPr>
          <w:rFonts w:ascii="Arial" w:eastAsia="Quicksand Bold" w:hAnsi="Arial" w:cs="Arial"/>
          <w:b/>
          <w:bCs/>
          <w:color w:val="0D0D0D"/>
          <w:kern w:val="24"/>
          <w:sz w:val="22"/>
          <w:szCs w:val="22"/>
          <w:lang w:val="en-US"/>
        </w:rPr>
        <w:t xml:space="preserve">NHS England (2025) NHS England» Pharmacy Integration </w:t>
      </w:r>
      <w:r w:rsidR="00BF263F">
        <w:rPr>
          <w:rFonts w:ascii="Arial" w:eastAsia="Quicksand Bold" w:hAnsi="Arial" w:cs="Arial"/>
          <w:b/>
          <w:bCs/>
          <w:color w:val="0D0D0D"/>
          <w:kern w:val="24"/>
          <w:sz w:val="22"/>
          <w:szCs w:val="22"/>
          <w:lang w:val="en-US"/>
        </w:rPr>
        <w:t>Program</w:t>
      </w:r>
      <w:r>
        <w:rPr>
          <w:rFonts w:ascii="Arial" w:eastAsia="Quicksand Bold" w:hAnsi="Arial" w:cs="Arial"/>
          <w:b/>
          <w:bCs/>
          <w:color w:val="0D0D0D"/>
          <w:kern w:val="24"/>
          <w:sz w:val="22"/>
          <w:szCs w:val="22"/>
          <w:lang w:val="en-US"/>
        </w:rPr>
        <w:t>, www.england.nhs.uk. Available at: https://www.england.nhs.uk/primary-care/pharmacy/pharmacy-integration-fund/.</w:t>
      </w:r>
    </w:p>
    <w:p w14:paraId="0F1B500D" w14:textId="13C83537" w:rsidR="00932280" w:rsidRDefault="00932280" w:rsidP="00932280">
      <w:pPr>
        <w:pStyle w:val="NormalWeb"/>
        <w:spacing w:before="0" w:beforeAutospacing="0" w:after="0" w:afterAutospacing="0" w:line="353" w:lineRule="exact"/>
      </w:pPr>
      <w:r>
        <w:rPr>
          <w:rFonts w:ascii="Arial" w:eastAsia="Quicksand Bold" w:hAnsi="Arial" w:cs="Arial"/>
          <w:b/>
          <w:bCs/>
          <w:color w:val="0D0D0D"/>
          <w:kern w:val="24"/>
          <w:sz w:val="22"/>
          <w:szCs w:val="22"/>
          <w:lang w:val="en-US"/>
        </w:rPr>
        <w:lastRenderedPageBreak/>
        <w:t xml:space="preserve">Public Health England (2020) Public health </w:t>
      </w:r>
      <w:r w:rsidR="00BF263F">
        <w:rPr>
          <w:rFonts w:ascii="Arial" w:eastAsia="Quicksand Bold" w:hAnsi="Arial" w:cs="Arial"/>
          <w:b/>
          <w:bCs/>
          <w:color w:val="0D0D0D"/>
          <w:kern w:val="24"/>
          <w:sz w:val="22"/>
          <w:szCs w:val="22"/>
          <w:lang w:val="en-US"/>
        </w:rPr>
        <w:t>England</w:t>
      </w:r>
      <w:r>
        <w:rPr>
          <w:rFonts w:ascii="Arial" w:eastAsia="Quicksand Bold" w:hAnsi="Arial" w:cs="Arial"/>
          <w:b/>
          <w:bCs/>
          <w:color w:val="0D0D0D"/>
          <w:kern w:val="24"/>
          <w:sz w:val="22"/>
          <w:szCs w:val="22"/>
          <w:lang w:val="en-US"/>
        </w:rPr>
        <w:t>, GOV.UK. Available at: https://www.gov.uk/government/organisations/public-health-england.</w:t>
      </w:r>
    </w:p>
    <w:p w14:paraId="25DABA52" w14:textId="77777777" w:rsidR="00932280" w:rsidRDefault="00932280" w:rsidP="00932280">
      <w:pPr>
        <w:pStyle w:val="NormalWeb"/>
        <w:spacing w:before="0" w:beforeAutospacing="0" w:after="0" w:afterAutospacing="0" w:line="353" w:lineRule="exact"/>
      </w:pPr>
      <w:r>
        <w:rPr>
          <w:rFonts w:ascii="Arial" w:eastAsia="Quicksand Bold" w:hAnsi="Arial" w:cs="Arial"/>
          <w:b/>
          <w:bCs/>
          <w:color w:val="0D0D0D"/>
          <w:kern w:val="24"/>
          <w:sz w:val="22"/>
          <w:szCs w:val="22"/>
          <w:lang w:val="en-US"/>
        </w:rPr>
        <w:t>Royal Pharmaceutical Society (2010) Royal Pharmaceutical Society | RPS, Rpharms.com. Available at: https://www.rpharms.com.</w:t>
      </w:r>
    </w:p>
    <w:p w14:paraId="532AAD16" w14:textId="77777777" w:rsidR="00932280" w:rsidRDefault="00932280" w:rsidP="00932280">
      <w:pPr>
        <w:pStyle w:val="NormalWeb"/>
        <w:spacing w:before="0" w:beforeAutospacing="0" w:after="0" w:afterAutospacing="0" w:line="353" w:lineRule="exact"/>
      </w:pPr>
      <w:r>
        <w:rPr>
          <w:rFonts w:ascii="Arial" w:eastAsia="Quicksand Bold" w:hAnsi="Arial" w:cs="Arial"/>
          <w:b/>
          <w:bCs/>
          <w:color w:val="0D0D0D"/>
          <w:kern w:val="24"/>
          <w:sz w:val="22"/>
          <w:szCs w:val="22"/>
          <w:lang w:val="en-US"/>
        </w:rPr>
        <w:t>The King's Fund (2023) The King’s Fund, The King’s Fund. The King’s Fund. Available at: https://www.kingsfund.org.uk.</w:t>
      </w:r>
    </w:p>
    <w:p w14:paraId="09E3AB0E" w14:textId="77777777" w:rsidR="00725259" w:rsidRPr="00725259" w:rsidRDefault="00725259" w:rsidP="00725259">
      <w:pPr>
        <w:pStyle w:val="NormalWeb"/>
        <w:spacing w:line="353" w:lineRule="exact"/>
        <w:rPr>
          <w:rFonts w:ascii="Arial" w:eastAsia="MS Mincho" w:hAnsi="Arial" w:cs="Arial"/>
          <w:sz w:val="22"/>
          <w:szCs w:val="22"/>
        </w:rPr>
      </w:pPr>
      <w:r w:rsidRPr="00725259">
        <w:rPr>
          <w:rFonts w:ascii="Arial" w:eastAsia="MS Mincho" w:hAnsi="Arial" w:cs="Arial"/>
          <w:sz w:val="22"/>
          <w:szCs w:val="22"/>
          <w:lang w:val="en-IN"/>
        </w:rPr>
        <w:t>Anderson, S. (2002) </w:t>
      </w:r>
      <w:r w:rsidRPr="00725259">
        <w:rPr>
          <w:rFonts w:ascii="Arial" w:eastAsia="MS Mincho" w:hAnsi="Arial" w:cs="Arial"/>
          <w:i/>
          <w:iCs/>
          <w:sz w:val="22"/>
          <w:szCs w:val="22"/>
          <w:lang w:val="en-IN"/>
        </w:rPr>
        <w:t>The State of the World’s Pharmacy</w:t>
      </w:r>
      <w:r w:rsidRPr="00725259">
        <w:rPr>
          <w:rFonts w:ascii="Arial" w:eastAsia="MS Mincho" w:hAnsi="Arial" w:cs="Arial"/>
          <w:sz w:val="22"/>
          <w:szCs w:val="22"/>
          <w:lang w:val="en-IN"/>
        </w:rPr>
        <w:t>. London: Pharmaceutical Press.</w:t>
      </w:r>
      <w:r w:rsidRPr="00725259">
        <w:rPr>
          <w:rFonts w:ascii="Arial" w:eastAsia="MS Mincho" w:hAnsi="Arial" w:cs="Arial"/>
          <w:sz w:val="22"/>
          <w:szCs w:val="22"/>
        </w:rPr>
        <w:t> </w:t>
      </w:r>
    </w:p>
    <w:p w14:paraId="7E25EAE2" w14:textId="77777777" w:rsidR="00725259" w:rsidRPr="00725259" w:rsidRDefault="00725259" w:rsidP="00725259">
      <w:pPr>
        <w:pStyle w:val="NormalWeb"/>
        <w:spacing w:line="353" w:lineRule="exact"/>
        <w:rPr>
          <w:rFonts w:ascii="Arial" w:eastAsia="MS Mincho" w:hAnsi="Arial" w:cs="Arial"/>
          <w:sz w:val="22"/>
          <w:szCs w:val="22"/>
        </w:rPr>
      </w:pPr>
      <w:r w:rsidRPr="00725259">
        <w:rPr>
          <w:rFonts w:ascii="Arial" w:eastAsia="MS Mincho" w:hAnsi="Arial" w:cs="Arial"/>
          <w:sz w:val="22"/>
          <w:szCs w:val="22"/>
          <w:lang w:val="en-IN"/>
        </w:rPr>
        <w:t>Bush, J., Langley, C. and Wilson, K. (2021) ‘The evolving role of pharmacists in patient care’, </w:t>
      </w:r>
      <w:r w:rsidRPr="00725259">
        <w:rPr>
          <w:rFonts w:ascii="Arial" w:eastAsia="MS Mincho" w:hAnsi="Arial" w:cs="Arial"/>
          <w:i/>
          <w:iCs/>
          <w:sz w:val="22"/>
          <w:szCs w:val="22"/>
          <w:lang w:val="en-IN"/>
        </w:rPr>
        <w:t>International Journal of Pharmacy Practice</w:t>
      </w:r>
      <w:r w:rsidRPr="00725259">
        <w:rPr>
          <w:rFonts w:ascii="Arial" w:eastAsia="MS Mincho" w:hAnsi="Arial" w:cs="Arial"/>
          <w:sz w:val="22"/>
          <w:szCs w:val="22"/>
          <w:lang w:val="en-IN"/>
        </w:rPr>
        <w:t>, 29(2), pp. 89–97.</w:t>
      </w:r>
      <w:r w:rsidRPr="00725259">
        <w:rPr>
          <w:rFonts w:ascii="Arial" w:eastAsia="MS Mincho" w:hAnsi="Arial" w:cs="Arial"/>
          <w:sz w:val="22"/>
          <w:szCs w:val="22"/>
        </w:rPr>
        <w:t> </w:t>
      </w:r>
    </w:p>
    <w:p w14:paraId="0FB0E627" w14:textId="77777777" w:rsidR="00725259" w:rsidRPr="00725259" w:rsidRDefault="00725259" w:rsidP="00725259">
      <w:pPr>
        <w:pStyle w:val="NormalWeb"/>
        <w:spacing w:line="353" w:lineRule="exact"/>
        <w:rPr>
          <w:rFonts w:ascii="Arial" w:eastAsia="MS Mincho" w:hAnsi="Arial" w:cs="Arial"/>
          <w:sz w:val="22"/>
          <w:szCs w:val="22"/>
        </w:rPr>
      </w:pPr>
      <w:r w:rsidRPr="00725259">
        <w:rPr>
          <w:rFonts w:ascii="Arial" w:eastAsia="MS Mincho" w:hAnsi="Arial" w:cs="Arial"/>
          <w:sz w:val="22"/>
          <w:szCs w:val="22"/>
          <w:lang w:val="en-IN"/>
        </w:rPr>
        <w:t>NHS England (2023) </w:t>
      </w:r>
      <w:r w:rsidRPr="00725259">
        <w:rPr>
          <w:rFonts w:ascii="Arial" w:eastAsia="MS Mincho" w:hAnsi="Arial" w:cs="Arial"/>
          <w:i/>
          <w:iCs/>
          <w:sz w:val="22"/>
          <w:szCs w:val="22"/>
          <w:lang w:val="en-IN"/>
        </w:rPr>
        <w:t>Community Pharmacy Contractual Framework</w:t>
      </w:r>
      <w:r w:rsidRPr="00725259">
        <w:rPr>
          <w:rFonts w:ascii="Arial" w:eastAsia="MS Mincho" w:hAnsi="Arial" w:cs="Arial"/>
          <w:sz w:val="22"/>
          <w:szCs w:val="22"/>
          <w:lang w:val="en-IN"/>
        </w:rPr>
        <w:t>. London: NHS England.</w:t>
      </w:r>
      <w:r w:rsidRPr="00725259">
        <w:rPr>
          <w:rFonts w:ascii="Arial" w:eastAsia="MS Mincho" w:hAnsi="Arial" w:cs="Arial"/>
          <w:sz w:val="22"/>
          <w:szCs w:val="22"/>
        </w:rPr>
        <w:t> </w:t>
      </w:r>
    </w:p>
    <w:p w14:paraId="107A1800" w14:textId="77777777" w:rsidR="00725259" w:rsidRPr="00725259" w:rsidRDefault="00725259" w:rsidP="00725259">
      <w:pPr>
        <w:pStyle w:val="NormalWeb"/>
        <w:spacing w:line="353" w:lineRule="exact"/>
        <w:rPr>
          <w:rFonts w:ascii="Arial" w:eastAsia="MS Mincho" w:hAnsi="Arial" w:cs="Arial"/>
          <w:sz w:val="22"/>
          <w:szCs w:val="22"/>
        </w:rPr>
      </w:pPr>
      <w:r w:rsidRPr="00725259">
        <w:rPr>
          <w:rFonts w:ascii="Arial" w:eastAsia="MS Mincho" w:hAnsi="Arial" w:cs="Arial"/>
          <w:sz w:val="22"/>
          <w:szCs w:val="22"/>
          <w:lang w:val="en-IN"/>
        </w:rPr>
        <w:t>Taylor, D. and Harding, G. (2015) </w:t>
      </w:r>
      <w:r w:rsidRPr="00725259">
        <w:rPr>
          <w:rFonts w:ascii="Arial" w:eastAsia="MS Mincho" w:hAnsi="Arial" w:cs="Arial"/>
          <w:i/>
          <w:iCs/>
          <w:sz w:val="22"/>
          <w:szCs w:val="22"/>
          <w:lang w:val="en-IN"/>
        </w:rPr>
        <w:t>Pharmacy Practice</w:t>
      </w:r>
      <w:r w:rsidRPr="00725259">
        <w:rPr>
          <w:rFonts w:ascii="Arial" w:eastAsia="MS Mincho" w:hAnsi="Arial" w:cs="Arial"/>
          <w:sz w:val="22"/>
          <w:szCs w:val="22"/>
          <w:lang w:val="en-IN"/>
        </w:rPr>
        <w:t>. London: Taylor &amp; Francis.</w:t>
      </w:r>
      <w:r w:rsidRPr="00725259">
        <w:rPr>
          <w:rFonts w:ascii="Arial" w:eastAsia="MS Mincho" w:hAnsi="Arial" w:cs="Arial"/>
          <w:sz w:val="22"/>
          <w:szCs w:val="22"/>
        </w:rPr>
        <w:t> </w:t>
      </w:r>
    </w:p>
    <w:p w14:paraId="36F76376" w14:textId="77777777" w:rsidR="00725259" w:rsidRPr="00725259" w:rsidRDefault="00725259" w:rsidP="00725259">
      <w:pPr>
        <w:pStyle w:val="NormalWeb"/>
        <w:spacing w:line="353" w:lineRule="exact"/>
        <w:rPr>
          <w:rFonts w:ascii="Arial" w:eastAsia="MS Mincho" w:hAnsi="Arial" w:cs="Arial"/>
          <w:sz w:val="22"/>
          <w:szCs w:val="22"/>
        </w:rPr>
      </w:pPr>
      <w:r w:rsidRPr="00725259">
        <w:rPr>
          <w:rFonts w:ascii="Arial" w:eastAsia="MS Mincho" w:hAnsi="Arial" w:cs="Arial"/>
          <w:sz w:val="22"/>
          <w:szCs w:val="22"/>
          <w:lang w:val="en-IN"/>
        </w:rPr>
        <w:t>World Health Organization (2019) </w:t>
      </w:r>
      <w:r w:rsidRPr="00725259">
        <w:rPr>
          <w:rFonts w:ascii="Arial" w:eastAsia="MS Mincho" w:hAnsi="Arial" w:cs="Arial"/>
          <w:i/>
          <w:iCs/>
          <w:sz w:val="22"/>
          <w:szCs w:val="22"/>
          <w:lang w:val="en-IN"/>
        </w:rPr>
        <w:t>The Role of the Pharmacist in the Health Care System</w:t>
      </w:r>
      <w:r w:rsidRPr="00725259">
        <w:rPr>
          <w:rFonts w:ascii="Arial" w:eastAsia="MS Mincho" w:hAnsi="Arial" w:cs="Arial"/>
          <w:sz w:val="22"/>
          <w:szCs w:val="22"/>
          <w:lang w:val="en-IN"/>
        </w:rPr>
        <w:t>. Geneva: WHO.</w:t>
      </w:r>
      <w:r w:rsidRPr="00725259">
        <w:rPr>
          <w:rFonts w:ascii="Arial" w:eastAsia="MS Mincho" w:hAnsi="Arial" w:cs="Arial"/>
          <w:sz w:val="22"/>
          <w:szCs w:val="22"/>
        </w:rPr>
        <w:t> </w:t>
      </w:r>
    </w:p>
    <w:p w14:paraId="4BAF66D4" w14:textId="77777777" w:rsidR="00725259" w:rsidRPr="00725259" w:rsidRDefault="00725259" w:rsidP="00725259">
      <w:pPr>
        <w:pStyle w:val="NormalWeb"/>
        <w:spacing w:line="353" w:lineRule="exact"/>
        <w:rPr>
          <w:rFonts w:eastAsia="MS Mincho"/>
        </w:rPr>
      </w:pPr>
      <w:r w:rsidRPr="00725259">
        <w:rPr>
          <w:rFonts w:ascii="Arial" w:eastAsia="MS Mincho" w:hAnsi="Arial" w:cs="Arial"/>
          <w:sz w:val="22"/>
          <w:szCs w:val="22"/>
          <w:lang w:val="en-IN"/>
        </w:rPr>
        <w:t>Royal Pharmaceutical Society (2022) </w:t>
      </w:r>
      <w:r w:rsidRPr="00725259">
        <w:rPr>
          <w:rFonts w:ascii="Arial" w:eastAsia="MS Mincho" w:hAnsi="Arial" w:cs="Arial"/>
          <w:i/>
          <w:iCs/>
          <w:sz w:val="22"/>
          <w:szCs w:val="22"/>
          <w:lang w:val="en-IN"/>
        </w:rPr>
        <w:t>Professional Standards for Pharmacy Services</w:t>
      </w:r>
      <w:r w:rsidRPr="00725259">
        <w:rPr>
          <w:rFonts w:ascii="Arial" w:eastAsia="MS Mincho" w:hAnsi="Arial" w:cs="Arial"/>
          <w:sz w:val="22"/>
          <w:szCs w:val="22"/>
          <w:lang w:val="en-IN"/>
        </w:rPr>
        <w:t>. London: RPS</w:t>
      </w:r>
      <w:r w:rsidRPr="00725259">
        <w:rPr>
          <w:rFonts w:eastAsia="MS Mincho"/>
          <w:lang w:val="en-IN"/>
        </w:rPr>
        <w:t>.</w:t>
      </w:r>
      <w:r w:rsidRPr="00725259">
        <w:rPr>
          <w:rFonts w:eastAsia="MS Mincho"/>
        </w:rPr>
        <w:t> </w:t>
      </w:r>
    </w:p>
    <w:p w14:paraId="466D66A9" w14:textId="7C9D2855" w:rsidR="0005310A" w:rsidRPr="0005310A" w:rsidRDefault="00D233B0" w:rsidP="0005310A">
      <w:pPr>
        <w:spacing w:line="360" w:lineRule="auto"/>
        <w:rPr>
          <w:rFonts w:ascii="Times New Roman" w:eastAsia="MS Mincho" w:hAnsi="Times New Roman" w:cs="Times New Roman"/>
          <w:kern w:val="0"/>
          <w:sz w:val="24"/>
          <w:szCs w:val="24"/>
          <w14:ligatures w14:val="none"/>
        </w:rPr>
      </w:pPr>
      <w:r>
        <w:rPr>
          <w:noProof/>
        </w:rPr>
        <mc:AlternateContent>
          <mc:Choice Requires="wps">
            <w:drawing>
              <wp:anchor distT="0" distB="0" distL="114300" distR="114300" simplePos="0" relativeHeight="251660288" behindDoc="0" locked="0" layoutInCell="1" allowOverlap="1" wp14:anchorId="3C7EF688" wp14:editId="4465490C">
                <wp:simplePos x="0" y="0"/>
                <wp:positionH relativeFrom="page">
                  <wp:posOffset>8764291</wp:posOffset>
                </wp:positionH>
                <wp:positionV relativeFrom="paragraph">
                  <wp:posOffset>371206</wp:posOffset>
                </wp:positionV>
                <wp:extent cx="4206519" cy="518795"/>
                <wp:effectExtent l="0" t="0" r="0" b="0"/>
                <wp:wrapNone/>
                <wp:docPr id="50" name="TextBox 50"/>
                <wp:cNvGraphicFramePr/>
                <a:graphic xmlns:a="http://schemas.openxmlformats.org/drawingml/2006/main">
                  <a:graphicData uri="http://schemas.microsoft.com/office/word/2010/wordprocessingShape">
                    <wps:wsp>
                      <wps:cNvSpPr txBox="1"/>
                      <wps:spPr>
                        <a:xfrm>
                          <a:off x="0" y="0"/>
                          <a:ext cx="4206519" cy="518795"/>
                        </a:xfrm>
                        <a:prstGeom prst="rect">
                          <a:avLst/>
                        </a:prstGeom>
                      </wps:spPr>
                      <wps:txbx>
                        <w:txbxContent>
                          <w:p w14:paraId="4A322413" w14:textId="1E25881A" w:rsidR="006B5C8B" w:rsidRPr="00FC1BAC" w:rsidRDefault="006B5C8B" w:rsidP="006B5C8B">
                            <w:pPr>
                              <w:spacing w:line="353" w:lineRule="exact"/>
                              <w:rPr>
                                <w:rFonts w:ascii="Quicksand Bold" w:eastAsia="Quicksand Bold" w:hAnsi="Quicksand Bold" w:cs="Quicksand Bold"/>
                                <w:b/>
                                <w:bCs/>
                                <w:color w:val="2B3B8F"/>
                                <w:kern w:val="24"/>
                                <w:sz w:val="25"/>
                                <w:szCs w:val="25"/>
                                <w:lang w:val="en-US"/>
                                <w14:ligatures w14:val="none"/>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C7EF688" id="TextBox 50" o:spid="_x0000_s1027" type="#_x0000_t202" style="position:absolute;margin-left:690.1pt;margin-top:29.25pt;width:331.2pt;height:40.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" filled="f" stroked="f">
                <v:textbox inset="0,0,0,0">
                  <w:txbxContent>
                    <w:p w14:paraId="4A322413" w14:textId="1E25881A" w:rsidR="006B5C8B" w:rsidRPr="00FC1BAC" w:rsidRDefault="006B5C8B" w:rsidP="006B5C8B">
                      <w:pPr>
                        <w:spacing w:line="353" w:lineRule="exact"/>
                        <w:rPr>
                          <w:rFonts w:ascii="Quicksand Bold" w:eastAsia="Quicksand Bold" w:hAnsi="Quicksand Bold" w:cs="Quicksand Bold"/>
                          <w:b/>
                          <w:bCs/>
                          <w:color w:val="2B3B8F"/>
                          <w:kern w:val="24"/>
                          <w:sz w:val="25"/>
                          <w:szCs w:val="25"/>
                          <w:lang w:val="en-US"/>
                          <w14:ligatures w14:val="none"/>
                        </w:rPr>
                      </w:pPr>
                    </w:p>
                  </w:txbxContent>
                </v:textbox>
                <w10:wrap anchorx="page"/>
              </v:shape>
            </w:pict>
          </mc:Fallback>
        </mc:AlternateContent>
      </w:r>
      <w:r w:rsidR="0005310A" w:rsidRPr="0005310A">
        <w:rPr>
          <w:rFonts w:ascii="Times New Roman" w:eastAsia="MS Mincho" w:hAnsi="Times New Roman" w:cs="Times New Roman"/>
          <w:kern w:val="0"/>
          <w:sz w:val="24"/>
          <w:szCs w:val="24"/>
          <w14:ligatures w14:val="none"/>
        </w:rPr>
        <w:t> </w:t>
      </w:r>
    </w:p>
    <w:p w14:paraId="6E0838D5" w14:textId="0599CD58" w:rsidR="0005310A" w:rsidRPr="0005310A" w:rsidRDefault="009447E9" w:rsidP="0005310A">
      <w:pPr>
        <w:spacing w:line="360" w:lineRule="auto"/>
        <w:rPr>
          <w:rFonts w:ascii="Times New Roman" w:eastAsia="MS Mincho" w:hAnsi="Times New Roman" w:cs="Times New Roman"/>
          <w:kern w:val="0"/>
          <w:sz w:val="24"/>
          <w:szCs w:val="24"/>
          <w14:ligatures w14:val="none"/>
        </w:rPr>
      </w:pPr>
      <w:r>
        <w:rPr>
          <w:noProof/>
        </w:rPr>
        <mc:AlternateContent>
          <mc:Choice Requires="wps">
            <w:drawing>
              <wp:anchor distT="0" distB="0" distL="114300" distR="114300" simplePos="0" relativeHeight="251662336" behindDoc="1" locked="0" layoutInCell="1" allowOverlap="1" wp14:anchorId="4436F12D" wp14:editId="6667353E">
                <wp:simplePos x="0" y="0"/>
                <wp:positionH relativeFrom="page">
                  <wp:align>left</wp:align>
                </wp:positionH>
                <wp:positionV relativeFrom="paragraph">
                  <wp:posOffset>347378</wp:posOffset>
                </wp:positionV>
                <wp:extent cx="13117830" cy="53975"/>
                <wp:effectExtent l="0" t="0" r="0" b="0"/>
                <wp:wrapTight wrapText="bothSides">
                  <wp:wrapPolygon edited="0">
                    <wp:start x="0" y="0"/>
                    <wp:lineTo x="0" y="21600"/>
                    <wp:lineTo x="21600" y="21600"/>
                    <wp:lineTo x="21600" y="0"/>
                  </wp:wrapPolygon>
                </wp:wrapTight>
                <wp:docPr id="1704498882" name="TextBox 50"/>
                <wp:cNvGraphicFramePr/>
                <a:graphic xmlns:a="http://schemas.openxmlformats.org/drawingml/2006/main">
                  <a:graphicData uri="http://schemas.microsoft.com/office/word/2010/wordprocessingShape">
                    <wps:wsp>
                      <wps:cNvSpPr txBox="1"/>
                      <wps:spPr>
                        <a:xfrm>
                          <a:off x="0" y="0"/>
                          <a:ext cx="13117830" cy="53975"/>
                        </a:xfrm>
                        <a:prstGeom prst="rect">
                          <a:avLst/>
                        </a:prstGeom>
                      </wps:spPr>
                      <wps:txbx>
                        <w:txbxContent>
                          <w:p w14:paraId="22C58E12"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Anderson, S. (2002) </w:t>
                            </w:r>
                            <w:r w:rsidRPr="00334D69">
                              <w:rPr>
                                <w:rFonts w:ascii="Quicksand Bold" w:eastAsia="Quicksand Bold" w:hAnsi="Quicksand Bold" w:cs="Quicksand Bold"/>
                                <w:b/>
                                <w:bCs/>
                                <w:i/>
                                <w:iCs/>
                                <w:color w:val="0D0D0D"/>
                                <w:kern w:val="24"/>
                                <w:sz w:val="25"/>
                                <w:szCs w:val="25"/>
                                <w:lang w:val="en-IN"/>
                              </w:rPr>
                              <w:t>The State of the World’s Pharmacy</w:t>
                            </w:r>
                            <w:r w:rsidRPr="00334D69">
                              <w:rPr>
                                <w:rFonts w:ascii="Quicksand Bold" w:eastAsia="Quicksand Bold" w:hAnsi="Quicksand Bold" w:cs="Quicksand Bold"/>
                                <w:b/>
                                <w:bCs/>
                                <w:color w:val="0D0D0D"/>
                                <w:kern w:val="24"/>
                                <w:sz w:val="25"/>
                                <w:szCs w:val="25"/>
                                <w:lang w:val="en-IN"/>
                              </w:rPr>
                              <w:t>. London: Pharmaceutical Press.</w:t>
                            </w:r>
                            <w:r w:rsidRPr="00334D69">
                              <w:rPr>
                                <w:rFonts w:ascii="Quicksand Bold" w:eastAsia="Quicksand Bold" w:hAnsi="Quicksand Bold" w:cs="Quicksand Bold"/>
                                <w:b/>
                                <w:bCs/>
                                <w:color w:val="0D0D0D"/>
                                <w:kern w:val="24"/>
                                <w:sz w:val="25"/>
                                <w:szCs w:val="25"/>
                              </w:rPr>
                              <w:t> </w:t>
                            </w:r>
                          </w:p>
                          <w:p w14:paraId="0FE8089B"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Bush, J., Langley, C. and Wilson, K. (2021) ‘The evolving role of pharmacists in patient care’, </w:t>
                            </w:r>
                            <w:r w:rsidRPr="00334D69">
                              <w:rPr>
                                <w:rFonts w:ascii="Quicksand Bold" w:eastAsia="Quicksand Bold" w:hAnsi="Quicksand Bold" w:cs="Quicksand Bold"/>
                                <w:b/>
                                <w:bCs/>
                                <w:i/>
                                <w:iCs/>
                                <w:color w:val="0D0D0D"/>
                                <w:kern w:val="24"/>
                                <w:sz w:val="25"/>
                                <w:szCs w:val="25"/>
                                <w:lang w:val="en-IN"/>
                              </w:rPr>
                              <w:t>International Journal of Pharmacy Practice</w:t>
                            </w:r>
                            <w:r w:rsidRPr="00334D69">
                              <w:rPr>
                                <w:rFonts w:ascii="Quicksand Bold" w:eastAsia="Quicksand Bold" w:hAnsi="Quicksand Bold" w:cs="Quicksand Bold"/>
                                <w:b/>
                                <w:bCs/>
                                <w:color w:val="0D0D0D"/>
                                <w:kern w:val="24"/>
                                <w:sz w:val="25"/>
                                <w:szCs w:val="25"/>
                                <w:lang w:val="en-IN"/>
                              </w:rPr>
                              <w:t>, 29(2), pp. 89–97.</w:t>
                            </w:r>
                            <w:r w:rsidRPr="00334D69">
                              <w:rPr>
                                <w:rFonts w:ascii="Quicksand Bold" w:eastAsia="Quicksand Bold" w:hAnsi="Quicksand Bold" w:cs="Quicksand Bold"/>
                                <w:b/>
                                <w:bCs/>
                                <w:color w:val="0D0D0D"/>
                                <w:kern w:val="24"/>
                                <w:sz w:val="25"/>
                                <w:szCs w:val="25"/>
                              </w:rPr>
                              <w:t> </w:t>
                            </w:r>
                          </w:p>
                          <w:p w14:paraId="539EE166"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NHS England (2023) </w:t>
                            </w:r>
                            <w:r w:rsidRPr="00334D69">
                              <w:rPr>
                                <w:rFonts w:ascii="Quicksand Bold" w:eastAsia="Quicksand Bold" w:hAnsi="Quicksand Bold" w:cs="Quicksand Bold"/>
                                <w:b/>
                                <w:bCs/>
                                <w:i/>
                                <w:iCs/>
                                <w:color w:val="0D0D0D"/>
                                <w:kern w:val="24"/>
                                <w:sz w:val="25"/>
                                <w:szCs w:val="25"/>
                                <w:lang w:val="en-IN"/>
                              </w:rPr>
                              <w:t>Community Pharmacy Contractual Framework</w:t>
                            </w:r>
                            <w:r w:rsidRPr="00334D69">
                              <w:rPr>
                                <w:rFonts w:ascii="Quicksand Bold" w:eastAsia="Quicksand Bold" w:hAnsi="Quicksand Bold" w:cs="Quicksand Bold"/>
                                <w:b/>
                                <w:bCs/>
                                <w:color w:val="0D0D0D"/>
                                <w:kern w:val="24"/>
                                <w:sz w:val="25"/>
                                <w:szCs w:val="25"/>
                                <w:lang w:val="en-IN"/>
                              </w:rPr>
                              <w:t>. London: NHS England.</w:t>
                            </w:r>
                            <w:r w:rsidRPr="00334D69">
                              <w:rPr>
                                <w:rFonts w:ascii="Quicksand Bold" w:eastAsia="Quicksand Bold" w:hAnsi="Quicksand Bold" w:cs="Quicksand Bold"/>
                                <w:b/>
                                <w:bCs/>
                                <w:color w:val="0D0D0D"/>
                                <w:kern w:val="24"/>
                                <w:sz w:val="25"/>
                                <w:szCs w:val="25"/>
                              </w:rPr>
                              <w:t> </w:t>
                            </w:r>
                          </w:p>
                          <w:p w14:paraId="1139DDA6"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Taylor, D. and Harding, G. (2015) </w:t>
                            </w:r>
                            <w:r w:rsidRPr="00334D69">
                              <w:rPr>
                                <w:rFonts w:ascii="Quicksand Bold" w:eastAsia="Quicksand Bold" w:hAnsi="Quicksand Bold" w:cs="Quicksand Bold"/>
                                <w:b/>
                                <w:bCs/>
                                <w:i/>
                                <w:iCs/>
                                <w:color w:val="0D0D0D"/>
                                <w:kern w:val="24"/>
                                <w:sz w:val="25"/>
                                <w:szCs w:val="25"/>
                                <w:lang w:val="en-IN"/>
                              </w:rPr>
                              <w:t>Pharmacy Practice</w:t>
                            </w:r>
                            <w:r w:rsidRPr="00334D69">
                              <w:rPr>
                                <w:rFonts w:ascii="Quicksand Bold" w:eastAsia="Quicksand Bold" w:hAnsi="Quicksand Bold" w:cs="Quicksand Bold"/>
                                <w:b/>
                                <w:bCs/>
                                <w:color w:val="0D0D0D"/>
                                <w:kern w:val="24"/>
                                <w:sz w:val="25"/>
                                <w:szCs w:val="25"/>
                                <w:lang w:val="en-IN"/>
                              </w:rPr>
                              <w:t>. London: Taylor &amp; Francis.</w:t>
                            </w:r>
                            <w:r w:rsidRPr="00334D69">
                              <w:rPr>
                                <w:rFonts w:ascii="Quicksand Bold" w:eastAsia="Quicksand Bold" w:hAnsi="Quicksand Bold" w:cs="Quicksand Bold"/>
                                <w:b/>
                                <w:bCs/>
                                <w:color w:val="0D0D0D"/>
                                <w:kern w:val="24"/>
                                <w:sz w:val="25"/>
                                <w:szCs w:val="25"/>
                              </w:rPr>
                              <w:t> </w:t>
                            </w:r>
                          </w:p>
                          <w:p w14:paraId="73F8E9BD"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World Health Organization (2019) </w:t>
                            </w:r>
                            <w:r w:rsidRPr="00334D69">
                              <w:rPr>
                                <w:rFonts w:ascii="Quicksand Bold" w:eastAsia="Quicksand Bold" w:hAnsi="Quicksand Bold" w:cs="Quicksand Bold"/>
                                <w:b/>
                                <w:bCs/>
                                <w:i/>
                                <w:iCs/>
                                <w:color w:val="0D0D0D"/>
                                <w:kern w:val="24"/>
                                <w:sz w:val="25"/>
                                <w:szCs w:val="25"/>
                                <w:lang w:val="en-IN"/>
                              </w:rPr>
                              <w:t>The Role of the Pharmacist in the Health Care System</w:t>
                            </w:r>
                            <w:r w:rsidRPr="00334D69">
                              <w:rPr>
                                <w:rFonts w:ascii="Quicksand Bold" w:eastAsia="Quicksand Bold" w:hAnsi="Quicksand Bold" w:cs="Quicksand Bold"/>
                                <w:b/>
                                <w:bCs/>
                                <w:color w:val="0D0D0D"/>
                                <w:kern w:val="24"/>
                                <w:sz w:val="25"/>
                                <w:szCs w:val="25"/>
                                <w:lang w:val="en-IN"/>
                              </w:rPr>
                              <w:t>. Geneva: WHO.</w:t>
                            </w:r>
                            <w:r w:rsidRPr="00334D69">
                              <w:rPr>
                                <w:rFonts w:ascii="Quicksand Bold" w:eastAsia="Quicksand Bold" w:hAnsi="Quicksand Bold" w:cs="Quicksand Bold"/>
                                <w:b/>
                                <w:bCs/>
                                <w:color w:val="0D0D0D"/>
                                <w:kern w:val="24"/>
                                <w:sz w:val="25"/>
                                <w:szCs w:val="25"/>
                              </w:rPr>
                              <w:t> </w:t>
                            </w:r>
                          </w:p>
                          <w:p w14:paraId="2F2BFFF5"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Royal Pharmaceutical Society (2022) </w:t>
                            </w:r>
                            <w:r w:rsidRPr="00334D69">
                              <w:rPr>
                                <w:rFonts w:ascii="Quicksand Bold" w:eastAsia="Quicksand Bold" w:hAnsi="Quicksand Bold" w:cs="Quicksand Bold"/>
                                <w:b/>
                                <w:bCs/>
                                <w:i/>
                                <w:iCs/>
                                <w:color w:val="0D0D0D"/>
                                <w:kern w:val="24"/>
                                <w:sz w:val="25"/>
                                <w:szCs w:val="25"/>
                                <w:lang w:val="en-IN"/>
                              </w:rPr>
                              <w:t>Professional Standards for Pharmacy Services</w:t>
                            </w:r>
                            <w:r w:rsidRPr="00334D69">
                              <w:rPr>
                                <w:rFonts w:ascii="Quicksand Bold" w:eastAsia="Quicksand Bold" w:hAnsi="Quicksand Bold" w:cs="Quicksand Bold"/>
                                <w:b/>
                                <w:bCs/>
                                <w:color w:val="0D0D0D"/>
                                <w:kern w:val="24"/>
                                <w:sz w:val="25"/>
                                <w:szCs w:val="25"/>
                                <w:lang w:val="en-IN"/>
                              </w:rPr>
                              <w:t>. London: RPS.</w:t>
                            </w:r>
                            <w:r w:rsidRPr="00334D69">
                              <w:rPr>
                                <w:rFonts w:ascii="Quicksand Bold" w:eastAsia="Quicksand Bold" w:hAnsi="Quicksand Bold" w:cs="Quicksand Bold"/>
                                <w:b/>
                                <w:bCs/>
                                <w:color w:val="0D0D0D"/>
                                <w:kern w:val="24"/>
                                <w:sz w:val="25"/>
                                <w:szCs w:val="25"/>
                              </w:rPr>
                              <w:t> </w:t>
                            </w:r>
                          </w:p>
                          <w:p w14:paraId="64783B32" w14:textId="1D412565" w:rsidR="001208DE" w:rsidRDefault="001208DE" w:rsidP="001208DE">
                            <w:pPr>
                              <w:spacing w:line="353" w:lineRule="exact"/>
                              <w:rPr>
                                <w:rFonts w:ascii="Quicksand Bold" w:eastAsia="Quicksand Bold" w:hAnsi="Quicksand Bold" w:cs="Quicksand Bold"/>
                                <w:b/>
                                <w:bCs/>
                                <w:color w:val="0D0D0D"/>
                                <w:kern w:val="24"/>
                                <w:sz w:val="25"/>
                                <w:szCs w:val="25"/>
                                <w:lang w:val="en-US"/>
                              </w:rPr>
                            </w:pPr>
                          </w:p>
                        </w:txbxContent>
                      </wps:txbx>
                      <wps:bodyPr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shape w14:anchorId="4436F12D" id="_x0000_s1028" type="#_x0000_t202" style="position:absolute;margin-left:0;margin-top:27.35pt;width:1032.9pt;height:4.25pt;z-index:-2516541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" filled="f" stroked="f">
                <v:textbox inset="0,0,0,0">
                  <w:txbxContent>
                    <w:p w14:paraId="22C58E12"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Anderson, S. (2002) </w:t>
                      </w:r>
                      <w:r w:rsidRPr="00334D69">
                        <w:rPr>
                          <w:rFonts w:ascii="Quicksand Bold" w:eastAsia="Quicksand Bold" w:hAnsi="Quicksand Bold" w:cs="Quicksand Bold"/>
                          <w:b/>
                          <w:bCs/>
                          <w:i/>
                          <w:iCs/>
                          <w:color w:val="0D0D0D"/>
                          <w:kern w:val="24"/>
                          <w:sz w:val="25"/>
                          <w:szCs w:val="25"/>
                          <w:lang w:val="en-IN"/>
                        </w:rPr>
                        <w:t>The State of the World’s Pharmacy</w:t>
                      </w:r>
                      <w:r w:rsidRPr="00334D69">
                        <w:rPr>
                          <w:rFonts w:ascii="Quicksand Bold" w:eastAsia="Quicksand Bold" w:hAnsi="Quicksand Bold" w:cs="Quicksand Bold"/>
                          <w:b/>
                          <w:bCs/>
                          <w:color w:val="0D0D0D"/>
                          <w:kern w:val="24"/>
                          <w:sz w:val="25"/>
                          <w:szCs w:val="25"/>
                          <w:lang w:val="en-IN"/>
                        </w:rPr>
                        <w:t>. London: Pharmaceutical Press.</w:t>
                      </w:r>
                      <w:r w:rsidRPr="00334D69">
                        <w:rPr>
                          <w:rFonts w:ascii="Quicksand Bold" w:eastAsia="Quicksand Bold" w:hAnsi="Quicksand Bold" w:cs="Quicksand Bold"/>
                          <w:b/>
                          <w:bCs/>
                          <w:color w:val="0D0D0D"/>
                          <w:kern w:val="24"/>
                          <w:sz w:val="25"/>
                          <w:szCs w:val="25"/>
                        </w:rPr>
                        <w:t> </w:t>
                      </w:r>
                    </w:p>
                    <w:p w14:paraId="0FE8089B"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Bush, J., Langley, C. and Wilson, K. (2021) ‘The evolving role of pharmacists in patient care’, </w:t>
                      </w:r>
                      <w:r w:rsidRPr="00334D69">
                        <w:rPr>
                          <w:rFonts w:ascii="Quicksand Bold" w:eastAsia="Quicksand Bold" w:hAnsi="Quicksand Bold" w:cs="Quicksand Bold"/>
                          <w:b/>
                          <w:bCs/>
                          <w:i/>
                          <w:iCs/>
                          <w:color w:val="0D0D0D"/>
                          <w:kern w:val="24"/>
                          <w:sz w:val="25"/>
                          <w:szCs w:val="25"/>
                          <w:lang w:val="en-IN"/>
                        </w:rPr>
                        <w:t>International Journal of Pharmacy Practice</w:t>
                      </w:r>
                      <w:r w:rsidRPr="00334D69">
                        <w:rPr>
                          <w:rFonts w:ascii="Quicksand Bold" w:eastAsia="Quicksand Bold" w:hAnsi="Quicksand Bold" w:cs="Quicksand Bold"/>
                          <w:b/>
                          <w:bCs/>
                          <w:color w:val="0D0D0D"/>
                          <w:kern w:val="24"/>
                          <w:sz w:val="25"/>
                          <w:szCs w:val="25"/>
                          <w:lang w:val="en-IN"/>
                        </w:rPr>
                        <w:t>, 29(2), pp. 89–97.</w:t>
                      </w:r>
                      <w:r w:rsidRPr="00334D69">
                        <w:rPr>
                          <w:rFonts w:ascii="Quicksand Bold" w:eastAsia="Quicksand Bold" w:hAnsi="Quicksand Bold" w:cs="Quicksand Bold"/>
                          <w:b/>
                          <w:bCs/>
                          <w:color w:val="0D0D0D"/>
                          <w:kern w:val="24"/>
                          <w:sz w:val="25"/>
                          <w:szCs w:val="25"/>
                        </w:rPr>
                        <w:t> </w:t>
                      </w:r>
                    </w:p>
                    <w:p w14:paraId="539EE166"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NHS England (2023) </w:t>
                      </w:r>
                      <w:r w:rsidRPr="00334D69">
                        <w:rPr>
                          <w:rFonts w:ascii="Quicksand Bold" w:eastAsia="Quicksand Bold" w:hAnsi="Quicksand Bold" w:cs="Quicksand Bold"/>
                          <w:b/>
                          <w:bCs/>
                          <w:i/>
                          <w:iCs/>
                          <w:color w:val="0D0D0D"/>
                          <w:kern w:val="24"/>
                          <w:sz w:val="25"/>
                          <w:szCs w:val="25"/>
                          <w:lang w:val="en-IN"/>
                        </w:rPr>
                        <w:t>Community Pharmacy Contractual Framework</w:t>
                      </w:r>
                      <w:r w:rsidRPr="00334D69">
                        <w:rPr>
                          <w:rFonts w:ascii="Quicksand Bold" w:eastAsia="Quicksand Bold" w:hAnsi="Quicksand Bold" w:cs="Quicksand Bold"/>
                          <w:b/>
                          <w:bCs/>
                          <w:color w:val="0D0D0D"/>
                          <w:kern w:val="24"/>
                          <w:sz w:val="25"/>
                          <w:szCs w:val="25"/>
                          <w:lang w:val="en-IN"/>
                        </w:rPr>
                        <w:t>. London: NHS England.</w:t>
                      </w:r>
                      <w:r w:rsidRPr="00334D69">
                        <w:rPr>
                          <w:rFonts w:ascii="Quicksand Bold" w:eastAsia="Quicksand Bold" w:hAnsi="Quicksand Bold" w:cs="Quicksand Bold"/>
                          <w:b/>
                          <w:bCs/>
                          <w:color w:val="0D0D0D"/>
                          <w:kern w:val="24"/>
                          <w:sz w:val="25"/>
                          <w:szCs w:val="25"/>
                        </w:rPr>
                        <w:t> </w:t>
                      </w:r>
                    </w:p>
                    <w:p w14:paraId="1139DDA6"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Taylor, D. and Harding, G. (2015) </w:t>
                      </w:r>
                      <w:r w:rsidRPr="00334D69">
                        <w:rPr>
                          <w:rFonts w:ascii="Quicksand Bold" w:eastAsia="Quicksand Bold" w:hAnsi="Quicksand Bold" w:cs="Quicksand Bold"/>
                          <w:b/>
                          <w:bCs/>
                          <w:i/>
                          <w:iCs/>
                          <w:color w:val="0D0D0D"/>
                          <w:kern w:val="24"/>
                          <w:sz w:val="25"/>
                          <w:szCs w:val="25"/>
                          <w:lang w:val="en-IN"/>
                        </w:rPr>
                        <w:t>Pharmacy Practice</w:t>
                      </w:r>
                      <w:r w:rsidRPr="00334D69">
                        <w:rPr>
                          <w:rFonts w:ascii="Quicksand Bold" w:eastAsia="Quicksand Bold" w:hAnsi="Quicksand Bold" w:cs="Quicksand Bold"/>
                          <w:b/>
                          <w:bCs/>
                          <w:color w:val="0D0D0D"/>
                          <w:kern w:val="24"/>
                          <w:sz w:val="25"/>
                          <w:szCs w:val="25"/>
                          <w:lang w:val="en-IN"/>
                        </w:rPr>
                        <w:t>. London: Taylor &amp; Francis.</w:t>
                      </w:r>
                      <w:r w:rsidRPr="00334D69">
                        <w:rPr>
                          <w:rFonts w:ascii="Quicksand Bold" w:eastAsia="Quicksand Bold" w:hAnsi="Quicksand Bold" w:cs="Quicksand Bold"/>
                          <w:b/>
                          <w:bCs/>
                          <w:color w:val="0D0D0D"/>
                          <w:kern w:val="24"/>
                          <w:sz w:val="25"/>
                          <w:szCs w:val="25"/>
                        </w:rPr>
                        <w:t> </w:t>
                      </w:r>
                    </w:p>
                    <w:p w14:paraId="73F8E9BD"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World Health Organization (2019) </w:t>
                      </w:r>
                      <w:r w:rsidRPr="00334D69">
                        <w:rPr>
                          <w:rFonts w:ascii="Quicksand Bold" w:eastAsia="Quicksand Bold" w:hAnsi="Quicksand Bold" w:cs="Quicksand Bold"/>
                          <w:b/>
                          <w:bCs/>
                          <w:i/>
                          <w:iCs/>
                          <w:color w:val="0D0D0D"/>
                          <w:kern w:val="24"/>
                          <w:sz w:val="25"/>
                          <w:szCs w:val="25"/>
                          <w:lang w:val="en-IN"/>
                        </w:rPr>
                        <w:t>The Role of the Pharmacist in the Health Care System</w:t>
                      </w:r>
                      <w:r w:rsidRPr="00334D69">
                        <w:rPr>
                          <w:rFonts w:ascii="Quicksand Bold" w:eastAsia="Quicksand Bold" w:hAnsi="Quicksand Bold" w:cs="Quicksand Bold"/>
                          <w:b/>
                          <w:bCs/>
                          <w:color w:val="0D0D0D"/>
                          <w:kern w:val="24"/>
                          <w:sz w:val="25"/>
                          <w:szCs w:val="25"/>
                          <w:lang w:val="en-IN"/>
                        </w:rPr>
                        <w:t>. Geneva: WHO.</w:t>
                      </w:r>
                      <w:r w:rsidRPr="00334D69">
                        <w:rPr>
                          <w:rFonts w:ascii="Quicksand Bold" w:eastAsia="Quicksand Bold" w:hAnsi="Quicksand Bold" w:cs="Quicksand Bold"/>
                          <w:b/>
                          <w:bCs/>
                          <w:color w:val="0D0D0D"/>
                          <w:kern w:val="24"/>
                          <w:sz w:val="25"/>
                          <w:szCs w:val="25"/>
                        </w:rPr>
                        <w:t> </w:t>
                      </w:r>
                    </w:p>
                    <w:p w14:paraId="2F2BFFF5" w14:textId="77777777" w:rsidR="00334D69" w:rsidRPr="00334D69" w:rsidRDefault="00334D69" w:rsidP="00334D69">
                      <w:pPr>
                        <w:spacing w:line="353" w:lineRule="exact"/>
                        <w:rPr>
                          <w:rFonts w:ascii="Quicksand Bold" w:eastAsia="Quicksand Bold" w:hAnsi="Quicksand Bold" w:cs="Quicksand Bold"/>
                          <w:b/>
                          <w:bCs/>
                          <w:color w:val="0D0D0D"/>
                          <w:kern w:val="24"/>
                          <w:sz w:val="25"/>
                          <w:szCs w:val="25"/>
                        </w:rPr>
                      </w:pPr>
                      <w:r w:rsidRPr="00334D69">
                        <w:rPr>
                          <w:rFonts w:ascii="Quicksand Bold" w:eastAsia="Quicksand Bold" w:hAnsi="Quicksand Bold" w:cs="Quicksand Bold"/>
                          <w:b/>
                          <w:bCs/>
                          <w:color w:val="0D0D0D"/>
                          <w:kern w:val="24"/>
                          <w:sz w:val="25"/>
                          <w:szCs w:val="25"/>
                          <w:lang w:val="en-IN"/>
                        </w:rPr>
                        <w:t>Royal Pharmaceutical Society (2022) </w:t>
                      </w:r>
                      <w:r w:rsidRPr="00334D69">
                        <w:rPr>
                          <w:rFonts w:ascii="Quicksand Bold" w:eastAsia="Quicksand Bold" w:hAnsi="Quicksand Bold" w:cs="Quicksand Bold"/>
                          <w:b/>
                          <w:bCs/>
                          <w:i/>
                          <w:iCs/>
                          <w:color w:val="0D0D0D"/>
                          <w:kern w:val="24"/>
                          <w:sz w:val="25"/>
                          <w:szCs w:val="25"/>
                          <w:lang w:val="en-IN"/>
                        </w:rPr>
                        <w:t>Professional Standards for Pharmacy Services</w:t>
                      </w:r>
                      <w:r w:rsidRPr="00334D69">
                        <w:rPr>
                          <w:rFonts w:ascii="Quicksand Bold" w:eastAsia="Quicksand Bold" w:hAnsi="Quicksand Bold" w:cs="Quicksand Bold"/>
                          <w:b/>
                          <w:bCs/>
                          <w:color w:val="0D0D0D"/>
                          <w:kern w:val="24"/>
                          <w:sz w:val="25"/>
                          <w:szCs w:val="25"/>
                          <w:lang w:val="en-IN"/>
                        </w:rPr>
                        <w:t>. London: RPS.</w:t>
                      </w:r>
                      <w:r w:rsidRPr="00334D69">
                        <w:rPr>
                          <w:rFonts w:ascii="Quicksand Bold" w:eastAsia="Quicksand Bold" w:hAnsi="Quicksand Bold" w:cs="Quicksand Bold"/>
                          <w:b/>
                          <w:bCs/>
                          <w:color w:val="0D0D0D"/>
                          <w:kern w:val="24"/>
                          <w:sz w:val="25"/>
                          <w:szCs w:val="25"/>
                        </w:rPr>
                        <w:t> </w:t>
                      </w:r>
                    </w:p>
                    <w:p w14:paraId="64783B32" w14:textId="1D412565" w:rsidR="001208DE" w:rsidRDefault="001208DE" w:rsidP="001208DE">
                      <w:pPr>
                        <w:spacing w:line="353" w:lineRule="exact"/>
                        <w:rPr>
                          <w:rFonts w:ascii="Quicksand Bold" w:eastAsia="Quicksand Bold" w:hAnsi="Quicksand Bold" w:cs="Quicksand Bold"/>
                          <w:b/>
                          <w:bCs/>
                          <w:color w:val="0D0D0D"/>
                          <w:kern w:val="24"/>
                          <w:sz w:val="25"/>
                          <w:szCs w:val="25"/>
                          <w:lang w:val="en-US"/>
                        </w:rPr>
                      </w:pPr>
                    </w:p>
                  </w:txbxContent>
                </v:textbox>
                <w10:wrap type="tight" anchorx="page"/>
              </v:shape>
            </w:pict>
          </mc:Fallback>
        </mc:AlternateContent>
      </w:r>
      <w:r w:rsidR="0005310A" w:rsidRPr="0005310A">
        <w:rPr>
          <w:rFonts w:ascii="Times New Roman" w:eastAsia="MS Mincho" w:hAnsi="Times New Roman" w:cs="Times New Roman"/>
          <w:kern w:val="0"/>
          <w:sz w:val="24"/>
          <w:szCs w:val="24"/>
          <w14:ligatures w14:val="none"/>
        </w:rPr>
        <w:t> </w:t>
      </w:r>
    </w:p>
    <w:p w14:paraId="2955E503" w14:textId="52FF674C" w:rsidR="006970D4" w:rsidRDefault="006970D4" w:rsidP="001D3AB4">
      <w:pPr>
        <w:spacing w:line="360" w:lineRule="auto"/>
        <w:rPr>
          <w:rFonts w:ascii="Times New Roman" w:eastAsia="MS Mincho" w:hAnsi="Times New Roman" w:cs="Times New Roman"/>
          <w:kern w:val="0"/>
          <w:sz w:val="24"/>
          <w:szCs w:val="24"/>
          <w:lang w:val="en-IN"/>
          <w14:ligatures w14:val="none"/>
        </w:rPr>
      </w:pPr>
    </w:p>
    <w:p w14:paraId="047C0DE1" w14:textId="3A52DAFE" w:rsidR="00072AA9" w:rsidRPr="00072AA9" w:rsidRDefault="00072AA9" w:rsidP="00135A7C">
      <w:pPr>
        <w:spacing w:after="200" w:line="276" w:lineRule="auto"/>
        <w:rPr>
          <w:rFonts w:ascii="Times New Roman" w:eastAsia="MS Mincho" w:hAnsi="Times New Roman" w:cs="Times New Roman"/>
          <w:kern w:val="0"/>
          <w:sz w:val="24"/>
          <w:szCs w:val="24"/>
          <w:lang w:val="en-IN"/>
          <w14:ligatures w14:val="none"/>
        </w:rPr>
      </w:pPr>
    </w:p>
    <w:p w14:paraId="262D2EAB" w14:textId="41687E31" w:rsidR="00072AA9" w:rsidRPr="00072AA9" w:rsidRDefault="00072AA9" w:rsidP="00072AA9">
      <w:pPr>
        <w:rPr>
          <w:rFonts w:ascii="Times New Roman" w:eastAsia="MS Mincho" w:hAnsi="Times New Roman" w:cs="Times New Roman"/>
          <w:kern w:val="0"/>
          <w:sz w:val="24"/>
          <w:szCs w:val="24"/>
          <w:lang w:val="en-IN"/>
          <w14:ligatures w14:val="none"/>
        </w:rPr>
      </w:pPr>
    </w:p>
    <w:p w14:paraId="2E64219D" w14:textId="77777777" w:rsidR="00072AA9" w:rsidRPr="00072AA9" w:rsidRDefault="00072AA9" w:rsidP="00072AA9">
      <w:pPr>
        <w:rPr>
          <w:rFonts w:ascii="Times New Roman" w:eastAsia="MS Mincho" w:hAnsi="Times New Roman" w:cs="Times New Roman"/>
          <w:kern w:val="0"/>
          <w:sz w:val="24"/>
          <w:szCs w:val="24"/>
          <w:lang w:val="en-IN"/>
          <w14:ligatures w14:val="none"/>
        </w:rPr>
      </w:pPr>
    </w:p>
    <w:sectPr w:rsidR="00072AA9" w:rsidRPr="00072AA9" w:rsidSect="007C3455">
      <w:headerReference w:type="default" r:id="rId8"/>
      <w:foot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DD2D4" w14:textId="77777777" w:rsidR="00203710" w:rsidRDefault="00203710" w:rsidP="00C866C5">
      <w:pPr>
        <w:spacing w:after="0" w:line="240" w:lineRule="auto"/>
      </w:pPr>
      <w:r>
        <w:separator/>
      </w:r>
    </w:p>
  </w:endnote>
  <w:endnote w:type="continuationSeparator" w:id="0">
    <w:p w14:paraId="499619D8" w14:textId="77777777" w:rsidR="00203710" w:rsidRDefault="00203710" w:rsidP="00C86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Quicksand 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rPr>
      <w:id w:val="-950405632"/>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45299E98" w14:textId="29ACC276" w:rsidR="00784668" w:rsidRDefault="00784668">
        <w:pPr>
          <w:pStyle w:val="Footer"/>
          <w:rPr>
            <w:rFonts w:asciiTheme="majorHAnsi" w:eastAsiaTheme="majorEastAsia" w:hAnsiTheme="majorHAnsi" w:cstheme="majorBidi"/>
            <w:color w:val="156082"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40EDF653" w14:textId="77777777" w:rsidR="00784668" w:rsidRDefault="00784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BF0F7" w14:textId="77777777" w:rsidR="00203710" w:rsidRDefault="00203710" w:rsidP="00C866C5">
      <w:pPr>
        <w:spacing w:after="0" w:line="240" w:lineRule="auto"/>
      </w:pPr>
      <w:r>
        <w:separator/>
      </w:r>
    </w:p>
  </w:footnote>
  <w:footnote w:type="continuationSeparator" w:id="0">
    <w:p w14:paraId="6C7853DB" w14:textId="77777777" w:rsidR="00203710" w:rsidRDefault="00203710" w:rsidP="00C86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251969"/>
      <w:docPartObj>
        <w:docPartGallery w:val="Page Numbers (Bottom of Page)"/>
      </w:docPartObj>
    </w:sdtPr>
    <w:sdtEndPr>
      <w:rPr>
        <w:noProof/>
      </w:rPr>
    </w:sdtEndPr>
    <w:sdtContent>
      <w:p w14:paraId="45AEA0BF" w14:textId="21331072" w:rsidR="0033036B" w:rsidRDefault="00330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3D682" w14:textId="77777777" w:rsidR="00784668" w:rsidRDefault="007846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2A9"/>
    <w:rsid w:val="0000038D"/>
    <w:rsid w:val="00020217"/>
    <w:rsid w:val="0005310A"/>
    <w:rsid w:val="000612C7"/>
    <w:rsid w:val="00062861"/>
    <w:rsid w:val="00071360"/>
    <w:rsid w:val="00072AA9"/>
    <w:rsid w:val="0007645E"/>
    <w:rsid w:val="00096DF1"/>
    <w:rsid w:val="000A46E1"/>
    <w:rsid w:val="000C1DDF"/>
    <w:rsid w:val="000E3866"/>
    <w:rsid w:val="00101576"/>
    <w:rsid w:val="001109DC"/>
    <w:rsid w:val="001208DE"/>
    <w:rsid w:val="00122292"/>
    <w:rsid w:val="00135A7C"/>
    <w:rsid w:val="001805D7"/>
    <w:rsid w:val="00183F0C"/>
    <w:rsid w:val="00187DE8"/>
    <w:rsid w:val="001A28AB"/>
    <w:rsid w:val="001A6986"/>
    <w:rsid w:val="001B2325"/>
    <w:rsid w:val="001C3053"/>
    <w:rsid w:val="001D3AB4"/>
    <w:rsid w:val="001F35A2"/>
    <w:rsid w:val="001F7A92"/>
    <w:rsid w:val="00203710"/>
    <w:rsid w:val="002046CC"/>
    <w:rsid w:val="00241C8F"/>
    <w:rsid w:val="002463AD"/>
    <w:rsid w:val="00251E75"/>
    <w:rsid w:val="00276AC7"/>
    <w:rsid w:val="002A1DD8"/>
    <w:rsid w:val="002B053A"/>
    <w:rsid w:val="002B1D06"/>
    <w:rsid w:val="002B24B4"/>
    <w:rsid w:val="002D3337"/>
    <w:rsid w:val="002E7BEF"/>
    <w:rsid w:val="002F549F"/>
    <w:rsid w:val="003028EE"/>
    <w:rsid w:val="00304223"/>
    <w:rsid w:val="00322832"/>
    <w:rsid w:val="0033036B"/>
    <w:rsid w:val="00334D15"/>
    <w:rsid w:val="00334D69"/>
    <w:rsid w:val="003365DA"/>
    <w:rsid w:val="00343BAD"/>
    <w:rsid w:val="0034702E"/>
    <w:rsid w:val="00357674"/>
    <w:rsid w:val="00360477"/>
    <w:rsid w:val="003834DC"/>
    <w:rsid w:val="0038425C"/>
    <w:rsid w:val="003B2926"/>
    <w:rsid w:val="003B75D6"/>
    <w:rsid w:val="003D0C48"/>
    <w:rsid w:val="003D12B8"/>
    <w:rsid w:val="003F2060"/>
    <w:rsid w:val="00404247"/>
    <w:rsid w:val="00405C30"/>
    <w:rsid w:val="00434429"/>
    <w:rsid w:val="0043499B"/>
    <w:rsid w:val="004564D1"/>
    <w:rsid w:val="0047324B"/>
    <w:rsid w:val="004B7833"/>
    <w:rsid w:val="004C4D18"/>
    <w:rsid w:val="004C778A"/>
    <w:rsid w:val="004D3043"/>
    <w:rsid w:val="004D6652"/>
    <w:rsid w:val="004E7983"/>
    <w:rsid w:val="00500FA8"/>
    <w:rsid w:val="0050648F"/>
    <w:rsid w:val="00507944"/>
    <w:rsid w:val="00530723"/>
    <w:rsid w:val="00533896"/>
    <w:rsid w:val="00536397"/>
    <w:rsid w:val="00550A91"/>
    <w:rsid w:val="005614EB"/>
    <w:rsid w:val="0058331A"/>
    <w:rsid w:val="005865F9"/>
    <w:rsid w:val="00597B2A"/>
    <w:rsid w:val="005A19B2"/>
    <w:rsid w:val="005F5077"/>
    <w:rsid w:val="005F67CB"/>
    <w:rsid w:val="006025E0"/>
    <w:rsid w:val="00605A29"/>
    <w:rsid w:val="00606F9C"/>
    <w:rsid w:val="00611823"/>
    <w:rsid w:val="00611AE2"/>
    <w:rsid w:val="006362A9"/>
    <w:rsid w:val="00642A96"/>
    <w:rsid w:val="00662BE7"/>
    <w:rsid w:val="00684665"/>
    <w:rsid w:val="006970D4"/>
    <w:rsid w:val="006A1A62"/>
    <w:rsid w:val="006B2AB9"/>
    <w:rsid w:val="006B5C8B"/>
    <w:rsid w:val="006D01FC"/>
    <w:rsid w:val="006D418C"/>
    <w:rsid w:val="006D7235"/>
    <w:rsid w:val="00711F03"/>
    <w:rsid w:val="00716780"/>
    <w:rsid w:val="00725259"/>
    <w:rsid w:val="00731F36"/>
    <w:rsid w:val="00741291"/>
    <w:rsid w:val="00743E00"/>
    <w:rsid w:val="007610D4"/>
    <w:rsid w:val="00777C29"/>
    <w:rsid w:val="00784668"/>
    <w:rsid w:val="00794458"/>
    <w:rsid w:val="007C3455"/>
    <w:rsid w:val="007C3AEA"/>
    <w:rsid w:val="007C7167"/>
    <w:rsid w:val="007C7E8E"/>
    <w:rsid w:val="007D058C"/>
    <w:rsid w:val="007D408A"/>
    <w:rsid w:val="007D62D4"/>
    <w:rsid w:val="007E6942"/>
    <w:rsid w:val="007F1FF9"/>
    <w:rsid w:val="00816387"/>
    <w:rsid w:val="00855F9A"/>
    <w:rsid w:val="0085634F"/>
    <w:rsid w:val="008608C4"/>
    <w:rsid w:val="00861474"/>
    <w:rsid w:val="00864291"/>
    <w:rsid w:val="008656F7"/>
    <w:rsid w:val="00884547"/>
    <w:rsid w:val="00892989"/>
    <w:rsid w:val="008930A1"/>
    <w:rsid w:val="008A4792"/>
    <w:rsid w:val="008D1726"/>
    <w:rsid w:val="00932280"/>
    <w:rsid w:val="009447E9"/>
    <w:rsid w:val="009512C4"/>
    <w:rsid w:val="00954FEF"/>
    <w:rsid w:val="00957AEC"/>
    <w:rsid w:val="00964E30"/>
    <w:rsid w:val="009661EC"/>
    <w:rsid w:val="0096654A"/>
    <w:rsid w:val="00984B58"/>
    <w:rsid w:val="009917D4"/>
    <w:rsid w:val="00993F1E"/>
    <w:rsid w:val="009A18F3"/>
    <w:rsid w:val="009A1F22"/>
    <w:rsid w:val="009A341D"/>
    <w:rsid w:val="009D7F2B"/>
    <w:rsid w:val="009E1FE1"/>
    <w:rsid w:val="009F3AA2"/>
    <w:rsid w:val="009F6A25"/>
    <w:rsid w:val="00A00C2C"/>
    <w:rsid w:val="00A03E71"/>
    <w:rsid w:val="00A30F4D"/>
    <w:rsid w:val="00A32037"/>
    <w:rsid w:val="00A40602"/>
    <w:rsid w:val="00A41ED7"/>
    <w:rsid w:val="00A523EF"/>
    <w:rsid w:val="00A64E7E"/>
    <w:rsid w:val="00A92ABC"/>
    <w:rsid w:val="00AE0762"/>
    <w:rsid w:val="00AE3183"/>
    <w:rsid w:val="00B10D3B"/>
    <w:rsid w:val="00B16FEB"/>
    <w:rsid w:val="00B36A88"/>
    <w:rsid w:val="00B54206"/>
    <w:rsid w:val="00B63E26"/>
    <w:rsid w:val="00B72290"/>
    <w:rsid w:val="00B73D78"/>
    <w:rsid w:val="00B92C1D"/>
    <w:rsid w:val="00BB6641"/>
    <w:rsid w:val="00BD2C2C"/>
    <w:rsid w:val="00BF263F"/>
    <w:rsid w:val="00BF5248"/>
    <w:rsid w:val="00C03230"/>
    <w:rsid w:val="00C21B91"/>
    <w:rsid w:val="00C42167"/>
    <w:rsid w:val="00C76D25"/>
    <w:rsid w:val="00C866C5"/>
    <w:rsid w:val="00C96C10"/>
    <w:rsid w:val="00CA64D7"/>
    <w:rsid w:val="00CB02F3"/>
    <w:rsid w:val="00CB11ED"/>
    <w:rsid w:val="00CC1D4C"/>
    <w:rsid w:val="00D11F33"/>
    <w:rsid w:val="00D233B0"/>
    <w:rsid w:val="00D34B26"/>
    <w:rsid w:val="00D35D94"/>
    <w:rsid w:val="00D41E70"/>
    <w:rsid w:val="00D43454"/>
    <w:rsid w:val="00D45D36"/>
    <w:rsid w:val="00D61942"/>
    <w:rsid w:val="00D62114"/>
    <w:rsid w:val="00D94E46"/>
    <w:rsid w:val="00DA0B47"/>
    <w:rsid w:val="00DC3E94"/>
    <w:rsid w:val="00DD000B"/>
    <w:rsid w:val="00DE0B62"/>
    <w:rsid w:val="00DF0085"/>
    <w:rsid w:val="00DF1418"/>
    <w:rsid w:val="00DF784C"/>
    <w:rsid w:val="00E020EC"/>
    <w:rsid w:val="00E30469"/>
    <w:rsid w:val="00E5020D"/>
    <w:rsid w:val="00E67A9D"/>
    <w:rsid w:val="00E733DB"/>
    <w:rsid w:val="00EB0124"/>
    <w:rsid w:val="00EB7A17"/>
    <w:rsid w:val="00EC6218"/>
    <w:rsid w:val="00ED28C4"/>
    <w:rsid w:val="00EE0A72"/>
    <w:rsid w:val="00F01ADE"/>
    <w:rsid w:val="00F03EEE"/>
    <w:rsid w:val="00F15A1F"/>
    <w:rsid w:val="00F22FB2"/>
    <w:rsid w:val="00F23E21"/>
    <w:rsid w:val="00F345EB"/>
    <w:rsid w:val="00F542D9"/>
    <w:rsid w:val="00F60FBE"/>
    <w:rsid w:val="00F703A4"/>
    <w:rsid w:val="00F759B5"/>
    <w:rsid w:val="00F75B9F"/>
    <w:rsid w:val="00F8756F"/>
    <w:rsid w:val="00FB1CE9"/>
    <w:rsid w:val="00FC141D"/>
    <w:rsid w:val="00FC1BAC"/>
    <w:rsid w:val="00FC6163"/>
    <w:rsid w:val="00FD4238"/>
    <w:rsid w:val="00FD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4838"/>
  <w15:chartTrackingRefBased/>
  <w15:docId w15:val="{823B76A2-8439-45DD-9D33-53F4235F2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2A9"/>
    <w:rPr>
      <w:rFonts w:eastAsiaTheme="majorEastAsia" w:cstheme="majorBidi"/>
      <w:color w:val="272727" w:themeColor="text1" w:themeTint="D8"/>
    </w:rPr>
  </w:style>
  <w:style w:type="paragraph" w:styleId="Title">
    <w:name w:val="Title"/>
    <w:basedOn w:val="Normal"/>
    <w:next w:val="Normal"/>
    <w:link w:val="TitleChar"/>
    <w:uiPriority w:val="10"/>
    <w:qFormat/>
    <w:rsid w:val="00636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2A9"/>
    <w:pPr>
      <w:spacing w:before="160"/>
      <w:jc w:val="center"/>
    </w:pPr>
    <w:rPr>
      <w:i/>
      <w:iCs/>
      <w:color w:val="404040" w:themeColor="text1" w:themeTint="BF"/>
    </w:rPr>
  </w:style>
  <w:style w:type="character" w:customStyle="1" w:styleId="QuoteChar">
    <w:name w:val="Quote Char"/>
    <w:basedOn w:val="DefaultParagraphFont"/>
    <w:link w:val="Quote"/>
    <w:uiPriority w:val="29"/>
    <w:rsid w:val="006362A9"/>
    <w:rPr>
      <w:i/>
      <w:iCs/>
      <w:color w:val="404040" w:themeColor="text1" w:themeTint="BF"/>
    </w:rPr>
  </w:style>
  <w:style w:type="paragraph" w:styleId="ListParagraph">
    <w:name w:val="List Paragraph"/>
    <w:basedOn w:val="Normal"/>
    <w:uiPriority w:val="34"/>
    <w:qFormat/>
    <w:rsid w:val="006362A9"/>
    <w:pPr>
      <w:ind w:left="720"/>
      <w:contextualSpacing/>
    </w:pPr>
  </w:style>
  <w:style w:type="character" w:styleId="IntenseEmphasis">
    <w:name w:val="Intense Emphasis"/>
    <w:basedOn w:val="DefaultParagraphFont"/>
    <w:uiPriority w:val="21"/>
    <w:qFormat/>
    <w:rsid w:val="006362A9"/>
    <w:rPr>
      <w:i/>
      <w:iCs/>
      <w:color w:val="0F4761" w:themeColor="accent1" w:themeShade="BF"/>
    </w:rPr>
  </w:style>
  <w:style w:type="paragraph" w:styleId="IntenseQuote">
    <w:name w:val="Intense Quote"/>
    <w:basedOn w:val="Normal"/>
    <w:next w:val="Normal"/>
    <w:link w:val="IntenseQuoteChar"/>
    <w:uiPriority w:val="30"/>
    <w:qFormat/>
    <w:rsid w:val="00636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2A9"/>
    <w:rPr>
      <w:i/>
      <w:iCs/>
      <w:color w:val="0F4761" w:themeColor="accent1" w:themeShade="BF"/>
    </w:rPr>
  </w:style>
  <w:style w:type="character" w:styleId="IntenseReference">
    <w:name w:val="Intense Reference"/>
    <w:basedOn w:val="DefaultParagraphFont"/>
    <w:uiPriority w:val="32"/>
    <w:qFormat/>
    <w:rsid w:val="006362A9"/>
    <w:rPr>
      <w:b/>
      <w:bCs/>
      <w:smallCaps/>
      <w:color w:val="0F4761" w:themeColor="accent1" w:themeShade="BF"/>
      <w:spacing w:val="5"/>
    </w:rPr>
  </w:style>
  <w:style w:type="paragraph" w:styleId="Header">
    <w:name w:val="header"/>
    <w:basedOn w:val="Normal"/>
    <w:link w:val="HeaderChar"/>
    <w:uiPriority w:val="99"/>
    <w:unhideWhenUsed/>
    <w:rsid w:val="00C86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C5"/>
  </w:style>
  <w:style w:type="paragraph" w:styleId="Footer">
    <w:name w:val="footer"/>
    <w:basedOn w:val="Normal"/>
    <w:link w:val="FooterChar"/>
    <w:uiPriority w:val="99"/>
    <w:unhideWhenUsed/>
    <w:rsid w:val="00C86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C5"/>
  </w:style>
  <w:style w:type="paragraph" w:styleId="NormalWeb">
    <w:name w:val="Normal (Web)"/>
    <w:basedOn w:val="Normal"/>
    <w:uiPriority w:val="99"/>
    <w:semiHidden/>
    <w:unhideWhenUsed/>
    <w:rsid w:val="009322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5</Pages>
  <Words>826</Words>
  <Characters>4824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Kashan</dc:creator>
  <cp:keywords/>
  <dc:description/>
  <cp:lastModifiedBy>Shamaila Kashan</cp:lastModifiedBy>
  <cp:revision>55</cp:revision>
  <dcterms:created xsi:type="dcterms:W3CDTF">2026-02-21T22:24:00Z</dcterms:created>
  <dcterms:modified xsi:type="dcterms:W3CDTF">2026-02-24T00:03:00Z</dcterms:modified>
</cp:coreProperties>
</file>