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67245" w:rsidRDefault="00BD0446">
      <w:pPr>
        <w:rPr>
          <w:rFonts w:ascii="Cambria" w:eastAsia="Cambria" w:hAnsi="Cambria" w:cs="Cambria"/>
          <w:color w:val="1F3864"/>
          <w:sz w:val="32"/>
          <w:szCs w:val="32"/>
        </w:rPr>
      </w:pPr>
      <w:r>
        <w:rPr>
          <w:rFonts w:ascii="Cambria" w:eastAsia="Cambria" w:hAnsi="Cambria" w:cs="Cambria"/>
          <w:color w:val="1F3864"/>
          <w:sz w:val="32"/>
          <w:szCs w:val="32"/>
        </w:rPr>
        <w:t>RESEARCH TOPIC: DIGITAL MENTAL HEALTH INTERVENTIONS FOR ANXIETY AMONG ADULTS IN THE UK: A SCOPING REVIEW PROPOSAL</w:t>
      </w:r>
    </w:p>
    <w:p w14:paraId="00000002" w14:textId="77777777" w:rsidR="00E67245" w:rsidRDefault="00E67245">
      <w:pPr>
        <w:rPr>
          <w:rFonts w:ascii="Cambria" w:eastAsia="Cambria" w:hAnsi="Cambria" w:cs="Cambria"/>
          <w:color w:val="1F3864"/>
          <w:sz w:val="32"/>
          <w:szCs w:val="32"/>
        </w:rPr>
      </w:pPr>
    </w:p>
    <w:p w14:paraId="00000003" w14:textId="1E01F6E8" w:rsidR="00E67245" w:rsidRDefault="00163945">
      <w:pPr>
        <w:rPr>
          <w:rFonts w:ascii="Cambria" w:eastAsia="Cambria" w:hAnsi="Cambria" w:cs="Cambria"/>
          <w:color w:val="1F3864"/>
          <w:sz w:val="32"/>
          <w:szCs w:val="32"/>
        </w:rPr>
      </w:pPr>
      <w:r>
        <w:rPr>
          <w:rFonts w:ascii="Cambria" w:eastAsia="Cambria" w:hAnsi="Cambria" w:cs="Cambria"/>
          <w:color w:val="1F3864"/>
          <w:sz w:val="32"/>
          <w:szCs w:val="32"/>
        </w:rPr>
        <w:t xml:space="preserve">Module Code: </w:t>
      </w:r>
      <w:r w:rsidR="000A267B">
        <w:rPr>
          <w:rFonts w:ascii="Cambria" w:eastAsia="Cambria" w:hAnsi="Cambria" w:cs="Cambria"/>
          <w:color w:val="1F3864"/>
          <w:sz w:val="32"/>
          <w:szCs w:val="32"/>
        </w:rPr>
        <w:t>BMHP5019</w:t>
      </w:r>
    </w:p>
    <w:p w14:paraId="00000004" w14:textId="6001F007" w:rsidR="00E67245" w:rsidRDefault="000A267B">
      <w:pPr>
        <w:rPr>
          <w:rFonts w:ascii="Cambria" w:eastAsia="Cambria" w:hAnsi="Cambria" w:cs="Cambria"/>
          <w:color w:val="1F3864"/>
          <w:sz w:val="32"/>
          <w:szCs w:val="32"/>
        </w:rPr>
      </w:pPr>
      <w:r>
        <w:rPr>
          <w:rFonts w:ascii="Cambria" w:eastAsia="Cambria" w:hAnsi="Cambria" w:cs="Cambria"/>
          <w:color w:val="1F3864"/>
          <w:sz w:val="32"/>
          <w:szCs w:val="32"/>
        </w:rPr>
        <w:t>Assignment Title: Component</w:t>
      </w:r>
      <w:r w:rsidR="00B105D2">
        <w:rPr>
          <w:rFonts w:ascii="Cambria" w:eastAsia="Cambria" w:hAnsi="Cambria" w:cs="Cambria"/>
          <w:color w:val="1F3864"/>
          <w:sz w:val="32"/>
          <w:szCs w:val="32"/>
        </w:rPr>
        <w:t xml:space="preserve"> 1 (</w:t>
      </w:r>
      <w:r>
        <w:rPr>
          <w:rFonts w:ascii="Cambria" w:eastAsia="Cambria" w:hAnsi="Cambria" w:cs="Cambria"/>
          <w:color w:val="1F3864"/>
          <w:sz w:val="32"/>
          <w:szCs w:val="32"/>
        </w:rPr>
        <w:t>Research Proposal</w:t>
      </w:r>
      <w:r w:rsidR="00B105D2">
        <w:rPr>
          <w:rFonts w:ascii="Cambria" w:eastAsia="Cambria" w:hAnsi="Cambria" w:cs="Cambria"/>
          <w:color w:val="1F3864"/>
          <w:sz w:val="32"/>
          <w:szCs w:val="32"/>
        </w:rPr>
        <w:t>)</w:t>
      </w:r>
    </w:p>
    <w:p w14:paraId="00000005" w14:textId="39931B39" w:rsidR="00E67245" w:rsidRDefault="000A267B">
      <w:pPr>
        <w:rPr>
          <w:rFonts w:ascii="Cambria" w:eastAsia="Cambria" w:hAnsi="Cambria" w:cs="Cambria"/>
          <w:color w:val="1F3864"/>
          <w:sz w:val="32"/>
          <w:szCs w:val="32"/>
        </w:rPr>
      </w:pPr>
      <w:r>
        <w:rPr>
          <w:rFonts w:ascii="Cambria" w:eastAsia="Cambria" w:hAnsi="Cambria" w:cs="Cambria"/>
          <w:color w:val="1F3864"/>
          <w:sz w:val="32"/>
          <w:szCs w:val="32"/>
        </w:rPr>
        <w:t>Lecturer: Philip Jones</w:t>
      </w:r>
    </w:p>
    <w:p w14:paraId="00000006" w14:textId="537169A9" w:rsidR="00E67245" w:rsidRDefault="000A267B">
      <w:pPr>
        <w:rPr>
          <w:rFonts w:ascii="Cambria" w:eastAsia="Cambria" w:hAnsi="Cambria" w:cs="Cambria"/>
          <w:color w:val="1F3864"/>
          <w:sz w:val="32"/>
          <w:szCs w:val="32"/>
        </w:rPr>
      </w:pPr>
      <w:r>
        <w:rPr>
          <w:rFonts w:ascii="Cambria" w:eastAsia="Cambria" w:hAnsi="Cambria" w:cs="Cambria"/>
          <w:color w:val="1F3864"/>
          <w:sz w:val="32"/>
          <w:szCs w:val="32"/>
        </w:rPr>
        <w:t>Student Name: Pegah Erfani</w:t>
      </w:r>
    </w:p>
    <w:p w14:paraId="00000007" w14:textId="773CBD0A" w:rsidR="00E67245" w:rsidRDefault="000A267B">
      <w:pPr>
        <w:rPr>
          <w:rFonts w:ascii="Cambria" w:eastAsia="Cambria" w:hAnsi="Cambria" w:cs="Cambria"/>
          <w:color w:val="1F3864"/>
          <w:sz w:val="32"/>
          <w:szCs w:val="32"/>
        </w:rPr>
      </w:pPr>
      <w:r>
        <w:rPr>
          <w:rFonts w:ascii="Cambria" w:eastAsia="Cambria" w:hAnsi="Cambria" w:cs="Cambria"/>
          <w:color w:val="1F3864"/>
          <w:sz w:val="32"/>
          <w:szCs w:val="32"/>
        </w:rPr>
        <w:t>Student Number: 2426967</w:t>
      </w:r>
    </w:p>
    <w:p w14:paraId="00000008" w14:textId="77777777" w:rsidR="00E67245" w:rsidRDefault="00E67245">
      <w:pPr>
        <w:rPr>
          <w:rFonts w:ascii="Cambria" w:eastAsia="Cambria" w:hAnsi="Cambria" w:cs="Cambria"/>
          <w:color w:val="1F3864"/>
          <w:sz w:val="32"/>
          <w:szCs w:val="32"/>
        </w:rPr>
      </w:pPr>
    </w:p>
    <w:p w14:paraId="00000009" w14:textId="77777777" w:rsidR="00E67245" w:rsidRDefault="00E67245">
      <w:pPr>
        <w:rPr>
          <w:rFonts w:ascii="Cambria" w:eastAsia="Cambria" w:hAnsi="Cambria" w:cs="Cambria"/>
          <w:color w:val="1F3864"/>
          <w:sz w:val="32"/>
          <w:szCs w:val="32"/>
        </w:rPr>
      </w:pPr>
    </w:p>
    <w:p w14:paraId="0000000A" w14:textId="77777777" w:rsidR="00E67245" w:rsidRDefault="00E67245">
      <w:pPr>
        <w:rPr>
          <w:rFonts w:ascii="Cambria" w:eastAsia="Cambria" w:hAnsi="Cambria" w:cs="Cambria"/>
          <w:color w:val="1F3864"/>
          <w:sz w:val="32"/>
          <w:szCs w:val="32"/>
        </w:rPr>
      </w:pPr>
    </w:p>
    <w:p w14:paraId="0000000B" w14:textId="77777777" w:rsidR="00E67245" w:rsidRDefault="00E67245">
      <w:pPr>
        <w:rPr>
          <w:rFonts w:ascii="Cambria" w:eastAsia="Cambria" w:hAnsi="Cambria" w:cs="Cambria"/>
          <w:color w:val="1F3864"/>
          <w:sz w:val="32"/>
          <w:szCs w:val="32"/>
        </w:rPr>
      </w:pPr>
    </w:p>
    <w:p w14:paraId="0000000C" w14:textId="77777777" w:rsidR="00E67245" w:rsidRDefault="00E67245">
      <w:pPr>
        <w:rPr>
          <w:rFonts w:ascii="Cambria" w:eastAsia="Cambria" w:hAnsi="Cambria" w:cs="Cambria"/>
          <w:color w:val="1F3864"/>
          <w:sz w:val="32"/>
          <w:szCs w:val="32"/>
        </w:rPr>
      </w:pPr>
    </w:p>
    <w:p w14:paraId="0000000D" w14:textId="77777777" w:rsidR="00E67245" w:rsidRDefault="00E67245">
      <w:pPr>
        <w:rPr>
          <w:rFonts w:ascii="Cambria" w:eastAsia="Cambria" w:hAnsi="Cambria" w:cs="Cambria"/>
          <w:color w:val="1F3864"/>
          <w:sz w:val="32"/>
          <w:szCs w:val="32"/>
        </w:rPr>
      </w:pPr>
    </w:p>
    <w:p w14:paraId="0000000E" w14:textId="77777777" w:rsidR="00E67245" w:rsidRDefault="00E67245">
      <w:pPr>
        <w:rPr>
          <w:rFonts w:ascii="Cambria" w:eastAsia="Cambria" w:hAnsi="Cambria" w:cs="Cambria"/>
          <w:color w:val="1F3864"/>
          <w:sz w:val="32"/>
          <w:szCs w:val="32"/>
        </w:rPr>
      </w:pPr>
    </w:p>
    <w:p w14:paraId="0000000F" w14:textId="77777777" w:rsidR="00E67245" w:rsidRDefault="00E67245">
      <w:pPr>
        <w:rPr>
          <w:rFonts w:ascii="Cambria" w:eastAsia="Cambria" w:hAnsi="Cambria" w:cs="Cambria"/>
          <w:color w:val="1F3864"/>
          <w:sz w:val="32"/>
          <w:szCs w:val="32"/>
        </w:rPr>
      </w:pPr>
    </w:p>
    <w:p w14:paraId="00000010" w14:textId="77777777" w:rsidR="00E67245" w:rsidRDefault="00E67245">
      <w:pPr>
        <w:rPr>
          <w:rFonts w:ascii="Cambria" w:eastAsia="Cambria" w:hAnsi="Cambria" w:cs="Cambria"/>
          <w:color w:val="1F3864"/>
          <w:sz w:val="32"/>
          <w:szCs w:val="32"/>
        </w:rPr>
      </w:pPr>
    </w:p>
    <w:p w14:paraId="00000011" w14:textId="77777777" w:rsidR="00E67245" w:rsidRDefault="00E67245">
      <w:pPr>
        <w:rPr>
          <w:rFonts w:ascii="Cambria" w:eastAsia="Cambria" w:hAnsi="Cambria" w:cs="Cambria"/>
          <w:color w:val="1F3864"/>
          <w:sz w:val="32"/>
          <w:szCs w:val="32"/>
        </w:rPr>
      </w:pPr>
    </w:p>
    <w:p w14:paraId="00000012" w14:textId="77777777" w:rsidR="00E67245" w:rsidRDefault="00E67245">
      <w:pPr>
        <w:rPr>
          <w:rFonts w:ascii="Cambria" w:eastAsia="Cambria" w:hAnsi="Cambria" w:cs="Cambria"/>
          <w:color w:val="1F3864"/>
          <w:sz w:val="32"/>
          <w:szCs w:val="32"/>
        </w:rPr>
      </w:pPr>
    </w:p>
    <w:p w14:paraId="00000013" w14:textId="77777777" w:rsidR="00E67245" w:rsidRDefault="00BD0446">
      <w:pPr>
        <w:numPr>
          <w:ilvl w:val="0"/>
          <w:numId w:val="2"/>
        </w:numPr>
        <w:pBdr>
          <w:top w:val="nil"/>
          <w:left w:val="nil"/>
          <w:bottom w:val="nil"/>
          <w:right w:val="nil"/>
          <w:between w:val="nil"/>
        </w:pBdr>
        <w:rPr>
          <w:b/>
          <w:bCs/>
          <w:color w:val="1F3864"/>
          <w:sz w:val="28"/>
          <w:szCs w:val="28"/>
        </w:rPr>
      </w:pPr>
      <w:r>
        <w:rPr>
          <w:b/>
          <w:bCs/>
          <w:color w:val="1F3864"/>
          <w:sz w:val="28"/>
          <w:szCs w:val="28"/>
        </w:rPr>
        <w:lastRenderedPageBreak/>
        <w:t>Introduction and Rationale:</w:t>
      </w:r>
    </w:p>
    <w:p w14:paraId="00000014" w14:textId="77777777" w:rsidR="00E67245" w:rsidRDefault="00BD0446">
      <w:r>
        <w:t>Anxiety disorders can negatively affect daily functioning and wellbeing of individuals, underlining the importance of accessible psychological services. Internet-delivered CBT and mobile applications are some examples of innovative mental health treatments which can be an alternative or complement approaches to conventional treatment. Current evidence indicates that digital interventions can help reduce anxiety symptoms, but there is some variability across studies and interventions (Saramago et al., 2021). Moreover, NICE (2023) acknowledges that these digitally enabled therapies are relevant to the UK healthcare practice and has evaluated these interventions for anxiety disorders among adults. Hence, the issues related to accessibility, engagement, and implementation of digital interventions require further examination.</w:t>
      </w:r>
    </w:p>
    <w:p w14:paraId="00000015" w14:textId="77777777" w:rsidR="00E67245" w:rsidRDefault="00BD0446">
      <w:pPr>
        <w:numPr>
          <w:ilvl w:val="0"/>
          <w:numId w:val="2"/>
        </w:numPr>
        <w:pBdr>
          <w:top w:val="nil"/>
          <w:left w:val="nil"/>
          <w:bottom w:val="nil"/>
          <w:right w:val="nil"/>
          <w:between w:val="nil"/>
        </w:pBdr>
        <w:rPr>
          <w:b/>
          <w:bCs/>
          <w:color w:val="1F3864"/>
          <w:sz w:val="28"/>
          <w:szCs w:val="28"/>
        </w:rPr>
      </w:pPr>
      <w:r>
        <w:rPr>
          <w:b/>
          <w:bCs/>
          <w:color w:val="1F3864"/>
          <w:sz w:val="28"/>
          <w:szCs w:val="28"/>
        </w:rPr>
        <w:t>Aim and Objectives:</w:t>
      </w:r>
    </w:p>
    <w:p w14:paraId="00000016" w14:textId="77777777" w:rsidR="00E67245" w:rsidRDefault="00BD0446">
      <w:r>
        <w:rPr>
          <w:b/>
          <w:bCs/>
        </w:rPr>
        <w:t>Aim:</w:t>
      </w:r>
      <w:r>
        <w:t xml:space="preserve"> To map existing evidence on the benefits, accessibility and challenges of digital mental health interventions for managing anxiety among adults in the UK.</w:t>
      </w:r>
    </w:p>
    <w:p w14:paraId="00000017" w14:textId="77777777" w:rsidR="00E67245" w:rsidRDefault="00BD0446">
      <w:pPr>
        <w:rPr>
          <w:b/>
          <w:bCs/>
        </w:rPr>
      </w:pPr>
      <w:r>
        <w:rPr>
          <w:b/>
          <w:bCs/>
        </w:rPr>
        <w:t>Objectives:</w:t>
      </w:r>
    </w:p>
    <w:p w14:paraId="00000018" w14:textId="77777777" w:rsidR="00E67245" w:rsidRDefault="00BD0446">
      <w:pPr>
        <w:numPr>
          <w:ilvl w:val="0"/>
          <w:numId w:val="1"/>
        </w:numPr>
        <w:pBdr>
          <w:top w:val="nil"/>
          <w:left w:val="nil"/>
          <w:bottom w:val="nil"/>
          <w:right w:val="nil"/>
          <w:between w:val="nil"/>
        </w:pBdr>
        <w:spacing w:after="0"/>
        <w:rPr>
          <w:color w:val="000000"/>
        </w:rPr>
      </w:pPr>
      <w:r>
        <w:rPr>
          <w:color w:val="000000"/>
        </w:rPr>
        <w:t>To determine the type of digital interventions investigated for anxiety management among adults.</w:t>
      </w:r>
    </w:p>
    <w:p w14:paraId="00000019" w14:textId="77777777" w:rsidR="00E67245" w:rsidRDefault="00BD0446">
      <w:pPr>
        <w:numPr>
          <w:ilvl w:val="0"/>
          <w:numId w:val="1"/>
        </w:numPr>
        <w:pBdr>
          <w:top w:val="nil"/>
          <w:left w:val="nil"/>
          <w:bottom w:val="nil"/>
          <w:right w:val="nil"/>
          <w:between w:val="nil"/>
        </w:pBdr>
        <w:spacing w:after="0"/>
        <w:rPr>
          <w:color w:val="000000"/>
        </w:rPr>
      </w:pPr>
      <w:r>
        <w:rPr>
          <w:color w:val="000000"/>
        </w:rPr>
        <w:t>To explore reported benefits, accessibility barriers and challenges affecting user engagement.</w:t>
      </w:r>
    </w:p>
    <w:p w14:paraId="0000001A" w14:textId="77777777" w:rsidR="00E67245" w:rsidRDefault="00BD0446">
      <w:pPr>
        <w:numPr>
          <w:ilvl w:val="0"/>
          <w:numId w:val="1"/>
        </w:numPr>
        <w:pBdr>
          <w:top w:val="nil"/>
          <w:left w:val="nil"/>
          <w:bottom w:val="nil"/>
          <w:right w:val="nil"/>
          <w:between w:val="nil"/>
        </w:pBdr>
        <w:rPr>
          <w:color w:val="000000"/>
        </w:rPr>
      </w:pPr>
      <w:r>
        <w:rPr>
          <w:color w:val="000000"/>
        </w:rPr>
        <w:t>To identify evidence gaps and consider implications for UK health and social care practice and future research.</w:t>
      </w:r>
    </w:p>
    <w:p w14:paraId="0000001B" w14:textId="77777777" w:rsidR="00E67245" w:rsidRDefault="00BD0446">
      <w:r>
        <w:rPr>
          <w:b/>
          <w:bCs/>
        </w:rPr>
        <w:t>Research question:</w:t>
      </w:r>
      <w:r>
        <w:t xml:space="preserve"> </w:t>
      </w:r>
    </w:p>
    <w:p w14:paraId="0000001C" w14:textId="77777777" w:rsidR="00E67245" w:rsidRDefault="00BD0446">
      <w:pPr>
        <w:rPr>
          <w:i/>
          <w:iCs/>
        </w:rPr>
      </w:pPr>
      <w:r>
        <w:rPr>
          <w:i/>
          <w:iCs/>
        </w:rPr>
        <w:t>What do current studies reveal about the advantages, availability, and difficulties of digital mental health interventions for adults with anxiety in the United Kingdom?</w:t>
      </w:r>
    </w:p>
    <w:p w14:paraId="0000001D" w14:textId="77777777" w:rsidR="00E67245" w:rsidRDefault="00BD0446">
      <w:pPr>
        <w:numPr>
          <w:ilvl w:val="0"/>
          <w:numId w:val="2"/>
        </w:numPr>
        <w:pBdr>
          <w:top w:val="nil"/>
          <w:left w:val="nil"/>
          <w:bottom w:val="nil"/>
          <w:right w:val="nil"/>
          <w:between w:val="nil"/>
        </w:pBdr>
        <w:rPr>
          <w:b/>
          <w:bCs/>
          <w:color w:val="1F3864"/>
          <w:sz w:val="28"/>
          <w:szCs w:val="28"/>
        </w:rPr>
      </w:pPr>
      <w:r>
        <w:rPr>
          <w:b/>
          <w:bCs/>
          <w:color w:val="1F3864"/>
          <w:sz w:val="28"/>
          <w:szCs w:val="28"/>
        </w:rPr>
        <w:t>Methods</w:t>
      </w:r>
    </w:p>
    <w:p w14:paraId="0000001E" w14:textId="77777777" w:rsidR="00E67245" w:rsidRDefault="00BD0446">
      <w:r>
        <w:t xml:space="preserve">This scoping review will adhere to the five-stage methodology described by Arksey and O’Malley (2005), with methodological guidance provided by Levac, Colquhoun and O’Brien (2010) and Munn et al. (2018). The use of Boolean logic will be involved in searching the database (PubMed, CINAHL, PsycINFO and UWTSD Library) using </w:t>
      </w:r>
      <w:proofErr w:type="gramStart"/>
      <w:r>
        <w:t>the keywords</w:t>
      </w:r>
      <w:proofErr w:type="gramEnd"/>
      <w:r>
        <w:t xml:space="preserve"> such as 'digital mental health', 'anxiety', 'adults' and 'internet-based CBT'. This review will consider </w:t>
      </w:r>
      <w:r>
        <w:lastRenderedPageBreak/>
        <w:t xml:space="preserve">peer-reviewed English-language studies conducted between 2016 and 2026 regarding adult anxiety interventions relevant to UK practice. Studies focusing exclusively on children or other conditions will be excluded. The titles and abstracts will be pre-screened for the further analysis of the full texts. The authors, the year of publication, the study design, the intervention and the results will be extracted and summarized in a table while the data will be thematically </w:t>
      </w:r>
      <w:proofErr w:type="spellStart"/>
      <w:r>
        <w:t>analysed</w:t>
      </w:r>
      <w:proofErr w:type="spellEnd"/>
      <w:r>
        <w:t xml:space="preserve"> for patterns and gaps.</w:t>
      </w:r>
    </w:p>
    <w:p w14:paraId="0000001F" w14:textId="77777777" w:rsidR="00E67245" w:rsidRDefault="00BD0446">
      <w:pPr>
        <w:numPr>
          <w:ilvl w:val="0"/>
          <w:numId w:val="2"/>
        </w:numPr>
        <w:pBdr>
          <w:top w:val="nil"/>
          <w:left w:val="nil"/>
          <w:bottom w:val="nil"/>
          <w:right w:val="nil"/>
          <w:between w:val="nil"/>
        </w:pBdr>
        <w:rPr>
          <w:b/>
          <w:bCs/>
          <w:color w:val="1F3864"/>
          <w:sz w:val="28"/>
          <w:szCs w:val="28"/>
        </w:rPr>
      </w:pPr>
      <w:r>
        <w:rPr>
          <w:b/>
          <w:bCs/>
          <w:color w:val="1F3864"/>
          <w:sz w:val="28"/>
          <w:szCs w:val="28"/>
        </w:rPr>
        <w:t>Ethical Considerations</w:t>
      </w:r>
    </w:p>
    <w:p w14:paraId="00000020" w14:textId="77777777" w:rsidR="00E67245" w:rsidRDefault="00BD0446">
      <w:r>
        <w:t xml:space="preserve">This review will rely solely on published </w:t>
      </w:r>
      <w:proofErr w:type="gramStart"/>
      <w:r>
        <w:t>literature</w:t>
      </w:r>
      <w:proofErr w:type="gramEnd"/>
      <w:r>
        <w:t xml:space="preserve"> and no participants recruitment or personal information will be collected. Ethical conduct of this work will include accurate representation of findings, Harvard referencing, </w:t>
      </w:r>
      <w:proofErr w:type="gramStart"/>
      <w:r>
        <w:t>avoiding of</w:t>
      </w:r>
      <w:proofErr w:type="gramEnd"/>
      <w:r>
        <w:t xml:space="preserve"> plagiarism and reporting of the review process and limitations.</w:t>
      </w:r>
    </w:p>
    <w:p w14:paraId="00000021" w14:textId="77777777" w:rsidR="00E67245" w:rsidRDefault="00E67245"/>
    <w:p w14:paraId="00000022" w14:textId="77777777" w:rsidR="00E67245" w:rsidRDefault="00E67245"/>
    <w:p w14:paraId="00000023" w14:textId="77777777" w:rsidR="00E67245" w:rsidRDefault="00E67245"/>
    <w:p w14:paraId="00000024" w14:textId="77777777" w:rsidR="00E67245" w:rsidRDefault="00E67245"/>
    <w:p w14:paraId="00000025" w14:textId="77777777" w:rsidR="00E67245" w:rsidRDefault="00E67245"/>
    <w:p w14:paraId="00000026" w14:textId="77777777" w:rsidR="00E67245" w:rsidRDefault="00E67245"/>
    <w:p w14:paraId="00000027" w14:textId="77777777" w:rsidR="00E67245" w:rsidRDefault="00E67245"/>
    <w:p w14:paraId="00000028" w14:textId="77777777" w:rsidR="00E67245" w:rsidRDefault="00E67245"/>
    <w:p w14:paraId="00000029" w14:textId="77777777" w:rsidR="00E67245" w:rsidRDefault="00E67245"/>
    <w:p w14:paraId="0000002A" w14:textId="77777777" w:rsidR="00E67245" w:rsidRDefault="00E67245"/>
    <w:p w14:paraId="0000002B" w14:textId="77777777" w:rsidR="00E67245" w:rsidRDefault="00E67245"/>
    <w:p w14:paraId="0000002C" w14:textId="77777777" w:rsidR="00E67245" w:rsidRDefault="00E67245"/>
    <w:p w14:paraId="0000002D" w14:textId="77777777" w:rsidR="00E67245" w:rsidRDefault="00E67245"/>
    <w:p w14:paraId="0000002E" w14:textId="77777777" w:rsidR="00E67245" w:rsidRDefault="00E67245"/>
    <w:p w14:paraId="0000002F" w14:textId="77777777" w:rsidR="00E67245" w:rsidRDefault="00E67245"/>
    <w:p w14:paraId="00000030" w14:textId="77777777" w:rsidR="00E67245" w:rsidRDefault="00BD0446">
      <w:pPr>
        <w:rPr>
          <w:b/>
          <w:bCs/>
          <w:sz w:val="28"/>
          <w:szCs w:val="28"/>
        </w:rPr>
      </w:pPr>
      <w:r>
        <w:rPr>
          <w:b/>
          <w:bCs/>
          <w:color w:val="1F3864"/>
          <w:sz w:val="28"/>
          <w:szCs w:val="28"/>
        </w:rPr>
        <w:lastRenderedPageBreak/>
        <w:t>References</w:t>
      </w:r>
    </w:p>
    <w:p w14:paraId="00000031" w14:textId="77777777" w:rsidR="00E67245" w:rsidRDefault="00BD0446">
      <w:r>
        <w:t xml:space="preserve">Arksey, H. and O’Malley, L. (2005). Scoping studies: Towards a methodological framework. </w:t>
      </w:r>
      <w:r>
        <w:rPr>
          <w:i/>
          <w:iCs/>
        </w:rPr>
        <w:t>International Journal of Social Research Methodology</w:t>
      </w:r>
      <w:r>
        <w:t xml:space="preserve">, [online] 8(1), pp.19–32. </w:t>
      </w:r>
      <w:proofErr w:type="spellStart"/>
      <w:proofErr w:type="gramStart"/>
      <w:r>
        <w:t>doi:https</w:t>
      </w:r>
      <w:proofErr w:type="spellEnd"/>
      <w:r>
        <w:t>://doi.org/10.1080/1364557032000119616</w:t>
      </w:r>
      <w:proofErr w:type="gramEnd"/>
      <w:r>
        <w:t>.</w:t>
      </w:r>
    </w:p>
    <w:p w14:paraId="00000032" w14:textId="77777777" w:rsidR="00E67245" w:rsidRDefault="00BD0446">
      <w:r>
        <w:t xml:space="preserve">Levac, D., Colquhoun, H. and O’Brien, K.K. (2010). Scoping studies: Advancing the methodology. </w:t>
      </w:r>
      <w:r>
        <w:rPr>
          <w:i/>
          <w:iCs/>
        </w:rPr>
        <w:t>Implementation Science</w:t>
      </w:r>
      <w:r>
        <w:t>, [online] 5(1), pp.1–9. doi:10.1186/1748-5908-5-69.</w:t>
      </w:r>
    </w:p>
    <w:p w14:paraId="00000033" w14:textId="77777777" w:rsidR="00E67245" w:rsidRDefault="00BD0446">
      <w:r>
        <w:t xml:space="preserve">Munn, Z., Peters, M., Stern, C., Tufanaru, C., McArthur, A. and </w:t>
      </w:r>
      <w:proofErr w:type="spellStart"/>
      <w:r>
        <w:t>Aromataris</w:t>
      </w:r>
      <w:proofErr w:type="spellEnd"/>
      <w:r>
        <w:t xml:space="preserve">, E. (2018). Systematic review or scoping review? Guidance for authors when choosing between a systematic or scoping review approach. </w:t>
      </w:r>
      <w:r>
        <w:rPr>
          <w:i/>
          <w:iCs/>
        </w:rPr>
        <w:t>BMC Medical Research Methodology</w:t>
      </w:r>
      <w:r>
        <w:t>, 18(1), pp.1–7. doi:10.1186/s12874-018-0611-x.</w:t>
      </w:r>
    </w:p>
    <w:p w14:paraId="00000034" w14:textId="77777777" w:rsidR="00E67245" w:rsidRDefault="00BD0446">
      <w:r>
        <w:t xml:space="preserve">NICE (2023). </w:t>
      </w:r>
      <w:r>
        <w:rPr>
          <w:i/>
          <w:iCs/>
        </w:rPr>
        <w:t>Overview | digitally enabled therapies for adults with anxiety disorders: Early value assessment | guidance | NICE</w:t>
      </w:r>
      <w:r>
        <w:t>. [online] Nice.org.uk. Available at: https://www.nice.org.uk/guidance/htg676 [Accessed 11 Oct. 2026].</w:t>
      </w:r>
    </w:p>
    <w:p w14:paraId="00000035" w14:textId="77777777" w:rsidR="00E67245" w:rsidRDefault="00BD0446">
      <w:r>
        <w:t xml:space="preserve">Saramago, P., Gega, L., Marshall, D., Nikolaidis, G.F., Jankovic, D., Melton, H., Dawson, S., Churchill, R. and </w:t>
      </w:r>
      <w:proofErr w:type="spellStart"/>
      <w:r>
        <w:t>Bojke</w:t>
      </w:r>
      <w:proofErr w:type="spellEnd"/>
      <w:r>
        <w:t xml:space="preserve">, L. (2021). Digital interventions for generalized anxiety disorder (GAD): Systematic review and network meta-analysis. </w:t>
      </w:r>
      <w:r>
        <w:rPr>
          <w:i/>
          <w:iCs/>
        </w:rPr>
        <w:t>Frontiers in Psychiatry</w:t>
      </w:r>
      <w:r>
        <w:t>, 12. doi:10.3389/fpsyt.2021.726222.</w:t>
      </w:r>
    </w:p>
    <w:p w14:paraId="00000036" w14:textId="77777777" w:rsidR="00E67245" w:rsidRDefault="00E67245"/>
    <w:sectPr w:rsidR="00E67245">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30C53" w14:textId="77777777" w:rsidR="00D07E6E" w:rsidRDefault="00D07E6E">
      <w:pPr>
        <w:spacing w:after="0" w:line="240" w:lineRule="auto"/>
      </w:pPr>
      <w:r>
        <w:separator/>
      </w:r>
    </w:p>
  </w:endnote>
  <w:endnote w:type="continuationSeparator" w:id="0">
    <w:p w14:paraId="6476E16E" w14:textId="77777777" w:rsidR="00D07E6E" w:rsidRDefault="00D07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EE4FA62B-F3CA-4AEA-836F-492D778B70AC}"/>
    <w:embedBold r:id="rId2" w:fontKey="{58BC840B-36D9-4ED3-87AB-53508BCC1D33}"/>
  </w:font>
  <w:font w:name="Calibri">
    <w:panose1 w:val="020F0502020204030204"/>
    <w:charset w:val="00"/>
    <w:family w:val="swiss"/>
    <w:pitch w:val="variable"/>
    <w:sig w:usb0="E4002EFF" w:usb1="C200247B" w:usb2="00000009" w:usb3="00000000" w:csb0="000001FF" w:csb1="00000000"/>
    <w:embedRegular r:id="rId3" w:fontKey="{38D6E28D-ED06-4E11-BFA7-26A10BC3EF13}"/>
    <w:embedBold r:id="rId4" w:fontKey="{1CA90EB4-7F82-4428-BE9A-662C10F7E9FF}"/>
  </w:font>
  <w:font w:name="Georgia">
    <w:panose1 w:val="02040502050405020303"/>
    <w:charset w:val="00"/>
    <w:family w:val="roman"/>
    <w:pitch w:val="variable"/>
    <w:sig w:usb0="00000287" w:usb1="00000000" w:usb2="00000000" w:usb3="00000000" w:csb0="0000009F" w:csb1="00000000"/>
    <w:embedItalic r:id="rId5" w:fontKey="{E72E13F7-AE9C-4418-AF0D-80E7842A29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39EC3B77" w:rsidR="00E67245" w:rsidRDefault="00BD044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63945">
      <w:rPr>
        <w:noProof/>
        <w:color w:val="000000"/>
      </w:rPr>
      <w:t>1</w:t>
    </w:r>
    <w:r>
      <w:rPr>
        <w:color w:val="000000"/>
      </w:rPr>
      <w:fldChar w:fldCharType="end"/>
    </w:r>
  </w:p>
  <w:p w14:paraId="00000038" w14:textId="77777777" w:rsidR="00E67245" w:rsidRDefault="00E6724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6E4B4" w14:textId="77777777" w:rsidR="00D07E6E" w:rsidRDefault="00D07E6E">
      <w:pPr>
        <w:spacing w:after="0" w:line="240" w:lineRule="auto"/>
      </w:pPr>
      <w:r>
        <w:separator/>
      </w:r>
    </w:p>
  </w:footnote>
  <w:footnote w:type="continuationSeparator" w:id="0">
    <w:p w14:paraId="141F0438" w14:textId="77777777" w:rsidR="00D07E6E" w:rsidRDefault="00D07E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1596D"/>
    <w:multiLevelType w:val="multilevel"/>
    <w:tmpl w:val="E4CA9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FB341F"/>
    <w:multiLevelType w:val="multilevel"/>
    <w:tmpl w:val="AB72B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03852197">
    <w:abstractNumId w:val="1"/>
  </w:num>
  <w:num w:numId="2" w16cid:durableId="1122650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245"/>
    <w:rsid w:val="000A267B"/>
    <w:rsid w:val="00160272"/>
    <w:rsid w:val="00163945"/>
    <w:rsid w:val="003A4DE1"/>
    <w:rsid w:val="005C1FB2"/>
    <w:rsid w:val="00B105D2"/>
    <w:rsid w:val="00BD0446"/>
    <w:rsid w:val="00D07E6E"/>
    <w:rsid w:val="00E67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EBDC8"/>
  <w15:docId w15:val="{173C4749-6980-45EF-9202-DBFE48658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jc w:val="center"/>
      <w:outlineLvl w:val="0"/>
    </w:pPr>
    <w:rPr>
      <w:rFonts w:ascii="Cambria" w:eastAsia="Cambria" w:hAnsi="Cambria" w:cs="Cambria"/>
      <w:b/>
      <w:bCs/>
      <w:color w:val="1F3864"/>
      <w:sz w:val="32"/>
      <w:szCs w:val="32"/>
    </w:rPr>
  </w:style>
  <w:style w:type="paragraph" w:styleId="Heading2">
    <w:name w:val="heading 2"/>
    <w:basedOn w:val="Normal"/>
    <w:next w:val="Normal"/>
    <w:uiPriority w:val="9"/>
    <w:semiHidden/>
    <w:unhideWhenUsed/>
    <w:qFormat/>
    <w:pPr>
      <w:keepNext/>
      <w:keepLines/>
      <w:spacing w:after="0"/>
      <w:outlineLvl w:val="1"/>
    </w:pPr>
    <w:rPr>
      <w:b/>
      <w:bCs/>
      <w:color w:val="000000"/>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b/>
      <w:bCs/>
      <w:color w:val="1F3864"/>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5c676b77bf17f736467df94e86f676df">
  <xsd:schema xmlns:xsd="http://www.w3.org/2001/XMLSchema" xmlns:xs="http://www.w3.org/2001/XMLSchema" xmlns:p="http://schemas.microsoft.com/office/2006/metadata/properties" xmlns:ns3="ccfc14db-0f45-423b-b2f5-752f8f8a0ada" targetNamespace="http://schemas.microsoft.com/office/2006/metadata/properties" ma:root="true" ma:fieldsID="8695ade2afc74bf829023b9e1856c67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21BFBE-40CE-4FC0-8F85-1C1B678B0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6EC293-A1A8-4077-BC08-77D301E587FA}">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47D10D34-CD6C-4B71-B789-7FBF416870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Pegah Erfani (2426967)</cp:lastModifiedBy>
  <cp:revision>3</cp:revision>
  <dcterms:created xsi:type="dcterms:W3CDTF">2026-10-13T00:22:00Z</dcterms:created>
  <dcterms:modified xsi:type="dcterms:W3CDTF">2026-10-13T00:36:00Z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