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29ABCD0" w14:textId="77777777" w:rsidR="00BD5BDE" w:rsidRPr="00EA1807" w:rsidRDefault="00BD5BDE" w:rsidP="00BD5BDE">
            <w:pPr>
              <w:ind w:right="-957"/>
              <w:rPr>
                <w:rFonts w:ascii="Times New Roman" w:hAnsi="Times New Roman" w:cs="Times New Roman"/>
                <w:b/>
                <w:sz w:val="46"/>
                <w:szCs w:val="22"/>
              </w:rPr>
            </w:pPr>
            <w:r w:rsidRPr="00EA1807">
              <w:rPr>
                <w:rFonts w:ascii="Times New Roman" w:hAnsi="Times New Roman" w:cs="Times New Roman"/>
                <w:b/>
                <w:sz w:val="46"/>
                <w:szCs w:val="22"/>
              </w:rPr>
              <w:t>Learner’s name: Jeffrey Dale</w:t>
            </w:r>
          </w:p>
          <w:p w14:paraId="654A6FF8" w14:textId="77777777" w:rsidR="00BD5BDE" w:rsidRPr="00EA1807" w:rsidRDefault="00BD5BDE" w:rsidP="00BD5BDE">
            <w:pPr>
              <w:ind w:right="-957"/>
              <w:rPr>
                <w:rFonts w:ascii="Times New Roman" w:hAnsi="Times New Roman" w:cs="Times New Roman"/>
                <w:b/>
                <w:sz w:val="46"/>
                <w:szCs w:val="22"/>
              </w:rPr>
            </w:pPr>
          </w:p>
          <w:p w14:paraId="73B67952" w14:textId="77777777" w:rsidR="00BD5BDE" w:rsidRPr="00EA1807" w:rsidRDefault="00BD5BDE" w:rsidP="00BD5BDE">
            <w:pPr>
              <w:ind w:right="-957"/>
              <w:rPr>
                <w:rFonts w:ascii="Times New Roman" w:hAnsi="Times New Roman" w:cs="Times New Roman"/>
                <w:b/>
                <w:sz w:val="46"/>
                <w:szCs w:val="22"/>
              </w:rPr>
            </w:pPr>
            <w:r w:rsidRPr="00EA1807">
              <w:rPr>
                <w:rFonts w:ascii="Times New Roman" w:hAnsi="Times New Roman" w:cs="Times New Roman"/>
                <w:b/>
                <w:sz w:val="46"/>
                <w:szCs w:val="22"/>
              </w:rPr>
              <w:t xml:space="preserve">Email address: </w:t>
            </w:r>
            <w:hyperlink r:id="rId11" w:history="1">
              <w:r w:rsidRPr="00EA1807">
                <w:rPr>
                  <w:rStyle w:val="Hyperlink"/>
                  <w:rFonts w:ascii="Times New Roman" w:hAnsi="Times New Roman" w:cs="Times New Roman"/>
                  <w:b/>
                  <w:sz w:val="46"/>
                  <w:szCs w:val="22"/>
                </w:rPr>
                <w:t>2517592@student.uwtsd.ac.uk</w:t>
              </w:r>
            </w:hyperlink>
            <w:r w:rsidRPr="00EA1807">
              <w:rPr>
                <w:rFonts w:ascii="Times New Roman" w:hAnsi="Times New Roman" w:cs="Times New Roman"/>
                <w:b/>
                <w:sz w:val="46"/>
                <w:szCs w:val="22"/>
              </w:rPr>
              <w:t xml:space="preserve"> </w:t>
            </w:r>
          </w:p>
          <w:p w14:paraId="3A594523" w14:textId="77777777" w:rsidR="00BD5BDE" w:rsidRPr="00EA1807" w:rsidRDefault="00BD5BDE" w:rsidP="00BD5BDE">
            <w:pPr>
              <w:ind w:right="-957"/>
              <w:rPr>
                <w:rFonts w:ascii="Times New Roman" w:hAnsi="Times New Roman" w:cs="Times New Roman"/>
                <w:b/>
                <w:sz w:val="46"/>
                <w:szCs w:val="22"/>
              </w:rPr>
            </w:pPr>
          </w:p>
          <w:p w14:paraId="0DBE1D6B" w14:textId="77777777" w:rsidR="00BD5BDE" w:rsidRPr="00EA1807" w:rsidRDefault="00BD5BDE" w:rsidP="00BD5BDE">
            <w:pPr>
              <w:ind w:right="-957"/>
              <w:rPr>
                <w:rFonts w:ascii="Times New Roman" w:hAnsi="Times New Roman" w:cs="Times New Roman"/>
                <w:b/>
                <w:sz w:val="46"/>
                <w:szCs w:val="22"/>
              </w:rPr>
            </w:pPr>
            <w:r w:rsidRPr="00EA1807">
              <w:rPr>
                <w:rFonts w:ascii="Times New Roman" w:hAnsi="Times New Roman" w:cs="Times New Roman"/>
                <w:b/>
                <w:sz w:val="46"/>
                <w:szCs w:val="22"/>
              </w:rPr>
              <w:t>Learner’s University Registration Number:</w:t>
            </w:r>
          </w:p>
          <w:p w14:paraId="517B5335" w14:textId="77777777" w:rsidR="00BD5BDE" w:rsidRPr="00EA1807" w:rsidRDefault="00BD5BDE" w:rsidP="00BD5BDE">
            <w:pPr>
              <w:ind w:right="-957"/>
              <w:rPr>
                <w:rFonts w:ascii="Times New Roman" w:hAnsi="Times New Roman" w:cs="Times New Roman"/>
                <w:b/>
                <w:sz w:val="46"/>
                <w:szCs w:val="22"/>
              </w:rPr>
            </w:pPr>
            <w:r w:rsidRPr="00EA1807">
              <w:rPr>
                <w:rFonts w:ascii="Times New Roman" w:hAnsi="Times New Roman" w:cs="Times New Roman"/>
                <w:b/>
                <w:sz w:val="46"/>
                <w:szCs w:val="22"/>
              </w:rPr>
              <w:t>2517592</w:t>
            </w:r>
          </w:p>
          <w:p w14:paraId="03340115" w14:textId="77777777" w:rsidR="00BD5BDE" w:rsidRPr="00EA1807" w:rsidRDefault="00BD5BDE" w:rsidP="00BD5BDE">
            <w:pPr>
              <w:ind w:right="-957"/>
              <w:rPr>
                <w:rFonts w:ascii="Times New Roman" w:hAnsi="Times New Roman" w:cs="Times New Roman"/>
                <w:b/>
                <w:sz w:val="46"/>
                <w:szCs w:val="22"/>
              </w:rPr>
            </w:pPr>
          </w:p>
          <w:p w14:paraId="5F84129B" w14:textId="7D1A3A86" w:rsidR="0085230E" w:rsidRPr="005D3F07" w:rsidRDefault="00BD5BDE" w:rsidP="00BD5BDE">
            <w:pPr>
              <w:overflowPunct/>
              <w:autoSpaceDE/>
              <w:autoSpaceDN/>
              <w:adjustRightInd/>
              <w:ind w:right="-957"/>
              <w:textAlignment w:val="auto"/>
              <w:rPr>
                <w:rFonts w:ascii="Times New Roman" w:hAnsi="Times New Roman" w:cs="Times New Roman"/>
                <w:b/>
                <w:color w:val="auto"/>
                <w:sz w:val="48"/>
              </w:rPr>
            </w:pPr>
            <w:r w:rsidRPr="00EA1807">
              <w:rPr>
                <w:rFonts w:ascii="Times New Roman" w:hAnsi="Times New Roman" w:cs="Times New Roman"/>
                <w:b/>
                <w:sz w:val="46"/>
                <w:szCs w:val="22"/>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93E41AD" w14:textId="77777777" w:rsidR="00431286" w:rsidRDefault="00431286" w:rsidP="00431286">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15CB5165" w14:textId="1CDEC76F" w:rsidR="00431286" w:rsidRPr="009A72E5" w:rsidRDefault="00431286" w:rsidP="00431286">
            <w:pPr>
              <w:spacing w:line="360" w:lineRule="auto"/>
              <w:jc w:val="both"/>
              <w:rPr>
                <w:sz w:val="24"/>
                <w:szCs w:val="24"/>
              </w:rPr>
            </w:pPr>
            <w:r w:rsidRPr="009A72E5">
              <w:rPr>
                <w:sz w:val="24"/>
                <w:szCs w:val="24"/>
              </w:rPr>
              <w:t xml:space="preserve">Safeguarding people from harm is an essential part of social work practice. I may work in adult services, but I am still under a statutory obligation and moral duty to safeguard all people, children and adults, from harm, neglect, and abuse. Indeed, it is emphasised within the Working Together to Safeguard People code of practice (Welsh Government, 2022) that safeguarding is everyone's responsibility, to all be aware of the signs and risks of harm, of safeguarding procedures, and to work together collaboratively to protect people from harm. </w:t>
            </w:r>
          </w:p>
          <w:p w14:paraId="33FE5A05" w14:textId="77777777" w:rsidR="00431286" w:rsidRPr="009A72E5" w:rsidRDefault="00431286" w:rsidP="00431286">
            <w:pPr>
              <w:spacing w:line="360" w:lineRule="auto"/>
              <w:jc w:val="both"/>
              <w:rPr>
                <w:sz w:val="24"/>
                <w:szCs w:val="24"/>
              </w:rPr>
            </w:pPr>
          </w:p>
          <w:p w14:paraId="3FD052D9" w14:textId="77777777" w:rsidR="00431286" w:rsidRPr="009A72E5" w:rsidRDefault="00431286" w:rsidP="00431286">
            <w:pPr>
              <w:spacing w:line="360" w:lineRule="auto"/>
              <w:jc w:val="both"/>
              <w:rPr>
                <w:sz w:val="24"/>
                <w:szCs w:val="24"/>
              </w:rPr>
            </w:pPr>
            <w:r w:rsidRPr="009A72E5">
              <w:rPr>
                <w:sz w:val="24"/>
                <w:szCs w:val="24"/>
              </w:rPr>
              <w:t xml:space="preserve">Protecting a child from abuse or neglect is the absolute priority, with the welfare of the child being paramount (Children Act, 1989 (CA89)). Multi-agency working and effective communication is fundamental to good safeguarding practice. It is a generally accepted principle that information sharing will override data protection (2018) and freedom of information (2000) laws where it is necessary to safeguard a child (CA89; 2004). </w:t>
            </w:r>
          </w:p>
          <w:p w14:paraId="3607314A" w14:textId="77777777" w:rsidR="00431286" w:rsidRPr="009A72E5" w:rsidRDefault="00431286" w:rsidP="00431286">
            <w:pPr>
              <w:spacing w:line="360" w:lineRule="auto"/>
              <w:jc w:val="both"/>
              <w:rPr>
                <w:sz w:val="24"/>
                <w:szCs w:val="24"/>
              </w:rPr>
            </w:pPr>
          </w:p>
          <w:p w14:paraId="4CFAB149" w14:textId="5533DB19" w:rsidR="00431286" w:rsidRPr="009A72E5" w:rsidRDefault="00431286" w:rsidP="00431286">
            <w:pPr>
              <w:spacing w:line="360" w:lineRule="auto"/>
              <w:jc w:val="both"/>
              <w:rPr>
                <w:sz w:val="24"/>
                <w:szCs w:val="24"/>
              </w:rPr>
            </w:pPr>
            <w:r w:rsidRPr="009A72E5">
              <w:rPr>
                <w:sz w:val="24"/>
                <w:szCs w:val="24"/>
              </w:rPr>
              <w:t xml:space="preserve">The main safeguarding legislation in Wales comes under the Social Services and Well-being (Wales) Act 2014 (SSW(W)A14), specifically, Part 7. The SSW(W)A14 builds on the principles of the CA89 with emphasis on prevention, well-being, multi-agency working, co-production, and voice and control being central principles. The SSW(W)A14 also sets out the statutory duty to report children at risk, and to review safeguarding practice, which is now enacted in </w:t>
            </w:r>
            <w:r w:rsidRPr="009A72E5">
              <w:rPr>
                <w:sz w:val="24"/>
                <w:szCs w:val="24"/>
              </w:rPr>
              <w:lastRenderedPageBreak/>
              <w:t>Wales through Single Unified Safeguarding Reviews (SUSR).</w:t>
            </w:r>
            <w:r w:rsidRPr="009A72E5">
              <w:rPr>
                <w:b/>
                <w:bCs/>
                <w:sz w:val="24"/>
                <w:szCs w:val="24"/>
              </w:rPr>
              <w:t xml:space="preserve"> </w:t>
            </w:r>
            <w:r w:rsidRPr="009A72E5">
              <w:rPr>
                <w:sz w:val="24"/>
                <w:szCs w:val="24"/>
              </w:rPr>
              <w:t>However, the core legal child protection powers still come from the CA89 and, more broadly, from the Human Rights Act (HRA) (1998) with particular attention being paid to Article 2 (right to life), Article 3 (freedom from torture and degrading treatment), and Article 8 (right to private family life). The Rights of Children and Young Persons (Wales) Measure 2011 incorporates the obligations set out in the United Nations Convention on the Rights of the Child 1989, recognising children’s rights, including their right to live safely and to have a say in their life. This involvement should be non-discriminatory, in their best interests, in the least restrictive manner, and with an emphasis on the child’s voic</w:t>
            </w:r>
            <w:r w:rsidR="001C410A">
              <w:rPr>
                <w:sz w:val="24"/>
                <w:szCs w:val="24"/>
              </w:rPr>
              <w:t>e,</w:t>
            </w:r>
            <w:r w:rsidRPr="009A72E5">
              <w:rPr>
                <w:sz w:val="24"/>
                <w:szCs w:val="24"/>
              </w:rPr>
              <w:t xml:space="preserve"> </w:t>
            </w:r>
            <w:r w:rsidR="001C410A">
              <w:rPr>
                <w:sz w:val="24"/>
                <w:szCs w:val="24"/>
              </w:rPr>
              <w:t>i</w:t>
            </w:r>
            <w:r w:rsidRPr="009A72E5">
              <w:rPr>
                <w:sz w:val="24"/>
                <w:szCs w:val="24"/>
              </w:rPr>
              <w:t>n line with social work values,</w:t>
            </w:r>
            <w:r w:rsidR="001239CC">
              <w:rPr>
                <w:sz w:val="24"/>
                <w:szCs w:val="24"/>
              </w:rPr>
              <w:t xml:space="preserve"> with due consideration, </w:t>
            </w:r>
            <w:r w:rsidR="00111FB3">
              <w:rPr>
                <w:sz w:val="24"/>
                <w:szCs w:val="24"/>
              </w:rPr>
              <w:t xml:space="preserve">especially </w:t>
            </w:r>
            <w:r w:rsidR="001239CC">
              <w:rPr>
                <w:sz w:val="24"/>
                <w:szCs w:val="24"/>
              </w:rPr>
              <w:t>as a child ages, to the</w:t>
            </w:r>
            <w:r w:rsidRPr="009A72E5">
              <w:rPr>
                <w:sz w:val="24"/>
                <w:szCs w:val="24"/>
              </w:rPr>
              <w:t xml:space="preserve"> Mental Capacity Act 2005 (MCA05) and the Gillick (1985) competency framework.</w:t>
            </w:r>
          </w:p>
          <w:p w14:paraId="48700959" w14:textId="77777777" w:rsidR="00431286" w:rsidRPr="009A72E5" w:rsidRDefault="00431286" w:rsidP="00431286">
            <w:pPr>
              <w:spacing w:line="360" w:lineRule="auto"/>
              <w:jc w:val="both"/>
              <w:rPr>
                <w:sz w:val="24"/>
                <w:szCs w:val="24"/>
              </w:rPr>
            </w:pPr>
          </w:p>
          <w:p w14:paraId="0D236E48" w14:textId="77777777" w:rsidR="00431286" w:rsidRPr="009A72E5" w:rsidRDefault="00431286" w:rsidP="00431286">
            <w:pPr>
              <w:spacing w:line="360" w:lineRule="auto"/>
              <w:jc w:val="both"/>
              <w:rPr>
                <w:sz w:val="24"/>
                <w:szCs w:val="24"/>
              </w:rPr>
            </w:pPr>
            <w:r w:rsidRPr="009A72E5">
              <w:rPr>
                <w:sz w:val="24"/>
                <w:szCs w:val="24"/>
              </w:rPr>
              <w:t>The safeguarding processes, governed by legislation and guided by organisational policy, are also handily laid out in the Wales Safeguarding Procedures (SCW, 2026). This usually involves reporting concerns using a Multi-Agency Referral Form (MARF), followed by a strategy discussion with all agencies to establish if further action is required. This may lead to further investigation and a section 47 inquiry (CA89), carried out in an anti-discriminatory manner, in line with social work values and the Equality Act 2010, and with due regard to cultural identity and language (Welsh Language Act 1993; More Than Just Words Framework, 2022). Whilst there is no statutory definition of ‘significant harm’, social workers use their professional judgment to establish if a child is likely to be at risk of neglect or physical, emotional, or sexual abuse. This may lead to establishing whether the child has care and support needs (Part 3 SSW(W)A14), whether a Child Protection Conference is required, and whether immediate action should be taken either through parental agreement, police powers of protection, or an emergency protection order.</w:t>
            </w:r>
          </w:p>
          <w:p w14:paraId="234A768E" w14:textId="77777777" w:rsidR="00431286" w:rsidRPr="009A72E5" w:rsidRDefault="00431286" w:rsidP="00431286">
            <w:pPr>
              <w:spacing w:line="360" w:lineRule="auto"/>
              <w:jc w:val="both"/>
              <w:rPr>
                <w:sz w:val="24"/>
                <w:szCs w:val="24"/>
              </w:rPr>
            </w:pPr>
          </w:p>
          <w:p w14:paraId="206514B9" w14:textId="62B7B512" w:rsidR="00FC0334" w:rsidRDefault="00431286" w:rsidP="00431286">
            <w:pPr>
              <w:spacing w:line="360" w:lineRule="auto"/>
              <w:jc w:val="both"/>
              <w:rPr>
                <w:sz w:val="24"/>
                <w:szCs w:val="24"/>
              </w:rPr>
            </w:pPr>
            <w:r w:rsidRPr="009A72E5">
              <w:rPr>
                <w:sz w:val="24"/>
                <w:szCs w:val="24"/>
              </w:rPr>
              <w:t>5</w:t>
            </w:r>
            <w:r w:rsidR="00111FB3">
              <w:rPr>
                <w:sz w:val="24"/>
                <w:szCs w:val="24"/>
              </w:rPr>
              <w:t>41</w:t>
            </w:r>
            <w:r w:rsidRPr="009A72E5">
              <w:rPr>
                <w:sz w:val="24"/>
                <w:szCs w:val="24"/>
              </w:rPr>
              <w:t xml:space="preserve"> words.</w:t>
            </w:r>
          </w:p>
          <w:p w14:paraId="03BD6D93" w14:textId="56AD433A" w:rsidR="007A628F" w:rsidRPr="008B28E7" w:rsidRDefault="007A628F" w:rsidP="00431286">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Default="00AA666E" w:rsidP="00FF7EBB">
      <w:pPr>
        <w:jc w:val="both"/>
        <w:rPr>
          <w:sz w:val="24"/>
          <w:szCs w:val="24"/>
        </w:rPr>
      </w:pPr>
    </w:p>
    <w:p w14:paraId="23C0B928" w14:textId="77777777" w:rsidR="00A50244" w:rsidRDefault="00A50244" w:rsidP="00FF7EBB">
      <w:pPr>
        <w:jc w:val="both"/>
        <w:rPr>
          <w:sz w:val="24"/>
          <w:szCs w:val="24"/>
        </w:rPr>
      </w:pPr>
    </w:p>
    <w:p w14:paraId="6E7B3E69" w14:textId="77777777" w:rsidR="00431286" w:rsidRDefault="00431286" w:rsidP="00FF7EBB">
      <w:pPr>
        <w:jc w:val="both"/>
        <w:rPr>
          <w:sz w:val="24"/>
          <w:szCs w:val="24"/>
        </w:rPr>
      </w:pPr>
    </w:p>
    <w:p w14:paraId="35836783" w14:textId="77777777" w:rsidR="00431286" w:rsidRPr="008B28E7" w:rsidRDefault="00431286"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97FEE43" w14:textId="77777777" w:rsidR="006A2D87" w:rsidRDefault="006A2D87" w:rsidP="006A2D87">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5C76ACAA" w14:textId="77777777" w:rsidR="006A2D87" w:rsidRDefault="006A2D87" w:rsidP="006A2D87">
            <w:pPr>
              <w:spacing w:line="360" w:lineRule="auto"/>
              <w:jc w:val="both"/>
              <w:rPr>
                <w:sz w:val="24"/>
                <w:szCs w:val="24"/>
              </w:rPr>
            </w:pPr>
            <w:r w:rsidRPr="009A72E5">
              <w:rPr>
                <w:sz w:val="24"/>
                <w:szCs w:val="24"/>
              </w:rPr>
              <w:t xml:space="preserve">Children’s safeguarding has existed for a long time, with the landmark Children’s Act dating back to 1948. However, the introduction of statutory duties for adult safeguarding did not come into place until 2014 with the implementation of the SSW(W)A14 in Wales and the Care Act 2014 in England. </w:t>
            </w:r>
          </w:p>
          <w:p w14:paraId="4FCAEAB8" w14:textId="77777777" w:rsidR="006A2D87" w:rsidRPr="009A72E5" w:rsidRDefault="006A2D87" w:rsidP="006A2D87">
            <w:pPr>
              <w:spacing w:line="360" w:lineRule="auto"/>
              <w:jc w:val="both"/>
              <w:rPr>
                <w:sz w:val="24"/>
                <w:szCs w:val="24"/>
              </w:rPr>
            </w:pPr>
          </w:p>
          <w:p w14:paraId="369B8370" w14:textId="77777777" w:rsidR="006A2D87" w:rsidRPr="009A72E5" w:rsidRDefault="006A2D87" w:rsidP="006A2D87">
            <w:pPr>
              <w:spacing w:line="360" w:lineRule="auto"/>
              <w:jc w:val="both"/>
              <w:rPr>
                <w:sz w:val="24"/>
                <w:szCs w:val="24"/>
              </w:rPr>
            </w:pPr>
            <w:r w:rsidRPr="009A72E5">
              <w:rPr>
                <w:sz w:val="24"/>
                <w:szCs w:val="24"/>
              </w:rPr>
              <w:t xml:space="preserve">There are different criteria for statutory involvement in the safeguarding of children and adults. A child must only be at risk of significant harm or abuse, but for adults there is a 3-part test (SSW(W)A14, s.126) where the adult must be: at risk of harm, have care and support needs, and cannot protect themselves as a result of those care and support needs. As with children, the interpretation of such criteria requires professional judgement, especially as there is no specific definitions in the legislation. These additional criteria aim to protect adults from an overly paternalistic state by recognising that adults should have autonomy over their lives. </w:t>
            </w:r>
          </w:p>
          <w:p w14:paraId="070E3D6D" w14:textId="77777777" w:rsidR="006A2D87" w:rsidRPr="009A72E5" w:rsidRDefault="006A2D87" w:rsidP="006A2D87">
            <w:pPr>
              <w:spacing w:line="360" w:lineRule="auto"/>
              <w:jc w:val="both"/>
              <w:rPr>
                <w:sz w:val="24"/>
                <w:szCs w:val="24"/>
              </w:rPr>
            </w:pPr>
          </w:p>
          <w:p w14:paraId="48573AFD" w14:textId="18241F9F" w:rsidR="006A2D87" w:rsidRDefault="006A2D87" w:rsidP="006A2D87">
            <w:pPr>
              <w:spacing w:line="360" w:lineRule="auto"/>
              <w:jc w:val="both"/>
              <w:rPr>
                <w:sz w:val="24"/>
                <w:szCs w:val="24"/>
              </w:rPr>
            </w:pPr>
            <w:r w:rsidRPr="009A72E5">
              <w:rPr>
                <w:sz w:val="24"/>
                <w:szCs w:val="24"/>
              </w:rPr>
              <w:t xml:space="preserve">Respect for personal autonomy and self-determination is a legally protected human right (Article 8 HRA) paramount to our wellbeing. Key differences in children’s and adult’s safeguarding often relate to autonomy, consent, and capacity. Adults have the right to make unwise decisions (MCA05) providing they have the capacity to understand the risks and consequences of their actions – they may choose to accept a level of risk others deem </w:t>
            </w:r>
            <w:r w:rsidR="00C6238B" w:rsidRPr="009A72E5">
              <w:rPr>
                <w:sz w:val="24"/>
                <w:szCs w:val="24"/>
              </w:rPr>
              <w:t>unwise,</w:t>
            </w:r>
            <w:r w:rsidRPr="009A72E5">
              <w:rPr>
                <w:sz w:val="24"/>
                <w:szCs w:val="24"/>
              </w:rPr>
              <w:t xml:space="preserve"> but this does not necessarily mean in itself that this adult lacks capacity. As such, consent is often sought in adult safeguarding, however, there remains the need to balance rights and risk. It can be challenging when an adult does not consent to actions that a professional feels would help their situation but it is important for adults to hold power over their own destiny. However, if an adult does not consent to safeguarding that does not automatically end safeguarding involvement where, for example, there is significant risk, coercion, or if the adult lacks capacity around this safeguarding matter. </w:t>
            </w:r>
          </w:p>
          <w:p w14:paraId="557EE52F" w14:textId="77777777" w:rsidR="006A2D87" w:rsidRPr="009A72E5" w:rsidRDefault="006A2D87" w:rsidP="006A2D87">
            <w:pPr>
              <w:spacing w:line="360" w:lineRule="auto"/>
              <w:jc w:val="both"/>
              <w:rPr>
                <w:sz w:val="24"/>
                <w:szCs w:val="24"/>
              </w:rPr>
            </w:pPr>
          </w:p>
          <w:p w14:paraId="002B1DC9" w14:textId="21CA8779" w:rsidR="006A2D87" w:rsidRPr="009A72E5" w:rsidRDefault="006A2D87" w:rsidP="006A2D87">
            <w:pPr>
              <w:spacing w:line="360" w:lineRule="auto"/>
              <w:jc w:val="both"/>
              <w:rPr>
                <w:sz w:val="24"/>
                <w:szCs w:val="24"/>
              </w:rPr>
            </w:pPr>
            <w:r w:rsidRPr="009A72E5">
              <w:rPr>
                <w:sz w:val="24"/>
                <w:szCs w:val="24"/>
              </w:rPr>
              <w:lastRenderedPageBreak/>
              <w:t xml:space="preserve">Respect should also be given to children’s wishes and feelings (UNCRC), however safeguarding children will proceed regardless of children’s or parent’s consent if there is a risk of significant harm as the welfare of the child is paramount (CA89). There is always the need to balance rights and risk, with greater weight being given to capacity, consent, and self-determination as children approach adulthood. </w:t>
            </w:r>
            <w:r w:rsidR="008327D8">
              <w:rPr>
                <w:sz w:val="24"/>
                <w:szCs w:val="24"/>
              </w:rPr>
              <w:t>With</w:t>
            </w:r>
            <w:r w:rsidRPr="009A72E5">
              <w:rPr>
                <w:sz w:val="24"/>
                <w:szCs w:val="24"/>
              </w:rPr>
              <w:t xml:space="preserve"> the capacity for children to make decisions that may affect safeguarding matters falling under legal frameworks from the age of 16 through the MCA05 and earlier still using the Gillick (1985) competency test</w:t>
            </w:r>
            <w:r w:rsidR="008327D8">
              <w:rPr>
                <w:sz w:val="24"/>
                <w:szCs w:val="24"/>
              </w:rPr>
              <w:t xml:space="preserve"> where a child (under 16) may be considered able to consent to their own medical treatment without parental knowledge or consent.</w:t>
            </w:r>
          </w:p>
          <w:p w14:paraId="67E7ED72" w14:textId="77777777" w:rsidR="00FC0334" w:rsidRDefault="00FC0334" w:rsidP="00FC0334">
            <w:pPr>
              <w:jc w:val="both"/>
              <w:rPr>
                <w:sz w:val="24"/>
                <w:szCs w:val="24"/>
              </w:rPr>
            </w:pPr>
          </w:p>
          <w:p w14:paraId="7B7B4827" w14:textId="51DCBA21" w:rsidR="00FC0334" w:rsidRDefault="00360C31" w:rsidP="00FC0334">
            <w:pPr>
              <w:jc w:val="both"/>
              <w:rPr>
                <w:sz w:val="24"/>
                <w:szCs w:val="24"/>
              </w:rPr>
            </w:pPr>
            <w:r>
              <w:rPr>
                <w:sz w:val="24"/>
                <w:szCs w:val="24"/>
              </w:rPr>
              <w:t>43</w:t>
            </w:r>
            <w:r w:rsidR="008327D8">
              <w:rPr>
                <w:sz w:val="24"/>
                <w:szCs w:val="24"/>
              </w:rPr>
              <w:t>9</w:t>
            </w:r>
            <w:r>
              <w:rPr>
                <w:sz w:val="24"/>
                <w:szCs w:val="24"/>
              </w:rPr>
              <w:t xml:space="preserve"> words.</w:t>
            </w:r>
          </w:p>
          <w:p w14:paraId="438BF787" w14:textId="77777777" w:rsidR="00FC0334" w:rsidRPr="006108C9" w:rsidRDefault="00FC0334" w:rsidP="00FC0334">
            <w:pPr>
              <w:jc w:val="both"/>
              <w:rPr>
                <w:sz w:val="24"/>
                <w:szCs w:val="24"/>
              </w:rPr>
            </w:pPr>
          </w:p>
          <w:p w14:paraId="08760B3D" w14:textId="77777777" w:rsidR="00FC0334" w:rsidRPr="006108C9" w:rsidRDefault="00FC0334" w:rsidP="006A2D87">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3E428" w14:textId="77777777" w:rsidR="00FC6F00" w:rsidRDefault="00FC6F00">
      <w:r>
        <w:separator/>
      </w:r>
    </w:p>
  </w:endnote>
  <w:endnote w:type="continuationSeparator" w:id="0">
    <w:p w14:paraId="12A7E787" w14:textId="77777777" w:rsidR="00FC6F00" w:rsidRDefault="00FC6F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A0FBB" w14:textId="77777777" w:rsidR="00FC6F00" w:rsidRDefault="00FC6F00">
      <w:r>
        <w:separator/>
      </w:r>
    </w:p>
  </w:footnote>
  <w:footnote w:type="continuationSeparator" w:id="0">
    <w:p w14:paraId="16E55F66" w14:textId="77777777" w:rsidR="00FC6F00" w:rsidRDefault="00FC6F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759"/>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FB3"/>
    <w:rsid w:val="00112391"/>
    <w:rsid w:val="00114F52"/>
    <w:rsid w:val="001239CC"/>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6757"/>
    <w:rsid w:val="0019496C"/>
    <w:rsid w:val="001961CF"/>
    <w:rsid w:val="001A59BB"/>
    <w:rsid w:val="001A607E"/>
    <w:rsid w:val="001A6A51"/>
    <w:rsid w:val="001A79C4"/>
    <w:rsid w:val="001B331A"/>
    <w:rsid w:val="001C0237"/>
    <w:rsid w:val="001C0E74"/>
    <w:rsid w:val="001C410A"/>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C31"/>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1286"/>
    <w:rsid w:val="004348AE"/>
    <w:rsid w:val="004376C0"/>
    <w:rsid w:val="0044223A"/>
    <w:rsid w:val="0044498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0A2B"/>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21C1"/>
    <w:rsid w:val="0069625A"/>
    <w:rsid w:val="00696A88"/>
    <w:rsid w:val="00696F65"/>
    <w:rsid w:val="00697572"/>
    <w:rsid w:val="006A2D87"/>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43DC"/>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7D8"/>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B7A"/>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4461"/>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244"/>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1A97"/>
    <w:rsid w:val="00AE2564"/>
    <w:rsid w:val="00AE301F"/>
    <w:rsid w:val="00AE3302"/>
    <w:rsid w:val="00AE5BA6"/>
    <w:rsid w:val="00AE6231"/>
    <w:rsid w:val="00AE7077"/>
    <w:rsid w:val="00AF61C2"/>
    <w:rsid w:val="00AF6CC6"/>
    <w:rsid w:val="00B0296A"/>
    <w:rsid w:val="00B07E79"/>
    <w:rsid w:val="00B120DC"/>
    <w:rsid w:val="00B12295"/>
    <w:rsid w:val="00B137BE"/>
    <w:rsid w:val="00B15998"/>
    <w:rsid w:val="00B17FA0"/>
    <w:rsid w:val="00B2292C"/>
    <w:rsid w:val="00B22C3C"/>
    <w:rsid w:val="00B24344"/>
    <w:rsid w:val="00B26769"/>
    <w:rsid w:val="00B2754B"/>
    <w:rsid w:val="00B31C91"/>
    <w:rsid w:val="00B3747F"/>
    <w:rsid w:val="00B42AE0"/>
    <w:rsid w:val="00B42E76"/>
    <w:rsid w:val="00B43194"/>
    <w:rsid w:val="00B436BF"/>
    <w:rsid w:val="00B47734"/>
    <w:rsid w:val="00B50FBA"/>
    <w:rsid w:val="00B544B9"/>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BDE"/>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38B"/>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6175"/>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0F51"/>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D56"/>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F00"/>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17592@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4</TotalTime>
  <Pages>5</Pages>
  <Words>1149</Words>
  <Characters>6551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Jeffrey Dale</cp:lastModifiedBy>
  <cp:revision>8</cp:revision>
  <cp:lastPrinted>2020-02-11T19:20:00Z</cp:lastPrinted>
  <dcterms:created xsi:type="dcterms:W3CDTF">2026-09-23T08:46:00Z</dcterms:created>
  <dcterms:modified xsi:type="dcterms:W3CDTF">2026-09-23T11:22:00Z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