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3FEC" w14:textId="77777777" w:rsidR="00EF03F5" w:rsidRPr="0023471A" w:rsidRDefault="00EF03F5" w:rsidP="00EF03F5">
      <w:pPr>
        <w:spacing w:after="0" w:line="276" w:lineRule="auto"/>
        <w:jc w:val="both"/>
        <w:rPr>
          <w:rFonts w:ascii="Calibri" w:hAnsi="Calibri" w:cs="Calibri"/>
          <w:sz w:val="20"/>
          <w:szCs w:val="20"/>
        </w:rPr>
      </w:pPr>
    </w:p>
    <w:p w14:paraId="22E412EF" w14:textId="77777777" w:rsidR="00EF03F5" w:rsidRPr="0023471A" w:rsidRDefault="00EF03F5" w:rsidP="00EF03F5">
      <w:pPr>
        <w:spacing w:after="0" w:line="276" w:lineRule="auto"/>
        <w:jc w:val="both"/>
        <w:rPr>
          <w:rFonts w:ascii="Calibri" w:hAnsi="Calibri" w:cs="Calibri"/>
          <w:sz w:val="20"/>
          <w:szCs w:val="20"/>
        </w:rPr>
      </w:pPr>
    </w:p>
    <w:p w14:paraId="22B71844" w14:textId="77777777" w:rsidR="00EF03F5" w:rsidRPr="0023471A" w:rsidRDefault="00EF03F5" w:rsidP="00EF03F5">
      <w:pPr>
        <w:spacing w:after="0" w:line="276" w:lineRule="auto"/>
        <w:jc w:val="both"/>
        <w:rPr>
          <w:rFonts w:ascii="Calibri" w:hAnsi="Calibri" w:cs="Calibri"/>
          <w:sz w:val="20"/>
          <w:szCs w:val="20"/>
        </w:rPr>
      </w:pPr>
    </w:p>
    <w:p w14:paraId="652AC071" w14:textId="77777777" w:rsidR="00EF03F5" w:rsidRPr="0023471A" w:rsidRDefault="00EF03F5" w:rsidP="00EF03F5">
      <w:pPr>
        <w:spacing w:after="0" w:line="276" w:lineRule="auto"/>
        <w:jc w:val="both"/>
        <w:rPr>
          <w:rFonts w:ascii="Calibri" w:hAnsi="Calibri" w:cs="Calibri"/>
          <w:sz w:val="20"/>
          <w:szCs w:val="20"/>
        </w:rPr>
      </w:pPr>
    </w:p>
    <w:p w14:paraId="3425A3CA" w14:textId="77777777" w:rsidR="00EF03F5" w:rsidRPr="0023471A" w:rsidRDefault="00EF03F5" w:rsidP="00EF03F5">
      <w:pPr>
        <w:spacing w:after="0" w:line="276" w:lineRule="auto"/>
        <w:jc w:val="both"/>
        <w:rPr>
          <w:rFonts w:ascii="Calibri" w:hAnsi="Calibri" w:cs="Calibri"/>
          <w:sz w:val="20"/>
          <w:szCs w:val="20"/>
        </w:rPr>
      </w:pPr>
    </w:p>
    <w:p w14:paraId="23095613" w14:textId="77777777" w:rsidR="00EF03F5" w:rsidRPr="0023471A" w:rsidRDefault="00EF03F5" w:rsidP="00EF03F5">
      <w:pPr>
        <w:spacing w:after="0" w:line="276" w:lineRule="auto"/>
        <w:jc w:val="both"/>
        <w:rPr>
          <w:rFonts w:ascii="Calibri" w:hAnsi="Calibri" w:cs="Calibri"/>
          <w:sz w:val="20"/>
          <w:szCs w:val="20"/>
        </w:rPr>
      </w:pPr>
    </w:p>
    <w:p w14:paraId="3837DAA3" w14:textId="77777777" w:rsidR="00EF03F5" w:rsidRPr="0023471A" w:rsidRDefault="00EF03F5" w:rsidP="00EF03F5">
      <w:pPr>
        <w:spacing w:after="0" w:line="276" w:lineRule="auto"/>
        <w:jc w:val="both"/>
        <w:rPr>
          <w:rFonts w:ascii="Calibri" w:hAnsi="Calibri" w:cs="Calibri"/>
          <w:sz w:val="20"/>
          <w:szCs w:val="20"/>
        </w:rPr>
      </w:pPr>
    </w:p>
    <w:p w14:paraId="51CB80D8" w14:textId="77777777" w:rsidR="00EF03F5" w:rsidRPr="0023471A" w:rsidRDefault="00EF03F5" w:rsidP="00EF03F5">
      <w:pPr>
        <w:spacing w:after="0" w:line="276" w:lineRule="auto"/>
        <w:jc w:val="both"/>
        <w:rPr>
          <w:rFonts w:ascii="Calibri" w:hAnsi="Calibri" w:cs="Calibri"/>
          <w:sz w:val="20"/>
          <w:szCs w:val="20"/>
        </w:rPr>
      </w:pPr>
    </w:p>
    <w:tbl>
      <w:tblPr>
        <w:tblStyle w:val="TableGrid"/>
        <w:tblpPr w:leftFromText="180" w:rightFromText="180" w:vertAnchor="text" w:horzAnchor="margin" w:tblpY="1989"/>
        <w:tblW w:w="90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6"/>
        <w:gridCol w:w="6201"/>
      </w:tblGrid>
      <w:tr w:rsidR="00EF03F5" w:rsidRPr="0023471A" w14:paraId="2B441DF6" w14:textId="77777777" w:rsidTr="00166668">
        <w:trPr>
          <w:trHeight w:val="780"/>
        </w:trPr>
        <w:tc>
          <w:tcPr>
            <w:tcW w:w="2836" w:type="dxa"/>
            <w:shd w:val="clear" w:color="auto" w:fill="CAEDFB" w:themeFill="accent4" w:themeFillTint="33"/>
            <w:vAlign w:val="center"/>
          </w:tcPr>
          <w:p w14:paraId="071AD250"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Name</w:t>
            </w:r>
          </w:p>
        </w:tc>
        <w:tc>
          <w:tcPr>
            <w:tcW w:w="6201" w:type="dxa"/>
            <w:vAlign w:val="center"/>
          </w:tcPr>
          <w:p w14:paraId="2B02F37F"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 xml:space="preserve">Mike Slack </w:t>
            </w:r>
          </w:p>
        </w:tc>
      </w:tr>
      <w:tr w:rsidR="00EF03F5" w:rsidRPr="0023471A" w14:paraId="07C14AD4" w14:textId="77777777" w:rsidTr="00166668">
        <w:trPr>
          <w:trHeight w:val="704"/>
        </w:trPr>
        <w:tc>
          <w:tcPr>
            <w:tcW w:w="2836" w:type="dxa"/>
            <w:shd w:val="clear" w:color="auto" w:fill="CAEDFB" w:themeFill="accent4" w:themeFillTint="33"/>
            <w:vAlign w:val="center"/>
          </w:tcPr>
          <w:p w14:paraId="6F3E4380"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CIPD Membership Number</w:t>
            </w:r>
          </w:p>
        </w:tc>
        <w:tc>
          <w:tcPr>
            <w:tcW w:w="6201" w:type="dxa"/>
            <w:vAlign w:val="center"/>
          </w:tcPr>
          <w:p w14:paraId="42B07D3C"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92876057</w:t>
            </w:r>
          </w:p>
        </w:tc>
      </w:tr>
      <w:tr w:rsidR="00EF03F5" w:rsidRPr="0023471A" w14:paraId="2256725D" w14:textId="77777777" w:rsidTr="00166668">
        <w:trPr>
          <w:trHeight w:val="780"/>
        </w:trPr>
        <w:tc>
          <w:tcPr>
            <w:tcW w:w="2836" w:type="dxa"/>
            <w:shd w:val="clear" w:color="auto" w:fill="CAEDFB" w:themeFill="accent4" w:themeFillTint="33"/>
            <w:vAlign w:val="center"/>
          </w:tcPr>
          <w:p w14:paraId="1D606D4D"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CIPD Module Name</w:t>
            </w:r>
          </w:p>
        </w:tc>
        <w:tc>
          <w:tcPr>
            <w:tcW w:w="6201" w:type="dxa"/>
            <w:vAlign w:val="center"/>
          </w:tcPr>
          <w:p w14:paraId="174DE4FD"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Organisational Performance &amp; Culture</w:t>
            </w:r>
          </w:p>
        </w:tc>
      </w:tr>
      <w:tr w:rsidR="00EF03F5" w:rsidRPr="0023471A" w14:paraId="4DEBDD2B" w14:textId="77777777" w:rsidTr="00166668">
        <w:trPr>
          <w:trHeight w:val="780"/>
        </w:trPr>
        <w:tc>
          <w:tcPr>
            <w:tcW w:w="2836" w:type="dxa"/>
            <w:shd w:val="clear" w:color="auto" w:fill="CAEDFB" w:themeFill="accent4" w:themeFillTint="33"/>
            <w:vAlign w:val="center"/>
          </w:tcPr>
          <w:p w14:paraId="696E12F4"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CIPD Module Code</w:t>
            </w:r>
          </w:p>
        </w:tc>
        <w:tc>
          <w:tcPr>
            <w:tcW w:w="6201" w:type="dxa"/>
            <w:vAlign w:val="center"/>
          </w:tcPr>
          <w:p w14:paraId="3EDA0B2F"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u w:color="595959"/>
              </w:rPr>
              <w:t>CIPD_5CO01_26_01</w:t>
            </w:r>
          </w:p>
        </w:tc>
      </w:tr>
      <w:tr w:rsidR="00EF03F5" w:rsidRPr="0023471A" w14:paraId="097CB0F4" w14:textId="77777777" w:rsidTr="00166668">
        <w:trPr>
          <w:trHeight w:val="690"/>
        </w:trPr>
        <w:tc>
          <w:tcPr>
            <w:tcW w:w="2836" w:type="dxa"/>
            <w:shd w:val="clear" w:color="auto" w:fill="CAEDFB" w:themeFill="accent4" w:themeFillTint="33"/>
            <w:vAlign w:val="center"/>
          </w:tcPr>
          <w:p w14:paraId="6C90A551"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Word Count</w:t>
            </w:r>
          </w:p>
        </w:tc>
        <w:tc>
          <w:tcPr>
            <w:tcW w:w="6201" w:type="dxa"/>
            <w:vAlign w:val="center"/>
          </w:tcPr>
          <w:p w14:paraId="04230772" w14:textId="77777777" w:rsidR="00EF03F5" w:rsidRPr="0023471A" w:rsidRDefault="00EF03F5" w:rsidP="00166668">
            <w:pPr>
              <w:spacing w:line="276" w:lineRule="auto"/>
              <w:jc w:val="both"/>
              <w:rPr>
                <w:rFonts w:ascii="Calibri" w:hAnsi="Calibri" w:cs="Calibri"/>
                <w:sz w:val="20"/>
                <w:szCs w:val="20"/>
              </w:rPr>
            </w:pPr>
            <w:r w:rsidRPr="0023471A">
              <w:rPr>
                <w:rFonts w:ascii="Calibri" w:hAnsi="Calibri" w:cs="Calibri"/>
                <w:sz w:val="20"/>
                <w:szCs w:val="20"/>
              </w:rPr>
              <w:t>4550 (+/-10%)</w:t>
            </w:r>
          </w:p>
          <w:p w14:paraId="4EE14CFF" w14:textId="77777777" w:rsidR="00EF03F5" w:rsidRPr="0023471A" w:rsidRDefault="00EF03F5" w:rsidP="00166668">
            <w:pPr>
              <w:spacing w:line="276" w:lineRule="auto"/>
              <w:jc w:val="both"/>
              <w:rPr>
                <w:rFonts w:ascii="Calibri" w:hAnsi="Calibri" w:cs="Calibri"/>
                <w:sz w:val="20"/>
                <w:szCs w:val="20"/>
              </w:rPr>
            </w:pPr>
          </w:p>
          <w:p w14:paraId="3453AF66" w14:textId="6C4674D9" w:rsidR="00EF03F5" w:rsidRPr="0023471A" w:rsidRDefault="00EF03F5" w:rsidP="00166668">
            <w:pPr>
              <w:spacing w:line="276" w:lineRule="auto"/>
              <w:jc w:val="both"/>
              <w:rPr>
                <w:rFonts w:ascii="Calibri" w:hAnsi="Calibri" w:cs="Calibri"/>
                <w:sz w:val="20"/>
                <w:szCs w:val="20"/>
              </w:rPr>
            </w:pPr>
            <w:r>
              <w:rPr>
                <w:rFonts w:ascii="Calibri" w:hAnsi="Calibri" w:cs="Calibri"/>
                <w:sz w:val="20"/>
                <w:szCs w:val="20"/>
              </w:rPr>
              <w:t xml:space="preserve">Word Count: </w:t>
            </w:r>
            <w:r w:rsidRPr="0023471A">
              <w:rPr>
                <w:rFonts w:ascii="Calibri" w:hAnsi="Calibri" w:cs="Calibri"/>
                <w:sz w:val="20"/>
                <w:szCs w:val="20"/>
              </w:rPr>
              <w:t>4</w:t>
            </w:r>
            <w:r>
              <w:rPr>
                <w:rFonts w:ascii="Calibri" w:hAnsi="Calibri" w:cs="Calibri"/>
                <w:sz w:val="20"/>
                <w:szCs w:val="20"/>
              </w:rPr>
              <w:t>51</w:t>
            </w:r>
            <w:r>
              <w:rPr>
                <w:rFonts w:ascii="Calibri" w:hAnsi="Calibri" w:cs="Calibri"/>
                <w:sz w:val="20"/>
                <w:szCs w:val="20"/>
              </w:rPr>
              <w:t>2</w:t>
            </w:r>
          </w:p>
        </w:tc>
      </w:tr>
    </w:tbl>
    <w:p w14:paraId="0F9D2C67"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br w:type="page"/>
      </w:r>
    </w:p>
    <w:p w14:paraId="1BBD21E5" w14:textId="77777777" w:rsidR="00EF03F5" w:rsidRPr="0023471A" w:rsidRDefault="00EF03F5" w:rsidP="00EF03F5">
      <w:pPr>
        <w:pStyle w:val="Heading2"/>
        <w:spacing w:before="0" w:after="0" w:line="276" w:lineRule="auto"/>
        <w:jc w:val="both"/>
        <w:rPr>
          <w:rFonts w:ascii="Calibri" w:hAnsi="Calibri" w:cs="Calibri"/>
          <w:color w:val="auto"/>
          <w:sz w:val="20"/>
          <w:szCs w:val="20"/>
        </w:rPr>
      </w:pPr>
      <w:r>
        <w:rPr>
          <w:rFonts w:ascii="Calibri" w:hAnsi="Calibri" w:cs="Calibri"/>
          <w:color w:val="auto"/>
          <w:sz w:val="20"/>
        </w:rPr>
        <w:lastRenderedPageBreak/>
        <w:t>Part 1</w:t>
      </w:r>
    </w:p>
    <w:p w14:paraId="41CA03B1" w14:textId="77777777" w:rsidR="00EF03F5" w:rsidRPr="0023471A" w:rsidRDefault="00EF03F5" w:rsidP="00EF03F5">
      <w:pPr>
        <w:pStyle w:val="Heading3"/>
        <w:spacing w:before="0" w:line="276" w:lineRule="auto"/>
        <w:jc w:val="both"/>
        <w:rPr>
          <w:rFonts w:ascii="Calibri" w:hAnsi="Calibri" w:cs="Calibri"/>
          <w:color w:val="auto"/>
          <w:sz w:val="20"/>
          <w:szCs w:val="20"/>
        </w:rPr>
      </w:pPr>
    </w:p>
    <w:p w14:paraId="7DFC6B4C"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t>AC1.1</w:t>
      </w:r>
    </w:p>
    <w:p w14:paraId="57AD462F" w14:textId="77777777" w:rsidR="00EF03F5" w:rsidRPr="0023471A" w:rsidRDefault="00EF03F5" w:rsidP="00EF03F5">
      <w:pPr>
        <w:pStyle w:val="NormalWeb"/>
        <w:spacing w:line="276" w:lineRule="auto"/>
        <w:jc w:val="both"/>
        <w:rPr>
          <w:rFonts w:ascii="Calibri" w:hAnsi="Calibri" w:cs="Calibri"/>
          <w:sz w:val="20"/>
          <w:szCs w:val="20"/>
        </w:rPr>
      </w:pPr>
      <w:r>
        <w:rPr>
          <w:rFonts w:ascii="Calibri" w:hAnsi="Calibri" w:cs="Calibri"/>
          <w:sz w:val="20"/>
        </w:rPr>
        <w:t>Organisational structures influence reporting relationships, communication, decision making and accountability within organisations (CIPD, 2024). As Artiron Motors operates across the UK, Europe, the USA and Canada, selecting an appropriate organisational structure is important to ensure effective reporting lines, coordination, decision making and accountability across the business (Taylor and Woodhams, 2022).</w:t>
      </w:r>
    </w:p>
    <w:p w14:paraId="2D6A516B"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 xml:space="preserve">A divisional hierarchical structure for Artiron Motors may have several advantages as each division is likely segregated to focus on delivering the specific product or service or in a geographical area, in this instance the UK &amp; Europe. There would be clearly defined roles and responsibilities that relate to the geographic area; due to the size of the organisation, each division would likely have its own business functions. This would likely include but not be limited to HR, IT, and Operations. There then may be a headquarters of the overall organisation that will have similar functions and support the divisions by providing direction and ethical policies as well as collecting evidence to support the overall strategic plan. A key advantage of this for Artiron Motors may be that they are able to use a divisional structure to respond to the requirements of the localised regulatory challenges, this also may allow each area to focus on their own areas, rather than looking to involve themselves across multiple sites. However, a drawback may be that each division becomes a separate identity and innovation then lacks, as the teams don’t work together, leading to the risk of duplication of work. This may hinder Artiron Motors' Evolve Strategy. </w:t>
      </w:r>
    </w:p>
    <w:p w14:paraId="62C22F44"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p>
    <w:p w14:paraId="4E9C22C9"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A matrix structure is great for Artiron Motors, as they have specific project-based work when looking at Net Zero and advancements in battery technology. A matrix structure can support this by bringing together specialists from various sectors to develop and work together so that the organisation can work to maximum efficiency. Where it is managed correctly, there can be high levels of motivation and a positive impact; however, if managed poorly, this structure can lead to confusion, demotivation and conflict between the teams. When this is considered against the concern of long working hours and lack of support functions in Artiron Motors' recent survey, they would benefit from creating a wellbeing strategy around either a divisional or matrix structure, according to the research (Clemo) Artiron Motors would be aware of a lag in the UK, supported by the current UK engagement levels.</w:t>
      </w:r>
    </w:p>
    <w:p w14:paraId="56EF661D"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p>
    <w:p w14:paraId="392D525C" w14:textId="77777777" w:rsidR="00EF03F5" w:rsidRPr="0023471A" w:rsidRDefault="00EF03F5" w:rsidP="00EF03F5">
      <w:pPr>
        <w:pStyle w:val="NormalWeb"/>
        <w:spacing w:before="0" w:beforeAutospacing="0" w:after="0" w:afterAutospacing="0" w:line="276" w:lineRule="auto"/>
        <w:jc w:val="both"/>
        <w:rPr>
          <w:rStyle w:val="None"/>
          <w:rFonts w:ascii="Calibri" w:hAnsi="Calibri" w:cs="Calibri"/>
          <w:sz w:val="20"/>
          <w:szCs w:val="20"/>
        </w:rPr>
      </w:pPr>
    </w:p>
    <w:p w14:paraId="1ABD5583" w14:textId="77777777" w:rsidR="00EF03F5" w:rsidRPr="0023471A" w:rsidRDefault="00EF03F5" w:rsidP="00EF03F5">
      <w:pPr>
        <w:pStyle w:val="NormalWeb"/>
        <w:spacing w:before="0" w:beforeAutospacing="0" w:after="0" w:afterAutospacing="0" w:line="276" w:lineRule="auto"/>
        <w:jc w:val="both"/>
        <w:rPr>
          <w:rStyle w:val="None"/>
          <w:rFonts w:ascii="Calibri" w:hAnsi="Calibri" w:cs="Calibri"/>
          <w:sz w:val="20"/>
          <w:szCs w:val="20"/>
        </w:rPr>
      </w:pPr>
    </w:p>
    <w:p w14:paraId="6C863E01"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i/>
          <w:iCs/>
          <w:sz w:val="20"/>
        </w:rPr>
        <w:br w:type="page"/>
      </w:r>
    </w:p>
    <w:p w14:paraId="7505AE23"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AC1.2</w:t>
      </w:r>
    </w:p>
    <w:p w14:paraId="75F665A1" w14:textId="77777777" w:rsidR="00EF03F5" w:rsidRPr="0023471A" w:rsidRDefault="00EF03F5" w:rsidP="00EF03F5">
      <w:pPr>
        <w:spacing w:after="0" w:line="276" w:lineRule="auto"/>
        <w:jc w:val="both"/>
        <w:rPr>
          <w:rFonts w:ascii="Calibri" w:hAnsi="Calibri" w:cs="Calibri"/>
          <w:sz w:val="20"/>
          <w:szCs w:val="20"/>
        </w:rPr>
      </w:pPr>
    </w:p>
    <w:p w14:paraId="08A5C781"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Using the PESTLE tool to analyse 2 customer preferences may be valuable, as Artiron Motors are seeing an increased demand for eco-friendly vehicles and safer vehicles. According to Taylor and Woodhams (2022) the PESTLE analysis is a useful framework for understanding external influences on organisational decision-making. In Artiron Motors case, the social and environmental elements of PESTLE help explain increasing customer demand for electric vehicles and sustainable manufacturing practises. According to the research (Maxwell,2024) we can determine that customer preferences for eco-friendly products coupled with promoting Artiron Motors' open office and 2-day-a-week working-from-home approach will allow the embedding of the Evolve strategy across the company.</w:t>
      </w:r>
    </w:p>
    <w:p w14:paraId="5AE356A2" w14:textId="77777777" w:rsidR="00EF03F5" w:rsidRPr="0023471A" w:rsidRDefault="00EF03F5" w:rsidP="00EF03F5">
      <w:pPr>
        <w:spacing w:after="0" w:line="276" w:lineRule="auto"/>
        <w:jc w:val="both"/>
        <w:rPr>
          <w:rFonts w:ascii="Calibri" w:hAnsi="Calibri" w:cs="Calibri"/>
          <w:sz w:val="20"/>
          <w:szCs w:val="20"/>
        </w:rPr>
      </w:pPr>
    </w:p>
    <w:p w14:paraId="5E7F7C96"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Customers are increasingly choosing eco-friendly vehicles that produce lower emissions and have a reduced environmental impact. A study by over 27,000 consumers in 26 countries by Deloitte (2024) found that environmental considerations continue to influence vehicle purchasing decisions, with growing consumer interest in electric vehicles and sustainable transport solutions. This supports the need for Artiron Motors to invest in EV production and battery technology to remain competitive. Further aligning to Artiron Motors' ambition to be Net Zero by 2036 through its Evolve strategy. As demand for this increase, it is likely to impact the organisational development need in electric vehicle development, aligning to the requirement of upgrading the plants for EV production. Whilst this is a direct impact of the demand for EVs, there may be a financial outlay to start with capital investment in technology, equipment and development, with the opportunity to increase market share and support the Evolve strategy at the same time.</w:t>
      </w:r>
    </w:p>
    <w:p w14:paraId="5BDB6A5F" w14:textId="77777777" w:rsidR="00EF03F5" w:rsidRPr="0023471A" w:rsidRDefault="00EF03F5" w:rsidP="00EF03F5">
      <w:pPr>
        <w:spacing w:after="0" w:line="276" w:lineRule="auto"/>
        <w:jc w:val="both"/>
        <w:rPr>
          <w:rFonts w:ascii="Calibri" w:hAnsi="Calibri" w:cs="Calibri"/>
          <w:sz w:val="20"/>
          <w:szCs w:val="20"/>
        </w:rPr>
      </w:pPr>
    </w:p>
    <w:p w14:paraId="0B8C9D39"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As customers are also looking for safer vehicles as well as eco-friendly manufacturing of the vehicles in a sustainable manner, Artiron Motors will need to consider the environmental impact of their vehicles and consider the safety standard of how the cars withstand damage. This may be in the form of sourcing sustainable materials and monitoring carbon emissions from the supply chain. Whilst doing this may link to the Evolve strategy as well as being considered through the environmental part of a PESTLE analysis, safety must be considered. The safety of their vehicles, coupled with the eco-friendly approach, could improve brand reputation and increase customer loyalty, in turn increasing the customer base. </w:t>
      </w:r>
    </w:p>
    <w:p w14:paraId="2C785DF6" w14:textId="77777777" w:rsidR="00EF03F5" w:rsidRPr="0023471A" w:rsidRDefault="00EF03F5" w:rsidP="00EF03F5">
      <w:pPr>
        <w:spacing w:after="0" w:line="276" w:lineRule="auto"/>
        <w:jc w:val="both"/>
        <w:rPr>
          <w:rFonts w:ascii="Calibri" w:hAnsi="Calibri" w:cs="Calibri"/>
          <w:sz w:val="20"/>
          <w:szCs w:val="20"/>
        </w:rPr>
      </w:pPr>
    </w:p>
    <w:p w14:paraId="20B9806F" w14:textId="77777777" w:rsidR="00EF03F5" w:rsidRPr="0023471A" w:rsidRDefault="00EF03F5" w:rsidP="00EF03F5">
      <w:pPr>
        <w:spacing w:after="0" w:line="276" w:lineRule="auto"/>
        <w:jc w:val="both"/>
        <w:rPr>
          <w:rFonts w:ascii="Calibri" w:hAnsi="Calibri" w:cs="Calibri"/>
          <w:sz w:val="20"/>
          <w:szCs w:val="20"/>
        </w:rPr>
      </w:pPr>
    </w:p>
    <w:p w14:paraId="0780E28B" w14:textId="77777777" w:rsidR="00EF03F5" w:rsidRPr="0023471A" w:rsidRDefault="00EF03F5" w:rsidP="00EF03F5">
      <w:pPr>
        <w:spacing w:after="0" w:line="276" w:lineRule="auto"/>
        <w:jc w:val="both"/>
        <w:rPr>
          <w:rFonts w:ascii="Calibri" w:hAnsi="Calibri" w:cs="Calibri"/>
          <w:sz w:val="20"/>
          <w:szCs w:val="20"/>
        </w:rPr>
      </w:pPr>
    </w:p>
    <w:p w14:paraId="767F9528" w14:textId="77777777" w:rsidR="00EF03F5" w:rsidRPr="0023471A" w:rsidRDefault="00EF03F5" w:rsidP="00EF03F5">
      <w:pPr>
        <w:spacing w:after="0" w:line="276" w:lineRule="auto"/>
        <w:jc w:val="both"/>
        <w:rPr>
          <w:rFonts w:ascii="Calibri" w:hAnsi="Calibri" w:cs="Calibri"/>
          <w:sz w:val="20"/>
          <w:szCs w:val="20"/>
        </w:rPr>
      </w:pPr>
    </w:p>
    <w:p w14:paraId="178A153F" w14:textId="77777777" w:rsidR="00EF03F5" w:rsidRPr="0023471A" w:rsidRDefault="00EF03F5" w:rsidP="00EF03F5">
      <w:pPr>
        <w:spacing w:after="0" w:line="276" w:lineRule="auto"/>
        <w:jc w:val="both"/>
        <w:rPr>
          <w:rFonts w:ascii="Calibri" w:hAnsi="Calibri" w:cs="Calibri"/>
          <w:sz w:val="20"/>
          <w:szCs w:val="20"/>
        </w:rPr>
      </w:pPr>
    </w:p>
    <w:p w14:paraId="275DD327"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br w:type="page"/>
      </w:r>
    </w:p>
    <w:p w14:paraId="557A3AA9"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AC1.3</w:t>
      </w:r>
    </w:p>
    <w:p w14:paraId="4D2947C6" w14:textId="77777777" w:rsidR="00EF03F5" w:rsidRPr="0023471A" w:rsidRDefault="00EF03F5" w:rsidP="00EF03F5">
      <w:pPr>
        <w:spacing w:after="0" w:line="276" w:lineRule="auto"/>
        <w:jc w:val="both"/>
        <w:rPr>
          <w:rFonts w:ascii="Calibri" w:hAnsi="Calibri" w:cs="Calibri"/>
          <w:sz w:val="20"/>
          <w:szCs w:val="20"/>
        </w:rPr>
      </w:pPr>
    </w:p>
    <w:p w14:paraId="43B363BA"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Tariffs and supply chain issues are external pressures that can be analysed using the PESTLE method, focusing on political and economic elements of the analysis tool (Taylor &amp; Woodhams, 2022) Artiron Motors operates internationally, making their exposure to these elements unavoidable. </w:t>
      </w:r>
    </w:p>
    <w:p w14:paraId="5405A685" w14:textId="77777777" w:rsidR="00EF03F5" w:rsidRPr="0023471A" w:rsidRDefault="00EF03F5" w:rsidP="00EF03F5">
      <w:pPr>
        <w:spacing w:after="0" w:line="276" w:lineRule="auto"/>
        <w:jc w:val="both"/>
        <w:rPr>
          <w:rFonts w:ascii="Calibri" w:hAnsi="Calibri" w:cs="Calibri"/>
          <w:sz w:val="20"/>
          <w:szCs w:val="20"/>
        </w:rPr>
      </w:pPr>
    </w:p>
    <w:p w14:paraId="77D20EE2"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Tariffs are taxes imposed on imported or exported goods and are often linked to political decisions. A current example is the tariff changes taking place in the USA. As Artiron Motors operates across multiple markets, increased import or export costs may reduce profitability and competitiveness. If these costs are passed on to customers, sales demand may decline. Reduced profits may also limit investment in the Evolve strategy and create financial pressures that lead to recruitment freezes or restricted pay increases, potentially worsening employee satisfaction. An opportunity exists to source more components locally or engage alternative suppliers to reduce tariff exposure.</w:t>
      </w:r>
    </w:p>
    <w:p w14:paraId="5091FABF" w14:textId="77777777" w:rsidR="00EF03F5" w:rsidRPr="0023471A" w:rsidRDefault="00EF03F5" w:rsidP="00EF03F5">
      <w:pPr>
        <w:spacing w:after="0" w:line="276" w:lineRule="auto"/>
        <w:jc w:val="both"/>
        <w:rPr>
          <w:rFonts w:ascii="Calibri" w:hAnsi="Calibri" w:cs="Calibri"/>
          <w:sz w:val="20"/>
          <w:szCs w:val="20"/>
        </w:rPr>
      </w:pPr>
    </w:p>
    <w:p w14:paraId="0B4D5AF7"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Supply chain disruption is another external pressure, which may be worsened by cyber-attacks and result in manufacturing delays. According to Deloitte's Global Automotive Consumer Study (Walker and </w:t>
      </w:r>
      <w:proofErr w:type="spellStart"/>
      <w:r>
        <w:rPr>
          <w:rFonts w:ascii="Calibri" w:hAnsi="Calibri" w:cs="Calibri"/>
          <w:sz w:val="20"/>
        </w:rPr>
        <w:t>Proff</w:t>
      </w:r>
      <w:proofErr w:type="spellEnd"/>
      <w:r>
        <w:rPr>
          <w:rFonts w:ascii="Calibri" w:hAnsi="Calibri" w:cs="Calibri"/>
          <w:sz w:val="20"/>
        </w:rPr>
        <w:t>), disruption can increase costs, reduce production capacity and negatively affect customer satisfaction. This may impact revenue, damage brand reputation and delay progress towards Artiron Motors' net zero ambitions. Developing a wider supplier network and increasing stock inventories when costs are favourable could help reduce this risk.</w:t>
      </w:r>
    </w:p>
    <w:p w14:paraId="31A76696"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Together, tariffs and supply chain disruption present significant political and economic challenges for Artiron Motors. According to research (Cheese,2025). organisations must build resilience in response to economic uncertainty and external disruption. This may encourage Artiron Motors to develop a more sustainable supply chain and increase local manufacturing, supporting the long-term Evolve strategy.</w:t>
      </w:r>
    </w:p>
    <w:p w14:paraId="7E174C73" w14:textId="77777777" w:rsidR="00EF03F5" w:rsidRPr="0023471A" w:rsidRDefault="00EF03F5" w:rsidP="00EF03F5">
      <w:pPr>
        <w:spacing w:after="0" w:line="276" w:lineRule="auto"/>
        <w:jc w:val="both"/>
        <w:rPr>
          <w:rFonts w:ascii="Calibri" w:hAnsi="Calibri" w:cs="Calibri"/>
          <w:sz w:val="20"/>
          <w:szCs w:val="20"/>
        </w:rPr>
      </w:pPr>
    </w:p>
    <w:p w14:paraId="5EDCCE50" w14:textId="77777777" w:rsidR="00EF03F5" w:rsidRPr="0023471A" w:rsidRDefault="00EF03F5" w:rsidP="00EF03F5">
      <w:pPr>
        <w:spacing w:after="0" w:line="276" w:lineRule="auto"/>
        <w:jc w:val="both"/>
        <w:rPr>
          <w:rFonts w:ascii="Calibri" w:hAnsi="Calibri" w:cs="Calibri"/>
          <w:sz w:val="20"/>
          <w:szCs w:val="20"/>
        </w:rPr>
      </w:pPr>
    </w:p>
    <w:p w14:paraId="57E3BAB0" w14:textId="77777777" w:rsidR="00EF03F5" w:rsidRPr="0023471A" w:rsidRDefault="00EF03F5" w:rsidP="00EF03F5">
      <w:pPr>
        <w:spacing w:after="0" w:line="276" w:lineRule="auto"/>
        <w:jc w:val="both"/>
        <w:rPr>
          <w:rFonts w:ascii="Calibri" w:hAnsi="Calibri" w:cs="Calibri"/>
          <w:i/>
          <w:sz w:val="20"/>
          <w:szCs w:val="20"/>
        </w:rPr>
      </w:pPr>
    </w:p>
    <w:p w14:paraId="567DD3CB" w14:textId="77777777" w:rsidR="00EF03F5" w:rsidRPr="0023471A" w:rsidRDefault="00EF03F5" w:rsidP="00EF03F5">
      <w:pPr>
        <w:spacing w:after="0" w:line="276" w:lineRule="auto"/>
        <w:rPr>
          <w:rFonts w:ascii="Calibri" w:hAnsi="Calibri" w:cs="Calibri"/>
          <w:i/>
          <w:sz w:val="20"/>
          <w:szCs w:val="20"/>
        </w:rPr>
      </w:pPr>
      <w:r>
        <w:rPr>
          <w:rFonts w:ascii="Calibri" w:hAnsi="Calibri" w:cs="Calibri"/>
          <w:i/>
          <w:sz w:val="20"/>
        </w:rPr>
        <w:br w:type="page"/>
      </w:r>
    </w:p>
    <w:p w14:paraId="3432F521"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AC1.4</w:t>
      </w:r>
    </w:p>
    <w:p w14:paraId="21F2B96C" w14:textId="77777777" w:rsidR="00EF03F5" w:rsidRPr="0023471A" w:rsidRDefault="00EF03F5" w:rsidP="00EF03F5">
      <w:pPr>
        <w:spacing w:after="0" w:line="276" w:lineRule="auto"/>
        <w:jc w:val="both"/>
        <w:rPr>
          <w:rFonts w:ascii="Calibri" w:hAnsi="Calibri" w:cs="Calibri"/>
          <w:sz w:val="20"/>
          <w:szCs w:val="20"/>
        </w:rPr>
      </w:pPr>
    </w:p>
    <w:p w14:paraId="77C0342E"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It’s clear that robotics and </w:t>
      </w:r>
      <w:proofErr w:type="spellStart"/>
      <w:r>
        <w:rPr>
          <w:rFonts w:ascii="Calibri" w:hAnsi="Calibri" w:cs="Calibri"/>
          <w:sz w:val="20"/>
        </w:rPr>
        <w:t>cyber attacks</w:t>
      </w:r>
      <w:proofErr w:type="spellEnd"/>
      <w:r>
        <w:rPr>
          <w:rFonts w:ascii="Calibri" w:hAnsi="Calibri" w:cs="Calibri"/>
          <w:sz w:val="20"/>
        </w:rPr>
        <w:t xml:space="preserve"> are having an impact on work at Artiron Motors, for both strands are important, as robotics are already heavily relied upon within their factories and robotics are at risk from cyberattacks. With Artiron Motors being such a large force in the industry, this may make them a target for cyberattacks. </w:t>
      </w:r>
    </w:p>
    <w:p w14:paraId="239EC1A6" w14:textId="77777777" w:rsidR="00EF03F5" w:rsidRPr="0023471A" w:rsidRDefault="00EF03F5" w:rsidP="00EF03F5">
      <w:pPr>
        <w:spacing w:after="0" w:line="276" w:lineRule="auto"/>
        <w:jc w:val="both"/>
        <w:rPr>
          <w:rFonts w:ascii="Calibri" w:hAnsi="Calibri" w:cs="Calibri"/>
          <w:sz w:val="20"/>
          <w:szCs w:val="20"/>
        </w:rPr>
      </w:pPr>
    </w:p>
    <w:p w14:paraId="1C77B760"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Robotics has been adapted in Artiron Motors with painting, welding and the consideration of introducing co-bots that will work alongside the employees as part of their Evolve Strategy. This may have a positive impact on the company’s performance by increasing productivity &amp; consistency, as co-bots may undertake repetitive tasks that may cause risk to humans from a repetitive strain injury; this in turn increases employee wellbeing. Co-bots may do this to a higher level of accuracy, as fatigue or the working time directive is not a factor. Whilst this impact positively in many ways, this may lead to a reduced moral within the workplace, according to the CIPD (“CIPD | Future-Focused HR: Using AI to Raise Productivity Without Weakening Capability and Trust”) we can determine that AI can cause some employees to feel less valued as their role shifts from using specialist expertise to overseeing AI outputs, potentially reducing motivation, increasing job insecurity, and limiting development opportunities, particularly in entry-level roles</w:t>
      </w:r>
    </w:p>
    <w:p w14:paraId="37C2AEF3" w14:textId="77777777" w:rsidR="00EF03F5" w:rsidRPr="0023471A" w:rsidRDefault="00EF03F5" w:rsidP="00EF03F5">
      <w:pPr>
        <w:spacing w:after="0" w:line="276" w:lineRule="auto"/>
        <w:jc w:val="both"/>
        <w:rPr>
          <w:rFonts w:ascii="Calibri" w:hAnsi="Calibri" w:cs="Calibri"/>
          <w:sz w:val="20"/>
          <w:szCs w:val="20"/>
        </w:rPr>
      </w:pPr>
    </w:p>
    <w:p w14:paraId="42BE6849"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The National Cyber Security Centre (“NCSC Statement: Incident Impacting Jaguar Land Rover”) released a statement in relation to a similar incident to Jaguar Landover, which caused and economic impact of over £1.8 Billion. This is a similar organisation to Artiron Motors, with key learnings including multi-authentication, password regular changes and updated software. The impact of a cyberattack could be catastrophic to Artiron Motors, as they may lose commercially sensitive information, including data from future product innovation, as well as weaken their brand reputation. A successful cyber-attack could also disrupt manufacturing systems and supply chains, delay production schedules and impacting Artiron Motors' ability to meet customer demand, as a control measure Artiron Motors may look to increase employee training towards phishing attacks and cyber security to act as a line of defence, rather than a venerability. </w:t>
      </w:r>
    </w:p>
    <w:p w14:paraId="1DB3815A" w14:textId="77777777" w:rsidR="00EF03F5" w:rsidRPr="0023471A" w:rsidRDefault="00EF03F5" w:rsidP="00EF03F5">
      <w:pPr>
        <w:spacing w:after="0" w:line="276" w:lineRule="auto"/>
        <w:jc w:val="both"/>
        <w:rPr>
          <w:rFonts w:ascii="Calibri" w:hAnsi="Calibri" w:cs="Calibri"/>
          <w:sz w:val="20"/>
          <w:szCs w:val="20"/>
        </w:rPr>
      </w:pPr>
    </w:p>
    <w:p w14:paraId="0A762274"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Overall, robotics are likely to have an overall positive impact, so long as they are utilised in a positive way, supporting employees through lowering risk, increasing communication and effective training. In comparison, cyberattacks pose a significant risk and have a higher risk to operational &amp; economic performance, whereby Artiron Motors should consider continued investment in both robotics and cyber security.</w:t>
      </w:r>
    </w:p>
    <w:p w14:paraId="71147DED" w14:textId="77777777" w:rsidR="00EF03F5" w:rsidRPr="0023471A" w:rsidRDefault="00EF03F5" w:rsidP="00EF03F5">
      <w:pPr>
        <w:spacing w:after="0" w:line="276" w:lineRule="auto"/>
        <w:jc w:val="both"/>
        <w:rPr>
          <w:rFonts w:ascii="Calibri" w:hAnsi="Calibri" w:cs="Calibri"/>
          <w:sz w:val="20"/>
          <w:szCs w:val="20"/>
        </w:rPr>
      </w:pPr>
    </w:p>
    <w:p w14:paraId="3A2FD95F"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br w:type="page"/>
      </w:r>
    </w:p>
    <w:p w14:paraId="58B2D71E"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AC2.1</w:t>
      </w:r>
    </w:p>
    <w:p w14:paraId="5FF39049"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Schein’s model of organisational culture could help Artiron Motors identify whether there is alignment between what the organisation says it values and what employees experience. Schein’s model suggests that culture consists of three levels: artefacts, espoused values and underlying assumptions.</w:t>
      </w:r>
    </w:p>
    <w:p w14:paraId="1DF31A10" w14:textId="77777777" w:rsidR="00EF03F5" w:rsidRPr="0023471A" w:rsidRDefault="00EF03F5" w:rsidP="00EF03F5">
      <w:pPr>
        <w:spacing w:after="0" w:line="276" w:lineRule="auto"/>
        <w:jc w:val="both"/>
        <w:rPr>
          <w:rFonts w:ascii="Calibri" w:hAnsi="Calibri" w:cs="Calibri"/>
          <w:sz w:val="20"/>
          <w:szCs w:val="20"/>
        </w:rPr>
      </w:pPr>
    </w:p>
    <w:p w14:paraId="123B8D9D"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The first level is artefacts; these are the visible aspects of an organisation that are easy to observe. At Artiron Motors, examples include open-plan offices, hybrid working, corporate induction programmes and leaders wearing the same uniform as employees. These suggest a culture of inclusion and collaboration but do not explain how employees genuinely feel.</w:t>
      </w:r>
    </w:p>
    <w:p w14:paraId="11B4838C" w14:textId="77777777" w:rsidR="00EF03F5" w:rsidRPr="0023471A" w:rsidRDefault="00EF03F5" w:rsidP="00EF03F5">
      <w:pPr>
        <w:spacing w:after="0" w:line="276" w:lineRule="auto"/>
        <w:jc w:val="both"/>
        <w:rPr>
          <w:rFonts w:ascii="Calibri" w:hAnsi="Calibri" w:cs="Calibri"/>
          <w:sz w:val="20"/>
          <w:szCs w:val="20"/>
        </w:rPr>
      </w:pPr>
    </w:p>
    <w:p w14:paraId="55275E96"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The second level is espoused values, which are the beliefs and principles an organisation promotes. At Artiron Motors, quality, innovation, sustainability and inclusion are communicated through induction and the Evolve strategy. However, according to the research by Edgar Schein (EPM) suggest that espoused values do not always reflect employees' actual experiences. Understanding these values can help identify whether the culture promoted aligns with the culture experienced.</w:t>
      </w:r>
    </w:p>
    <w:p w14:paraId="62647A54" w14:textId="77777777" w:rsidR="00EF03F5" w:rsidRPr="0023471A" w:rsidRDefault="00EF03F5" w:rsidP="00EF03F5">
      <w:pPr>
        <w:spacing w:after="0" w:line="276" w:lineRule="auto"/>
        <w:jc w:val="both"/>
        <w:rPr>
          <w:rFonts w:ascii="Calibri" w:hAnsi="Calibri" w:cs="Calibri"/>
          <w:sz w:val="20"/>
          <w:szCs w:val="20"/>
        </w:rPr>
      </w:pPr>
    </w:p>
    <w:p w14:paraId="43B5E08D"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The third level is underlying assumptions, which are the unconscious beliefs that influence how employees think and behave. This level can help Artiron Motors identify cultural gaps. Although the organisation promotes positive values, employee concerns relating to PPE, long hours and pay suggest that some employees may hold different assumptions. If employees feel wellbeing concerns are not being addressed, they may believe organisational priorities differ from those communicated by senior leaders (Taylor and Woodhams, 2022).</w:t>
      </w:r>
    </w:p>
    <w:p w14:paraId="33745A9D" w14:textId="77777777" w:rsidR="00EF03F5" w:rsidRPr="0023471A" w:rsidRDefault="00EF03F5" w:rsidP="00EF03F5">
      <w:pPr>
        <w:spacing w:after="0" w:line="276" w:lineRule="auto"/>
        <w:jc w:val="both"/>
        <w:rPr>
          <w:rFonts w:ascii="Calibri" w:hAnsi="Calibri" w:cs="Calibri"/>
          <w:sz w:val="20"/>
          <w:szCs w:val="20"/>
        </w:rPr>
      </w:pPr>
    </w:p>
    <w:p w14:paraId="11C50743"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As Artiron Motors introduces co-bots and upgrades its plant, Schein’s model could help leaders understand employee responses to change. Visible investment (Artefacts), supported by clear communication of its purpose (Espoused Values), may help employees feel secure and motivated (Underlying Assumptions). Aligning all three levels could reduce resistance and improve employee engagement.</w:t>
      </w:r>
    </w:p>
    <w:p w14:paraId="4EB46117" w14:textId="77777777" w:rsidR="00EF03F5" w:rsidRPr="0023471A" w:rsidRDefault="00EF03F5" w:rsidP="00EF03F5">
      <w:pPr>
        <w:spacing w:after="0" w:line="276" w:lineRule="auto"/>
        <w:jc w:val="both"/>
        <w:rPr>
          <w:rFonts w:ascii="Calibri" w:hAnsi="Calibri" w:cs="Calibri"/>
          <w:sz w:val="20"/>
          <w:szCs w:val="20"/>
        </w:rPr>
      </w:pPr>
    </w:p>
    <w:p w14:paraId="78FDA1B1" w14:textId="77777777" w:rsidR="00EF03F5" w:rsidRPr="0023471A" w:rsidRDefault="00EF03F5" w:rsidP="00EF03F5">
      <w:pPr>
        <w:spacing w:after="0" w:line="276" w:lineRule="auto"/>
        <w:jc w:val="both"/>
        <w:rPr>
          <w:rFonts w:ascii="Calibri" w:hAnsi="Calibri" w:cs="Calibri"/>
          <w:sz w:val="20"/>
          <w:szCs w:val="20"/>
        </w:rPr>
      </w:pPr>
    </w:p>
    <w:p w14:paraId="35310A8C" w14:textId="77777777" w:rsidR="00EF03F5" w:rsidRPr="0023471A" w:rsidRDefault="00EF03F5" w:rsidP="00EF03F5">
      <w:pPr>
        <w:spacing w:after="0" w:line="276" w:lineRule="auto"/>
        <w:jc w:val="both"/>
        <w:rPr>
          <w:rFonts w:ascii="Calibri" w:hAnsi="Calibri" w:cs="Calibri"/>
          <w:sz w:val="20"/>
          <w:szCs w:val="20"/>
        </w:rPr>
      </w:pPr>
    </w:p>
    <w:p w14:paraId="356E7174"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hAnsi="Calibri" w:cs="Calibri"/>
          <w:sz w:val="20"/>
        </w:rPr>
        <w:br w:type="page"/>
      </w:r>
    </w:p>
    <w:p w14:paraId="69034BC0"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AC2.2</w:t>
      </w:r>
    </w:p>
    <w:p w14:paraId="3E7DF212" w14:textId="77777777" w:rsidR="00EF03F5" w:rsidRPr="0023471A" w:rsidRDefault="00EF03F5" w:rsidP="00EF03F5">
      <w:pPr>
        <w:spacing w:after="0" w:line="276" w:lineRule="auto"/>
        <w:jc w:val="both"/>
        <w:rPr>
          <w:rFonts w:ascii="Calibri" w:hAnsi="Calibri" w:cs="Calibri"/>
          <w:sz w:val="20"/>
          <w:szCs w:val="20"/>
        </w:rPr>
      </w:pPr>
    </w:p>
    <w:p w14:paraId="00BC76E8"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People practises are the policies, processes and activities used to manage employees throughout the employment relationship. According to CIPD (CIPD, 2024). people's practises play a significant role in shaping organisational culture by influencing employee behaviour, engagement and organisational values. For Artiron Motors, people practices could help create an innovative and inclusive culture that supports the Evolve strategy, the transition towards electric vehicle production and the organisation's carbon net zero ambitions. According to the research (Peters) this highlights that people who practise which promote participation and autonomy can enhance employee wellbeing, while practises that increase workload and time pressure may have negative wellbeing impacts. Therefore, people's practises should not only support organisational performance but also promote employee wellbeing to help sustain engagement, productivity and positive cultural change.</w:t>
      </w:r>
    </w:p>
    <w:p w14:paraId="592A5801" w14:textId="77777777" w:rsidR="00EF03F5" w:rsidRPr="0023471A" w:rsidRDefault="00EF03F5" w:rsidP="00EF03F5">
      <w:pPr>
        <w:spacing w:after="0" w:line="276" w:lineRule="auto"/>
        <w:jc w:val="both"/>
        <w:rPr>
          <w:rFonts w:ascii="Calibri" w:hAnsi="Calibri" w:cs="Calibri"/>
          <w:sz w:val="20"/>
          <w:szCs w:val="20"/>
        </w:rPr>
      </w:pPr>
    </w:p>
    <w:p w14:paraId="487F0145"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Innovation can be positively supported using technology to allow employees at Artiron Motors to be at lesser risk as well as learn new skills to work collaboratively with Co-Bots and AI services. This may allow employees to be more innovative, encouraging new ideas to contribute towards innovation. This is likely to only come to fruition if there are good people practising around learning &amp; development; with Artiron Motors' talent pipeline, this seems to be positive.</w:t>
      </w:r>
    </w:p>
    <w:p w14:paraId="4B609061" w14:textId="77777777" w:rsidR="00EF03F5" w:rsidRPr="0023471A" w:rsidRDefault="00EF03F5" w:rsidP="00EF03F5">
      <w:pPr>
        <w:spacing w:after="0" w:line="276" w:lineRule="auto"/>
        <w:jc w:val="both"/>
        <w:rPr>
          <w:rFonts w:ascii="Calibri" w:hAnsi="Calibri" w:cs="Calibri"/>
          <w:sz w:val="20"/>
          <w:szCs w:val="20"/>
        </w:rPr>
      </w:pPr>
    </w:p>
    <w:p w14:paraId="528FAAAF"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Inclusion is an important part of an inclusive culture that can support innovation because employees are more likely to share ideas and challenge existing approaches when they feel respected, valued and psychologically safe (Taylor and Woodhams, 2022). ensuring that employees' names are listened to so that they feel they are making a difference. The recent survey at Artiron Motors suggests employees value the opportunity to raise concerns as they have with PPE, working hours and pay. Additional people practises may include consultation, focus groups and employee forums, even wellbeing weeks where all levels of the business mix together, creating an inclusive group. This is likely to increase trust and engagement within the working group.</w:t>
      </w:r>
    </w:p>
    <w:p w14:paraId="6C93E66B" w14:textId="77777777" w:rsidR="00EF03F5" w:rsidRPr="0023471A" w:rsidRDefault="00EF03F5" w:rsidP="00EF03F5">
      <w:pPr>
        <w:spacing w:after="0" w:line="276" w:lineRule="auto"/>
        <w:jc w:val="both"/>
        <w:rPr>
          <w:rFonts w:ascii="Calibri" w:hAnsi="Calibri" w:cs="Calibri"/>
          <w:sz w:val="20"/>
          <w:szCs w:val="20"/>
        </w:rPr>
      </w:pPr>
    </w:p>
    <w:p w14:paraId="00FB97D4"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A recruitment people practice supports both innovation and inclusion, as it would support attracting new skill sets from various backgrounds and experiences. Artiron Motors' careers programme &amp; contracts for students lasting 2 years are positive signs that there is a positively supported programme in place already to encourage a strong talent pipeline for the future. </w:t>
      </w:r>
    </w:p>
    <w:p w14:paraId="4EFC445B" w14:textId="77777777" w:rsidR="00EF03F5" w:rsidRPr="0023471A" w:rsidRDefault="00EF03F5" w:rsidP="00EF03F5">
      <w:pPr>
        <w:spacing w:after="0" w:line="276" w:lineRule="auto"/>
        <w:jc w:val="both"/>
        <w:rPr>
          <w:rFonts w:ascii="Calibri" w:hAnsi="Calibri" w:cs="Calibri"/>
          <w:sz w:val="20"/>
          <w:szCs w:val="20"/>
        </w:rPr>
      </w:pPr>
    </w:p>
    <w:p w14:paraId="3ED73492"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Overall, people practice around learning &amp; development, inclusion through employee voice, and recruitment could positively support the innovative and inclusive culture at Artiron Motors. These practises will allow employees to continually develop, feel valued within the organisation and contribute positively, which is important as the use of technology is brought in to support the Evolve strategy. </w:t>
      </w:r>
    </w:p>
    <w:p w14:paraId="61089E5A" w14:textId="77777777" w:rsidR="00EF03F5" w:rsidRPr="0023471A" w:rsidRDefault="00EF03F5" w:rsidP="00EF03F5">
      <w:pPr>
        <w:spacing w:after="0" w:line="276" w:lineRule="auto"/>
        <w:jc w:val="both"/>
        <w:rPr>
          <w:rFonts w:ascii="Calibri" w:hAnsi="Calibri" w:cs="Calibri"/>
          <w:sz w:val="20"/>
          <w:szCs w:val="20"/>
        </w:rPr>
      </w:pPr>
    </w:p>
    <w:p w14:paraId="22AFD051" w14:textId="77777777" w:rsidR="00EF03F5" w:rsidRPr="0023471A" w:rsidRDefault="00EF03F5" w:rsidP="00EF03F5">
      <w:pPr>
        <w:spacing w:after="0" w:line="276" w:lineRule="auto"/>
        <w:jc w:val="both"/>
        <w:rPr>
          <w:rFonts w:ascii="Calibri" w:hAnsi="Calibri" w:cs="Calibri"/>
          <w:sz w:val="20"/>
          <w:szCs w:val="20"/>
        </w:rPr>
      </w:pPr>
    </w:p>
    <w:p w14:paraId="4DD7834C" w14:textId="77777777" w:rsidR="00EF03F5" w:rsidRPr="0023471A" w:rsidRDefault="00EF03F5" w:rsidP="00EF03F5">
      <w:pPr>
        <w:spacing w:after="0" w:line="276" w:lineRule="auto"/>
        <w:jc w:val="both"/>
        <w:rPr>
          <w:rFonts w:ascii="Calibri" w:hAnsi="Calibri" w:cs="Calibri"/>
          <w:sz w:val="20"/>
          <w:szCs w:val="20"/>
        </w:rPr>
      </w:pPr>
    </w:p>
    <w:p w14:paraId="5FD4EC93" w14:textId="77777777" w:rsidR="00EF03F5" w:rsidRPr="0023471A" w:rsidRDefault="00EF03F5" w:rsidP="00EF03F5">
      <w:pPr>
        <w:spacing w:after="0" w:line="276" w:lineRule="auto"/>
        <w:jc w:val="both"/>
        <w:rPr>
          <w:rFonts w:ascii="Calibri" w:hAnsi="Calibri" w:cs="Calibri"/>
          <w:sz w:val="20"/>
          <w:szCs w:val="20"/>
        </w:rPr>
      </w:pPr>
    </w:p>
    <w:p w14:paraId="0684A7CF" w14:textId="77777777" w:rsidR="00EF03F5" w:rsidRPr="0023471A" w:rsidRDefault="00EF03F5" w:rsidP="00EF03F5">
      <w:pPr>
        <w:spacing w:after="0" w:line="276" w:lineRule="auto"/>
        <w:jc w:val="both"/>
        <w:rPr>
          <w:rFonts w:ascii="Calibri" w:hAnsi="Calibri" w:cs="Calibri"/>
          <w:sz w:val="20"/>
          <w:szCs w:val="20"/>
        </w:rPr>
      </w:pPr>
    </w:p>
    <w:p w14:paraId="2A2672F6" w14:textId="77777777" w:rsidR="00EF03F5" w:rsidRPr="0023471A" w:rsidRDefault="00EF03F5" w:rsidP="00EF03F5">
      <w:pPr>
        <w:spacing w:after="0" w:line="276" w:lineRule="auto"/>
        <w:jc w:val="both"/>
        <w:rPr>
          <w:rFonts w:ascii="Calibri" w:hAnsi="Calibri" w:cs="Calibri"/>
          <w:sz w:val="20"/>
          <w:szCs w:val="20"/>
        </w:rPr>
      </w:pPr>
    </w:p>
    <w:p w14:paraId="20151B24"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hAnsi="Calibri" w:cs="Calibri"/>
          <w:sz w:val="20"/>
        </w:rPr>
        <w:br w:type="page"/>
      </w:r>
    </w:p>
    <w:p w14:paraId="64BEEA66"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AC2.3</w:t>
      </w:r>
    </w:p>
    <w:p w14:paraId="0B333F59" w14:textId="77777777" w:rsidR="00EF03F5" w:rsidRPr="0023471A" w:rsidRDefault="00EF03F5" w:rsidP="00EF03F5">
      <w:pPr>
        <w:spacing w:after="0" w:line="276" w:lineRule="auto"/>
        <w:jc w:val="both"/>
        <w:rPr>
          <w:rFonts w:ascii="Calibri" w:hAnsi="Calibri" w:cs="Calibri"/>
          <w:sz w:val="20"/>
          <w:szCs w:val="20"/>
        </w:rPr>
      </w:pPr>
    </w:p>
    <w:p w14:paraId="4811E936"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Kurt Lewin, a social psychologist, developed the three-stage Change Management Model of Unfreeze, Change and Refreeze, which can help organisations implement and sustain change effectively. Artiron Motors could apply this model to support its transition towards carbon net zero through the Evolve strategy.</w:t>
      </w:r>
    </w:p>
    <w:p w14:paraId="722C9913" w14:textId="77777777" w:rsidR="00EF03F5" w:rsidRPr="0023471A" w:rsidRDefault="00EF03F5" w:rsidP="00EF03F5">
      <w:pPr>
        <w:spacing w:after="0" w:line="276" w:lineRule="auto"/>
        <w:jc w:val="both"/>
        <w:rPr>
          <w:rFonts w:ascii="Calibri" w:hAnsi="Calibri" w:cs="Calibri"/>
          <w:sz w:val="20"/>
          <w:szCs w:val="20"/>
        </w:rPr>
      </w:pPr>
    </w:p>
    <w:p w14:paraId="33F973A7" w14:textId="77777777" w:rsidR="00EF03F5" w:rsidRPr="00CD74BF" w:rsidRDefault="00EF03F5" w:rsidP="00EF03F5">
      <w:pPr>
        <w:spacing w:after="0" w:line="276" w:lineRule="auto"/>
        <w:jc w:val="both"/>
        <w:rPr>
          <w:rFonts w:ascii="Calibri" w:hAnsi="Calibri" w:cs="Calibri"/>
          <w:sz w:val="20"/>
          <w:szCs w:val="20"/>
        </w:rPr>
      </w:pPr>
      <w:r>
        <w:rPr>
          <w:rFonts w:ascii="Calibri" w:hAnsi="Calibri" w:cs="Calibri"/>
          <w:sz w:val="20"/>
        </w:rPr>
        <w:t>Unfreezing involves preparing employees for change by creating awareness of why it is necessary. According to the CIPD (2025), organisations should communicate the reasons for change and engage employees early to build understanding and reduce resistance. Artiron Motors could communicate the environmental, economic and technological drivers behind the Evolve strategy, helping employees understand why changes to manufacturing processes and working practises are required. Leaders could also explain the reasons for achieving carbon net zero by 2036 and the benefits this will bring.</w:t>
      </w:r>
    </w:p>
    <w:p w14:paraId="03D689FD" w14:textId="77777777" w:rsidR="00EF03F5" w:rsidRPr="0023471A" w:rsidRDefault="00EF03F5" w:rsidP="00EF03F5">
      <w:pPr>
        <w:spacing w:after="0" w:line="276" w:lineRule="auto"/>
        <w:jc w:val="both"/>
        <w:rPr>
          <w:rFonts w:ascii="Calibri" w:hAnsi="Calibri" w:cs="Calibri"/>
          <w:sz w:val="20"/>
          <w:szCs w:val="20"/>
        </w:rPr>
      </w:pPr>
    </w:p>
    <w:p w14:paraId="58786ADA" w14:textId="77777777" w:rsidR="00EF03F5" w:rsidRPr="00497F59" w:rsidRDefault="00EF03F5" w:rsidP="00EF03F5">
      <w:pPr>
        <w:spacing w:after="0" w:line="276" w:lineRule="auto"/>
        <w:jc w:val="both"/>
        <w:rPr>
          <w:rFonts w:ascii="Calibri" w:hAnsi="Calibri" w:cs="Calibri"/>
          <w:sz w:val="20"/>
          <w:szCs w:val="20"/>
        </w:rPr>
      </w:pPr>
      <w:r>
        <w:rPr>
          <w:rFonts w:ascii="Calibri" w:hAnsi="Calibri" w:cs="Calibri"/>
          <w:sz w:val="20"/>
        </w:rPr>
        <w:t>The second stage, Change, is where new ways of working, behaviours and processes are introduced. At Artiron Motors this may involve upgrading facilities for electric vehicle production and introducing additional cobots. Learning and development, supported by clear leadership communication, would be essential to maintain employee engagement. This stage could also involve retraining employees and introducing more sustainable manufacturing processes. (Taylor and Woodhams, 2022).</w:t>
      </w:r>
    </w:p>
    <w:p w14:paraId="1EA81306" w14:textId="77777777" w:rsidR="00EF03F5" w:rsidRPr="0023471A" w:rsidRDefault="00EF03F5" w:rsidP="00EF03F5">
      <w:pPr>
        <w:spacing w:after="0" w:line="276" w:lineRule="auto"/>
        <w:jc w:val="both"/>
        <w:rPr>
          <w:rFonts w:ascii="Calibri" w:hAnsi="Calibri" w:cs="Calibri"/>
          <w:sz w:val="20"/>
          <w:szCs w:val="20"/>
        </w:rPr>
      </w:pPr>
    </w:p>
    <w:p w14:paraId="30EEA140"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Once new ways of working are implemented, the final stage is Refreeze, where processes become embedded within the organisation's culture. Sustainability objectives could be incorporated into performance reviews, induction programmes and organisational policies to ensure low-carbon practises become part of everyday working culture. Whilst the model is simple to communicate and follow, it may be difficult to tailor to specific areas of the organisation.</w:t>
      </w:r>
    </w:p>
    <w:p w14:paraId="4DACE672" w14:textId="77777777" w:rsidR="00EF03F5" w:rsidRPr="0023471A" w:rsidRDefault="00EF03F5" w:rsidP="00EF03F5">
      <w:pPr>
        <w:spacing w:after="0" w:line="276" w:lineRule="auto"/>
        <w:jc w:val="both"/>
        <w:rPr>
          <w:rFonts w:ascii="Calibri" w:hAnsi="Calibri" w:cs="Calibri"/>
          <w:sz w:val="20"/>
          <w:szCs w:val="20"/>
        </w:rPr>
      </w:pPr>
    </w:p>
    <w:p w14:paraId="7D118737"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An alternative approach is Nudge Theory; according to the research, we can determine by Thaler and Sunstein (2008) that Nudge Theory encourages positive behaviour through subtle influences rather than direct instruction. Artiron Motors could use environmental performance dashboards, sustainability recognition schemes and low-carbon defaults to encourage sustainable behaviours. The advantage is that employees may feel greater ownership of change; however, it is unlikely to be sufficient for large-scale organisational change on its own and is most effective when used alongside a structured model such as Lewin's.</w:t>
      </w:r>
    </w:p>
    <w:p w14:paraId="247D4716"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hAnsi="Calibri" w:cs="Calibri"/>
          <w:sz w:val="20"/>
        </w:rPr>
        <w:br w:type="page"/>
      </w:r>
    </w:p>
    <w:p w14:paraId="751CE570"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 2.4</w:t>
      </w:r>
    </w:p>
    <w:p w14:paraId="709B00B5"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Organisations need to change their response to internal and external pressures such as technological advancements, economic conditions, changing customer expectations and strategic objectives (CIPD, 2024). Effective change management is important because poorly managed change can result in resistance, reduced engagement, lower productivity and failure to achieve organisational goals. People professionals play a key role in supporting change through communication, employee involvement, training and organisational development. Understanding how employees experience change is therefore essential when implementing new initiatives, such as the introduction of cobots at Artiron Motors, as employees may respond to change in different ways.</w:t>
      </w:r>
    </w:p>
    <w:p w14:paraId="057705E3"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p>
    <w:p w14:paraId="422978C2"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 xml:space="preserve">The Kubler-Ross Change Curve is a model that explains the emotional responses individuals may experience during change. Although originally developed to explain grief, it is widely used in organisations to understand how employees react to workplace change (Taylor and Woodhams, 2022). Artiron Motors could use this model to understand and support employees during the introduction of cobots as part of the Evolve strategy. </w:t>
      </w:r>
    </w:p>
    <w:p w14:paraId="4C0A7328"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Initially, employees may experience shock or denial when they learn that cobots will be introduced into manufacturing operations. Some employees may worry that technology could replace aspects of their role or reduce the value of their existing skills. This uncertainty may create resistance and anxiety. However, other employees may view the introduction of cobots positively, recognising opportunities to develop new skills and improve future career prospects.</w:t>
      </w:r>
    </w:p>
    <w:p w14:paraId="47F0A6B7"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p>
    <w:p w14:paraId="76388482"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As the change progresses, some employees may experience frustration or anger, particularly if they feel uncomfortable learning new technologies or believe the change will disrupt established working practises. Employees with longer service may find it more difficult to adapt than those who are already familiar with technology. At this stage, effective communication, consultation and employee involvement are important to address concerns and maintain trust. Over time, employees may enter the exploration and acceptance stages. Through training and support, employees can begin to understand the benefits of working alongside cobots, including reduced repetitive tasks, improved safety and opportunities to develop new skills. This can increase confidence, engagement and commitment to the change.</w:t>
      </w:r>
    </w:p>
    <w:p w14:paraId="71405ABF"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p>
    <w:p w14:paraId="4CE64467"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 xml:space="preserve">Finally, employees may reach commitment, where the use of cobots becomes a normal part of everyday work. However, the model recognises that individuals experience changes differently and may progress through the stages at different speeds. Therefore, Artiron Motors should provide ongoing communication, training and support throughout the transition to reduce resistance and improve the successful adoption of cobots. </w:t>
      </w:r>
    </w:p>
    <w:p w14:paraId="38DAF65D"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p>
    <w:p w14:paraId="432A2A8C"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r>
        <w:rPr>
          <w:rFonts w:ascii="Calibri" w:hAnsi="Calibri" w:cs="Calibri"/>
          <w:sz w:val="20"/>
        </w:rPr>
        <w:t>Overall, the Kubler-Ross Change Curve highlights that employees are likely to experience a range of emotional responses during the introduction of cobots. Understanding these responses will help Artiron Motors provide appropriate support, minimise resistance and improve the likelihood of successfully embedding the change within the organisation.</w:t>
      </w:r>
    </w:p>
    <w:p w14:paraId="43AF11C1" w14:textId="77777777" w:rsidR="00EF03F5" w:rsidRPr="0023471A" w:rsidRDefault="00EF03F5" w:rsidP="00EF03F5">
      <w:pPr>
        <w:pStyle w:val="NormalWeb"/>
        <w:spacing w:before="0" w:beforeAutospacing="0" w:after="0" w:afterAutospacing="0" w:line="276" w:lineRule="auto"/>
        <w:jc w:val="both"/>
        <w:rPr>
          <w:rFonts w:ascii="Calibri" w:hAnsi="Calibri" w:cs="Calibri"/>
          <w:sz w:val="20"/>
          <w:szCs w:val="20"/>
        </w:rPr>
      </w:pPr>
    </w:p>
    <w:p w14:paraId="2E48EB3C" w14:textId="77777777" w:rsidR="00EF03F5" w:rsidRPr="0023471A" w:rsidRDefault="00EF03F5" w:rsidP="00EF03F5">
      <w:pPr>
        <w:spacing w:after="0" w:line="276" w:lineRule="auto"/>
        <w:jc w:val="both"/>
        <w:rPr>
          <w:rFonts w:ascii="Calibri" w:eastAsia="Times New Roman" w:hAnsi="Calibri" w:cs="Calibri"/>
          <w:sz w:val="20"/>
          <w:szCs w:val="20"/>
          <w:lang w:eastAsia="en-GB"/>
        </w:rPr>
      </w:pPr>
      <w:r>
        <w:rPr>
          <w:rFonts w:ascii="Calibri" w:hAnsi="Calibri" w:cs="Calibri"/>
          <w:sz w:val="20"/>
        </w:rPr>
        <w:br w:type="page"/>
      </w:r>
    </w:p>
    <w:p w14:paraId="3E7539A2"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 2.5</w:t>
      </w:r>
      <w:r>
        <w:rPr>
          <w:rFonts w:ascii="Calibri" w:eastAsiaTheme="minorEastAsia" w:hAnsi="Calibri" w:cs="Calibri"/>
          <w:color w:val="auto"/>
          <w:sz w:val="20"/>
        </w:rPr>
        <w:t xml:space="preserve"> </w:t>
      </w:r>
    </w:p>
    <w:p w14:paraId="3230D7B7"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Employee wellbeing is defined by the CIPD as creating an environment that promotes employees' physical, mental, social and financial health. Wellbeing is important because it can influence engagement, productivity, absence levels and retention (CIPD, 2024).</w:t>
      </w:r>
    </w:p>
    <w:p w14:paraId="16D0557C" w14:textId="77777777" w:rsidR="00EF03F5" w:rsidRPr="0023471A" w:rsidRDefault="00EF03F5" w:rsidP="00EF03F5">
      <w:pPr>
        <w:spacing w:after="0" w:line="276" w:lineRule="auto"/>
        <w:jc w:val="both"/>
        <w:rPr>
          <w:rFonts w:ascii="Calibri" w:hAnsi="Calibri" w:cs="Calibri"/>
          <w:sz w:val="20"/>
          <w:szCs w:val="20"/>
        </w:rPr>
      </w:pPr>
    </w:p>
    <w:p w14:paraId="516C2CE5"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One factor that could impact employee wellbeing is long working hours, particularly within support functions. Long working hours can contribute to stress, fatigue and poor work-life balance, increasing the risk of burnout and negatively affecting both physical and mental wellbeing. This can be analysed using David Rock's SCARF model, which suggests that individuals are motivated by five social domains: Status, Certainty, Autonomy, Relatedness and Fairness (Rock, 2008). Long working hours may reduce an employee's sense of Autonomy, as they may feel they have little control over their workload or working patterns. Reduced autonomy can increase stress and reduce motivation. (Taylor and Woodhams, 2022). If not addressed, excessive working hours may lead to increased absence, lower productivity and higher employee turnover. Artiron Motors could address this by reviewing workloads, promoting flexible working arrangements and ensuring managers regularly monitor employee wellbeing.</w:t>
      </w:r>
    </w:p>
    <w:p w14:paraId="3E032588" w14:textId="77777777" w:rsidR="00EF03F5" w:rsidRPr="0023471A" w:rsidRDefault="00EF03F5" w:rsidP="00EF03F5">
      <w:pPr>
        <w:spacing w:after="0" w:line="276" w:lineRule="auto"/>
        <w:jc w:val="both"/>
        <w:rPr>
          <w:rFonts w:ascii="Calibri" w:hAnsi="Calibri" w:cs="Calibri"/>
          <w:sz w:val="20"/>
          <w:szCs w:val="20"/>
        </w:rPr>
      </w:pPr>
    </w:p>
    <w:p w14:paraId="19C3B22B"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A second factor is pay dissatisfaction, which was identified across all employee groups in the survey. Within the SCARF model, dissatisfaction with pay can be linked to Fairness, which refers to an individual's perception of how they are being treated. Employees who believe their pay does not fairly reflect their contribution may experience reduced motivation, lower engagement and decreased job satisfaction. Perceived unfairness can also damage trust between employees and the organisation. This is particularly important for Artiron Motors, as the organisation is introducing significant changes through the Evolve strategy and will require employee commitment to support its transition towards carbon net zero. If employees feel undervalued, they may be less willing to engage positively with organisational change initiatives.</w:t>
      </w:r>
    </w:p>
    <w:p w14:paraId="0396D459" w14:textId="77777777" w:rsidR="00EF03F5" w:rsidRPr="0023471A" w:rsidRDefault="00EF03F5" w:rsidP="00EF03F5">
      <w:pPr>
        <w:spacing w:after="0" w:line="276" w:lineRule="auto"/>
        <w:jc w:val="both"/>
        <w:rPr>
          <w:rFonts w:ascii="Calibri" w:hAnsi="Calibri" w:cs="Calibri"/>
          <w:sz w:val="20"/>
          <w:szCs w:val="20"/>
        </w:rPr>
      </w:pPr>
    </w:p>
    <w:p w14:paraId="4C5CFAB3"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It is important that both factors are addressed because employee wellbeing is closely linked to organisational performance. Employees who feel supported, rewarded and able to maintain a healthy work-life balance are more likely to remain engaged, productive and committed to organisational objectives. By addressing concerns relating to working hours and pay, Artiron Motors can improve employee wellbeing, strengthen retention and support the successful delivery of the Evolve strategy.</w:t>
      </w:r>
    </w:p>
    <w:p w14:paraId="260A90DA"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hAnsi="Calibri" w:cs="Calibri"/>
          <w:sz w:val="20"/>
        </w:rPr>
        <w:br w:type="page"/>
      </w:r>
    </w:p>
    <w:p w14:paraId="7E63BD47"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 3.1</w:t>
      </w:r>
      <w:r>
        <w:rPr>
          <w:rFonts w:ascii="Calibri" w:eastAsiaTheme="minorEastAsia" w:hAnsi="Calibri" w:cs="Calibri"/>
          <w:color w:val="auto"/>
          <w:sz w:val="20"/>
        </w:rPr>
        <w:t xml:space="preserve"> </w:t>
      </w:r>
    </w:p>
    <w:p w14:paraId="536154F0" w14:textId="77777777" w:rsidR="00EF03F5" w:rsidRPr="0023471A" w:rsidRDefault="00EF03F5" w:rsidP="00EF03F5">
      <w:pPr>
        <w:spacing w:after="0" w:line="276" w:lineRule="auto"/>
        <w:jc w:val="both"/>
        <w:rPr>
          <w:rFonts w:ascii="Calibri" w:hAnsi="Calibri" w:cs="Calibri"/>
          <w:sz w:val="20"/>
          <w:szCs w:val="20"/>
        </w:rPr>
      </w:pPr>
    </w:p>
    <w:p w14:paraId="580456AC"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The employee lifecycle describes the stages an employee progresses through during their employment relationship. Common stages include attract, recruit, onboard, develop, retain and separate (CIPD, 2024). Artiron Motors operates an early careers programme that includes apprenticeships, placement students and graduate contracts across a variety of specialisms, making effective people practises important in supporting employees throughout their journey with the organisation.</w:t>
      </w:r>
    </w:p>
    <w:p w14:paraId="397DFC5F" w14:textId="77777777" w:rsidR="00EF03F5" w:rsidRPr="0023471A" w:rsidRDefault="00EF03F5" w:rsidP="00EF03F5">
      <w:pPr>
        <w:spacing w:after="0" w:line="276" w:lineRule="auto"/>
        <w:jc w:val="both"/>
        <w:rPr>
          <w:rFonts w:ascii="Calibri" w:hAnsi="Calibri" w:cs="Calibri"/>
          <w:sz w:val="20"/>
          <w:szCs w:val="20"/>
        </w:rPr>
      </w:pPr>
    </w:p>
    <w:p w14:paraId="314793F7"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The first stages are to attract and recruit. The resourcing team could work with schools, colleges and universities to attract candidates with the skills required for future organisational needs. This would help Artiron Motors build a sustainable talent pipeline and reduce future skills shortages as the organisation expands its EV production capability. This is particularly important for Artiron Motors, as the organisation requires a strong talent pipeline to support its Evolve strategy and future electric vehicle production. The resourcing team could work with schools, colleges and universities to attract candidates with the skills required for future organisational needs (Taylor and Woodhams, 2022).</w:t>
      </w:r>
    </w:p>
    <w:p w14:paraId="22044133" w14:textId="77777777" w:rsidR="00EF03F5" w:rsidRPr="0023471A" w:rsidRDefault="00EF03F5" w:rsidP="00EF03F5">
      <w:pPr>
        <w:spacing w:after="0" w:line="276" w:lineRule="auto"/>
        <w:jc w:val="both"/>
        <w:rPr>
          <w:rFonts w:ascii="Calibri" w:hAnsi="Calibri" w:cs="Calibri"/>
          <w:sz w:val="20"/>
          <w:szCs w:val="20"/>
        </w:rPr>
      </w:pPr>
    </w:p>
    <w:p w14:paraId="18460C89"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The next stage includes selection &amp; onboarding. Artiron Motors already provides a corporate induction programme where new employees are introduced to the organisation's mission, vision and values. The Learning and Development Team could support early-career employees through structured inductions, mentoring and training programmes that help individuals integrate into the organisation and understand expected behaviours. Effective onboarding can improve engagement, confidence and retention by helping employees feel part of the organisation from the outset (CIPD, 2024)</w:t>
      </w:r>
    </w:p>
    <w:p w14:paraId="525B906D" w14:textId="77777777" w:rsidR="00EF03F5" w:rsidRPr="0023471A" w:rsidRDefault="00EF03F5" w:rsidP="00EF03F5">
      <w:pPr>
        <w:spacing w:after="0" w:line="276" w:lineRule="auto"/>
        <w:jc w:val="both"/>
        <w:rPr>
          <w:rFonts w:ascii="Calibri" w:hAnsi="Calibri" w:cs="Calibri"/>
          <w:sz w:val="20"/>
          <w:szCs w:val="20"/>
        </w:rPr>
      </w:pPr>
    </w:p>
    <w:p w14:paraId="1DC08954"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The next stage is employee development. The Talent Management and Learning and Development Teams play an important role in supporting apprentices, placement students and graduates through training, performance reviews and career development opportunities. This is particularly important as Artiron Motors is introducing new technologies such as cobots and expanding electric vehicle production. Ongoing development ensures employees build the skills and knowledge required to contribute to organisational success while supporting future career progression. According to the CIPD (2025), organisations that invest in development throughout the employee lifecycle can strengthen engagement, retention and their employer brand, helping to attract and retain future talent.</w:t>
      </w:r>
    </w:p>
    <w:p w14:paraId="7E612C49" w14:textId="77777777" w:rsidR="00EF03F5" w:rsidRPr="0023471A" w:rsidRDefault="00EF03F5" w:rsidP="00EF03F5">
      <w:pPr>
        <w:spacing w:after="0" w:line="276" w:lineRule="auto"/>
        <w:jc w:val="both"/>
        <w:rPr>
          <w:rFonts w:ascii="Calibri" w:hAnsi="Calibri" w:cs="Calibri"/>
          <w:sz w:val="20"/>
          <w:szCs w:val="20"/>
        </w:rPr>
      </w:pPr>
    </w:p>
    <w:p w14:paraId="70ECE560"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Overall, the Resourcing, Learning and Development, and Talent Management teams all play important roles in supporting employees through the employee lifecycle. By effectively attracting, onboarding and developing early-career employees, Artiron Motors can strengthen its talent pipeline and support the successful delivery of its long-term strategic objectives.</w:t>
      </w:r>
    </w:p>
    <w:p w14:paraId="4B2893A1" w14:textId="77777777" w:rsidR="00EF03F5" w:rsidRPr="0023471A" w:rsidRDefault="00EF03F5" w:rsidP="00EF03F5">
      <w:pPr>
        <w:spacing w:after="0" w:line="276" w:lineRule="auto"/>
        <w:jc w:val="both"/>
        <w:rPr>
          <w:rFonts w:ascii="Calibri" w:hAnsi="Calibri" w:cs="Calibri"/>
          <w:sz w:val="20"/>
          <w:szCs w:val="20"/>
        </w:rPr>
      </w:pPr>
    </w:p>
    <w:p w14:paraId="6EB455C9" w14:textId="77777777" w:rsidR="00EF03F5" w:rsidRPr="0023471A" w:rsidRDefault="00EF03F5" w:rsidP="00EF03F5">
      <w:pPr>
        <w:spacing w:after="0" w:line="276" w:lineRule="auto"/>
        <w:jc w:val="both"/>
        <w:rPr>
          <w:rFonts w:ascii="Calibri" w:hAnsi="Calibri" w:cs="Calibri"/>
          <w:sz w:val="20"/>
          <w:szCs w:val="20"/>
        </w:rPr>
      </w:pPr>
    </w:p>
    <w:p w14:paraId="174BF91B"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hAnsi="Calibri" w:cs="Calibri"/>
          <w:sz w:val="20"/>
        </w:rPr>
        <w:br w:type="page"/>
      </w:r>
    </w:p>
    <w:p w14:paraId="58A048AA"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lastRenderedPageBreak/>
        <w:t>AC 3.2</w:t>
      </w:r>
    </w:p>
    <w:p w14:paraId="18108304" w14:textId="77777777" w:rsidR="00EF03F5" w:rsidRPr="0023471A" w:rsidRDefault="00EF03F5" w:rsidP="00EF03F5">
      <w:pPr>
        <w:pStyle w:val="Heading3"/>
        <w:spacing w:before="0" w:line="276" w:lineRule="auto"/>
        <w:jc w:val="both"/>
        <w:rPr>
          <w:rFonts w:ascii="Calibri" w:hAnsi="Calibri" w:cs="Calibri"/>
          <w:color w:val="auto"/>
          <w:sz w:val="20"/>
          <w:szCs w:val="20"/>
        </w:rPr>
      </w:pPr>
    </w:p>
    <w:p w14:paraId="4C7F0173"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People </w:t>
      </w:r>
      <w:proofErr w:type="gramStart"/>
      <w:r>
        <w:rPr>
          <w:rFonts w:ascii="Calibri" w:hAnsi="Calibri" w:cs="Calibri"/>
          <w:sz w:val="20"/>
        </w:rPr>
        <w:t>practises</w:t>
      </w:r>
      <w:proofErr w:type="gramEnd"/>
      <w:r>
        <w:rPr>
          <w:rFonts w:ascii="Calibri" w:hAnsi="Calibri" w:cs="Calibri"/>
          <w:sz w:val="20"/>
        </w:rPr>
        <w:t xml:space="preserve"> can help Artiron Motors achieve its ambition of becoming carbon net zero by 2036 by ensuring that people's strategies are aligned with organisational objectives. According to the CIPD (2024), workforce planning and people strategies should be aligned to organisational objectives to ensure organisations have the capability required to deliver future business goals.</w:t>
      </w:r>
    </w:p>
    <w:p w14:paraId="3F67802E" w14:textId="77777777" w:rsidR="00EF03F5" w:rsidRPr="0023471A" w:rsidRDefault="00EF03F5" w:rsidP="00EF03F5">
      <w:pPr>
        <w:spacing w:after="0" w:line="276" w:lineRule="auto"/>
        <w:jc w:val="both"/>
        <w:rPr>
          <w:rFonts w:ascii="Calibri" w:hAnsi="Calibri" w:cs="Calibri"/>
          <w:sz w:val="20"/>
          <w:szCs w:val="20"/>
        </w:rPr>
      </w:pPr>
    </w:p>
    <w:p w14:paraId="00AD31AB"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 xml:space="preserve">Strategic people management can be viewed through both vertical integration and horizontal integration. Vertical integration refers to the alignment of people management practises with organisational strategy, while horizontal integration focuses on ensuring that different people </w:t>
      </w:r>
      <w:proofErr w:type="gramStart"/>
      <w:r>
        <w:rPr>
          <w:rFonts w:ascii="Calibri" w:hAnsi="Calibri" w:cs="Calibri"/>
          <w:sz w:val="20"/>
        </w:rPr>
        <w:t>practises</w:t>
      </w:r>
      <w:proofErr w:type="gramEnd"/>
      <w:r>
        <w:rPr>
          <w:rFonts w:ascii="Calibri" w:hAnsi="Calibri" w:cs="Calibri"/>
          <w:sz w:val="20"/>
        </w:rPr>
        <w:t xml:space="preserve"> work together to create a consistent and cohesive employee experience (Taylor and Woodhams, 2022). Artiron Motors' Evolve strategy and transition towards electric vehicle production require both forms of integration to achieve long-term success.</w:t>
      </w:r>
    </w:p>
    <w:p w14:paraId="0F570F24"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eastAsiaTheme="majorEastAsia" w:hAnsi="Calibri" w:cs="Calibri"/>
          <w:sz w:val="20"/>
        </w:rPr>
        <w:t xml:space="preserve">Vertical integration occurs when people directly support organisational goals and strategic objectives (Taylor and Woodhams, 2022). At Artiron Motors, the Evolve strategy aims to achieve carbon net zero by 2036 likely requiring significant investment in electric vehicle production, sustainable manufacturing processes and new technologies such as cobots. People </w:t>
      </w:r>
      <w:proofErr w:type="gramStart"/>
      <w:r>
        <w:rPr>
          <w:rFonts w:ascii="Calibri" w:eastAsiaTheme="majorEastAsia" w:hAnsi="Calibri" w:cs="Calibri"/>
          <w:sz w:val="20"/>
        </w:rPr>
        <w:t>practises</w:t>
      </w:r>
      <w:proofErr w:type="gramEnd"/>
      <w:r>
        <w:rPr>
          <w:rFonts w:ascii="Calibri" w:eastAsiaTheme="majorEastAsia" w:hAnsi="Calibri" w:cs="Calibri"/>
          <w:sz w:val="20"/>
        </w:rPr>
        <w:t xml:space="preserve"> can support this by aligning recruitment, learning and development, performance management and reward strategies with sustainability objectives. For example, recruitment campaigns could target candidates with skills in battery technology, renewable energy and sustainable engineering, whilst learning and development programmes could equip existing employees with the knowledge required to support EV production. By aligning people practises to the Evolve strategy, Artiron Motors can develop the workforce capability required to achieve its environmental objectives.</w:t>
      </w:r>
    </w:p>
    <w:p w14:paraId="19EC9D64" w14:textId="77777777" w:rsidR="00EF03F5" w:rsidRPr="0023471A" w:rsidRDefault="00EF03F5" w:rsidP="00EF03F5">
      <w:pPr>
        <w:spacing w:after="0" w:line="276" w:lineRule="auto"/>
        <w:jc w:val="both"/>
        <w:rPr>
          <w:rFonts w:ascii="Calibri" w:eastAsiaTheme="majorEastAsia" w:hAnsi="Calibri" w:cs="Calibri"/>
          <w:sz w:val="20"/>
          <w:szCs w:val="20"/>
        </w:rPr>
      </w:pPr>
    </w:p>
    <w:p w14:paraId="255EC4FB"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eastAsiaTheme="majorEastAsia" w:hAnsi="Calibri" w:cs="Calibri"/>
          <w:sz w:val="20"/>
        </w:rPr>
        <w:t>Horizontal integration refers to the alignment of different HR policies and practises so that they work together to support organisational outcomes. At Artiron Motors, recruitment, training, performance management and reward practises should be integrated to reinforce sustainable behaviours. For example, employees recruited for sustainability-related roles should receive training that develops environmental knowledge, while performance objectives could include carbon reduction targets and sustainability measures. Reward and recognition schemes could then reinforce these behaviours by recognising employees who contribute to environmental improvements. This creates a cohesive people management system where each person's practice supports the others and collectively contributes towards the carbon net zero objective.</w:t>
      </w:r>
    </w:p>
    <w:p w14:paraId="3FB7A37E" w14:textId="77777777" w:rsidR="00EF03F5" w:rsidRPr="0023471A" w:rsidRDefault="00EF03F5" w:rsidP="00EF03F5">
      <w:pPr>
        <w:spacing w:after="0" w:line="276" w:lineRule="auto"/>
        <w:jc w:val="both"/>
        <w:rPr>
          <w:rFonts w:ascii="Calibri" w:eastAsiaTheme="majorEastAsia" w:hAnsi="Calibri" w:cs="Calibri"/>
          <w:sz w:val="20"/>
          <w:szCs w:val="20"/>
        </w:rPr>
      </w:pPr>
    </w:p>
    <w:p w14:paraId="0307F3DA"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eastAsiaTheme="majorEastAsia" w:hAnsi="Calibri" w:cs="Calibri"/>
          <w:sz w:val="20"/>
        </w:rPr>
        <w:t>Overall, people's practises can play a significant role in helping Artiron Motors achieve its carbon net zero ambition. Through vertical integration, people strategies can be aligned directly to the Evolve strategy and sustainability goals. Through horizontal integration, recruitment, learning and development, performance management and reward practices can work together to create a workforce that is capable, engaged and committed to supporting the organisation's transition towards a more sustainable future.</w:t>
      </w:r>
    </w:p>
    <w:p w14:paraId="6322B089" w14:textId="77777777" w:rsidR="00EF03F5" w:rsidRPr="0023471A" w:rsidRDefault="00EF03F5" w:rsidP="00EF03F5">
      <w:pPr>
        <w:spacing w:after="0" w:line="276" w:lineRule="auto"/>
        <w:jc w:val="both"/>
        <w:rPr>
          <w:rFonts w:ascii="Calibri" w:eastAsiaTheme="majorEastAsia" w:hAnsi="Calibri" w:cs="Calibri"/>
          <w:sz w:val="20"/>
          <w:szCs w:val="20"/>
        </w:rPr>
      </w:pPr>
      <w:r>
        <w:rPr>
          <w:rFonts w:ascii="Calibri" w:eastAsiaTheme="majorEastAsia" w:hAnsi="Calibri" w:cs="Calibri"/>
          <w:sz w:val="20"/>
        </w:rPr>
        <w:br w:type="page"/>
      </w:r>
    </w:p>
    <w:p w14:paraId="44DB5668" w14:textId="77777777" w:rsidR="00EF03F5" w:rsidRPr="0023471A" w:rsidRDefault="00EF03F5" w:rsidP="00EF03F5">
      <w:pPr>
        <w:spacing w:after="0" w:line="276" w:lineRule="auto"/>
        <w:jc w:val="both"/>
        <w:rPr>
          <w:rFonts w:ascii="Calibri" w:eastAsiaTheme="majorEastAsia" w:hAnsi="Calibri" w:cs="Calibri"/>
          <w:sz w:val="20"/>
          <w:szCs w:val="20"/>
        </w:rPr>
      </w:pPr>
    </w:p>
    <w:p w14:paraId="2D8EAE12" w14:textId="77777777" w:rsidR="00EF03F5" w:rsidRPr="0023471A" w:rsidRDefault="00EF03F5" w:rsidP="00EF03F5">
      <w:pPr>
        <w:pStyle w:val="Heading3"/>
        <w:spacing w:before="0" w:line="276" w:lineRule="auto"/>
        <w:jc w:val="both"/>
        <w:rPr>
          <w:rFonts w:ascii="Calibri" w:hAnsi="Calibri" w:cs="Calibri"/>
          <w:color w:val="auto"/>
          <w:sz w:val="20"/>
          <w:szCs w:val="20"/>
        </w:rPr>
      </w:pPr>
      <w:r>
        <w:rPr>
          <w:rFonts w:ascii="Calibri" w:hAnsi="Calibri" w:cs="Calibri"/>
          <w:color w:val="auto"/>
          <w:sz w:val="20"/>
        </w:rPr>
        <w:t>AC 3.3</w:t>
      </w:r>
    </w:p>
    <w:p w14:paraId="55B8BDA8"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Employee wellbeing is an important contributor to organisational performance. According to CIPD (“CIPD | Wellbeing Resources”) organisations that invest in employee wellbeing can benefit from improved engagement, productivity, retention and reduced absence levels. Wellbeing can influence engagement at individual, team and organisational levels. At an individual level, employees are more likely to feel motivated and valued; at a team level, wellbeing can improve collaboration and morale; and at an organisational level, it can contribute to higher productivity, stronger organisational performance and improved retention.</w:t>
      </w:r>
    </w:p>
    <w:p w14:paraId="2B50BD0F" w14:textId="77777777" w:rsidR="00EF03F5" w:rsidRPr="0023471A" w:rsidRDefault="00EF03F5" w:rsidP="00EF03F5">
      <w:pPr>
        <w:spacing w:after="0" w:line="276" w:lineRule="auto"/>
        <w:jc w:val="both"/>
        <w:rPr>
          <w:rFonts w:ascii="Calibri" w:hAnsi="Calibri" w:cs="Calibri"/>
          <w:sz w:val="20"/>
          <w:szCs w:val="20"/>
        </w:rPr>
      </w:pPr>
    </w:p>
    <w:p w14:paraId="5371B8EC"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Consultation involves seeking employee views before decisions are made and is an important mechanism for promoting employee voice (Taylor and Woodhams, 2022). This may include focus groups, team meetings, surveys or employee representatives to better understand what employees feel they wish to have improved and what the team already feels from a survey there could be improvements to PPE, hours and pay. A key benefit of consultation is that employees feel valued and heard, and this then leads to an increase in trust. According to the research (Patrick Lencioni) we can determine that trust in a business ultimately leads to engagement. Artiron Motors would benefit from consultation, leading to evidenced action that employees can see, and furthermore, if there is feedback from employees and no improvements, this may lead to a decline in engagement.</w:t>
      </w:r>
    </w:p>
    <w:p w14:paraId="4CD012B8" w14:textId="77777777" w:rsidR="00EF03F5" w:rsidRPr="0023471A" w:rsidRDefault="00EF03F5" w:rsidP="00EF03F5">
      <w:pPr>
        <w:spacing w:after="0" w:line="276" w:lineRule="auto"/>
        <w:jc w:val="both"/>
        <w:rPr>
          <w:rFonts w:ascii="Calibri" w:hAnsi="Calibri" w:cs="Calibri"/>
          <w:sz w:val="20"/>
          <w:szCs w:val="20"/>
        </w:rPr>
      </w:pPr>
    </w:p>
    <w:p w14:paraId="656B06A4"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Once consultation is implemented, Artiron Motors could continue with regular engagement activities, such as employee group meetings, regular surveys, wellbeing weeks and forums, as well as including employees in the Evolve strategy. Managers should be wanting to hold wellbeing conversations with the employees and recognise employee contributions in a natural, organic manner. Based on the recent survey, it would be of benefit for production teams to identify improvements to PPE, with support functions to contribute to improvements to work-life balance and all employees to participate in wellbeing action groups.</w:t>
      </w:r>
    </w:p>
    <w:p w14:paraId="55EAADB3" w14:textId="77777777" w:rsidR="00EF03F5" w:rsidRPr="0023471A" w:rsidRDefault="00EF03F5" w:rsidP="00EF03F5">
      <w:pPr>
        <w:spacing w:after="0" w:line="276" w:lineRule="auto"/>
        <w:jc w:val="both"/>
        <w:rPr>
          <w:rFonts w:ascii="Calibri" w:hAnsi="Calibri" w:cs="Calibri"/>
          <w:sz w:val="20"/>
          <w:szCs w:val="20"/>
        </w:rPr>
      </w:pPr>
    </w:p>
    <w:p w14:paraId="271689FD" w14:textId="77777777" w:rsidR="00EF03F5" w:rsidRPr="0023471A" w:rsidRDefault="00EF03F5" w:rsidP="00EF03F5">
      <w:pPr>
        <w:spacing w:after="0" w:line="276" w:lineRule="auto"/>
        <w:jc w:val="both"/>
        <w:rPr>
          <w:rFonts w:ascii="Calibri" w:hAnsi="Calibri" w:cs="Calibri"/>
          <w:sz w:val="20"/>
          <w:szCs w:val="20"/>
        </w:rPr>
      </w:pPr>
      <w:r>
        <w:rPr>
          <w:rFonts w:ascii="Calibri" w:hAnsi="Calibri" w:cs="Calibri"/>
          <w:sz w:val="20"/>
        </w:rPr>
        <w:t>Overall, Artiron Motors could improve employee wellbeing through a combination of consultation and engagement activities. By actively listening to employees and involving them in decisions, the organisation would be better placed to address concerns relating to PPE, working hours and pay. This would likely improve employee wellbeing, strengthen engagement and support the successful delivery of the Evolve strategy. Whilst pay is likely to remain an important concern for employees, consultation and engagement can help employees feel valued, involved and supported, which may positively influence overall wellbeing, engagement and job satisfaction.</w:t>
      </w:r>
    </w:p>
    <w:p w14:paraId="26B88036" w14:textId="77777777" w:rsidR="00EF03F5" w:rsidRPr="0023471A" w:rsidRDefault="00EF03F5" w:rsidP="00EF03F5">
      <w:pPr>
        <w:spacing w:after="0" w:line="276" w:lineRule="auto"/>
        <w:jc w:val="both"/>
        <w:rPr>
          <w:rFonts w:ascii="Calibri" w:hAnsi="Calibri" w:cs="Calibri"/>
          <w:sz w:val="20"/>
          <w:szCs w:val="20"/>
        </w:rPr>
      </w:pPr>
    </w:p>
    <w:p w14:paraId="0F1B4E2B" w14:textId="77777777" w:rsidR="00EF03F5" w:rsidRPr="0023471A" w:rsidRDefault="00EF03F5" w:rsidP="00EF03F5">
      <w:pPr>
        <w:spacing w:after="0" w:line="276" w:lineRule="auto"/>
        <w:jc w:val="both"/>
        <w:rPr>
          <w:rFonts w:ascii="Calibri" w:hAnsi="Calibri" w:cs="Calibri"/>
          <w:sz w:val="20"/>
          <w:szCs w:val="20"/>
        </w:rPr>
      </w:pPr>
    </w:p>
    <w:p w14:paraId="25928417" w14:textId="77777777" w:rsidR="00EF03F5" w:rsidRPr="0023471A" w:rsidRDefault="00EF03F5" w:rsidP="00EF03F5">
      <w:pPr>
        <w:rPr>
          <w:rFonts w:ascii="Calibri" w:eastAsiaTheme="majorEastAsia" w:hAnsi="Calibri" w:cs="Calibri"/>
          <w:sz w:val="20"/>
          <w:szCs w:val="20"/>
        </w:rPr>
      </w:pPr>
      <w:r>
        <w:rPr>
          <w:rFonts w:ascii="Calibri" w:hAnsi="Calibri" w:cs="Calibri"/>
          <w:i/>
          <w:iCs/>
          <w:sz w:val="20"/>
        </w:rPr>
        <w:br w:type="page"/>
      </w:r>
    </w:p>
    <w:p w14:paraId="00E2303D" w14:textId="77777777" w:rsidR="00EF03F5" w:rsidRPr="0023471A" w:rsidRDefault="00EF03F5" w:rsidP="00EF03F5">
      <w:pPr>
        <w:pStyle w:val="Heading4"/>
        <w:spacing w:before="0" w:line="276" w:lineRule="auto"/>
        <w:jc w:val="both"/>
        <w:rPr>
          <w:rFonts w:ascii="Calibri" w:hAnsi="Calibri" w:cs="Calibri"/>
          <w:i w:val="0"/>
          <w:iCs w:val="0"/>
          <w:color w:val="auto"/>
          <w:sz w:val="20"/>
          <w:szCs w:val="20"/>
        </w:rPr>
      </w:pPr>
      <w:r>
        <w:rPr>
          <w:rFonts w:ascii="Calibri" w:hAnsi="Calibri" w:cs="Calibri"/>
          <w:i w:val="0"/>
          <w:iCs w:val="0"/>
          <w:color w:val="auto"/>
          <w:sz w:val="20"/>
        </w:rPr>
        <w:lastRenderedPageBreak/>
        <w:t xml:space="preserve">Declaration by learner </w:t>
      </w:r>
    </w:p>
    <w:p w14:paraId="00614B63" w14:textId="77777777" w:rsidR="00EF03F5" w:rsidRPr="0023471A" w:rsidRDefault="00EF03F5" w:rsidP="00EF03F5">
      <w:pPr>
        <w:spacing w:after="0" w:line="276" w:lineRule="auto"/>
        <w:jc w:val="both"/>
        <w:rPr>
          <w:rFonts w:ascii="Calibri" w:hAnsi="Calibri" w:cs="Calibri"/>
          <w:sz w:val="20"/>
          <w:szCs w:val="20"/>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EF03F5" w:rsidRPr="0023471A" w14:paraId="043006E7" w14:textId="77777777" w:rsidTr="00166668">
        <w:trPr>
          <w:trHeight w:val="755"/>
        </w:trPr>
        <w:tc>
          <w:tcPr>
            <w:tcW w:w="9375" w:type="dxa"/>
            <w:gridSpan w:val="2"/>
            <w:hideMark/>
          </w:tcPr>
          <w:p w14:paraId="2F95C36C" w14:textId="77777777" w:rsidR="00EF03F5" w:rsidRPr="0023471A" w:rsidRDefault="00EF03F5" w:rsidP="00166668">
            <w:pPr>
              <w:pStyle w:val="elementtoproof"/>
              <w:spacing w:line="276" w:lineRule="auto"/>
              <w:ind w:right="315"/>
              <w:jc w:val="both"/>
              <w:rPr>
                <w:rFonts w:ascii="Calibri" w:hAnsi="Calibri" w:cs="Calibri"/>
                <w:sz w:val="20"/>
                <w:szCs w:val="20"/>
              </w:rPr>
            </w:pPr>
            <w:r w:rsidRPr="0023471A">
              <w:rPr>
                <w:rFonts w:ascii="Calibri" w:hAnsi="Calibri" w:cs="Calibri"/>
                <w:sz w:val="20"/>
                <w:szCs w:val="20"/>
              </w:rPr>
              <w:t>I can confirm that:</w:t>
            </w:r>
          </w:p>
          <w:p w14:paraId="1F76DCE4" w14:textId="77777777" w:rsidR="00EF03F5" w:rsidRPr="0023471A" w:rsidRDefault="00EF03F5" w:rsidP="00166668">
            <w:pPr>
              <w:pStyle w:val="elementtoproof"/>
              <w:spacing w:line="276" w:lineRule="auto"/>
              <w:ind w:right="315"/>
              <w:jc w:val="both"/>
              <w:rPr>
                <w:rFonts w:ascii="Calibri" w:hAnsi="Calibri" w:cs="Calibri"/>
                <w:sz w:val="20"/>
                <w:szCs w:val="20"/>
              </w:rPr>
            </w:pPr>
            <w:r w:rsidRPr="0023471A">
              <w:rPr>
                <w:rFonts w:ascii="Calibri" w:hAnsi="Calibri" w:cs="Calibri"/>
                <w:sz w:val="20"/>
                <w:szCs w:val="20"/>
              </w:rPr>
              <w:t> </w:t>
            </w:r>
          </w:p>
          <w:p w14:paraId="2E04CBF4" w14:textId="77777777" w:rsidR="00EF03F5" w:rsidRPr="0023471A" w:rsidRDefault="00EF03F5" w:rsidP="00166668">
            <w:pPr>
              <w:pStyle w:val="elementtoproof"/>
              <w:numPr>
                <w:ilvl w:val="0"/>
                <w:numId w:val="6"/>
              </w:numPr>
              <w:spacing w:line="276" w:lineRule="auto"/>
              <w:ind w:right="315"/>
              <w:jc w:val="both"/>
              <w:rPr>
                <w:rFonts w:ascii="Calibri" w:eastAsia="Times New Roman" w:hAnsi="Calibri" w:cs="Calibri"/>
                <w:sz w:val="20"/>
                <w:szCs w:val="20"/>
              </w:rPr>
            </w:pPr>
            <w:r w:rsidRPr="0023471A">
              <w:rPr>
                <w:rFonts w:ascii="Calibri" w:eastAsia="Times New Roman" w:hAnsi="Calibri" w:cs="Calibri"/>
                <w:sz w:val="20"/>
                <w:szCs w:val="20"/>
              </w:rPr>
              <w:t xml:space="preserve">this assessment is all my own work.  </w:t>
            </w:r>
          </w:p>
          <w:p w14:paraId="0911212B" w14:textId="77777777" w:rsidR="00EF03F5" w:rsidRPr="0023471A" w:rsidRDefault="00EF03F5" w:rsidP="00166668">
            <w:pPr>
              <w:pStyle w:val="ListParagraph"/>
              <w:numPr>
                <w:ilvl w:val="0"/>
                <w:numId w:val="6"/>
              </w:numPr>
              <w:spacing w:after="0" w:line="276" w:lineRule="auto"/>
              <w:contextualSpacing w:val="0"/>
              <w:jc w:val="both"/>
              <w:rPr>
                <w:rFonts w:ascii="Calibri" w:hAnsi="Calibri" w:cs="Calibri"/>
                <w:sz w:val="20"/>
                <w:szCs w:val="20"/>
              </w:rPr>
            </w:pPr>
            <w:r w:rsidRPr="0023471A">
              <w:rPr>
                <w:rFonts w:ascii="Calibri" w:hAnsi="Calibri" w:cs="Calibri"/>
                <w:sz w:val="20"/>
                <w:szCs w:val="20"/>
              </w:rPr>
              <w:t>where I have used materials from other sources, they have been properly acknowledged and referenced.</w:t>
            </w:r>
          </w:p>
          <w:p w14:paraId="713213B5" w14:textId="77777777" w:rsidR="00EF03F5" w:rsidRPr="0023471A" w:rsidRDefault="00EF03F5" w:rsidP="00166668">
            <w:pPr>
              <w:pStyle w:val="ListParagraph"/>
              <w:numPr>
                <w:ilvl w:val="0"/>
                <w:numId w:val="6"/>
              </w:numPr>
              <w:spacing w:after="0" w:line="276" w:lineRule="auto"/>
              <w:contextualSpacing w:val="0"/>
              <w:jc w:val="both"/>
              <w:rPr>
                <w:rFonts w:ascii="Calibri" w:hAnsi="Calibri" w:cs="Calibri"/>
                <w:sz w:val="20"/>
                <w:szCs w:val="20"/>
              </w:rPr>
            </w:pPr>
            <w:r w:rsidRPr="0023471A">
              <w:rPr>
                <w:rFonts w:ascii="Calibri" w:hAnsi="Calibri" w:cs="Calibri"/>
                <w:sz w:val="20"/>
                <w:szCs w:val="20"/>
              </w:rPr>
              <w:t>I have not used Artificial Intelligence tools to generate content for my assessment.</w:t>
            </w:r>
          </w:p>
          <w:p w14:paraId="292B0396" w14:textId="77777777" w:rsidR="00EF03F5" w:rsidRPr="0023471A" w:rsidRDefault="00EF03F5" w:rsidP="00166668">
            <w:pPr>
              <w:shd w:val="clear" w:color="auto" w:fill="FFFFFF"/>
              <w:spacing w:after="0" w:line="276" w:lineRule="auto"/>
              <w:jc w:val="both"/>
              <w:rPr>
                <w:rFonts w:ascii="Calibri" w:hAnsi="Calibri" w:cs="Calibri"/>
                <w:sz w:val="20"/>
                <w:szCs w:val="20"/>
              </w:rPr>
            </w:pPr>
            <w:r w:rsidRPr="0023471A">
              <w:rPr>
                <w:rFonts w:ascii="Calibri" w:hAnsi="Calibri" w:cs="Calibri"/>
                <w:sz w:val="20"/>
                <w:szCs w:val="20"/>
              </w:rPr>
              <w:t>I understand the consequences and accept that any violation of this agreement may result in disciplinary action.</w:t>
            </w:r>
          </w:p>
          <w:p w14:paraId="72355CA4" w14:textId="77777777" w:rsidR="00EF03F5" w:rsidRPr="0023471A" w:rsidRDefault="00EF03F5" w:rsidP="00166668">
            <w:pPr>
              <w:shd w:val="clear" w:color="auto" w:fill="FFFFFF"/>
              <w:spacing w:after="0" w:line="276" w:lineRule="auto"/>
              <w:jc w:val="both"/>
              <w:rPr>
                <w:rFonts w:ascii="Calibri" w:hAnsi="Calibri" w:cs="Calibri"/>
                <w:sz w:val="20"/>
                <w:szCs w:val="20"/>
              </w:rPr>
            </w:pPr>
          </w:p>
        </w:tc>
      </w:tr>
      <w:tr w:rsidR="00EF03F5" w:rsidRPr="0023471A" w14:paraId="32A8118D" w14:textId="77777777" w:rsidTr="00166668">
        <w:trPr>
          <w:trHeight w:val="675"/>
        </w:trPr>
        <w:tc>
          <w:tcPr>
            <w:tcW w:w="7594" w:type="dxa"/>
            <w:hideMark/>
          </w:tcPr>
          <w:p w14:paraId="41858131" w14:textId="77777777" w:rsidR="00EF03F5" w:rsidRPr="0023471A" w:rsidRDefault="00EF03F5" w:rsidP="00166668">
            <w:pPr>
              <w:pStyle w:val="NormalWeb"/>
              <w:spacing w:before="0" w:beforeAutospacing="0" w:after="0" w:afterAutospacing="0" w:line="276" w:lineRule="auto"/>
              <w:jc w:val="both"/>
              <w:rPr>
                <w:rFonts w:ascii="Calibri" w:hAnsi="Calibri" w:cs="Calibri"/>
                <w:sz w:val="20"/>
                <w:szCs w:val="20"/>
              </w:rPr>
            </w:pPr>
            <w:r w:rsidRPr="0023471A">
              <w:rPr>
                <w:rFonts w:ascii="Calibri" w:hAnsi="Calibri" w:cs="Calibri"/>
                <w:sz w:val="20"/>
                <w:szCs w:val="20"/>
              </w:rPr>
              <w:t xml:space="preserve">Learner name: Michael Slack </w:t>
            </w:r>
          </w:p>
        </w:tc>
        <w:tc>
          <w:tcPr>
            <w:tcW w:w="1785" w:type="dxa"/>
            <w:vAlign w:val="center"/>
            <w:hideMark/>
          </w:tcPr>
          <w:p w14:paraId="39BA1443" w14:textId="77777777" w:rsidR="00EF03F5" w:rsidRPr="0023471A" w:rsidRDefault="00EF03F5" w:rsidP="00166668">
            <w:pPr>
              <w:spacing w:after="0" w:line="276" w:lineRule="auto"/>
              <w:jc w:val="both"/>
              <w:rPr>
                <w:rFonts w:ascii="Calibri" w:hAnsi="Calibri" w:cs="Calibri"/>
                <w:sz w:val="20"/>
                <w:szCs w:val="20"/>
              </w:rPr>
            </w:pPr>
            <w:r w:rsidRPr="0023471A">
              <w:rPr>
                <w:rFonts w:ascii="Calibri" w:hAnsi="Calibri" w:cs="Calibri"/>
                <w:sz w:val="20"/>
                <w:szCs w:val="20"/>
              </w:rPr>
              <w:t> </w:t>
            </w:r>
          </w:p>
        </w:tc>
      </w:tr>
      <w:tr w:rsidR="00EF03F5" w:rsidRPr="0023471A" w14:paraId="14BD5757" w14:textId="77777777" w:rsidTr="00166668">
        <w:trPr>
          <w:trHeight w:val="675"/>
        </w:trPr>
        <w:tc>
          <w:tcPr>
            <w:tcW w:w="7594" w:type="dxa"/>
            <w:hideMark/>
          </w:tcPr>
          <w:p w14:paraId="74B62570" w14:textId="77777777" w:rsidR="00EF03F5" w:rsidRPr="0023471A" w:rsidRDefault="00EF03F5" w:rsidP="00166668">
            <w:pPr>
              <w:pStyle w:val="NormalWeb"/>
              <w:spacing w:before="0" w:beforeAutospacing="0" w:after="0" w:afterAutospacing="0" w:line="276" w:lineRule="auto"/>
              <w:jc w:val="both"/>
              <w:rPr>
                <w:rFonts w:ascii="Calibri" w:hAnsi="Calibri" w:cs="Calibri"/>
                <w:sz w:val="20"/>
                <w:szCs w:val="20"/>
              </w:rPr>
            </w:pPr>
            <w:r w:rsidRPr="0023471A">
              <w:rPr>
                <w:rFonts w:ascii="Calibri" w:hAnsi="Calibri" w:cs="Calibri"/>
                <w:noProof/>
                <w:sz w:val="20"/>
                <w:szCs w:val="20"/>
              </w:rPr>
              <mc:AlternateContent>
                <mc:Choice Requires="wpi">
                  <w:drawing>
                    <wp:anchor distT="0" distB="0" distL="114300" distR="114300" simplePos="0" relativeHeight="251659264" behindDoc="0" locked="0" layoutInCell="1" allowOverlap="1" wp14:anchorId="529C0F29" wp14:editId="47FE7F4C">
                      <wp:simplePos x="0" y="0"/>
                      <wp:positionH relativeFrom="column">
                        <wp:posOffset>1383364</wp:posOffset>
                      </wp:positionH>
                      <wp:positionV relativeFrom="paragraph">
                        <wp:posOffset>-131678</wp:posOffset>
                      </wp:positionV>
                      <wp:extent cx="1000559" cy="536274"/>
                      <wp:effectExtent l="38100" t="38100" r="3175" b="35560"/>
                      <wp:wrapNone/>
                      <wp:docPr id="1151143602" name="Ink 12"/>
                      <wp:cNvGraphicFramePr/>
                      <a:graphic xmlns:a="http://schemas.openxmlformats.org/drawingml/2006/main">
                        <a:graphicData uri="http://schemas.microsoft.com/office/word/2010/wordprocessingInk">
                          <w14:contentPart bwMode="auto" r:id="rId8">
                            <w14:nvContentPartPr>
                              <w14:cNvContentPartPr/>
                            </w14:nvContentPartPr>
                            <w14:xfrm>
                              <a:off x="0" y="0"/>
                              <a:ext cx="1000559" cy="536274"/>
                            </w14:xfrm>
                          </w14:contentPart>
                        </a:graphicData>
                      </a:graphic>
                      <wp14:sizeRelH relativeFrom="margin">
                        <wp14:pctWidth>0</wp14:pctWidth>
                      </wp14:sizeRelH>
                      <wp14:sizeRelV relativeFrom="margin">
                        <wp14:pctHeight>0</wp14:pctHeight>
                      </wp14:sizeRelV>
                    </wp:anchor>
                  </w:drawing>
                </mc:Choice>
                <mc:Fallback>
                  <w:pict>
                    <v:shapetype w14:anchorId="3A8E60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07.75pt;margin-top:-11.55pt;width:81.25pt;height:4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3x6B6AQAADgMAAA4AAABkcnMvZTJvRG9jLnhtbJxSX0/CMBB/N/E7&#10;NH2XbchQFwYPEhMeVB70A9SuZY1rb7kWBt/e2wYCGmPCy9K7a3/7/bnJbGsrtlHoDbicJ4OYM+Uk&#10;FMatcv7+9nRzz5kPwhWiAqdyvlOez6bXV5OmztQQSqgKhYxAnM+aOudlCHUWRV6Wygo/gFo5GmpA&#10;KwKVuIoKFA2h2yoaxvE4agCLGkEq76k774d82uFrrWR41dqrwCpil47uEs5Cfxpzhu0pHaWcfXS9&#10;NOHRdCKyFYq6NHJPS1zAygrjiMQ31FwEwdZofkFZIxE86DCQYCPQ2kjVaSJ1SfxD3cJ9tsqSkVxj&#10;JsEF5cJSYDj41w0u+YWtyILmGQpKSKwD8D0iGfR/ID3pOci1JT59KqgqEWglfGlqT0Znpsg5Lork&#10;yN9tHo8KlnjU9XI+oESiveS/nmw12tZsYsK2Oacd3LXfLku1DUxSM4njOE0fOJM0S2/Hw7tRe+EA&#10;3UMcqhNv6cpZiqd1+/xkjadfAAAA//8DAFBLAwQUAAYACAAAACEAaPcezroEAACwDAAAEAAAAGRy&#10;cy9pbmsvaW5rMS54bWy0VsluG0cQvQfIPzQ6B13YZC+zEqZ8ioAACRLEDpAcaXIkDkwOheFo+/u8&#10;WmZIxTKSg3NQs7u6uurVq2X07v3zYW8em/7UHruVDXNvTdNtjtu2u1vZPz7euMqa07Dutuv9sWtW&#10;9qU52ffX33/3ru0+H/ZLrAYWuhPtDvuV3Q3D/XKxeHp6mj+l+bG/W0Tv0+Kn7vMvP9trfbVtbtuu&#10;HeDyNIo2x25ongcytmy3K7sZnv2kD9sfjg/9ppmuSdJvzhpDv940N8f+sB4mi7t11zV7060PwP2n&#10;NcPLPTYt/Nw1vTWHFgG7OA9ZmVU/1hCsn1f24vwAiCcgOdjF2zb/+h9s3nxpk2ClWBalNQpp2zwS&#10;pgVzvvx67L/1x/umH9rmTLOQohcvZiNn5keI6pvTcf9AubHmcb1/AGXBe5SF+g6LNwj50h64+ab2&#10;wMtX7V2Ce02NhnfJg5I2ldSY2qE9NCj0w/1UY8MJhkn8Yei5HaKPhfOFC/nHUC/ztMyreV6mi1Ro&#10;FY82P/UPp91k71N/rle+mViTyJ7a7bCbSPdzX+VlmHi/ZP2t17umvdsN//Jcg+f3U/280Y1cUkaj&#10;+b25XdkfuCENvxQBhxNKU6fcVD6WsysX0pW/8jMUjHWl9bMQXGn8rHYF1swFrCXvk/HYJxd5JXk0&#10;tLqMLyCnd07UXG7oPZ6zSjIQkyb/FAZP6I5/ChHqKY1WKnlA3mCarWDBKZKLmbjxioYMBZZnBGeW&#10;w7+fFbwPngOKLMoc283ZIKxBi0zQTzLsK8iPnpJgnACQWQ3KM27BJKtggn8oJWXujCZn1zlzGXmt&#10;BEwESaTmAr+hBSfPEAMHiDNLaIWAcIbKhXpSgyFFxiqZhhIMqZxTwl6SqGaSIM1MLnFWwn5hmKVy&#10;/AmANIMPgYnywTECGokFJ1BxajXfUYwLVASkzBK4yEFiRyYl4lcmxhsJmZVHXviQcTYl8cqOKhEA&#10;z3vNpRxESV1J8YxME/PEmyQlSZlzGbmcDYFkhi7FgylCRR3QFfRbukiPQU6kYBj4q/k+jpT/2pk8&#10;uH69vT01w8pmebTXoSzRSH7s1VRehZqaNdpErarEac/EMbGcvMJw1iKYuuhEyY++u2RfaJdVGBtZ&#10;z03kguOEgBaKtdAkEOUZN5Z0SOJ9zn2Xcem6i3x/O3JCUeZgp0D2agCSUVZcuVQROy7ZEMAPAASt&#10;Sh5NY7wUgZPR5qRPkXMuce16hEwq0wzgOx1QUtPCdeSukdDhAW/EhVjT8cM0VLzmXFuyr5kqGaeB&#10;Kw+sKQgGqJC0o/ROO1tOr/pGQ/DjINCWowoVgCM0Mi5ucwZVcqUXDAcljVvUOWcc3BAgPVK1i1z7&#10;jaaJZFe6Shxo8TAbWgIaQsls+XEYkGk9jPPqgkL4IIUIB5I7LyNFB109DhimSoWlCHWWoUel8PUl&#10;hpdWA1qD2VEBWoQH24TscpJp1gXNuAqFhA9/WMEaGRQy0BoX5mTGR/0qEWWJe6fmtXA0Smte8eFl&#10;fLW0WC0fB3WgY1pnPycAJnmeF5LxaZDzh0DHsWTei6KEEnhQy8erYNgIFyBk4BVcAJK3IGkFHlyj&#10;jyXfzBwWyPTLKtP0H819/pft+m8AAAD//wMAUEsDBBQABgAIAAAAIQBf/uP04gAAAAoBAAAPAAAA&#10;ZHJzL2Rvd25yZXYueG1sTI/LboMwEEX3lfoP1lTqLjEPQRBhiJo+FlWlSoF2kZ2DXUDFY4RNQv++&#10;7ipdjubo3nOL3aIHdlaT7Q0hhOsAmKLGyJ5ahI/6ZZUBs06QFIMhhfCjLOzK25tC5NJc6KDOlWuZ&#10;DyGbC4TOuTHn3Dad0sKuzajI/77MpIXz59RyOYmLD9cDj4Ig5Vr05Bs6MarHTjXf1awRnt82n8lM&#10;+/17Usd1FlSHp9fjgnh/tzxsgTm1uCsMf/peHUrvdDIzScsGhChMEo8irKI4BOaJeJP5dSeENI2B&#10;lwX/P6H8B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03&#10;x6B6AQAADgMAAA4AAAAAAAAAAAAAAAAAPAIAAGRycy9lMm9Eb2MueG1sUEsBAi0AFAAGAAgAAAAh&#10;AGj3Hs66BAAAsAwAABAAAAAAAAAAAAAAAAAA4gMAAGRycy9pbmsvaW5rMS54bWxQSwECLQAUAAYA&#10;CAAAACEAX/7j9OIAAAAKAQAADwAAAAAAAAAAAAAAAADKCAAAZHJzL2Rvd25yZXYueG1sUEsBAi0A&#10;FAAGAAgAAAAhAHkYvJ2/AAAAIQEAABkAAAAAAAAAAAAAAAAA2QkAAGRycy9fcmVscy9lMm9Eb2Mu&#10;eG1sLnJlbHNQSwUGAAAAAAYABgB4AQAAzwoAAAAA&#10;">
                      <v:imagedata r:id="rId9" o:title=""/>
                    </v:shape>
                  </w:pict>
                </mc:Fallback>
              </mc:AlternateContent>
            </w:r>
            <w:r w:rsidRPr="0023471A">
              <w:rPr>
                <w:rFonts w:ascii="Calibri" w:hAnsi="Calibri" w:cs="Calibri"/>
                <w:sz w:val="20"/>
                <w:szCs w:val="20"/>
              </w:rPr>
              <w:t>Learner signature: </w:t>
            </w:r>
          </w:p>
        </w:tc>
        <w:tc>
          <w:tcPr>
            <w:tcW w:w="1785" w:type="dxa"/>
            <w:vAlign w:val="center"/>
            <w:hideMark/>
          </w:tcPr>
          <w:p w14:paraId="0AC72404" w14:textId="77777777" w:rsidR="00EF03F5" w:rsidRPr="0023471A" w:rsidRDefault="00EF03F5" w:rsidP="00166668">
            <w:pPr>
              <w:spacing w:after="0" w:line="276" w:lineRule="auto"/>
              <w:jc w:val="both"/>
              <w:rPr>
                <w:rFonts w:ascii="Calibri" w:hAnsi="Calibri" w:cs="Calibri"/>
                <w:sz w:val="20"/>
                <w:szCs w:val="20"/>
              </w:rPr>
            </w:pPr>
            <w:r w:rsidRPr="0023471A">
              <w:rPr>
                <w:rFonts w:ascii="Calibri" w:hAnsi="Calibri" w:cs="Calibri"/>
                <w:sz w:val="20"/>
                <w:szCs w:val="20"/>
              </w:rPr>
              <w:t> </w:t>
            </w:r>
          </w:p>
        </w:tc>
      </w:tr>
      <w:tr w:rsidR="00EF03F5" w:rsidRPr="0023471A" w14:paraId="179BF64C" w14:textId="77777777" w:rsidTr="00166668">
        <w:trPr>
          <w:trHeight w:val="683"/>
        </w:trPr>
        <w:tc>
          <w:tcPr>
            <w:tcW w:w="7594" w:type="dxa"/>
            <w:hideMark/>
          </w:tcPr>
          <w:p w14:paraId="3ECC6CB0" w14:textId="77777777" w:rsidR="00EF03F5" w:rsidRPr="0023471A" w:rsidRDefault="00EF03F5" w:rsidP="00166668">
            <w:pPr>
              <w:pStyle w:val="NormalWeb"/>
              <w:spacing w:before="0" w:beforeAutospacing="0" w:after="0" w:afterAutospacing="0" w:line="276" w:lineRule="auto"/>
              <w:jc w:val="both"/>
              <w:rPr>
                <w:rFonts w:ascii="Calibri" w:hAnsi="Calibri" w:cs="Calibri"/>
                <w:sz w:val="20"/>
                <w:szCs w:val="20"/>
              </w:rPr>
            </w:pPr>
            <w:r w:rsidRPr="0023471A">
              <w:rPr>
                <w:rFonts w:ascii="Calibri" w:hAnsi="Calibri" w:cs="Calibri"/>
                <w:sz w:val="20"/>
                <w:szCs w:val="20"/>
              </w:rPr>
              <w:t>Date of Submission: xx/xx/xx</w:t>
            </w:r>
          </w:p>
        </w:tc>
        <w:tc>
          <w:tcPr>
            <w:tcW w:w="1785" w:type="dxa"/>
            <w:vAlign w:val="center"/>
            <w:hideMark/>
          </w:tcPr>
          <w:p w14:paraId="43726BBC" w14:textId="77777777" w:rsidR="00EF03F5" w:rsidRPr="0023471A" w:rsidRDefault="00EF03F5" w:rsidP="00166668">
            <w:pPr>
              <w:spacing w:after="0" w:line="276" w:lineRule="auto"/>
              <w:jc w:val="both"/>
              <w:rPr>
                <w:rFonts w:ascii="Calibri" w:hAnsi="Calibri" w:cs="Calibri"/>
                <w:sz w:val="20"/>
                <w:szCs w:val="20"/>
              </w:rPr>
            </w:pPr>
            <w:r w:rsidRPr="0023471A">
              <w:rPr>
                <w:rFonts w:ascii="Calibri" w:hAnsi="Calibri" w:cs="Calibri"/>
                <w:sz w:val="20"/>
                <w:szCs w:val="20"/>
              </w:rPr>
              <w:t> </w:t>
            </w:r>
          </w:p>
        </w:tc>
      </w:tr>
    </w:tbl>
    <w:p w14:paraId="554483C5" w14:textId="77777777" w:rsidR="00EF03F5" w:rsidRPr="0023471A" w:rsidRDefault="00EF03F5" w:rsidP="00EF03F5">
      <w:pPr>
        <w:spacing w:after="0" w:line="276" w:lineRule="auto"/>
        <w:jc w:val="both"/>
        <w:rPr>
          <w:rFonts w:ascii="Calibri" w:hAnsi="Calibri" w:cs="Calibri"/>
          <w:sz w:val="20"/>
          <w:szCs w:val="20"/>
        </w:rPr>
      </w:pPr>
    </w:p>
    <w:p w14:paraId="40800551" w14:textId="77777777" w:rsidR="00EF03F5" w:rsidRPr="0023471A" w:rsidRDefault="00EF03F5" w:rsidP="00EF03F5">
      <w:pPr>
        <w:spacing w:after="0" w:line="276" w:lineRule="auto"/>
        <w:jc w:val="both"/>
        <w:rPr>
          <w:rFonts w:ascii="Calibri" w:hAnsi="Calibri" w:cs="Calibri"/>
          <w:sz w:val="20"/>
          <w:szCs w:val="20"/>
        </w:rPr>
      </w:pPr>
    </w:p>
    <w:p w14:paraId="0A58CBB9" w14:textId="77777777" w:rsidR="00EF03F5" w:rsidRDefault="00EF03F5" w:rsidP="00EF03F5">
      <w:pPr>
        <w:spacing w:after="0" w:line="276" w:lineRule="auto"/>
        <w:jc w:val="both"/>
        <w:rPr>
          <w:rFonts w:ascii="Calibri" w:hAnsi="Calibri" w:cs="Calibri"/>
          <w:sz w:val="20"/>
          <w:szCs w:val="20"/>
        </w:rPr>
      </w:pPr>
    </w:p>
    <w:p w14:paraId="0B8C1CC7" w14:textId="77777777" w:rsidR="00EF03F5" w:rsidRDefault="00EF03F5" w:rsidP="00EF03F5">
      <w:pPr>
        <w:spacing w:after="0" w:line="276" w:lineRule="auto"/>
        <w:jc w:val="both"/>
        <w:rPr>
          <w:rFonts w:ascii="Calibri" w:hAnsi="Calibri" w:cs="Calibri"/>
          <w:sz w:val="20"/>
          <w:szCs w:val="20"/>
        </w:rPr>
      </w:pPr>
    </w:p>
    <w:p w14:paraId="1938A3FC" w14:textId="77777777" w:rsidR="00EF03F5" w:rsidRDefault="00EF03F5" w:rsidP="00EF03F5">
      <w:pPr>
        <w:rPr>
          <w:rFonts w:ascii="Calibri" w:hAnsi="Calibri" w:cs="Calibri"/>
          <w:sz w:val="20"/>
          <w:szCs w:val="20"/>
        </w:rPr>
      </w:pPr>
      <w:r>
        <w:rPr>
          <w:rFonts w:ascii="Calibri" w:hAnsi="Calibri" w:cs="Calibri"/>
          <w:sz w:val="20"/>
        </w:rPr>
        <w:br w:type="page"/>
      </w:r>
    </w:p>
    <w:p w14:paraId="2CF7BC09" w14:textId="77777777" w:rsidR="00EF03F5" w:rsidRPr="007A5F32" w:rsidRDefault="00EF03F5" w:rsidP="00EF03F5">
      <w:pPr>
        <w:spacing w:after="0" w:line="276" w:lineRule="auto"/>
        <w:rPr>
          <w:rFonts w:ascii="Calibri" w:hAnsi="Calibri" w:cs="Calibri"/>
          <w:b/>
          <w:bCs/>
          <w:sz w:val="20"/>
          <w:szCs w:val="20"/>
        </w:rPr>
      </w:pPr>
      <w:r>
        <w:rPr>
          <w:rFonts w:ascii="Calibri" w:hAnsi="Calibri" w:cs="Calibri"/>
          <w:b/>
          <w:bCs/>
          <w:sz w:val="20"/>
        </w:rPr>
        <w:lastRenderedPageBreak/>
        <w:t xml:space="preserve">Bibliography </w:t>
      </w:r>
    </w:p>
    <w:p w14:paraId="36F575AB" w14:textId="77777777" w:rsidR="00EF03F5" w:rsidRPr="007A5F32" w:rsidRDefault="00EF03F5" w:rsidP="00EF03F5">
      <w:pPr>
        <w:spacing w:after="0" w:line="276" w:lineRule="auto"/>
        <w:rPr>
          <w:rFonts w:ascii="Calibri" w:hAnsi="Calibri" w:cs="Calibri"/>
          <w:sz w:val="20"/>
          <w:szCs w:val="20"/>
        </w:rPr>
      </w:pPr>
      <w:r>
        <w:rPr>
          <w:rFonts w:ascii="Calibri" w:hAnsi="Calibri" w:cs="Calibri"/>
          <w:i/>
          <w:iCs/>
          <w:sz w:val="20"/>
        </w:rPr>
        <w:t>2024 Deloitte Global Automotive Consumer Study Key Findings: EMEA Focus Countries</w:t>
      </w:r>
      <w:r>
        <w:rPr>
          <w:rFonts w:ascii="Calibri" w:hAnsi="Calibri" w:cs="Calibri"/>
          <w:sz w:val="20"/>
        </w:rPr>
        <w:t>. 2024.</w:t>
      </w:r>
    </w:p>
    <w:p w14:paraId="01AFF725" w14:textId="77777777" w:rsidR="00EF03F5" w:rsidRPr="007A5F32" w:rsidRDefault="00EF03F5" w:rsidP="00EF03F5">
      <w:pPr>
        <w:spacing w:after="0" w:line="276" w:lineRule="auto"/>
        <w:rPr>
          <w:rFonts w:ascii="Calibri" w:hAnsi="Calibri" w:cs="Calibri"/>
          <w:sz w:val="20"/>
          <w:szCs w:val="20"/>
        </w:rPr>
      </w:pPr>
      <w:proofErr w:type="spellStart"/>
      <w:r>
        <w:rPr>
          <w:rFonts w:ascii="Calibri" w:hAnsi="Calibri" w:cs="Calibri"/>
          <w:sz w:val="20"/>
        </w:rPr>
        <w:t>BigIdeasGrowingMinds.Big</w:t>
      </w:r>
      <w:proofErr w:type="spellEnd"/>
      <w:r>
        <w:rPr>
          <w:rFonts w:ascii="Calibri" w:hAnsi="Calibri" w:cs="Calibri"/>
          <w:sz w:val="20"/>
        </w:rPr>
        <w:t xml:space="preserve"> Ideas Growing Minds. </w:t>
      </w:r>
      <w:r>
        <w:rPr>
          <w:rFonts w:ascii="Calibri" w:hAnsi="Calibri" w:cs="Calibri"/>
          <w:i/>
          <w:iCs/>
          <w:sz w:val="20"/>
        </w:rPr>
        <w:t>Nudge: Improving Decisions About Health, Wealth &amp; Happiness: Cass Sunstein &amp; Richard Thaler: Summary</w:t>
      </w:r>
      <w:r>
        <w:rPr>
          <w:rFonts w:ascii="Calibri" w:hAnsi="Calibri" w:cs="Calibri"/>
          <w:sz w:val="20"/>
        </w:rPr>
        <w:t>. YouTube, 17 Mar. 2021.</w:t>
      </w:r>
    </w:p>
    <w:p w14:paraId="56A8E7A2"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Cheese, Peter. “CIPD | Navigating Change with Speed and Agility Is Key for the C-Suite.” 29 Apr. 2025.</w:t>
      </w:r>
    </w:p>
    <w:p w14:paraId="28CB1D9A"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CIPD. “Change Management.” </w:t>
      </w:r>
      <w:r>
        <w:rPr>
          <w:rFonts w:ascii="Calibri" w:hAnsi="Calibri" w:cs="Calibri"/>
          <w:i/>
          <w:iCs/>
          <w:sz w:val="20"/>
        </w:rPr>
        <w:t>CIPD</w:t>
      </w:r>
      <w:r>
        <w:rPr>
          <w:rFonts w:ascii="Calibri" w:hAnsi="Calibri" w:cs="Calibri"/>
          <w:sz w:val="20"/>
        </w:rPr>
        <w:t>, 17 June 2025, https://www.cipd.org/uk/knowledge/factsheets/change-management-factsheet/. Accessed 31 Aug. 2026.</w:t>
      </w:r>
    </w:p>
    <w:p w14:paraId="133B6F12"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 “CIPD | Organisation Design | Factsheets.” </w:t>
      </w:r>
      <w:r>
        <w:rPr>
          <w:rFonts w:ascii="Calibri" w:hAnsi="Calibri" w:cs="Calibri"/>
          <w:i/>
          <w:iCs/>
          <w:sz w:val="20"/>
        </w:rPr>
        <w:t>CIPD</w:t>
      </w:r>
      <w:r>
        <w:rPr>
          <w:rFonts w:ascii="Calibri" w:hAnsi="Calibri" w:cs="Calibri"/>
          <w:sz w:val="20"/>
        </w:rPr>
        <w:t>, 14 Feb. 2023, https://www.cipd.org/uk/knowledge/factsheets/organisational-development-design-factsheet/. Accessed 7 July 2026.</w:t>
      </w:r>
    </w:p>
    <w:p w14:paraId="6A20BC02"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“CIPD | Wellbeing Resources.”</w:t>
      </w:r>
    </w:p>
    <w:p w14:paraId="04D99AF5"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 “Employer Brand.” </w:t>
      </w:r>
      <w:r>
        <w:rPr>
          <w:rFonts w:ascii="Calibri" w:hAnsi="Calibri" w:cs="Calibri"/>
          <w:i/>
          <w:iCs/>
          <w:sz w:val="20"/>
        </w:rPr>
        <w:t>CIPD</w:t>
      </w:r>
      <w:r>
        <w:rPr>
          <w:rFonts w:ascii="Calibri" w:hAnsi="Calibri" w:cs="Calibri"/>
          <w:sz w:val="20"/>
        </w:rPr>
        <w:t>, CIPD, 22 Nov. 2024, https://www.cipd.org/uk/knowledge/factsheets/recruitment-brand-factsheet/. Accessed 31 Aug. 2026.</w:t>
      </w:r>
    </w:p>
    <w:p w14:paraId="2B1A50A5"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“CIPD | Future-Focused HR: Using AI to Raise Productivity Without Weakening Capability and Trust.” 21 May 2026.</w:t>
      </w:r>
    </w:p>
    <w:p w14:paraId="2B9480CA"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Clemo, Freddie. “UK Workplace Engagement Lags European and Global Averages, Report Finds.” </w:t>
      </w:r>
      <w:r>
        <w:rPr>
          <w:rFonts w:ascii="Calibri" w:hAnsi="Calibri" w:cs="Calibri"/>
          <w:i/>
          <w:iCs/>
          <w:sz w:val="20"/>
        </w:rPr>
        <w:t>People management.</w:t>
      </w:r>
      <w:proofErr w:type="gramStart"/>
      <w:r>
        <w:rPr>
          <w:rFonts w:ascii="Calibri" w:hAnsi="Calibri" w:cs="Calibri"/>
          <w:i/>
          <w:iCs/>
          <w:sz w:val="20"/>
        </w:rPr>
        <w:t>Co.Uk</w:t>
      </w:r>
      <w:proofErr w:type="gramEnd"/>
      <w:r>
        <w:rPr>
          <w:rFonts w:ascii="Calibri" w:hAnsi="Calibri" w:cs="Calibri"/>
          <w:sz w:val="20"/>
        </w:rPr>
        <w:t xml:space="preserve">, </w:t>
      </w:r>
      <w:proofErr w:type="spellStart"/>
      <w:r>
        <w:rPr>
          <w:rFonts w:ascii="Calibri" w:hAnsi="Calibri" w:cs="Calibri"/>
          <w:sz w:val="20"/>
        </w:rPr>
        <w:t>PeopleManagement</w:t>
      </w:r>
      <w:proofErr w:type="spellEnd"/>
      <w:r>
        <w:rPr>
          <w:rFonts w:ascii="Calibri" w:hAnsi="Calibri" w:cs="Calibri"/>
          <w:sz w:val="20"/>
        </w:rPr>
        <w:t>, 13 Apr. 2026, https://www.peoplemanagement.co.uk/article/1954479/uk-workplace-engagement-lags-european-global-averages-report-finds. Accessed 26 June 2026.</w:t>
      </w:r>
    </w:p>
    <w:p w14:paraId="7B1D9DB8"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EPM. “Edgar Schein’s Culture Model Explained </w:t>
      </w:r>
      <w:proofErr w:type="gramStart"/>
      <w:r>
        <w:rPr>
          <w:rFonts w:ascii="Calibri" w:hAnsi="Calibri" w:cs="Calibri"/>
          <w:sz w:val="20"/>
        </w:rPr>
        <w:t>With</w:t>
      </w:r>
      <w:proofErr w:type="gramEnd"/>
      <w:r>
        <w:rPr>
          <w:rFonts w:ascii="Calibri" w:hAnsi="Calibri" w:cs="Calibri"/>
          <w:sz w:val="20"/>
        </w:rPr>
        <w:t xml:space="preserve"> Example.” 1 Oct. 2022.</w:t>
      </w:r>
    </w:p>
    <w:p w14:paraId="3A38A1F7"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“Improving Group Dynamics.” 2024.</w:t>
      </w:r>
    </w:p>
    <w:p w14:paraId="29AA5FF7"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Maxwell, GILL. “CIPD | Bringing Sustainability and People Profession Practices Down to Earth.” </w:t>
      </w:r>
      <w:r>
        <w:rPr>
          <w:rFonts w:ascii="Calibri" w:hAnsi="Calibri" w:cs="Calibri"/>
          <w:i/>
          <w:iCs/>
          <w:sz w:val="20"/>
        </w:rPr>
        <w:t>CIPD</w:t>
      </w:r>
      <w:r>
        <w:rPr>
          <w:rFonts w:ascii="Calibri" w:hAnsi="Calibri" w:cs="Calibri"/>
          <w:sz w:val="20"/>
        </w:rPr>
        <w:t>, 29 Oct. 2021, https://www.cipd.org/uk/views-and-insights/thought-leadership/people-profession/sustainability-people-profession-practices/. Accessed 7 July 2026.</w:t>
      </w:r>
    </w:p>
    <w:p w14:paraId="08305B67"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“NCSC Statement: Incident Impacting Jaguar Land Rover.” 2025.</w:t>
      </w:r>
    </w:p>
    <w:p w14:paraId="422F3BA2"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ONS. “Office for National Statistics.” </w:t>
      </w:r>
      <w:proofErr w:type="gramStart"/>
      <w:r>
        <w:rPr>
          <w:rFonts w:ascii="Calibri" w:hAnsi="Calibri" w:cs="Calibri"/>
          <w:i/>
          <w:iCs/>
          <w:sz w:val="20"/>
        </w:rPr>
        <w:t>Ons.Gov.Uk</w:t>
      </w:r>
      <w:proofErr w:type="gramEnd"/>
      <w:r>
        <w:rPr>
          <w:rFonts w:ascii="Calibri" w:hAnsi="Calibri" w:cs="Calibri"/>
          <w:sz w:val="20"/>
        </w:rPr>
        <w:t>, 2023, https://www.ons.gov.uk/. Accessed 1 June 2026.</w:t>
      </w:r>
    </w:p>
    <w:p w14:paraId="290F9F0D"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Patrick Lencioni. “The Five Dysfunctions of a Team by Patrick Lencioni.” 4 Nov. 2024.</w:t>
      </w:r>
    </w:p>
    <w:p w14:paraId="57559076"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Peters, Rebecca. “CIPD | HR Practices: What Are the Trade-Offs for Employee Wellbeing?” 20 Oct. 2023.</w:t>
      </w:r>
    </w:p>
    <w:p w14:paraId="0893D770"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Rock, David. “</w:t>
      </w:r>
      <w:proofErr w:type="spellStart"/>
      <w:r>
        <w:rPr>
          <w:rFonts w:ascii="Calibri" w:hAnsi="Calibri" w:cs="Calibri"/>
          <w:sz w:val="20"/>
        </w:rPr>
        <w:t>sCARF</w:t>
      </w:r>
      <w:proofErr w:type="spellEnd"/>
      <w:r>
        <w:rPr>
          <w:rFonts w:ascii="Calibri" w:hAnsi="Calibri" w:cs="Calibri"/>
          <w:sz w:val="20"/>
        </w:rPr>
        <w:t xml:space="preserve">: A Brain-Based Model for Collaborating with and Influencing Others.” </w:t>
      </w:r>
      <w:proofErr w:type="gramStart"/>
      <w:r>
        <w:rPr>
          <w:rFonts w:ascii="Calibri" w:hAnsi="Calibri" w:cs="Calibri"/>
          <w:i/>
          <w:iCs/>
          <w:sz w:val="20"/>
        </w:rPr>
        <w:t>Www.NeuroLeadership.Org</w:t>
      </w:r>
      <w:proofErr w:type="gramEnd"/>
      <w:r>
        <w:rPr>
          <w:rFonts w:ascii="Calibri" w:hAnsi="Calibri" w:cs="Calibri"/>
          <w:sz w:val="20"/>
        </w:rPr>
        <w:t>, 2008, https://schoolguide.casel.org/uploads/sites/2/2018/12/SCARF-NeuroleadershipArticle.pdf. Accessed 6 Sept. 2026.</w:t>
      </w:r>
    </w:p>
    <w:p w14:paraId="2ABC8BA0" w14:textId="77777777" w:rsidR="00EF03F5" w:rsidRPr="007A5F32" w:rsidRDefault="00EF03F5" w:rsidP="00EF03F5">
      <w:pPr>
        <w:spacing w:after="0" w:line="276" w:lineRule="auto"/>
        <w:rPr>
          <w:rFonts w:ascii="Calibri" w:hAnsi="Calibri" w:cs="Calibri"/>
          <w:sz w:val="20"/>
          <w:szCs w:val="20"/>
        </w:rPr>
      </w:pPr>
      <w:proofErr w:type="spellStart"/>
      <w:r>
        <w:rPr>
          <w:rFonts w:ascii="Calibri" w:hAnsi="Calibri" w:cs="Calibri"/>
          <w:sz w:val="20"/>
        </w:rPr>
        <w:t>Suff</w:t>
      </w:r>
      <w:proofErr w:type="spellEnd"/>
      <w:r>
        <w:rPr>
          <w:rFonts w:ascii="Calibri" w:hAnsi="Calibri" w:cs="Calibri"/>
          <w:sz w:val="20"/>
        </w:rPr>
        <w:t xml:space="preserve">, Rachel. “Wellbeing at Work.” </w:t>
      </w:r>
      <w:r>
        <w:rPr>
          <w:rFonts w:ascii="Calibri" w:hAnsi="Calibri" w:cs="Calibri"/>
          <w:i/>
          <w:iCs/>
          <w:sz w:val="20"/>
        </w:rPr>
        <w:t>CIPD</w:t>
      </w:r>
      <w:r>
        <w:rPr>
          <w:rFonts w:ascii="Calibri" w:hAnsi="Calibri" w:cs="Calibri"/>
          <w:sz w:val="20"/>
        </w:rPr>
        <w:t>, CIPD, 2 Sept. 2024, https://www.cipd.org/uk/knowledge/factsheets/well-being-factsheet/. Accessed 31 Aug. 2026.</w:t>
      </w:r>
    </w:p>
    <w:p w14:paraId="1E454BD9"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Taylor, Stephen, and Carol Woodhams. </w:t>
      </w:r>
      <w:r>
        <w:rPr>
          <w:rFonts w:ascii="Calibri" w:hAnsi="Calibri" w:cs="Calibri"/>
          <w:i/>
          <w:iCs/>
          <w:sz w:val="20"/>
        </w:rPr>
        <w:t>Studying Human Resource Management: A Guide to the Study, Context and Practice of HR</w:t>
      </w:r>
      <w:r>
        <w:rPr>
          <w:rFonts w:ascii="Calibri" w:hAnsi="Calibri" w:cs="Calibri"/>
          <w:sz w:val="20"/>
        </w:rPr>
        <w:t xml:space="preserve">. 3rd </w:t>
      </w:r>
      <w:proofErr w:type="spellStart"/>
      <w:r>
        <w:rPr>
          <w:rFonts w:ascii="Calibri" w:hAnsi="Calibri" w:cs="Calibri"/>
          <w:sz w:val="20"/>
        </w:rPr>
        <w:t>edn</w:t>
      </w:r>
      <w:proofErr w:type="spellEnd"/>
      <w:r>
        <w:rPr>
          <w:rFonts w:ascii="Calibri" w:hAnsi="Calibri" w:cs="Calibri"/>
          <w:sz w:val="20"/>
        </w:rPr>
        <w:t>, Kogan Page, 2022.</w:t>
      </w:r>
    </w:p>
    <w:p w14:paraId="637B8BB0" w14:textId="77777777" w:rsidR="00EF03F5" w:rsidRPr="007A5F32" w:rsidRDefault="00EF03F5" w:rsidP="00EF03F5">
      <w:pPr>
        <w:spacing w:after="0" w:line="276" w:lineRule="auto"/>
        <w:rPr>
          <w:rFonts w:ascii="Calibri" w:hAnsi="Calibri" w:cs="Calibri"/>
          <w:sz w:val="20"/>
          <w:szCs w:val="20"/>
        </w:rPr>
      </w:pPr>
      <w:r>
        <w:rPr>
          <w:rFonts w:ascii="Calibri" w:hAnsi="Calibri" w:cs="Calibri"/>
          <w:sz w:val="20"/>
        </w:rPr>
        <w:t xml:space="preserve">Walker, Lisa, and Harald </w:t>
      </w:r>
      <w:proofErr w:type="spellStart"/>
      <w:r>
        <w:rPr>
          <w:rFonts w:ascii="Calibri" w:hAnsi="Calibri" w:cs="Calibri"/>
          <w:sz w:val="20"/>
        </w:rPr>
        <w:t>Proff</w:t>
      </w:r>
      <w:proofErr w:type="spellEnd"/>
      <w:r>
        <w:rPr>
          <w:rFonts w:ascii="Calibri" w:hAnsi="Calibri" w:cs="Calibri"/>
          <w:sz w:val="20"/>
        </w:rPr>
        <w:t>. “2025 Global Automotive Consumer Study.” 2025.</w:t>
      </w:r>
    </w:p>
    <w:p w14:paraId="15AAC033" w14:textId="77777777" w:rsidR="00EF03F5" w:rsidRPr="0023471A" w:rsidRDefault="00EF03F5" w:rsidP="00EF03F5">
      <w:pPr>
        <w:spacing w:after="0" w:line="276" w:lineRule="auto"/>
        <w:rPr>
          <w:rFonts w:ascii="Calibri" w:hAnsi="Calibri" w:cs="Calibri"/>
          <w:sz w:val="20"/>
          <w:szCs w:val="20"/>
        </w:rPr>
      </w:pPr>
    </w:p>
    <w:p w14:paraId="39EC3F76" w14:textId="77777777" w:rsidR="00E117C1" w:rsidRPr="00EF03F5" w:rsidRDefault="00E117C1" w:rsidP="00EF03F5"/>
    <w:sectPr w:rsidR="00E117C1" w:rsidRPr="00EF03F5" w:rsidSect="00EF03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88F"/>
    <w:multiLevelType w:val="hybridMultilevel"/>
    <w:tmpl w:val="CE262D6C"/>
    <w:numStyleLink w:val="ImportedStyle4"/>
  </w:abstractNum>
  <w:abstractNum w:abstractNumId="1" w15:restartNumberingAfterBreak="0">
    <w:nsid w:val="08CB78F7"/>
    <w:multiLevelType w:val="hybridMultilevel"/>
    <w:tmpl w:val="A3C66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04AA6"/>
    <w:multiLevelType w:val="hybridMultilevel"/>
    <w:tmpl w:val="94367C54"/>
    <w:lvl w:ilvl="0" w:tplc="51D028DA">
      <w:start w:val="1"/>
      <w:numFmt w:val="bullet"/>
      <w:lvlText w:val="-"/>
      <w:lvlJc w:val="left"/>
      <w:pPr>
        <w:ind w:left="36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A17122B"/>
    <w:multiLevelType w:val="multilevel"/>
    <w:tmpl w:val="6B5E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E2546"/>
    <w:multiLevelType w:val="hybridMultilevel"/>
    <w:tmpl w:val="08E20A48"/>
    <w:lvl w:ilvl="0" w:tplc="CDB06C24">
      <w:start w:val="455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9790B"/>
    <w:multiLevelType w:val="multilevel"/>
    <w:tmpl w:val="DE24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733E0F"/>
    <w:multiLevelType w:val="multilevel"/>
    <w:tmpl w:val="12B0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C50DCC"/>
    <w:multiLevelType w:val="hybridMultilevel"/>
    <w:tmpl w:val="04B62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D5327E2"/>
    <w:multiLevelType w:val="hybridMultilevel"/>
    <w:tmpl w:val="6D82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6B582D"/>
    <w:multiLevelType w:val="hybridMultilevel"/>
    <w:tmpl w:val="7630785A"/>
    <w:lvl w:ilvl="0" w:tplc="8C74E76A">
      <w:start w:val="4479"/>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2C0063"/>
    <w:multiLevelType w:val="multilevel"/>
    <w:tmpl w:val="E7D6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A4031"/>
    <w:multiLevelType w:val="hybridMultilevel"/>
    <w:tmpl w:val="BA0623CC"/>
    <w:lvl w:ilvl="0" w:tplc="51D028DA">
      <w:start w:val="1"/>
      <w:numFmt w:val="bullet"/>
      <w:lvlText w:val="-"/>
      <w:lvlJc w:val="left"/>
      <w:pPr>
        <w:ind w:left="36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770495"/>
    <w:multiLevelType w:val="hybridMultilevel"/>
    <w:tmpl w:val="CE262D6C"/>
    <w:styleLink w:val="ImportedStyle4"/>
    <w:lvl w:ilvl="0" w:tplc="0DE2E7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F26CA9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5712C7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58A2B9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E69A3C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EC041C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DAC2D65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48E4DE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5A40B2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15" w15:restartNumberingAfterBreak="0">
    <w:nsid w:val="69C04327"/>
    <w:multiLevelType w:val="hybridMultilevel"/>
    <w:tmpl w:val="0C043CD4"/>
    <w:lvl w:ilvl="0" w:tplc="51D028DA">
      <w:start w:val="1"/>
      <w:numFmt w:val="bullet"/>
      <w:lvlText w:val="-"/>
      <w:lvlJc w:val="left"/>
      <w:pPr>
        <w:ind w:left="36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2553815">
    <w:abstractNumId w:val="14"/>
  </w:num>
  <w:num w:numId="2" w16cid:durableId="1897206311">
    <w:abstractNumId w:val="12"/>
  </w:num>
  <w:num w:numId="3" w16cid:durableId="1175077356">
    <w:abstractNumId w:val="6"/>
  </w:num>
  <w:num w:numId="4" w16cid:durableId="1167791338">
    <w:abstractNumId w:val="11"/>
  </w:num>
  <w:num w:numId="5" w16cid:durableId="1455059042">
    <w:abstractNumId w:val="5"/>
  </w:num>
  <w:num w:numId="6" w16cid:durableId="886453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2069566">
    <w:abstractNumId w:val="9"/>
  </w:num>
  <w:num w:numId="8" w16cid:durableId="1880051623">
    <w:abstractNumId w:val="15"/>
  </w:num>
  <w:num w:numId="9" w16cid:durableId="1265921012">
    <w:abstractNumId w:val="7"/>
  </w:num>
  <w:num w:numId="10" w16cid:durableId="323432042">
    <w:abstractNumId w:val="2"/>
  </w:num>
  <w:num w:numId="11" w16cid:durableId="508251175">
    <w:abstractNumId w:val="10"/>
  </w:num>
  <w:num w:numId="12" w16cid:durableId="1788812034">
    <w:abstractNumId w:val="1"/>
  </w:num>
  <w:num w:numId="13" w16cid:durableId="1024745955">
    <w:abstractNumId w:val="0"/>
  </w:num>
  <w:num w:numId="14" w16cid:durableId="2064594009">
    <w:abstractNumId w:val="13"/>
  </w:num>
  <w:num w:numId="15" w16cid:durableId="1815220066">
    <w:abstractNumId w:val="4"/>
  </w:num>
  <w:num w:numId="16" w16cid:durableId="5816430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447CC8"/>
    <w:rsid w:val="00000A93"/>
    <w:rsid w:val="000012F2"/>
    <w:rsid w:val="00001ECC"/>
    <w:rsid w:val="00004FF3"/>
    <w:rsid w:val="000050C2"/>
    <w:rsid w:val="000054BF"/>
    <w:rsid w:val="0000631C"/>
    <w:rsid w:val="00006953"/>
    <w:rsid w:val="000073DA"/>
    <w:rsid w:val="00013719"/>
    <w:rsid w:val="000148EE"/>
    <w:rsid w:val="000150A4"/>
    <w:rsid w:val="00015171"/>
    <w:rsid w:val="00015373"/>
    <w:rsid w:val="0001681B"/>
    <w:rsid w:val="0002230E"/>
    <w:rsid w:val="000248E9"/>
    <w:rsid w:val="000249C3"/>
    <w:rsid w:val="00025206"/>
    <w:rsid w:val="00026F6E"/>
    <w:rsid w:val="00030C65"/>
    <w:rsid w:val="00031141"/>
    <w:rsid w:val="00032A8C"/>
    <w:rsid w:val="00033510"/>
    <w:rsid w:val="0003620A"/>
    <w:rsid w:val="00036776"/>
    <w:rsid w:val="00037DBF"/>
    <w:rsid w:val="00037E88"/>
    <w:rsid w:val="000437E7"/>
    <w:rsid w:val="00047775"/>
    <w:rsid w:val="000500A7"/>
    <w:rsid w:val="0005140E"/>
    <w:rsid w:val="00051815"/>
    <w:rsid w:val="00052080"/>
    <w:rsid w:val="000523FE"/>
    <w:rsid w:val="00052A3C"/>
    <w:rsid w:val="00052B15"/>
    <w:rsid w:val="00053526"/>
    <w:rsid w:val="00053DDB"/>
    <w:rsid w:val="00054EAB"/>
    <w:rsid w:val="0005531A"/>
    <w:rsid w:val="00056261"/>
    <w:rsid w:val="00057E94"/>
    <w:rsid w:val="00061DF2"/>
    <w:rsid w:val="00062058"/>
    <w:rsid w:val="00065899"/>
    <w:rsid w:val="00065E9C"/>
    <w:rsid w:val="000702D3"/>
    <w:rsid w:val="00074249"/>
    <w:rsid w:val="00074436"/>
    <w:rsid w:val="000749D3"/>
    <w:rsid w:val="000772CE"/>
    <w:rsid w:val="00080CFB"/>
    <w:rsid w:val="00080E51"/>
    <w:rsid w:val="00081A9C"/>
    <w:rsid w:val="00081F90"/>
    <w:rsid w:val="00082049"/>
    <w:rsid w:val="000833E0"/>
    <w:rsid w:val="00083AB4"/>
    <w:rsid w:val="00091A78"/>
    <w:rsid w:val="00093DB6"/>
    <w:rsid w:val="00093E90"/>
    <w:rsid w:val="0009455F"/>
    <w:rsid w:val="000956A4"/>
    <w:rsid w:val="000959A9"/>
    <w:rsid w:val="00097E09"/>
    <w:rsid w:val="00097EAB"/>
    <w:rsid w:val="000A152A"/>
    <w:rsid w:val="000A230B"/>
    <w:rsid w:val="000A4F8F"/>
    <w:rsid w:val="000A6BAD"/>
    <w:rsid w:val="000A6E1E"/>
    <w:rsid w:val="000B2077"/>
    <w:rsid w:val="000B2142"/>
    <w:rsid w:val="000B2193"/>
    <w:rsid w:val="000B23D0"/>
    <w:rsid w:val="000B24E8"/>
    <w:rsid w:val="000B39CB"/>
    <w:rsid w:val="000B45E2"/>
    <w:rsid w:val="000B5F17"/>
    <w:rsid w:val="000B6BEC"/>
    <w:rsid w:val="000C07C4"/>
    <w:rsid w:val="000C0EB8"/>
    <w:rsid w:val="000C4E57"/>
    <w:rsid w:val="000C685A"/>
    <w:rsid w:val="000C6EF2"/>
    <w:rsid w:val="000C728C"/>
    <w:rsid w:val="000C79DB"/>
    <w:rsid w:val="000D18EC"/>
    <w:rsid w:val="000D27D6"/>
    <w:rsid w:val="000E4018"/>
    <w:rsid w:val="000E535C"/>
    <w:rsid w:val="000E58D4"/>
    <w:rsid w:val="000E63BE"/>
    <w:rsid w:val="000E67B3"/>
    <w:rsid w:val="000E7D2F"/>
    <w:rsid w:val="000F130E"/>
    <w:rsid w:val="000F2A24"/>
    <w:rsid w:val="000F592D"/>
    <w:rsid w:val="001015F6"/>
    <w:rsid w:val="0010431A"/>
    <w:rsid w:val="001053E1"/>
    <w:rsid w:val="001056BD"/>
    <w:rsid w:val="001058B4"/>
    <w:rsid w:val="00106B4C"/>
    <w:rsid w:val="00107B77"/>
    <w:rsid w:val="00110B16"/>
    <w:rsid w:val="00110D79"/>
    <w:rsid w:val="001112F0"/>
    <w:rsid w:val="001115B2"/>
    <w:rsid w:val="00111993"/>
    <w:rsid w:val="00112762"/>
    <w:rsid w:val="00115053"/>
    <w:rsid w:val="001154FE"/>
    <w:rsid w:val="00120171"/>
    <w:rsid w:val="00120506"/>
    <w:rsid w:val="0012077B"/>
    <w:rsid w:val="001210FA"/>
    <w:rsid w:val="00121282"/>
    <w:rsid w:val="0012168D"/>
    <w:rsid w:val="001218CA"/>
    <w:rsid w:val="00121F0C"/>
    <w:rsid w:val="00123149"/>
    <w:rsid w:val="00124063"/>
    <w:rsid w:val="00125BB0"/>
    <w:rsid w:val="001329BA"/>
    <w:rsid w:val="0013544A"/>
    <w:rsid w:val="00140D36"/>
    <w:rsid w:val="001416A0"/>
    <w:rsid w:val="001417C3"/>
    <w:rsid w:val="001454F3"/>
    <w:rsid w:val="00145FDE"/>
    <w:rsid w:val="00146F30"/>
    <w:rsid w:val="00147630"/>
    <w:rsid w:val="00147686"/>
    <w:rsid w:val="00150003"/>
    <w:rsid w:val="001503E0"/>
    <w:rsid w:val="001516DE"/>
    <w:rsid w:val="0015385F"/>
    <w:rsid w:val="001544C2"/>
    <w:rsid w:val="00157F0D"/>
    <w:rsid w:val="00160164"/>
    <w:rsid w:val="001647B8"/>
    <w:rsid w:val="001671C5"/>
    <w:rsid w:val="00167BFA"/>
    <w:rsid w:val="00167CA2"/>
    <w:rsid w:val="00167D6B"/>
    <w:rsid w:val="0017172E"/>
    <w:rsid w:val="00172D62"/>
    <w:rsid w:val="00172DA2"/>
    <w:rsid w:val="00173221"/>
    <w:rsid w:val="00173E87"/>
    <w:rsid w:val="00177914"/>
    <w:rsid w:val="00180789"/>
    <w:rsid w:val="00181D80"/>
    <w:rsid w:val="0018212E"/>
    <w:rsid w:val="001842B0"/>
    <w:rsid w:val="001869DB"/>
    <w:rsid w:val="00192C0F"/>
    <w:rsid w:val="00193401"/>
    <w:rsid w:val="00193B84"/>
    <w:rsid w:val="001A0510"/>
    <w:rsid w:val="001A0C12"/>
    <w:rsid w:val="001A149A"/>
    <w:rsid w:val="001A1A78"/>
    <w:rsid w:val="001A1E04"/>
    <w:rsid w:val="001A1F1A"/>
    <w:rsid w:val="001A37F3"/>
    <w:rsid w:val="001A3D38"/>
    <w:rsid w:val="001A3D3E"/>
    <w:rsid w:val="001A4D6D"/>
    <w:rsid w:val="001B044A"/>
    <w:rsid w:val="001B0B0A"/>
    <w:rsid w:val="001B0E44"/>
    <w:rsid w:val="001B229A"/>
    <w:rsid w:val="001B2607"/>
    <w:rsid w:val="001B4D67"/>
    <w:rsid w:val="001B538C"/>
    <w:rsid w:val="001B55A8"/>
    <w:rsid w:val="001B6178"/>
    <w:rsid w:val="001C05E7"/>
    <w:rsid w:val="001C0BEC"/>
    <w:rsid w:val="001C0D56"/>
    <w:rsid w:val="001C3B33"/>
    <w:rsid w:val="001C4FCB"/>
    <w:rsid w:val="001C5DD1"/>
    <w:rsid w:val="001C7832"/>
    <w:rsid w:val="001D01BD"/>
    <w:rsid w:val="001D1053"/>
    <w:rsid w:val="001D1772"/>
    <w:rsid w:val="001D2042"/>
    <w:rsid w:val="001D2898"/>
    <w:rsid w:val="001D38A3"/>
    <w:rsid w:val="001D5209"/>
    <w:rsid w:val="001D5846"/>
    <w:rsid w:val="001D5AE8"/>
    <w:rsid w:val="001D6BE3"/>
    <w:rsid w:val="001D71DF"/>
    <w:rsid w:val="001E2C26"/>
    <w:rsid w:val="001E325D"/>
    <w:rsid w:val="001E495F"/>
    <w:rsid w:val="001E5B1C"/>
    <w:rsid w:val="001E70AB"/>
    <w:rsid w:val="001E7140"/>
    <w:rsid w:val="001F1597"/>
    <w:rsid w:val="001F1A79"/>
    <w:rsid w:val="001F2C0A"/>
    <w:rsid w:val="001F3715"/>
    <w:rsid w:val="001F3EF7"/>
    <w:rsid w:val="001F68E6"/>
    <w:rsid w:val="001F75DA"/>
    <w:rsid w:val="001F7F42"/>
    <w:rsid w:val="00207902"/>
    <w:rsid w:val="002101C7"/>
    <w:rsid w:val="0021257B"/>
    <w:rsid w:val="00213F4F"/>
    <w:rsid w:val="0021407C"/>
    <w:rsid w:val="00215385"/>
    <w:rsid w:val="002171CB"/>
    <w:rsid w:val="00220CF2"/>
    <w:rsid w:val="00222301"/>
    <w:rsid w:val="00222751"/>
    <w:rsid w:val="00223EBC"/>
    <w:rsid w:val="0023071E"/>
    <w:rsid w:val="00230AC5"/>
    <w:rsid w:val="0023120D"/>
    <w:rsid w:val="00231CDA"/>
    <w:rsid w:val="0023248E"/>
    <w:rsid w:val="002325D3"/>
    <w:rsid w:val="00232E8D"/>
    <w:rsid w:val="0023330F"/>
    <w:rsid w:val="0023354C"/>
    <w:rsid w:val="0023471A"/>
    <w:rsid w:val="0023683C"/>
    <w:rsid w:val="00240765"/>
    <w:rsid w:val="00240E57"/>
    <w:rsid w:val="00241C5B"/>
    <w:rsid w:val="002429C0"/>
    <w:rsid w:val="002449DB"/>
    <w:rsid w:val="00244A77"/>
    <w:rsid w:val="0024514C"/>
    <w:rsid w:val="00245763"/>
    <w:rsid w:val="00245A3F"/>
    <w:rsid w:val="00251B82"/>
    <w:rsid w:val="00253303"/>
    <w:rsid w:val="002545A1"/>
    <w:rsid w:val="0026156B"/>
    <w:rsid w:val="00261E98"/>
    <w:rsid w:val="002624ED"/>
    <w:rsid w:val="00262D8E"/>
    <w:rsid w:val="0026339C"/>
    <w:rsid w:val="00263814"/>
    <w:rsid w:val="002643FB"/>
    <w:rsid w:val="00264869"/>
    <w:rsid w:val="00265CF5"/>
    <w:rsid w:val="00265F1F"/>
    <w:rsid w:val="00270AD0"/>
    <w:rsid w:val="00271C49"/>
    <w:rsid w:val="00273A20"/>
    <w:rsid w:val="00273F1E"/>
    <w:rsid w:val="002755A4"/>
    <w:rsid w:val="00277D8D"/>
    <w:rsid w:val="0028008D"/>
    <w:rsid w:val="002814B1"/>
    <w:rsid w:val="00281E0E"/>
    <w:rsid w:val="0028342E"/>
    <w:rsid w:val="00285522"/>
    <w:rsid w:val="002919AC"/>
    <w:rsid w:val="00291F39"/>
    <w:rsid w:val="002932C3"/>
    <w:rsid w:val="0029467E"/>
    <w:rsid w:val="002969D5"/>
    <w:rsid w:val="002A0C10"/>
    <w:rsid w:val="002A1E0C"/>
    <w:rsid w:val="002A2F17"/>
    <w:rsid w:val="002A31AA"/>
    <w:rsid w:val="002A4D86"/>
    <w:rsid w:val="002A6B29"/>
    <w:rsid w:val="002B1341"/>
    <w:rsid w:val="002B176F"/>
    <w:rsid w:val="002B287F"/>
    <w:rsid w:val="002B3390"/>
    <w:rsid w:val="002B4365"/>
    <w:rsid w:val="002B4387"/>
    <w:rsid w:val="002B54DC"/>
    <w:rsid w:val="002C47D7"/>
    <w:rsid w:val="002C5C0F"/>
    <w:rsid w:val="002C6BCA"/>
    <w:rsid w:val="002C7107"/>
    <w:rsid w:val="002D1EFE"/>
    <w:rsid w:val="002D3926"/>
    <w:rsid w:val="002D5C35"/>
    <w:rsid w:val="002D6541"/>
    <w:rsid w:val="002D7E09"/>
    <w:rsid w:val="002E4B9F"/>
    <w:rsid w:val="002E4EF6"/>
    <w:rsid w:val="002E4FFA"/>
    <w:rsid w:val="002E577F"/>
    <w:rsid w:val="002E663D"/>
    <w:rsid w:val="002E7636"/>
    <w:rsid w:val="002F1719"/>
    <w:rsid w:val="002F32AC"/>
    <w:rsid w:val="002F3C66"/>
    <w:rsid w:val="002F41DC"/>
    <w:rsid w:val="002F4253"/>
    <w:rsid w:val="002F5233"/>
    <w:rsid w:val="002F56CE"/>
    <w:rsid w:val="00301D27"/>
    <w:rsid w:val="003039C7"/>
    <w:rsid w:val="0030429A"/>
    <w:rsid w:val="00304B82"/>
    <w:rsid w:val="00304DD6"/>
    <w:rsid w:val="0030591D"/>
    <w:rsid w:val="003068EE"/>
    <w:rsid w:val="00306A76"/>
    <w:rsid w:val="003078F8"/>
    <w:rsid w:val="00310D51"/>
    <w:rsid w:val="00311459"/>
    <w:rsid w:val="00315F0E"/>
    <w:rsid w:val="00317561"/>
    <w:rsid w:val="00320826"/>
    <w:rsid w:val="00321B7E"/>
    <w:rsid w:val="00321C37"/>
    <w:rsid w:val="003237F4"/>
    <w:rsid w:val="00323BB1"/>
    <w:rsid w:val="00323FE8"/>
    <w:rsid w:val="003259DA"/>
    <w:rsid w:val="003273A0"/>
    <w:rsid w:val="00327422"/>
    <w:rsid w:val="00327811"/>
    <w:rsid w:val="00330DDF"/>
    <w:rsid w:val="00331AB7"/>
    <w:rsid w:val="00331B27"/>
    <w:rsid w:val="00340642"/>
    <w:rsid w:val="003417B8"/>
    <w:rsid w:val="00341ED8"/>
    <w:rsid w:val="00342F8C"/>
    <w:rsid w:val="00343629"/>
    <w:rsid w:val="00344AC8"/>
    <w:rsid w:val="0034676A"/>
    <w:rsid w:val="00346BA1"/>
    <w:rsid w:val="0034723C"/>
    <w:rsid w:val="00347322"/>
    <w:rsid w:val="00347A11"/>
    <w:rsid w:val="00347F14"/>
    <w:rsid w:val="00350A7E"/>
    <w:rsid w:val="00352857"/>
    <w:rsid w:val="00353379"/>
    <w:rsid w:val="003537BA"/>
    <w:rsid w:val="0035388E"/>
    <w:rsid w:val="003543C9"/>
    <w:rsid w:val="00355D3A"/>
    <w:rsid w:val="00356261"/>
    <w:rsid w:val="00356A55"/>
    <w:rsid w:val="00360120"/>
    <w:rsid w:val="00360674"/>
    <w:rsid w:val="00361CA2"/>
    <w:rsid w:val="0036568D"/>
    <w:rsid w:val="0036587B"/>
    <w:rsid w:val="00372DA5"/>
    <w:rsid w:val="00373136"/>
    <w:rsid w:val="00373AD3"/>
    <w:rsid w:val="003740C8"/>
    <w:rsid w:val="00374C84"/>
    <w:rsid w:val="00374ED7"/>
    <w:rsid w:val="00374F19"/>
    <w:rsid w:val="00377046"/>
    <w:rsid w:val="00380196"/>
    <w:rsid w:val="00385686"/>
    <w:rsid w:val="003863EF"/>
    <w:rsid w:val="003867BF"/>
    <w:rsid w:val="00386AB3"/>
    <w:rsid w:val="00387338"/>
    <w:rsid w:val="00391E55"/>
    <w:rsid w:val="00393998"/>
    <w:rsid w:val="00395927"/>
    <w:rsid w:val="00396840"/>
    <w:rsid w:val="0039753A"/>
    <w:rsid w:val="003A377E"/>
    <w:rsid w:val="003A4580"/>
    <w:rsid w:val="003A56F5"/>
    <w:rsid w:val="003A57D7"/>
    <w:rsid w:val="003A6293"/>
    <w:rsid w:val="003A78EA"/>
    <w:rsid w:val="003B0111"/>
    <w:rsid w:val="003B0608"/>
    <w:rsid w:val="003B3AFE"/>
    <w:rsid w:val="003B4C73"/>
    <w:rsid w:val="003B7A82"/>
    <w:rsid w:val="003B7BB8"/>
    <w:rsid w:val="003C25CE"/>
    <w:rsid w:val="003C2FBA"/>
    <w:rsid w:val="003C387B"/>
    <w:rsid w:val="003C6547"/>
    <w:rsid w:val="003C7402"/>
    <w:rsid w:val="003D0033"/>
    <w:rsid w:val="003D18F1"/>
    <w:rsid w:val="003D1E60"/>
    <w:rsid w:val="003D3BF7"/>
    <w:rsid w:val="003D6872"/>
    <w:rsid w:val="003E26DB"/>
    <w:rsid w:val="003E353B"/>
    <w:rsid w:val="003E4786"/>
    <w:rsid w:val="003E4845"/>
    <w:rsid w:val="003E63A9"/>
    <w:rsid w:val="003E7ADD"/>
    <w:rsid w:val="003F1560"/>
    <w:rsid w:val="003F2F1C"/>
    <w:rsid w:val="003F7E97"/>
    <w:rsid w:val="0040002F"/>
    <w:rsid w:val="0040127D"/>
    <w:rsid w:val="004017C4"/>
    <w:rsid w:val="00404DA2"/>
    <w:rsid w:val="00405481"/>
    <w:rsid w:val="0040562F"/>
    <w:rsid w:val="004074D1"/>
    <w:rsid w:val="00407DCE"/>
    <w:rsid w:val="004104FB"/>
    <w:rsid w:val="004143D0"/>
    <w:rsid w:val="00414AD3"/>
    <w:rsid w:val="004150BB"/>
    <w:rsid w:val="004156BF"/>
    <w:rsid w:val="0042014B"/>
    <w:rsid w:val="00421A61"/>
    <w:rsid w:val="004226FB"/>
    <w:rsid w:val="00423F35"/>
    <w:rsid w:val="00425E03"/>
    <w:rsid w:val="00426916"/>
    <w:rsid w:val="00431CCD"/>
    <w:rsid w:val="004332B2"/>
    <w:rsid w:val="00434F06"/>
    <w:rsid w:val="004350D5"/>
    <w:rsid w:val="0043606D"/>
    <w:rsid w:val="00440FC0"/>
    <w:rsid w:val="00441520"/>
    <w:rsid w:val="00441B5C"/>
    <w:rsid w:val="004446B5"/>
    <w:rsid w:val="00444D28"/>
    <w:rsid w:val="004451E6"/>
    <w:rsid w:val="00445DEC"/>
    <w:rsid w:val="0045097C"/>
    <w:rsid w:val="00452BF1"/>
    <w:rsid w:val="0045496C"/>
    <w:rsid w:val="004561F7"/>
    <w:rsid w:val="00457726"/>
    <w:rsid w:val="00461F6D"/>
    <w:rsid w:val="0046369E"/>
    <w:rsid w:val="0046388A"/>
    <w:rsid w:val="004644CE"/>
    <w:rsid w:val="00464727"/>
    <w:rsid w:val="00464E70"/>
    <w:rsid w:val="00466071"/>
    <w:rsid w:val="0047311A"/>
    <w:rsid w:val="00473171"/>
    <w:rsid w:val="00473715"/>
    <w:rsid w:val="00481546"/>
    <w:rsid w:val="00482C9C"/>
    <w:rsid w:val="004847EF"/>
    <w:rsid w:val="00484EA1"/>
    <w:rsid w:val="00490F5E"/>
    <w:rsid w:val="00490F9B"/>
    <w:rsid w:val="004911C9"/>
    <w:rsid w:val="00493821"/>
    <w:rsid w:val="00494D56"/>
    <w:rsid w:val="004950D5"/>
    <w:rsid w:val="004969E6"/>
    <w:rsid w:val="00497F59"/>
    <w:rsid w:val="004A097C"/>
    <w:rsid w:val="004A1638"/>
    <w:rsid w:val="004A305A"/>
    <w:rsid w:val="004A3273"/>
    <w:rsid w:val="004A6FE5"/>
    <w:rsid w:val="004A7F4A"/>
    <w:rsid w:val="004B2713"/>
    <w:rsid w:val="004B2A39"/>
    <w:rsid w:val="004B3273"/>
    <w:rsid w:val="004B7582"/>
    <w:rsid w:val="004C1175"/>
    <w:rsid w:val="004C22A6"/>
    <w:rsid w:val="004C255E"/>
    <w:rsid w:val="004C30D5"/>
    <w:rsid w:val="004C59B9"/>
    <w:rsid w:val="004D0347"/>
    <w:rsid w:val="004D0723"/>
    <w:rsid w:val="004D0E70"/>
    <w:rsid w:val="004D169C"/>
    <w:rsid w:val="004D30B3"/>
    <w:rsid w:val="004D345C"/>
    <w:rsid w:val="004D5088"/>
    <w:rsid w:val="004D51BB"/>
    <w:rsid w:val="004D56A5"/>
    <w:rsid w:val="004D6F66"/>
    <w:rsid w:val="004D759D"/>
    <w:rsid w:val="004D7D86"/>
    <w:rsid w:val="004E040E"/>
    <w:rsid w:val="004E0C09"/>
    <w:rsid w:val="004E1DBC"/>
    <w:rsid w:val="004E20B8"/>
    <w:rsid w:val="004E5350"/>
    <w:rsid w:val="004E5711"/>
    <w:rsid w:val="004F2686"/>
    <w:rsid w:val="004F5AEB"/>
    <w:rsid w:val="004F7641"/>
    <w:rsid w:val="004F7E48"/>
    <w:rsid w:val="00501145"/>
    <w:rsid w:val="00501FBC"/>
    <w:rsid w:val="00502242"/>
    <w:rsid w:val="005025EF"/>
    <w:rsid w:val="00502679"/>
    <w:rsid w:val="00502DF4"/>
    <w:rsid w:val="005063BE"/>
    <w:rsid w:val="005075A5"/>
    <w:rsid w:val="00507D4D"/>
    <w:rsid w:val="00507E92"/>
    <w:rsid w:val="00510E26"/>
    <w:rsid w:val="0051203B"/>
    <w:rsid w:val="00513025"/>
    <w:rsid w:val="005134A7"/>
    <w:rsid w:val="00513A41"/>
    <w:rsid w:val="005141B6"/>
    <w:rsid w:val="005144DC"/>
    <w:rsid w:val="00515417"/>
    <w:rsid w:val="00516B82"/>
    <w:rsid w:val="00517B2D"/>
    <w:rsid w:val="00521E6F"/>
    <w:rsid w:val="0052510F"/>
    <w:rsid w:val="00527515"/>
    <w:rsid w:val="00531340"/>
    <w:rsid w:val="00532900"/>
    <w:rsid w:val="00534374"/>
    <w:rsid w:val="00536E2B"/>
    <w:rsid w:val="00536FE5"/>
    <w:rsid w:val="005372B5"/>
    <w:rsid w:val="00540981"/>
    <w:rsid w:val="0054519E"/>
    <w:rsid w:val="00545B83"/>
    <w:rsid w:val="00546308"/>
    <w:rsid w:val="00550D1D"/>
    <w:rsid w:val="00551255"/>
    <w:rsid w:val="00552372"/>
    <w:rsid w:val="0055294B"/>
    <w:rsid w:val="005532F4"/>
    <w:rsid w:val="005555D5"/>
    <w:rsid w:val="00555F96"/>
    <w:rsid w:val="00556AA3"/>
    <w:rsid w:val="00557900"/>
    <w:rsid w:val="00557B5F"/>
    <w:rsid w:val="00560255"/>
    <w:rsid w:val="005610C9"/>
    <w:rsid w:val="00562EAB"/>
    <w:rsid w:val="0056346A"/>
    <w:rsid w:val="005639F5"/>
    <w:rsid w:val="00563FEF"/>
    <w:rsid w:val="005642D8"/>
    <w:rsid w:val="0056572C"/>
    <w:rsid w:val="00565B3B"/>
    <w:rsid w:val="00566677"/>
    <w:rsid w:val="00566D41"/>
    <w:rsid w:val="005670C7"/>
    <w:rsid w:val="0056734D"/>
    <w:rsid w:val="00572B82"/>
    <w:rsid w:val="00573EA4"/>
    <w:rsid w:val="00574E1E"/>
    <w:rsid w:val="005752F9"/>
    <w:rsid w:val="0057592A"/>
    <w:rsid w:val="005770FF"/>
    <w:rsid w:val="00581213"/>
    <w:rsid w:val="00582A83"/>
    <w:rsid w:val="00582F9F"/>
    <w:rsid w:val="00584CA9"/>
    <w:rsid w:val="005944C9"/>
    <w:rsid w:val="005959F8"/>
    <w:rsid w:val="00597671"/>
    <w:rsid w:val="005A03B7"/>
    <w:rsid w:val="005A10A8"/>
    <w:rsid w:val="005A1DB6"/>
    <w:rsid w:val="005A2812"/>
    <w:rsid w:val="005A3B84"/>
    <w:rsid w:val="005A49DF"/>
    <w:rsid w:val="005A7F1F"/>
    <w:rsid w:val="005B0068"/>
    <w:rsid w:val="005B04A1"/>
    <w:rsid w:val="005B3298"/>
    <w:rsid w:val="005B5147"/>
    <w:rsid w:val="005B5ED9"/>
    <w:rsid w:val="005C0317"/>
    <w:rsid w:val="005C05A8"/>
    <w:rsid w:val="005C12E4"/>
    <w:rsid w:val="005C3239"/>
    <w:rsid w:val="005C3E5E"/>
    <w:rsid w:val="005C4B0E"/>
    <w:rsid w:val="005C502C"/>
    <w:rsid w:val="005C6BAD"/>
    <w:rsid w:val="005C6E99"/>
    <w:rsid w:val="005C77A8"/>
    <w:rsid w:val="005C7AAA"/>
    <w:rsid w:val="005D0436"/>
    <w:rsid w:val="005D1131"/>
    <w:rsid w:val="005D490F"/>
    <w:rsid w:val="005D5316"/>
    <w:rsid w:val="005D54FC"/>
    <w:rsid w:val="005D5B6B"/>
    <w:rsid w:val="005D61E5"/>
    <w:rsid w:val="005D63D2"/>
    <w:rsid w:val="005D6C74"/>
    <w:rsid w:val="005D7024"/>
    <w:rsid w:val="005E0943"/>
    <w:rsid w:val="005E1753"/>
    <w:rsid w:val="005E2696"/>
    <w:rsid w:val="005E36C2"/>
    <w:rsid w:val="005E5D6A"/>
    <w:rsid w:val="005F0978"/>
    <w:rsid w:val="005F1613"/>
    <w:rsid w:val="005F16F8"/>
    <w:rsid w:val="005F1A24"/>
    <w:rsid w:val="005F4933"/>
    <w:rsid w:val="005F7380"/>
    <w:rsid w:val="00600BED"/>
    <w:rsid w:val="00603C0B"/>
    <w:rsid w:val="00603C3F"/>
    <w:rsid w:val="00605A0B"/>
    <w:rsid w:val="00607409"/>
    <w:rsid w:val="00610A04"/>
    <w:rsid w:val="00616201"/>
    <w:rsid w:val="0061713C"/>
    <w:rsid w:val="0062183B"/>
    <w:rsid w:val="00624A55"/>
    <w:rsid w:val="00624B53"/>
    <w:rsid w:val="00625A34"/>
    <w:rsid w:val="00625B21"/>
    <w:rsid w:val="0063129B"/>
    <w:rsid w:val="0063179F"/>
    <w:rsid w:val="0063765B"/>
    <w:rsid w:val="00637B0D"/>
    <w:rsid w:val="0064041B"/>
    <w:rsid w:val="00640757"/>
    <w:rsid w:val="00642919"/>
    <w:rsid w:val="0064345E"/>
    <w:rsid w:val="006452EA"/>
    <w:rsid w:val="006458CE"/>
    <w:rsid w:val="006466C8"/>
    <w:rsid w:val="006509BC"/>
    <w:rsid w:val="00651C2A"/>
    <w:rsid w:val="006530D6"/>
    <w:rsid w:val="00656913"/>
    <w:rsid w:val="006610D8"/>
    <w:rsid w:val="00661EBF"/>
    <w:rsid w:val="006623DB"/>
    <w:rsid w:val="006710FD"/>
    <w:rsid w:val="00672147"/>
    <w:rsid w:val="0067504A"/>
    <w:rsid w:val="00676AF2"/>
    <w:rsid w:val="00677455"/>
    <w:rsid w:val="00682845"/>
    <w:rsid w:val="006828A7"/>
    <w:rsid w:val="00682910"/>
    <w:rsid w:val="0068322E"/>
    <w:rsid w:val="0068467D"/>
    <w:rsid w:val="006929C2"/>
    <w:rsid w:val="00692F8F"/>
    <w:rsid w:val="00696B91"/>
    <w:rsid w:val="00697D1D"/>
    <w:rsid w:val="006A1D70"/>
    <w:rsid w:val="006A49A1"/>
    <w:rsid w:val="006A4AF0"/>
    <w:rsid w:val="006A6A4B"/>
    <w:rsid w:val="006B0CCB"/>
    <w:rsid w:val="006B13BD"/>
    <w:rsid w:val="006B24AE"/>
    <w:rsid w:val="006B2F84"/>
    <w:rsid w:val="006B3F55"/>
    <w:rsid w:val="006B5B65"/>
    <w:rsid w:val="006B6214"/>
    <w:rsid w:val="006B7112"/>
    <w:rsid w:val="006C0087"/>
    <w:rsid w:val="006C04D5"/>
    <w:rsid w:val="006C072B"/>
    <w:rsid w:val="006C3125"/>
    <w:rsid w:val="006C4368"/>
    <w:rsid w:val="006C4482"/>
    <w:rsid w:val="006C44AB"/>
    <w:rsid w:val="006C4C27"/>
    <w:rsid w:val="006D0801"/>
    <w:rsid w:val="006D1067"/>
    <w:rsid w:val="006D20D1"/>
    <w:rsid w:val="006D44B6"/>
    <w:rsid w:val="006D5463"/>
    <w:rsid w:val="006D6173"/>
    <w:rsid w:val="006D7682"/>
    <w:rsid w:val="006E037B"/>
    <w:rsid w:val="006E0DD0"/>
    <w:rsid w:val="006E2175"/>
    <w:rsid w:val="006E572F"/>
    <w:rsid w:val="006F045A"/>
    <w:rsid w:val="006F0575"/>
    <w:rsid w:val="006F2137"/>
    <w:rsid w:val="006F60F0"/>
    <w:rsid w:val="006F70E3"/>
    <w:rsid w:val="006F7F93"/>
    <w:rsid w:val="007000AF"/>
    <w:rsid w:val="007004D0"/>
    <w:rsid w:val="00700515"/>
    <w:rsid w:val="00700897"/>
    <w:rsid w:val="0070254D"/>
    <w:rsid w:val="0070396C"/>
    <w:rsid w:val="00704932"/>
    <w:rsid w:val="007057C1"/>
    <w:rsid w:val="007058FF"/>
    <w:rsid w:val="007061B2"/>
    <w:rsid w:val="00706414"/>
    <w:rsid w:val="00706CA3"/>
    <w:rsid w:val="0071006D"/>
    <w:rsid w:val="0071058D"/>
    <w:rsid w:val="00713D01"/>
    <w:rsid w:val="00715D1F"/>
    <w:rsid w:val="00717A53"/>
    <w:rsid w:val="00717B1E"/>
    <w:rsid w:val="0072004F"/>
    <w:rsid w:val="00721132"/>
    <w:rsid w:val="007230EC"/>
    <w:rsid w:val="00723236"/>
    <w:rsid w:val="0072703E"/>
    <w:rsid w:val="00731E16"/>
    <w:rsid w:val="0073232F"/>
    <w:rsid w:val="007329CB"/>
    <w:rsid w:val="00732E42"/>
    <w:rsid w:val="007344F3"/>
    <w:rsid w:val="007358D7"/>
    <w:rsid w:val="00737708"/>
    <w:rsid w:val="00737C27"/>
    <w:rsid w:val="00740DD1"/>
    <w:rsid w:val="0074174F"/>
    <w:rsid w:val="00744B93"/>
    <w:rsid w:val="00745F28"/>
    <w:rsid w:val="00746254"/>
    <w:rsid w:val="00747B8B"/>
    <w:rsid w:val="00747CE4"/>
    <w:rsid w:val="007501AD"/>
    <w:rsid w:val="007506F4"/>
    <w:rsid w:val="00751134"/>
    <w:rsid w:val="00751DA4"/>
    <w:rsid w:val="0075233F"/>
    <w:rsid w:val="00752ABF"/>
    <w:rsid w:val="0075372B"/>
    <w:rsid w:val="00754E9F"/>
    <w:rsid w:val="00756012"/>
    <w:rsid w:val="00756BD9"/>
    <w:rsid w:val="00757796"/>
    <w:rsid w:val="007578A4"/>
    <w:rsid w:val="007615F2"/>
    <w:rsid w:val="0076463E"/>
    <w:rsid w:val="007708FD"/>
    <w:rsid w:val="007719AC"/>
    <w:rsid w:val="007729C0"/>
    <w:rsid w:val="00776271"/>
    <w:rsid w:val="007763EB"/>
    <w:rsid w:val="00777756"/>
    <w:rsid w:val="00783171"/>
    <w:rsid w:val="00784B5D"/>
    <w:rsid w:val="00784C0F"/>
    <w:rsid w:val="00785873"/>
    <w:rsid w:val="00785B9F"/>
    <w:rsid w:val="00787E0B"/>
    <w:rsid w:val="00791935"/>
    <w:rsid w:val="007937ED"/>
    <w:rsid w:val="00793D9B"/>
    <w:rsid w:val="00794D70"/>
    <w:rsid w:val="00794FDA"/>
    <w:rsid w:val="007971E0"/>
    <w:rsid w:val="007A01B7"/>
    <w:rsid w:val="007A02D8"/>
    <w:rsid w:val="007A0917"/>
    <w:rsid w:val="007A189F"/>
    <w:rsid w:val="007A2594"/>
    <w:rsid w:val="007A31AB"/>
    <w:rsid w:val="007A3304"/>
    <w:rsid w:val="007A3D05"/>
    <w:rsid w:val="007A57A1"/>
    <w:rsid w:val="007A5DAB"/>
    <w:rsid w:val="007A5F32"/>
    <w:rsid w:val="007A718E"/>
    <w:rsid w:val="007B1358"/>
    <w:rsid w:val="007B2787"/>
    <w:rsid w:val="007B2D91"/>
    <w:rsid w:val="007B51B6"/>
    <w:rsid w:val="007C09D5"/>
    <w:rsid w:val="007C0FA6"/>
    <w:rsid w:val="007C1816"/>
    <w:rsid w:val="007C42DA"/>
    <w:rsid w:val="007C6D5A"/>
    <w:rsid w:val="007C711E"/>
    <w:rsid w:val="007D216C"/>
    <w:rsid w:val="007D36A0"/>
    <w:rsid w:val="007D5E2B"/>
    <w:rsid w:val="007D6EBE"/>
    <w:rsid w:val="007D6FFF"/>
    <w:rsid w:val="007E0A04"/>
    <w:rsid w:val="007E14E3"/>
    <w:rsid w:val="007E15DE"/>
    <w:rsid w:val="007E16B8"/>
    <w:rsid w:val="007E22AD"/>
    <w:rsid w:val="007E42DD"/>
    <w:rsid w:val="007E5045"/>
    <w:rsid w:val="007E67F2"/>
    <w:rsid w:val="007E78A7"/>
    <w:rsid w:val="007F169C"/>
    <w:rsid w:val="007F1F10"/>
    <w:rsid w:val="007F209E"/>
    <w:rsid w:val="007F2CFC"/>
    <w:rsid w:val="007F53CF"/>
    <w:rsid w:val="007F563C"/>
    <w:rsid w:val="007F56E2"/>
    <w:rsid w:val="007F5B01"/>
    <w:rsid w:val="007F5C56"/>
    <w:rsid w:val="007F6AC9"/>
    <w:rsid w:val="00800D0C"/>
    <w:rsid w:val="008011F0"/>
    <w:rsid w:val="00803630"/>
    <w:rsid w:val="00803C44"/>
    <w:rsid w:val="0080443B"/>
    <w:rsid w:val="00806512"/>
    <w:rsid w:val="008066A5"/>
    <w:rsid w:val="008100F9"/>
    <w:rsid w:val="008120E2"/>
    <w:rsid w:val="00812AD4"/>
    <w:rsid w:val="00814746"/>
    <w:rsid w:val="00814932"/>
    <w:rsid w:val="00815537"/>
    <w:rsid w:val="008159D1"/>
    <w:rsid w:val="008173DA"/>
    <w:rsid w:val="00817D4D"/>
    <w:rsid w:val="00821505"/>
    <w:rsid w:val="00822631"/>
    <w:rsid w:val="00823F6B"/>
    <w:rsid w:val="008242EE"/>
    <w:rsid w:val="00825FFE"/>
    <w:rsid w:val="00826665"/>
    <w:rsid w:val="00827A41"/>
    <w:rsid w:val="008305DC"/>
    <w:rsid w:val="00832170"/>
    <w:rsid w:val="00832678"/>
    <w:rsid w:val="00832B1F"/>
    <w:rsid w:val="0083528E"/>
    <w:rsid w:val="0083674C"/>
    <w:rsid w:val="00836E5A"/>
    <w:rsid w:val="0083782F"/>
    <w:rsid w:val="00837A57"/>
    <w:rsid w:val="00842B22"/>
    <w:rsid w:val="00842D97"/>
    <w:rsid w:val="008437CA"/>
    <w:rsid w:val="00843ADF"/>
    <w:rsid w:val="00845116"/>
    <w:rsid w:val="00846C01"/>
    <w:rsid w:val="00850BEF"/>
    <w:rsid w:val="008522F2"/>
    <w:rsid w:val="00853CA1"/>
    <w:rsid w:val="00854926"/>
    <w:rsid w:val="00860BBD"/>
    <w:rsid w:val="00860C1C"/>
    <w:rsid w:val="0086277E"/>
    <w:rsid w:val="008633FD"/>
    <w:rsid w:val="00865947"/>
    <w:rsid w:val="00865EAD"/>
    <w:rsid w:val="008663D2"/>
    <w:rsid w:val="0086680C"/>
    <w:rsid w:val="0087032F"/>
    <w:rsid w:val="00870D3F"/>
    <w:rsid w:val="008716BA"/>
    <w:rsid w:val="00871D28"/>
    <w:rsid w:val="008728BA"/>
    <w:rsid w:val="00872E73"/>
    <w:rsid w:val="00872FB8"/>
    <w:rsid w:val="0087321E"/>
    <w:rsid w:val="008738E3"/>
    <w:rsid w:val="0087662E"/>
    <w:rsid w:val="00876D7F"/>
    <w:rsid w:val="00880C1E"/>
    <w:rsid w:val="008811E0"/>
    <w:rsid w:val="00882C2B"/>
    <w:rsid w:val="00882DCA"/>
    <w:rsid w:val="00883E08"/>
    <w:rsid w:val="008846D6"/>
    <w:rsid w:val="00886A74"/>
    <w:rsid w:val="008900AE"/>
    <w:rsid w:val="00892E06"/>
    <w:rsid w:val="008951B8"/>
    <w:rsid w:val="00895A20"/>
    <w:rsid w:val="0089666C"/>
    <w:rsid w:val="00897E14"/>
    <w:rsid w:val="008A2B50"/>
    <w:rsid w:val="008A4B9F"/>
    <w:rsid w:val="008A5CD6"/>
    <w:rsid w:val="008B11C1"/>
    <w:rsid w:val="008B1F57"/>
    <w:rsid w:val="008B244F"/>
    <w:rsid w:val="008B28A7"/>
    <w:rsid w:val="008B4D6F"/>
    <w:rsid w:val="008B5B7D"/>
    <w:rsid w:val="008B63AB"/>
    <w:rsid w:val="008C0DBC"/>
    <w:rsid w:val="008C186D"/>
    <w:rsid w:val="008C27B2"/>
    <w:rsid w:val="008C2E5A"/>
    <w:rsid w:val="008C34D8"/>
    <w:rsid w:val="008C3C87"/>
    <w:rsid w:val="008C3FB8"/>
    <w:rsid w:val="008C52A3"/>
    <w:rsid w:val="008C56E2"/>
    <w:rsid w:val="008C6435"/>
    <w:rsid w:val="008D2A8A"/>
    <w:rsid w:val="008D3275"/>
    <w:rsid w:val="008D3CDF"/>
    <w:rsid w:val="008D3FAD"/>
    <w:rsid w:val="008D4FF7"/>
    <w:rsid w:val="008D5440"/>
    <w:rsid w:val="008D6DF2"/>
    <w:rsid w:val="008D7D6F"/>
    <w:rsid w:val="008E0C86"/>
    <w:rsid w:val="008E16ED"/>
    <w:rsid w:val="008E1A3A"/>
    <w:rsid w:val="008E1B9B"/>
    <w:rsid w:val="008E32AF"/>
    <w:rsid w:val="008E49BB"/>
    <w:rsid w:val="008E7CA8"/>
    <w:rsid w:val="008F25C2"/>
    <w:rsid w:val="008F2B75"/>
    <w:rsid w:val="008F3DDD"/>
    <w:rsid w:val="008F435E"/>
    <w:rsid w:val="008F5DF5"/>
    <w:rsid w:val="008F7655"/>
    <w:rsid w:val="008F7E27"/>
    <w:rsid w:val="008F7F8C"/>
    <w:rsid w:val="009009CD"/>
    <w:rsid w:val="009041CF"/>
    <w:rsid w:val="009047E9"/>
    <w:rsid w:val="00905708"/>
    <w:rsid w:val="00906741"/>
    <w:rsid w:val="00907720"/>
    <w:rsid w:val="009079D5"/>
    <w:rsid w:val="00910BBB"/>
    <w:rsid w:val="009115C0"/>
    <w:rsid w:val="00912C7D"/>
    <w:rsid w:val="00913530"/>
    <w:rsid w:val="009147B2"/>
    <w:rsid w:val="00914EC3"/>
    <w:rsid w:val="0091564B"/>
    <w:rsid w:val="00917CB9"/>
    <w:rsid w:val="00922B4F"/>
    <w:rsid w:val="00923C54"/>
    <w:rsid w:val="00925C0F"/>
    <w:rsid w:val="009263D7"/>
    <w:rsid w:val="00926BE0"/>
    <w:rsid w:val="009276E7"/>
    <w:rsid w:val="0093243F"/>
    <w:rsid w:val="00932894"/>
    <w:rsid w:val="009329F2"/>
    <w:rsid w:val="0093320C"/>
    <w:rsid w:val="00933957"/>
    <w:rsid w:val="0093674D"/>
    <w:rsid w:val="00945A12"/>
    <w:rsid w:val="00947EE0"/>
    <w:rsid w:val="00950B0C"/>
    <w:rsid w:val="00950BF0"/>
    <w:rsid w:val="00951C62"/>
    <w:rsid w:val="00953051"/>
    <w:rsid w:val="009539B8"/>
    <w:rsid w:val="00961F82"/>
    <w:rsid w:val="009621D5"/>
    <w:rsid w:val="009627D6"/>
    <w:rsid w:val="00962C28"/>
    <w:rsid w:val="00963737"/>
    <w:rsid w:val="009665BE"/>
    <w:rsid w:val="00967E58"/>
    <w:rsid w:val="00970FE2"/>
    <w:rsid w:val="00972A5A"/>
    <w:rsid w:val="009733B1"/>
    <w:rsid w:val="00975FF2"/>
    <w:rsid w:val="00976372"/>
    <w:rsid w:val="009766BE"/>
    <w:rsid w:val="00976AB7"/>
    <w:rsid w:val="00981DA0"/>
    <w:rsid w:val="00983F00"/>
    <w:rsid w:val="009855D8"/>
    <w:rsid w:val="0098617E"/>
    <w:rsid w:val="00986ED7"/>
    <w:rsid w:val="009878E2"/>
    <w:rsid w:val="0099074B"/>
    <w:rsid w:val="00992D97"/>
    <w:rsid w:val="00992EC0"/>
    <w:rsid w:val="0099435E"/>
    <w:rsid w:val="00994959"/>
    <w:rsid w:val="00994B41"/>
    <w:rsid w:val="00997294"/>
    <w:rsid w:val="009A14AD"/>
    <w:rsid w:val="009A4CAF"/>
    <w:rsid w:val="009A545A"/>
    <w:rsid w:val="009A5D45"/>
    <w:rsid w:val="009A6AE5"/>
    <w:rsid w:val="009B0248"/>
    <w:rsid w:val="009B09DE"/>
    <w:rsid w:val="009B109E"/>
    <w:rsid w:val="009B1120"/>
    <w:rsid w:val="009B19C9"/>
    <w:rsid w:val="009B1C95"/>
    <w:rsid w:val="009B1DFD"/>
    <w:rsid w:val="009B26EE"/>
    <w:rsid w:val="009B2B00"/>
    <w:rsid w:val="009B3F90"/>
    <w:rsid w:val="009B418C"/>
    <w:rsid w:val="009B4ECE"/>
    <w:rsid w:val="009B69E2"/>
    <w:rsid w:val="009C0690"/>
    <w:rsid w:val="009C3AD4"/>
    <w:rsid w:val="009C3E8F"/>
    <w:rsid w:val="009D0C12"/>
    <w:rsid w:val="009D1891"/>
    <w:rsid w:val="009D4EB2"/>
    <w:rsid w:val="009E12FC"/>
    <w:rsid w:val="009E27D8"/>
    <w:rsid w:val="009E6EBC"/>
    <w:rsid w:val="009F0301"/>
    <w:rsid w:val="009F0547"/>
    <w:rsid w:val="009F06C6"/>
    <w:rsid w:val="009F1166"/>
    <w:rsid w:val="009F187F"/>
    <w:rsid w:val="009F1F51"/>
    <w:rsid w:val="009F2370"/>
    <w:rsid w:val="009F3647"/>
    <w:rsid w:val="009F374C"/>
    <w:rsid w:val="009F62B1"/>
    <w:rsid w:val="009F6A9C"/>
    <w:rsid w:val="009F7A43"/>
    <w:rsid w:val="00A00D7E"/>
    <w:rsid w:val="00A0142E"/>
    <w:rsid w:val="00A0168F"/>
    <w:rsid w:val="00A028A0"/>
    <w:rsid w:val="00A031DC"/>
    <w:rsid w:val="00A032EB"/>
    <w:rsid w:val="00A049EE"/>
    <w:rsid w:val="00A053CA"/>
    <w:rsid w:val="00A05B0F"/>
    <w:rsid w:val="00A07405"/>
    <w:rsid w:val="00A13A80"/>
    <w:rsid w:val="00A15C30"/>
    <w:rsid w:val="00A15E26"/>
    <w:rsid w:val="00A16002"/>
    <w:rsid w:val="00A16345"/>
    <w:rsid w:val="00A177CC"/>
    <w:rsid w:val="00A17E1B"/>
    <w:rsid w:val="00A20424"/>
    <w:rsid w:val="00A21C8F"/>
    <w:rsid w:val="00A24C17"/>
    <w:rsid w:val="00A25996"/>
    <w:rsid w:val="00A2695D"/>
    <w:rsid w:val="00A270F6"/>
    <w:rsid w:val="00A27DBD"/>
    <w:rsid w:val="00A301DF"/>
    <w:rsid w:val="00A307BC"/>
    <w:rsid w:val="00A30A08"/>
    <w:rsid w:val="00A31E7C"/>
    <w:rsid w:val="00A34446"/>
    <w:rsid w:val="00A433D8"/>
    <w:rsid w:val="00A5213E"/>
    <w:rsid w:val="00A53A66"/>
    <w:rsid w:val="00A5448E"/>
    <w:rsid w:val="00A62A40"/>
    <w:rsid w:val="00A63050"/>
    <w:rsid w:val="00A65F25"/>
    <w:rsid w:val="00A7050F"/>
    <w:rsid w:val="00A71616"/>
    <w:rsid w:val="00A7174B"/>
    <w:rsid w:val="00A729DA"/>
    <w:rsid w:val="00A73155"/>
    <w:rsid w:val="00A73B39"/>
    <w:rsid w:val="00A73BC9"/>
    <w:rsid w:val="00A73C54"/>
    <w:rsid w:val="00A74563"/>
    <w:rsid w:val="00A74904"/>
    <w:rsid w:val="00A77F41"/>
    <w:rsid w:val="00A8027A"/>
    <w:rsid w:val="00A83BE2"/>
    <w:rsid w:val="00A83E2F"/>
    <w:rsid w:val="00A83E5E"/>
    <w:rsid w:val="00A84CCD"/>
    <w:rsid w:val="00A858B5"/>
    <w:rsid w:val="00A87A69"/>
    <w:rsid w:val="00A90B2D"/>
    <w:rsid w:val="00A90BED"/>
    <w:rsid w:val="00A90DB5"/>
    <w:rsid w:val="00A91170"/>
    <w:rsid w:val="00A91674"/>
    <w:rsid w:val="00A917A7"/>
    <w:rsid w:val="00A94E89"/>
    <w:rsid w:val="00A96146"/>
    <w:rsid w:val="00A979BE"/>
    <w:rsid w:val="00A97AD9"/>
    <w:rsid w:val="00AA2B16"/>
    <w:rsid w:val="00AA316E"/>
    <w:rsid w:val="00AA4A48"/>
    <w:rsid w:val="00AA5EE3"/>
    <w:rsid w:val="00AB35CB"/>
    <w:rsid w:val="00AB3799"/>
    <w:rsid w:val="00AB62F4"/>
    <w:rsid w:val="00AB6D27"/>
    <w:rsid w:val="00AB7281"/>
    <w:rsid w:val="00AC1F89"/>
    <w:rsid w:val="00AC2FA1"/>
    <w:rsid w:val="00AC302E"/>
    <w:rsid w:val="00AC69DD"/>
    <w:rsid w:val="00AC6A45"/>
    <w:rsid w:val="00AC6D27"/>
    <w:rsid w:val="00AC7A68"/>
    <w:rsid w:val="00AC7B84"/>
    <w:rsid w:val="00AC7FDD"/>
    <w:rsid w:val="00AD0D84"/>
    <w:rsid w:val="00AD2224"/>
    <w:rsid w:val="00AD4C46"/>
    <w:rsid w:val="00AD62D9"/>
    <w:rsid w:val="00AD6737"/>
    <w:rsid w:val="00AD6D7A"/>
    <w:rsid w:val="00AD72D0"/>
    <w:rsid w:val="00AD7753"/>
    <w:rsid w:val="00AD7D0C"/>
    <w:rsid w:val="00AE0056"/>
    <w:rsid w:val="00AE00F4"/>
    <w:rsid w:val="00AE19E7"/>
    <w:rsid w:val="00AE1DDB"/>
    <w:rsid w:val="00AE6312"/>
    <w:rsid w:val="00AE7B3C"/>
    <w:rsid w:val="00AF0E11"/>
    <w:rsid w:val="00AF0F6B"/>
    <w:rsid w:val="00AF1283"/>
    <w:rsid w:val="00AF1E6D"/>
    <w:rsid w:val="00AF2AC6"/>
    <w:rsid w:val="00AF2C5A"/>
    <w:rsid w:val="00AF3405"/>
    <w:rsid w:val="00AF485E"/>
    <w:rsid w:val="00AF54A2"/>
    <w:rsid w:val="00B00D81"/>
    <w:rsid w:val="00B02521"/>
    <w:rsid w:val="00B02B9B"/>
    <w:rsid w:val="00B02DB5"/>
    <w:rsid w:val="00B05888"/>
    <w:rsid w:val="00B05A41"/>
    <w:rsid w:val="00B05CEA"/>
    <w:rsid w:val="00B1091D"/>
    <w:rsid w:val="00B10BE8"/>
    <w:rsid w:val="00B115EB"/>
    <w:rsid w:val="00B1314D"/>
    <w:rsid w:val="00B13A33"/>
    <w:rsid w:val="00B16F9C"/>
    <w:rsid w:val="00B241C5"/>
    <w:rsid w:val="00B26E55"/>
    <w:rsid w:val="00B306C9"/>
    <w:rsid w:val="00B30E57"/>
    <w:rsid w:val="00B33488"/>
    <w:rsid w:val="00B33546"/>
    <w:rsid w:val="00B36CD8"/>
    <w:rsid w:val="00B41A67"/>
    <w:rsid w:val="00B459DD"/>
    <w:rsid w:val="00B460BA"/>
    <w:rsid w:val="00B47FB8"/>
    <w:rsid w:val="00B509E7"/>
    <w:rsid w:val="00B536ED"/>
    <w:rsid w:val="00B53BD4"/>
    <w:rsid w:val="00B53F62"/>
    <w:rsid w:val="00B54940"/>
    <w:rsid w:val="00B54D2F"/>
    <w:rsid w:val="00B55F65"/>
    <w:rsid w:val="00B56FAF"/>
    <w:rsid w:val="00B57217"/>
    <w:rsid w:val="00B60754"/>
    <w:rsid w:val="00B61C49"/>
    <w:rsid w:val="00B62AED"/>
    <w:rsid w:val="00B64220"/>
    <w:rsid w:val="00B6477E"/>
    <w:rsid w:val="00B6538D"/>
    <w:rsid w:val="00B66342"/>
    <w:rsid w:val="00B6705B"/>
    <w:rsid w:val="00B675EB"/>
    <w:rsid w:val="00B7033D"/>
    <w:rsid w:val="00B70B3E"/>
    <w:rsid w:val="00B70B4A"/>
    <w:rsid w:val="00B70B68"/>
    <w:rsid w:val="00B723A5"/>
    <w:rsid w:val="00B72F44"/>
    <w:rsid w:val="00B74B09"/>
    <w:rsid w:val="00B77C40"/>
    <w:rsid w:val="00B77EEC"/>
    <w:rsid w:val="00B80934"/>
    <w:rsid w:val="00B8104B"/>
    <w:rsid w:val="00B811BD"/>
    <w:rsid w:val="00B812DC"/>
    <w:rsid w:val="00B821EC"/>
    <w:rsid w:val="00B831FA"/>
    <w:rsid w:val="00B83CDA"/>
    <w:rsid w:val="00B84D97"/>
    <w:rsid w:val="00B855FC"/>
    <w:rsid w:val="00B86C7A"/>
    <w:rsid w:val="00B87386"/>
    <w:rsid w:val="00B87FE3"/>
    <w:rsid w:val="00B919FF"/>
    <w:rsid w:val="00B92429"/>
    <w:rsid w:val="00BA0C8E"/>
    <w:rsid w:val="00BA462E"/>
    <w:rsid w:val="00BA4A2C"/>
    <w:rsid w:val="00BA73FA"/>
    <w:rsid w:val="00BA7AF9"/>
    <w:rsid w:val="00BB0924"/>
    <w:rsid w:val="00BB1E6D"/>
    <w:rsid w:val="00BB3AD5"/>
    <w:rsid w:val="00BB48F5"/>
    <w:rsid w:val="00BB4F88"/>
    <w:rsid w:val="00BB5289"/>
    <w:rsid w:val="00BB721E"/>
    <w:rsid w:val="00BC0CF8"/>
    <w:rsid w:val="00BC2C50"/>
    <w:rsid w:val="00BC348D"/>
    <w:rsid w:val="00BC3E67"/>
    <w:rsid w:val="00BC40DD"/>
    <w:rsid w:val="00BC52EC"/>
    <w:rsid w:val="00BC736D"/>
    <w:rsid w:val="00BC77FD"/>
    <w:rsid w:val="00BC79CE"/>
    <w:rsid w:val="00BD008E"/>
    <w:rsid w:val="00BD199E"/>
    <w:rsid w:val="00BD6B06"/>
    <w:rsid w:val="00BD6C91"/>
    <w:rsid w:val="00BD6E8B"/>
    <w:rsid w:val="00BD743C"/>
    <w:rsid w:val="00BD74E5"/>
    <w:rsid w:val="00BE1D1F"/>
    <w:rsid w:val="00BE3450"/>
    <w:rsid w:val="00BE4725"/>
    <w:rsid w:val="00BE48D1"/>
    <w:rsid w:val="00BF1ABB"/>
    <w:rsid w:val="00BF35E6"/>
    <w:rsid w:val="00BF520E"/>
    <w:rsid w:val="00BF78E5"/>
    <w:rsid w:val="00BF7F98"/>
    <w:rsid w:val="00C008E3"/>
    <w:rsid w:val="00C01852"/>
    <w:rsid w:val="00C025C8"/>
    <w:rsid w:val="00C036FF"/>
    <w:rsid w:val="00C05DB2"/>
    <w:rsid w:val="00C05EAF"/>
    <w:rsid w:val="00C119EC"/>
    <w:rsid w:val="00C1288E"/>
    <w:rsid w:val="00C152D8"/>
    <w:rsid w:val="00C15456"/>
    <w:rsid w:val="00C15FE5"/>
    <w:rsid w:val="00C17438"/>
    <w:rsid w:val="00C1757B"/>
    <w:rsid w:val="00C2217B"/>
    <w:rsid w:val="00C23A3C"/>
    <w:rsid w:val="00C23DD6"/>
    <w:rsid w:val="00C24301"/>
    <w:rsid w:val="00C25D2E"/>
    <w:rsid w:val="00C26518"/>
    <w:rsid w:val="00C31355"/>
    <w:rsid w:val="00C34D7A"/>
    <w:rsid w:val="00C35BFD"/>
    <w:rsid w:val="00C3648C"/>
    <w:rsid w:val="00C373AF"/>
    <w:rsid w:val="00C375BE"/>
    <w:rsid w:val="00C37B74"/>
    <w:rsid w:val="00C4018D"/>
    <w:rsid w:val="00C42D01"/>
    <w:rsid w:val="00C434AB"/>
    <w:rsid w:val="00C44C67"/>
    <w:rsid w:val="00C459B9"/>
    <w:rsid w:val="00C47B15"/>
    <w:rsid w:val="00C51019"/>
    <w:rsid w:val="00C5129B"/>
    <w:rsid w:val="00C51541"/>
    <w:rsid w:val="00C537AE"/>
    <w:rsid w:val="00C57C26"/>
    <w:rsid w:val="00C6046F"/>
    <w:rsid w:val="00C60EF3"/>
    <w:rsid w:val="00C61BF3"/>
    <w:rsid w:val="00C6471A"/>
    <w:rsid w:val="00C649D0"/>
    <w:rsid w:val="00C659D0"/>
    <w:rsid w:val="00C66AB8"/>
    <w:rsid w:val="00C675BE"/>
    <w:rsid w:val="00C67B30"/>
    <w:rsid w:val="00C7210E"/>
    <w:rsid w:val="00C73B65"/>
    <w:rsid w:val="00C74E5C"/>
    <w:rsid w:val="00C77149"/>
    <w:rsid w:val="00C804DA"/>
    <w:rsid w:val="00C82426"/>
    <w:rsid w:val="00C8321C"/>
    <w:rsid w:val="00C841E3"/>
    <w:rsid w:val="00C844A6"/>
    <w:rsid w:val="00C90F58"/>
    <w:rsid w:val="00C948AE"/>
    <w:rsid w:val="00C972D0"/>
    <w:rsid w:val="00CA0CBC"/>
    <w:rsid w:val="00CA18BD"/>
    <w:rsid w:val="00CA28DB"/>
    <w:rsid w:val="00CA2E42"/>
    <w:rsid w:val="00CA32CD"/>
    <w:rsid w:val="00CA4A66"/>
    <w:rsid w:val="00CB116C"/>
    <w:rsid w:val="00CB1409"/>
    <w:rsid w:val="00CB16E7"/>
    <w:rsid w:val="00CB2618"/>
    <w:rsid w:val="00CB28AC"/>
    <w:rsid w:val="00CB2977"/>
    <w:rsid w:val="00CB66BD"/>
    <w:rsid w:val="00CC229A"/>
    <w:rsid w:val="00CC5BD3"/>
    <w:rsid w:val="00CC6279"/>
    <w:rsid w:val="00CC6CF3"/>
    <w:rsid w:val="00CC788A"/>
    <w:rsid w:val="00CD154D"/>
    <w:rsid w:val="00CD1A99"/>
    <w:rsid w:val="00CD2103"/>
    <w:rsid w:val="00CD24F6"/>
    <w:rsid w:val="00CD3120"/>
    <w:rsid w:val="00CD3227"/>
    <w:rsid w:val="00CD4C3F"/>
    <w:rsid w:val="00CD527E"/>
    <w:rsid w:val="00CD7226"/>
    <w:rsid w:val="00CD74BF"/>
    <w:rsid w:val="00CE001F"/>
    <w:rsid w:val="00CE070B"/>
    <w:rsid w:val="00CE1FFD"/>
    <w:rsid w:val="00CE31A6"/>
    <w:rsid w:val="00CE34D8"/>
    <w:rsid w:val="00CE3E44"/>
    <w:rsid w:val="00CE5251"/>
    <w:rsid w:val="00CE7E03"/>
    <w:rsid w:val="00CF0B5A"/>
    <w:rsid w:val="00CF0D39"/>
    <w:rsid w:val="00CF36FD"/>
    <w:rsid w:val="00CF3BFA"/>
    <w:rsid w:val="00CF69B2"/>
    <w:rsid w:val="00D0149F"/>
    <w:rsid w:val="00D0215E"/>
    <w:rsid w:val="00D0528F"/>
    <w:rsid w:val="00D06071"/>
    <w:rsid w:val="00D11080"/>
    <w:rsid w:val="00D119BE"/>
    <w:rsid w:val="00D12B00"/>
    <w:rsid w:val="00D14B89"/>
    <w:rsid w:val="00D16177"/>
    <w:rsid w:val="00D20133"/>
    <w:rsid w:val="00D20F16"/>
    <w:rsid w:val="00D23242"/>
    <w:rsid w:val="00D23246"/>
    <w:rsid w:val="00D23C84"/>
    <w:rsid w:val="00D24268"/>
    <w:rsid w:val="00D2551F"/>
    <w:rsid w:val="00D314B8"/>
    <w:rsid w:val="00D3172A"/>
    <w:rsid w:val="00D32BCB"/>
    <w:rsid w:val="00D33A20"/>
    <w:rsid w:val="00D33D07"/>
    <w:rsid w:val="00D37F31"/>
    <w:rsid w:val="00D40EC6"/>
    <w:rsid w:val="00D43712"/>
    <w:rsid w:val="00D46592"/>
    <w:rsid w:val="00D46820"/>
    <w:rsid w:val="00D4726A"/>
    <w:rsid w:val="00D47327"/>
    <w:rsid w:val="00D506C0"/>
    <w:rsid w:val="00D50859"/>
    <w:rsid w:val="00D526F1"/>
    <w:rsid w:val="00D571B9"/>
    <w:rsid w:val="00D610CC"/>
    <w:rsid w:val="00D63439"/>
    <w:rsid w:val="00D657D7"/>
    <w:rsid w:val="00D66896"/>
    <w:rsid w:val="00D67FBC"/>
    <w:rsid w:val="00D706D1"/>
    <w:rsid w:val="00D7072C"/>
    <w:rsid w:val="00D72C19"/>
    <w:rsid w:val="00D72F11"/>
    <w:rsid w:val="00D74743"/>
    <w:rsid w:val="00D756C3"/>
    <w:rsid w:val="00D770E4"/>
    <w:rsid w:val="00D773B0"/>
    <w:rsid w:val="00D80225"/>
    <w:rsid w:val="00D817B1"/>
    <w:rsid w:val="00D83090"/>
    <w:rsid w:val="00D83382"/>
    <w:rsid w:val="00D84E97"/>
    <w:rsid w:val="00D859A4"/>
    <w:rsid w:val="00D865B3"/>
    <w:rsid w:val="00D877E3"/>
    <w:rsid w:val="00D93C3C"/>
    <w:rsid w:val="00D93F42"/>
    <w:rsid w:val="00D95CCC"/>
    <w:rsid w:val="00D97617"/>
    <w:rsid w:val="00DA2F8E"/>
    <w:rsid w:val="00DA58F3"/>
    <w:rsid w:val="00DA755C"/>
    <w:rsid w:val="00DB1481"/>
    <w:rsid w:val="00DB34A4"/>
    <w:rsid w:val="00DB532F"/>
    <w:rsid w:val="00DB54FA"/>
    <w:rsid w:val="00DB56C6"/>
    <w:rsid w:val="00DB5EE4"/>
    <w:rsid w:val="00DB6D49"/>
    <w:rsid w:val="00DB72F8"/>
    <w:rsid w:val="00DB7ADF"/>
    <w:rsid w:val="00DC0BCF"/>
    <w:rsid w:val="00DC1CA1"/>
    <w:rsid w:val="00DC6A20"/>
    <w:rsid w:val="00DD05BC"/>
    <w:rsid w:val="00DD1325"/>
    <w:rsid w:val="00DD294E"/>
    <w:rsid w:val="00DD3666"/>
    <w:rsid w:val="00DD48A4"/>
    <w:rsid w:val="00DD7A29"/>
    <w:rsid w:val="00DE14D5"/>
    <w:rsid w:val="00DE1542"/>
    <w:rsid w:val="00DE2F1F"/>
    <w:rsid w:val="00DE365D"/>
    <w:rsid w:val="00DE4DCB"/>
    <w:rsid w:val="00DE6E90"/>
    <w:rsid w:val="00DE7353"/>
    <w:rsid w:val="00DE7535"/>
    <w:rsid w:val="00DE7879"/>
    <w:rsid w:val="00DF0983"/>
    <w:rsid w:val="00DF12EC"/>
    <w:rsid w:val="00DF19E8"/>
    <w:rsid w:val="00DF4224"/>
    <w:rsid w:val="00DF49D7"/>
    <w:rsid w:val="00DF4D9B"/>
    <w:rsid w:val="00DF607A"/>
    <w:rsid w:val="00DF71EB"/>
    <w:rsid w:val="00DF75E6"/>
    <w:rsid w:val="00E043E7"/>
    <w:rsid w:val="00E07DB9"/>
    <w:rsid w:val="00E10C0B"/>
    <w:rsid w:val="00E117C1"/>
    <w:rsid w:val="00E12529"/>
    <w:rsid w:val="00E134CF"/>
    <w:rsid w:val="00E14001"/>
    <w:rsid w:val="00E140CE"/>
    <w:rsid w:val="00E156B7"/>
    <w:rsid w:val="00E163B9"/>
    <w:rsid w:val="00E205D2"/>
    <w:rsid w:val="00E21B5A"/>
    <w:rsid w:val="00E227CE"/>
    <w:rsid w:val="00E253BC"/>
    <w:rsid w:val="00E27206"/>
    <w:rsid w:val="00E27CDA"/>
    <w:rsid w:val="00E30263"/>
    <w:rsid w:val="00E303AB"/>
    <w:rsid w:val="00E3139B"/>
    <w:rsid w:val="00E32245"/>
    <w:rsid w:val="00E33D11"/>
    <w:rsid w:val="00E33E2C"/>
    <w:rsid w:val="00E343AB"/>
    <w:rsid w:val="00E363EC"/>
    <w:rsid w:val="00E36BE4"/>
    <w:rsid w:val="00E37D12"/>
    <w:rsid w:val="00E41D09"/>
    <w:rsid w:val="00E4447A"/>
    <w:rsid w:val="00E4666E"/>
    <w:rsid w:val="00E47AF5"/>
    <w:rsid w:val="00E50964"/>
    <w:rsid w:val="00E51A92"/>
    <w:rsid w:val="00E524EB"/>
    <w:rsid w:val="00E52556"/>
    <w:rsid w:val="00E53668"/>
    <w:rsid w:val="00E54614"/>
    <w:rsid w:val="00E57AB3"/>
    <w:rsid w:val="00E62497"/>
    <w:rsid w:val="00E62BED"/>
    <w:rsid w:val="00E6516C"/>
    <w:rsid w:val="00E67810"/>
    <w:rsid w:val="00E70CB9"/>
    <w:rsid w:val="00E70E4E"/>
    <w:rsid w:val="00E72052"/>
    <w:rsid w:val="00E73357"/>
    <w:rsid w:val="00E7633E"/>
    <w:rsid w:val="00E772B1"/>
    <w:rsid w:val="00E80D9A"/>
    <w:rsid w:val="00E824AC"/>
    <w:rsid w:val="00E82BF8"/>
    <w:rsid w:val="00E8403D"/>
    <w:rsid w:val="00E84CC1"/>
    <w:rsid w:val="00E85004"/>
    <w:rsid w:val="00E85F73"/>
    <w:rsid w:val="00E86A83"/>
    <w:rsid w:val="00E91268"/>
    <w:rsid w:val="00E94102"/>
    <w:rsid w:val="00E94A17"/>
    <w:rsid w:val="00E94B1F"/>
    <w:rsid w:val="00E95394"/>
    <w:rsid w:val="00E96504"/>
    <w:rsid w:val="00E972F4"/>
    <w:rsid w:val="00E97E68"/>
    <w:rsid w:val="00EA25FD"/>
    <w:rsid w:val="00EA3340"/>
    <w:rsid w:val="00EA4B65"/>
    <w:rsid w:val="00EA72A8"/>
    <w:rsid w:val="00EB0BE6"/>
    <w:rsid w:val="00EB43BF"/>
    <w:rsid w:val="00EB4AC3"/>
    <w:rsid w:val="00EB51C3"/>
    <w:rsid w:val="00EB694D"/>
    <w:rsid w:val="00EB6E95"/>
    <w:rsid w:val="00EC35C2"/>
    <w:rsid w:val="00EC3A4B"/>
    <w:rsid w:val="00EC4A2E"/>
    <w:rsid w:val="00EC5376"/>
    <w:rsid w:val="00EC62ED"/>
    <w:rsid w:val="00EC655D"/>
    <w:rsid w:val="00EC6A1A"/>
    <w:rsid w:val="00EC78B3"/>
    <w:rsid w:val="00ED0453"/>
    <w:rsid w:val="00ED19DD"/>
    <w:rsid w:val="00ED1E71"/>
    <w:rsid w:val="00ED25F5"/>
    <w:rsid w:val="00EE17D8"/>
    <w:rsid w:val="00EE1DFC"/>
    <w:rsid w:val="00EE34CA"/>
    <w:rsid w:val="00EE39DF"/>
    <w:rsid w:val="00EE5C57"/>
    <w:rsid w:val="00EE6066"/>
    <w:rsid w:val="00EE6DC5"/>
    <w:rsid w:val="00EF03F5"/>
    <w:rsid w:val="00EF0769"/>
    <w:rsid w:val="00EF1265"/>
    <w:rsid w:val="00EF28C0"/>
    <w:rsid w:val="00EF7FFC"/>
    <w:rsid w:val="00F011B9"/>
    <w:rsid w:val="00F02511"/>
    <w:rsid w:val="00F02D59"/>
    <w:rsid w:val="00F03317"/>
    <w:rsid w:val="00F037D2"/>
    <w:rsid w:val="00F03A8C"/>
    <w:rsid w:val="00F054A5"/>
    <w:rsid w:val="00F05CB5"/>
    <w:rsid w:val="00F063BC"/>
    <w:rsid w:val="00F10929"/>
    <w:rsid w:val="00F10A54"/>
    <w:rsid w:val="00F1140E"/>
    <w:rsid w:val="00F12D63"/>
    <w:rsid w:val="00F14916"/>
    <w:rsid w:val="00F16EE6"/>
    <w:rsid w:val="00F1772D"/>
    <w:rsid w:val="00F200F6"/>
    <w:rsid w:val="00F2239E"/>
    <w:rsid w:val="00F22639"/>
    <w:rsid w:val="00F25E07"/>
    <w:rsid w:val="00F26D5D"/>
    <w:rsid w:val="00F27326"/>
    <w:rsid w:val="00F27869"/>
    <w:rsid w:val="00F32FB8"/>
    <w:rsid w:val="00F33ED1"/>
    <w:rsid w:val="00F35A60"/>
    <w:rsid w:val="00F4007B"/>
    <w:rsid w:val="00F42A5C"/>
    <w:rsid w:val="00F42C75"/>
    <w:rsid w:val="00F43856"/>
    <w:rsid w:val="00F4478D"/>
    <w:rsid w:val="00F44F3D"/>
    <w:rsid w:val="00F47EEC"/>
    <w:rsid w:val="00F47F11"/>
    <w:rsid w:val="00F5081E"/>
    <w:rsid w:val="00F50A35"/>
    <w:rsid w:val="00F51B53"/>
    <w:rsid w:val="00F53AB2"/>
    <w:rsid w:val="00F552F2"/>
    <w:rsid w:val="00F55F35"/>
    <w:rsid w:val="00F57CE3"/>
    <w:rsid w:val="00F6008F"/>
    <w:rsid w:val="00F60D94"/>
    <w:rsid w:val="00F619AE"/>
    <w:rsid w:val="00F61C7A"/>
    <w:rsid w:val="00F642A3"/>
    <w:rsid w:val="00F6710B"/>
    <w:rsid w:val="00F67971"/>
    <w:rsid w:val="00F716B6"/>
    <w:rsid w:val="00F7296F"/>
    <w:rsid w:val="00F731F1"/>
    <w:rsid w:val="00F737D6"/>
    <w:rsid w:val="00F749AB"/>
    <w:rsid w:val="00F75ACD"/>
    <w:rsid w:val="00F769FB"/>
    <w:rsid w:val="00F81941"/>
    <w:rsid w:val="00F81E34"/>
    <w:rsid w:val="00F82A0B"/>
    <w:rsid w:val="00F83241"/>
    <w:rsid w:val="00F84351"/>
    <w:rsid w:val="00F847C6"/>
    <w:rsid w:val="00F85CE0"/>
    <w:rsid w:val="00F92462"/>
    <w:rsid w:val="00F9463F"/>
    <w:rsid w:val="00F95522"/>
    <w:rsid w:val="00F96618"/>
    <w:rsid w:val="00F97125"/>
    <w:rsid w:val="00F97952"/>
    <w:rsid w:val="00FA11FC"/>
    <w:rsid w:val="00FA2D9B"/>
    <w:rsid w:val="00FA3690"/>
    <w:rsid w:val="00FA4BE7"/>
    <w:rsid w:val="00FA73A3"/>
    <w:rsid w:val="00FB0966"/>
    <w:rsid w:val="00FB1252"/>
    <w:rsid w:val="00FB1394"/>
    <w:rsid w:val="00FB2D9C"/>
    <w:rsid w:val="00FB4864"/>
    <w:rsid w:val="00FB48A1"/>
    <w:rsid w:val="00FB48A8"/>
    <w:rsid w:val="00FB5FCF"/>
    <w:rsid w:val="00FB7CD0"/>
    <w:rsid w:val="00FC1346"/>
    <w:rsid w:val="00FC1BF6"/>
    <w:rsid w:val="00FC2587"/>
    <w:rsid w:val="00FC2980"/>
    <w:rsid w:val="00FC2CA8"/>
    <w:rsid w:val="00FC3626"/>
    <w:rsid w:val="00FC5DB0"/>
    <w:rsid w:val="00FC6557"/>
    <w:rsid w:val="00FC7004"/>
    <w:rsid w:val="00FC752E"/>
    <w:rsid w:val="00FC7994"/>
    <w:rsid w:val="00FD1FF6"/>
    <w:rsid w:val="00FD46CB"/>
    <w:rsid w:val="00FD5932"/>
    <w:rsid w:val="00FD6508"/>
    <w:rsid w:val="00FD7268"/>
    <w:rsid w:val="00FE037C"/>
    <w:rsid w:val="00FE05CC"/>
    <w:rsid w:val="00FE10DE"/>
    <w:rsid w:val="00FE213C"/>
    <w:rsid w:val="00FE3B78"/>
    <w:rsid w:val="00FE6B61"/>
    <w:rsid w:val="00FE7A1F"/>
    <w:rsid w:val="00FE7F89"/>
    <w:rsid w:val="00FF49C2"/>
    <w:rsid w:val="00FF4B8B"/>
    <w:rsid w:val="00FF5F0D"/>
    <w:rsid w:val="00FF7447"/>
    <w:rsid w:val="00FF7B9C"/>
    <w:rsid w:val="00FF7BDE"/>
    <w:rsid w:val="02381775"/>
    <w:rsid w:val="26D2049F"/>
    <w:rsid w:val="27A5F81F"/>
    <w:rsid w:val="350CEFBA"/>
    <w:rsid w:val="39C690BB"/>
    <w:rsid w:val="43447CC8"/>
    <w:rsid w:val="67576D9A"/>
    <w:rsid w:val="775B2C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31246"/>
  <w15:chartTrackingRefBased/>
  <w15:docId w15:val="{5F5AE53B-264E-4942-B559-E231C0A0E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D8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link w:val="Heading2Char"/>
    <w:uiPriority w:val="9"/>
    <w:unhideWhenUsed/>
    <w:qFormat/>
    <w:rsid w:val="00327422"/>
    <w:pPr>
      <w:keepNext/>
      <w:keepLines/>
      <w:spacing w:before="240" w:after="120" w:line="259" w:lineRule="auto"/>
      <w:outlineLvl w:val="1"/>
    </w:pPr>
    <w:rPr>
      <w:rFonts w:asciiTheme="majorHAnsi" w:eastAsia="Arial" w:hAnsiTheme="majorHAnsi" w:cstheme="majorBidi"/>
      <w:color w:val="7F7F7F" w:themeColor="text1" w:themeTint="80"/>
      <w:sz w:val="28"/>
      <w:szCs w:val="28"/>
      <w:lang w:eastAsia="en-GB"/>
    </w:rPr>
  </w:style>
  <w:style w:type="paragraph" w:styleId="Heading3">
    <w:name w:val="heading 3"/>
    <w:basedOn w:val="Normal"/>
    <w:next w:val="Normal"/>
    <w:link w:val="Heading3Char"/>
    <w:uiPriority w:val="9"/>
    <w:unhideWhenUsed/>
    <w:qFormat/>
    <w:rsid w:val="00006953"/>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F03317"/>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D6737"/>
    <w:pPr>
      <w:widowControl w:val="0"/>
      <w:autoSpaceDE w:val="0"/>
      <w:autoSpaceDN w:val="0"/>
      <w:spacing w:after="0" w:line="240" w:lineRule="auto"/>
    </w:pPr>
    <w:rPr>
      <w:rFonts w:ascii="Arial" w:eastAsia="Arial" w:hAnsi="Arial" w:cs="Arial"/>
      <w:sz w:val="22"/>
      <w:szCs w:val="22"/>
      <w:lang w:eastAsia="en-US"/>
    </w:rPr>
  </w:style>
  <w:style w:type="paragraph" w:styleId="ListParagraph">
    <w:name w:val="List Paragraph"/>
    <w:basedOn w:val="Normal"/>
    <w:link w:val="ListParagraphChar"/>
    <w:uiPriority w:val="34"/>
    <w:qFormat/>
    <w:rsid w:val="00BB48F5"/>
    <w:pPr>
      <w:ind w:left="720"/>
      <w:contextualSpacing/>
    </w:pPr>
  </w:style>
  <w:style w:type="character" w:styleId="Hyperlink">
    <w:name w:val="Hyperlink"/>
    <w:basedOn w:val="DefaultParagraphFont"/>
    <w:uiPriority w:val="99"/>
    <w:unhideWhenUsed/>
    <w:rsid w:val="001A1E04"/>
    <w:rPr>
      <w:color w:val="467886" w:themeColor="hyperlink"/>
      <w:u w:val="single"/>
    </w:rPr>
  </w:style>
  <w:style w:type="character" w:styleId="UnresolvedMention">
    <w:name w:val="Unresolved Mention"/>
    <w:basedOn w:val="DefaultParagraphFont"/>
    <w:uiPriority w:val="99"/>
    <w:semiHidden/>
    <w:unhideWhenUsed/>
    <w:rsid w:val="001A1E04"/>
    <w:rPr>
      <w:color w:val="605E5C"/>
      <w:shd w:val="clear" w:color="auto" w:fill="E1DFDD"/>
    </w:rPr>
  </w:style>
  <w:style w:type="paragraph" w:styleId="NormalWeb">
    <w:name w:val="Normal (Web)"/>
    <w:basedOn w:val="Normal"/>
    <w:uiPriority w:val="99"/>
    <w:unhideWhenUsed/>
    <w:rsid w:val="00821505"/>
    <w:pPr>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39"/>
    <w:rsid w:val="00B54D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83CDA"/>
    <w:rPr>
      <w:i/>
      <w:iCs/>
    </w:rPr>
  </w:style>
  <w:style w:type="character" w:styleId="FollowedHyperlink">
    <w:name w:val="FollowedHyperlink"/>
    <w:basedOn w:val="DefaultParagraphFont"/>
    <w:uiPriority w:val="99"/>
    <w:semiHidden/>
    <w:unhideWhenUsed/>
    <w:rsid w:val="004C1175"/>
    <w:rPr>
      <w:color w:val="96607D" w:themeColor="followedHyperlink"/>
      <w:u w:val="single"/>
    </w:rPr>
  </w:style>
  <w:style w:type="paragraph" w:styleId="Revision">
    <w:name w:val="Revision"/>
    <w:hidden/>
    <w:uiPriority w:val="99"/>
    <w:semiHidden/>
    <w:rsid w:val="007E0A04"/>
    <w:pPr>
      <w:spacing w:after="0" w:line="240" w:lineRule="auto"/>
    </w:pPr>
  </w:style>
  <w:style w:type="character" w:customStyle="1" w:styleId="Heading2Char">
    <w:name w:val="Heading 2 Char"/>
    <w:basedOn w:val="DefaultParagraphFont"/>
    <w:link w:val="Heading2"/>
    <w:uiPriority w:val="9"/>
    <w:rsid w:val="00327422"/>
    <w:rPr>
      <w:rFonts w:asciiTheme="majorHAnsi" w:eastAsia="Arial" w:hAnsiTheme="majorHAnsi" w:cstheme="majorBidi"/>
      <w:color w:val="7F7F7F" w:themeColor="text1" w:themeTint="80"/>
      <w:sz w:val="28"/>
      <w:szCs w:val="28"/>
      <w:lang w:eastAsia="en-GB"/>
    </w:rPr>
  </w:style>
  <w:style w:type="character" w:customStyle="1" w:styleId="ListParagraphChar">
    <w:name w:val="List Paragraph Char"/>
    <w:basedOn w:val="DefaultParagraphFont"/>
    <w:link w:val="ListParagraph"/>
    <w:uiPriority w:val="34"/>
    <w:rsid w:val="00327422"/>
  </w:style>
  <w:style w:type="paragraph" w:customStyle="1" w:styleId="elementtoproof">
    <w:name w:val="elementtoproof"/>
    <w:basedOn w:val="Normal"/>
    <w:uiPriority w:val="99"/>
    <w:semiHidden/>
    <w:rsid w:val="00327422"/>
    <w:pPr>
      <w:spacing w:after="0" w:line="240" w:lineRule="auto"/>
    </w:pPr>
    <w:rPr>
      <w:rFonts w:ascii="Aptos" w:eastAsiaTheme="minorHAnsi" w:hAnsi="Aptos" w:cs="Aptos"/>
      <w:lang w:eastAsia="en-GB"/>
      <w14:ligatures w14:val="standardContextual"/>
    </w:rPr>
  </w:style>
  <w:style w:type="character" w:customStyle="1" w:styleId="apple-converted-space">
    <w:name w:val="apple-converted-space"/>
    <w:basedOn w:val="DefaultParagraphFont"/>
    <w:rsid w:val="00327422"/>
  </w:style>
  <w:style w:type="character" w:customStyle="1" w:styleId="Heading3Char">
    <w:name w:val="Heading 3 Char"/>
    <w:basedOn w:val="DefaultParagraphFont"/>
    <w:link w:val="Heading3"/>
    <w:uiPriority w:val="9"/>
    <w:rsid w:val="00006953"/>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rsid w:val="00F03317"/>
    <w:rPr>
      <w:rFonts w:asciiTheme="majorHAnsi" w:eastAsiaTheme="majorEastAsia" w:hAnsiTheme="majorHAnsi" w:cstheme="majorBidi"/>
      <w:i/>
      <w:iCs/>
      <w:color w:val="0F4761" w:themeColor="accent1" w:themeShade="BF"/>
    </w:rPr>
  </w:style>
  <w:style w:type="character" w:customStyle="1" w:styleId="Heading1Char">
    <w:name w:val="Heading 1 Char"/>
    <w:basedOn w:val="DefaultParagraphFont"/>
    <w:link w:val="Heading1"/>
    <w:uiPriority w:val="9"/>
    <w:rsid w:val="004D7D86"/>
    <w:rPr>
      <w:rFonts w:asciiTheme="majorHAnsi" w:eastAsiaTheme="majorEastAsia" w:hAnsiTheme="majorHAnsi" w:cstheme="majorBidi"/>
      <w:color w:val="0F4761" w:themeColor="accent1" w:themeShade="BF"/>
      <w:sz w:val="32"/>
      <w:szCs w:val="32"/>
    </w:rPr>
  </w:style>
  <w:style w:type="character" w:customStyle="1" w:styleId="None">
    <w:name w:val="None"/>
    <w:rsid w:val="002E4FFA"/>
  </w:style>
  <w:style w:type="paragraph" w:customStyle="1" w:styleId="Body">
    <w:name w:val="Body"/>
    <w:rsid w:val="007E16B8"/>
    <w:pPr>
      <w:pBdr>
        <w:top w:val="nil"/>
        <w:left w:val="nil"/>
        <w:bottom w:val="nil"/>
        <w:right w:val="nil"/>
        <w:between w:val="nil"/>
        <w:bar w:val="nil"/>
      </w:pBdr>
      <w:spacing w:after="0" w:line="259" w:lineRule="auto"/>
    </w:pPr>
    <w:rPr>
      <w:rFonts w:ascii="Arial" w:eastAsia="Arial" w:hAnsi="Arial" w:cs="Arial"/>
      <w:color w:val="000000"/>
      <w:sz w:val="22"/>
      <w:szCs w:val="22"/>
      <w:u w:color="000000"/>
      <w:bdr w:val="nil"/>
      <w:lang w:eastAsia="en-GB"/>
      <w14:textOutline w14:w="0" w14:cap="flat" w14:cmpd="sng" w14:algn="ctr">
        <w14:noFill/>
        <w14:prstDash w14:val="solid"/>
        <w14:bevel/>
      </w14:textOutline>
    </w:rPr>
  </w:style>
  <w:style w:type="numbering" w:customStyle="1" w:styleId="ImportedStyle4">
    <w:name w:val="Imported Style 4"/>
    <w:rsid w:val="00832678"/>
    <w:pPr>
      <w:numPr>
        <w:numId w:val="14"/>
      </w:numPr>
    </w:pPr>
  </w:style>
  <w:style w:type="character" w:styleId="CommentReference">
    <w:name w:val="annotation reference"/>
    <w:basedOn w:val="DefaultParagraphFont"/>
    <w:uiPriority w:val="99"/>
    <w:semiHidden/>
    <w:unhideWhenUsed/>
    <w:rsid w:val="00EF03F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964135">
      <w:bodyDiv w:val="1"/>
      <w:marLeft w:val="0"/>
      <w:marRight w:val="0"/>
      <w:marTop w:val="0"/>
      <w:marBottom w:val="0"/>
      <w:divBdr>
        <w:top w:val="none" w:sz="0" w:space="0" w:color="auto"/>
        <w:left w:val="none" w:sz="0" w:space="0" w:color="auto"/>
        <w:bottom w:val="none" w:sz="0" w:space="0" w:color="auto"/>
        <w:right w:val="none" w:sz="0" w:space="0" w:color="auto"/>
      </w:divBdr>
      <w:divsChild>
        <w:div w:id="513496945">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5T19:53:58.573"/>
    </inkml:context>
    <inkml:brush xml:id="br0">
      <inkml:brushProperty name="width" value="0.08571" units="cm"/>
      <inkml:brushProperty name="height" value="0.08571" units="cm"/>
    </inkml:brush>
  </inkml:definitions>
  <inkml:trace contextRef="#ctx0" brushRef="#br0">17 935 8027,'-13'0'0,"10"-7"0,11-7 0,9-6 0,4-1 0,7-6 0,3 0 0,3-2 0,3-1 0,2 1 0,-4 0 0,-2 7 0,-3 0 0,-5 6 0,-1 1 0,-3 3 0,-4 3 0,-6 4 0,-1 4 0,-6 3 0,-1 4 0,-3 7 0,-3 8 0,-4 2 0,-2 1 0,-1 0 0,2-3 0,3 0 0,0-2 0,3-4 0,1-3 0,4-4 0,5-5 0,6-4 0,10-7 0,2-5 0,4-8 0,-5 1 0,0 0 0,-2 0 0,-3 2 0,-1 2 0,-3 2 0,-3 4 0,-2 1 0,-1 5 0,-1 1 0,0 3 0,1 0 0,1 0 0,3 0 0,4 0 0,3-1 0,7-4 0,5-5 0,5-8 0,5-6 0,2-6 0,8-8 0,-21 14 0,-1-1 0,-1 0 0,0 1 0,1-2 0,0 0 0,0 0 0,-2 2 0,18-19 0,0 1 0,-8 5 0,-1 0 0,-4 2 0,-11 9 0,-3 0 0,-5 4 0,-3 5 0,-4 6 0,-3 3 0,-5 4 0,-8 7 0,-6 8 0,-7 8 0,-7 11 0,-8 14 0,-7 9 0,21-21 0,0 1 0,-2 3 0,-1 1 0,-2 6 0,-2 2 0,-1 2 0,-1 0 0,2-1 0,0 0 0,-1-1 0,0 1 0,-2 3 0,0 0 0,-1 0 0,0-1 0,1-1 0,-1-1 0,4-7 0,0-2 0,1-2 0,0-1 0,1-3 0,0-1 0,-3 2 0,0-1 0,1-2 0,-1-1 0,2-3 0,-1-1 0,-21 15 0,5-6 0,3-6 0,3-3 0,-5-1 0,8-12 0,-2-5 0,6-16 0,14-16 0,7-25 0,11 20 0,0 0 0</inkml:trace>
  <inkml:trace contextRef="#ctx0" brushRef="#br0" timeOffset="452">1775 60 8027,'-37'19'0,"2"3"0,10 1 0,-3 7 0,-2 5 0,-4 8 0,-6 11 0,20-26 0,-1 1 0,1 1 0,0 1 0,-1-1 0,0 1 0,0 0 0,0 0 0,1-2 0,1-1 0,-15 22 0,1 0 0,5-10 0,6-7 0,0-3 0,4-5 0,2 1 0,3-5 0,5-4 0,4-2 0,-2-1 0,0 0 0</inkml:trace>
  <inkml:trace contextRef="#ctx0" brushRef="#br0" timeOffset="1675">1615 910 8027,'6'-38'0,"-3"11"0,-2 13 0,-1 7 0,-1-1 0,0 0 0,-4-1 0,-3-1 0,-3 1 0,-3 2 0,-5 2 0,-3 2 0,-3 1 0,-1 4 0,-2 2 0,2 5 0,2 4 0,2 1 0,7 0 0,1-1 0,3 1 0,6-4 0,1-2 0,8-2 0,5-3 0,8-2 0,9-5 0,3-2 0,1-6 0,-4 1 0,-3 0 0,-3 1 0,-1 1 0,-4 1 0,-4 2 0,-4 1 0,0 1 0,-2 3 0,-3 1 0,0 5 0,-1 2 0,-1 5 0,2 1 0,1-1 0,3 0 0,3-2 0,5-2 0,7-1 0,6-5 0,7-2 0,6-12 0,13-11 0,6-12 0,-25 12 0,1-1 0,1-4 0,2-1 0,2-3 0,1-1 0,1-2 0,1 0 0,4-2 0,-1 1 0,-7 4 0,0 2 0,-1 1 0,0 2 0,-4 2 0,-1 0 0,1-1 0,-1 1 0,22-17 0,-10 6 0,-8 5 0,-9 6 0,-2 0 0,-8 5 0,-7 6 0,-5 4 0,-16 6 0,-10 6 0,-14 13 0,-16 12 0,-4 13 0,20-14 0,0 2 0,-1 3 0,-1 1 0,-1 4 0,-1 1 0,1 1 0,1 0 0,3-1 0,1 0 0,-2 2 0,2-1 0,-7 14 0,0 2 0,8-8 0,2-4 0,5-4 0,3-7 0,9-7 0,6-9 0,9-9 0,11-13 0,9-10 0,9-8 0,-1 0 0,-3 3 0,-2 2 0,1-1 0,-4 4 0,-6 5 0,-3 3 0,-5 5 0,-2 3 0,-2 1 0,0 4 0,-1 4 0,1 3 0,0 3 0,6 2 0,3 0 0,5-1 0,6-2 0,4-2 0,12-3 0,9-1 0,-2-4 0,2-2 0,-2 0 0,10-7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B0787CFFD16E469CCE5283E13F6042" ma:contentTypeVersion="3" ma:contentTypeDescription="Create a new document." ma:contentTypeScope="" ma:versionID="f3e324d00ad8e5c7e4707d5b4cb8b658">
  <xsd:schema xmlns:xsd="http://www.w3.org/2001/XMLSchema" xmlns:xs="http://www.w3.org/2001/XMLSchema" xmlns:p="http://schemas.microsoft.com/office/2006/metadata/properties" xmlns:ns2="b5fd9d03-6420-4afb-b132-01f31ec206b4" targetNamespace="http://schemas.microsoft.com/office/2006/metadata/properties" ma:root="true" ma:fieldsID="0df0f810d6da5fc323cc8e2336fe6dc8" ns2:_="">
    <xsd:import namespace="b5fd9d03-6420-4afb-b132-01f31ec206b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d9d03-6420-4afb-b132-01f31ec2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155A6E-A449-42F1-B71F-CB2F0907D537}">
  <ds:schemaRefs>
    <ds:schemaRef ds:uri="http://schemas.microsoft.com/sharepoint/v3/contenttype/forms"/>
  </ds:schemaRefs>
</ds:datastoreItem>
</file>

<file path=customXml/itemProps2.xml><?xml version="1.0" encoding="utf-8"?>
<ds:datastoreItem xmlns:ds="http://schemas.openxmlformats.org/officeDocument/2006/customXml" ds:itemID="{33EF1188-3303-4356-9741-6C16F6EE0C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3FD345-D520-4A9A-8F7A-8BFB783E8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d9d03-6420-4afb-b132-01f31ec2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5272</Words>
  <Characters>30051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Slack</dc:creator>
  <cp:keywords/>
  <dc:description/>
  <cp:lastModifiedBy>Mike Slack</cp:lastModifiedBy>
  <cp:revision>3</cp:revision>
  <dcterms:created xsi:type="dcterms:W3CDTF">2026-09-06T17:17:00Z</dcterms:created>
  <dcterms:modified xsi:type="dcterms:W3CDTF">2026-09-06T17:17:00Z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0x01010085B0787CFFD16E469CCE5283E13F6042</vt:lpwstr>
  </property>
  <property fmtid="{D5CDD505-2E9C-101B-9397-08002B2CF9AE}" pid="3" name="docLang">
    <vt:lpwstr>en</vt:lpwstr>
  </property>
</Properties>
</file>