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4873F" w14:textId="77777777" w:rsidR="006154B5" w:rsidRDefault="006154B5" w:rsidP="21ED7BDF">
      <w:pPr>
        <w:jc w:val="center"/>
        <w:rPr>
          <w:rFonts w:ascii="Arial" w:hAnsi="Arial" w:cs="Arial"/>
          <w:b/>
          <w:bCs/>
          <w:sz w:val="28"/>
          <w:szCs w:val="28"/>
        </w:rPr>
      </w:pPr>
      <w:r w:rsidRPr="009B19EF">
        <w:rPr>
          <w:rFonts w:ascii="Arial" w:hAnsi="Arial" w:cs="Arial"/>
          <w:b/>
          <w:bCs/>
          <w:sz w:val="28"/>
          <w:szCs w:val="28"/>
        </w:rPr>
        <w:t xml:space="preserve">Success and Limitations of </w:t>
      </w:r>
      <w:r w:rsidR="009B19EF" w:rsidRPr="009B19EF">
        <w:rPr>
          <w:rFonts w:ascii="Arial" w:hAnsi="Arial" w:cs="Arial"/>
          <w:b/>
          <w:bCs/>
          <w:sz w:val="28"/>
          <w:szCs w:val="28"/>
        </w:rPr>
        <w:t>Police</w:t>
      </w:r>
      <w:r w:rsidRPr="009B19EF">
        <w:rPr>
          <w:rFonts w:ascii="Arial" w:hAnsi="Arial" w:cs="Arial"/>
          <w:b/>
          <w:bCs/>
          <w:sz w:val="28"/>
          <w:szCs w:val="28"/>
        </w:rPr>
        <w:t xml:space="preserve"> and </w:t>
      </w:r>
      <w:r w:rsidR="009B19EF" w:rsidRPr="009B19EF">
        <w:rPr>
          <w:rFonts w:ascii="Arial" w:hAnsi="Arial" w:cs="Arial"/>
          <w:b/>
          <w:bCs/>
          <w:sz w:val="28"/>
          <w:szCs w:val="28"/>
        </w:rPr>
        <w:t>Criminal</w:t>
      </w:r>
      <w:r w:rsidRPr="009B19EF">
        <w:rPr>
          <w:rFonts w:ascii="Arial" w:hAnsi="Arial" w:cs="Arial"/>
          <w:b/>
          <w:bCs/>
          <w:sz w:val="28"/>
          <w:szCs w:val="28"/>
        </w:rPr>
        <w:t xml:space="preserve"> Evidence Act 1984</w:t>
      </w:r>
    </w:p>
    <w:p w14:paraId="55056BC1" w14:textId="77777777" w:rsidR="00FD3060" w:rsidRDefault="00FD3060" w:rsidP="0B33462D">
      <w:pPr>
        <w:jc w:val="center"/>
        <w:rPr>
          <w:rFonts w:ascii="Arial" w:hAnsi="Arial" w:cs="Arial"/>
          <w:b/>
          <w:bCs/>
          <w:sz w:val="28"/>
          <w:szCs w:val="28"/>
        </w:rPr>
      </w:pPr>
    </w:p>
    <w:p w14:paraId="4C03AC4B" w14:textId="3DBDFD19" w:rsidR="00FD3060" w:rsidRPr="00FD3060" w:rsidRDefault="008407FD" w:rsidP="21ED7BDF">
      <w:pPr>
        <w:rPr>
          <w:rFonts w:ascii="Arial" w:hAnsi="Arial" w:cs="Arial"/>
          <w:sz w:val="24"/>
          <w:szCs w:val="24"/>
        </w:rPr>
      </w:pPr>
      <w:r>
        <w:rPr>
          <w:rFonts w:ascii="Arial" w:hAnsi="Arial" w:cs="Arial"/>
          <w:sz w:val="24"/>
          <w:szCs w:val="24"/>
        </w:rPr>
        <w:t xml:space="preserve">Miscarriages of justice have been prevalent in the criminal justice system for many years. </w:t>
      </w:r>
      <w:r w:rsidR="00E90024">
        <w:rPr>
          <w:rFonts w:ascii="Arial" w:hAnsi="Arial" w:cs="Arial"/>
          <w:sz w:val="24"/>
          <w:szCs w:val="24"/>
        </w:rPr>
        <w:t xml:space="preserve">In order to truly understand what a miscarriage is, there must be a definition. </w:t>
      </w:r>
      <w:r w:rsidR="00781FC5">
        <w:rPr>
          <w:rFonts w:ascii="Arial" w:hAnsi="Arial" w:cs="Arial"/>
          <w:sz w:val="24"/>
          <w:szCs w:val="24"/>
        </w:rPr>
        <w:t xml:space="preserve">Quirk and Requa (2012) </w:t>
      </w:r>
      <w:r w:rsidR="00C36F39">
        <w:rPr>
          <w:rFonts w:ascii="Arial" w:hAnsi="Arial" w:cs="Arial"/>
          <w:sz w:val="24"/>
          <w:szCs w:val="24"/>
        </w:rPr>
        <w:t>s</w:t>
      </w:r>
      <w:r w:rsidR="000764A4">
        <w:rPr>
          <w:rFonts w:ascii="Arial" w:hAnsi="Arial" w:cs="Arial"/>
          <w:sz w:val="24"/>
          <w:szCs w:val="24"/>
        </w:rPr>
        <w:t xml:space="preserve">uggests that the legal definition is </w:t>
      </w:r>
      <w:r w:rsidR="0029230F">
        <w:rPr>
          <w:rFonts w:ascii="Arial" w:hAnsi="Arial" w:cs="Arial"/>
          <w:sz w:val="24"/>
          <w:szCs w:val="24"/>
        </w:rPr>
        <w:t>ambiguous, although has been set out in a test by the Supreme Court which labels four categories</w:t>
      </w:r>
      <w:r w:rsidR="000364DA">
        <w:rPr>
          <w:rFonts w:ascii="Arial" w:hAnsi="Arial" w:cs="Arial"/>
          <w:sz w:val="24"/>
          <w:szCs w:val="24"/>
        </w:rPr>
        <w:t xml:space="preserve"> to identify a miscarriage of justice. </w:t>
      </w:r>
      <w:r w:rsidR="21ED7BDF" w:rsidRPr="21ED7BDF">
        <w:rPr>
          <w:rFonts w:ascii="Arial" w:hAnsi="Arial" w:cs="Arial"/>
          <w:sz w:val="24"/>
          <w:szCs w:val="24"/>
        </w:rPr>
        <w:t xml:space="preserve">These are ‘fresh evidence: showing defendant is innocent of the crime committed, showing that had it been available at trial no reasonable jury could convict, renders conviction unsafe and something went wrong in the investigation resulting in wrongful conviction’. There is also a definition contained in </w:t>
      </w:r>
      <w:r w:rsidR="21ED7BDF" w:rsidRPr="21ED7BDF">
        <w:rPr>
          <w:rFonts w:ascii="Arial" w:hAnsi="Arial" w:cs="Arial"/>
          <w:sz w:val="24"/>
          <w:szCs w:val="24"/>
          <w:u w:val="single"/>
        </w:rPr>
        <w:t>s.133 Criminal Justice Act 1988</w:t>
      </w:r>
      <w:r w:rsidR="21ED7BDF" w:rsidRPr="21ED7BDF">
        <w:rPr>
          <w:rFonts w:ascii="Arial" w:hAnsi="Arial" w:cs="Arial"/>
          <w:sz w:val="24"/>
          <w:szCs w:val="24"/>
        </w:rPr>
        <w:t xml:space="preserve"> which backs up these categories. There have been a number of high-profile cases of miscarriages of justice including the Guildford Four, Birmingham Six and Stefan Kiszco. These have been down to several issues relating to the way some police officers conducted themselves at that time and the culture. </w:t>
      </w:r>
      <w:r w:rsidR="00E03EDD">
        <w:rPr>
          <w:rFonts w:ascii="Arial" w:hAnsi="Arial" w:cs="Arial"/>
          <w:sz w:val="24"/>
          <w:szCs w:val="24"/>
        </w:rPr>
        <w:t>Savage et al (</w:t>
      </w:r>
      <w:r w:rsidR="00825E6F">
        <w:rPr>
          <w:rFonts w:ascii="Arial" w:hAnsi="Arial" w:cs="Arial"/>
          <w:sz w:val="24"/>
          <w:szCs w:val="24"/>
        </w:rPr>
        <w:t xml:space="preserve">2007) </w:t>
      </w:r>
      <w:r w:rsidR="00822839">
        <w:rPr>
          <w:rFonts w:ascii="Arial" w:hAnsi="Arial" w:cs="Arial"/>
          <w:sz w:val="24"/>
          <w:szCs w:val="24"/>
        </w:rPr>
        <w:t xml:space="preserve">describes miscarriages of justice as </w:t>
      </w:r>
      <w:r w:rsidR="007A7DA7">
        <w:rPr>
          <w:rFonts w:ascii="Arial" w:hAnsi="Arial" w:cs="Arial"/>
          <w:sz w:val="24"/>
          <w:szCs w:val="24"/>
        </w:rPr>
        <w:t xml:space="preserve">‘wrongful convictions or failure to act in response to victimisation.’ They also argue that </w:t>
      </w:r>
      <w:r w:rsidR="008238D3">
        <w:rPr>
          <w:rFonts w:ascii="Arial" w:hAnsi="Arial" w:cs="Arial"/>
          <w:sz w:val="24"/>
          <w:szCs w:val="24"/>
        </w:rPr>
        <w:t>they ‘act as a catalyst for reform</w:t>
      </w:r>
      <w:r w:rsidR="00055D30">
        <w:rPr>
          <w:rFonts w:ascii="Arial" w:hAnsi="Arial" w:cs="Arial"/>
          <w:sz w:val="24"/>
          <w:szCs w:val="24"/>
        </w:rPr>
        <w:t xml:space="preserve">’ which is </w:t>
      </w:r>
      <w:r w:rsidR="00C51966">
        <w:rPr>
          <w:rFonts w:ascii="Arial" w:hAnsi="Arial" w:cs="Arial"/>
          <w:sz w:val="24"/>
          <w:szCs w:val="24"/>
        </w:rPr>
        <w:t xml:space="preserve">evidenced by the Confait case which served as an influence for the </w:t>
      </w:r>
      <w:r w:rsidR="00C51966" w:rsidRPr="00104997">
        <w:rPr>
          <w:rFonts w:ascii="Arial" w:hAnsi="Arial" w:cs="Arial"/>
          <w:sz w:val="24"/>
          <w:szCs w:val="24"/>
          <w:u w:val="single"/>
        </w:rPr>
        <w:t xml:space="preserve">Police and Criminal Evidence Act </w:t>
      </w:r>
      <w:r w:rsidR="00104997" w:rsidRPr="00104997">
        <w:rPr>
          <w:rFonts w:ascii="Arial" w:hAnsi="Arial" w:cs="Arial"/>
          <w:sz w:val="24"/>
          <w:szCs w:val="24"/>
          <w:u w:val="single"/>
        </w:rPr>
        <w:t>1984</w:t>
      </w:r>
      <w:r w:rsidR="00104997">
        <w:rPr>
          <w:rFonts w:ascii="Arial" w:hAnsi="Arial" w:cs="Arial"/>
          <w:sz w:val="24"/>
          <w:szCs w:val="24"/>
        </w:rPr>
        <w:t xml:space="preserve">. </w:t>
      </w:r>
    </w:p>
    <w:p w14:paraId="51E006D4" w14:textId="70A2AE95" w:rsidR="21ED7BDF" w:rsidRDefault="21ED7BDF" w:rsidP="21ED7BDF">
      <w:pPr>
        <w:rPr>
          <w:rFonts w:ascii="Arial" w:hAnsi="Arial" w:cs="Arial"/>
          <w:sz w:val="24"/>
          <w:szCs w:val="24"/>
        </w:rPr>
      </w:pPr>
    </w:p>
    <w:p w14:paraId="6BFE2E83" w14:textId="4C3C0899" w:rsidR="21ED7BDF" w:rsidRDefault="21ED7BDF" w:rsidP="21ED7BDF">
      <w:pPr>
        <w:rPr>
          <w:rFonts w:ascii="Arial" w:eastAsia="Arial" w:hAnsi="Arial" w:cs="Arial"/>
          <w:sz w:val="24"/>
          <w:szCs w:val="24"/>
        </w:rPr>
      </w:pPr>
      <w:r w:rsidRPr="21ED7BDF">
        <w:rPr>
          <w:rFonts w:ascii="Arial" w:hAnsi="Arial" w:cs="Arial"/>
          <w:sz w:val="24"/>
          <w:szCs w:val="24"/>
        </w:rPr>
        <w:t xml:space="preserve">Before the </w:t>
      </w:r>
      <w:r w:rsidRPr="21ED7BDF">
        <w:rPr>
          <w:rFonts w:ascii="Arial" w:hAnsi="Arial" w:cs="Arial"/>
          <w:sz w:val="24"/>
          <w:szCs w:val="24"/>
          <w:u w:val="single"/>
        </w:rPr>
        <w:t>Police and Criminal Evidence Act 1984</w:t>
      </w:r>
      <w:r w:rsidRPr="21ED7BDF">
        <w:rPr>
          <w:rFonts w:ascii="Arial" w:hAnsi="Arial" w:cs="Arial"/>
          <w:sz w:val="24"/>
          <w:szCs w:val="24"/>
        </w:rPr>
        <w:t xml:space="preserve"> (PACE), the police were governed by a set of rules known as Judges Rules 1912. This allowed a set of guidelines for officers when interrogating and taking statements. According to Johnston (1966), these ‘were not rules of law, merely guidance which no one can be punished for’. The officers could only be criticised and have their evidence rejected in a court. The rules themselves were ambiguous and open to interpretation. The rules were then updated in the 1930s and 1960s. This was done to ‘define the line in regards to criterion of voluntariness’ as described by McBarnet (1981). This means that ‘confessions or statements can only be used if they are given voluntarily’. This is a common theme throughout the Judges Rules and makes sure that the police keep in line with their principles of being a fair and just service. This rules that evidence cannot be submitted if it is obtained by oppression or involuntarily which then prevents the police from bullying a suspect into confessing. These rules were an attempt to bring policing forward. However, in reality, these did not work. McBarnet (1981) describes it as ‘</w:t>
      </w:r>
      <w:r w:rsidRPr="21ED7BDF">
        <w:rPr>
          <w:rFonts w:ascii="Arial" w:eastAsia="Arial" w:hAnsi="Arial" w:cs="Arial"/>
          <w:sz w:val="24"/>
          <w:szCs w:val="24"/>
        </w:rPr>
        <w:t xml:space="preserve">a step away from at least one common law approach which had drawn the line between police powers and citizen rights firmly and clearly in favour of civil liberties’. Exercising police powers and enforcing them were often done with little restraint. The rules were updated often providing confusing and contradictory definitions of words used in the rules. McBarnet (1981) also explains how the words voluntary and oppression were ‘stretched their meanings to breaking point’.  This is because the rules were so open to interpretation that in many cases, officers could justify extreme acts such as questioning a suspect for extreme lengths of time with no breaks for food or sleep. Once some statements were gathered, there is a chance that the suspect will plead guilty despite the methods used to obtain the statement being questionable to say the least. Officers would use things like sleep deprivation and in some extreme cases, violence. Ambiguous rules combined with a lack of consequences for those rules can be devastating. For example, the case of Steven Downing who was arrested and charged with the murder of Wendy Sewell in 1973. She was found alive by Steven who is believed to have tried to help her. However, according to the BBC (2017), ‘he was arrested and questioned without a solicitor for several hours at age 17 and with a reading age of 11’. After this, he was </w:t>
      </w:r>
      <w:r w:rsidRPr="21ED7BDF">
        <w:rPr>
          <w:rFonts w:ascii="Arial" w:eastAsia="Arial" w:hAnsi="Arial" w:cs="Arial"/>
          <w:sz w:val="24"/>
          <w:szCs w:val="24"/>
        </w:rPr>
        <w:lastRenderedPageBreak/>
        <w:t xml:space="preserve">‘pressured into signing a confession which was full of words he did not understand’ which leads to the conclusion that the police officer must have been the one who wrote the confession. It was only after Don Hale launched a campaign into it that justice was done. Despite this, Don was told that all evidence was destroyed or lost with the police offering little cooperation. DNA evidence proved that Steven could not be the killer and helped identify the real killer. Downing finally was freed after 27 years in prison for a crime he did not commit due to the police abusing their powers. Another example of a miscarriage of justice is the Stefan Kiszco case who was convicted for the murder of Lesley Molseed in 1976. The Guardian (2006) states that Kiszco had ‘the emotional age of a 12-year-old’ and was ‘questioned without a lawyer and made a confession after being told he could go home if he admitted to the crime’. He was released after DNA evidence proved he could not have done it. According to the Guardian (2007), this evidence was not shown to the defence or the court by the police. This shows another clear miscarriage of justice as a result of the police. </w:t>
      </w:r>
    </w:p>
    <w:p w14:paraId="309038F5" w14:textId="666201A2" w:rsidR="21ED7BDF" w:rsidRDefault="21ED7BDF" w:rsidP="21ED7BDF">
      <w:pPr>
        <w:rPr>
          <w:rFonts w:ascii="Arial" w:eastAsia="Arial" w:hAnsi="Arial" w:cs="Arial"/>
          <w:sz w:val="24"/>
          <w:szCs w:val="24"/>
        </w:rPr>
      </w:pPr>
    </w:p>
    <w:p w14:paraId="1D9DCDBA" w14:textId="2F2D91CB" w:rsidR="00FD3060" w:rsidRDefault="4C83E531" w:rsidP="4C83E531">
      <w:pPr>
        <w:rPr>
          <w:rFonts w:ascii="Arial" w:eastAsia="Arial" w:hAnsi="Arial" w:cs="Arial"/>
          <w:sz w:val="24"/>
          <w:szCs w:val="24"/>
        </w:rPr>
      </w:pPr>
      <w:r w:rsidRPr="4C83E531">
        <w:rPr>
          <w:rFonts w:ascii="Arial" w:eastAsia="Arial" w:hAnsi="Arial" w:cs="Arial"/>
          <w:sz w:val="24"/>
          <w:szCs w:val="24"/>
        </w:rPr>
        <w:t xml:space="preserve">Everything changed in 1984 as a new piece of legislation was brought in following a number or reports and enquiries into miscarriages of justice and police powers. This was the </w:t>
      </w:r>
      <w:r w:rsidRPr="4C83E531">
        <w:rPr>
          <w:rFonts w:ascii="Arial" w:eastAsia="Arial" w:hAnsi="Arial" w:cs="Arial"/>
          <w:sz w:val="24"/>
          <w:szCs w:val="24"/>
          <w:u w:val="single"/>
        </w:rPr>
        <w:t>Police and Criminal Evidence Act 1984</w:t>
      </w:r>
      <w:r w:rsidRPr="4C83E531">
        <w:rPr>
          <w:rFonts w:ascii="Arial" w:eastAsia="Arial" w:hAnsi="Arial" w:cs="Arial"/>
          <w:sz w:val="24"/>
          <w:szCs w:val="24"/>
        </w:rPr>
        <w:t xml:space="preserve">. </w:t>
      </w:r>
      <w:r w:rsidR="00341AE0">
        <w:rPr>
          <w:rFonts w:ascii="Arial" w:eastAsia="Arial" w:hAnsi="Arial" w:cs="Arial"/>
          <w:sz w:val="24"/>
          <w:szCs w:val="24"/>
        </w:rPr>
        <w:t xml:space="preserve">The main </w:t>
      </w:r>
      <w:r w:rsidR="00F853D1">
        <w:rPr>
          <w:rFonts w:ascii="Arial" w:eastAsia="Arial" w:hAnsi="Arial" w:cs="Arial"/>
          <w:sz w:val="24"/>
          <w:szCs w:val="24"/>
        </w:rPr>
        <w:t xml:space="preserve">enquiry was the Royal </w:t>
      </w:r>
      <w:r w:rsidR="00AA1906">
        <w:rPr>
          <w:rFonts w:ascii="Arial" w:eastAsia="Arial" w:hAnsi="Arial" w:cs="Arial"/>
          <w:sz w:val="24"/>
          <w:szCs w:val="24"/>
        </w:rPr>
        <w:t>Commission</w:t>
      </w:r>
      <w:r w:rsidR="00523D56">
        <w:rPr>
          <w:rFonts w:ascii="Arial" w:eastAsia="Arial" w:hAnsi="Arial" w:cs="Arial"/>
          <w:sz w:val="24"/>
          <w:szCs w:val="24"/>
        </w:rPr>
        <w:t xml:space="preserve"> on Criminal Procedure </w:t>
      </w:r>
      <w:r w:rsidR="00A6429B">
        <w:rPr>
          <w:rFonts w:ascii="Arial" w:eastAsia="Arial" w:hAnsi="Arial" w:cs="Arial"/>
          <w:sz w:val="24"/>
          <w:szCs w:val="24"/>
        </w:rPr>
        <w:t xml:space="preserve">in 1981. This </w:t>
      </w:r>
      <w:r w:rsidR="006B7DE2">
        <w:rPr>
          <w:rFonts w:ascii="Arial" w:eastAsia="Arial" w:hAnsi="Arial" w:cs="Arial"/>
          <w:sz w:val="24"/>
          <w:szCs w:val="24"/>
        </w:rPr>
        <w:t xml:space="preserve">was ordered by the Home Office following </w:t>
      </w:r>
      <w:r w:rsidR="0016431F">
        <w:rPr>
          <w:rFonts w:ascii="Arial" w:eastAsia="Arial" w:hAnsi="Arial" w:cs="Arial"/>
          <w:sz w:val="24"/>
          <w:szCs w:val="24"/>
        </w:rPr>
        <w:t xml:space="preserve">a fall in public confidence in the police service. The report offered recommendations </w:t>
      </w:r>
      <w:r w:rsidR="00C533E0">
        <w:rPr>
          <w:rFonts w:ascii="Arial" w:eastAsia="Arial" w:hAnsi="Arial" w:cs="Arial"/>
          <w:sz w:val="24"/>
          <w:szCs w:val="24"/>
        </w:rPr>
        <w:t xml:space="preserve">such as </w:t>
      </w:r>
      <w:r w:rsidR="00E95DF8">
        <w:rPr>
          <w:rFonts w:ascii="Arial" w:eastAsia="Arial" w:hAnsi="Arial" w:cs="Arial"/>
          <w:sz w:val="24"/>
          <w:szCs w:val="24"/>
        </w:rPr>
        <w:t xml:space="preserve">free consultation of </w:t>
      </w:r>
      <w:r w:rsidR="00B04011">
        <w:rPr>
          <w:rFonts w:ascii="Arial" w:eastAsia="Arial" w:hAnsi="Arial" w:cs="Arial"/>
          <w:sz w:val="24"/>
          <w:szCs w:val="24"/>
        </w:rPr>
        <w:t>a solicitor before questioning, having that solicitor present during questioning</w:t>
      </w:r>
      <w:r w:rsidR="0013400F">
        <w:rPr>
          <w:rFonts w:ascii="Arial" w:eastAsia="Arial" w:hAnsi="Arial" w:cs="Arial"/>
          <w:sz w:val="24"/>
          <w:szCs w:val="24"/>
        </w:rPr>
        <w:t xml:space="preserve">, gave clarity to detention periods and also helped to set up the Crown Prosecution Service. </w:t>
      </w:r>
      <w:r w:rsidR="00B951BB">
        <w:rPr>
          <w:rFonts w:ascii="Arial" w:eastAsia="Arial" w:hAnsi="Arial" w:cs="Arial"/>
          <w:sz w:val="24"/>
          <w:szCs w:val="24"/>
        </w:rPr>
        <w:t>The Government at the time accepted many of the recommendations set out by the report</w:t>
      </w:r>
      <w:r w:rsidR="00EA081C">
        <w:rPr>
          <w:rFonts w:ascii="Arial" w:eastAsia="Arial" w:hAnsi="Arial" w:cs="Arial"/>
          <w:sz w:val="24"/>
          <w:szCs w:val="24"/>
        </w:rPr>
        <w:t xml:space="preserve"> and the PACE Act 1984 was </w:t>
      </w:r>
      <w:r w:rsidR="00010BF8">
        <w:rPr>
          <w:rFonts w:ascii="Arial" w:eastAsia="Arial" w:hAnsi="Arial" w:cs="Arial"/>
          <w:sz w:val="24"/>
          <w:szCs w:val="24"/>
        </w:rPr>
        <w:t xml:space="preserve">created. The aim of PACE was to unify police powers under one </w:t>
      </w:r>
      <w:r w:rsidR="000D5937">
        <w:rPr>
          <w:rFonts w:ascii="Arial" w:eastAsia="Arial" w:hAnsi="Arial" w:cs="Arial"/>
          <w:sz w:val="24"/>
          <w:szCs w:val="24"/>
        </w:rPr>
        <w:t>code an</w:t>
      </w:r>
      <w:r w:rsidR="00CB1355">
        <w:rPr>
          <w:rFonts w:ascii="Arial" w:eastAsia="Arial" w:hAnsi="Arial" w:cs="Arial"/>
          <w:sz w:val="24"/>
          <w:szCs w:val="24"/>
        </w:rPr>
        <w:t>d according to the Home Office (</w:t>
      </w:r>
      <w:r w:rsidR="001F54C2">
        <w:rPr>
          <w:rFonts w:ascii="Arial" w:eastAsia="Arial" w:hAnsi="Arial" w:cs="Arial"/>
          <w:sz w:val="24"/>
          <w:szCs w:val="24"/>
        </w:rPr>
        <w:t xml:space="preserve">1997), was also aimed at </w:t>
      </w:r>
      <w:r w:rsidR="000D4A7B">
        <w:rPr>
          <w:rFonts w:ascii="Arial" w:eastAsia="Arial" w:hAnsi="Arial" w:cs="Arial"/>
          <w:sz w:val="24"/>
          <w:szCs w:val="24"/>
        </w:rPr>
        <w:t xml:space="preserve">establishing a ‘satisfactory balance between the rights of </w:t>
      </w:r>
      <w:r w:rsidR="007A435D">
        <w:rPr>
          <w:rFonts w:ascii="Arial" w:eastAsia="Arial" w:hAnsi="Arial" w:cs="Arial"/>
          <w:sz w:val="24"/>
          <w:szCs w:val="24"/>
        </w:rPr>
        <w:t xml:space="preserve">the suspect and the public interest in bringing </w:t>
      </w:r>
      <w:r w:rsidR="005E5E2A">
        <w:rPr>
          <w:rFonts w:ascii="Arial" w:eastAsia="Arial" w:hAnsi="Arial" w:cs="Arial"/>
          <w:sz w:val="24"/>
          <w:szCs w:val="24"/>
        </w:rPr>
        <w:t xml:space="preserve">criminals to justice’. </w:t>
      </w:r>
      <w:r w:rsidR="00377F22">
        <w:rPr>
          <w:rFonts w:ascii="Arial" w:eastAsia="Arial" w:hAnsi="Arial" w:cs="Arial"/>
          <w:sz w:val="24"/>
          <w:szCs w:val="24"/>
        </w:rPr>
        <w:t xml:space="preserve">This is such a massive bit of legislation and completely changed the landscape of policing. </w:t>
      </w:r>
      <w:r w:rsidR="00A27DBF">
        <w:rPr>
          <w:rFonts w:ascii="Arial" w:eastAsia="Arial" w:hAnsi="Arial" w:cs="Arial"/>
          <w:sz w:val="24"/>
          <w:szCs w:val="24"/>
        </w:rPr>
        <w:t xml:space="preserve">It introduced codes of practice which dealt with </w:t>
      </w:r>
      <w:r w:rsidR="00E55249">
        <w:rPr>
          <w:rFonts w:ascii="Arial" w:eastAsia="Arial" w:hAnsi="Arial" w:cs="Arial"/>
          <w:sz w:val="24"/>
          <w:szCs w:val="24"/>
        </w:rPr>
        <w:t>‘</w:t>
      </w:r>
      <w:r w:rsidR="001451EE">
        <w:rPr>
          <w:rFonts w:ascii="Arial" w:eastAsia="Arial" w:hAnsi="Arial" w:cs="Arial"/>
          <w:sz w:val="24"/>
          <w:szCs w:val="24"/>
        </w:rPr>
        <w:t xml:space="preserve">stop and search, arrest, detention, </w:t>
      </w:r>
      <w:r w:rsidR="00490C43">
        <w:rPr>
          <w:rFonts w:ascii="Arial" w:eastAsia="Arial" w:hAnsi="Arial" w:cs="Arial"/>
          <w:sz w:val="24"/>
          <w:szCs w:val="24"/>
        </w:rPr>
        <w:t>interviewing</w:t>
      </w:r>
      <w:r w:rsidR="00E55249">
        <w:rPr>
          <w:rFonts w:ascii="Arial" w:eastAsia="Arial" w:hAnsi="Arial" w:cs="Arial"/>
          <w:sz w:val="24"/>
          <w:szCs w:val="24"/>
        </w:rPr>
        <w:t xml:space="preserve">, identification and investigation’ as </w:t>
      </w:r>
      <w:r w:rsidR="005024D3">
        <w:rPr>
          <w:rFonts w:ascii="Arial" w:eastAsia="Arial" w:hAnsi="Arial" w:cs="Arial"/>
          <w:sz w:val="24"/>
          <w:szCs w:val="24"/>
        </w:rPr>
        <w:t xml:space="preserve">mentioned by </w:t>
      </w:r>
      <w:r w:rsidR="00E83E6F">
        <w:rPr>
          <w:rFonts w:ascii="Arial" w:eastAsia="Arial" w:hAnsi="Arial" w:cs="Arial"/>
          <w:sz w:val="24"/>
          <w:szCs w:val="24"/>
        </w:rPr>
        <w:t>the</w:t>
      </w:r>
      <w:r w:rsidR="00F60E8F">
        <w:rPr>
          <w:rFonts w:ascii="Arial" w:eastAsia="Arial" w:hAnsi="Arial" w:cs="Arial"/>
          <w:sz w:val="24"/>
          <w:szCs w:val="24"/>
        </w:rPr>
        <w:t xml:space="preserve"> UK</w:t>
      </w:r>
      <w:r w:rsidR="00E83E6F">
        <w:rPr>
          <w:rFonts w:ascii="Arial" w:eastAsia="Arial" w:hAnsi="Arial" w:cs="Arial"/>
          <w:sz w:val="24"/>
          <w:szCs w:val="24"/>
        </w:rPr>
        <w:t xml:space="preserve"> Government</w:t>
      </w:r>
      <w:r w:rsidR="005024D3">
        <w:rPr>
          <w:rFonts w:ascii="Arial" w:eastAsia="Arial" w:hAnsi="Arial" w:cs="Arial"/>
          <w:sz w:val="24"/>
          <w:szCs w:val="24"/>
        </w:rPr>
        <w:t xml:space="preserve">. </w:t>
      </w:r>
    </w:p>
    <w:p w14:paraId="25503B3B" w14:textId="11FD0082" w:rsidR="00082BAD" w:rsidRDefault="00082BAD" w:rsidP="4C83E531">
      <w:pPr>
        <w:rPr>
          <w:rFonts w:ascii="Arial" w:eastAsia="Arial" w:hAnsi="Arial" w:cs="Arial"/>
          <w:sz w:val="24"/>
          <w:szCs w:val="24"/>
        </w:rPr>
      </w:pPr>
    </w:p>
    <w:p w14:paraId="320925F0" w14:textId="467FA28C" w:rsidR="00082BAD" w:rsidRDefault="00082BAD" w:rsidP="4C83E531">
      <w:pPr>
        <w:rPr>
          <w:rFonts w:ascii="Arial" w:eastAsia="Arial" w:hAnsi="Arial" w:cs="Arial"/>
          <w:sz w:val="24"/>
          <w:szCs w:val="24"/>
        </w:rPr>
      </w:pPr>
      <w:r>
        <w:rPr>
          <w:rFonts w:ascii="Arial" w:eastAsia="Arial" w:hAnsi="Arial" w:cs="Arial"/>
          <w:sz w:val="24"/>
          <w:szCs w:val="24"/>
        </w:rPr>
        <w:t>Stop and search powers were massively overhauled by PACE. Before PAC</w:t>
      </w:r>
      <w:r w:rsidR="00466A0B">
        <w:rPr>
          <w:rFonts w:ascii="Arial" w:eastAsia="Arial" w:hAnsi="Arial" w:cs="Arial"/>
          <w:sz w:val="24"/>
          <w:szCs w:val="24"/>
        </w:rPr>
        <w:t>E</w:t>
      </w:r>
      <w:r w:rsidR="0097089F">
        <w:rPr>
          <w:rFonts w:ascii="Arial" w:eastAsia="Arial" w:hAnsi="Arial" w:cs="Arial"/>
          <w:sz w:val="24"/>
          <w:szCs w:val="24"/>
        </w:rPr>
        <w:t xml:space="preserve">, </w:t>
      </w:r>
      <w:r w:rsidR="008145DA">
        <w:rPr>
          <w:rFonts w:ascii="Arial" w:eastAsia="Arial" w:hAnsi="Arial" w:cs="Arial"/>
          <w:sz w:val="24"/>
          <w:szCs w:val="24"/>
        </w:rPr>
        <w:t xml:space="preserve">stop and search </w:t>
      </w:r>
      <w:r w:rsidR="00212365">
        <w:rPr>
          <w:rFonts w:ascii="Arial" w:eastAsia="Arial" w:hAnsi="Arial" w:cs="Arial"/>
          <w:sz w:val="24"/>
          <w:szCs w:val="24"/>
        </w:rPr>
        <w:t xml:space="preserve">was often abused and almost encouraged stereotyping. </w:t>
      </w:r>
      <w:r w:rsidR="001954D7">
        <w:rPr>
          <w:rFonts w:ascii="Arial" w:eastAsia="Arial" w:hAnsi="Arial" w:cs="Arial"/>
          <w:sz w:val="24"/>
          <w:szCs w:val="24"/>
        </w:rPr>
        <w:t xml:space="preserve">The Home Office (1997) </w:t>
      </w:r>
      <w:r w:rsidR="00AD3B21">
        <w:rPr>
          <w:rFonts w:ascii="Arial" w:eastAsia="Arial" w:hAnsi="Arial" w:cs="Arial"/>
          <w:sz w:val="24"/>
          <w:szCs w:val="24"/>
        </w:rPr>
        <w:t>describes</w:t>
      </w:r>
      <w:r w:rsidR="001954D7">
        <w:rPr>
          <w:rFonts w:ascii="Arial" w:eastAsia="Arial" w:hAnsi="Arial" w:cs="Arial"/>
          <w:sz w:val="24"/>
          <w:szCs w:val="24"/>
        </w:rPr>
        <w:t xml:space="preserve"> </w:t>
      </w:r>
      <w:r w:rsidR="00AD3B21">
        <w:rPr>
          <w:rFonts w:ascii="Arial" w:eastAsia="Arial" w:hAnsi="Arial" w:cs="Arial"/>
          <w:sz w:val="24"/>
          <w:szCs w:val="24"/>
        </w:rPr>
        <w:t>how</w:t>
      </w:r>
      <w:r w:rsidR="001954D7">
        <w:rPr>
          <w:rFonts w:ascii="Arial" w:eastAsia="Arial" w:hAnsi="Arial" w:cs="Arial"/>
          <w:sz w:val="24"/>
          <w:szCs w:val="24"/>
        </w:rPr>
        <w:t xml:space="preserve"> </w:t>
      </w:r>
      <w:r w:rsidR="00AD3B21">
        <w:rPr>
          <w:rFonts w:ascii="Arial" w:eastAsia="Arial" w:hAnsi="Arial" w:cs="Arial"/>
          <w:sz w:val="24"/>
          <w:szCs w:val="24"/>
        </w:rPr>
        <w:t xml:space="preserve">there was a large amount of stereotyping </w:t>
      </w:r>
      <w:r w:rsidR="004E2E81">
        <w:rPr>
          <w:rFonts w:ascii="Arial" w:eastAsia="Arial" w:hAnsi="Arial" w:cs="Arial"/>
          <w:sz w:val="24"/>
          <w:szCs w:val="24"/>
        </w:rPr>
        <w:t>with more black people being stopped than white people. Also, a lot of stop and searches were not recorded</w:t>
      </w:r>
      <w:r w:rsidR="00017064">
        <w:rPr>
          <w:rFonts w:ascii="Arial" w:eastAsia="Arial" w:hAnsi="Arial" w:cs="Arial"/>
          <w:sz w:val="24"/>
          <w:szCs w:val="24"/>
        </w:rPr>
        <w:t xml:space="preserve"> by officers. This led to discrimination </w:t>
      </w:r>
      <w:r w:rsidR="00AF3C1B">
        <w:rPr>
          <w:rFonts w:ascii="Arial" w:eastAsia="Arial" w:hAnsi="Arial" w:cs="Arial"/>
          <w:sz w:val="24"/>
          <w:szCs w:val="24"/>
        </w:rPr>
        <w:t xml:space="preserve">and an abuse of police powers. PACE changed that by creating a national framework for </w:t>
      </w:r>
      <w:r w:rsidR="00E10399">
        <w:rPr>
          <w:rFonts w:ascii="Arial" w:eastAsia="Arial" w:hAnsi="Arial" w:cs="Arial"/>
          <w:sz w:val="24"/>
          <w:szCs w:val="24"/>
        </w:rPr>
        <w:t>stop and search powers</w:t>
      </w:r>
      <w:r w:rsidR="00C22FCE">
        <w:rPr>
          <w:rFonts w:ascii="Arial" w:eastAsia="Arial" w:hAnsi="Arial" w:cs="Arial"/>
          <w:sz w:val="24"/>
          <w:szCs w:val="24"/>
        </w:rPr>
        <w:t xml:space="preserve">. It is critical that these powers must be </w:t>
      </w:r>
      <w:r w:rsidR="00B60A96">
        <w:rPr>
          <w:rFonts w:ascii="Arial" w:eastAsia="Arial" w:hAnsi="Arial" w:cs="Arial"/>
          <w:sz w:val="24"/>
          <w:szCs w:val="24"/>
        </w:rPr>
        <w:t>‘</w:t>
      </w:r>
      <w:r w:rsidR="00B60A96" w:rsidRPr="00B60A96">
        <w:rPr>
          <w:rFonts w:ascii="Arial" w:eastAsia="Arial" w:hAnsi="Arial" w:cs="Arial"/>
          <w:sz w:val="24"/>
          <w:szCs w:val="24"/>
        </w:rPr>
        <w:t>fairly, responsibly, with respect for people being searched and without unlawful discrimination</w:t>
      </w:r>
      <w:r w:rsidR="00B60A96">
        <w:rPr>
          <w:rFonts w:ascii="Arial" w:eastAsia="Arial" w:hAnsi="Arial" w:cs="Arial"/>
          <w:sz w:val="24"/>
          <w:szCs w:val="24"/>
        </w:rPr>
        <w:t xml:space="preserve">’ as said by </w:t>
      </w:r>
      <w:r w:rsidR="0096131F">
        <w:rPr>
          <w:rFonts w:ascii="Arial" w:eastAsia="Arial" w:hAnsi="Arial" w:cs="Arial"/>
          <w:sz w:val="24"/>
          <w:szCs w:val="24"/>
        </w:rPr>
        <w:t>Cane and Co</w:t>
      </w:r>
      <w:r w:rsidR="00C639A9">
        <w:rPr>
          <w:rFonts w:ascii="Arial" w:eastAsia="Arial" w:hAnsi="Arial" w:cs="Arial"/>
          <w:sz w:val="24"/>
          <w:szCs w:val="24"/>
        </w:rPr>
        <w:t>naghan (2009)</w:t>
      </w:r>
      <w:r w:rsidR="00D41996">
        <w:rPr>
          <w:rFonts w:ascii="Arial" w:eastAsia="Arial" w:hAnsi="Arial" w:cs="Arial"/>
          <w:sz w:val="24"/>
          <w:szCs w:val="24"/>
        </w:rPr>
        <w:t>.</w:t>
      </w:r>
      <w:r w:rsidR="002B6725">
        <w:rPr>
          <w:rFonts w:ascii="Arial" w:eastAsia="Arial" w:hAnsi="Arial" w:cs="Arial"/>
          <w:sz w:val="24"/>
          <w:szCs w:val="24"/>
        </w:rPr>
        <w:t xml:space="preserve"> </w:t>
      </w:r>
      <w:r w:rsidR="006E37E0">
        <w:rPr>
          <w:rFonts w:ascii="Arial" w:eastAsia="Arial" w:hAnsi="Arial" w:cs="Arial"/>
          <w:sz w:val="24"/>
          <w:szCs w:val="24"/>
        </w:rPr>
        <w:t xml:space="preserve">In order for an officer to carry out stop and search, </w:t>
      </w:r>
      <w:r w:rsidR="00061A8D">
        <w:rPr>
          <w:rFonts w:ascii="Arial" w:eastAsia="Arial" w:hAnsi="Arial" w:cs="Arial"/>
          <w:sz w:val="24"/>
          <w:szCs w:val="24"/>
        </w:rPr>
        <w:t>they must have reasonable suspicion</w:t>
      </w:r>
      <w:r w:rsidR="001E1CF0">
        <w:rPr>
          <w:rFonts w:ascii="Arial" w:eastAsia="Arial" w:hAnsi="Arial" w:cs="Arial"/>
          <w:sz w:val="24"/>
          <w:szCs w:val="24"/>
        </w:rPr>
        <w:t xml:space="preserve">. This is a test which requires the suspicion is genuine and is reasonable </w:t>
      </w:r>
      <w:r w:rsidR="002959AD">
        <w:rPr>
          <w:rFonts w:ascii="Arial" w:eastAsia="Arial" w:hAnsi="Arial" w:cs="Arial"/>
          <w:sz w:val="24"/>
          <w:szCs w:val="24"/>
        </w:rPr>
        <w:t xml:space="preserve">making sure there is an objective element so that there are less chance of inconsistencies between forces. </w:t>
      </w:r>
      <w:r w:rsidR="002C5C1B">
        <w:rPr>
          <w:rFonts w:ascii="Arial" w:eastAsia="Arial" w:hAnsi="Arial" w:cs="Arial"/>
          <w:sz w:val="24"/>
          <w:szCs w:val="24"/>
        </w:rPr>
        <w:t xml:space="preserve">Whilst there is no real way to measure the success of stop and search, </w:t>
      </w:r>
      <w:r w:rsidR="00BB0C53">
        <w:rPr>
          <w:rFonts w:ascii="Arial" w:eastAsia="Arial" w:hAnsi="Arial" w:cs="Arial"/>
          <w:sz w:val="24"/>
          <w:szCs w:val="24"/>
        </w:rPr>
        <w:t>there ha</w:t>
      </w:r>
      <w:r w:rsidR="00461CD6">
        <w:rPr>
          <w:rFonts w:ascii="Arial" w:eastAsia="Arial" w:hAnsi="Arial" w:cs="Arial"/>
          <w:sz w:val="24"/>
          <w:szCs w:val="24"/>
        </w:rPr>
        <w:t xml:space="preserve">s been a rise in stop and searches in recent years. According to the Guardian </w:t>
      </w:r>
      <w:r w:rsidR="00645B66">
        <w:rPr>
          <w:rFonts w:ascii="Arial" w:eastAsia="Arial" w:hAnsi="Arial" w:cs="Arial"/>
          <w:sz w:val="24"/>
          <w:szCs w:val="24"/>
        </w:rPr>
        <w:t>(2019), there has been a rise of 3</w:t>
      </w:r>
      <w:r w:rsidR="005829D9">
        <w:rPr>
          <w:rFonts w:ascii="Arial" w:eastAsia="Arial" w:hAnsi="Arial" w:cs="Arial"/>
          <w:sz w:val="24"/>
          <w:szCs w:val="24"/>
        </w:rPr>
        <w:t>2</w:t>
      </w:r>
      <w:r w:rsidR="00645B66">
        <w:rPr>
          <w:rFonts w:ascii="Arial" w:eastAsia="Arial" w:hAnsi="Arial" w:cs="Arial"/>
          <w:sz w:val="24"/>
          <w:szCs w:val="24"/>
        </w:rPr>
        <w:t xml:space="preserve">% </w:t>
      </w:r>
      <w:r w:rsidR="005829D9">
        <w:rPr>
          <w:rFonts w:ascii="Arial" w:eastAsia="Arial" w:hAnsi="Arial" w:cs="Arial"/>
          <w:sz w:val="24"/>
          <w:szCs w:val="24"/>
        </w:rPr>
        <w:t xml:space="preserve">in the previous year, </w:t>
      </w:r>
      <w:r w:rsidR="00645B66">
        <w:rPr>
          <w:rFonts w:ascii="Arial" w:eastAsia="Arial" w:hAnsi="Arial" w:cs="Arial"/>
          <w:sz w:val="24"/>
          <w:szCs w:val="24"/>
        </w:rPr>
        <w:t xml:space="preserve">with black, Asian and </w:t>
      </w:r>
      <w:r w:rsidR="00936ED5">
        <w:rPr>
          <w:rFonts w:ascii="Arial" w:eastAsia="Arial" w:hAnsi="Arial" w:cs="Arial"/>
          <w:sz w:val="24"/>
          <w:szCs w:val="24"/>
        </w:rPr>
        <w:t>minority ethnic</w:t>
      </w:r>
      <w:r w:rsidR="003C3DCE">
        <w:rPr>
          <w:rFonts w:ascii="Arial" w:eastAsia="Arial" w:hAnsi="Arial" w:cs="Arial"/>
          <w:sz w:val="24"/>
          <w:szCs w:val="24"/>
        </w:rPr>
        <w:t xml:space="preserve"> people </w:t>
      </w:r>
      <w:r w:rsidR="00277ECC">
        <w:rPr>
          <w:rFonts w:ascii="Arial" w:eastAsia="Arial" w:hAnsi="Arial" w:cs="Arial"/>
          <w:sz w:val="24"/>
          <w:szCs w:val="24"/>
        </w:rPr>
        <w:t xml:space="preserve">four times more likely to be </w:t>
      </w:r>
      <w:r w:rsidR="00F15BEE">
        <w:rPr>
          <w:rFonts w:ascii="Arial" w:eastAsia="Arial" w:hAnsi="Arial" w:cs="Arial"/>
          <w:sz w:val="24"/>
          <w:szCs w:val="24"/>
        </w:rPr>
        <w:t xml:space="preserve">stopped than white people. This is obviously still not ideal and points to </w:t>
      </w:r>
      <w:r w:rsidR="00002F82">
        <w:rPr>
          <w:rFonts w:ascii="Arial" w:eastAsia="Arial" w:hAnsi="Arial" w:cs="Arial"/>
          <w:sz w:val="24"/>
          <w:szCs w:val="24"/>
        </w:rPr>
        <w:t xml:space="preserve">potential </w:t>
      </w:r>
      <w:r w:rsidR="00002F82">
        <w:rPr>
          <w:rFonts w:ascii="Arial" w:eastAsia="Arial" w:hAnsi="Arial" w:cs="Arial"/>
          <w:sz w:val="24"/>
          <w:szCs w:val="24"/>
        </w:rPr>
        <w:lastRenderedPageBreak/>
        <w:t>discrimination within the polic</w:t>
      </w:r>
      <w:r w:rsidR="00473277">
        <w:rPr>
          <w:rFonts w:ascii="Arial" w:eastAsia="Arial" w:hAnsi="Arial" w:cs="Arial"/>
          <w:sz w:val="24"/>
          <w:szCs w:val="24"/>
        </w:rPr>
        <w:t xml:space="preserve">e. The law surrounding </w:t>
      </w:r>
      <w:r w:rsidR="000E732C">
        <w:rPr>
          <w:rFonts w:ascii="Arial" w:eastAsia="Arial" w:hAnsi="Arial" w:cs="Arial"/>
          <w:sz w:val="24"/>
          <w:szCs w:val="24"/>
        </w:rPr>
        <w:t xml:space="preserve">stop and search powers still remain very controversial as a result. </w:t>
      </w:r>
    </w:p>
    <w:p w14:paraId="298BB24C" w14:textId="6F43D47D" w:rsidR="00533BC5" w:rsidRDefault="00533BC5" w:rsidP="4C83E531">
      <w:pPr>
        <w:rPr>
          <w:rFonts w:ascii="Arial" w:eastAsia="Arial" w:hAnsi="Arial" w:cs="Arial"/>
          <w:sz w:val="24"/>
          <w:szCs w:val="24"/>
        </w:rPr>
      </w:pPr>
    </w:p>
    <w:p w14:paraId="183BB92C" w14:textId="7A09883B" w:rsidR="00533BC5" w:rsidRDefault="00143697" w:rsidP="4C83E531">
      <w:pPr>
        <w:rPr>
          <w:rFonts w:ascii="Arial" w:eastAsia="Arial" w:hAnsi="Arial" w:cs="Arial"/>
          <w:sz w:val="24"/>
          <w:szCs w:val="24"/>
        </w:rPr>
      </w:pPr>
      <w:r>
        <w:rPr>
          <w:rFonts w:ascii="Arial" w:eastAsia="Arial" w:hAnsi="Arial" w:cs="Arial"/>
          <w:sz w:val="24"/>
          <w:szCs w:val="24"/>
        </w:rPr>
        <w:t xml:space="preserve">Detention of suspects was also massively impacted by PACE. </w:t>
      </w:r>
      <w:r w:rsidR="00161755">
        <w:rPr>
          <w:rFonts w:ascii="Arial" w:eastAsia="Arial" w:hAnsi="Arial" w:cs="Arial"/>
          <w:sz w:val="24"/>
          <w:szCs w:val="24"/>
        </w:rPr>
        <w:t xml:space="preserve">It had the biggest impact </w:t>
      </w:r>
      <w:r w:rsidR="001877A9">
        <w:rPr>
          <w:rFonts w:ascii="Arial" w:eastAsia="Arial" w:hAnsi="Arial" w:cs="Arial"/>
          <w:sz w:val="24"/>
          <w:szCs w:val="24"/>
        </w:rPr>
        <w:t xml:space="preserve">in the reduction of miscarries of justice in the criminal justice system. </w:t>
      </w:r>
      <w:r w:rsidR="006A1E42">
        <w:rPr>
          <w:rFonts w:ascii="Arial" w:eastAsia="Arial" w:hAnsi="Arial" w:cs="Arial"/>
          <w:sz w:val="24"/>
          <w:szCs w:val="24"/>
        </w:rPr>
        <w:t xml:space="preserve">For example, </w:t>
      </w:r>
      <w:r w:rsidR="00F831B8">
        <w:rPr>
          <w:rFonts w:ascii="Arial" w:eastAsia="Arial" w:hAnsi="Arial" w:cs="Arial"/>
          <w:sz w:val="24"/>
          <w:szCs w:val="24"/>
        </w:rPr>
        <w:t xml:space="preserve">Steven Downing and Stefan Kiszco both were victims of miscarriages which would not have happened after PACE. </w:t>
      </w:r>
      <w:r w:rsidR="002D6F8E">
        <w:rPr>
          <w:rFonts w:ascii="Arial" w:eastAsia="Arial" w:hAnsi="Arial" w:cs="Arial"/>
          <w:sz w:val="24"/>
          <w:szCs w:val="24"/>
        </w:rPr>
        <w:t xml:space="preserve">The majority of </w:t>
      </w:r>
      <w:r w:rsidR="00B0653D">
        <w:rPr>
          <w:rFonts w:ascii="Arial" w:eastAsia="Arial" w:hAnsi="Arial" w:cs="Arial"/>
          <w:sz w:val="24"/>
          <w:szCs w:val="24"/>
        </w:rPr>
        <w:t>information regarding detention can be found in Code C</w:t>
      </w:r>
      <w:r w:rsidR="0041685A">
        <w:rPr>
          <w:rFonts w:ascii="Arial" w:eastAsia="Arial" w:hAnsi="Arial" w:cs="Arial"/>
          <w:sz w:val="24"/>
          <w:szCs w:val="24"/>
        </w:rPr>
        <w:t xml:space="preserve"> which relates to the detention, questioning and treatment of a suspect in police custody. </w:t>
      </w:r>
      <w:r w:rsidR="003B3B9D">
        <w:rPr>
          <w:rFonts w:ascii="Arial" w:eastAsia="Arial" w:hAnsi="Arial" w:cs="Arial"/>
          <w:sz w:val="24"/>
          <w:szCs w:val="24"/>
        </w:rPr>
        <w:t xml:space="preserve">It goes into detail </w:t>
      </w:r>
      <w:r w:rsidR="007E6A25">
        <w:rPr>
          <w:rFonts w:ascii="Arial" w:eastAsia="Arial" w:hAnsi="Arial" w:cs="Arial"/>
          <w:sz w:val="24"/>
          <w:szCs w:val="24"/>
        </w:rPr>
        <w:t xml:space="preserve">about the way a suspect should be questioned, </w:t>
      </w:r>
      <w:r w:rsidR="002C4111">
        <w:rPr>
          <w:rFonts w:ascii="Arial" w:eastAsia="Arial" w:hAnsi="Arial" w:cs="Arial"/>
          <w:sz w:val="24"/>
          <w:szCs w:val="24"/>
        </w:rPr>
        <w:t xml:space="preserve">how they should be treated when they have been detained and the role of a custody officer. </w:t>
      </w:r>
      <w:r w:rsidR="00D03664">
        <w:rPr>
          <w:rFonts w:ascii="Arial" w:eastAsia="Arial" w:hAnsi="Arial" w:cs="Arial"/>
          <w:sz w:val="24"/>
          <w:szCs w:val="24"/>
        </w:rPr>
        <w:t>The role of the custody officer is</w:t>
      </w:r>
      <w:r w:rsidR="009B4ED1">
        <w:rPr>
          <w:rFonts w:ascii="Arial" w:eastAsia="Arial" w:hAnsi="Arial" w:cs="Arial"/>
          <w:sz w:val="24"/>
          <w:szCs w:val="24"/>
        </w:rPr>
        <w:t xml:space="preserve"> vast. </w:t>
      </w:r>
      <w:r w:rsidR="002C461C">
        <w:rPr>
          <w:rFonts w:ascii="Arial" w:eastAsia="Arial" w:hAnsi="Arial" w:cs="Arial"/>
          <w:sz w:val="24"/>
          <w:szCs w:val="24"/>
        </w:rPr>
        <w:t>Th</w:t>
      </w:r>
      <w:r w:rsidR="009B4ED1">
        <w:rPr>
          <w:rFonts w:ascii="Arial" w:eastAsia="Arial" w:hAnsi="Arial" w:cs="Arial"/>
          <w:sz w:val="24"/>
          <w:szCs w:val="24"/>
        </w:rPr>
        <w:t xml:space="preserve">ey must keep an accurate custody record </w:t>
      </w:r>
      <w:r w:rsidR="002C461C">
        <w:rPr>
          <w:rFonts w:ascii="Arial" w:eastAsia="Arial" w:hAnsi="Arial" w:cs="Arial"/>
          <w:sz w:val="24"/>
          <w:szCs w:val="24"/>
        </w:rPr>
        <w:t xml:space="preserve">which can be given </w:t>
      </w:r>
      <w:r w:rsidR="00F0790F">
        <w:rPr>
          <w:rFonts w:ascii="Arial" w:eastAsia="Arial" w:hAnsi="Arial" w:cs="Arial"/>
          <w:sz w:val="24"/>
          <w:szCs w:val="24"/>
        </w:rPr>
        <w:t>to the suspect’s solicitor</w:t>
      </w:r>
      <w:r w:rsidR="006D2C9D">
        <w:rPr>
          <w:rFonts w:ascii="Arial" w:eastAsia="Arial" w:hAnsi="Arial" w:cs="Arial"/>
          <w:sz w:val="24"/>
          <w:szCs w:val="24"/>
        </w:rPr>
        <w:t>.</w:t>
      </w:r>
      <w:r w:rsidR="00DB3690">
        <w:rPr>
          <w:rFonts w:ascii="Arial" w:eastAsia="Arial" w:hAnsi="Arial" w:cs="Arial"/>
          <w:sz w:val="24"/>
          <w:szCs w:val="24"/>
        </w:rPr>
        <w:t xml:space="preserve"> They must also read </w:t>
      </w:r>
      <w:r w:rsidR="00621EBB">
        <w:rPr>
          <w:rFonts w:ascii="Arial" w:eastAsia="Arial" w:hAnsi="Arial" w:cs="Arial"/>
          <w:sz w:val="24"/>
          <w:szCs w:val="24"/>
        </w:rPr>
        <w:t>them their rights and are responsible for their welfare in custody.</w:t>
      </w:r>
      <w:r w:rsidR="00AB792D">
        <w:rPr>
          <w:rFonts w:ascii="Arial" w:eastAsia="Arial" w:hAnsi="Arial" w:cs="Arial"/>
          <w:sz w:val="24"/>
          <w:szCs w:val="24"/>
        </w:rPr>
        <w:t xml:space="preserve"> This can include giving them food or </w:t>
      </w:r>
      <w:r w:rsidR="00592888">
        <w:rPr>
          <w:rFonts w:ascii="Arial" w:eastAsia="Arial" w:hAnsi="Arial" w:cs="Arial"/>
          <w:sz w:val="24"/>
          <w:szCs w:val="24"/>
        </w:rPr>
        <w:t xml:space="preserve">drink and looking after their general welfare. There is also a requirement </w:t>
      </w:r>
      <w:r w:rsidR="00063094">
        <w:rPr>
          <w:rFonts w:ascii="Arial" w:eastAsia="Arial" w:hAnsi="Arial" w:cs="Arial"/>
          <w:sz w:val="24"/>
          <w:szCs w:val="24"/>
        </w:rPr>
        <w:t xml:space="preserve">if the suspects asks for a member of the same sex to discuss hygiene or intimate issues, this must be provided. </w:t>
      </w:r>
      <w:r w:rsidR="00621EBB">
        <w:rPr>
          <w:rFonts w:ascii="Arial" w:eastAsia="Arial" w:hAnsi="Arial" w:cs="Arial"/>
          <w:sz w:val="24"/>
          <w:szCs w:val="24"/>
        </w:rPr>
        <w:t xml:space="preserve">The </w:t>
      </w:r>
      <w:r w:rsidR="00790414">
        <w:rPr>
          <w:rFonts w:ascii="Arial" w:eastAsia="Arial" w:hAnsi="Arial" w:cs="Arial"/>
          <w:sz w:val="24"/>
          <w:szCs w:val="24"/>
        </w:rPr>
        <w:t>suspect’s</w:t>
      </w:r>
      <w:r w:rsidR="00621EBB">
        <w:rPr>
          <w:rFonts w:ascii="Arial" w:eastAsia="Arial" w:hAnsi="Arial" w:cs="Arial"/>
          <w:sz w:val="24"/>
          <w:szCs w:val="24"/>
        </w:rPr>
        <w:t xml:space="preserve"> rights include a right to contact their solicitor and a right to inform someone of their arrest. </w:t>
      </w:r>
      <w:r w:rsidR="00444787">
        <w:rPr>
          <w:rFonts w:ascii="Arial" w:eastAsia="Arial" w:hAnsi="Arial" w:cs="Arial"/>
          <w:sz w:val="24"/>
          <w:szCs w:val="24"/>
        </w:rPr>
        <w:t xml:space="preserve">They are also responsible for conducting an assessment of their health when they are first brought in to determine if they </w:t>
      </w:r>
      <w:r w:rsidR="00987A0C">
        <w:rPr>
          <w:rFonts w:ascii="Arial" w:eastAsia="Arial" w:hAnsi="Arial" w:cs="Arial"/>
          <w:sz w:val="24"/>
          <w:szCs w:val="24"/>
        </w:rPr>
        <w:t xml:space="preserve">are in need of any health treatment. </w:t>
      </w:r>
      <w:r w:rsidR="001E3D76">
        <w:rPr>
          <w:rFonts w:ascii="Arial" w:eastAsia="Arial" w:hAnsi="Arial" w:cs="Arial"/>
          <w:sz w:val="24"/>
          <w:szCs w:val="24"/>
        </w:rPr>
        <w:t>If the suspect is in need of special assistance,</w:t>
      </w:r>
      <w:r w:rsidR="006A187E">
        <w:rPr>
          <w:rFonts w:ascii="Arial" w:eastAsia="Arial" w:hAnsi="Arial" w:cs="Arial"/>
          <w:sz w:val="24"/>
          <w:szCs w:val="24"/>
        </w:rPr>
        <w:t xml:space="preserve"> such as they don’t speak English, then an interpreter</w:t>
      </w:r>
      <w:r w:rsidR="00DF3CB9">
        <w:rPr>
          <w:rFonts w:ascii="Arial" w:eastAsia="Arial" w:hAnsi="Arial" w:cs="Arial"/>
          <w:sz w:val="24"/>
          <w:szCs w:val="24"/>
        </w:rPr>
        <w:t xml:space="preserve"> or translator</w:t>
      </w:r>
      <w:r w:rsidR="006A187E">
        <w:rPr>
          <w:rFonts w:ascii="Arial" w:eastAsia="Arial" w:hAnsi="Arial" w:cs="Arial"/>
          <w:sz w:val="24"/>
          <w:szCs w:val="24"/>
        </w:rPr>
        <w:t xml:space="preserve"> will be provided</w:t>
      </w:r>
      <w:r w:rsidR="00DF3CB9">
        <w:rPr>
          <w:rFonts w:ascii="Arial" w:eastAsia="Arial" w:hAnsi="Arial" w:cs="Arial"/>
          <w:sz w:val="24"/>
          <w:szCs w:val="24"/>
        </w:rPr>
        <w:t xml:space="preserve">. </w:t>
      </w:r>
      <w:r w:rsidR="004B28A9">
        <w:rPr>
          <w:rFonts w:ascii="Arial" w:eastAsia="Arial" w:hAnsi="Arial" w:cs="Arial"/>
          <w:sz w:val="24"/>
          <w:szCs w:val="24"/>
        </w:rPr>
        <w:t xml:space="preserve">PACE introduced a new process when dealing with juveniles and </w:t>
      </w:r>
      <w:r w:rsidR="001072A8">
        <w:rPr>
          <w:rFonts w:ascii="Arial" w:eastAsia="Arial" w:hAnsi="Arial" w:cs="Arial"/>
          <w:sz w:val="24"/>
          <w:szCs w:val="24"/>
        </w:rPr>
        <w:t xml:space="preserve">vulnerable people. </w:t>
      </w:r>
      <w:r w:rsidR="007C1015">
        <w:rPr>
          <w:rFonts w:ascii="Arial" w:eastAsia="Arial" w:hAnsi="Arial" w:cs="Arial"/>
          <w:sz w:val="24"/>
          <w:szCs w:val="24"/>
        </w:rPr>
        <w:t xml:space="preserve">If the </w:t>
      </w:r>
      <w:r w:rsidR="00E80D30">
        <w:rPr>
          <w:rFonts w:ascii="Arial" w:eastAsia="Arial" w:hAnsi="Arial" w:cs="Arial"/>
          <w:sz w:val="24"/>
          <w:szCs w:val="24"/>
        </w:rPr>
        <w:t>the detainee is under 18, they must be accompanied by an appropriate adult which can be a parent or guardian, a social worker or anyone who does not work for the police</w:t>
      </w:r>
      <w:r w:rsidR="00AF0B9A">
        <w:rPr>
          <w:rFonts w:ascii="Arial" w:eastAsia="Arial" w:hAnsi="Arial" w:cs="Arial"/>
          <w:sz w:val="24"/>
          <w:szCs w:val="24"/>
        </w:rPr>
        <w:t xml:space="preserve"> but over 18 and responsible.</w:t>
      </w:r>
      <w:r w:rsidR="004B53DF">
        <w:rPr>
          <w:rFonts w:ascii="Arial" w:eastAsia="Arial" w:hAnsi="Arial" w:cs="Arial"/>
          <w:sz w:val="24"/>
          <w:szCs w:val="24"/>
        </w:rPr>
        <w:t xml:space="preserve"> If the detainee is classed as a vulnerable person, the appropriate adult must once again be present. </w:t>
      </w:r>
      <w:r w:rsidR="00333FAE">
        <w:rPr>
          <w:rFonts w:ascii="Arial" w:eastAsia="Arial" w:hAnsi="Arial" w:cs="Arial"/>
          <w:sz w:val="24"/>
          <w:szCs w:val="24"/>
        </w:rPr>
        <w:t>They can be someone responsible for their custody</w:t>
      </w:r>
      <w:r w:rsidR="00215642">
        <w:rPr>
          <w:rFonts w:ascii="Arial" w:eastAsia="Arial" w:hAnsi="Arial" w:cs="Arial"/>
          <w:sz w:val="24"/>
          <w:szCs w:val="24"/>
        </w:rPr>
        <w:t xml:space="preserve"> or someone not involved with the police but has experience with </w:t>
      </w:r>
      <w:r w:rsidR="00C2495E">
        <w:rPr>
          <w:rFonts w:ascii="Arial" w:eastAsia="Arial" w:hAnsi="Arial" w:cs="Arial"/>
          <w:sz w:val="24"/>
          <w:szCs w:val="24"/>
        </w:rPr>
        <w:t xml:space="preserve">dealing with vulnerable people. </w:t>
      </w:r>
      <w:r w:rsidR="00214609">
        <w:rPr>
          <w:rFonts w:ascii="Arial" w:eastAsia="Arial" w:hAnsi="Arial" w:cs="Arial"/>
          <w:sz w:val="24"/>
          <w:szCs w:val="24"/>
        </w:rPr>
        <w:t xml:space="preserve">Had the cases of Stefan Kiszco or Steven Downing occurred after PACE was introduced, they would’ve been very different. </w:t>
      </w:r>
      <w:r w:rsidR="00080F66">
        <w:rPr>
          <w:rFonts w:ascii="Arial" w:eastAsia="Arial" w:hAnsi="Arial" w:cs="Arial"/>
          <w:sz w:val="24"/>
          <w:szCs w:val="24"/>
        </w:rPr>
        <w:t>Both were vulnerable adults who did not have an appropriate adult present or even a solicitor</w:t>
      </w:r>
      <w:r w:rsidR="00953F70">
        <w:rPr>
          <w:rFonts w:ascii="Arial" w:eastAsia="Arial" w:hAnsi="Arial" w:cs="Arial"/>
          <w:sz w:val="24"/>
          <w:szCs w:val="24"/>
        </w:rPr>
        <w:t>. Not only this, but both were questioned for an extreme period of time without a break. This would be a breach of PACE which also sets the</w:t>
      </w:r>
      <w:r w:rsidR="00B37CA5">
        <w:rPr>
          <w:rFonts w:ascii="Arial" w:eastAsia="Arial" w:hAnsi="Arial" w:cs="Arial"/>
          <w:sz w:val="24"/>
          <w:szCs w:val="24"/>
        </w:rPr>
        <w:t xml:space="preserve"> time</w:t>
      </w:r>
      <w:r w:rsidR="00953F70">
        <w:rPr>
          <w:rFonts w:ascii="Arial" w:eastAsia="Arial" w:hAnsi="Arial" w:cs="Arial"/>
          <w:sz w:val="24"/>
          <w:szCs w:val="24"/>
        </w:rPr>
        <w:t xml:space="preserve"> limit for questioning</w:t>
      </w:r>
      <w:r w:rsidR="00605858">
        <w:rPr>
          <w:rFonts w:ascii="Arial" w:eastAsia="Arial" w:hAnsi="Arial" w:cs="Arial"/>
          <w:sz w:val="24"/>
          <w:szCs w:val="24"/>
        </w:rPr>
        <w:t xml:space="preserve">. </w:t>
      </w:r>
      <w:r w:rsidR="00E8181B">
        <w:rPr>
          <w:rFonts w:ascii="Arial" w:eastAsia="Arial" w:hAnsi="Arial" w:cs="Arial"/>
          <w:sz w:val="24"/>
          <w:szCs w:val="24"/>
        </w:rPr>
        <w:t xml:space="preserve">Code C sets out </w:t>
      </w:r>
      <w:r w:rsidR="00F96895">
        <w:rPr>
          <w:rFonts w:ascii="Arial" w:eastAsia="Arial" w:hAnsi="Arial" w:cs="Arial"/>
          <w:sz w:val="24"/>
          <w:szCs w:val="24"/>
        </w:rPr>
        <w:t xml:space="preserve">the timetable for which a suspect can be held, before </w:t>
      </w:r>
      <w:r w:rsidR="004D3F73">
        <w:rPr>
          <w:rFonts w:ascii="Arial" w:eastAsia="Arial" w:hAnsi="Arial" w:cs="Arial"/>
          <w:sz w:val="24"/>
          <w:szCs w:val="24"/>
        </w:rPr>
        <w:t xml:space="preserve">being charged. </w:t>
      </w:r>
      <w:r w:rsidR="009A2352">
        <w:rPr>
          <w:rFonts w:ascii="Arial" w:eastAsia="Arial" w:hAnsi="Arial" w:cs="Arial"/>
          <w:sz w:val="24"/>
          <w:szCs w:val="24"/>
        </w:rPr>
        <w:t xml:space="preserve">PACE has changed the way that detainees are interviewed about possible involvement in a crime. </w:t>
      </w:r>
      <w:r w:rsidR="000E4538">
        <w:rPr>
          <w:rFonts w:ascii="Arial" w:eastAsia="Arial" w:hAnsi="Arial" w:cs="Arial"/>
          <w:sz w:val="24"/>
          <w:szCs w:val="24"/>
        </w:rPr>
        <w:t xml:space="preserve">It introduced a statutory requirement for </w:t>
      </w:r>
      <w:r w:rsidR="00944379">
        <w:rPr>
          <w:rFonts w:ascii="Arial" w:eastAsia="Arial" w:hAnsi="Arial" w:cs="Arial"/>
          <w:sz w:val="24"/>
          <w:szCs w:val="24"/>
        </w:rPr>
        <w:t>interviews to b</w:t>
      </w:r>
      <w:r w:rsidR="002C3338">
        <w:rPr>
          <w:rFonts w:ascii="Arial" w:eastAsia="Arial" w:hAnsi="Arial" w:cs="Arial"/>
          <w:sz w:val="24"/>
          <w:szCs w:val="24"/>
        </w:rPr>
        <w:t>e audio recorded</w:t>
      </w:r>
      <w:r w:rsidR="00B0172E">
        <w:rPr>
          <w:rFonts w:ascii="Arial" w:eastAsia="Arial" w:hAnsi="Arial" w:cs="Arial"/>
          <w:sz w:val="24"/>
          <w:szCs w:val="24"/>
        </w:rPr>
        <w:t xml:space="preserve"> under Practice Code E. </w:t>
      </w:r>
      <w:r w:rsidR="006F6AAF">
        <w:rPr>
          <w:rFonts w:ascii="Arial" w:eastAsia="Arial" w:hAnsi="Arial" w:cs="Arial"/>
          <w:sz w:val="24"/>
          <w:szCs w:val="24"/>
        </w:rPr>
        <w:t>The interview can also be visually recorded</w:t>
      </w:r>
      <w:r w:rsidR="00923EE7">
        <w:rPr>
          <w:rFonts w:ascii="Arial" w:eastAsia="Arial" w:hAnsi="Arial" w:cs="Arial"/>
          <w:sz w:val="24"/>
          <w:szCs w:val="24"/>
        </w:rPr>
        <w:t xml:space="preserve"> under Code F</w:t>
      </w:r>
      <w:r w:rsidR="006F6AAF">
        <w:rPr>
          <w:rFonts w:ascii="Arial" w:eastAsia="Arial" w:hAnsi="Arial" w:cs="Arial"/>
          <w:sz w:val="24"/>
          <w:szCs w:val="24"/>
        </w:rPr>
        <w:t xml:space="preserve"> however this is not a statutory requirement</w:t>
      </w:r>
      <w:r w:rsidR="00C254FD">
        <w:rPr>
          <w:rFonts w:ascii="Arial" w:eastAsia="Arial" w:hAnsi="Arial" w:cs="Arial"/>
          <w:sz w:val="24"/>
          <w:szCs w:val="24"/>
        </w:rPr>
        <w:t xml:space="preserve"> but still happens in some police stations</w:t>
      </w:r>
      <w:r w:rsidR="00923EE7">
        <w:rPr>
          <w:rFonts w:ascii="Arial" w:eastAsia="Arial" w:hAnsi="Arial" w:cs="Arial"/>
          <w:sz w:val="24"/>
          <w:szCs w:val="24"/>
        </w:rPr>
        <w:t xml:space="preserve">. </w:t>
      </w:r>
      <w:r w:rsidR="00984D34">
        <w:rPr>
          <w:rFonts w:ascii="Arial" w:eastAsia="Arial" w:hAnsi="Arial" w:cs="Arial"/>
          <w:sz w:val="24"/>
          <w:szCs w:val="24"/>
        </w:rPr>
        <w:t>This is a massive ste</w:t>
      </w:r>
      <w:r w:rsidR="001119A4">
        <w:rPr>
          <w:rFonts w:ascii="Arial" w:eastAsia="Arial" w:hAnsi="Arial" w:cs="Arial"/>
          <w:sz w:val="24"/>
          <w:szCs w:val="24"/>
        </w:rPr>
        <w:t xml:space="preserve">p towards a prevention of miscarriages of justice. </w:t>
      </w:r>
      <w:r w:rsidR="00F40D4A">
        <w:rPr>
          <w:rFonts w:ascii="Arial" w:eastAsia="Arial" w:hAnsi="Arial" w:cs="Arial"/>
          <w:sz w:val="24"/>
          <w:szCs w:val="24"/>
        </w:rPr>
        <w:t xml:space="preserve">All this can be found </w:t>
      </w:r>
      <w:r w:rsidR="00C8731B">
        <w:rPr>
          <w:rFonts w:ascii="Arial" w:eastAsia="Arial" w:hAnsi="Arial" w:cs="Arial"/>
          <w:sz w:val="24"/>
          <w:szCs w:val="24"/>
        </w:rPr>
        <w:t>within the Codes of Practice</w:t>
      </w:r>
      <w:r w:rsidR="005F6E2A">
        <w:rPr>
          <w:rFonts w:ascii="Arial" w:eastAsia="Arial" w:hAnsi="Arial" w:cs="Arial"/>
          <w:sz w:val="24"/>
          <w:szCs w:val="24"/>
        </w:rPr>
        <w:t xml:space="preserve"> published by the UK Government. All these codes are updated regularly </w:t>
      </w:r>
      <w:r w:rsidR="00450468">
        <w:rPr>
          <w:rFonts w:ascii="Arial" w:eastAsia="Arial" w:hAnsi="Arial" w:cs="Arial"/>
          <w:sz w:val="24"/>
          <w:szCs w:val="24"/>
        </w:rPr>
        <w:t xml:space="preserve">to adapt to modern policing. </w:t>
      </w:r>
    </w:p>
    <w:p w14:paraId="6FD8028D" w14:textId="4CE6D282" w:rsidR="00FE55E1" w:rsidRDefault="00FE55E1" w:rsidP="4C83E531">
      <w:pPr>
        <w:rPr>
          <w:rFonts w:ascii="Arial" w:eastAsia="Arial" w:hAnsi="Arial" w:cs="Arial"/>
          <w:sz w:val="24"/>
          <w:szCs w:val="24"/>
        </w:rPr>
      </w:pPr>
    </w:p>
    <w:p w14:paraId="4E26A5A9" w14:textId="580242A4" w:rsidR="00FE55E1" w:rsidRDefault="007241C5" w:rsidP="4C83E531">
      <w:pPr>
        <w:rPr>
          <w:rFonts w:ascii="Arial" w:eastAsia="Arial" w:hAnsi="Arial" w:cs="Arial"/>
          <w:sz w:val="24"/>
          <w:szCs w:val="24"/>
        </w:rPr>
      </w:pPr>
      <w:r>
        <w:rPr>
          <w:rFonts w:ascii="Arial" w:eastAsia="Arial" w:hAnsi="Arial" w:cs="Arial"/>
          <w:sz w:val="24"/>
          <w:szCs w:val="24"/>
        </w:rPr>
        <w:t xml:space="preserve">It can be argued that PACE had a massive effect on miscarriages of justice. </w:t>
      </w:r>
      <w:r w:rsidR="00005239">
        <w:rPr>
          <w:rFonts w:ascii="Arial" w:eastAsia="Arial" w:hAnsi="Arial" w:cs="Arial"/>
          <w:sz w:val="24"/>
          <w:szCs w:val="24"/>
        </w:rPr>
        <w:t xml:space="preserve">The act provided the framework </w:t>
      </w:r>
      <w:r w:rsidR="00DE2D56">
        <w:rPr>
          <w:rFonts w:ascii="Arial" w:eastAsia="Arial" w:hAnsi="Arial" w:cs="Arial"/>
          <w:sz w:val="24"/>
          <w:szCs w:val="24"/>
        </w:rPr>
        <w:t xml:space="preserve">to prevent them. </w:t>
      </w:r>
      <w:r w:rsidR="0054124C">
        <w:rPr>
          <w:rFonts w:ascii="Arial" w:eastAsia="Arial" w:hAnsi="Arial" w:cs="Arial"/>
          <w:sz w:val="24"/>
          <w:szCs w:val="24"/>
        </w:rPr>
        <w:t xml:space="preserve">Further legislation has been created in order to </w:t>
      </w:r>
      <w:r w:rsidR="005E0520">
        <w:rPr>
          <w:rFonts w:ascii="Arial" w:eastAsia="Arial" w:hAnsi="Arial" w:cs="Arial"/>
          <w:sz w:val="24"/>
          <w:szCs w:val="24"/>
        </w:rPr>
        <w:t xml:space="preserve">update the law around PACE and make it easier </w:t>
      </w:r>
      <w:r w:rsidR="00870A7E">
        <w:rPr>
          <w:rFonts w:ascii="Arial" w:eastAsia="Arial" w:hAnsi="Arial" w:cs="Arial"/>
          <w:sz w:val="24"/>
          <w:szCs w:val="24"/>
        </w:rPr>
        <w:t xml:space="preserve">for miscarriages of justice to be rectified. </w:t>
      </w:r>
      <w:r w:rsidR="00501F8B">
        <w:rPr>
          <w:rFonts w:ascii="Arial" w:eastAsia="Arial" w:hAnsi="Arial" w:cs="Arial"/>
          <w:sz w:val="24"/>
          <w:szCs w:val="24"/>
        </w:rPr>
        <w:t>The Home Office (1997)</w:t>
      </w:r>
      <w:r w:rsidR="005B1B3E">
        <w:rPr>
          <w:rFonts w:ascii="Arial" w:eastAsia="Arial" w:hAnsi="Arial" w:cs="Arial"/>
          <w:sz w:val="24"/>
          <w:szCs w:val="24"/>
        </w:rPr>
        <w:t xml:space="preserve"> </w:t>
      </w:r>
      <w:r w:rsidR="00F12B76">
        <w:rPr>
          <w:rFonts w:ascii="Arial" w:eastAsia="Arial" w:hAnsi="Arial" w:cs="Arial"/>
          <w:sz w:val="24"/>
          <w:szCs w:val="24"/>
        </w:rPr>
        <w:t xml:space="preserve">argues that the introduction of PACE </w:t>
      </w:r>
      <w:r w:rsidR="00AD4696">
        <w:rPr>
          <w:rFonts w:ascii="Arial" w:eastAsia="Arial" w:hAnsi="Arial" w:cs="Arial"/>
          <w:sz w:val="24"/>
          <w:szCs w:val="24"/>
        </w:rPr>
        <w:t>has led to ‘significant improvements</w:t>
      </w:r>
      <w:r w:rsidR="00CB0AB4">
        <w:rPr>
          <w:rFonts w:ascii="Arial" w:eastAsia="Arial" w:hAnsi="Arial" w:cs="Arial"/>
          <w:sz w:val="24"/>
          <w:szCs w:val="24"/>
        </w:rPr>
        <w:t xml:space="preserve"> to the rights of the suspect’. </w:t>
      </w:r>
      <w:r w:rsidR="003D0C01">
        <w:rPr>
          <w:rFonts w:ascii="Arial" w:eastAsia="Arial" w:hAnsi="Arial" w:cs="Arial"/>
          <w:sz w:val="24"/>
          <w:szCs w:val="24"/>
        </w:rPr>
        <w:t xml:space="preserve">This is mainly down to the changes in </w:t>
      </w:r>
      <w:r w:rsidR="001B0408">
        <w:rPr>
          <w:rFonts w:ascii="Arial" w:eastAsia="Arial" w:hAnsi="Arial" w:cs="Arial"/>
          <w:sz w:val="24"/>
          <w:szCs w:val="24"/>
        </w:rPr>
        <w:t xml:space="preserve">the awareness of the suspects right </w:t>
      </w:r>
      <w:r w:rsidR="004E48B0">
        <w:rPr>
          <w:rFonts w:ascii="Arial" w:eastAsia="Arial" w:hAnsi="Arial" w:cs="Arial"/>
          <w:sz w:val="24"/>
          <w:szCs w:val="24"/>
        </w:rPr>
        <w:t xml:space="preserve">to a solicitor which has massively improved since PACE. </w:t>
      </w:r>
      <w:r w:rsidR="00E44F7E">
        <w:rPr>
          <w:rFonts w:ascii="Arial" w:eastAsia="Arial" w:hAnsi="Arial" w:cs="Arial"/>
          <w:sz w:val="24"/>
          <w:szCs w:val="24"/>
        </w:rPr>
        <w:t xml:space="preserve">The police now allow a solicitor to be present in the majority of cases unless </w:t>
      </w:r>
      <w:r w:rsidR="00CC2F88">
        <w:rPr>
          <w:rFonts w:ascii="Arial" w:eastAsia="Arial" w:hAnsi="Arial" w:cs="Arial"/>
          <w:sz w:val="24"/>
          <w:szCs w:val="24"/>
        </w:rPr>
        <w:t xml:space="preserve">in extreme cases where it will be delayed. </w:t>
      </w:r>
      <w:r w:rsidR="00D406B0">
        <w:rPr>
          <w:rFonts w:ascii="Arial" w:eastAsia="Arial" w:hAnsi="Arial" w:cs="Arial"/>
          <w:sz w:val="24"/>
          <w:szCs w:val="24"/>
        </w:rPr>
        <w:t xml:space="preserve">Despite this, the report also states that </w:t>
      </w:r>
      <w:r w:rsidR="00617994">
        <w:rPr>
          <w:rFonts w:ascii="Arial" w:eastAsia="Arial" w:hAnsi="Arial" w:cs="Arial"/>
          <w:sz w:val="24"/>
          <w:szCs w:val="24"/>
        </w:rPr>
        <w:t xml:space="preserve">there are some limitations. </w:t>
      </w:r>
      <w:r w:rsidR="009416C7">
        <w:rPr>
          <w:rFonts w:ascii="Arial" w:eastAsia="Arial" w:hAnsi="Arial" w:cs="Arial"/>
          <w:sz w:val="24"/>
          <w:szCs w:val="24"/>
        </w:rPr>
        <w:t xml:space="preserve">These were down to the role of the </w:t>
      </w:r>
      <w:r w:rsidR="009416C7">
        <w:rPr>
          <w:rFonts w:ascii="Arial" w:eastAsia="Arial" w:hAnsi="Arial" w:cs="Arial"/>
          <w:sz w:val="24"/>
          <w:szCs w:val="24"/>
        </w:rPr>
        <w:lastRenderedPageBreak/>
        <w:t>custody officer. Because of the nature of an interview, it is possible that people may not be in the right frame of mind when the custody officer explains proceedings and reads the rights and therefor</w:t>
      </w:r>
      <w:r w:rsidR="002B194A">
        <w:rPr>
          <w:rFonts w:ascii="Arial" w:eastAsia="Arial" w:hAnsi="Arial" w:cs="Arial"/>
          <w:sz w:val="24"/>
          <w:szCs w:val="24"/>
        </w:rPr>
        <w:t>e</w:t>
      </w:r>
      <w:r w:rsidR="009416C7">
        <w:rPr>
          <w:rFonts w:ascii="Arial" w:eastAsia="Arial" w:hAnsi="Arial" w:cs="Arial"/>
          <w:sz w:val="24"/>
          <w:szCs w:val="24"/>
        </w:rPr>
        <w:t xml:space="preserve"> may not take in all of the information. </w:t>
      </w:r>
      <w:r w:rsidR="002B194A">
        <w:rPr>
          <w:rFonts w:ascii="Arial" w:eastAsia="Arial" w:hAnsi="Arial" w:cs="Arial"/>
          <w:sz w:val="24"/>
          <w:szCs w:val="24"/>
        </w:rPr>
        <w:t>This was especially prevalent amon</w:t>
      </w:r>
      <w:r w:rsidR="00B36DEF">
        <w:rPr>
          <w:rFonts w:ascii="Arial" w:eastAsia="Arial" w:hAnsi="Arial" w:cs="Arial"/>
          <w:sz w:val="24"/>
          <w:szCs w:val="24"/>
        </w:rPr>
        <w:t xml:space="preserve">gst juveniles </w:t>
      </w:r>
      <w:r w:rsidR="000F172C">
        <w:rPr>
          <w:rFonts w:ascii="Arial" w:eastAsia="Arial" w:hAnsi="Arial" w:cs="Arial"/>
          <w:sz w:val="24"/>
          <w:szCs w:val="24"/>
        </w:rPr>
        <w:t xml:space="preserve">who may not have an appropriate adult around at the time they are brought in. </w:t>
      </w:r>
      <w:r w:rsidR="00601E0B">
        <w:rPr>
          <w:rFonts w:ascii="Arial" w:eastAsia="Arial" w:hAnsi="Arial" w:cs="Arial"/>
          <w:sz w:val="24"/>
          <w:szCs w:val="24"/>
        </w:rPr>
        <w:t xml:space="preserve">PACE has improved the transparency in how the police operate however. The accurate keeping of records leads to more openness in how a suspect is treated </w:t>
      </w:r>
      <w:r w:rsidR="002A619F">
        <w:rPr>
          <w:rFonts w:ascii="Arial" w:eastAsia="Arial" w:hAnsi="Arial" w:cs="Arial"/>
          <w:sz w:val="24"/>
          <w:szCs w:val="24"/>
        </w:rPr>
        <w:t>and definitely helps prevent miscarriages of justice as it is easier than ever</w:t>
      </w:r>
      <w:r w:rsidR="002B40A6">
        <w:rPr>
          <w:rFonts w:ascii="Arial" w:eastAsia="Arial" w:hAnsi="Arial" w:cs="Arial"/>
          <w:sz w:val="24"/>
          <w:szCs w:val="24"/>
        </w:rPr>
        <w:t xml:space="preserve"> to identify when there has been </w:t>
      </w:r>
      <w:r w:rsidR="00E33CF0">
        <w:rPr>
          <w:rFonts w:ascii="Arial" w:eastAsia="Arial" w:hAnsi="Arial" w:cs="Arial"/>
          <w:sz w:val="24"/>
          <w:szCs w:val="24"/>
        </w:rPr>
        <w:t xml:space="preserve">an abuse of police power. </w:t>
      </w:r>
      <w:r w:rsidR="00B95F81">
        <w:rPr>
          <w:rFonts w:ascii="Arial" w:eastAsia="Arial" w:hAnsi="Arial" w:cs="Arial"/>
          <w:sz w:val="24"/>
          <w:szCs w:val="24"/>
        </w:rPr>
        <w:t xml:space="preserve">Not only that, but the recording of interviews now would make it impossible for </w:t>
      </w:r>
      <w:r w:rsidR="003D5E4B">
        <w:rPr>
          <w:rFonts w:ascii="Arial" w:eastAsia="Arial" w:hAnsi="Arial" w:cs="Arial"/>
          <w:sz w:val="24"/>
          <w:szCs w:val="24"/>
        </w:rPr>
        <w:t xml:space="preserve">people to be forced into signing confessions or admitting to crimes they did not commit as in the previous cases discussed. </w:t>
      </w:r>
      <w:r w:rsidR="009D4480">
        <w:rPr>
          <w:rFonts w:ascii="Arial" w:eastAsia="Arial" w:hAnsi="Arial" w:cs="Arial"/>
          <w:sz w:val="24"/>
          <w:szCs w:val="24"/>
        </w:rPr>
        <w:t xml:space="preserve">It would also be impossible for police not to disclose evidence to the defence </w:t>
      </w:r>
      <w:r w:rsidR="006774ED">
        <w:rPr>
          <w:rFonts w:ascii="Arial" w:eastAsia="Arial" w:hAnsi="Arial" w:cs="Arial"/>
          <w:sz w:val="24"/>
          <w:szCs w:val="24"/>
        </w:rPr>
        <w:t xml:space="preserve">such as in the case of Stefan Kiszco. </w:t>
      </w:r>
      <w:r w:rsidR="00FF168B">
        <w:rPr>
          <w:rFonts w:ascii="Arial" w:eastAsia="Arial" w:hAnsi="Arial" w:cs="Arial"/>
          <w:sz w:val="24"/>
          <w:szCs w:val="24"/>
        </w:rPr>
        <w:t xml:space="preserve">However, there have still been major miscarriages of justice after PACE. </w:t>
      </w:r>
      <w:r w:rsidR="002C1E74">
        <w:rPr>
          <w:rFonts w:ascii="Arial" w:eastAsia="Arial" w:hAnsi="Arial" w:cs="Arial"/>
          <w:sz w:val="24"/>
          <w:szCs w:val="24"/>
        </w:rPr>
        <w:t xml:space="preserve">Hall et al (2009) referees to the Stephen Lawrence murder as a miscarriage of justice </w:t>
      </w:r>
      <w:r w:rsidR="00B266B3">
        <w:rPr>
          <w:rFonts w:ascii="Arial" w:eastAsia="Arial" w:hAnsi="Arial" w:cs="Arial"/>
          <w:sz w:val="24"/>
          <w:szCs w:val="24"/>
        </w:rPr>
        <w:t xml:space="preserve">from the police due to </w:t>
      </w:r>
      <w:r w:rsidR="00123AC7">
        <w:rPr>
          <w:rFonts w:ascii="Arial" w:eastAsia="Arial" w:hAnsi="Arial" w:cs="Arial"/>
          <w:sz w:val="24"/>
          <w:szCs w:val="24"/>
        </w:rPr>
        <w:t xml:space="preserve">‘the failure to act’. Not only that, but </w:t>
      </w:r>
      <w:r w:rsidR="006A3849">
        <w:rPr>
          <w:rFonts w:ascii="Arial" w:eastAsia="Arial" w:hAnsi="Arial" w:cs="Arial"/>
          <w:sz w:val="24"/>
          <w:szCs w:val="24"/>
        </w:rPr>
        <w:t xml:space="preserve">the BBC (2014) quotes </w:t>
      </w:r>
      <w:r w:rsidR="00CD2706">
        <w:rPr>
          <w:rFonts w:ascii="Arial" w:eastAsia="Arial" w:hAnsi="Arial" w:cs="Arial"/>
          <w:sz w:val="24"/>
          <w:szCs w:val="24"/>
        </w:rPr>
        <w:t>the Home Secretary at the time, Theresa May as saying ‘</w:t>
      </w:r>
      <w:r w:rsidR="00173F65">
        <w:rPr>
          <w:rFonts w:ascii="Arial" w:eastAsia="Arial" w:hAnsi="Arial" w:cs="Arial"/>
          <w:sz w:val="24"/>
          <w:szCs w:val="24"/>
        </w:rPr>
        <w:t>some undercover operations c</w:t>
      </w:r>
      <w:r w:rsidR="00622054">
        <w:rPr>
          <w:rFonts w:ascii="Arial" w:eastAsia="Arial" w:hAnsi="Arial" w:cs="Arial"/>
          <w:sz w:val="24"/>
          <w:szCs w:val="24"/>
        </w:rPr>
        <w:t xml:space="preserve">ould have led to miscarriages of justice’ </w:t>
      </w:r>
      <w:r w:rsidR="00FA5B23">
        <w:rPr>
          <w:rFonts w:ascii="Arial" w:eastAsia="Arial" w:hAnsi="Arial" w:cs="Arial"/>
          <w:sz w:val="24"/>
          <w:szCs w:val="24"/>
        </w:rPr>
        <w:t xml:space="preserve">following </w:t>
      </w:r>
      <w:r w:rsidR="0013466A">
        <w:rPr>
          <w:rFonts w:ascii="Arial" w:eastAsia="Arial" w:hAnsi="Arial" w:cs="Arial"/>
          <w:sz w:val="24"/>
          <w:szCs w:val="24"/>
        </w:rPr>
        <w:t xml:space="preserve">a review which found some undercover officers failed to correct evidence they knew was wrong. </w:t>
      </w:r>
      <w:r w:rsidR="00AA0EA0">
        <w:rPr>
          <w:rFonts w:ascii="Arial" w:eastAsia="Arial" w:hAnsi="Arial" w:cs="Arial"/>
          <w:sz w:val="24"/>
          <w:szCs w:val="24"/>
        </w:rPr>
        <w:t xml:space="preserve">Another example of this is the Colin Stagg miscarriage of </w:t>
      </w:r>
      <w:r w:rsidR="00904665">
        <w:rPr>
          <w:rFonts w:ascii="Arial" w:eastAsia="Arial" w:hAnsi="Arial" w:cs="Arial"/>
          <w:sz w:val="24"/>
          <w:szCs w:val="24"/>
        </w:rPr>
        <w:t xml:space="preserve">justice which saw him </w:t>
      </w:r>
      <w:r w:rsidR="008643F6">
        <w:rPr>
          <w:rFonts w:ascii="Arial" w:eastAsia="Arial" w:hAnsi="Arial" w:cs="Arial"/>
          <w:sz w:val="24"/>
          <w:szCs w:val="24"/>
        </w:rPr>
        <w:t xml:space="preserve">charged with the murder of Rachel </w:t>
      </w:r>
      <w:r w:rsidR="00074DBA">
        <w:rPr>
          <w:rFonts w:ascii="Arial" w:eastAsia="Arial" w:hAnsi="Arial" w:cs="Arial"/>
          <w:sz w:val="24"/>
          <w:szCs w:val="24"/>
        </w:rPr>
        <w:t>Nickell</w:t>
      </w:r>
      <w:r w:rsidR="00F535F3">
        <w:rPr>
          <w:rFonts w:ascii="Arial" w:eastAsia="Arial" w:hAnsi="Arial" w:cs="Arial"/>
          <w:sz w:val="24"/>
          <w:szCs w:val="24"/>
        </w:rPr>
        <w:t xml:space="preserve">. </w:t>
      </w:r>
      <w:r w:rsidR="00CF266F">
        <w:rPr>
          <w:rFonts w:ascii="Arial" w:eastAsia="Arial" w:hAnsi="Arial" w:cs="Arial"/>
          <w:sz w:val="24"/>
          <w:szCs w:val="24"/>
        </w:rPr>
        <w:t xml:space="preserve">This case saw </w:t>
      </w:r>
      <w:r w:rsidR="00B2415C">
        <w:rPr>
          <w:rFonts w:ascii="Arial" w:eastAsia="Arial" w:hAnsi="Arial" w:cs="Arial"/>
          <w:sz w:val="24"/>
          <w:szCs w:val="24"/>
        </w:rPr>
        <w:t xml:space="preserve">pressure on the police build to catch the killer so they turned to a deceptive way of trying to </w:t>
      </w:r>
      <w:r w:rsidR="00452544">
        <w:rPr>
          <w:rFonts w:ascii="Arial" w:eastAsia="Arial" w:hAnsi="Arial" w:cs="Arial"/>
          <w:sz w:val="24"/>
          <w:szCs w:val="24"/>
        </w:rPr>
        <w:t xml:space="preserve">confess for the murder. </w:t>
      </w:r>
      <w:r w:rsidR="001233F6">
        <w:rPr>
          <w:rFonts w:ascii="Arial" w:eastAsia="Arial" w:hAnsi="Arial" w:cs="Arial"/>
          <w:sz w:val="24"/>
          <w:szCs w:val="24"/>
        </w:rPr>
        <w:t>This involved a femal</w:t>
      </w:r>
      <w:r w:rsidR="009E06DB">
        <w:rPr>
          <w:rFonts w:ascii="Arial" w:eastAsia="Arial" w:hAnsi="Arial" w:cs="Arial"/>
          <w:sz w:val="24"/>
          <w:szCs w:val="24"/>
        </w:rPr>
        <w:t>e</w:t>
      </w:r>
      <w:r w:rsidR="001233F6">
        <w:rPr>
          <w:rFonts w:ascii="Arial" w:eastAsia="Arial" w:hAnsi="Arial" w:cs="Arial"/>
          <w:sz w:val="24"/>
          <w:szCs w:val="24"/>
        </w:rPr>
        <w:t xml:space="preserve"> officer going undercover and trying to </w:t>
      </w:r>
      <w:r w:rsidR="009E06DB">
        <w:rPr>
          <w:rFonts w:ascii="Arial" w:eastAsia="Arial" w:hAnsi="Arial" w:cs="Arial"/>
          <w:sz w:val="24"/>
          <w:szCs w:val="24"/>
        </w:rPr>
        <w:t xml:space="preserve">encourage him to confess to which the judge </w:t>
      </w:r>
      <w:r w:rsidR="00882766">
        <w:rPr>
          <w:rFonts w:ascii="Arial" w:eastAsia="Arial" w:hAnsi="Arial" w:cs="Arial"/>
          <w:sz w:val="24"/>
          <w:szCs w:val="24"/>
        </w:rPr>
        <w:t>described as ‘</w:t>
      </w:r>
      <w:r w:rsidR="00CE7E5E">
        <w:rPr>
          <w:rFonts w:ascii="Arial" w:eastAsia="Arial" w:hAnsi="Arial" w:cs="Arial"/>
          <w:sz w:val="24"/>
          <w:szCs w:val="24"/>
        </w:rPr>
        <w:t>captive conduct of the grossest kind’ according to the</w:t>
      </w:r>
      <w:r w:rsidR="00441133">
        <w:rPr>
          <w:rFonts w:ascii="Arial" w:eastAsia="Arial" w:hAnsi="Arial" w:cs="Arial"/>
          <w:sz w:val="24"/>
          <w:szCs w:val="24"/>
        </w:rPr>
        <w:t xml:space="preserve"> Independent </w:t>
      </w:r>
      <w:r w:rsidR="00CE7E5E">
        <w:rPr>
          <w:rFonts w:ascii="Arial" w:eastAsia="Arial" w:hAnsi="Arial" w:cs="Arial"/>
          <w:sz w:val="24"/>
          <w:szCs w:val="24"/>
        </w:rPr>
        <w:t xml:space="preserve">(2008). </w:t>
      </w:r>
    </w:p>
    <w:p w14:paraId="69C3847D" w14:textId="0CBE935E" w:rsidR="00441133" w:rsidRDefault="00441133" w:rsidP="4C83E531">
      <w:pPr>
        <w:rPr>
          <w:rFonts w:ascii="Arial" w:eastAsia="Arial" w:hAnsi="Arial" w:cs="Arial"/>
          <w:sz w:val="24"/>
          <w:szCs w:val="24"/>
        </w:rPr>
      </w:pPr>
    </w:p>
    <w:p w14:paraId="535414A2" w14:textId="44FDE3B5" w:rsidR="008D2D6D" w:rsidRDefault="00441133" w:rsidP="4C83E531">
      <w:pPr>
        <w:rPr>
          <w:rFonts w:ascii="Arial" w:eastAsia="Arial" w:hAnsi="Arial" w:cs="Arial"/>
          <w:sz w:val="24"/>
          <w:szCs w:val="24"/>
        </w:rPr>
      </w:pPr>
      <w:r>
        <w:rPr>
          <w:rFonts w:ascii="Arial" w:eastAsia="Arial" w:hAnsi="Arial" w:cs="Arial"/>
          <w:sz w:val="24"/>
          <w:szCs w:val="24"/>
        </w:rPr>
        <w:t xml:space="preserve">To conclude, </w:t>
      </w:r>
      <w:r w:rsidR="000D4635">
        <w:rPr>
          <w:rFonts w:ascii="Arial" w:eastAsia="Arial" w:hAnsi="Arial" w:cs="Arial"/>
          <w:sz w:val="24"/>
          <w:szCs w:val="24"/>
        </w:rPr>
        <w:t xml:space="preserve">the introduction of PACE certainly </w:t>
      </w:r>
      <w:r w:rsidR="008D74A5">
        <w:rPr>
          <w:rFonts w:ascii="Arial" w:eastAsia="Arial" w:hAnsi="Arial" w:cs="Arial"/>
          <w:sz w:val="24"/>
          <w:szCs w:val="24"/>
        </w:rPr>
        <w:t xml:space="preserve">helped </w:t>
      </w:r>
      <w:r w:rsidR="00994095">
        <w:rPr>
          <w:rFonts w:ascii="Arial" w:eastAsia="Arial" w:hAnsi="Arial" w:cs="Arial"/>
          <w:sz w:val="24"/>
          <w:szCs w:val="24"/>
        </w:rPr>
        <w:t>set framework to prevent miscarriage</w:t>
      </w:r>
      <w:r w:rsidR="00DF1409">
        <w:rPr>
          <w:rFonts w:ascii="Arial" w:eastAsia="Arial" w:hAnsi="Arial" w:cs="Arial"/>
          <w:sz w:val="24"/>
          <w:szCs w:val="24"/>
        </w:rPr>
        <w:t>s</w:t>
      </w:r>
      <w:r w:rsidR="00994095">
        <w:rPr>
          <w:rFonts w:ascii="Arial" w:eastAsia="Arial" w:hAnsi="Arial" w:cs="Arial"/>
          <w:sz w:val="24"/>
          <w:szCs w:val="24"/>
        </w:rPr>
        <w:t xml:space="preserve"> of justice</w:t>
      </w:r>
      <w:r w:rsidR="00DF1409">
        <w:rPr>
          <w:rFonts w:ascii="Arial" w:eastAsia="Arial" w:hAnsi="Arial" w:cs="Arial"/>
          <w:sz w:val="24"/>
          <w:szCs w:val="24"/>
        </w:rPr>
        <w:t xml:space="preserve"> and it can be argued that it was successful to some extent. While there are some limitations, they are mostly outweighed by the positives of the act. </w:t>
      </w:r>
      <w:r w:rsidR="000F43D1">
        <w:rPr>
          <w:rFonts w:ascii="Arial" w:eastAsia="Arial" w:hAnsi="Arial" w:cs="Arial"/>
          <w:sz w:val="24"/>
          <w:szCs w:val="24"/>
        </w:rPr>
        <w:t>Miscarriages of justice will still happen</w:t>
      </w:r>
      <w:r w:rsidR="009431F6">
        <w:rPr>
          <w:rFonts w:ascii="Arial" w:eastAsia="Arial" w:hAnsi="Arial" w:cs="Arial"/>
          <w:sz w:val="24"/>
          <w:szCs w:val="24"/>
        </w:rPr>
        <w:t xml:space="preserve">, although it is now easier than ever to bring awareness to possible miscarriages in the digital age of social media. </w:t>
      </w:r>
      <w:r w:rsidR="003915CF">
        <w:rPr>
          <w:rFonts w:ascii="Arial" w:eastAsia="Arial" w:hAnsi="Arial" w:cs="Arial"/>
          <w:sz w:val="24"/>
          <w:szCs w:val="24"/>
        </w:rPr>
        <w:t xml:space="preserve">This puts even more pressure on the police to work within the framework provided by PACE. </w:t>
      </w:r>
      <w:r w:rsidR="009F33B7">
        <w:rPr>
          <w:rFonts w:ascii="Arial" w:eastAsia="Arial" w:hAnsi="Arial" w:cs="Arial"/>
          <w:sz w:val="24"/>
          <w:szCs w:val="24"/>
        </w:rPr>
        <w:t>In addition to this, there is a Criminal Cases Review Commission</w:t>
      </w:r>
      <w:r w:rsidR="005018A5">
        <w:rPr>
          <w:rFonts w:ascii="Arial" w:eastAsia="Arial" w:hAnsi="Arial" w:cs="Arial"/>
          <w:sz w:val="24"/>
          <w:szCs w:val="24"/>
        </w:rPr>
        <w:t xml:space="preserve"> (CCRC)</w:t>
      </w:r>
      <w:r w:rsidR="009F33B7">
        <w:rPr>
          <w:rFonts w:ascii="Arial" w:eastAsia="Arial" w:hAnsi="Arial" w:cs="Arial"/>
          <w:sz w:val="24"/>
          <w:szCs w:val="24"/>
        </w:rPr>
        <w:t xml:space="preserve"> set up to review </w:t>
      </w:r>
      <w:r w:rsidR="00315EEB">
        <w:rPr>
          <w:rFonts w:ascii="Arial" w:eastAsia="Arial" w:hAnsi="Arial" w:cs="Arial"/>
          <w:sz w:val="24"/>
          <w:szCs w:val="24"/>
        </w:rPr>
        <w:t xml:space="preserve">cases and possible miscarriages of justice that may have occurred. </w:t>
      </w:r>
      <w:r w:rsidR="005018A5">
        <w:rPr>
          <w:rFonts w:ascii="Arial" w:eastAsia="Arial" w:hAnsi="Arial" w:cs="Arial"/>
          <w:sz w:val="24"/>
          <w:szCs w:val="24"/>
        </w:rPr>
        <w:t xml:space="preserve">A fairly recent example of this was the case of footballer Ched Evans who went brought the CCRC and had his conviction quashed. </w:t>
      </w:r>
      <w:r w:rsidR="009B62CE">
        <w:rPr>
          <w:rFonts w:ascii="Arial" w:eastAsia="Arial" w:hAnsi="Arial" w:cs="Arial"/>
          <w:sz w:val="24"/>
          <w:szCs w:val="24"/>
        </w:rPr>
        <w:t xml:space="preserve">So while PACE has certainly helped to prevent miscarriages, they will still happen </w:t>
      </w:r>
      <w:r w:rsidR="003C15B8">
        <w:rPr>
          <w:rFonts w:ascii="Arial" w:eastAsia="Arial" w:hAnsi="Arial" w:cs="Arial"/>
          <w:sz w:val="24"/>
          <w:szCs w:val="24"/>
        </w:rPr>
        <w:t>in our system of law</w:t>
      </w:r>
      <w:r w:rsidR="008D2D6D">
        <w:rPr>
          <w:rFonts w:ascii="Arial" w:eastAsia="Arial" w:hAnsi="Arial" w:cs="Arial"/>
          <w:sz w:val="24"/>
          <w:szCs w:val="24"/>
        </w:rPr>
        <w:t>.</w:t>
      </w:r>
    </w:p>
    <w:p w14:paraId="76885976" w14:textId="77777777" w:rsidR="008D2D6D" w:rsidRDefault="008D2D6D" w:rsidP="4C83E531">
      <w:pPr>
        <w:rPr>
          <w:rFonts w:ascii="Arial" w:eastAsia="Arial" w:hAnsi="Arial" w:cs="Arial"/>
          <w:sz w:val="24"/>
          <w:szCs w:val="24"/>
        </w:rPr>
      </w:pPr>
    </w:p>
    <w:p w14:paraId="67DCFB27" w14:textId="77777777" w:rsidR="008D2D6D" w:rsidRDefault="008D2D6D" w:rsidP="4C83E531">
      <w:pPr>
        <w:rPr>
          <w:rFonts w:ascii="Arial" w:eastAsia="Arial" w:hAnsi="Arial" w:cs="Arial"/>
          <w:sz w:val="24"/>
          <w:szCs w:val="24"/>
        </w:rPr>
      </w:pPr>
    </w:p>
    <w:p w14:paraId="239BE79A" w14:textId="77777777" w:rsidR="008D2D6D" w:rsidRDefault="008D2D6D" w:rsidP="4C83E531">
      <w:pPr>
        <w:rPr>
          <w:rFonts w:ascii="Arial" w:eastAsia="Arial" w:hAnsi="Arial" w:cs="Arial"/>
          <w:sz w:val="24"/>
          <w:szCs w:val="24"/>
        </w:rPr>
      </w:pPr>
    </w:p>
    <w:p w14:paraId="2F10D005" w14:textId="77777777" w:rsidR="008D2D6D" w:rsidRDefault="008D2D6D" w:rsidP="4C83E531">
      <w:pPr>
        <w:rPr>
          <w:rFonts w:ascii="Arial" w:eastAsia="Arial" w:hAnsi="Arial" w:cs="Arial"/>
          <w:sz w:val="24"/>
          <w:szCs w:val="24"/>
        </w:rPr>
      </w:pPr>
    </w:p>
    <w:p w14:paraId="330917D3" w14:textId="77777777" w:rsidR="008D2D6D" w:rsidRDefault="008D2D6D" w:rsidP="4C83E531">
      <w:pPr>
        <w:rPr>
          <w:rFonts w:ascii="Arial" w:eastAsia="Arial" w:hAnsi="Arial" w:cs="Arial"/>
          <w:sz w:val="24"/>
          <w:szCs w:val="24"/>
        </w:rPr>
      </w:pPr>
    </w:p>
    <w:p w14:paraId="7EE3C27B" w14:textId="77777777" w:rsidR="008D2D6D" w:rsidRDefault="008D2D6D" w:rsidP="4C83E531">
      <w:pPr>
        <w:rPr>
          <w:rFonts w:ascii="Arial" w:eastAsia="Arial" w:hAnsi="Arial" w:cs="Arial"/>
          <w:sz w:val="24"/>
          <w:szCs w:val="24"/>
        </w:rPr>
      </w:pPr>
    </w:p>
    <w:p w14:paraId="02A8D7CE" w14:textId="77777777" w:rsidR="008D2D6D" w:rsidRDefault="008D2D6D" w:rsidP="4C83E531">
      <w:pPr>
        <w:rPr>
          <w:rFonts w:ascii="Arial" w:eastAsia="Arial" w:hAnsi="Arial" w:cs="Arial"/>
          <w:sz w:val="24"/>
          <w:szCs w:val="24"/>
        </w:rPr>
      </w:pPr>
    </w:p>
    <w:p w14:paraId="226BBBB3" w14:textId="77777777" w:rsidR="008D2D6D" w:rsidRDefault="008D2D6D" w:rsidP="4C83E531">
      <w:pPr>
        <w:rPr>
          <w:rFonts w:ascii="Arial" w:eastAsia="Arial" w:hAnsi="Arial" w:cs="Arial"/>
          <w:sz w:val="24"/>
          <w:szCs w:val="24"/>
        </w:rPr>
      </w:pPr>
    </w:p>
    <w:p w14:paraId="1A0C8EE9" w14:textId="77777777" w:rsidR="008D2D6D" w:rsidRDefault="008D2D6D" w:rsidP="4C83E531">
      <w:pPr>
        <w:rPr>
          <w:rFonts w:ascii="Arial" w:eastAsia="Arial" w:hAnsi="Arial" w:cs="Arial"/>
          <w:sz w:val="24"/>
          <w:szCs w:val="24"/>
        </w:rPr>
      </w:pPr>
    </w:p>
    <w:p w14:paraId="6ED332B2" w14:textId="77777777" w:rsidR="008D2D6D" w:rsidRDefault="008D2D6D" w:rsidP="4C83E531">
      <w:pPr>
        <w:rPr>
          <w:rFonts w:ascii="Arial" w:eastAsia="Arial" w:hAnsi="Arial" w:cs="Arial"/>
          <w:sz w:val="24"/>
          <w:szCs w:val="24"/>
        </w:rPr>
      </w:pPr>
    </w:p>
    <w:p w14:paraId="374CBD64" w14:textId="77777777" w:rsidR="008D2D6D" w:rsidRDefault="008D2D6D" w:rsidP="4C83E531">
      <w:pPr>
        <w:rPr>
          <w:rFonts w:ascii="Arial" w:eastAsia="Arial" w:hAnsi="Arial" w:cs="Arial"/>
          <w:sz w:val="24"/>
          <w:szCs w:val="24"/>
        </w:rPr>
      </w:pPr>
    </w:p>
    <w:p w14:paraId="160A805E" w14:textId="77777777" w:rsidR="008D2D6D" w:rsidRDefault="008D2D6D" w:rsidP="4C83E531">
      <w:pPr>
        <w:rPr>
          <w:rFonts w:ascii="Arial" w:eastAsia="Arial" w:hAnsi="Arial" w:cs="Arial"/>
          <w:sz w:val="24"/>
          <w:szCs w:val="24"/>
        </w:rPr>
      </w:pPr>
    </w:p>
    <w:p w14:paraId="2BEB643A" w14:textId="77777777" w:rsidR="008D2D6D" w:rsidRDefault="008D2D6D" w:rsidP="4C83E531">
      <w:pPr>
        <w:rPr>
          <w:rFonts w:ascii="Arial" w:eastAsia="Arial" w:hAnsi="Arial" w:cs="Arial"/>
          <w:sz w:val="24"/>
          <w:szCs w:val="24"/>
        </w:rPr>
      </w:pPr>
    </w:p>
    <w:p w14:paraId="06283C77" w14:textId="2B4D258F" w:rsidR="00441133" w:rsidRDefault="00441133" w:rsidP="4C83E531">
      <w:pPr>
        <w:rPr>
          <w:rFonts w:ascii="Arial" w:eastAsia="Arial" w:hAnsi="Arial" w:cs="Arial"/>
          <w:sz w:val="24"/>
          <w:szCs w:val="24"/>
        </w:rPr>
      </w:pPr>
    </w:p>
    <w:p w14:paraId="49A6B2DE" w14:textId="0826BA68" w:rsidR="008D2D6D" w:rsidRDefault="008D2D6D" w:rsidP="4C83E531">
      <w:pPr>
        <w:rPr>
          <w:rFonts w:ascii="Arial" w:eastAsia="Arial" w:hAnsi="Arial" w:cs="Arial"/>
          <w:b/>
          <w:sz w:val="28"/>
          <w:szCs w:val="24"/>
        </w:rPr>
      </w:pPr>
      <w:r>
        <w:rPr>
          <w:rFonts w:ascii="Arial" w:eastAsia="Arial" w:hAnsi="Arial" w:cs="Arial"/>
          <w:b/>
          <w:sz w:val="28"/>
          <w:szCs w:val="24"/>
        </w:rPr>
        <w:lastRenderedPageBreak/>
        <w:t>Reference List</w:t>
      </w:r>
      <w:bookmarkStart w:id="0" w:name="_GoBack"/>
      <w:bookmarkEnd w:id="0"/>
    </w:p>
    <w:p w14:paraId="3867FB76" w14:textId="77777777" w:rsidR="008D2D6D" w:rsidRDefault="008D2D6D" w:rsidP="4C83E531">
      <w:pPr>
        <w:rPr>
          <w:rFonts w:ascii="Arial" w:eastAsia="Arial" w:hAnsi="Arial" w:cs="Arial"/>
          <w:b/>
          <w:sz w:val="28"/>
          <w:szCs w:val="24"/>
        </w:rPr>
      </w:pPr>
    </w:p>
    <w:p w14:paraId="4B35398E" w14:textId="686090F4" w:rsidR="00B74241" w:rsidRDefault="00B74241" w:rsidP="008D2D6D">
      <w:pPr>
        <w:rPr>
          <w:rFonts w:ascii="Arial" w:eastAsia="Arial" w:hAnsi="Arial" w:cs="Arial"/>
          <w:color w:val="000000" w:themeColor="text1"/>
          <w:sz w:val="24"/>
          <w:szCs w:val="24"/>
        </w:rPr>
      </w:pPr>
      <w:r w:rsidRPr="00B74241">
        <w:rPr>
          <w:rFonts w:ascii="Arial" w:eastAsia="Arial" w:hAnsi="Arial" w:cs="Arial"/>
          <w:color w:val="000000" w:themeColor="text1"/>
          <w:sz w:val="24"/>
          <w:szCs w:val="24"/>
        </w:rPr>
        <w:t>Anti-social Behaviour, Crime and Policing Act 2014</w:t>
      </w:r>
      <w:r>
        <w:rPr>
          <w:rFonts w:ascii="Arial" w:eastAsia="Arial" w:hAnsi="Arial" w:cs="Arial"/>
          <w:color w:val="000000" w:themeColor="text1"/>
          <w:sz w:val="24"/>
          <w:szCs w:val="24"/>
        </w:rPr>
        <w:t xml:space="preserve">. Available at: </w:t>
      </w:r>
      <w:hyperlink r:id="rId6" w:history="1">
        <w:r w:rsidRPr="00D80459">
          <w:rPr>
            <w:rStyle w:val="Hyperlink"/>
            <w:rFonts w:ascii="Arial" w:eastAsia="Arial" w:hAnsi="Arial" w:cs="Arial"/>
            <w:sz w:val="24"/>
            <w:szCs w:val="24"/>
          </w:rPr>
          <w:t>http://www.legislation.gov.uk/ukpga/2014/12/section/175</w:t>
        </w:r>
      </w:hyperlink>
      <w:r>
        <w:rPr>
          <w:rFonts w:ascii="Arial" w:eastAsia="Arial" w:hAnsi="Arial" w:cs="Arial"/>
          <w:color w:val="000000" w:themeColor="text1"/>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8B5D5C6" w14:textId="04EC5791" w:rsidR="00B74241" w:rsidRDefault="00B74241" w:rsidP="008D2D6D">
      <w:pPr>
        <w:rPr>
          <w:rFonts w:ascii="Arial" w:eastAsia="Arial" w:hAnsi="Arial" w:cs="Arial"/>
          <w:color w:val="000000" w:themeColor="text1"/>
          <w:sz w:val="24"/>
          <w:szCs w:val="24"/>
        </w:rPr>
      </w:pPr>
    </w:p>
    <w:p w14:paraId="6F58890C" w14:textId="5412D42F" w:rsidR="008D2D6D" w:rsidRDefault="008D2D6D" w:rsidP="008D2D6D">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BBC (2014). </w:t>
      </w:r>
      <w:r w:rsidRPr="009409FB">
        <w:rPr>
          <w:rFonts w:ascii="Arial" w:eastAsia="Arial" w:hAnsi="Arial" w:cs="Arial"/>
          <w:color w:val="000000" w:themeColor="text1"/>
          <w:sz w:val="24"/>
          <w:szCs w:val="24"/>
        </w:rPr>
        <w:t>Policing 'damaged' after Stephen Lawrence report</w:t>
      </w:r>
      <w:r>
        <w:rPr>
          <w:rFonts w:ascii="Arial" w:eastAsia="Arial" w:hAnsi="Arial" w:cs="Arial"/>
          <w:color w:val="000000" w:themeColor="text1"/>
          <w:sz w:val="24"/>
          <w:szCs w:val="24"/>
        </w:rPr>
        <w:t xml:space="preserve">. Available at: </w:t>
      </w:r>
      <w:hyperlink r:id="rId7" w:history="1">
        <w:r w:rsidRPr="006A0593">
          <w:rPr>
            <w:rStyle w:val="Hyperlink"/>
            <w:rFonts w:ascii="Arial" w:eastAsia="Arial" w:hAnsi="Arial" w:cs="Arial"/>
            <w:sz w:val="24"/>
            <w:szCs w:val="24"/>
          </w:rPr>
          <w:t>https://www.bbc.co.uk/news/uk-26474009</w:t>
        </w:r>
      </w:hyperlink>
      <w:r w:rsidRPr="008D2D6D">
        <w:rPr>
          <w:rStyle w:val="Hyperlink"/>
          <w:rFonts w:ascii="Arial" w:eastAsia="Arial" w:hAnsi="Arial" w:cs="Arial"/>
          <w:color w:val="auto"/>
          <w:sz w:val="24"/>
          <w:szCs w:val="24"/>
          <w:u w:val="none"/>
        </w:rPr>
        <w:t xml:space="preserve"> (Accessed</w:t>
      </w:r>
      <w:r>
        <w:rPr>
          <w:rStyle w:val="Hyperlink"/>
          <w:rFonts w:ascii="Arial" w:eastAsia="Arial" w:hAnsi="Arial" w:cs="Arial"/>
          <w:color w:val="auto"/>
          <w:sz w:val="24"/>
          <w:szCs w:val="24"/>
          <w:u w:val="none"/>
        </w:rPr>
        <w:t xml:space="preserve"> 31st October 2019).</w:t>
      </w:r>
    </w:p>
    <w:p w14:paraId="1DB56C92" w14:textId="77777777" w:rsidR="008D2D6D" w:rsidRDefault="008D2D6D" w:rsidP="008D2D6D">
      <w:pPr>
        <w:rPr>
          <w:rStyle w:val="Hyperlink"/>
          <w:rFonts w:ascii="Arial" w:eastAsia="Arial" w:hAnsi="Arial" w:cs="Arial"/>
          <w:color w:val="auto"/>
          <w:sz w:val="24"/>
          <w:szCs w:val="24"/>
          <w:u w:val="none"/>
        </w:rPr>
      </w:pPr>
    </w:p>
    <w:p w14:paraId="6885023C" w14:textId="77777777" w:rsidR="00B74241" w:rsidRDefault="008D2D6D" w:rsidP="00B74241">
      <w:pPr>
        <w:rPr>
          <w:rStyle w:val="Hyperlink"/>
          <w:rFonts w:ascii="Arial" w:eastAsia="Arial" w:hAnsi="Arial" w:cs="Arial"/>
          <w:color w:val="auto"/>
          <w:sz w:val="24"/>
          <w:szCs w:val="24"/>
          <w:u w:val="none"/>
        </w:rPr>
      </w:pPr>
      <w:r w:rsidRPr="19DFA773">
        <w:rPr>
          <w:rFonts w:ascii="Arial" w:eastAsia="Arial" w:hAnsi="Arial" w:cs="Arial"/>
          <w:sz w:val="24"/>
          <w:szCs w:val="24"/>
        </w:rPr>
        <w:t>BBC (2017).</w:t>
      </w:r>
      <w:r>
        <w:rPr>
          <w:rFonts w:ascii="Arial" w:eastAsia="Arial" w:hAnsi="Arial" w:cs="Arial"/>
          <w:sz w:val="24"/>
          <w:szCs w:val="24"/>
        </w:rPr>
        <w:t xml:space="preserve"> </w:t>
      </w:r>
      <w:r w:rsidRPr="008D2D6D">
        <w:rPr>
          <w:rFonts w:ascii="Arial" w:eastAsia="Arial" w:hAnsi="Arial" w:cs="Arial"/>
          <w:sz w:val="24"/>
          <w:szCs w:val="24"/>
        </w:rPr>
        <w:t>Don Hale: One man's fight for justice</w:t>
      </w:r>
      <w:r>
        <w:rPr>
          <w:rFonts w:ascii="Arial" w:eastAsia="Arial" w:hAnsi="Arial" w:cs="Arial"/>
          <w:sz w:val="24"/>
          <w:szCs w:val="24"/>
        </w:rPr>
        <w:t xml:space="preserve">. </w:t>
      </w:r>
      <w:r>
        <w:rPr>
          <w:rFonts w:ascii="Arial" w:eastAsia="Arial" w:hAnsi="Arial" w:cs="Arial"/>
          <w:color w:val="000000" w:themeColor="text1"/>
          <w:sz w:val="24"/>
          <w:szCs w:val="24"/>
        </w:rPr>
        <w:t xml:space="preserve">Available at: </w:t>
      </w:r>
      <w:r w:rsidRPr="19DFA773">
        <w:rPr>
          <w:rFonts w:ascii="Arial" w:eastAsia="Arial" w:hAnsi="Arial" w:cs="Arial"/>
          <w:sz w:val="24"/>
          <w:szCs w:val="24"/>
        </w:rPr>
        <w:t xml:space="preserve"> </w:t>
      </w:r>
      <w:hyperlink r:id="rId8">
        <w:r w:rsidRPr="19DFA773">
          <w:rPr>
            <w:rStyle w:val="Hyperlink"/>
            <w:rFonts w:ascii="Arial" w:eastAsia="Arial" w:hAnsi="Arial" w:cs="Arial"/>
            <w:sz w:val="24"/>
            <w:szCs w:val="24"/>
          </w:rPr>
          <w:t>https://www.bbc.co.uk/news/uk-england-derbyshire-38581779</w:t>
        </w:r>
      </w:hyperlink>
      <w:r w:rsidR="00B74241">
        <w:rPr>
          <w:rStyle w:val="Hyperlink"/>
          <w:rFonts w:ascii="Arial" w:eastAsia="Arial" w:hAnsi="Arial" w:cs="Arial"/>
          <w:sz w:val="24"/>
          <w:szCs w:val="24"/>
        </w:rPr>
        <w:t xml:space="preserve"> </w:t>
      </w:r>
      <w:r w:rsidR="00B74241" w:rsidRPr="008D2D6D">
        <w:rPr>
          <w:rStyle w:val="Hyperlink"/>
          <w:rFonts w:ascii="Arial" w:eastAsia="Arial" w:hAnsi="Arial" w:cs="Arial"/>
          <w:color w:val="auto"/>
          <w:sz w:val="24"/>
          <w:szCs w:val="24"/>
          <w:u w:val="none"/>
        </w:rPr>
        <w:t>(Accessed</w:t>
      </w:r>
      <w:r w:rsidR="00B74241">
        <w:rPr>
          <w:rStyle w:val="Hyperlink"/>
          <w:rFonts w:ascii="Arial" w:eastAsia="Arial" w:hAnsi="Arial" w:cs="Arial"/>
          <w:color w:val="auto"/>
          <w:sz w:val="24"/>
          <w:szCs w:val="24"/>
          <w:u w:val="none"/>
        </w:rPr>
        <w:t xml:space="preserve"> 31st October 2019).</w:t>
      </w:r>
    </w:p>
    <w:p w14:paraId="5BD9C843" w14:textId="72796B00" w:rsidR="008D2D6D" w:rsidRDefault="008D2D6D" w:rsidP="008D2D6D">
      <w:pPr>
        <w:rPr>
          <w:rFonts w:ascii="Arial" w:eastAsia="Arial" w:hAnsi="Arial" w:cs="Arial"/>
          <w:sz w:val="24"/>
          <w:szCs w:val="24"/>
        </w:rPr>
      </w:pPr>
    </w:p>
    <w:p w14:paraId="5ABFD9F6" w14:textId="77777777" w:rsidR="003C7757" w:rsidRDefault="003C7757" w:rsidP="003C7757">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Cane, P. Conaghan, J. (2009). The New Oxford Companion to Law. Available at: </w:t>
      </w:r>
      <w:hyperlink r:id="rId9" w:history="1">
        <w:r w:rsidRPr="00C2463F">
          <w:rPr>
            <w:rStyle w:val="Hyperlink"/>
            <w:rFonts w:ascii="Arial" w:eastAsia="Arial" w:hAnsi="Arial" w:cs="Arial"/>
            <w:sz w:val="24"/>
            <w:szCs w:val="24"/>
          </w:rPr>
          <w:t>https://www-oxfordreference-com.ezproxy.uwtsd.ac.uk/view/10.1093/acref/9780199290543.001.0001/acref-9780199290543-e-1586?rskey=LVP5se&amp;result=1587</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2EB4F4B" w14:textId="185C3600" w:rsidR="003C7757" w:rsidRDefault="003C7757" w:rsidP="003C7757">
      <w:pPr>
        <w:rPr>
          <w:rFonts w:ascii="Arial" w:eastAsia="Arial" w:hAnsi="Arial" w:cs="Arial"/>
          <w:color w:val="000000" w:themeColor="text1"/>
          <w:sz w:val="24"/>
          <w:szCs w:val="24"/>
        </w:rPr>
      </w:pPr>
    </w:p>
    <w:p w14:paraId="4CF4E4BE" w14:textId="77777777" w:rsidR="00306917" w:rsidRDefault="00306917" w:rsidP="00306917">
      <w:pPr>
        <w:rPr>
          <w:rStyle w:val="Hyperlink"/>
          <w:rFonts w:ascii="Arial" w:eastAsia="Arial" w:hAnsi="Arial" w:cs="Arial"/>
          <w:color w:val="auto"/>
          <w:sz w:val="24"/>
          <w:szCs w:val="24"/>
          <w:u w:val="none"/>
        </w:rPr>
      </w:pPr>
      <w:r w:rsidRPr="19DFA773">
        <w:rPr>
          <w:rFonts w:ascii="Arial" w:eastAsia="Arial" w:hAnsi="Arial" w:cs="Arial"/>
          <w:color w:val="222222"/>
          <w:sz w:val="24"/>
          <w:szCs w:val="24"/>
        </w:rPr>
        <w:t xml:space="preserve">Guardian (2006). </w:t>
      </w:r>
      <w:r w:rsidRPr="00306917">
        <w:rPr>
          <w:rFonts w:ascii="Arial" w:eastAsia="Arial" w:hAnsi="Arial" w:cs="Arial"/>
          <w:color w:val="222222"/>
          <w:sz w:val="24"/>
          <w:szCs w:val="24"/>
        </w:rPr>
        <w:t>Stark reminder of how an innocent man can be railroaded into spending years in jail</w:t>
      </w:r>
      <w:r>
        <w:rPr>
          <w:rFonts w:ascii="Arial" w:eastAsia="Arial" w:hAnsi="Arial" w:cs="Arial"/>
          <w:color w:val="222222"/>
          <w:sz w:val="24"/>
          <w:szCs w:val="24"/>
        </w:rPr>
        <w:t xml:space="preserve">. Available at: </w:t>
      </w:r>
      <w:hyperlink r:id="rId10">
        <w:r w:rsidRPr="19DFA773">
          <w:rPr>
            <w:rStyle w:val="Hyperlink"/>
            <w:rFonts w:ascii="Arial" w:eastAsia="Arial" w:hAnsi="Arial" w:cs="Arial"/>
            <w:sz w:val="24"/>
            <w:szCs w:val="24"/>
          </w:rPr>
          <w:t>https://www.theguardian.com/uk/2006/nov/11/ukcrime.duncancampbell</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1D00925" w14:textId="6F814304" w:rsidR="00306917" w:rsidRDefault="00306917" w:rsidP="00306917">
      <w:pPr>
        <w:rPr>
          <w:rFonts w:ascii="Arial" w:eastAsia="Arial" w:hAnsi="Arial" w:cs="Arial"/>
          <w:color w:val="222222"/>
          <w:sz w:val="24"/>
          <w:szCs w:val="24"/>
        </w:rPr>
      </w:pPr>
    </w:p>
    <w:p w14:paraId="0B79EFED" w14:textId="0131445F" w:rsidR="00306917" w:rsidRDefault="00306917" w:rsidP="00306917">
      <w:pPr>
        <w:rPr>
          <w:rStyle w:val="Hyperlink"/>
          <w:rFonts w:ascii="Arial" w:eastAsia="Arial" w:hAnsi="Arial" w:cs="Arial"/>
          <w:sz w:val="24"/>
          <w:szCs w:val="24"/>
        </w:rPr>
      </w:pPr>
      <w:r>
        <w:rPr>
          <w:rFonts w:ascii="Arial" w:eastAsia="Arial" w:hAnsi="Arial" w:cs="Arial"/>
          <w:sz w:val="24"/>
          <w:szCs w:val="24"/>
        </w:rPr>
        <w:t xml:space="preserve">Guardian (2007). </w:t>
      </w:r>
      <w:r w:rsidRPr="00306917">
        <w:rPr>
          <w:rFonts w:ascii="Arial" w:eastAsia="Arial" w:hAnsi="Arial" w:cs="Arial"/>
          <w:sz w:val="24"/>
          <w:szCs w:val="24"/>
        </w:rPr>
        <w:t>Net finally falls on right man</w:t>
      </w:r>
      <w:r>
        <w:rPr>
          <w:rFonts w:ascii="Arial" w:eastAsia="Arial" w:hAnsi="Arial" w:cs="Arial"/>
          <w:sz w:val="24"/>
          <w:szCs w:val="24"/>
        </w:rPr>
        <w:t xml:space="preserve">. Available at: </w:t>
      </w:r>
      <w:hyperlink r:id="rId11">
        <w:r w:rsidRPr="19DFA773">
          <w:rPr>
            <w:rStyle w:val="Hyperlink"/>
            <w:rFonts w:ascii="Arial" w:eastAsia="Arial" w:hAnsi="Arial" w:cs="Arial"/>
            <w:sz w:val="24"/>
            <w:szCs w:val="24"/>
          </w:rPr>
          <w:t>https://www.theguardian.com/uk/2007/nov/12/ukcrime.martinwainwright</w:t>
        </w:r>
      </w:hyperlink>
      <w:r>
        <w:rPr>
          <w:rStyle w:val="Hyperlink"/>
          <w:rFonts w:ascii="Arial" w:eastAsia="Arial" w:hAnsi="Arial" w:cs="Arial"/>
          <w:sz w:val="24"/>
          <w:szCs w:val="24"/>
        </w:rPr>
        <w:t xml:space="preserve"> </w:t>
      </w:r>
    </w:p>
    <w:p w14:paraId="7FDEE0FE" w14:textId="77777777" w:rsidR="00306917" w:rsidRDefault="00306917" w:rsidP="00306917">
      <w:pPr>
        <w:rPr>
          <w:rStyle w:val="Hyperlink"/>
          <w:rFonts w:ascii="Arial" w:eastAsia="Arial" w:hAnsi="Arial" w:cs="Arial"/>
          <w:color w:val="auto"/>
          <w:sz w:val="24"/>
          <w:szCs w:val="24"/>
          <w:u w:val="none"/>
        </w:rPr>
      </w:pP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C3A9C43" w14:textId="77777777" w:rsidR="00306917" w:rsidRDefault="00306917" w:rsidP="00306917">
      <w:pPr>
        <w:rPr>
          <w:rFonts w:ascii="Arial" w:eastAsia="Arial" w:hAnsi="Arial" w:cs="Arial"/>
          <w:color w:val="222222"/>
          <w:sz w:val="24"/>
          <w:szCs w:val="24"/>
        </w:rPr>
      </w:pPr>
    </w:p>
    <w:p w14:paraId="402C575A" w14:textId="77777777" w:rsidR="00306917" w:rsidRDefault="00306917" w:rsidP="00306917">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Guardian (2019). </w:t>
      </w:r>
      <w:r w:rsidRPr="00306917">
        <w:rPr>
          <w:rFonts w:ascii="Arial" w:eastAsia="Arial" w:hAnsi="Arial" w:cs="Arial"/>
          <w:color w:val="000000" w:themeColor="text1"/>
          <w:sz w:val="24"/>
          <w:szCs w:val="24"/>
        </w:rPr>
        <w:t>Stop and search up by almost a third in England and Wales</w:t>
      </w:r>
      <w:r>
        <w:rPr>
          <w:rFonts w:ascii="Arial" w:eastAsia="Arial" w:hAnsi="Arial" w:cs="Arial"/>
          <w:color w:val="000000" w:themeColor="text1"/>
          <w:sz w:val="24"/>
          <w:szCs w:val="24"/>
        </w:rPr>
        <w:t xml:space="preserve">. Available at:  </w:t>
      </w:r>
      <w:hyperlink r:id="rId12" w:history="1">
        <w:r w:rsidRPr="00C2463F">
          <w:rPr>
            <w:rStyle w:val="Hyperlink"/>
            <w:rFonts w:ascii="Arial" w:eastAsia="Arial" w:hAnsi="Arial" w:cs="Arial"/>
            <w:sz w:val="24"/>
            <w:szCs w:val="24"/>
          </w:rPr>
          <w:t>https://www.theguardian.com/law/2019/oct/24/stop-and-search-up-by-almost-a-third-in-england-and-wales</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1969D07D" w14:textId="1A79728D" w:rsidR="00306917" w:rsidRDefault="00306917" w:rsidP="00306917">
      <w:pPr>
        <w:rPr>
          <w:rFonts w:ascii="Arial" w:eastAsia="Arial" w:hAnsi="Arial" w:cs="Arial"/>
          <w:color w:val="000000" w:themeColor="text1"/>
          <w:sz w:val="24"/>
          <w:szCs w:val="24"/>
        </w:rPr>
      </w:pPr>
    </w:p>
    <w:p w14:paraId="31181324" w14:textId="39DF0D94" w:rsidR="00DF0EB0" w:rsidRDefault="00DF0EB0" w:rsidP="00DF0EB0">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Hall, N. and Grieve, J. and Savage, S. (2009). </w:t>
      </w:r>
      <w:r w:rsidRPr="00DF0EB0">
        <w:rPr>
          <w:rFonts w:ascii="Arial" w:eastAsia="Arial" w:hAnsi="Arial" w:cs="Arial"/>
          <w:i/>
          <w:color w:val="000000" w:themeColor="text1"/>
          <w:sz w:val="24"/>
          <w:szCs w:val="24"/>
        </w:rPr>
        <w:t>Policing and the Legacy of Lawrence</w:t>
      </w:r>
      <w:r>
        <w:rPr>
          <w:rFonts w:ascii="Arial" w:eastAsia="Arial" w:hAnsi="Arial" w:cs="Arial"/>
          <w:color w:val="000000" w:themeColor="text1"/>
          <w:sz w:val="24"/>
          <w:szCs w:val="24"/>
        </w:rPr>
        <w:t>. Devon: Willan Publishing</w:t>
      </w:r>
    </w:p>
    <w:p w14:paraId="61E70471" w14:textId="77777777" w:rsidR="00306917" w:rsidRDefault="00306917" w:rsidP="00306917">
      <w:pPr>
        <w:rPr>
          <w:rFonts w:ascii="Arial" w:eastAsia="Arial" w:hAnsi="Arial" w:cs="Arial"/>
          <w:color w:val="000000" w:themeColor="text1"/>
          <w:sz w:val="24"/>
          <w:szCs w:val="24"/>
        </w:rPr>
      </w:pPr>
    </w:p>
    <w:p w14:paraId="308C7253" w14:textId="54C7FF6E" w:rsidR="007A725F" w:rsidRDefault="007A725F" w:rsidP="007A725F">
      <w:pPr>
        <w:rPr>
          <w:rStyle w:val="Hyperlink"/>
          <w:rFonts w:ascii="Arial" w:eastAsia="Arial" w:hAnsi="Arial" w:cs="Arial"/>
          <w:color w:val="auto"/>
          <w:sz w:val="24"/>
          <w:szCs w:val="24"/>
          <w:u w:val="none"/>
        </w:rPr>
      </w:pPr>
      <w:r>
        <w:rPr>
          <w:rStyle w:val="Hyperlink"/>
          <w:rFonts w:ascii="Arial" w:eastAsia="Arial" w:hAnsi="Arial" w:cs="Arial"/>
          <w:color w:val="000000" w:themeColor="text1"/>
          <w:sz w:val="24"/>
          <w:szCs w:val="24"/>
          <w:u w:val="none"/>
        </w:rPr>
        <w:t xml:space="preserve">Home Office (1997). PACE ten years on. Research Study 155. Available at: </w:t>
      </w:r>
      <w:hyperlink r:id="rId13" w:history="1">
        <w:r w:rsidRPr="00C2463F">
          <w:rPr>
            <w:rStyle w:val="Hyperlink"/>
            <w:rFonts w:ascii="Arial" w:eastAsia="Arial" w:hAnsi="Arial" w:cs="Arial"/>
            <w:sz w:val="24"/>
            <w:szCs w:val="24"/>
          </w:rPr>
          <w:t>http://library.college.police.uk/docs/hors/hors155.pdf</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4F42E7EB" w14:textId="77777777" w:rsidR="007A725F" w:rsidRDefault="007A725F" w:rsidP="007A725F">
      <w:pPr>
        <w:rPr>
          <w:rStyle w:val="Hyperlink"/>
          <w:rFonts w:ascii="Arial" w:eastAsia="Arial" w:hAnsi="Arial" w:cs="Arial"/>
          <w:color w:val="auto"/>
          <w:sz w:val="24"/>
          <w:szCs w:val="24"/>
          <w:u w:val="none"/>
        </w:rPr>
      </w:pPr>
    </w:p>
    <w:p w14:paraId="3F6894F5" w14:textId="70736971" w:rsidR="007A725F" w:rsidRDefault="007A725F" w:rsidP="007A725F">
      <w:pPr>
        <w:rPr>
          <w:rStyle w:val="Hyperlink"/>
          <w:rFonts w:ascii="Arial" w:eastAsia="Arial" w:hAnsi="Arial" w:cs="Arial"/>
          <w:color w:val="auto"/>
          <w:sz w:val="24"/>
          <w:szCs w:val="24"/>
          <w:u w:val="none"/>
        </w:rPr>
      </w:pPr>
      <w:r w:rsidRPr="00510C29">
        <w:rPr>
          <w:rFonts w:ascii="Arial" w:eastAsia="Arial" w:hAnsi="Arial" w:cs="Arial"/>
          <w:color w:val="000000" w:themeColor="text1"/>
          <w:sz w:val="24"/>
          <w:szCs w:val="24"/>
        </w:rPr>
        <w:t>Independent (2008).</w:t>
      </w:r>
      <w:r>
        <w:rPr>
          <w:rFonts w:ascii="Arial" w:eastAsia="Arial" w:hAnsi="Arial" w:cs="Arial"/>
          <w:color w:val="000000" w:themeColor="text1"/>
          <w:sz w:val="24"/>
          <w:szCs w:val="24"/>
        </w:rPr>
        <w:t xml:space="preserve"> </w:t>
      </w:r>
      <w:r w:rsidRPr="007A725F">
        <w:rPr>
          <w:rFonts w:ascii="Arial" w:eastAsia="Arial" w:hAnsi="Arial" w:cs="Arial"/>
          <w:color w:val="000000" w:themeColor="text1"/>
          <w:sz w:val="24"/>
          <w:szCs w:val="24"/>
        </w:rPr>
        <w:t>Rachel: Police honey trap put wrong man in dock</w:t>
      </w:r>
      <w:r>
        <w:rPr>
          <w:rFonts w:ascii="Arial" w:eastAsia="Arial" w:hAnsi="Arial" w:cs="Arial"/>
          <w:color w:val="000000" w:themeColor="text1"/>
          <w:sz w:val="24"/>
          <w:szCs w:val="24"/>
        </w:rPr>
        <w:t>. Available at:</w:t>
      </w:r>
      <w:r w:rsidRPr="00510C29">
        <w:rPr>
          <w:rFonts w:ascii="Arial" w:eastAsia="Arial" w:hAnsi="Arial" w:cs="Arial"/>
          <w:color w:val="000000" w:themeColor="text1"/>
          <w:sz w:val="24"/>
          <w:szCs w:val="24"/>
        </w:rPr>
        <w:t xml:space="preserve"> </w:t>
      </w:r>
      <w:hyperlink r:id="rId14" w:history="1">
        <w:r w:rsidRPr="00510C29">
          <w:rPr>
            <w:rStyle w:val="Hyperlink"/>
            <w:rFonts w:ascii="Arial" w:eastAsia="Arial" w:hAnsi="Arial" w:cs="Arial"/>
            <w:sz w:val="24"/>
            <w:szCs w:val="24"/>
          </w:rPr>
          <w:t>https://www.independent.co.uk/news/uk/crime/rachel-police-honey-trap-put-wrong-man-in-dock-1203061.html</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16A11681" w14:textId="77777777" w:rsidR="007A725F" w:rsidRDefault="007A725F" w:rsidP="007A725F">
      <w:pPr>
        <w:rPr>
          <w:rStyle w:val="Hyperlink"/>
          <w:rFonts w:ascii="Arial" w:eastAsia="Arial" w:hAnsi="Arial" w:cs="Arial"/>
          <w:color w:val="auto"/>
          <w:sz w:val="24"/>
          <w:szCs w:val="24"/>
          <w:u w:val="none"/>
        </w:rPr>
      </w:pPr>
    </w:p>
    <w:p w14:paraId="4547855B" w14:textId="5CA8BAA7" w:rsidR="009C3AD4" w:rsidRPr="009C3AD4" w:rsidRDefault="009C3AD4" w:rsidP="009C3AD4">
      <w:pPr>
        <w:rPr>
          <w:rFonts w:ascii="Arial" w:hAnsi="Arial" w:cs="Arial"/>
          <w:sz w:val="24"/>
          <w:szCs w:val="24"/>
        </w:rPr>
      </w:pPr>
      <w:r w:rsidRPr="19DFA773">
        <w:rPr>
          <w:rFonts w:ascii="Arial" w:hAnsi="Arial" w:cs="Arial"/>
          <w:sz w:val="24"/>
          <w:szCs w:val="24"/>
        </w:rPr>
        <w:t>Johnston, T.E.St (1966).</w:t>
      </w:r>
      <w:r>
        <w:rPr>
          <w:rFonts w:ascii="Arial" w:hAnsi="Arial" w:cs="Arial"/>
          <w:sz w:val="24"/>
          <w:szCs w:val="24"/>
        </w:rPr>
        <w:t xml:space="preserve"> ‘</w:t>
      </w:r>
      <w:r w:rsidRPr="009C3AD4">
        <w:rPr>
          <w:rFonts w:ascii="Arial" w:hAnsi="Arial" w:cs="Arial"/>
          <w:sz w:val="24"/>
          <w:szCs w:val="24"/>
        </w:rPr>
        <w:t>Judges' Rules and Police Interrogation in England</w:t>
      </w:r>
    </w:p>
    <w:p w14:paraId="3CE90F7B" w14:textId="4CBDE836" w:rsidR="007A725F" w:rsidRDefault="009C3AD4" w:rsidP="009C3AD4">
      <w:pPr>
        <w:rPr>
          <w:rStyle w:val="Hyperlink"/>
          <w:rFonts w:ascii="Arial" w:eastAsia="Arial" w:hAnsi="Arial" w:cs="Arial"/>
          <w:color w:val="auto"/>
          <w:sz w:val="24"/>
          <w:szCs w:val="24"/>
          <w:u w:val="none"/>
        </w:rPr>
      </w:pPr>
      <w:r w:rsidRPr="009C3AD4">
        <w:rPr>
          <w:rFonts w:ascii="Arial" w:hAnsi="Arial" w:cs="Arial"/>
          <w:sz w:val="24"/>
          <w:szCs w:val="24"/>
        </w:rPr>
        <w:t>Today</w:t>
      </w:r>
      <w:r>
        <w:rPr>
          <w:rFonts w:ascii="Arial" w:hAnsi="Arial" w:cs="Arial"/>
          <w:sz w:val="24"/>
          <w:szCs w:val="24"/>
        </w:rPr>
        <w:t xml:space="preserve">’. </w:t>
      </w:r>
      <w:r>
        <w:rPr>
          <w:rFonts w:ascii="Arial" w:hAnsi="Arial" w:cs="Arial"/>
          <w:i/>
          <w:sz w:val="24"/>
          <w:szCs w:val="24"/>
        </w:rPr>
        <w:t xml:space="preserve">Journal of Criminal law and Criminology. </w:t>
      </w:r>
      <w:r>
        <w:rPr>
          <w:rFonts w:ascii="Arial" w:hAnsi="Arial" w:cs="Arial"/>
          <w:sz w:val="24"/>
          <w:szCs w:val="24"/>
        </w:rPr>
        <w:t xml:space="preserve">57(1), pp. 85-92. Available at: </w:t>
      </w:r>
      <w:hyperlink r:id="rId15">
        <w:r w:rsidRPr="19DFA773">
          <w:rPr>
            <w:rStyle w:val="Hyperlink"/>
            <w:rFonts w:ascii="Arial" w:eastAsia="Arial" w:hAnsi="Arial" w:cs="Arial"/>
            <w:sz w:val="24"/>
            <w:szCs w:val="24"/>
          </w:rPr>
          <w:t>https://scholarlycommons.law.northwestern.edu/cgi/viewcontent.cgi?article=5358&amp;context=jclc</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4A1C2E1" w14:textId="77777777" w:rsidR="009C3AD4" w:rsidRDefault="009C3AD4" w:rsidP="009C3AD4">
      <w:pPr>
        <w:rPr>
          <w:rStyle w:val="Hyperlink"/>
          <w:rFonts w:ascii="Arial" w:eastAsia="Arial" w:hAnsi="Arial" w:cs="Arial"/>
          <w:color w:val="auto"/>
          <w:sz w:val="24"/>
          <w:szCs w:val="24"/>
          <w:u w:val="none"/>
        </w:rPr>
      </w:pPr>
    </w:p>
    <w:p w14:paraId="196C20CC" w14:textId="108DC6B0" w:rsidR="009C3AD4" w:rsidRDefault="00CE6272" w:rsidP="009C3AD4">
      <w:pPr>
        <w:rPr>
          <w:rStyle w:val="Hyperlink"/>
          <w:rFonts w:ascii="Arial" w:eastAsia="Arial" w:hAnsi="Arial" w:cs="Arial"/>
          <w:color w:val="auto"/>
          <w:sz w:val="24"/>
          <w:szCs w:val="24"/>
          <w:u w:val="none"/>
        </w:rPr>
      </w:pPr>
      <w:r w:rsidRPr="19DFA773">
        <w:rPr>
          <w:rFonts w:ascii="Arial" w:eastAsia="Arial" w:hAnsi="Arial" w:cs="Arial"/>
          <w:sz w:val="24"/>
          <w:szCs w:val="24"/>
        </w:rPr>
        <w:t>McBarnet, D. (1981).</w:t>
      </w:r>
      <w:r>
        <w:rPr>
          <w:rFonts w:ascii="Arial" w:eastAsia="Arial" w:hAnsi="Arial" w:cs="Arial"/>
          <w:sz w:val="24"/>
          <w:szCs w:val="24"/>
        </w:rPr>
        <w:t xml:space="preserve"> ‘</w:t>
      </w:r>
      <w:r w:rsidRPr="19DFA773">
        <w:rPr>
          <w:rFonts w:ascii="Arial" w:eastAsia="Arial" w:hAnsi="Arial" w:cs="Arial"/>
          <w:sz w:val="24"/>
          <w:szCs w:val="24"/>
        </w:rPr>
        <w:t>THE ROYAL COMMISSION AND THE JUDGES' RULES</w:t>
      </w:r>
      <w:r>
        <w:rPr>
          <w:rFonts w:ascii="Arial" w:eastAsia="Arial" w:hAnsi="Arial" w:cs="Arial"/>
          <w:sz w:val="24"/>
          <w:szCs w:val="24"/>
        </w:rPr>
        <w:t xml:space="preserve">’. </w:t>
      </w:r>
      <w:r>
        <w:rPr>
          <w:rFonts w:ascii="Arial" w:eastAsia="Arial" w:hAnsi="Arial" w:cs="Arial"/>
          <w:i/>
          <w:sz w:val="24"/>
          <w:szCs w:val="24"/>
        </w:rPr>
        <w:t>British Journal</w:t>
      </w:r>
      <w:r w:rsidR="00097013">
        <w:rPr>
          <w:rFonts w:ascii="Arial" w:eastAsia="Arial" w:hAnsi="Arial" w:cs="Arial"/>
          <w:i/>
          <w:sz w:val="24"/>
          <w:szCs w:val="24"/>
        </w:rPr>
        <w:t xml:space="preserve"> of Law &amp; Society. </w:t>
      </w:r>
      <w:r w:rsidR="00097013">
        <w:rPr>
          <w:rFonts w:ascii="Arial" w:eastAsia="Arial" w:hAnsi="Arial" w:cs="Arial"/>
          <w:sz w:val="24"/>
          <w:szCs w:val="24"/>
        </w:rPr>
        <w:t xml:space="preserve">8(1). Available at: </w:t>
      </w:r>
      <w:hyperlink r:id="rId16">
        <w:r w:rsidR="00097013" w:rsidRPr="19DFA773">
          <w:rPr>
            <w:rStyle w:val="Hyperlink"/>
            <w:rFonts w:ascii="Arial" w:eastAsia="Arial" w:hAnsi="Arial" w:cs="Arial"/>
            <w:sz w:val="24"/>
            <w:szCs w:val="24"/>
          </w:rPr>
          <w:t>https://www-jstor-</w:t>
        </w:r>
        <w:r w:rsidR="00097013" w:rsidRPr="19DFA773">
          <w:rPr>
            <w:rStyle w:val="Hyperlink"/>
            <w:rFonts w:ascii="Arial" w:eastAsia="Arial" w:hAnsi="Arial" w:cs="Arial"/>
            <w:sz w:val="24"/>
            <w:szCs w:val="24"/>
          </w:rPr>
          <w:lastRenderedPageBreak/>
          <w:t>org.ezproxy.uwtsd.ac.uk/stable/pdf/1409837.pdf?refreqid=excelsior%3A02dfdee10d74920b611421d743f8d2b4</w:t>
        </w:r>
      </w:hyperlink>
      <w:r w:rsidR="00097013">
        <w:rPr>
          <w:rStyle w:val="Hyperlink"/>
          <w:rFonts w:ascii="Arial" w:eastAsia="Arial" w:hAnsi="Arial" w:cs="Arial"/>
          <w:sz w:val="24"/>
          <w:szCs w:val="24"/>
        </w:rPr>
        <w:t xml:space="preserve"> </w:t>
      </w:r>
      <w:r>
        <w:rPr>
          <w:rFonts w:ascii="Arial" w:eastAsia="Arial" w:hAnsi="Arial" w:cs="Arial"/>
          <w:i/>
          <w:sz w:val="24"/>
          <w:szCs w:val="24"/>
        </w:rPr>
        <w:t xml:space="preserve"> </w:t>
      </w:r>
      <w:r w:rsidR="00097013" w:rsidRPr="008D2D6D">
        <w:rPr>
          <w:rStyle w:val="Hyperlink"/>
          <w:rFonts w:ascii="Arial" w:eastAsia="Arial" w:hAnsi="Arial" w:cs="Arial"/>
          <w:color w:val="auto"/>
          <w:sz w:val="24"/>
          <w:szCs w:val="24"/>
          <w:u w:val="none"/>
        </w:rPr>
        <w:t>(Accessed</w:t>
      </w:r>
      <w:r w:rsidR="00097013">
        <w:rPr>
          <w:rStyle w:val="Hyperlink"/>
          <w:rFonts w:ascii="Arial" w:eastAsia="Arial" w:hAnsi="Arial" w:cs="Arial"/>
          <w:color w:val="auto"/>
          <w:sz w:val="24"/>
          <w:szCs w:val="24"/>
          <w:u w:val="none"/>
        </w:rPr>
        <w:t xml:space="preserve"> 31st October 2019).</w:t>
      </w:r>
    </w:p>
    <w:p w14:paraId="00B3E611" w14:textId="77777777" w:rsidR="00097013" w:rsidRDefault="00097013" w:rsidP="009C3AD4">
      <w:pPr>
        <w:rPr>
          <w:rStyle w:val="Hyperlink"/>
          <w:rFonts w:ascii="Arial" w:eastAsia="Arial" w:hAnsi="Arial" w:cs="Arial"/>
          <w:color w:val="auto"/>
          <w:sz w:val="24"/>
          <w:szCs w:val="24"/>
          <w:u w:val="none"/>
        </w:rPr>
      </w:pPr>
    </w:p>
    <w:p w14:paraId="62691E15" w14:textId="17957636" w:rsidR="00097013" w:rsidRPr="00097013" w:rsidRDefault="00097013" w:rsidP="00097013">
      <w:pPr>
        <w:rPr>
          <w:rFonts w:ascii="Arial" w:hAnsi="Arial" w:cs="Arial"/>
          <w:sz w:val="24"/>
          <w:szCs w:val="24"/>
        </w:rPr>
      </w:pPr>
      <w:r>
        <w:rPr>
          <w:rFonts w:ascii="Arial" w:hAnsi="Arial" w:cs="Arial"/>
          <w:sz w:val="24"/>
          <w:szCs w:val="24"/>
        </w:rPr>
        <w:t>Quirk, H and Requa, M (2012). ‘</w:t>
      </w:r>
      <w:r w:rsidRPr="00097013">
        <w:rPr>
          <w:rFonts w:ascii="Arial" w:hAnsi="Arial" w:cs="Arial"/>
          <w:sz w:val="24"/>
          <w:szCs w:val="24"/>
        </w:rPr>
        <w:t>The Supreme Court on Compensation for Miscarriages of Justice: Is it better that ten</w:t>
      </w:r>
    </w:p>
    <w:p w14:paraId="2069496E" w14:textId="16BBB0E4" w:rsidR="00097013" w:rsidRDefault="00097013" w:rsidP="00097013">
      <w:pPr>
        <w:rPr>
          <w:rStyle w:val="Hyperlink"/>
          <w:rFonts w:ascii="Arial" w:eastAsia="Arial" w:hAnsi="Arial" w:cs="Arial"/>
          <w:color w:val="auto"/>
          <w:sz w:val="24"/>
          <w:szCs w:val="24"/>
          <w:u w:val="none"/>
        </w:rPr>
      </w:pPr>
      <w:r w:rsidRPr="00097013">
        <w:rPr>
          <w:rFonts w:ascii="Arial" w:hAnsi="Arial" w:cs="Arial"/>
          <w:sz w:val="24"/>
          <w:szCs w:val="24"/>
        </w:rPr>
        <w:t>innocents are denied compensation than one guilty person receives it?</w:t>
      </w:r>
      <w:r>
        <w:rPr>
          <w:rFonts w:ascii="Arial" w:hAnsi="Arial" w:cs="Arial"/>
          <w:sz w:val="24"/>
          <w:szCs w:val="24"/>
        </w:rPr>
        <w:t xml:space="preserve">’. </w:t>
      </w:r>
      <w:r>
        <w:rPr>
          <w:rFonts w:ascii="Arial" w:hAnsi="Arial" w:cs="Arial"/>
          <w:i/>
          <w:sz w:val="24"/>
          <w:szCs w:val="24"/>
        </w:rPr>
        <w:t xml:space="preserve">Modern Law Review. </w:t>
      </w:r>
      <w:r>
        <w:rPr>
          <w:rFonts w:ascii="Arial" w:hAnsi="Arial" w:cs="Arial"/>
          <w:sz w:val="24"/>
          <w:szCs w:val="24"/>
        </w:rPr>
        <w:t xml:space="preserve">75(3). Available at: </w:t>
      </w:r>
      <w:hyperlink r:id="rId17" w:history="1">
        <w:r w:rsidRPr="0043712F">
          <w:rPr>
            <w:rStyle w:val="Hyperlink"/>
            <w:rFonts w:ascii="Arial" w:hAnsi="Arial" w:cs="Arial"/>
            <w:sz w:val="24"/>
            <w:szCs w:val="24"/>
          </w:rPr>
          <w:t>https://www-jstor-org.ezproxy.uwtsd.ac.uk/stable/pdf/41682857.pdf?refreqid=excelsior%3A18ca30276b2094903325b5ee905ff64c</w:t>
        </w:r>
      </w:hyperlink>
      <w:r>
        <w:rPr>
          <w:rStyle w:val="Hyperlink"/>
          <w:rFonts w:ascii="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397DD400" w14:textId="77777777" w:rsidR="00097013" w:rsidRDefault="00097013" w:rsidP="00097013">
      <w:pPr>
        <w:rPr>
          <w:rStyle w:val="Hyperlink"/>
          <w:rFonts w:ascii="Arial" w:eastAsia="Arial" w:hAnsi="Arial" w:cs="Arial"/>
          <w:color w:val="auto"/>
          <w:sz w:val="24"/>
          <w:szCs w:val="24"/>
          <w:u w:val="none"/>
        </w:rPr>
      </w:pPr>
    </w:p>
    <w:p w14:paraId="2D78B652" w14:textId="77777777" w:rsidR="00097013" w:rsidRPr="00097013" w:rsidRDefault="00097013" w:rsidP="00097013">
      <w:pPr>
        <w:rPr>
          <w:rFonts w:ascii="Arial" w:eastAsia="Arial" w:hAnsi="Arial" w:cs="Arial"/>
          <w:color w:val="000000" w:themeColor="text1"/>
          <w:sz w:val="24"/>
          <w:szCs w:val="24"/>
        </w:rPr>
      </w:pPr>
      <w:r>
        <w:rPr>
          <w:rFonts w:ascii="Arial" w:eastAsia="Arial" w:hAnsi="Arial" w:cs="Arial"/>
          <w:color w:val="000000" w:themeColor="text1"/>
          <w:sz w:val="24"/>
          <w:szCs w:val="24"/>
        </w:rPr>
        <w:t>Savage, S, and Grieve, J, and Poyser, S. (2007). ‘</w:t>
      </w:r>
      <w:r w:rsidRPr="00097013">
        <w:rPr>
          <w:rFonts w:ascii="Arial" w:eastAsia="Arial" w:hAnsi="Arial" w:cs="Arial"/>
          <w:color w:val="000000" w:themeColor="text1"/>
          <w:sz w:val="24"/>
          <w:szCs w:val="24"/>
        </w:rPr>
        <w:t>Putting wrongs to right:</w:t>
      </w:r>
    </w:p>
    <w:p w14:paraId="2B3ACE2E" w14:textId="7D1261B2" w:rsidR="00097013" w:rsidRDefault="00097013" w:rsidP="00097013">
      <w:pPr>
        <w:rPr>
          <w:rFonts w:ascii="Arial" w:eastAsia="Arial" w:hAnsi="Arial" w:cs="Arial"/>
          <w:color w:val="000000" w:themeColor="text1"/>
          <w:sz w:val="24"/>
          <w:szCs w:val="24"/>
        </w:rPr>
      </w:pPr>
      <w:r w:rsidRPr="00097013">
        <w:rPr>
          <w:rFonts w:ascii="Arial" w:eastAsia="Arial" w:hAnsi="Arial" w:cs="Arial"/>
          <w:color w:val="000000" w:themeColor="text1"/>
          <w:sz w:val="24"/>
          <w:szCs w:val="24"/>
        </w:rPr>
        <w:t>Campaigns against miscarriages of justice</w:t>
      </w:r>
      <w:r>
        <w:rPr>
          <w:rFonts w:ascii="Arial" w:eastAsia="Arial" w:hAnsi="Arial" w:cs="Arial"/>
          <w:color w:val="000000" w:themeColor="text1"/>
          <w:sz w:val="24"/>
          <w:szCs w:val="24"/>
        </w:rPr>
        <w:t xml:space="preserve">’.  </w:t>
      </w:r>
      <w:r>
        <w:rPr>
          <w:rFonts w:ascii="Arial" w:eastAsia="Arial" w:hAnsi="Arial" w:cs="Arial"/>
          <w:i/>
          <w:color w:val="000000" w:themeColor="text1"/>
          <w:sz w:val="24"/>
          <w:szCs w:val="24"/>
        </w:rPr>
        <w:t xml:space="preserve">Criminology and Criminal Justice. </w:t>
      </w:r>
      <w:r>
        <w:rPr>
          <w:rFonts w:ascii="Arial" w:eastAsia="Arial" w:hAnsi="Arial" w:cs="Arial"/>
          <w:color w:val="000000" w:themeColor="text1"/>
          <w:sz w:val="24"/>
          <w:szCs w:val="24"/>
        </w:rPr>
        <w:t xml:space="preserve">7(1), pp. 83-105. Available at: </w:t>
      </w:r>
      <w:hyperlink r:id="rId18" w:history="1">
        <w:r w:rsidRPr="00D80459">
          <w:rPr>
            <w:rStyle w:val="Hyperlink"/>
            <w:rFonts w:ascii="Arial" w:eastAsia="Arial" w:hAnsi="Arial" w:cs="Arial"/>
            <w:sz w:val="24"/>
            <w:szCs w:val="24"/>
          </w:rPr>
          <w:t>https://journals-sagepub-com.ezproxy.uwtsd.ac.uk/doi/pdf/10.1177/1748895807072477</w:t>
        </w:r>
      </w:hyperlink>
      <w:r>
        <w:rPr>
          <w:rFonts w:ascii="Arial" w:eastAsia="Arial" w:hAnsi="Arial" w:cs="Arial"/>
          <w:color w:val="000000" w:themeColor="text1"/>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26B00BD" w14:textId="77777777" w:rsidR="00097013" w:rsidRPr="00097013" w:rsidRDefault="00097013" w:rsidP="00097013">
      <w:pPr>
        <w:rPr>
          <w:rFonts w:ascii="Arial" w:hAnsi="Arial" w:cs="Arial"/>
          <w:sz w:val="24"/>
          <w:szCs w:val="24"/>
        </w:rPr>
      </w:pPr>
    </w:p>
    <w:p w14:paraId="1901A5F1" w14:textId="76B417AC" w:rsidR="00097013" w:rsidRDefault="00097013" w:rsidP="00097013">
      <w:pPr>
        <w:rPr>
          <w:rFonts w:ascii="Arial" w:hAnsi="Arial" w:cs="Arial"/>
          <w:sz w:val="24"/>
          <w:szCs w:val="24"/>
        </w:rPr>
      </w:pPr>
      <w:r w:rsidRPr="00097013">
        <w:rPr>
          <w:rFonts w:ascii="Arial" w:hAnsi="Arial" w:cs="Arial"/>
          <w:sz w:val="24"/>
          <w:szCs w:val="24"/>
        </w:rPr>
        <w:cr/>
      </w:r>
      <w:r>
        <w:rPr>
          <w:rFonts w:ascii="Arial" w:hAnsi="Arial" w:cs="Arial"/>
          <w:sz w:val="24"/>
          <w:szCs w:val="24"/>
        </w:rPr>
        <w:t xml:space="preserve">UK Government. </w:t>
      </w:r>
      <w:r w:rsidRPr="00097013">
        <w:rPr>
          <w:rFonts w:ascii="Arial" w:hAnsi="Arial" w:cs="Arial"/>
          <w:sz w:val="24"/>
          <w:szCs w:val="24"/>
        </w:rPr>
        <w:t>Police and Criminal Evidence Act 1984 (PACE) codes of practice</w:t>
      </w:r>
      <w:r>
        <w:rPr>
          <w:rFonts w:ascii="Arial" w:hAnsi="Arial" w:cs="Arial"/>
          <w:sz w:val="24"/>
          <w:szCs w:val="24"/>
        </w:rPr>
        <w:t xml:space="preserve">. Available at: </w:t>
      </w:r>
      <w:hyperlink r:id="rId19" w:anchor="pace-codes-of-practice" w:history="1">
        <w:r w:rsidRPr="00D80459">
          <w:rPr>
            <w:rStyle w:val="Hyperlink"/>
            <w:rFonts w:ascii="Arial" w:hAnsi="Arial" w:cs="Arial"/>
            <w:sz w:val="24"/>
            <w:szCs w:val="24"/>
          </w:rPr>
          <w:t>https://www.gov.uk/guidance/police-and-criminal-evidence-act-1984-pace-codes-of-practice#pace-codes-of-practice</w:t>
        </w:r>
      </w:hyperlink>
      <w:r>
        <w:rPr>
          <w:rFonts w:ascii="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6C2A2EF" w14:textId="77777777" w:rsidR="00097013" w:rsidRDefault="00097013" w:rsidP="00097013">
      <w:pPr>
        <w:rPr>
          <w:rFonts w:ascii="Arial" w:eastAsia="Arial" w:hAnsi="Arial" w:cs="Arial"/>
          <w:color w:val="000000" w:themeColor="text1"/>
          <w:sz w:val="24"/>
          <w:szCs w:val="24"/>
        </w:rPr>
      </w:pPr>
    </w:p>
    <w:p w14:paraId="1CD71DA7" w14:textId="77777777" w:rsidR="007A725F" w:rsidRDefault="007A725F" w:rsidP="007A725F">
      <w:pPr>
        <w:rPr>
          <w:rStyle w:val="Hyperlink"/>
          <w:rFonts w:ascii="Arial" w:eastAsia="Arial" w:hAnsi="Arial" w:cs="Arial"/>
          <w:color w:val="000000" w:themeColor="text1"/>
          <w:sz w:val="24"/>
          <w:szCs w:val="24"/>
          <w:u w:val="none"/>
        </w:rPr>
      </w:pPr>
    </w:p>
    <w:p w14:paraId="246A641D" w14:textId="77777777" w:rsidR="00306917" w:rsidRDefault="00306917" w:rsidP="00306917">
      <w:pPr>
        <w:rPr>
          <w:rFonts w:ascii="Arial" w:eastAsia="Arial" w:hAnsi="Arial" w:cs="Arial"/>
          <w:color w:val="222222"/>
          <w:sz w:val="24"/>
          <w:szCs w:val="24"/>
        </w:rPr>
      </w:pPr>
    </w:p>
    <w:p w14:paraId="0D19A8AF" w14:textId="77777777" w:rsidR="003C7757" w:rsidRDefault="003C7757" w:rsidP="003C7757">
      <w:pPr>
        <w:rPr>
          <w:rFonts w:ascii="Arial" w:eastAsia="Arial" w:hAnsi="Arial" w:cs="Arial"/>
          <w:color w:val="000000" w:themeColor="text1"/>
          <w:sz w:val="24"/>
          <w:szCs w:val="24"/>
        </w:rPr>
      </w:pPr>
    </w:p>
    <w:p w14:paraId="48959947" w14:textId="77777777" w:rsidR="00B74241" w:rsidRPr="00BE714B" w:rsidRDefault="00B74241" w:rsidP="008D2D6D">
      <w:pPr>
        <w:rPr>
          <w:rFonts w:ascii="Arial" w:eastAsia="Arial" w:hAnsi="Arial" w:cs="Arial"/>
          <w:sz w:val="24"/>
          <w:szCs w:val="24"/>
        </w:rPr>
      </w:pPr>
    </w:p>
    <w:p w14:paraId="71630349" w14:textId="77777777" w:rsidR="008D2D6D" w:rsidRDefault="008D2D6D" w:rsidP="008D2D6D">
      <w:pPr>
        <w:rPr>
          <w:rFonts w:ascii="Arial" w:eastAsia="Arial" w:hAnsi="Arial" w:cs="Arial"/>
          <w:color w:val="000000" w:themeColor="text1"/>
          <w:sz w:val="24"/>
          <w:szCs w:val="24"/>
        </w:rPr>
      </w:pPr>
    </w:p>
    <w:p w14:paraId="58845C34" w14:textId="77777777" w:rsidR="008D2D6D" w:rsidRDefault="008D2D6D" w:rsidP="4C83E531">
      <w:pPr>
        <w:rPr>
          <w:rFonts w:ascii="Arial" w:eastAsia="Arial" w:hAnsi="Arial" w:cs="Arial"/>
          <w:sz w:val="24"/>
          <w:szCs w:val="24"/>
        </w:rPr>
      </w:pPr>
    </w:p>
    <w:sectPr w:rsidR="008D2D6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8C466" w14:textId="77777777" w:rsidR="0063766B" w:rsidRDefault="0063766B" w:rsidP="00790414">
      <w:r>
        <w:separator/>
      </w:r>
    </w:p>
  </w:endnote>
  <w:endnote w:type="continuationSeparator" w:id="0">
    <w:p w14:paraId="4E5D2AD6" w14:textId="77777777" w:rsidR="0063766B" w:rsidRDefault="0063766B" w:rsidP="00790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Yu Mincho">
    <w:altName w:val="MS Gothic"/>
    <w:charset w:val="80"/>
    <w:family w:val="roman"/>
    <w:pitch w:val="variable"/>
    <w:sig w:usb0="00000000"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D2865" w14:textId="77777777" w:rsidR="0063766B" w:rsidRDefault="0063766B" w:rsidP="00790414">
      <w:r>
        <w:separator/>
      </w:r>
    </w:p>
  </w:footnote>
  <w:footnote w:type="continuationSeparator" w:id="0">
    <w:p w14:paraId="551058BD" w14:textId="77777777" w:rsidR="0063766B" w:rsidRDefault="0063766B" w:rsidP="00790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52BDC" w14:textId="17319702" w:rsidR="00790414" w:rsidRDefault="00790414">
    <w:pPr>
      <w:pStyle w:val="Header"/>
    </w:pPr>
    <w:r>
      <w:t>Daniel Davies</w:t>
    </w:r>
    <w:r>
      <w:tab/>
      <w:t>1801063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B5"/>
    <w:rsid w:val="00002F82"/>
    <w:rsid w:val="00005239"/>
    <w:rsid w:val="00010BF8"/>
    <w:rsid w:val="00017064"/>
    <w:rsid w:val="000364DA"/>
    <w:rsid w:val="00055D30"/>
    <w:rsid w:val="00061A8D"/>
    <w:rsid w:val="00063094"/>
    <w:rsid w:val="00074DBA"/>
    <w:rsid w:val="000764A4"/>
    <w:rsid w:val="00080F66"/>
    <w:rsid w:val="00082BAD"/>
    <w:rsid w:val="00097013"/>
    <w:rsid w:val="000D4635"/>
    <w:rsid w:val="000D4A7B"/>
    <w:rsid w:val="000D5937"/>
    <w:rsid w:val="000E4538"/>
    <w:rsid w:val="000E732C"/>
    <w:rsid w:val="000F172C"/>
    <w:rsid w:val="000F43D1"/>
    <w:rsid w:val="00104997"/>
    <w:rsid w:val="001072A8"/>
    <w:rsid w:val="001119A4"/>
    <w:rsid w:val="001233F6"/>
    <w:rsid w:val="00123AC7"/>
    <w:rsid w:val="0013400F"/>
    <w:rsid w:val="0013466A"/>
    <w:rsid w:val="00143697"/>
    <w:rsid w:val="001451EE"/>
    <w:rsid w:val="00161755"/>
    <w:rsid w:val="0016431F"/>
    <w:rsid w:val="00173F65"/>
    <w:rsid w:val="001877A9"/>
    <w:rsid w:val="001954D7"/>
    <w:rsid w:val="001B0408"/>
    <w:rsid w:val="001E1CF0"/>
    <w:rsid w:val="001E3D76"/>
    <w:rsid w:val="001F54C2"/>
    <w:rsid w:val="00212365"/>
    <w:rsid w:val="00214609"/>
    <w:rsid w:val="00215642"/>
    <w:rsid w:val="00277ECC"/>
    <w:rsid w:val="0029230F"/>
    <w:rsid w:val="002959AD"/>
    <w:rsid w:val="002A619F"/>
    <w:rsid w:val="002B194A"/>
    <w:rsid w:val="002B40A6"/>
    <w:rsid w:val="002B6725"/>
    <w:rsid w:val="002C1E74"/>
    <w:rsid w:val="002C3338"/>
    <w:rsid w:val="002C4111"/>
    <w:rsid w:val="002C461C"/>
    <w:rsid w:val="002C5C1B"/>
    <w:rsid w:val="002D6F8E"/>
    <w:rsid w:val="00306917"/>
    <w:rsid w:val="00315EEB"/>
    <w:rsid w:val="00333FAE"/>
    <w:rsid w:val="00341AE0"/>
    <w:rsid w:val="00343CB2"/>
    <w:rsid w:val="003456DB"/>
    <w:rsid w:val="00377F22"/>
    <w:rsid w:val="003915CF"/>
    <w:rsid w:val="003B3B9D"/>
    <w:rsid w:val="003C15B8"/>
    <w:rsid w:val="003C3DCE"/>
    <w:rsid w:val="003C605A"/>
    <w:rsid w:val="003C7757"/>
    <w:rsid w:val="003D0C01"/>
    <w:rsid w:val="003D5E4B"/>
    <w:rsid w:val="0041685A"/>
    <w:rsid w:val="00441133"/>
    <w:rsid w:val="00444787"/>
    <w:rsid w:val="00450468"/>
    <w:rsid w:val="00452544"/>
    <w:rsid w:val="00461CD6"/>
    <w:rsid w:val="00466A0B"/>
    <w:rsid w:val="00473277"/>
    <w:rsid w:val="00490C43"/>
    <w:rsid w:val="004B28A9"/>
    <w:rsid w:val="004B53DF"/>
    <w:rsid w:val="004D3F73"/>
    <w:rsid w:val="004E2E81"/>
    <w:rsid w:val="004E48B0"/>
    <w:rsid w:val="005018A5"/>
    <w:rsid w:val="00501F8B"/>
    <w:rsid w:val="005024D3"/>
    <w:rsid w:val="00523D56"/>
    <w:rsid w:val="00533BC5"/>
    <w:rsid w:val="0054124C"/>
    <w:rsid w:val="005829D9"/>
    <w:rsid w:val="00592888"/>
    <w:rsid w:val="005B1B3E"/>
    <w:rsid w:val="005E0520"/>
    <w:rsid w:val="005E5E2A"/>
    <w:rsid w:val="005F6E2A"/>
    <w:rsid w:val="00601E0B"/>
    <w:rsid w:val="00605858"/>
    <w:rsid w:val="006154B5"/>
    <w:rsid w:val="00617994"/>
    <w:rsid w:val="00621EBB"/>
    <w:rsid w:val="00622054"/>
    <w:rsid w:val="0063766B"/>
    <w:rsid w:val="00645B66"/>
    <w:rsid w:val="006774ED"/>
    <w:rsid w:val="006A187E"/>
    <w:rsid w:val="006A1E42"/>
    <w:rsid w:val="006A3849"/>
    <w:rsid w:val="006B7DE2"/>
    <w:rsid w:val="006D2C9D"/>
    <w:rsid w:val="006E37E0"/>
    <w:rsid w:val="006F6AAF"/>
    <w:rsid w:val="007241C5"/>
    <w:rsid w:val="00747884"/>
    <w:rsid w:val="00781FC5"/>
    <w:rsid w:val="00790414"/>
    <w:rsid w:val="007A435D"/>
    <w:rsid w:val="007A725F"/>
    <w:rsid w:val="007A7DA7"/>
    <w:rsid w:val="007C1015"/>
    <w:rsid w:val="007E6A25"/>
    <w:rsid w:val="008145DA"/>
    <w:rsid w:val="00822839"/>
    <w:rsid w:val="008238D3"/>
    <w:rsid w:val="00825E6F"/>
    <w:rsid w:val="008407FD"/>
    <w:rsid w:val="008643F6"/>
    <w:rsid w:val="00870A7E"/>
    <w:rsid w:val="00882766"/>
    <w:rsid w:val="008D2D6D"/>
    <w:rsid w:val="008D74A5"/>
    <w:rsid w:val="00904665"/>
    <w:rsid w:val="00923EE7"/>
    <w:rsid w:val="00936ED5"/>
    <w:rsid w:val="009416C7"/>
    <w:rsid w:val="009431F6"/>
    <w:rsid w:val="00944379"/>
    <w:rsid w:val="00953F70"/>
    <w:rsid w:val="0096131F"/>
    <w:rsid w:val="0097089F"/>
    <w:rsid w:val="00984D34"/>
    <w:rsid w:val="00987A0C"/>
    <w:rsid w:val="00994095"/>
    <w:rsid w:val="009A2352"/>
    <w:rsid w:val="009B19EF"/>
    <w:rsid w:val="009B4ED1"/>
    <w:rsid w:val="009B62CE"/>
    <w:rsid w:val="009C0095"/>
    <w:rsid w:val="009C3AD4"/>
    <w:rsid w:val="009D4480"/>
    <w:rsid w:val="009E06DB"/>
    <w:rsid w:val="009F33B7"/>
    <w:rsid w:val="00A012CB"/>
    <w:rsid w:val="00A27DBF"/>
    <w:rsid w:val="00A6429B"/>
    <w:rsid w:val="00AA0EA0"/>
    <w:rsid w:val="00AA1906"/>
    <w:rsid w:val="00AB507E"/>
    <w:rsid w:val="00AB792D"/>
    <w:rsid w:val="00AD1E33"/>
    <w:rsid w:val="00AD3B21"/>
    <w:rsid w:val="00AD4696"/>
    <w:rsid w:val="00AF0B9A"/>
    <w:rsid w:val="00AF3C1B"/>
    <w:rsid w:val="00B0172E"/>
    <w:rsid w:val="00B04011"/>
    <w:rsid w:val="00B0653D"/>
    <w:rsid w:val="00B2415C"/>
    <w:rsid w:val="00B24940"/>
    <w:rsid w:val="00B266B3"/>
    <w:rsid w:val="00B36DEF"/>
    <w:rsid w:val="00B37CA5"/>
    <w:rsid w:val="00B60A96"/>
    <w:rsid w:val="00B74241"/>
    <w:rsid w:val="00B951BB"/>
    <w:rsid w:val="00B95F81"/>
    <w:rsid w:val="00BB0C53"/>
    <w:rsid w:val="00C22FCE"/>
    <w:rsid w:val="00C2495E"/>
    <w:rsid w:val="00C254FD"/>
    <w:rsid w:val="00C36F39"/>
    <w:rsid w:val="00C51966"/>
    <w:rsid w:val="00C533E0"/>
    <w:rsid w:val="00C639A9"/>
    <w:rsid w:val="00C8731B"/>
    <w:rsid w:val="00CB0AB4"/>
    <w:rsid w:val="00CB1355"/>
    <w:rsid w:val="00CB6004"/>
    <w:rsid w:val="00CC2F88"/>
    <w:rsid w:val="00CD2706"/>
    <w:rsid w:val="00CE1158"/>
    <w:rsid w:val="00CE6272"/>
    <w:rsid w:val="00CE7E5E"/>
    <w:rsid w:val="00CF266F"/>
    <w:rsid w:val="00D03664"/>
    <w:rsid w:val="00D406B0"/>
    <w:rsid w:val="00D41996"/>
    <w:rsid w:val="00DB3690"/>
    <w:rsid w:val="00DE2D56"/>
    <w:rsid w:val="00DF0EB0"/>
    <w:rsid w:val="00DF1409"/>
    <w:rsid w:val="00DF3CB9"/>
    <w:rsid w:val="00E03EDD"/>
    <w:rsid w:val="00E10399"/>
    <w:rsid w:val="00E31439"/>
    <w:rsid w:val="00E33CF0"/>
    <w:rsid w:val="00E44F7E"/>
    <w:rsid w:val="00E55249"/>
    <w:rsid w:val="00E80D30"/>
    <w:rsid w:val="00E8181B"/>
    <w:rsid w:val="00E83E6F"/>
    <w:rsid w:val="00E90024"/>
    <w:rsid w:val="00E95DF8"/>
    <w:rsid w:val="00EA081C"/>
    <w:rsid w:val="00F0790F"/>
    <w:rsid w:val="00F12B76"/>
    <w:rsid w:val="00F15BEE"/>
    <w:rsid w:val="00F40D4A"/>
    <w:rsid w:val="00F535F3"/>
    <w:rsid w:val="00F60E8F"/>
    <w:rsid w:val="00F642DF"/>
    <w:rsid w:val="00F831B8"/>
    <w:rsid w:val="00F853D1"/>
    <w:rsid w:val="00F96895"/>
    <w:rsid w:val="00FA5B23"/>
    <w:rsid w:val="00FD3060"/>
    <w:rsid w:val="00FE55E1"/>
    <w:rsid w:val="00FE76DA"/>
    <w:rsid w:val="00FF168B"/>
    <w:rsid w:val="081D6024"/>
    <w:rsid w:val="0B33462D"/>
    <w:rsid w:val="21ED7BDF"/>
    <w:rsid w:val="4C83E5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C83C"/>
  <w15:chartTrackingRefBased/>
  <w15:docId w15:val="{ECA1B289-0B1C-0D44-A1DF-AA5261B2D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D6D"/>
    <w:rPr>
      <w:color w:val="0563C1" w:themeColor="hyperlink"/>
      <w:u w:val="single"/>
    </w:rPr>
  </w:style>
  <w:style w:type="character" w:styleId="FollowedHyperlink">
    <w:name w:val="FollowedHyperlink"/>
    <w:basedOn w:val="DefaultParagraphFont"/>
    <w:uiPriority w:val="99"/>
    <w:semiHidden/>
    <w:unhideWhenUsed/>
    <w:rsid w:val="008D2D6D"/>
    <w:rPr>
      <w:color w:val="954F72" w:themeColor="followedHyperlink"/>
      <w:u w:val="single"/>
    </w:rPr>
  </w:style>
  <w:style w:type="paragraph" w:styleId="Header">
    <w:name w:val="header"/>
    <w:basedOn w:val="Normal"/>
    <w:link w:val="HeaderChar"/>
    <w:uiPriority w:val="99"/>
    <w:unhideWhenUsed/>
    <w:rsid w:val="00790414"/>
    <w:pPr>
      <w:tabs>
        <w:tab w:val="center" w:pos="4513"/>
        <w:tab w:val="right" w:pos="9026"/>
      </w:tabs>
    </w:pPr>
  </w:style>
  <w:style w:type="character" w:customStyle="1" w:styleId="HeaderChar">
    <w:name w:val="Header Char"/>
    <w:basedOn w:val="DefaultParagraphFont"/>
    <w:link w:val="Header"/>
    <w:uiPriority w:val="99"/>
    <w:rsid w:val="00790414"/>
  </w:style>
  <w:style w:type="paragraph" w:styleId="Footer">
    <w:name w:val="footer"/>
    <w:basedOn w:val="Normal"/>
    <w:link w:val="FooterChar"/>
    <w:uiPriority w:val="99"/>
    <w:unhideWhenUsed/>
    <w:rsid w:val="00790414"/>
    <w:pPr>
      <w:tabs>
        <w:tab w:val="center" w:pos="4513"/>
        <w:tab w:val="right" w:pos="9026"/>
      </w:tabs>
    </w:pPr>
  </w:style>
  <w:style w:type="character" w:customStyle="1" w:styleId="FooterChar">
    <w:name w:val="Footer Char"/>
    <w:basedOn w:val="DefaultParagraphFont"/>
    <w:link w:val="Footer"/>
    <w:uiPriority w:val="99"/>
    <w:rsid w:val="00790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9437">
      <w:bodyDiv w:val="1"/>
      <w:marLeft w:val="0"/>
      <w:marRight w:val="0"/>
      <w:marTop w:val="0"/>
      <w:marBottom w:val="0"/>
      <w:divBdr>
        <w:top w:val="none" w:sz="0" w:space="0" w:color="auto"/>
        <w:left w:val="none" w:sz="0" w:space="0" w:color="auto"/>
        <w:bottom w:val="none" w:sz="0" w:space="0" w:color="auto"/>
        <w:right w:val="none" w:sz="0" w:space="0" w:color="auto"/>
      </w:divBdr>
    </w:div>
    <w:div w:id="934946539">
      <w:bodyDiv w:val="1"/>
      <w:marLeft w:val="0"/>
      <w:marRight w:val="0"/>
      <w:marTop w:val="0"/>
      <w:marBottom w:val="0"/>
      <w:divBdr>
        <w:top w:val="none" w:sz="0" w:space="0" w:color="auto"/>
        <w:left w:val="none" w:sz="0" w:space="0" w:color="auto"/>
        <w:bottom w:val="none" w:sz="0" w:space="0" w:color="auto"/>
        <w:right w:val="none" w:sz="0" w:space="0" w:color="auto"/>
      </w:divBdr>
    </w:div>
    <w:div w:id="1461536410">
      <w:bodyDiv w:val="1"/>
      <w:marLeft w:val="0"/>
      <w:marRight w:val="0"/>
      <w:marTop w:val="0"/>
      <w:marBottom w:val="0"/>
      <w:divBdr>
        <w:top w:val="none" w:sz="0" w:space="0" w:color="auto"/>
        <w:left w:val="none" w:sz="0" w:space="0" w:color="auto"/>
        <w:bottom w:val="none" w:sz="0" w:space="0" w:color="auto"/>
        <w:right w:val="none" w:sz="0" w:space="0" w:color="auto"/>
      </w:divBdr>
    </w:div>
    <w:div w:id="1482622155">
      <w:bodyDiv w:val="1"/>
      <w:marLeft w:val="0"/>
      <w:marRight w:val="0"/>
      <w:marTop w:val="0"/>
      <w:marBottom w:val="0"/>
      <w:divBdr>
        <w:top w:val="none" w:sz="0" w:space="0" w:color="auto"/>
        <w:left w:val="none" w:sz="0" w:space="0" w:color="auto"/>
        <w:bottom w:val="none" w:sz="0" w:space="0" w:color="auto"/>
        <w:right w:val="none" w:sz="0" w:space="0" w:color="auto"/>
      </w:divBdr>
    </w:div>
    <w:div w:id="1650551019">
      <w:bodyDiv w:val="1"/>
      <w:marLeft w:val="0"/>
      <w:marRight w:val="0"/>
      <w:marTop w:val="0"/>
      <w:marBottom w:val="0"/>
      <w:divBdr>
        <w:top w:val="none" w:sz="0" w:space="0" w:color="auto"/>
        <w:left w:val="none" w:sz="0" w:space="0" w:color="auto"/>
        <w:bottom w:val="none" w:sz="0" w:space="0" w:color="auto"/>
        <w:right w:val="none" w:sz="0" w:space="0" w:color="auto"/>
      </w:divBdr>
    </w:div>
    <w:div w:id="1671102893">
      <w:bodyDiv w:val="1"/>
      <w:marLeft w:val="0"/>
      <w:marRight w:val="0"/>
      <w:marTop w:val="0"/>
      <w:marBottom w:val="0"/>
      <w:divBdr>
        <w:top w:val="none" w:sz="0" w:space="0" w:color="auto"/>
        <w:left w:val="none" w:sz="0" w:space="0" w:color="auto"/>
        <w:bottom w:val="none" w:sz="0" w:space="0" w:color="auto"/>
        <w:right w:val="none" w:sz="0" w:space="0" w:color="auto"/>
      </w:divBdr>
    </w:div>
    <w:div w:id="192865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derbyshire-38581779" TargetMode="External"/><Relationship Id="rId13" Type="http://schemas.openxmlformats.org/officeDocument/2006/relationships/hyperlink" Target="http://library.college.police.uk/docs/hors/hors155.pdf" TargetMode="External"/><Relationship Id="rId18" Type="http://schemas.openxmlformats.org/officeDocument/2006/relationships/hyperlink" Target="https://journals-sagepub-com.ezproxy.uwtsd.ac.uk/doi/pdf/10.1177/1748895807072477"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bc.co.uk/news/uk-26474009" TargetMode="External"/><Relationship Id="rId12" Type="http://schemas.openxmlformats.org/officeDocument/2006/relationships/hyperlink" Target="https://www.theguardian.com/law/2019/oct/24/stop-and-search-up-by-almost-a-third-in-england-and-wales" TargetMode="External"/><Relationship Id="rId17" Type="http://schemas.openxmlformats.org/officeDocument/2006/relationships/hyperlink" Target="https://www-jstor-org.ezproxy.uwtsd.ac.uk/stable/pdf/41682857.pdf?refreqid=excelsior:18ca30276b2094903325b5ee905ff64c" TargetMode="External"/><Relationship Id="rId2" Type="http://schemas.openxmlformats.org/officeDocument/2006/relationships/settings" Target="settings.xml"/><Relationship Id="rId16" Type="http://schemas.openxmlformats.org/officeDocument/2006/relationships/hyperlink" Target="https://www-jstor-org.ezproxy.uwtsd.ac.uk/stable/pdf/1409837.pdf?refreqid=excelsior:02dfdee10d74920b611421d743f8d2b4"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legislation.gov.uk/ukpga/2014/12/section/175" TargetMode="External"/><Relationship Id="rId11" Type="http://schemas.openxmlformats.org/officeDocument/2006/relationships/hyperlink" Target="https://www.theguardian.com/uk/2007/nov/12/ukcrime.martinwainwright" TargetMode="External"/><Relationship Id="rId5" Type="http://schemas.openxmlformats.org/officeDocument/2006/relationships/endnotes" Target="endnotes.xml"/><Relationship Id="rId15" Type="http://schemas.openxmlformats.org/officeDocument/2006/relationships/hyperlink" Target="https://scholarlycommons.law.northwestern.edu/cgi/viewcontent.cgi?article=5358&amp;context=jclc" TargetMode="External"/><Relationship Id="rId10" Type="http://schemas.openxmlformats.org/officeDocument/2006/relationships/hyperlink" Target="https://www.theguardian.com/uk/2006/nov/11/ukcrime.duncancampbell" TargetMode="External"/><Relationship Id="rId19" Type="http://schemas.openxmlformats.org/officeDocument/2006/relationships/hyperlink" Target="https://www.gov.uk/guidance/police-and-criminal-evidence-act-1984-pace-codes-of-practice" TargetMode="External"/><Relationship Id="rId4" Type="http://schemas.openxmlformats.org/officeDocument/2006/relationships/footnotes" Target="footnotes.xml"/><Relationship Id="rId9" Type="http://schemas.openxmlformats.org/officeDocument/2006/relationships/hyperlink" Target="https://www-oxfordreference-com.ezproxy.uwtsd.ac.uk/view/10.1093/acref/9780199290543.001.0001/acref-9780199290543-e-1586?rskey=LVP5se&amp;result=1587" TargetMode="External"/><Relationship Id="rId14" Type="http://schemas.openxmlformats.org/officeDocument/2006/relationships/hyperlink" Target="https://www.independent.co.uk/news/uk/crime/rachel-police-honey-trap-put-wrong-man-in-dock-1203061.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2849</Words>
  <Characters>16243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3</cp:revision>
  <dcterms:created xsi:type="dcterms:W3CDTF">2019-11-06T18:02:00Z</dcterms:created>
  <dcterms:modified xsi:type="dcterms:W3CDTF">2019-11-06T18:04:00Z</dcterms:modified>
</cp:coreProperties>
</file>