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7"/>
        <w:tabs>
          <w:tab w:val="left" w:pos="720"/>
        </w:tabs>
        <w:rPr>
          <w:rFonts w:ascii="Arial" w:hAnsi="Arial" w:cs="Arial"/>
          <w:b/>
          <w:sz w:val="28"/>
          <w:szCs w:val="28"/>
        </w:rPr>
      </w:pPr>
      <w:r>
        <w:drawing>
          <wp:inline distT="0" distB="0" distL="0" distR="0">
            <wp:extent cx="2574290" cy="532765"/>
            <wp:effectExtent l="0" t="0" r="0" b="635"/>
            <wp:docPr id="1" name="圖片 1" descr="描述: 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descr="描述: Z:\TSD\Assessments and Samples Docs\UWTSD Logo International.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2574290" cy="532765"/>
                    </a:xfrm>
                    <a:prstGeom prst="rect">
                      <a:avLst/>
                    </a:prstGeom>
                    <a:noFill/>
                    <a:ln>
                      <a:noFill/>
                    </a:ln>
                  </pic:spPr>
                </pic:pic>
              </a:graphicData>
            </a:graphic>
          </wp:inline>
        </w:drawing>
      </w:r>
      <w:r>
        <w:rPr>
          <w:rFonts w:ascii="Arial" w:hAnsi="Arial" w:cs="Arial"/>
        </w:rPr>
        <w:t xml:space="preserve"> </w:t>
      </w:r>
      <w:r>
        <w:rPr>
          <w:rFonts w:ascii="Arial" w:hAnsi="Arial" w:cs="Arial"/>
        </w:rPr>
        <w:br w:type="textWrapping" w:clear="all"/>
      </w:r>
    </w:p>
    <w:p>
      <w:pPr>
        <w:rPr>
          <w:rFonts w:ascii="Arial" w:hAnsi="Arial" w:cs="Arial"/>
          <w:sz w:val="20"/>
          <w:szCs w:val="20"/>
        </w:rPr>
      </w:pPr>
    </w:p>
    <w:tbl>
      <w:tblPr>
        <w:tblStyle w:val="10"/>
        <w:tblW w:w="9184"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fixed"/>
        <w:tblCellMar>
          <w:top w:w="0" w:type="dxa"/>
          <w:left w:w="108" w:type="dxa"/>
          <w:bottom w:w="0" w:type="dxa"/>
          <w:right w:w="108" w:type="dxa"/>
        </w:tblCellMar>
      </w:tblPr>
      <w:tblGrid>
        <w:gridCol w:w="918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fixed"/>
          <w:tblCellMar>
            <w:top w:w="0" w:type="dxa"/>
            <w:left w:w="108" w:type="dxa"/>
            <w:bottom w:w="0" w:type="dxa"/>
            <w:right w:w="108" w:type="dxa"/>
          </w:tblCellMar>
        </w:tblPrEx>
        <w:tc>
          <w:tcPr>
            <w:tcW w:w="9184" w:type="dxa"/>
            <w:tcBorders>
              <w:top w:val="single" w:color="auto" w:sz="4" w:space="0"/>
              <w:left w:val="single" w:color="auto" w:sz="4" w:space="0"/>
              <w:bottom w:val="single" w:color="auto" w:sz="4" w:space="0"/>
              <w:right w:val="single" w:color="auto" w:sz="4" w:space="0"/>
            </w:tcBorders>
            <w:shd w:val="clear" w:color="auto" w:fill="C0C0C0"/>
          </w:tcPr>
          <w:p>
            <w:pPr>
              <w:pStyle w:val="4"/>
              <w:rPr>
                <w:rFonts w:ascii="Arial" w:hAnsi="Arial" w:eastAsia="PMingLiU" w:cs="Arial"/>
                <w:b/>
              </w:rPr>
            </w:pPr>
            <w:r>
              <w:rPr>
                <w:rFonts w:ascii="Arial" w:hAnsi="Arial" w:eastAsia="PMingLiU" w:cs="Arial"/>
                <w:b/>
              </w:rPr>
              <w:t xml:space="preserve">LEVEL 7 ASSESSMENT SPECIFICATION </w:t>
            </w:r>
          </w:p>
        </w:tc>
      </w:tr>
    </w:tbl>
    <w:p>
      <w:pPr>
        <w:jc w:val="center"/>
        <w:rPr>
          <w:rFonts w:ascii="Arial" w:hAnsi="Arial" w:cs="Arial"/>
          <w:b/>
          <w:i/>
          <w:sz w:val="32"/>
          <w:szCs w:val="20"/>
          <w:lang w:val="en-GB" w:eastAsia="en-GB"/>
        </w:rPr>
      </w:pPr>
    </w:p>
    <w:tbl>
      <w:tblPr>
        <w:tblStyle w:val="10"/>
        <w:tblW w:w="9915"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2"/>
        <w:gridCol w:w="3291"/>
        <w:gridCol w:w="2266"/>
        <w:gridCol w:w="226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2" w:type="dxa"/>
            <w:tcBorders>
              <w:top w:val="single" w:color="auto" w:sz="4" w:space="0"/>
              <w:left w:val="single" w:color="auto" w:sz="4" w:space="0"/>
              <w:bottom w:val="single" w:color="auto" w:sz="4" w:space="0"/>
              <w:right w:val="single" w:color="auto" w:sz="4" w:space="0"/>
            </w:tcBorders>
            <w:shd w:val="pct10" w:color="auto" w:fill="auto"/>
          </w:tcPr>
          <w:p>
            <w:pPr>
              <w:spacing w:before="120" w:after="120"/>
              <w:jc w:val="both"/>
              <w:rPr>
                <w:rFonts w:ascii="Arial" w:hAnsi="Arial" w:cs="Arial"/>
                <w:b/>
                <w:lang w:val="en-GB" w:eastAsia="en-GB"/>
              </w:rPr>
            </w:pPr>
            <w:r>
              <w:rPr>
                <w:rFonts w:ascii="Arial" w:hAnsi="Arial" w:cs="Arial"/>
                <w:b/>
              </w:rPr>
              <w:t>Student name:</w:t>
            </w:r>
          </w:p>
        </w:tc>
        <w:tc>
          <w:tcPr>
            <w:tcW w:w="3291"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en-GB"/>
              </w:rPr>
            </w:pPr>
            <w:r>
              <w:rPr>
                <w:rFonts w:ascii="Arial" w:hAnsi="Arial" w:cs="Arial"/>
                <w:b/>
              </w:rPr>
              <w:t>Lee Kar Wai, Alvin</w:t>
            </w:r>
          </w:p>
        </w:tc>
        <w:tc>
          <w:tcPr>
            <w:tcW w:w="2266" w:type="dxa"/>
            <w:tcBorders>
              <w:top w:val="single" w:color="auto" w:sz="4" w:space="0"/>
              <w:left w:val="single" w:color="auto" w:sz="4" w:space="0"/>
              <w:bottom w:val="single" w:color="auto" w:sz="4" w:space="0"/>
              <w:right w:val="single" w:color="auto" w:sz="4" w:space="0"/>
            </w:tcBorders>
            <w:shd w:val="clear" w:color="auto" w:fill="D9D9D9"/>
          </w:tcPr>
          <w:p>
            <w:pPr>
              <w:spacing w:before="120" w:after="120"/>
              <w:jc w:val="both"/>
              <w:rPr>
                <w:rFonts w:ascii="Arial" w:hAnsi="Arial" w:cs="Arial"/>
                <w:b/>
                <w:lang w:val="en-GB" w:eastAsia="en-GB"/>
              </w:rPr>
            </w:pPr>
            <w:r>
              <w:rPr>
                <w:rFonts w:ascii="Arial" w:hAnsi="Arial" w:cs="Arial"/>
                <w:b/>
              </w:rPr>
              <w:t>Student ID number:</w:t>
            </w:r>
          </w:p>
        </w:tc>
        <w:tc>
          <w:tcPr>
            <w:tcW w:w="2266"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en-GB"/>
              </w:rPr>
            </w:pPr>
            <w:r>
              <w:rPr>
                <w:rFonts w:ascii="Arial" w:hAnsi="Arial" w:cs="Arial"/>
                <w:b/>
                <w:lang w:val="en-GB" w:eastAsia="en-GB"/>
              </w:rPr>
              <w:t>1818500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2" w:type="dxa"/>
            <w:tcBorders>
              <w:top w:val="single" w:color="auto" w:sz="4" w:space="0"/>
              <w:left w:val="single" w:color="auto" w:sz="4" w:space="0"/>
              <w:bottom w:val="single" w:color="auto" w:sz="4" w:space="0"/>
              <w:right w:val="single" w:color="auto" w:sz="4" w:space="0"/>
            </w:tcBorders>
            <w:shd w:val="pct10" w:color="auto" w:fill="auto"/>
          </w:tcPr>
          <w:p>
            <w:pPr>
              <w:spacing w:before="120" w:after="120"/>
              <w:jc w:val="both"/>
              <w:rPr>
                <w:rFonts w:ascii="Arial" w:hAnsi="Arial" w:cs="Arial"/>
                <w:b/>
                <w:lang w:val="en-GB" w:eastAsia="en-GB"/>
              </w:rPr>
            </w:pPr>
            <w:r>
              <w:rPr>
                <w:rFonts w:ascii="Arial" w:hAnsi="Arial" w:cs="Arial"/>
                <w:b/>
              </w:rPr>
              <w:t>Programme:</w:t>
            </w:r>
          </w:p>
        </w:tc>
        <w:tc>
          <w:tcPr>
            <w:tcW w:w="7823" w:type="dxa"/>
            <w:gridSpan w:val="3"/>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zh-HK"/>
              </w:rPr>
            </w:pPr>
            <w:r>
              <w:rPr>
                <w:rFonts w:ascii="Arial" w:hAnsi="Arial" w:cs="Arial"/>
                <w:b/>
                <w:lang w:eastAsia="zh-HK"/>
              </w:rPr>
              <w:t>MBA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2" w:type="dxa"/>
            <w:tcBorders>
              <w:top w:val="single" w:color="auto" w:sz="4" w:space="0"/>
              <w:left w:val="single" w:color="auto" w:sz="4" w:space="0"/>
              <w:bottom w:val="single" w:color="auto" w:sz="4" w:space="0"/>
              <w:right w:val="single" w:color="auto" w:sz="4" w:space="0"/>
            </w:tcBorders>
            <w:shd w:val="pct10" w:color="auto" w:fill="auto"/>
          </w:tcPr>
          <w:p>
            <w:pPr>
              <w:spacing w:before="120" w:after="120"/>
              <w:jc w:val="both"/>
              <w:rPr>
                <w:rFonts w:ascii="Arial" w:hAnsi="Arial" w:cs="Arial"/>
                <w:b/>
                <w:lang w:val="en-GB" w:eastAsia="en-GB"/>
              </w:rPr>
            </w:pPr>
            <w:r>
              <w:rPr>
                <w:rFonts w:ascii="Arial" w:hAnsi="Arial" w:cs="Arial"/>
                <w:b/>
              </w:rPr>
              <w:t>Module:</w:t>
            </w:r>
          </w:p>
        </w:tc>
        <w:tc>
          <w:tcPr>
            <w:tcW w:w="7823" w:type="dxa"/>
            <w:gridSpan w:val="3"/>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zh-HK"/>
              </w:rPr>
            </w:pPr>
            <w:r>
              <w:rPr>
                <w:rFonts w:ascii="Arial" w:hAnsi="Arial" w:cs="Arial"/>
                <w:b/>
                <w:lang w:eastAsia="zh-HK"/>
              </w:rPr>
              <w:t>Financial Management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2" w:type="dxa"/>
            <w:tcBorders>
              <w:top w:val="single" w:color="auto" w:sz="4" w:space="0"/>
              <w:left w:val="single" w:color="auto" w:sz="4" w:space="0"/>
              <w:bottom w:val="single" w:color="auto" w:sz="4" w:space="0"/>
              <w:right w:val="single" w:color="auto" w:sz="4" w:space="0"/>
            </w:tcBorders>
            <w:shd w:val="pct10" w:color="auto" w:fill="auto"/>
          </w:tcPr>
          <w:p>
            <w:pPr>
              <w:spacing w:before="120" w:after="120"/>
              <w:jc w:val="both"/>
              <w:rPr>
                <w:rFonts w:ascii="Arial" w:hAnsi="Arial" w:cs="Arial"/>
                <w:b/>
                <w:lang w:val="en-GB" w:eastAsia="en-GB"/>
              </w:rPr>
            </w:pPr>
            <w:r>
              <w:rPr>
                <w:rFonts w:ascii="Arial" w:hAnsi="Arial" w:cs="Arial"/>
                <w:b/>
              </w:rPr>
              <w:t>Module code:</w:t>
            </w:r>
          </w:p>
        </w:tc>
        <w:tc>
          <w:tcPr>
            <w:tcW w:w="3291"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zh-HK"/>
              </w:rPr>
            </w:pPr>
            <w:r>
              <w:rPr>
                <w:rFonts w:ascii="Arial" w:hAnsi="Arial" w:cs="Arial"/>
                <w:b/>
                <w:lang w:eastAsia="zh-HK"/>
              </w:rPr>
              <w:t>SBMA7100</w:t>
            </w:r>
          </w:p>
        </w:tc>
        <w:tc>
          <w:tcPr>
            <w:tcW w:w="2266" w:type="dxa"/>
            <w:tcBorders>
              <w:top w:val="single" w:color="auto" w:sz="4" w:space="0"/>
              <w:left w:val="single" w:color="auto" w:sz="4" w:space="0"/>
              <w:bottom w:val="single" w:color="auto" w:sz="4" w:space="0"/>
              <w:right w:val="single" w:color="auto" w:sz="4" w:space="0"/>
            </w:tcBorders>
            <w:shd w:val="clear" w:color="auto" w:fill="D9D9D9"/>
          </w:tcPr>
          <w:p>
            <w:pPr>
              <w:pStyle w:val="3"/>
              <w:rPr>
                <w:rFonts w:ascii="Arial" w:hAnsi="Arial" w:eastAsia="PMingLiU" w:cs="Arial"/>
                <w:sz w:val="22"/>
                <w:szCs w:val="22"/>
              </w:rPr>
            </w:pPr>
            <w:r>
              <w:rPr>
                <w:rFonts w:ascii="Arial" w:hAnsi="Arial" w:eastAsia="PMingLiU" w:cs="Arial"/>
                <w:sz w:val="22"/>
                <w:szCs w:val="22"/>
              </w:rPr>
              <w:t>Contribution to Overall Module Assessment (%):</w:t>
            </w:r>
          </w:p>
        </w:tc>
        <w:tc>
          <w:tcPr>
            <w:tcW w:w="2266"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zh-HK"/>
              </w:rPr>
            </w:pPr>
            <w:r>
              <w:rPr>
                <w:rFonts w:ascii="Arial" w:hAnsi="Arial" w:cs="Arial"/>
                <w:b/>
                <w:lang w:eastAsia="zh-HK"/>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2" w:type="dxa"/>
            <w:tcBorders>
              <w:top w:val="single" w:color="auto" w:sz="4" w:space="0"/>
              <w:left w:val="single" w:color="auto" w:sz="4" w:space="0"/>
              <w:bottom w:val="single" w:color="auto" w:sz="4" w:space="0"/>
              <w:right w:val="single" w:color="auto" w:sz="4" w:space="0"/>
            </w:tcBorders>
            <w:shd w:val="pct10" w:color="auto" w:fill="auto"/>
          </w:tcPr>
          <w:p>
            <w:pPr>
              <w:spacing w:before="120" w:after="120"/>
              <w:jc w:val="both"/>
              <w:rPr>
                <w:rFonts w:ascii="Arial" w:hAnsi="Arial" w:cs="Arial"/>
                <w:b/>
                <w:lang w:val="en-GB" w:eastAsia="en-GB"/>
              </w:rPr>
            </w:pPr>
            <w:r>
              <w:rPr>
                <w:rFonts w:ascii="Arial" w:hAnsi="Arial" w:cs="Arial"/>
                <w:b/>
              </w:rPr>
              <w:t>Lecturer:</w:t>
            </w:r>
          </w:p>
        </w:tc>
        <w:tc>
          <w:tcPr>
            <w:tcW w:w="3291"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zh-HK"/>
              </w:rPr>
            </w:pPr>
            <w:r>
              <w:rPr>
                <w:rFonts w:ascii="Arial" w:hAnsi="Arial" w:cs="Arial"/>
                <w:b/>
                <w:lang w:eastAsia="zh-HK"/>
              </w:rPr>
              <w:t>Dr Katherine Mo</w:t>
            </w:r>
          </w:p>
        </w:tc>
        <w:tc>
          <w:tcPr>
            <w:tcW w:w="2266" w:type="dxa"/>
            <w:tcBorders>
              <w:top w:val="single" w:color="auto" w:sz="4" w:space="0"/>
              <w:left w:val="single" w:color="auto" w:sz="4" w:space="0"/>
              <w:bottom w:val="single" w:color="auto" w:sz="4" w:space="0"/>
              <w:right w:val="single" w:color="auto" w:sz="4" w:space="0"/>
            </w:tcBorders>
            <w:shd w:val="clear" w:color="auto" w:fill="D9D9D9"/>
          </w:tcPr>
          <w:p>
            <w:pPr>
              <w:spacing w:before="120" w:after="120"/>
              <w:jc w:val="both"/>
              <w:rPr>
                <w:rFonts w:ascii="Arial" w:hAnsi="Arial" w:cs="Arial"/>
                <w:b/>
                <w:lang w:val="en-GB" w:eastAsia="en-GB"/>
              </w:rPr>
            </w:pPr>
            <w:r>
              <w:rPr>
                <w:rFonts w:ascii="Arial" w:hAnsi="Arial" w:cs="Arial"/>
                <w:b/>
              </w:rPr>
              <w:t>Internal Verifier:</w:t>
            </w:r>
          </w:p>
        </w:tc>
        <w:tc>
          <w:tcPr>
            <w:tcW w:w="2266"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zh-HK"/>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2" w:type="dxa"/>
            <w:tcBorders>
              <w:top w:val="single" w:color="auto" w:sz="4" w:space="0"/>
              <w:left w:val="single" w:color="auto" w:sz="4" w:space="0"/>
              <w:bottom w:val="single" w:color="auto" w:sz="4" w:space="0"/>
              <w:right w:val="single" w:color="auto" w:sz="4" w:space="0"/>
            </w:tcBorders>
            <w:shd w:val="pct10" w:color="auto" w:fill="auto"/>
          </w:tcPr>
          <w:p>
            <w:pPr>
              <w:spacing w:before="120" w:after="120"/>
              <w:jc w:val="both"/>
              <w:rPr>
                <w:rFonts w:ascii="Arial" w:hAnsi="Arial" w:cs="Arial"/>
                <w:b/>
                <w:lang w:val="en-GB" w:eastAsia="en-GB"/>
              </w:rPr>
            </w:pPr>
            <w:r>
              <w:rPr>
                <w:rFonts w:ascii="Arial" w:hAnsi="Arial" w:cs="Arial"/>
                <w:b/>
              </w:rPr>
              <w:t>Assignment Title:</w:t>
            </w:r>
          </w:p>
        </w:tc>
        <w:tc>
          <w:tcPr>
            <w:tcW w:w="3291"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en-GB"/>
              </w:rPr>
            </w:pPr>
            <w:r>
              <w:rPr>
                <w:rFonts w:ascii="Arial" w:hAnsi="Arial" w:cs="Arial"/>
                <w:b/>
                <w:lang w:eastAsia="zh-HK"/>
              </w:rPr>
              <w:t>Assignment 1</w:t>
            </w:r>
          </w:p>
        </w:tc>
        <w:tc>
          <w:tcPr>
            <w:tcW w:w="2266" w:type="dxa"/>
            <w:tcBorders>
              <w:top w:val="single" w:color="auto" w:sz="4" w:space="0"/>
              <w:left w:val="single" w:color="auto" w:sz="4" w:space="0"/>
              <w:bottom w:val="single" w:color="auto" w:sz="4" w:space="0"/>
              <w:right w:val="single" w:color="auto" w:sz="4" w:space="0"/>
            </w:tcBorders>
            <w:shd w:val="pct10" w:color="auto" w:fill="auto"/>
          </w:tcPr>
          <w:p>
            <w:pPr>
              <w:spacing w:before="120" w:after="120"/>
              <w:jc w:val="both"/>
              <w:rPr>
                <w:rFonts w:ascii="Arial" w:hAnsi="Arial" w:cs="Arial"/>
                <w:b/>
                <w:lang w:val="en-GB" w:eastAsia="en-GB"/>
              </w:rPr>
            </w:pPr>
            <w:r>
              <w:rPr>
                <w:rFonts w:ascii="Arial" w:hAnsi="Arial" w:cs="Arial"/>
                <w:b/>
              </w:rPr>
              <w:t>Word count (or equivalent):</w:t>
            </w:r>
          </w:p>
        </w:tc>
        <w:tc>
          <w:tcPr>
            <w:tcW w:w="2266" w:type="dxa"/>
            <w:tcBorders>
              <w:top w:val="single" w:color="auto" w:sz="4" w:space="0"/>
              <w:left w:val="single" w:color="auto" w:sz="4" w:space="0"/>
              <w:bottom w:val="single" w:color="auto" w:sz="4" w:space="0"/>
              <w:right w:val="single" w:color="auto" w:sz="4" w:space="0"/>
            </w:tcBorders>
          </w:tcPr>
          <w:p>
            <w:pPr>
              <w:spacing w:before="120" w:after="120"/>
              <w:jc w:val="both"/>
              <w:rPr>
                <w:rFonts w:hint="default" w:ascii="Arial" w:hAnsi="Arial" w:cs="Arial" w:eastAsiaTheme="minorEastAsia"/>
                <w:b/>
                <w:lang w:val="en-US" w:eastAsia="zh-TW"/>
              </w:rPr>
            </w:pPr>
            <w:r>
              <w:rPr>
                <w:rFonts w:hint="eastAsia" w:ascii="Arial" w:hAnsi="Arial" w:cs="Arial"/>
                <w:b/>
                <w:lang w:val="en-US" w:eastAsia="zh-TW"/>
              </w:rPr>
              <w:t>5214 words(exclude tables, references and appendices)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2" w:type="dxa"/>
            <w:tcBorders>
              <w:top w:val="single" w:color="auto" w:sz="4" w:space="0"/>
              <w:left w:val="single" w:color="auto" w:sz="4" w:space="0"/>
              <w:bottom w:val="single" w:color="auto" w:sz="4" w:space="0"/>
              <w:right w:val="single" w:color="auto" w:sz="4" w:space="0"/>
            </w:tcBorders>
            <w:shd w:val="pct10" w:color="auto" w:fill="auto"/>
          </w:tcPr>
          <w:p>
            <w:pPr>
              <w:spacing w:before="120" w:after="120"/>
              <w:jc w:val="both"/>
              <w:rPr>
                <w:rFonts w:ascii="Arial" w:hAnsi="Arial" w:cs="Arial"/>
                <w:b/>
                <w:lang w:val="en-GB" w:eastAsia="en-GB"/>
              </w:rPr>
            </w:pPr>
            <w:r>
              <w:rPr>
                <w:rFonts w:ascii="Arial" w:hAnsi="Arial" w:cs="Arial"/>
                <w:b/>
              </w:rPr>
              <w:t>Submission deadline:</w:t>
            </w:r>
          </w:p>
        </w:tc>
        <w:tc>
          <w:tcPr>
            <w:tcW w:w="3291"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zh-HK"/>
              </w:rPr>
            </w:pPr>
            <w:r>
              <w:rPr>
                <w:rFonts w:ascii="Arial" w:hAnsi="Arial" w:cs="Arial"/>
                <w:b/>
                <w:lang w:eastAsia="zh-HK"/>
              </w:rPr>
              <w:t>19 August 2019</w:t>
            </w:r>
          </w:p>
        </w:tc>
        <w:tc>
          <w:tcPr>
            <w:tcW w:w="2266" w:type="dxa"/>
            <w:tcBorders>
              <w:top w:val="single" w:color="auto" w:sz="4" w:space="0"/>
              <w:left w:val="single" w:color="auto" w:sz="4" w:space="0"/>
              <w:bottom w:val="single" w:color="auto" w:sz="4" w:space="0"/>
              <w:right w:val="single" w:color="auto" w:sz="4" w:space="0"/>
            </w:tcBorders>
            <w:shd w:val="pct10" w:color="auto" w:fill="auto"/>
          </w:tcPr>
          <w:p>
            <w:pPr>
              <w:spacing w:before="120" w:after="120"/>
              <w:jc w:val="both"/>
              <w:rPr>
                <w:rFonts w:ascii="Arial" w:hAnsi="Arial" w:cs="Arial"/>
                <w:b/>
                <w:lang w:val="en-GB" w:eastAsia="en-GB"/>
              </w:rPr>
            </w:pPr>
            <w:r>
              <w:rPr>
                <w:rFonts w:ascii="Arial" w:hAnsi="Arial" w:cs="Arial"/>
                <w:b/>
              </w:rPr>
              <w:t>Return date of provisional marks &amp; written feedback:</w:t>
            </w:r>
          </w:p>
        </w:tc>
        <w:tc>
          <w:tcPr>
            <w:tcW w:w="2266" w:type="dxa"/>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b/>
                <w:lang w:val="en-GB" w:eastAsia="en-GB"/>
              </w:rPr>
            </w:pPr>
            <w:r>
              <w:rPr>
                <w:rFonts w:ascii="Arial" w:hAnsi="Arial" w:cs="Arial"/>
                <w:b/>
                <w:lang w:eastAsia="zh-HK"/>
              </w:rPr>
              <w:t xml:space="preserve">Within </w:t>
            </w:r>
            <w:r>
              <w:rPr>
                <w:rFonts w:ascii="Arial" w:hAnsi="Arial" w:cs="Arial"/>
                <w:b/>
              </w:rPr>
              <w:t>20 days after submission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2" w:type="dxa"/>
            <w:tcBorders>
              <w:top w:val="single" w:color="auto" w:sz="4" w:space="0"/>
              <w:left w:val="single" w:color="auto" w:sz="4" w:space="0"/>
              <w:bottom w:val="single" w:color="auto" w:sz="4" w:space="0"/>
              <w:right w:val="single" w:color="auto" w:sz="4" w:space="0"/>
            </w:tcBorders>
            <w:shd w:val="pct10" w:color="auto" w:fill="auto"/>
          </w:tcPr>
          <w:p>
            <w:pPr>
              <w:spacing w:before="120" w:after="120"/>
              <w:jc w:val="both"/>
              <w:rPr>
                <w:rFonts w:ascii="Arial" w:hAnsi="Arial" w:cs="Arial"/>
                <w:b/>
                <w:lang w:val="en-GB" w:eastAsia="en-GB"/>
              </w:rPr>
            </w:pPr>
            <w:r>
              <w:rPr>
                <w:rFonts w:ascii="Arial" w:hAnsi="Arial" w:cs="Arial"/>
                <w:b/>
              </w:rPr>
              <w:t>Submission method:</w:t>
            </w:r>
          </w:p>
        </w:tc>
        <w:tc>
          <w:tcPr>
            <w:tcW w:w="7823" w:type="dxa"/>
            <w:gridSpan w:val="3"/>
            <w:tcBorders>
              <w:top w:val="single" w:color="auto" w:sz="4" w:space="0"/>
              <w:left w:val="single" w:color="auto" w:sz="4" w:space="0"/>
              <w:bottom w:val="single" w:color="auto" w:sz="4" w:space="0"/>
              <w:right w:val="single" w:color="auto" w:sz="4" w:space="0"/>
            </w:tcBorders>
          </w:tcPr>
          <w:p>
            <w:pPr>
              <w:rPr>
                <w:rFonts w:ascii="Arial" w:hAnsi="Arial" w:cs="Arial"/>
                <w:lang w:eastAsia="en-GB"/>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pPr>
              <w:spacing w:before="120" w:after="120"/>
              <w:jc w:val="both"/>
              <w:rPr>
                <w:rFonts w:ascii="Arial" w:hAnsi="Arial" w:cs="Arial"/>
                <w:b/>
              </w:rPr>
            </w:pPr>
            <w:r>
              <w:rPr>
                <w:rFonts w:ascii="Arial" w:hAnsi="Arial" w:cs="Arial"/>
                <w:b/>
              </w:rPr>
              <w:t xml:space="preserve">Alternative submission method (if applicable): </w:t>
            </w:r>
          </w:p>
          <w:p>
            <w:pPr>
              <w:spacing w:before="120" w:after="120"/>
              <w:jc w:val="both"/>
              <w:rPr>
                <w:rFonts w:ascii="Arial" w:hAnsi="Arial" w:cs="Arial"/>
                <w:b/>
                <w:lang w:val="en-GB" w:eastAsia="en-G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2092" w:type="dxa"/>
            <w:tcBorders>
              <w:top w:val="single" w:color="auto" w:sz="4" w:space="0"/>
              <w:left w:val="single" w:color="auto" w:sz="4" w:space="0"/>
              <w:bottom w:val="single" w:color="auto" w:sz="4" w:space="0"/>
              <w:right w:val="single" w:color="auto" w:sz="4" w:space="0"/>
            </w:tcBorders>
            <w:shd w:val="pct10" w:color="auto" w:fill="auto"/>
          </w:tcPr>
          <w:p>
            <w:pPr>
              <w:spacing w:before="120" w:after="120"/>
              <w:rPr>
                <w:rFonts w:ascii="Arial" w:hAnsi="Arial" w:cs="Arial"/>
                <w:b/>
                <w:lang w:val="en-GB" w:eastAsia="en-GB"/>
              </w:rPr>
            </w:pPr>
            <w:r>
              <w:rPr>
                <w:rFonts w:ascii="Arial" w:hAnsi="Arial" w:cs="Arial"/>
                <w:b/>
              </w:rPr>
              <w:t>Academic honesty / referencing:</w:t>
            </w:r>
          </w:p>
        </w:tc>
        <w:tc>
          <w:tcPr>
            <w:tcW w:w="7823" w:type="dxa"/>
            <w:gridSpan w:val="3"/>
            <w:tcBorders>
              <w:top w:val="single" w:color="auto" w:sz="4" w:space="0"/>
              <w:left w:val="single" w:color="auto" w:sz="4" w:space="0"/>
              <w:bottom w:val="single" w:color="auto" w:sz="4" w:space="0"/>
              <w:right w:val="single" w:color="auto" w:sz="4" w:space="0"/>
            </w:tcBorders>
          </w:tcPr>
          <w:p>
            <w:pPr>
              <w:spacing w:before="120" w:after="120"/>
              <w:jc w:val="both"/>
              <w:rPr>
                <w:rFonts w:ascii="Arial" w:hAnsi="Arial" w:cs="Arial"/>
                <w:lang w:val="en-GB" w:eastAsia="en-GB"/>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jc w:val="both"/>
        <w:rPr>
          <w:rFonts w:ascii="Times New Roman" w:hAnsi="Times New Roman" w:cs="Times New Roman"/>
          <w:b/>
          <w:bCs/>
          <w:sz w:val="40"/>
          <w:szCs w:val="40"/>
        </w:rPr>
      </w:pPr>
      <w:r>
        <w:rPr>
          <w:rFonts w:ascii="Times New Roman" w:hAnsi="Times New Roman" w:cs="Times New Roman"/>
          <w:b/>
          <w:bCs/>
          <w:sz w:val="40"/>
          <w:szCs w:val="40"/>
        </w:rPr>
        <w:t>Executive Summary</w:t>
      </w:r>
    </w:p>
    <w:p>
      <w:pPr>
        <w:jc w:val="both"/>
        <w:rPr>
          <w:rFonts w:ascii="Times New Roman" w:hAnsi="Times New Roman" w:cs="Times New Roman"/>
        </w:rPr>
      </w:pPr>
      <w:r>
        <w:rPr>
          <w:rFonts w:ascii="Times New Roman" w:hAnsi="Times New Roman" w:cs="Times New Roman"/>
        </w:rPr>
        <w:t>This research is to study the Financial Resources Management of the Hong Kong Listed Company China Mengniu Dairy Company Limited ((Mengniu), stock code: 2319).</w:t>
      </w:r>
    </w:p>
    <w:p>
      <w:pPr>
        <w:jc w:val="both"/>
        <w:rPr>
          <w:rFonts w:ascii="Times New Roman" w:hAnsi="Times New Roman" w:cs="Times New Roman"/>
        </w:rPr>
      </w:pPr>
      <w:r>
        <w:rPr>
          <w:rFonts w:ascii="Times New Roman" w:hAnsi="Times New Roman" w:cs="Times New Roman"/>
        </w:rPr>
        <w:t>Chapter 1 reviewed comprehensively and thoroughly the company annual reports (year 2016-2018). It enlisted the company background which is related to our subsequent recommendations. It included the current business (establishment year, listing of initial public offering, company value), its major products and services and market distributions, its shareholding and organization structure, industrial overview, business overview and challenges ahead and interest points (awards and recognitions).</w:t>
      </w:r>
    </w:p>
    <w:p>
      <w:pPr>
        <w:jc w:val="both"/>
        <w:rPr>
          <w:rFonts w:ascii="Times New Roman" w:hAnsi="Times New Roman" w:cs="Times New Roman"/>
        </w:rPr>
      </w:pPr>
      <w:r>
        <w:rPr>
          <w:rFonts w:ascii="Times New Roman" w:hAnsi="Times New Roman" w:cs="Times New Roman"/>
        </w:rPr>
        <w:t xml:space="preserve">Chapter 2 compared Mengniu with 2 other dairy product companies Ausnutria Dairy Corporation Limited ((Ausnutria), stock code: 1717) and Yashili International Holdings Limited ((Yashili), stock code: 1230) with quantitatively analysis for trends, different relevant accounting ratios (‘Bankruptcy Index’, ‘profitability’, ‘liquidity and efficiency’, ‘solvency’, ‘stock market prospects’. </w:t>
      </w:r>
    </w:p>
    <w:p>
      <w:pPr>
        <w:jc w:val="both"/>
        <w:rPr>
          <w:rFonts w:ascii="Times New Roman" w:hAnsi="Times New Roman" w:cs="Times New Roman"/>
        </w:rPr>
      </w:pPr>
      <w:r>
        <w:rPr>
          <w:rFonts w:ascii="Times New Roman" w:hAnsi="Times New Roman" w:cs="Times New Roman"/>
        </w:rPr>
        <w:t>Chapter 3 focused on good control and management of financial resources of Mengniu. We are discussing the inadequacy in the current management system and recommendations are made to improve its effectiveness and efficiency.</w:t>
      </w:r>
    </w:p>
    <w:p>
      <w:pPr>
        <w:jc w:val="both"/>
        <w:rPr>
          <w:rFonts w:ascii="Times New Roman" w:hAnsi="Times New Roman" w:cs="Times New Roman"/>
        </w:rPr>
      </w:pPr>
      <w:r>
        <w:rPr>
          <w:rFonts w:ascii="Times New Roman" w:hAnsi="Times New Roman" w:cs="Times New Roman"/>
        </w:rPr>
        <w:t>Chapter 4 discussed on an investment project of Mengniu, which was a factory launched in November 2018 in Indonesia. We discussed the cost, sales and calculated the Payback period, ARR, NPV and IRR of this project. We also provide the brief suggestion about the source of funding for this new project, as the ROA is higher than IRR, we suggest debt capital would be better to finance this investment project.</w:t>
      </w:r>
    </w:p>
    <w:p>
      <w:pPr>
        <w:jc w:val="both"/>
        <w:rPr>
          <w:rFonts w:ascii="Times New Roman" w:hAnsi="Times New Roman" w:cs="Times New Roman"/>
        </w:rPr>
      </w:pPr>
      <w:r>
        <w:rPr>
          <w:rFonts w:ascii="Times New Roman" w:hAnsi="Times New Roman" w:cs="Times New Roman"/>
        </w:rPr>
        <w:t>Chapter 5 discussed on fund-raising and working capital management. Assumed there is need of raising 1 time significant additional cash equivalent to 3% of total assets to finance a project. We discussed the advantage and disadvantage of equity capital and debt capital.</w:t>
      </w:r>
    </w:p>
    <w:p>
      <w:pPr>
        <w:jc w:val="both"/>
        <w:rPr>
          <w:rFonts w:ascii="Times New Roman" w:hAnsi="Times New Roman" w:cs="Times New Roman"/>
        </w:rPr>
      </w:pPr>
      <w:r>
        <w:rPr>
          <w:rFonts w:ascii="Times New Roman" w:hAnsi="Times New Roman" w:cs="Times New Roman"/>
        </w:rPr>
        <w:t xml:space="preserve">Chapter 6 was based on the issues and problems identified in the above chapters and we drafted a quarterly audit plan to improve this company. </w:t>
      </w:r>
    </w:p>
    <w:p>
      <w:pPr>
        <w:jc w:val="both"/>
        <w:rPr>
          <w:rFonts w:ascii="Times New Roman" w:hAnsi="Times New Roman" w:cs="Times New Roman"/>
        </w:rPr>
      </w:pPr>
      <w:r>
        <w:rPr>
          <w:rFonts w:ascii="Times New Roman" w:hAnsi="Times New Roman" w:cs="Times New Roman"/>
        </w:rPr>
        <w:t>In conclusion, we recommend Mengniu to focus on cost control, capital management, risk management and corporate governance in order to tackle the crisis, maintain its profitability, increase its operation efficacy and better its corporate governance.</w:t>
      </w:r>
    </w:p>
    <w:p/>
    <w:p/>
    <w:p/>
    <w:p/>
    <w:p/>
    <w:p/>
    <w:p>
      <w:pPr>
        <w:shd w:val="clear" w:color="auto" w:fill="FFFFFF"/>
        <w:spacing w:line="360" w:lineRule="auto"/>
        <w:ind w:firstLine="720" w:firstLineChars="0"/>
        <w:jc w:val="both"/>
        <w:rPr>
          <w:rFonts w:ascii="Times New Roman" w:hAnsi="Times New Roman" w:eastAsia="Times New Roman" w:cs="Times New Roman"/>
          <w:color w:val="000000"/>
          <w:szCs w:val="24"/>
        </w:rPr>
      </w:pPr>
      <w:r>
        <w:rPr>
          <w:rFonts w:ascii="Times New Roman" w:hAnsi="Times New Roman" w:eastAsia="Times New Roman" w:cs="Times New Roman"/>
          <w:b/>
          <w:color w:val="000000"/>
          <w:szCs w:val="24"/>
        </w:rPr>
        <w:t>Table of Contents(1)</w:t>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 xml:space="preserve">   Page</w:t>
      </w:r>
    </w:p>
    <w:p>
      <w:pPr>
        <w:shd w:val="clear" w:color="auto" w:fill="FFFFFF"/>
        <w:spacing w:line="360" w:lineRule="auto"/>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Chapter 1</w:t>
      </w:r>
      <w:r>
        <w:rPr>
          <w:rFonts w:ascii="Times New Roman" w:hAnsi="Times New Roman" w:eastAsia="Times New Roman" w:cs="Times New Roman"/>
          <w:color w:val="000000"/>
          <w:szCs w:val="24"/>
        </w:rPr>
        <w:tab/>
      </w:r>
      <w:r>
        <w:rPr>
          <w:rFonts w:hint="eastAsia" w:ascii="Times New Roman" w:hAnsi="Times New Roman" w:eastAsia="PMingLiU" w:cs="Times New Roman"/>
          <w:color w:val="000000"/>
          <w:szCs w:val="24"/>
          <w:lang w:val="en-US" w:eastAsia="zh-TW"/>
        </w:rPr>
        <w:t>1.1</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Company background</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5</w:t>
      </w:r>
    </w:p>
    <w:p>
      <w:pPr>
        <w:shd w:val="clear" w:color="auto" w:fill="FFFFFF"/>
        <w:spacing w:line="360" w:lineRule="auto"/>
        <w:ind w:left="720" w:leftChars="0" w:firstLine="720" w:firstLineChars="0"/>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1.</w:t>
      </w:r>
      <w:r>
        <w:rPr>
          <w:rFonts w:hint="eastAsia" w:ascii="Times New Roman" w:hAnsi="Times New Roman" w:eastAsia="PMingLiU" w:cs="Times New Roman"/>
          <w:color w:val="000000"/>
          <w:szCs w:val="24"/>
          <w:lang w:val="en-US" w:eastAsia="zh-TW"/>
        </w:rPr>
        <w:t>2</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Industry review</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6</w:t>
      </w:r>
    </w:p>
    <w:p>
      <w:pPr>
        <w:pStyle w:val="13"/>
        <w:shd w:val="clear" w:color="auto" w:fill="FFFFFF"/>
        <w:spacing w:line="360" w:lineRule="auto"/>
        <w:ind w:firstLine="720"/>
        <w:jc w:val="both"/>
        <w:rPr>
          <w:rFonts w:hint="default" w:ascii="Times New Roman" w:hAnsi="Times New Roman" w:eastAsia="Times New Roman" w:cs="Times New Roman"/>
          <w:color w:val="000000"/>
          <w:szCs w:val="24"/>
          <w:lang w:val="en-US"/>
        </w:rPr>
      </w:pPr>
      <w:r>
        <w:rPr>
          <w:rFonts w:ascii="Times New Roman" w:hAnsi="Times New Roman" w:eastAsia="Times New Roman" w:cs="Times New Roman"/>
          <w:color w:val="000000"/>
          <w:szCs w:val="24"/>
        </w:rPr>
        <w:t>1</w:t>
      </w:r>
      <w:r>
        <w:rPr>
          <w:rFonts w:hint="eastAsia" w:ascii="Times New Roman" w:hAnsi="Times New Roman" w:eastAsia="PMingLiU" w:cs="Times New Roman"/>
          <w:color w:val="000000"/>
          <w:szCs w:val="24"/>
          <w:lang w:val="en-US" w:eastAsia="zh-TW"/>
        </w:rPr>
        <w:t>.3</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Business overview.........................................................................................  6</w:t>
      </w:r>
    </w:p>
    <w:p>
      <w:pPr>
        <w:shd w:val="clear" w:color="auto" w:fill="FFFFFF"/>
        <w:spacing w:line="360" w:lineRule="auto"/>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Chapter 2</w:t>
      </w:r>
      <w:r>
        <w:rPr>
          <w:rFonts w:ascii="Times New Roman" w:hAnsi="Times New Roman" w:eastAsia="Times New Roman" w:cs="Times New Roman"/>
          <w:color w:val="000000"/>
          <w:szCs w:val="24"/>
        </w:rPr>
        <w:tab/>
      </w:r>
      <w:r>
        <w:rPr>
          <w:rFonts w:hint="eastAsia" w:ascii="Times New Roman" w:hAnsi="Times New Roman" w:eastAsia="PMingLiU" w:cs="Times New Roman"/>
          <w:color w:val="000000"/>
          <w:szCs w:val="24"/>
          <w:lang w:val="en-US" w:eastAsia="zh-TW"/>
        </w:rPr>
        <w:t>2.1</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Mengniu financial analysis</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7</w:t>
      </w:r>
    </w:p>
    <w:p>
      <w:pPr>
        <w:shd w:val="clear" w:color="auto" w:fill="FFFFFF"/>
        <w:spacing w:line="360" w:lineRule="auto"/>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2.</w:t>
      </w:r>
      <w:r>
        <w:rPr>
          <w:rFonts w:hint="eastAsia" w:ascii="Times New Roman" w:hAnsi="Times New Roman" w:eastAsia="PMingLiU" w:cs="Times New Roman"/>
          <w:color w:val="000000"/>
          <w:szCs w:val="24"/>
          <w:lang w:val="en-US" w:eastAsia="zh-TW"/>
        </w:rPr>
        <w:t>2</w:t>
      </w:r>
      <w:r>
        <w:rPr>
          <w:rFonts w:ascii="Times New Roman" w:hAnsi="Times New Roman" w:eastAsia="Times New Roman" w:cs="Times New Roman"/>
          <w:color w:val="000000"/>
          <w:szCs w:val="24"/>
        </w:rPr>
        <w:tab/>
      </w:r>
      <w:r>
        <w:rPr>
          <w:rFonts w:hint="eastAsia" w:ascii="Times New Roman" w:hAnsi="Times New Roman" w:eastAsia="PMingLiU" w:cs="Times New Roman"/>
          <w:color w:val="000000"/>
          <w:szCs w:val="24"/>
          <w:lang w:val="en-US" w:eastAsia="zh-TW"/>
        </w:rPr>
        <w:t>Listed companies bankruptcy index Z-Score analysis</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7</w:t>
      </w:r>
    </w:p>
    <w:p>
      <w:pPr>
        <w:shd w:val="clear" w:color="auto" w:fill="FFFFFF"/>
        <w:spacing w:line="360" w:lineRule="auto"/>
        <w:ind w:left="720" w:leftChars="0" w:firstLine="720" w:firstLineChars="0"/>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2.</w:t>
      </w:r>
      <w:r>
        <w:rPr>
          <w:rFonts w:hint="eastAsia" w:ascii="Times New Roman" w:hAnsi="Times New Roman" w:eastAsia="PMingLiU" w:cs="Times New Roman"/>
          <w:color w:val="000000"/>
          <w:szCs w:val="24"/>
          <w:lang w:val="en-US" w:eastAsia="zh-TW"/>
        </w:rPr>
        <w:t>3</w:t>
      </w:r>
      <w:r>
        <w:rPr>
          <w:rFonts w:ascii="Times New Roman" w:hAnsi="Times New Roman" w:eastAsia="Times New Roman" w:cs="Times New Roman"/>
          <w:color w:val="000000"/>
          <w:szCs w:val="24"/>
        </w:rPr>
        <w:tab/>
      </w:r>
      <w:r>
        <w:rPr>
          <w:rFonts w:hint="eastAsia" w:ascii="Times New Roman" w:hAnsi="Times New Roman" w:eastAsia="PMingLiU" w:cs="Times New Roman"/>
          <w:color w:val="000000"/>
          <w:szCs w:val="24"/>
          <w:lang w:val="en-US" w:eastAsia="zh-TW"/>
        </w:rPr>
        <w:t>Financial structure</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8</w:t>
      </w:r>
    </w:p>
    <w:p>
      <w:pPr>
        <w:shd w:val="clear" w:color="auto" w:fill="FFFFFF"/>
        <w:spacing w:line="360" w:lineRule="auto"/>
        <w:ind w:left="720" w:leftChars="0" w:firstLine="720" w:firstLineChars="0"/>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2.</w:t>
      </w:r>
      <w:r>
        <w:rPr>
          <w:rFonts w:hint="eastAsia" w:ascii="Times New Roman" w:hAnsi="Times New Roman" w:eastAsia="PMingLiU" w:cs="Times New Roman"/>
          <w:color w:val="000000"/>
          <w:szCs w:val="24"/>
          <w:lang w:val="en-US" w:eastAsia="zh-TW"/>
        </w:rPr>
        <w:t>4</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Paying debt ability</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9</w:t>
      </w:r>
    </w:p>
    <w:p>
      <w:pPr>
        <w:shd w:val="clear" w:color="auto" w:fill="FFFFFF"/>
        <w:spacing w:line="360" w:lineRule="auto"/>
        <w:ind w:left="720" w:leftChars="0" w:firstLine="720" w:firstLineChars="0"/>
        <w:jc w:val="both"/>
        <w:rPr>
          <w:rFonts w:hint="default" w:ascii="Times New Roman" w:hAnsi="Times New Roman" w:eastAsia="Times New Roman" w:cs="Times New Roman"/>
          <w:color w:val="000000"/>
          <w:szCs w:val="24"/>
          <w:lang w:val="en-US"/>
        </w:rPr>
      </w:pPr>
      <w:r>
        <w:rPr>
          <w:rFonts w:ascii="Times New Roman" w:hAnsi="Times New Roman" w:eastAsia="Times New Roman" w:cs="Times New Roman"/>
          <w:color w:val="000000"/>
          <w:szCs w:val="24"/>
        </w:rPr>
        <w:t>2.</w:t>
      </w:r>
      <w:r>
        <w:rPr>
          <w:rFonts w:hint="eastAsia" w:ascii="Times New Roman" w:hAnsi="Times New Roman" w:eastAsia="PMingLiU" w:cs="Times New Roman"/>
          <w:color w:val="000000"/>
          <w:szCs w:val="24"/>
          <w:lang w:val="en-US" w:eastAsia="zh-TW"/>
        </w:rPr>
        <w:t>5</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Operating ability</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11</w:t>
      </w:r>
    </w:p>
    <w:p>
      <w:pPr>
        <w:shd w:val="clear" w:color="auto" w:fill="FFFFFF"/>
        <w:spacing w:line="360" w:lineRule="auto"/>
        <w:ind w:left="720" w:leftChars="0" w:firstLine="720" w:firstLineChars="0"/>
        <w:jc w:val="both"/>
        <w:rPr>
          <w:rFonts w:hint="default" w:ascii="Times New Roman" w:hAnsi="Times New Roman" w:eastAsia="Times New Roman" w:cs="Times New Roman"/>
          <w:color w:val="000000"/>
          <w:szCs w:val="24"/>
          <w:lang w:val="en-US"/>
        </w:rPr>
      </w:pPr>
      <w:r>
        <w:rPr>
          <w:rFonts w:ascii="Times New Roman" w:hAnsi="Times New Roman" w:eastAsia="Times New Roman" w:cs="Times New Roman"/>
          <w:color w:val="000000"/>
          <w:szCs w:val="24"/>
        </w:rPr>
        <w:t>2.</w:t>
      </w:r>
      <w:r>
        <w:rPr>
          <w:rFonts w:hint="eastAsia" w:ascii="Times New Roman" w:hAnsi="Times New Roman" w:eastAsia="PMingLiU" w:cs="Times New Roman"/>
          <w:color w:val="000000"/>
          <w:szCs w:val="24"/>
          <w:lang w:val="en-US" w:eastAsia="zh-TW"/>
        </w:rPr>
        <w:t>6</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Profitability</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13</w:t>
      </w:r>
    </w:p>
    <w:p>
      <w:pPr>
        <w:shd w:val="clear" w:color="auto" w:fill="FFFFFF"/>
        <w:spacing w:line="360" w:lineRule="auto"/>
        <w:ind w:left="720" w:leftChars="0" w:firstLine="720" w:firstLineChars="0"/>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2.</w:t>
      </w:r>
      <w:r>
        <w:rPr>
          <w:rFonts w:hint="eastAsia" w:ascii="Times New Roman" w:hAnsi="Times New Roman" w:eastAsia="PMingLiU" w:cs="Times New Roman"/>
          <w:color w:val="000000"/>
          <w:szCs w:val="24"/>
          <w:lang w:val="en-US" w:eastAsia="zh-TW"/>
        </w:rPr>
        <w:t>7</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Growth ability</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14</w:t>
      </w:r>
    </w:p>
    <w:p>
      <w:pPr>
        <w:shd w:val="clear" w:color="auto" w:fill="FFFFFF"/>
        <w:spacing w:line="360" w:lineRule="auto"/>
        <w:ind w:left="720" w:leftChars="0" w:firstLine="720" w:firstLineChars="0"/>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2.</w:t>
      </w:r>
      <w:r>
        <w:rPr>
          <w:rFonts w:hint="eastAsia" w:ascii="Times New Roman" w:hAnsi="Times New Roman" w:eastAsia="PMingLiU" w:cs="Times New Roman"/>
          <w:color w:val="000000"/>
          <w:szCs w:val="24"/>
          <w:lang w:val="en-US" w:eastAsia="zh-TW"/>
        </w:rPr>
        <w:t>8</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Stock Market Prospects Analysis</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16</w:t>
      </w:r>
    </w:p>
    <w:p>
      <w:pPr>
        <w:shd w:val="clear" w:color="auto" w:fill="FFFFFF"/>
        <w:spacing w:line="360" w:lineRule="auto"/>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Chapter 3</w:t>
      </w:r>
      <w:r>
        <w:rPr>
          <w:rFonts w:ascii="Times New Roman" w:hAnsi="Times New Roman" w:eastAsia="Times New Roman" w:cs="Times New Roman"/>
          <w:color w:val="000000"/>
          <w:szCs w:val="24"/>
        </w:rPr>
        <w:tab/>
      </w:r>
      <w:r>
        <w:rPr>
          <w:rFonts w:hint="eastAsia" w:ascii="Times New Roman" w:hAnsi="Times New Roman" w:eastAsia="PMingLiU" w:cs="Times New Roman"/>
          <w:color w:val="000000"/>
          <w:szCs w:val="24"/>
          <w:lang w:val="en-US" w:eastAsia="zh-TW"/>
        </w:rPr>
        <w:t>3.1</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Mengniu</w:t>
      </w:r>
      <w:r>
        <w:rPr>
          <w:rFonts w:hint="default" w:ascii="Times New Roman" w:hAnsi="Times New Roman" w:eastAsia="PMingLiU" w:cs="Times New Roman"/>
          <w:color w:val="000000"/>
          <w:szCs w:val="24"/>
          <w:lang w:val="en-US" w:eastAsia="zh-TW"/>
        </w:rPr>
        <w:t>’</w:t>
      </w:r>
      <w:r>
        <w:rPr>
          <w:rFonts w:hint="eastAsia" w:ascii="Times New Roman" w:hAnsi="Times New Roman" w:eastAsia="PMingLiU" w:cs="Times New Roman"/>
          <w:color w:val="000000"/>
          <w:szCs w:val="24"/>
          <w:lang w:val="en-US" w:eastAsia="zh-TW"/>
        </w:rPr>
        <w:t>s Corporate Governance Assessment</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xml:space="preserve">   17</w:t>
      </w:r>
    </w:p>
    <w:p>
      <w:pPr>
        <w:shd w:val="clear" w:color="auto" w:fill="FFFFFF"/>
        <w:spacing w:line="360" w:lineRule="auto"/>
        <w:jc w:val="both"/>
        <w:rPr>
          <w:rFonts w:hint="default" w:ascii="Times New Roman" w:hAnsi="Times New Roman" w:eastAsia="Times New Roman" w:cs="Times New Roman"/>
          <w:color w:val="000000"/>
          <w:szCs w:val="24"/>
          <w:lang w:val="en-US"/>
        </w:rPr>
      </w:pP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3.</w:t>
      </w:r>
      <w:r>
        <w:rPr>
          <w:rFonts w:hint="eastAsia" w:ascii="Times New Roman" w:hAnsi="Times New Roman" w:eastAsia="PMingLiU" w:cs="Times New Roman"/>
          <w:color w:val="000000"/>
          <w:szCs w:val="24"/>
          <w:lang w:val="en-US" w:eastAsia="zh-TW"/>
        </w:rPr>
        <w:t>2</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Recommendation</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18</w:t>
      </w:r>
    </w:p>
    <w:p>
      <w:pPr>
        <w:shd w:val="clear" w:color="auto" w:fill="FFFFFF"/>
        <w:spacing w:line="360" w:lineRule="auto"/>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Chapter 4</w:t>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4.1</w:t>
      </w:r>
      <w:r>
        <w:rPr>
          <w:rFonts w:ascii="Times New Roman" w:hAnsi="Times New Roman" w:eastAsia="Times New Roman" w:cs="Times New Roman"/>
          <w:color w:val="000000"/>
          <w:szCs w:val="24"/>
        </w:rPr>
        <w:tab/>
      </w:r>
      <w:r>
        <w:rPr>
          <w:rFonts w:hint="eastAsia" w:ascii="Times New Roman" w:hAnsi="Times New Roman" w:eastAsia="PMingLiU" w:cs="Times New Roman"/>
          <w:color w:val="000000"/>
          <w:szCs w:val="24"/>
          <w:lang w:val="en-US" w:eastAsia="zh-TW"/>
        </w:rPr>
        <w:t>Investment appraisals exercise</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xml:space="preserve">  19</w:t>
      </w:r>
    </w:p>
    <w:p>
      <w:pPr>
        <w:shd w:val="clear" w:color="auto" w:fill="FFFFFF"/>
        <w:spacing w:line="360" w:lineRule="auto"/>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4.2</w:t>
      </w:r>
      <w:r>
        <w:rPr>
          <w:rFonts w:ascii="Times New Roman" w:hAnsi="Times New Roman" w:eastAsia="Times New Roman" w:cs="Times New Roman"/>
          <w:color w:val="000000"/>
          <w:szCs w:val="24"/>
        </w:rPr>
        <w:tab/>
      </w:r>
      <w:r>
        <w:rPr>
          <w:rFonts w:hint="eastAsia" w:ascii="Times New Roman" w:hAnsi="Times New Roman" w:eastAsia="PMingLiU" w:cs="Times New Roman"/>
          <w:color w:val="000000"/>
          <w:szCs w:val="24"/>
          <w:lang w:val="en-US" w:eastAsia="zh-TW"/>
        </w:rPr>
        <w:t>Project items basic information</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19</w:t>
      </w:r>
    </w:p>
    <w:p>
      <w:pPr>
        <w:shd w:val="clear" w:color="auto" w:fill="FFFFFF"/>
        <w:spacing w:line="360" w:lineRule="auto"/>
        <w:ind w:left="720" w:leftChars="0" w:firstLine="720" w:firstLineChars="0"/>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4.</w:t>
      </w:r>
      <w:r>
        <w:rPr>
          <w:rFonts w:hint="eastAsia" w:ascii="Times New Roman" w:hAnsi="Times New Roman" w:eastAsia="PMingLiU" w:cs="Times New Roman"/>
          <w:color w:val="000000"/>
          <w:szCs w:val="24"/>
          <w:lang w:val="en-US" w:eastAsia="zh-TW"/>
        </w:rPr>
        <w:t>3</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The first year calculation of sales</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20</w:t>
      </w:r>
    </w:p>
    <w:p>
      <w:pPr>
        <w:shd w:val="clear" w:color="auto" w:fill="FFFFFF"/>
        <w:spacing w:line="360" w:lineRule="auto"/>
        <w:ind w:left="720" w:leftChars="0" w:firstLine="720" w:firstLineChars="0"/>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4.</w:t>
      </w:r>
      <w:r>
        <w:rPr>
          <w:rFonts w:hint="eastAsia" w:ascii="Times New Roman" w:hAnsi="Times New Roman" w:eastAsia="PMingLiU" w:cs="Times New Roman"/>
          <w:color w:val="000000"/>
          <w:szCs w:val="24"/>
          <w:lang w:val="en-US" w:eastAsia="zh-TW"/>
        </w:rPr>
        <w:t>4</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Computing tax cost</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20</w:t>
      </w:r>
    </w:p>
    <w:p>
      <w:pPr>
        <w:shd w:val="clear" w:color="auto" w:fill="FFFFFF"/>
        <w:spacing w:line="360" w:lineRule="auto"/>
        <w:ind w:left="1157" w:leftChars="526" w:firstLine="277" w:firstLineChars="126"/>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4.</w:t>
      </w:r>
      <w:r>
        <w:rPr>
          <w:rFonts w:hint="eastAsia" w:ascii="Times New Roman" w:hAnsi="Times New Roman" w:eastAsia="PMingLiU" w:cs="Times New Roman"/>
          <w:color w:val="000000"/>
          <w:szCs w:val="24"/>
          <w:lang w:val="en-US" w:eastAsia="zh-TW"/>
        </w:rPr>
        <w:t>5</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Cashflow calculation</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xml:space="preserve">  21</w:t>
      </w:r>
    </w:p>
    <w:p>
      <w:pPr>
        <w:shd w:val="clear" w:color="auto" w:fill="FFFFFF"/>
        <w:spacing w:line="360" w:lineRule="auto"/>
        <w:ind w:left="720" w:leftChars="0" w:firstLine="720" w:firstLineChars="0"/>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4.</w:t>
      </w:r>
      <w:r>
        <w:rPr>
          <w:rFonts w:hint="eastAsia" w:ascii="Times New Roman" w:hAnsi="Times New Roman" w:eastAsia="PMingLiU" w:cs="Times New Roman"/>
          <w:color w:val="000000"/>
          <w:szCs w:val="24"/>
          <w:lang w:val="en-US" w:eastAsia="zh-TW"/>
        </w:rPr>
        <w:t>6</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ARR, NPV and IRR calculation</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21</w:t>
      </w:r>
    </w:p>
    <w:p>
      <w:pPr>
        <w:shd w:val="clear" w:color="auto" w:fill="FFFFFF"/>
        <w:spacing w:line="360" w:lineRule="auto"/>
        <w:ind w:left="1157" w:leftChars="526" w:firstLine="277" w:firstLineChars="126"/>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4.</w:t>
      </w:r>
      <w:r>
        <w:rPr>
          <w:rFonts w:hint="eastAsia" w:ascii="Times New Roman" w:hAnsi="Times New Roman" w:eastAsia="PMingLiU" w:cs="Times New Roman"/>
          <w:color w:val="000000"/>
          <w:szCs w:val="24"/>
          <w:lang w:val="en-US" w:eastAsia="zh-TW"/>
        </w:rPr>
        <w:t>7</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Payback period calculation</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23</w:t>
      </w:r>
    </w:p>
    <w:p>
      <w:pPr>
        <w:shd w:val="clear" w:color="auto" w:fill="FFFFFF"/>
        <w:spacing w:line="360" w:lineRule="auto"/>
        <w:ind w:firstLine="720" w:firstLineChars="0"/>
        <w:jc w:val="both"/>
        <w:rPr>
          <w:rFonts w:ascii="Times New Roman" w:hAnsi="Times New Roman" w:eastAsia="Times New Roman" w:cs="Times New Roman"/>
          <w:b/>
          <w:color w:val="000000"/>
          <w:szCs w:val="24"/>
        </w:rPr>
      </w:pPr>
    </w:p>
    <w:p>
      <w:pPr>
        <w:shd w:val="clear" w:color="auto" w:fill="FFFFFF"/>
        <w:spacing w:line="360" w:lineRule="auto"/>
        <w:ind w:firstLine="720" w:firstLineChars="0"/>
        <w:jc w:val="both"/>
        <w:rPr>
          <w:rFonts w:ascii="Times New Roman" w:hAnsi="Times New Roman" w:eastAsia="Times New Roman" w:cs="Times New Roman"/>
          <w:color w:val="000000"/>
          <w:szCs w:val="24"/>
        </w:rPr>
      </w:pPr>
      <w:r>
        <w:rPr>
          <w:rFonts w:ascii="Times New Roman" w:hAnsi="Times New Roman" w:eastAsia="Times New Roman" w:cs="Times New Roman"/>
          <w:b/>
          <w:color w:val="000000"/>
          <w:szCs w:val="24"/>
        </w:rPr>
        <w:t>Table of Contents(</w:t>
      </w:r>
      <w:r>
        <w:rPr>
          <w:rFonts w:hint="eastAsia" w:ascii="Times New Roman" w:hAnsi="Times New Roman" w:eastAsia="PMingLiU" w:cs="Times New Roman"/>
          <w:b/>
          <w:color w:val="000000"/>
          <w:szCs w:val="24"/>
          <w:lang w:val="en-US" w:eastAsia="zh-TW"/>
        </w:rPr>
        <w:t>2)</w:t>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ab/>
      </w:r>
      <w:r>
        <w:rPr>
          <w:rFonts w:ascii="Times New Roman" w:hAnsi="Times New Roman" w:eastAsia="Times New Roman" w:cs="Times New Roman"/>
          <w:color w:val="000000"/>
          <w:szCs w:val="24"/>
        </w:rPr>
        <w:t xml:space="preserve">   Page</w:t>
      </w:r>
    </w:p>
    <w:p>
      <w:pPr>
        <w:shd w:val="clear" w:color="auto" w:fill="FFFFFF"/>
        <w:spacing w:line="360" w:lineRule="auto"/>
        <w:ind w:left="1157" w:leftChars="526" w:firstLine="277" w:firstLineChars="126"/>
        <w:jc w:val="both"/>
        <w:rPr>
          <w:rFonts w:hint="default" w:ascii="Times New Roman" w:hAnsi="Times New Roman" w:eastAsia="PMingLiU" w:cs="Times New Roman"/>
          <w:color w:val="000000"/>
          <w:szCs w:val="24"/>
          <w:lang w:val="en-US" w:eastAsia="zh-TW"/>
        </w:rPr>
      </w:pPr>
      <w:r>
        <w:rPr>
          <w:rFonts w:hint="eastAsia" w:ascii="Times New Roman" w:hAnsi="Times New Roman" w:eastAsia="PMingLiU" w:cs="Times New Roman"/>
          <w:color w:val="000000"/>
          <w:szCs w:val="24"/>
          <w:lang w:val="en-US" w:eastAsia="zh-TW"/>
        </w:rPr>
        <w:t>4.8</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The appraisal of the investment project........................................................  23</w:t>
      </w:r>
    </w:p>
    <w:p>
      <w:pPr>
        <w:shd w:val="clear" w:color="auto" w:fill="FFFFFF"/>
        <w:spacing w:line="360" w:lineRule="auto"/>
        <w:jc w:val="both"/>
        <w:rPr>
          <w:rFonts w:hint="default" w:ascii="Times New Roman" w:hAnsi="Times New Roman" w:eastAsia="PMingLiU" w:cs="Times New Roman"/>
          <w:color w:val="000000"/>
          <w:szCs w:val="24"/>
          <w:lang w:val="en-US" w:eastAsia="zh-TW"/>
        </w:rPr>
      </w:pPr>
      <w:r>
        <w:rPr>
          <w:rFonts w:hint="eastAsia" w:ascii="Times New Roman" w:hAnsi="Times New Roman" w:eastAsia="PMingLiU" w:cs="Times New Roman"/>
          <w:color w:val="000000"/>
          <w:szCs w:val="24"/>
          <w:lang w:val="en-US" w:eastAsia="zh-TW"/>
        </w:rPr>
        <w:t>Chapter 5</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5.1</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Financing (Fund-raising) Management and working capital management...  24</w:t>
      </w:r>
    </w:p>
    <w:p>
      <w:pPr>
        <w:shd w:val="clear" w:color="auto" w:fill="FFFFFF"/>
        <w:spacing w:line="360" w:lineRule="auto"/>
        <w:ind w:left="720" w:leftChars="0" w:firstLine="720" w:firstLineChars="0"/>
        <w:jc w:val="both"/>
        <w:rPr>
          <w:rFonts w:hint="default" w:ascii="Times New Roman" w:hAnsi="Times New Roman" w:eastAsia="PMingLiU" w:cs="Times New Roman"/>
          <w:color w:val="000000"/>
          <w:szCs w:val="24"/>
          <w:lang w:val="en-US" w:eastAsia="zh-TW"/>
        </w:rPr>
      </w:pPr>
      <w:r>
        <w:rPr>
          <w:rFonts w:hint="eastAsia" w:ascii="Times New Roman" w:hAnsi="Times New Roman" w:eastAsia="PMingLiU" w:cs="Times New Roman"/>
          <w:color w:val="000000"/>
          <w:szCs w:val="24"/>
          <w:lang w:val="en-US" w:eastAsia="zh-TW"/>
        </w:rPr>
        <w:t>5.2</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Financing recommendation</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25</w:t>
      </w:r>
    </w:p>
    <w:p>
      <w:pPr>
        <w:shd w:val="clear" w:color="auto" w:fill="FFFFFF"/>
        <w:spacing w:line="360" w:lineRule="auto"/>
        <w:ind w:left="220" w:hanging="220" w:hangingChars="100"/>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 xml:space="preserve">Chapter </w:t>
      </w:r>
      <w:r>
        <w:rPr>
          <w:rFonts w:hint="eastAsia" w:ascii="Times New Roman" w:hAnsi="Times New Roman" w:eastAsia="PMingLiU" w:cs="Times New Roman"/>
          <w:color w:val="000000"/>
          <w:szCs w:val="24"/>
          <w:lang w:val="en-US" w:eastAsia="zh-TW"/>
        </w:rPr>
        <w:t>6</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6.1</w:t>
      </w:r>
      <w:r>
        <w:rPr>
          <w:rFonts w:hint="eastAsia" w:ascii="Times New Roman" w:hAnsi="Times New Roman" w:eastAsia="PMingLiU" w:cs="Times New Roman"/>
          <w:color w:val="000000"/>
          <w:szCs w:val="24"/>
          <w:lang w:val="en-US" w:eastAsia="zh-TW"/>
        </w:rPr>
        <w:tab/>
      </w:r>
      <w:r>
        <w:rPr>
          <w:rFonts w:hint="eastAsia" w:ascii="Times New Roman" w:hAnsi="Times New Roman" w:eastAsia="PMingLiU" w:cs="Times New Roman"/>
          <w:color w:val="000000"/>
          <w:szCs w:val="24"/>
          <w:lang w:val="en-US" w:eastAsia="zh-TW"/>
        </w:rPr>
        <w:t>Audit Plan</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26</w:t>
      </w:r>
    </w:p>
    <w:p>
      <w:pPr>
        <w:shd w:val="clear" w:color="auto" w:fill="FFFFFF"/>
        <w:spacing w:line="360" w:lineRule="auto"/>
        <w:jc w:val="both"/>
        <w:rPr>
          <w:rFonts w:hint="default" w:ascii="Times New Roman" w:hAnsi="Times New Roman" w:eastAsia="PMingLiU" w:cs="Times New Roman"/>
          <w:color w:val="000000"/>
          <w:szCs w:val="24"/>
          <w:lang w:val="en-US" w:eastAsia="zh-TW"/>
        </w:rPr>
      </w:pPr>
      <w:r>
        <w:rPr>
          <w:rFonts w:hint="eastAsia" w:ascii="Times New Roman" w:hAnsi="Times New Roman" w:eastAsia="PMingLiU" w:cs="Times New Roman"/>
          <w:color w:val="000000"/>
          <w:szCs w:val="24"/>
          <w:lang w:val="en-US" w:eastAsia="zh-TW"/>
        </w:rPr>
        <w:t>Reference....................</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27</w:t>
      </w:r>
    </w:p>
    <w:p>
      <w:pPr>
        <w:shd w:val="clear" w:color="auto" w:fill="FFFFFF"/>
        <w:spacing w:line="360" w:lineRule="auto"/>
        <w:jc w:val="both"/>
        <w:rPr>
          <w:rFonts w:hint="default" w:ascii="Times New Roman" w:hAnsi="Times New Roman" w:eastAsia="PMingLiU" w:cs="Times New Roman"/>
          <w:color w:val="000000"/>
          <w:szCs w:val="24"/>
          <w:lang w:val="en-US" w:eastAsia="zh-TW"/>
        </w:rPr>
      </w:pPr>
      <w:r>
        <w:rPr>
          <w:rFonts w:ascii="Times New Roman" w:hAnsi="Times New Roman" w:eastAsia="Times New Roman" w:cs="Times New Roman"/>
          <w:color w:val="000000"/>
          <w:szCs w:val="24"/>
        </w:rPr>
        <w:t>Appendi</w:t>
      </w:r>
      <w:r>
        <w:rPr>
          <w:rFonts w:hint="eastAsia" w:ascii="Times New Roman" w:hAnsi="Times New Roman" w:eastAsia="PMingLiU" w:cs="Times New Roman"/>
          <w:color w:val="000000"/>
          <w:szCs w:val="24"/>
          <w:lang w:val="en-US" w:eastAsia="zh-TW"/>
        </w:rPr>
        <w:t>x 1</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33</w:t>
      </w:r>
    </w:p>
    <w:p>
      <w:pPr>
        <w:shd w:val="clear" w:color="auto" w:fill="FFFFFF"/>
        <w:spacing w:line="360" w:lineRule="auto"/>
        <w:jc w:val="both"/>
        <w:rPr>
          <w:rFonts w:hint="default" w:ascii="Times New Roman" w:hAnsi="Times New Roman" w:eastAsia="Times New Roman" w:cs="Times New Roman"/>
          <w:color w:val="000000"/>
          <w:szCs w:val="24"/>
          <w:lang w:val="en-US"/>
        </w:rPr>
      </w:pPr>
      <w:r>
        <w:rPr>
          <w:rFonts w:ascii="Times New Roman" w:hAnsi="Times New Roman" w:eastAsia="Times New Roman" w:cs="Times New Roman"/>
          <w:color w:val="000000"/>
          <w:szCs w:val="24"/>
        </w:rPr>
        <w:t>Appendi</w:t>
      </w:r>
      <w:r>
        <w:rPr>
          <w:rFonts w:hint="eastAsia" w:ascii="Times New Roman" w:hAnsi="Times New Roman" w:eastAsia="PMingLiU" w:cs="Times New Roman"/>
          <w:color w:val="000000"/>
          <w:szCs w:val="24"/>
          <w:lang w:val="en-US" w:eastAsia="zh-TW"/>
        </w:rPr>
        <w:t>x 2</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36</w:t>
      </w:r>
    </w:p>
    <w:p>
      <w:pPr>
        <w:shd w:val="clear" w:color="auto" w:fill="FFFFFF"/>
        <w:spacing w:line="360" w:lineRule="auto"/>
        <w:jc w:val="both"/>
        <w:rPr>
          <w:rFonts w:hint="default" w:ascii="Times New Roman" w:hAnsi="Times New Roman" w:eastAsia="Times New Roman" w:cs="Times New Roman"/>
          <w:color w:val="000000"/>
          <w:szCs w:val="24"/>
          <w:lang w:val="en-US"/>
        </w:rPr>
      </w:pPr>
      <w:r>
        <w:rPr>
          <w:rFonts w:ascii="Times New Roman" w:hAnsi="Times New Roman" w:eastAsia="Times New Roman" w:cs="Times New Roman"/>
          <w:color w:val="000000"/>
          <w:szCs w:val="24"/>
        </w:rPr>
        <w:t>Appendi</w:t>
      </w:r>
      <w:r>
        <w:rPr>
          <w:rFonts w:hint="eastAsia" w:ascii="Times New Roman" w:hAnsi="Times New Roman" w:eastAsia="PMingLiU" w:cs="Times New Roman"/>
          <w:color w:val="000000"/>
          <w:szCs w:val="24"/>
          <w:lang w:val="en-US" w:eastAsia="zh-TW"/>
        </w:rPr>
        <w:t>x 3</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39</w:t>
      </w:r>
    </w:p>
    <w:p>
      <w:pPr>
        <w:shd w:val="clear" w:color="auto" w:fill="FFFFFF"/>
        <w:spacing w:line="360" w:lineRule="auto"/>
        <w:jc w:val="both"/>
        <w:rPr>
          <w:rFonts w:hint="default" w:ascii="Times New Roman" w:hAnsi="Times New Roman" w:eastAsia="Times New Roman" w:cs="Times New Roman"/>
          <w:color w:val="000000"/>
          <w:szCs w:val="24"/>
          <w:lang w:val="en-US"/>
        </w:rPr>
      </w:pPr>
      <w:r>
        <w:rPr>
          <w:rFonts w:ascii="Times New Roman" w:hAnsi="Times New Roman" w:eastAsia="Times New Roman" w:cs="Times New Roman"/>
          <w:color w:val="000000"/>
          <w:szCs w:val="24"/>
        </w:rPr>
        <w:t>Appendi</w:t>
      </w:r>
      <w:r>
        <w:rPr>
          <w:rFonts w:hint="eastAsia" w:ascii="Times New Roman" w:hAnsi="Times New Roman" w:eastAsia="PMingLiU" w:cs="Times New Roman"/>
          <w:color w:val="000000"/>
          <w:szCs w:val="24"/>
          <w:lang w:val="en-US" w:eastAsia="zh-TW"/>
        </w:rPr>
        <w:t>x 4</w:t>
      </w:r>
      <w:r>
        <w:rPr>
          <w:rFonts w:ascii="Times New Roman" w:hAnsi="Times New Roman" w:eastAsia="Times New Roman" w:cs="Times New Roman"/>
          <w:color w:val="000000"/>
          <w:szCs w:val="24"/>
        </w:rPr>
        <w:t>…………………………………………………………..…………..…</w:t>
      </w:r>
      <w:r>
        <w:rPr>
          <w:rFonts w:hint="eastAsia" w:ascii="Times New Roman" w:hAnsi="Times New Roman" w:eastAsia="PMingLiU" w:cs="Times New Roman"/>
          <w:color w:val="000000"/>
          <w:szCs w:val="24"/>
          <w:lang w:val="en-US" w:eastAsia="zh-TW"/>
        </w:rPr>
        <w:t>............................  42</w:t>
      </w:r>
    </w:p>
    <w:p/>
    <w:p/>
    <w:p/>
    <w:p/>
    <w:p/>
    <w:p/>
    <w:p/>
    <w:p/>
    <w:p/>
    <w:p/>
    <w:p/>
    <w:p/>
    <w:p/>
    <w:p/>
    <w:p>
      <w:pPr>
        <w:rPr>
          <w:rFonts w:ascii="Times New Roman" w:hAnsi="Times New Roman" w:cs="Times New Roman"/>
          <w:sz w:val="40"/>
          <w:szCs w:val="40"/>
        </w:rPr>
      </w:pPr>
      <w:r>
        <w:rPr>
          <w:rFonts w:ascii="Times New Roman" w:hAnsi="Times New Roman" w:cs="Times New Roman"/>
          <w:sz w:val="40"/>
          <w:szCs w:val="40"/>
        </w:rPr>
        <w:t>Chapter 1</w:t>
      </w:r>
    </w:p>
    <w:p>
      <w:pPr>
        <w:jc w:val="both"/>
        <w:rPr>
          <w:rFonts w:ascii="Times New Roman" w:hAnsi="Times New Roman" w:cs="Times New Roman"/>
          <w:b/>
        </w:rPr>
      </w:pPr>
      <w:r>
        <w:rPr>
          <w:rFonts w:ascii="Times New Roman" w:hAnsi="Times New Roman" w:cs="Times New Roman"/>
          <w:b/>
        </w:rPr>
        <w:t>1.1</w:t>
      </w:r>
      <w:r>
        <w:rPr>
          <w:rFonts w:ascii="Times New Roman" w:hAnsi="Times New Roman" w:cs="Times New Roman"/>
          <w:b/>
        </w:rPr>
        <w:tab/>
      </w:r>
      <w:r>
        <w:rPr>
          <w:rFonts w:ascii="Times New Roman" w:hAnsi="Times New Roman" w:cs="Times New Roman"/>
          <w:b/>
        </w:rPr>
        <w:t>Company background</w:t>
      </w:r>
    </w:p>
    <w:p>
      <w:pPr>
        <w:jc w:val="both"/>
        <w:rPr>
          <w:rFonts w:ascii="Times New Roman" w:hAnsi="Times New Roman" w:cs="Times New Roman"/>
        </w:rPr>
      </w:pPr>
      <w:r>
        <w:rPr>
          <w:rFonts w:ascii="Times New Roman" w:hAnsi="Times New Roman" w:cs="Times New Roman"/>
        </w:rPr>
        <w:t>China Mengniu Dairy Company Limited (Mengniu) distributes and manufactures dairy products in Mainland China, with MENGNIU as its core brand. Its year of establishment was year 1995. It has diversified products include cheese, plant-based protein beverage, milk formula, ice cream and milk in liquid form like yogurt, milk beverages and UHT milk. In year 2018, Mengniu annual production dairy products capacity reached 9.75 million tons (China Mengniu Dairy Company Limited, 2019).</w:t>
      </w:r>
    </w:p>
    <w:p>
      <w:pPr>
        <w:jc w:val="both"/>
        <w:rPr>
          <w:rFonts w:ascii="Times New Roman" w:hAnsi="Times New Roman" w:cs="Times New Roman"/>
        </w:rPr>
      </w:pPr>
      <w:r>
        <w:rPr>
          <w:rFonts w:ascii="Times New Roman" w:hAnsi="Times New Roman" w:cs="Times New Roman"/>
        </w:rPr>
        <w:t>On Tuesday, 8 June 2004, China Mengniu Dairy Company Limited successfully Listed on The Main Board of the Stock Exchange of Hong Kong Limited, with Offer Price HK$3.925 per Share, with global offering of 350,000,000 Shares .The stock code was 2319 (China Mengniu Dairy Company Limited, 2004). The current value of share is HK$30.150 (Aastocks, 2019a). Mengniu became the first blue chip Chinese dairy product enterprise (Hang Seng Index constituent).</w:t>
      </w:r>
    </w:p>
    <w:p>
      <w:pPr>
        <w:jc w:val="both"/>
        <w:rPr>
          <w:rFonts w:ascii="Times New Roman" w:hAnsi="Times New Roman" w:cs="Times New Roman"/>
        </w:rPr>
      </w:pPr>
      <w:r>
        <w:rPr>
          <w:rFonts w:ascii="Times New Roman" w:hAnsi="Times New Roman" w:cs="Times New Roman"/>
        </w:rPr>
        <w:t>The revenue generated by product mix, liquid milk generated most of the revenue (59388.6 million RMB), the second revenue generating product is milk formula (6017.4 million RMB), then ice cream (2723.4 million RMB), the other products represent the rest of the revenue (847.7 million RMB) (China Mengniu Dairy Company Limited, 2019).</w:t>
      </w:r>
    </w:p>
    <w:p>
      <w:pPr>
        <w:jc w:val="both"/>
        <w:rPr>
          <w:rFonts w:ascii="Times New Roman" w:hAnsi="Times New Roman" w:cs="Times New Roman"/>
        </w:rPr>
      </w:pPr>
      <w:r>
        <w:rPr>
          <w:rFonts w:ascii="Times New Roman" w:hAnsi="Times New Roman" w:cs="Times New Roman"/>
        </w:rPr>
        <w:t>For market distribution, Mengniu continued to optimize global deployment. Their dairy products factory mainly situated in different area of Mainland China. They sold dairy products all over the world, and by setting up new factories in other countries (The New Zealand factory commenced production in November 2015 and the Indonesia factory commenced production in November 2018), Mengniu wanted to enforce its Southeast Asia market share (China Mengniu Dairy Company Limited, 2019).</w:t>
      </w:r>
    </w:p>
    <w:p>
      <w:pPr>
        <w:jc w:val="both"/>
        <w:rPr>
          <w:rFonts w:ascii="Times New Roman" w:hAnsi="Times New Roman" w:cs="Times New Roman"/>
        </w:rPr>
      </w:pPr>
      <w:r>
        <w:rPr>
          <w:rFonts w:ascii="Times New Roman" w:hAnsi="Times New Roman" w:cs="Times New Roman"/>
        </w:rPr>
        <w:t>For shareholding and organization structure, the company chairman is Mr. Chen Lang, with 4 main  substantial shareholders (Farwill Limited &amp; Prominent Achiever Limited (31.41%), FIL Limited (6.06%), JP Morgan Chase &amp; Co (5.01%) and Commonwealth Bank of Australia (5.01%) (Aastocks, 2019a). Mengniu held two Listed Companies as well, with 21.49% share capital of China Modern Dairy Holdings Limited (stock code: 1117) and 51.04% share capital of Yashili International Holdings Limited (stock code: 1230)  The Market Capitalization is HK$118.52 billion (Aastocks, 2019b)</w:t>
      </w:r>
    </w:p>
    <w:p>
      <w:pPr>
        <w:jc w:val="both"/>
        <w:rPr>
          <w:rFonts w:ascii="Times New Roman" w:hAnsi="Times New Roman" w:cs="Times New Roman"/>
        </w:rPr>
      </w:pPr>
      <w:r>
        <w:rPr>
          <w:rFonts w:ascii="Times New Roman" w:hAnsi="Times New Roman" w:cs="Times New Roman"/>
        </w:rPr>
        <w:t>The values of this company are concentrating on basic product categories and premium products, make use of its basic competitiveness, enhancing its innovative ability, continuing to focus on development and research of innovative products, destining at healthy, nutritional and premium products (China Mengniu Dairy Company Limited, 2019)</w:t>
      </w:r>
    </w:p>
    <w:p>
      <w:pPr>
        <w:rPr>
          <w:b/>
        </w:rPr>
      </w:pPr>
    </w:p>
    <w:p>
      <w:pPr>
        <w:rPr>
          <w:b/>
        </w:rPr>
      </w:pPr>
    </w:p>
    <w:p>
      <w:pPr>
        <w:rPr>
          <w:b/>
        </w:rPr>
      </w:pPr>
    </w:p>
    <w:p>
      <w:pPr>
        <w:rPr>
          <w:b/>
        </w:rPr>
      </w:pPr>
    </w:p>
    <w:p>
      <w:pPr>
        <w:rPr>
          <w:b/>
        </w:rPr>
      </w:pPr>
      <w:r>
        <w:rPr>
          <w:b/>
        </w:rPr>
        <w:t>1.2</w:t>
      </w:r>
      <w:r>
        <w:rPr>
          <w:b/>
        </w:rPr>
        <w:tab/>
      </w:r>
      <w:r>
        <w:rPr>
          <w:b/>
        </w:rPr>
        <w:t>Industry review</w:t>
      </w:r>
    </w:p>
    <w:p>
      <w:pPr>
        <w:jc w:val="both"/>
        <w:rPr>
          <w:rFonts w:ascii="Times New Roman" w:hAnsi="Times New Roman" w:cs="Times New Roman"/>
        </w:rPr>
      </w:pPr>
      <w:r>
        <w:rPr>
          <w:rFonts w:ascii="Times New Roman" w:hAnsi="Times New Roman" w:cs="Times New Roman"/>
        </w:rPr>
        <w:t>In year 2018, China consumption  and overall economy sustain continuous growth. There was an increment of six point six percent year on year of country’s GDP (90 trillion RMB in year 2018) and nine percent increment of Total retail Sales of Consumer Goods year on year (38 trillion RMB). The government policies continue to support dairy industry which help it to sustain healthy development. There were drastic changes in dairy product industry in year 2018. In June 2018, A circular issued by the State Council of the PRC further boost the dairy product industry and raise the safety and quality of local dairy products, with green development, safeness and quality as terminal goals, help structural reform on the supply side to brands building, quality improvement, industry structure optimization and lower cost. The new policy wants to modernize the dairy industry, increase their competitiveness and efficacy, boost up the quality. Furthermore, the reform of the individual income tax in year 2019 is presumed to raise citizen’s usable income, which help the expenditure in consumption maintain stable growth (China Mengniu Dairy Company Limited, 2019).</w:t>
      </w:r>
    </w:p>
    <w:p>
      <w:pPr>
        <w:jc w:val="both"/>
        <w:rPr>
          <w:rFonts w:ascii="Times New Roman" w:hAnsi="Times New Roman" w:cs="Times New Roman"/>
          <w:b/>
        </w:rPr>
      </w:pPr>
    </w:p>
    <w:p>
      <w:pPr>
        <w:jc w:val="both"/>
        <w:rPr>
          <w:rFonts w:ascii="Times New Roman" w:hAnsi="Times New Roman" w:cs="Times New Roman"/>
          <w:b/>
        </w:rPr>
      </w:pPr>
      <w:r>
        <w:rPr>
          <w:rFonts w:ascii="Times New Roman" w:hAnsi="Times New Roman" w:cs="Times New Roman"/>
          <w:b/>
        </w:rPr>
        <w:t>1.3</w:t>
      </w:r>
      <w:r>
        <w:rPr>
          <w:rFonts w:ascii="Times New Roman" w:hAnsi="Times New Roman" w:cs="Times New Roman"/>
          <w:b/>
        </w:rPr>
        <w:tab/>
      </w:r>
      <w:r>
        <w:rPr>
          <w:rFonts w:ascii="Times New Roman" w:hAnsi="Times New Roman" w:cs="Times New Roman"/>
          <w:b/>
        </w:rPr>
        <w:t>Business overview</w:t>
      </w:r>
    </w:p>
    <w:p>
      <w:pPr>
        <w:jc w:val="both"/>
        <w:rPr>
          <w:rFonts w:ascii="Times New Roman" w:hAnsi="Times New Roman" w:cs="Times New Roman"/>
          <w:b/>
        </w:rPr>
      </w:pPr>
      <w:r>
        <w:rPr>
          <w:rFonts w:ascii="Times New Roman" w:hAnsi="Times New Roman" w:cs="Times New Roman"/>
          <w:b/>
        </w:rPr>
        <w:t>Liquid Milk business</w:t>
      </w:r>
    </w:p>
    <w:p>
      <w:pPr>
        <w:jc w:val="both"/>
        <w:rPr>
          <w:rFonts w:ascii="Times New Roman" w:hAnsi="Times New Roman" w:cs="Times New Roman"/>
        </w:rPr>
      </w:pPr>
      <w:r>
        <w:rPr>
          <w:rFonts w:ascii="Times New Roman" w:hAnsi="Times New Roman" w:cs="Times New Roman"/>
        </w:rPr>
        <w:t>For chilled product business, Mengniu  managed to maintain the number one market share in the chilled product market for thirteen chronological years and attained sales growth in double-digit. For room temperature product business, Mengniu enjoyed a magnificent increment in products volume sales and brand influence in year 2018.</w:t>
      </w:r>
    </w:p>
    <w:p>
      <w:pPr>
        <w:jc w:val="both"/>
        <w:rPr>
          <w:rFonts w:ascii="Times New Roman" w:hAnsi="Times New Roman" w:cs="Times New Roman"/>
          <w:b/>
        </w:rPr>
      </w:pPr>
      <w:r>
        <w:rPr>
          <w:rFonts w:ascii="Times New Roman" w:hAnsi="Times New Roman" w:cs="Times New Roman"/>
          <w:b/>
        </w:rPr>
        <w:t>Milk formula business</w:t>
      </w:r>
    </w:p>
    <w:p>
      <w:pPr>
        <w:jc w:val="both"/>
        <w:rPr>
          <w:rFonts w:ascii="Times New Roman" w:hAnsi="Times New Roman" w:cs="Times New Roman"/>
        </w:rPr>
      </w:pPr>
      <w:r>
        <w:rPr>
          <w:rFonts w:ascii="Times New Roman" w:hAnsi="Times New Roman" w:cs="Times New Roman"/>
        </w:rPr>
        <w:t>Mengniu holds 51% share of Yashili International Holding Limited (stock code: 1230), which owns 5 brands including Arla Baby &amp; Me, Doraler, Reeborne, Dumex and Yashily. They managed to enjoy magnificent growth, with sales climbing through the year, and had converted to profit.</w:t>
      </w:r>
    </w:p>
    <w:p>
      <w:pPr>
        <w:jc w:val="both"/>
        <w:rPr>
          <w:rFonts w:ascii="Times New Roman" w:hAnsi="Times New Roman" w:cs="Times New Roman"/>
          <w:b/>
        </w:rPr>
      </w:pPr>
      <w:r>
        <w:rPr>
          <w:rFonts w:ascii="Times New Roman" w:hAnsi="Times New Roman" w:cs="Times New Roman"/>
          <w:b/>
        </w:rPr>
        <w:t>Ice cream business</w:t>
      </w:r>
    </w:p>
    <w:p>
      <w:pPr>
        <w:jc w:val="both"/>
        <w:rPr>
          <w:rFonts w:ascii="Times New Roman" w:hAnsi="Times New Roman" w:cs="Times New Roman"/>
        </w:rPr>
      </w:pPr>
      <w:r>
        <w:rPr>
          <w:rFonts w:ascii="Times New Roman" w:hAnsi="Times New Roman" w:cs="Times New Roman"/>
        </w:rPr>
        <w:t>During the year, Mengniu launched 28 new ice cream products, which achieved a high single digit growth rate in sales in this division.</w:t>
      </w:r>
    </w:p>
    <w:p>
      <w:pPr>
        <w:jc w:val="both"/>
        <w:rPr>
          <w:rFonts w:ascii="Times New Roman" w:hAnsi="Times New Roman" w:cs="Times New Roman"/>
          <w:b/>
        </w:rPr>
      </w:pPr>
    </w:p>
    <w:p>
      <w:pPr>
        <w:jc w:val="both"/>
        <w:rPr>
          <w:rFonts w:ascii="Times New Roman" w:hAnsi="Times New Roman" w:cs="Times New Roman"/>
          <w:b/>
        </w:rPr>
      </w:pPr>
      <w:r>
        <w:rPr>
          <w:rFonts w:ascii="Times New Roman" w:hAnsi="Times New Roman" w:cs="Times New Roman"/>
          <w:b/>
        </w:rPr>
        <w:t xml:space="preserve">Awards and Recognitions achieved </w:t>
      </w:r>
    </w:p>
    <w:p>
      <w:pPr>
        <w:jc w:val="both"/>
        <w:rPr>
          <w:rFonts w:ascii="Times New Roman" w:hAnsi="Times New Roman" w:cs="Times New Roman"/>
        </w:rPr>
      </w:pPr>
      <w:r>
        <w:rPr>
          <w:rFonts w:ascii="Times New Roman" w:hAnsi="Times New Roman" w:cs="Times New Roman"/>
        </w:rPr>
        <w:t>The world top five hundred valuable brands in Brand Finance’s list.</w:t>
      </w:r>
    </w:p>
    <w:p>
      <w:pPr>
        <w:jc w:val="both"/>
        <w:rPr>
          <w:rFonts w:ascii="Times New Roman" w:hAnsi="Times New Roman" w:cs="Times New Roman"/>
          <w:b/>
          <w:bCs/>
        </w:rPr>
      </w:pPr>
      <w:r>
        <w:rPr>
          <w:rFonts w:ascii="Times New Roman" w:hAnsi="Times New Roman" w:cs="Times New Roman"/>
        </w:rPr>
        <w:t>In the Kantar Worldpanel consumer research statistics, Mengniu ranked second on the ‘Most Chosen Brands in China’ list (China Mengniu Dairy Company Limited, 2019).</w:t>
      </w:r>
    </w:p>
    <w:p/>
    <w:p/>
    <w:p>
      <w:pPr>
        <w:rPr>
          <w:rFonts w:ascii="Times New Roman" w:hAnsi="Times New Roman" w:cs="Times New Roman"/>
          <w:b/>
          <w:sz w:val="40"/>
          <w:szCs w:val="40"/>
        </w:rPr>
      </w:pPr>
      <w:r>
        <w:rPr>
          <w:rFonts w:ascii="Times New Roman" w:hAnsi="Times New Roman" w:cs="Times New Roman"/>
          <w:b/>
          <w:sz w:val="40"/>
          <w:szCs w:val="40"/>
        </w:rPr>
        <w:t>Chapter 2</w:t>
      </w:r>
    </w:p>
    <w:p>
      <w:pPr>
        <w:jc w:val="both"/>
        <w:rPr>
          <w:rFonts w:ascii="Times New Roman" w:hAnsi="Times New Roman" w:cs="Times New Roman"/>
          <w:b/>
        </w:rPr>
      </w:pPr>
      <w:r>
        <w:rPr>
          <w:rFonts w:ascii="Times New Roman" w:hAnsi="Times New Roman" w:cs="Times New Roman"/>
          <w:b/>
        </w:rPr>
        <w:t>2.1</w:t>
      </w:r>
      <w:r>
        <w:rPr>
          <w:rFonts w:ascii="Times New Roman" w:hAnsi="Times New Roman" w:cs="Times New Roman"/>
          <w:b/>
        </w:rPr>
        <w:tab/>
      </w:r>
      <w:r>
        <w:rPr>
          <w:rFonts w:ascii="Times New Roman" w:hAnsi="Times New Roman" w:cs="Times New Roman"/>
          <w:b/>
        </w:rPr>
        <w:t>Mengniu financial analysis.</w:t>
      </w:r>
    </w:p>
    <w:p>
      <w:pPr>
        <w:jc w:val="both"/>
        <w:rPr>
          <w:rFonts w:ascii="Times New Roman" w:hAnsi="Times New Roman" w:cs="Times New Roman"/>
        </w:rPr>
      </w:pPr>
      <w:r>
        <w:rPr>
          <w:rFonts w:ascii="Times New Roman" w:hAnsi="Times New Roman" w:cs="Times New Roman"/>
        </w:rPr>
        <w:t xml:space="preserve">This chapter we will use Mengniu and two other same industry companies </w:t>
      </w:r>
      <w:r>
        <w:rPr>
          <w:rFonts w:hint="eastAsia" w:ascii="Times New Roman" w:hAnsi="Times New Roman" w:cs="Times New Roman"/>
        </w:rPr>
        <w:t xml:space="preserve">(Ausnutria and Yashili) </w:t>
      </w:r>
      <w:r>
        <w:rPr>
          <w:rFonts w:ascii="Times New Roman" w:hAnsi="Times New Roman" w:cs="Times New Roman"/>
        </w:rPr>
        <w:t>to perform the financial analysis.</w:t>
      </w:r>
      <w:r>
        <w:rPr>
          <w:rFonts w:hint="eastAsia" w:ascii="Times New Roman" w:hAnsi="Times New Roman" w:cs="Times New Roman"/>
        </w:rPr>
        <w:t xml:space="preserve"> Appendix 1 is the year 2016-2018 Balance sheet/financial information/calculation of Mengniu, Appendix </w:t>
      </w:r>
      <w:r>
        <w:rPr>
          <w:rFonts w:ascii="Times New Roman" w:hAnsi="Times New Roman" w:cs="Times New Roman"/>
        </w:rPr>
        <w:t>3</w:t>
      </w:r>
      <w:r>
        <w:rPr>
          <w:rFonts w:hint="eastAsia" w:ascii="Times New Roman" w:hAnsi="Times New Roman" w:cs="Times New Roman"/>
        </w:rPr>
        <w:t xml:space="preserve"> is the year 2016-2018 Balance sheet/financial information/calculation of Ausnutria, Appendix </w:t>
      </w:r>
      <w:r>
        <w:rPr>
          <w:rFonts w:ascii="Times New Roman" w:hAnsi="Times New Roman" w:cs="Times New Roman"/>
        </w:rPr>
        <w:t>4</w:t>
      </w:r>
      <w:r>
        <w:rPr>
          <w:rFonts w:hint="eastAsia" w:ascii="Times New Roman" w:hAnsi="Times New Roman" w:cs="Times New Roman"/>
        </w:rPr>
        <w:t xml:space="preserve"> is the year 2016-2018 Balance sheet/financial information/calculation of Yashili. </w:t>
      </w:r>
      <w:r>
        <w:rPr>
          <w:rFonts w:ascii="Times New Roman" w:hAnsi="Times New Roman" w:cs="Times New Roman"/>
        </w:rPr>
        <w:t xml:space="preserve"> There are six areas we are going to compare: their financial structure, the realized and repayment capacity, the capacity of operation, the capacity of profit, the capacity of growth, market value and shares returns. Table XXX shows the data of our findings:</w:t>
      </w:r>
    </w:p>
    <w:p>
      <w:pPr>
        <w:rPr>
          <w:rFonts w:ascii="Times New Roman" w:hAnsi="Times New Roman" w:cs="Times New Roman"/>
          <w:b/>
        </w:rPr>
      </w:pPr>
    </w:p>
    <w:p>
      <w:pPr>
        <w:rPr>
          <w:rFonts w:ascii="Times New Roman" w:hAnsi="Times New Roman" w:cs="Times New Roman"/>
          <w:b/>
        </w:rPr>
      </w:pPr>
      <w:r>
        <w:rPr>
          <w:rFonts w:ascii="Times New Roman" w:hAnsi="Times New Roman" w:cs="Times New Roman"/>
          <w:b/>
        </w:rPr>
        <w:t>2.2</w:t>
      </w:r>
      <w:r>
        <w:rPr>
          <w:rFonts w:ascii="Times New Roman" w:hAnsi="Times New Roman" w:cs="Times New Roman"/>
          <w:b/>
        </w:rPr>
        <w:tab/>
      </w:r>
      <w:r>
        <w:rPr>
          <w:rFonts w:ascii="Times New Roman" w:hAnsi="Times New Roman" w:cs="Times New Roman"/>
          <w:b/>
        </w:rPr>
        <w:t>Listed companies bankruptcy index Z-Score analysis</w:t>
      </w:r>
    </w:p>
    <w:p>
      <w:pPr>
        <w:rPr>
          <w:rFonts w:ascii="Times New Roman" w:hAnsi="Times New Roman" w:cs="Times New Roman"/>
          <w:b/>
        </w:rPr>
      </w:pPr>
      <w:r>
        <w:rPr>
          <w:rFonts w:hint="eastAsia" w:ascii="Times New Roman" w:hAnsi="Times New Roman" w:cs="Times New Roman"/>
          <w:b/>
        </w:rPr>
        <w:t xml:space="preserve">Table 1 </w:t>
      </w:r>
      <w:r>
        <w:rPr>
          <w:rFonts w:hint="eastAsia" w:ascii="Times New Roman" w:hAnsi="Times New Roman" w:cs="Times New Roman"/>
          <w:b/>
        </w:rPr>
        <w:tab/>
      </w:r>
      <w:r>
        <w:rPr>
          <w:rFonts w:hint="eastAsia" w:ascii="Times New Roman" w:hAnsi="Times New Roman" w:cs="Times New Roman"/>
          <w:b/>
        </w:rPr>
        <w:t>L</w:t>
      </w:r>
      <w:r>
        <w:rPr>
          <w:rFonts w:ascii="Times New Roman" w:hAnsi="Times New Roman" w:cs="Times New Roman"/>
          <w:b/>
        </w:rPr>
        <w:t>isted companies of bankruptcy index (Z-Score analysis)</w:t>
      </w:r>
    </w:p>
    <w:tbl>
      <w:tblPr>
        <w:tblStyle w:val="10"/>
        <w:tblW w:w="9561" w:type="dxa"/>
        <w:tblInd w:w="93" w:type="dxa"/>
        <w:tblLayout w:type="fixed"/>
        <w:tblCellMar>
          <w:top w:w="0" w:type="dxa"/>
          <w:left w:w="108" w:type="dxa"/>
          <w:bottom w:w="0" w:type="dxa"/>
          <w:right w:w="108" w:type="dxa"/>
        </w:tblCellMar>
      </w:tblPr>
      <w:tblGrid>
        <w:gridCol w:w="2600"/>
        <w:gridCol w:w="1120"/>
        <w:gridCol w:w="981"/>
        <w:gridCol w:w="1120"/>
        <w:gridCol w:w="1240"/>
        <w:gridCol w:w="1300"/>
        <w:gridCol w:w="1200"/>
      </w:tblGrid>
      <w:tr>
        <w:tblPrEx>
          <w:tblLayout w:type="fixed"/>
          <w:tblCellMar>
            <w:top w:w="0" w:type="dxa"/>
            <w:left w:w="108" w:type="dxa"/>
            <w:bottom w:w="0" w:type="dxa"/>
            <w:right w:w="108" w:type="dxa"/>
          </w:tblCellMar>
        </w:tblPrEx>
        <w:trPr>
          <w:trHeight w:val="315" w:hRule="atLeast"/>
        </w:trPr>
        <w:tc>
          <w:tcPr>
            <w:tcW w:w="2600" w:type="dxa"/>
            <w:tcBorders>
              <w:top w:val="nil"/>
              <w:left w:val="nil"/>
              <w:bottom w:val="nil"/>
              <w:right w:val="nil"/>
            </w:tcBorders>
            <w:shd w:val="clear" w:color="auto" w:fill="auto"/>
            <w:noWrap/>
            <w:vAlign w:val="bottom"/>
          </w:tcPr>
          <w:p>
            <w:pPr>
              <w:spacing w:after="0" w:line="240" w:lineRule="auto"/>
              <w:rPr>
                <w:rFonts w:ascii="Times New Roman" w:hAnsi="Times New Roman" w:eastAsia="Times New Roman" w:cs="Times New Roman"/>
                <w:b/>
                <w:bCs/>
                <w:i/>
                <w:iCs/>
                <w:color w:val="000000"/>
                <w:sz w:val="18"/>
                <w:szCs w:val="18"/>
              </w:rPr>
            </w:pPr>
            <w:r>
              <w:rPr>
                <w:rFonts w:ascii="Times New Roman" w:hAnsi="Times New Roman" w:eastAsia="Times New Roman" w:cs="Times New Roman"/>
                <w:b/>
                <w:bCs/>
                <w:i/>
                <w:iCs/>
                <w:color w:val="000000"/>
                <w:sz w:val="18"/>
                <w:szCs w:val="18"/>
              </w:rPr>
              <w:t>(Company Name)</w:t>
            </w:r>
          </w:p>
        </w:tc>
        <w:tc>
          <w:tcPr>
            <w:tcW w:w="4461" w:type="dxa"/>
            <w:gridSpan w:val="4"/>
            <w:tcBorders>
              <w:top w:val="nil"/>
              <w:left w:val="nil"/>
              <w:bottom w:val="nil"/>
              <w:right w:val="nil"/>
            </w:tcBorders>
            <w:shd w:val="clear" w:color="auto" w:fill="auto"/>
            <w:noWrap/>
          </w:tcPr>
          <w:p>
            <w:pPr>
              <w:spacing w:after="0" w:line="240" w:lineRule="auto"/>
              <w:jc w:val="center"/>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Mengniu</w:t>
            </w:r>
          </w:p>
        </w:tc>
        <w:tc>
          <w:tcPr>
            <w:tcW w:w="1300" w:type="dxa"/>
            <w:tcBorders>
              <w:top w:val="nil"/>
              <w:left w:val="nil"/>
              <w:bottom w:val="nil"/>
              <w:right w:val="nil"/>
            </w:tcBorders>
            <w:shd w:val="clear" w:color="auto" w:fill="auto"/>
            <w:noWrap/>
            <w:vAlign w:val="bottom"/>
          </w:tcPr>
          <w:p>
            <w:pPr>
              <w:spacing w:after="0" w:line="240" w:lineRule="auto"/>
              <w:jc w:val="center"/>
              <w:rPr>
                <w:rFonts w:ascii="Times New Roman" w:hAnsi="Times New Roman" w:eastAsia="Times New Roman" w:cs="Times New Roman"/>
                <w:b/>
                <w:bCs/>
                <w:color w:val="545454"/>
                <w:sz w:val="18"/>
                <w:szCs w:val="18"/>
              </w:rPr>
            </w:pPr>
            <w:r>
              <w:rPr>
                <w:rFonts w:ascii="Times New Roman" w:hAnsi="Times New Roman" w:eastAsia="Times New Roman" w:cs="Times New Roman"/>
                <w:b/>
                <w:bCs/>
                <w:color w:val="545454"/>
                <w:sz w:val="18"/>
                <w:szCs w:val="18"/>
              </w:rPr>
              <w:t xml:space="preserve">Ausnutria </w:t>
            </w:r>
          </w:p>
        </w:tc>
        <w:tc>
          <w:tcPr>
            <w:tcW w:w="1200" w:type="dxa"/>
            <w:tcBorders>
              <w:top w:val="nil"/>
              <w:left w:val="nil"/>
              <w:bottom w:val="nil"/>
              <w:right w:val="nil"/>
            </w:tcBorders>
            <w:shd w:val="clear" w:color="auto" w:fill="auto"/>
            <w:noWrap/>
            <w:vAlign w:val="bottom"/>
          </w:tcPr>
          <w:p>
            <w:pPr>
              <w:spacing w:after="0" w:line="240" w:lineRule="auto"/>
              <w:jc w:val="center"/>
              <w:rPr>
                <w:rFonts w:ascii="Times New Roman" w:hAnsi="Times New Roman" w:eastAsia="Times New Roman" w:cs="Times New Roman"/>
                <w:b/>
                <w:bCs/>
                <w:color w:val="545454"/>
                <w:sz w:val="18"/>
                <w:szCs w:val="18"/>
              </w:rPr>
            </w:pPr>
            <w:r>
              <w:rPr>
                <w:rFonts w:ascii="Times New Roman" w:hAnsi="Times New Roman" w:eastAsia="Times New Roman" w:cs="Times New Roman"/>
                <w:b/>
                <w:bCs/>
                <w:color w:val="545454"/>
                <w:sz w:val="18"/>
                <w:szCs w:val="18"/>
              </w:rPr>
              <w:t xml:space="preserve">Yashili </w:t>
            </w:r>
          </w:p>
        </w:tc>
      </w:tr>
      <w:tr>
        <w:tblPrEx>
          <w:tblLayout w:type="fixed"/>
          <w:tblCellMar>
            <w:top w:w="0" w:type="dxa"/>
            <w:left w:w="108" w:type="dxa"/>
            <w:bottom w:w="0" w:type="dxa"/>
            <w:right w:w="108" w:type="dxa"/>
          </w:tblCellMar>
        </w:tblPrEx>
        <w:trPr>
          <w:trHeight w:val="315" w:hRule="atLeast"/>
        </w:trPr>
        <w:tc>
          <w:tcPr>
            <w:tcW w:w="2600"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In RMB 1 million RMB (Year)</w:t>
            </w:r>
          </w:p>
        </w:tc>
        <w:tc>
          <w:tcPr>
            <w:tcW w:w="112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981"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112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24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30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0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Net Current Assets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4632.26</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3451.413</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4632.26</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4238.644</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883.232</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1990.264</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Total Assets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49124.427</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58138.731</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66457</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57906.719</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5457.927</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7706.261</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Retained earnings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7901.126</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9793.487</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12622.549</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10105.721</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2035.750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5184.103</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EBIT</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-167.686</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3024.833</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4403.384</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2420.177</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532.667</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w:t>
            </w:r>
            <w:r>
              <w:rPr>
                <w:rFonts w:hint="eastAsia" w:ascii="Times New Roman" w:hAnsi="Times New Roman" w:eastAsia="PMingLiU" w:cs="Times New Roman"/>
                <w:sz w:val="18"/>
                <w:szCs w:val="18"/>
              </w:rPr>
              <w:t>58.042</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 xml:space="preserve">Stock value (HKD) </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14.659</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22.959</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24.232</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20.617</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5.445</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1.463</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 xml:space="preserve">RMB/HKD currency exchange rate </w:t>
            </w:r>
          </w:p>
        </w:tc>
        <w:tc>
          <w:tcPr>
            <w:tcW w:w="112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1.117</w:t>
            </w:r>
          </w:p>
        </w:tc>
        <w:tc>
          <w:tcPr>
            <w:tcW w:w="98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1.201</w:t>
            </w:r>
          </w:p>
        </w:tc>
        <w:tc>
          <w:tcPr>
            <w:tcW w:w="112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1.138</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1.152</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1.152</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1.152</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No of stock (Million Shares)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3925.027</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3927.361</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3927.708</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3926.699</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1361.982</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4745.560</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Total liabilities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31031.608</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31031.608</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35992.978</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32685.398</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3147.511</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2122.806</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rPr>
                <w:rFonts w:ascii="Times New Roman" w:hAnsi="Times New Roman" w:eastAsia="Times New Roman" w:cs="Times New Roman"/>
                <w:sz w:val="18"/>
                <w:szCs w:val="18"/>
              </w:rPr>
            </w:pPr>
            <w:r>
              <w:rPr>
                <w:rFonts w:ascii="Times New Roman" w:hAnsi="Times New Roman" w:eastAsia="Times New Roman" w:cs="Times New Roman"/>
                <w:sz w:val="18"/>
                <w:szCs w:val="18"/>
              </w:rPr>
              <w:t>Sales</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53779.339</w:t>
            </w:r>
          </w:p>
        </w:tc>
        <w:tc>
          <w:tcPr>
            <w:tcW w:w="981"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60155.622</w:t>
            </w:r>
          </w:p>
        </w:tc>
        <w:tc>
          <w:tcPr>
            <w:tcW w:w="1120" w:type="dxa"/>
            <w:tcBorders>
              <w:top w:val="nil"/>
              <w:left w:val="nil"/>
              <w:bottom w:val="single" w:color="auto" w:sz="4" w:space="0"/>
              <w:right w:val="single" w:color="auto" w:sz="4" w:space="0"/>
            </w:tcBorders>
            <w:shd w:val="clear" w:color="000000" w:fill="FFFFFF"/>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68977.066</w:t>
            </w:r>
          </w:p>
        </w:tc>
        <w:tc>
          <w:tcPr>
            <w:tcW w:w="124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60970.676</w:t>
            </w:r>
          </w:p>
        </w:tc>
        <w:tc>
          <w:tcPr>
            <w:tcW w:w="13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4018.765</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right"/>
              <w:rPr>
                <w:rFonts w:ascii="Times New Roman" w:hAnsi="Times New Roman" w:eastAsia="Times New Roman" w:cs="Times New Roman"/>
                <w:sz w:val="18"/>
                <w:szCs w:val="18"/>
              </w:rPr>
            </w:pPr>
            <w:r>
              <w:rPr>
                <w:rFonts w:ascii="Times New Roman" w:hAnsi="Times New Roman" w:eastAsia="Times New Roman" w:cs="Times New Roman"/>
                <w:sz w:val="18"/>
                <w:szCs w:val="18"/>
              </w:rPr>
              <w:t>2489.744</w:t>
            </w:r>
          </w:p>
        </w:tc>
      </w:tr>
    </w:tbl>
    <w:p>
      <w:pPr>
        <w:rPr>
          <w:rFonts w:ascii="Times New Roman" w:hAnsi="Times New Roman" w:cs="Times New Roman"/>
        </w:rPr>
      </w:pPr>
    </w:p>
    <w:p>
      <w:pPr>
        <w:rPr>
          <w:rFonts w:ascii="Times New Roman" w:hAnsi="Times New Roman" w:cs="Times New Roman"/>
        </w:rPr>
      </w:pPr>
      <w:r>
        <w:rPr>
          <w:rFonts w:ascii="Times New Roman" w:hAnsi="Times New Roman" w:cs="Times New Roman"/>
        </w:rPr>
        <w:t>Note 1:</w:t>
      </w:r>
      <w:r>
        <w:rPr>
          <w:rFonts w:ascii="Times New Roman" w:hAnsi="Times New Roman" w:cs="Times New Roman"/>
        </w:rPr>
        <w:tab/>
      </w:r>
      <w:r>
        <w:rPr>
          <w:rFonts w:ascii="Times New Roman" w:hAnsi="Times New Roman" w:cs="Times New Roman"/>
        </w:rPr>
        <w:t>The stock value (HKD) is using Dec 31 closing value by dividend and stock split adjustment, the RMB/HKD currency exchange rate value is using Dec 31 closing value</w:t>
      </w:r>
    </w:p>
    <w:p>
      <w:pPr>
        <w:rPr>
          <w:rFonts w:ascii="Times New Roman" w:hAnsi="Times New Roman" w:cs="Times New Roman"/>
        </w:rPr>
      </w:pPr>
      <w:r>
        <w:rPr>
          <w:rFonts w:ascii="Times New Roman" w:hAnsi="Times New Roman" w:cs="Times New Roman"/>
        </w:rPr>
        <w:t>Z score =1.2A+1.4B+3.3C+0.6D+0.999E</w:t>
      </w:r>
    </w:p>
    <w:p>
      <w:pPr>
        <w:rPr>
          <w:rFonts w:ascii="Times New Roman" w:hAnsi="Times New Roman" w:cs="Times New Roman"/>
        </w:rPr>
      </w:pPr>
      <w:r>
        <w:rPr>
          <w:rFonts w:ascii="Times New Roman" w:hAnsi="Times New Roman" w:cs="Times New Roman"/>
        </w:rPr>
        <w:t>A= Working Capital/Total Assets</w:t>
      </w:r>
    </w:p>
    <w:p>
      <w:pPr>
        <w:rPr>
          <w:rFonts w:ascii="Times New Roman" w:hAnsi="Times New Roman" w:cs="Times New Roman"/>
        </w:rPr>
      </w:pPr>
      <w:r>
        <w:rPr>
          <w:rFonts w:ascii="Times New Roman" w:hAnsi="Times New Roman" w:cs="Times New Roman"/>
        </w:rPr>
        <w:t>B=Retained Earnings/Total Assets</w:t>
      </w:r>
    </w:p>
    <w:p>
      <w:pPr>
        <w:rPr>
          <w:rFonts w:ascii="Times New Roman" w:hAnsi="Times New Roman" w:cs="Times New Roman"/>
        </w:rPr>
      </w:pPr>
      <w:r>
        <w:rPr>
          <w:rFonts w:ascii="Times New Roman" w:hAnsi="Times New Roman" w:cs="Times New Roman"/>
        </w:rPr>
        <w:t>C=EBIT/Total Assets</w:t>
      </w:r>
    </w:p>
    <w:p>
      <w:pPr>
        <w:rPr>
          <w:rFonts w:ascii="Times New Roman" w:hAnsi="Times New Roman" w:cs="Times New Roman"/>
        </w:rPr>
      </w:pPr>
      <w:r>
        <w:rPr>
          <w:rFonts w:ascii="Times New Roman" w:hAnsi="Times New Roman" w:cs="Times New Roman"/>
        </w:rPr>
        <w:t>D=[(Stock value x total number of stocks)/RMB&amp;HKD exchange rate]/Total Liabilities</w:t>
      </w:r>
    </w:p>
    <w:p>
      <w:pPr>
        <w:rPr>
          <w:rFonts w:ascii="Times New Roman" w:hAnsi="Times New Roman" w:cs="Times New Roman"/>
        </w:rPr>
      </w:pPr>
      <w:r>
        <w:rPr>
          <w:rFonts w:ascii="Times New Roman" w:hAnsi="Times New Roman" w:cs="Times New Roman"/>
        </w:rPr>
        <w:t>E=Sales/Total Assets</w:t>
      </w:r>
    </w:p>
    <w:p>
      <w:pPr>
        <w:rPr>
          <w:rFonts w:ascii="Times New Roman" w:hAnsi="Times New Roman" w:cs="Times New Roman"/>
        </w:rPr>
      </w:pPr>
    </w:p>
    <w:p>
      <w:pPr>
        <w:rPr>
          <w:rFonts w:ascii="Times New Roman" w:hAnsi="Times New Roman" w:cs="Times New Roman"/>
          <w:b/>
        </w:rPr>
      </w:pPr>
      <w:r>
        <w:rPr>
          <w:rFonts w:hint="eastAsia" w:ascii="Times New Roman" w:hAnsi="Times New Roman" w:cs="Times New Roman"/>
          <w:b/>
        </w:rPr>
        <w:t>Table 2: Calculation of Z score of the listed companies</w:t>
      </w:r>
    </w:p>
    <w:tbl>
      <w:tblPr>
        <w:tblStyle w:val="10"/>
        <w:tblW w:w="9060" w:type="dxa"/>
        <w:tblInd w:w="93" w:type="dxa"/>
        <w:tblLayout w:type="fixed"/>
        <w:tblCellMar>
          <w:top w:w="0" w:type="dxa"/>
          <w:left w:w="108" w:type="dxa"/>
          <w:bottom w:w="0" w:type="dxa"/>
          <w:right w:w="108" w:type="dxa"/>
        </w:tblCellMar>
      </w:tblPr>
      <w:tblGrid>
        <w:gridCol w:w="2600"/>
        <w:gridCol w:w="787"/>
        <w:gridCol w:w="692"/>
        <w:gridCol w:w="692"/>
        <w:gridCol w:w="1829"/>
        <w:gridCol w:w="1260"/>
        <w:gridCol w:w="1200"/>
      </w:tblGrid>
      <w:tr>
        <w:tblPrEx>
          <w:tblLayout w:type="fixed"/>
          <w:tblCellMar>
            <w:top w:w="0" w:type="dxa"/>
            <w:left w:w="108" w:type="dxa"/>
            <w:bottom w:w="0" w:type="dxa"/>
            <w:right w:w="108" w:type="dxa"/>
          </w:tblCellMar>
        </w:tblPrEx>
        <w:trPr>
          <w:trHeight w:val="315" w:hRule="atLeast"/>
        </w:trPr>
        <w:tc>
          <w:tcPr>
            <w:tcW w:w="2600" w:type="dxa"/>
            <w:tcBorders>
              <w:top w:val="nil"/>
              <w:left w:val="nil"/>
              <w:bottom w:val="nil"/>
              <w:right w:val="nil"/>
            </w:tcBorders>
            <w:shd w:val="clear" w:color="000000" w:fill="FFFFFF"/>
            <w:noWrap/>
            <w:vAlign w:val="bottom"/>
          </w:tcPr>
          <w:p>
            <w:pPr>
              <w:spacing w:after="0" w:line="240" w:lineRule="auto"/>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4000" w:type="dxa"/>
            <w:gridSpan w:val="4"/>
            <w:tcBorders>
              <w:top w:val="nil"/>
              <w:left w:val="nil"/>
              <w:bottom w:val="nil"/>
              <w:right w:val="nil"/>
            </w:tcBorders>
            <w:shd w:val="clear" w:color="000000" w:fill="FFFFFF"/>
            <w:noWrap/>
          </w:tcPr>
          <w:p>
            <w:pPr>
              <w:spacing w:after="0" w:line="240" w:lineRule="auto"/>
              <w:jc w:val="center"/>
              <w:rPr>
                <w:rFonts w:ascii="Times New Roman" w:hAnsi="Times New Roman" w:eastAsia="Times New Roman" w:cs="Times New Roman"/>
                <w:b/>
                <w:bCs/>
                <w:sz w:val="24"/>
                <w:szCs w:val="24"/>
              </w:rPr>
            </w:pPr>
            <w:r>
              <w:rPr>
                <w:rFonts w:ascii="Times New Roman" w:hAnsi="Times New Roman" w:eastAsia="Times New Roman" w:cs="Times New Roman"/>
                <w:b/>
                <w:bCs/>
                <w:sz w:val="24"/>
                <w:szCs w:val="24"/>
              </w:rPr>
              <w:t>Mengniu</w:t>
            </w:r>
          </w:p>
        </w:tc>
        <w:tc>
          <w:tcPr>
            <w:tcW w:w="126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12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r>
      <w:tr>
        <w:tblPrEx>
          <w:tblLayout w:type="fixed"/>
          <w:tblCellMar>
            <w:top w:w="0" w:type="dxa"/>
            <w:left w:w="108" w:type="dxa"/>
            <w:bottom w:w="0" w:type="dxa"/>
            <w:right w:w="108" w:type="dxa"/>
          </w:tblCellMar>
        </w:tblPrEx>
        <w:trPr>
          <w:trHeight w:val="315" w:hRule="atLeast"/>
        </w:trPr>
        <w:tc>
          <w:tcPr>
            <w:tcW w:w="26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 </w:t>
            </w:r>
          </w:p>
        </w:tc>
        <w:tc>
          <w:tcPr>
            <w:tcW w:w="787"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692"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692"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829"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6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0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600"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A</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0.094</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0.059</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0.070</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0.074</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0.160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0.259</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B</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0.161</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0.168</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0.190</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0.173</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0.364</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0.673</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C</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-0.003</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0.052</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0.066</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0.038</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0.094</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-0.0</w:t>
            </w:r>
            <w:r>
              <w:rPr>
                <w:rFonts w:hint="eastAsia" w:ascii="Times New Roman" w:hAnsi="Times New Roman" w:eastAsia="PMingLiU" w:cs="Times New Roman"/>
                <w:sz w:val="18"/>
                <w:szCs w:val="18"/>
              </w:rPr>
              <w:t>20</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D</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1.660</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2.419</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2.324</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2.134</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2.094</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2.8</w:t>
            </w:r>
            <w:r>
              <w:rPr>
                <w:rFonts w:hint="eastAsia" w:ascii="Times New Roman" w:hAnsi="Times New Roman" w:eastAsia="PMingLiU" w:cs="Times New Roman"/>
                <w:sz w:val="18"/>
                <w:szCs w:val="18"/>
              </w:rPr>
              <w:t>49</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E</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1.095</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1.035</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1.038</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1.056</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0.729</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0.323</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 xml:space="preserve">Z score </w:t>
            </w:r>
          </w:p>
        </w:tc>
        <w:tc>
          <w:tcPr>
            <w:tcW w:w="78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2.417</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2.964</w:t>
            </w:r>
          </w:p>
        </w:tc>
        <w:tc>
          <w:tcPr>
            <w:tcW w:w="6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2.999</w:t>
            </w:r>
          </w:p>
        </w:tc>
        <w:tc>
          <w:tcPr>
            <w:tcW w:w="182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2.793</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2.997</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PMingLiU" w:cs="Times New Roman"/>
                <w:sz w:val="18"/>
                <w:szCs w:val="18"/>
              </w:rPr>
            </w:pPr>
            <w:r>
              <w:rPr>
                <w:rFonts w:ascii="Times New Roman" w:hAnsi="Times New Roman" w:eastAsia="Times New Roman" w:cs="Times New Roman"/>
                <w:sz w:val="18"/>
                <w:szCs w:val="18"/>
              </w:rPr>
              <w:t>3.2</w:t>
            </w:r>
            <w:r>
              <w:rPr>
                <w:rFonts w:hint="eastAsia" w:ascii="Times New Roman" w:hAnsi="Times New Roman" w:eastAsia="PMingLiU" w:cs="Times New Roman"/>
                <w:sz w:val="18"/>
                <w:szCs w:val="18"/>
              </w:rPr>
              <w:t>18</w:t>
            </w:r>
          </w:p>
        </w:tc>
      </w:tr>
    </w:tbl>
    <w:p>
      <w:pPr>
        <w:rPr>
          <w:rFonts w:ascii="Times New Roman" w:hAnsi="Times New Roman" w:cs="Times New Roman"/>
        </w:rPr>
      </w:pPr>
    </w:p>
    <w:p>
      <w:pPr>
        <w:jc w:val="both"/>
        <w:rPr>
          <w:rFonts w:ascii="Times New Roman" w:hAnsi="Times New Roman" w:cs="Times New Roman"/>
        </w:rPr>
      </w:pPr>
      <w:r>
        <w:rPr>
          <w:rFonts w:ascii="Times New Roman" w:hAnsi="Times New Roman" w:cs="Times New Roman"/>
        </w:rPr>
        <w:t>Z-Score mainly used to examine bankruptcy rate, when Z-Score is of smaller value, insolvency is more likely, the financial ratios is less sound.When the Z-Score is equal to or bigger than 2.99, the company is located at the security zone; when the Z-Score is located in between 1.8 to 2.99, the company is located in gray area; when the Z-Score is smaller than 1.8, the company is of a high chance of bankruptcy.</w:t>
      </w:r>
    </w:p>
    <w:p>
      <w:pPr>
        <w:jc w:val="both"/>
        <w:rPr>
          <w:rFonts w:ascii="Times New Roman" w:hAnsi="Times New Roman" w:cs="Times New Roman"/>
        </w:rPr>
      </w:pPr>
      <w:r>
        <w:rPr>
          <w:rFonts w:ascii="Times New Roman" w:hAnsi="Times New Roman" w:cs="Times New Roman"/>
        </w:rPr>
        <w:t>By analyzing the Z score of the three comparable companies, our main company Mengniu Z score is located in gray area in three consecutive years (year 2016-2018), while another two compared companies (Ausnutria and Yashili) three years average Z score are also located in gray area. All three companies are not in bankruptcy area nor at the security zone. Nevertheless, Mengniu’s  Z-score is among the lowest when compared to the other two companies</w:t>
      </w:r>
    </w:p>
    <w:p>
      <w:pPr>
        <w:rPr>
          <w:rFonts w:ascii="Times New Roman" w:hAnsi="Times New Roman" w:cs="Times New Roman"/>
        </w:rPr>
      </w:pPr>
    </w:p>
    <w:p>
      <w:pPr>
        <w:rPr>
          <w:rFonts w:ascii="Times New Roman" w:hAnsi="Times New Roman" w:cs="Times New Roman"/>
          <w:b/>
        </w:rPr>
      </w:pPr>
      <w:r>
        <w:rPr>
          <w:rFonts w:ascii="Times New Roman" w:hAnsi="Times New Roman" w:cs="Times New Roman"/>
          <w:b/>
        </w:rPr>
        <w:t>2.3</w:t>
      </w:r>
      <w:r>
        <w:rPr>
          <w:rFonts w:ascii="Times New Roman" w:hAnsi="Times New Roman" w:cs="Times New Roman"/>
          <w:b/>
        </w:rPr>
        <w:tab/>
      </w:r>
      <w:r>
        <w:rPr>
          <w:rFonts w:ascii="Times New Roman" w:hAnsi="Times New Roman" w:cs="Times New Roman"/>
          <w:b/>
        </w:rPr>
        <w:t>Financial structure</w:t>
      </w:r>
    </w:p>
    <w:p>
      <w:pPr>
        <w:rPr>
          <w:rFonts w:ascii="Times New Roman" w:hAnsi="Times New Roman" w:cs="Times New Roman"/>
          <w:b/>
        </w:rPr>
      </w:pPr>
      <w:r>
        <w:rPr>
          <w:rFonts w:hint="eastAsia" w:ascii="Times New Roman" w:hAnsi="Times New Roman" w:cs="Times New Roman"/>
          <w:b/>
        </w:rPr>
        <w:t>Table 3: Financial structure analysis of listed companies</w:t>
      </w:r>
    </w:p>
    <w:tbl>
      <w:tblPr>
        <w:tblStyle w:val="10"/>
        <w:tblW w:w="10275" w:type="dxa"/>
        <w:tblInd w:w="93" w:type="dxa"/>
        <w:tblLayout w:type="fixed"/>
        <w:tblCellMar>
          <w:top w:w="0" w:type="dxa"/>
          <w:left w:w="108" w:type="dxa"/>
          <w:bottom w:w="0" w:type="dxa"/>
          <w:right w:w="108" w:type="dxa"/>
        </w:tblCellMar>
      </w:tblPr>
      <w:tblGrid>
        <w:gridCol w:w="2600"/>
        <w:gridCol w:w="709"/>
        <w:gridCol w:w="709"/>
        <w:gridCol w:w="709"/>
        <w:gridCol w:w="1874"/>
        <w:gridCol w:w="1260"/>
        <w:gridCol w:w="1200"/>
        <w:gridCol w:w="1214"/>
      </w:tblGrid>
      <w:tr>
        <w:tblPrEx>
          <w:tblLayout w:type="fixed"/>
          <w:tblCellMar>
            <w:top w:w="0" w:type="dxa"/>
            <w:left w:w="108" w:type="dxa"/>
            <w:bottom w:w="0" w:type="dxa"/>
            <w:right w:w="108" w:type="dxa"/>
          </w:tblCellMar>
        </w:tblPrEx>
        <w:trPr>
          <w:trHeight w:val="315" w:hRule="atLeast"/>
        </w:trPr>
        <w:tc>
          <w:tcPr>
            <w:tcW w:w="26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4001" w:type="dxa"/>
            <w:gridSpan w:val="4"/>
            <w:tcBorders>
              <w:top w:val="nil"/>
              <w:left w:val="nil"/>
              <w:bottom w:val="nil"/>
              <w:right w:val="nil"/>
            </w:tcBorders>
            <w:shd w:val="clear" w:color="000000" w:fill="FFFFFF"/>
            <w:noWrap/>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Mengniu</w:t>
            </w:r>
          </w:p>
        </w:tc>
        <w:tc>
          <w:tcPr>
            <w:tcW w:w="126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12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c>
          <w:tcPr>
            <w:tcW w:w="1214" w:type="dxa"/>
            <w:tcBorders>
              <w:top w:val="nil"/>
              <w:left w:val="nil"/>
              <w:bottom w:val="nil"/>
              <w:right w:val="nil"/>
            </w:tcBorders>
            <w:shd w:val="clear" w:color="auto" w:fill="auto"/>
            <w:noWrap/>
            <w:vAlign w:val="bottom"/>
          </w:tcPr>
          <w:p>
            <w:pPr>
              <w:spacing w:after="0" w:line="240" w:lineRule="auto"/>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3 companies</w:t>
            </w:r>
          </w:p>
        </w:tc>
      </w:tr>
      <w:tr>
        <w:tblPrEx>
          <w:tblLayout w:type="fixed"/>
          <w:tblCellMar>
            <w:top w:w="0" w:type="dxa"/>
            <w:left w:w="108" w:type="dxa"/>
            <w:bottom w:w="0" w:type="dxa"/>
            <w:right w:w="108" w:type="dxa"/>
          </w:tblCellMar>
        </w:tblPrEx>
        <w:trPr>
          <w:trHeight w:val="315" w:hRule="atLeast"/>
        </w:trPr>
        <w:tc>
          <w:tcPr>
            <w:tcW w:w="26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 </w:t>
            </w:r>
          </w:p>
        </w:tc>
        <w:tc>
          <w:tcPr>
            <w:tcW w:w="709"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709"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709"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874"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6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0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14"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600"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4"/>
                <w:szCs w:val="14"/>
              </w:rPr>
            </w:pPr>
            <w:r>
              <w:rPr>
                <w:rFonts w:ascii="Times New Roman" w:hAnsi="Times New Roman" w:eastAsia="Times New Roman" w:cs="Times New Roman"/>
                <w:sz w:val="14"/>
                <w:szCs w:val="14"/>
              </w:rPr>
              <w:t>Fixed Asset to Long term Liability Ratio</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2.710</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2.526</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2.209</w:t>
            </w:r>
          </w:p>
        </w:tc>
        <w:tc>
          <w:tcPr>
            <w:tcW w:w="1874"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2.482</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1.787</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0.2</w:t>
            </w:r>
            <w:r>
              <w:rPr>
                <w:rFonts w:hint="eastAsia" w:ascii="Times New Roman" w:hAnsi="Times New Roman" w:eastAsia="PMingLiU" w:cs="Times New Roman"/>
                <w:sz w:val="18"/>
                <w:szCs w:val="18"/>
              </w:rPr>
              <w:t>92</w:t>
            </w:r>
          </w:p>
        </w:tc>
        <w:tc>
          <w:tcPr>
            <w:tcW w:w="1214"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1.5</w:t>
            </w:r>
            <w:r>
              <w:rPr>
                <w:rFonts w:hint="eastAsia" w:ascii="Times New Roman" w:hAnsi="Times New Roman" w:eastAsia="PMingLiU" w:cs="Times New Roman"/>
                <w:color w:val="000000"/>
                <w:sz w:val="24"/>
                <w:szCs w:val="24"/>
              </w:rPr>
              <w:t>2</w:t>
            </w:r>
            <w:r>
              <w:rPr>
                <w:rFonts w:ascii="Times New Roman" w:hAnsi="Times New Roman" w:eastAsia="Times New Roman" w:cs="Times New Roman"/>
                <w:color w:val="000000"/>
                <w:sz w:val="24"/>
                <w:szCs w:val="24"/>
              </w:rPr>
              <w:t>0</w:t>
            </w:r>
          </w:p>
        </w:tc>
      </w:tr>
      <w:tr>
        <w:tblPrEx>
          <w:tblLayout w:type="fixed"/>
          <w:tblCellMar>
            <w:top w:w="0" w:type="dxa"/>
            <w:left w:w="108" w:type="dxa"/>
            <w:bottom w:w="0" w:type="dxa"/>
            <w:right w:w="108" w:type="dxa"/>
          </w:tblCellMar>
        </w:tblPrEx>
        <w:trPr>
          <w:trHeight w:val="90"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4"/>
                <w:szCs w:val="14"/>
              </w:rPr>
            </w:pPr>
            <w:r>
              <w:rPr>
                <w:rFonts w:ascii="Times New Roman" w:hAnsi="Times New Roman" w:eastAsia="Times New Roman" w:cs="Times New Roman"/>
                <w:sz w:val="14"/>
                <w:szCs w:val="14"/>
              </w:rPr>
              <w:t>Current Liabilities to Net Asset Ratio</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0.600</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0.832</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0.824</w:t>
            </w:r>
          </w:p>
        </w:tc>
        <w:tc>
          <w:tcPr>
            <w:tcW w:w="1874"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0.752</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1.117</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0.377</w:t>
            </w:r>
          </w:p>
        </w:tc>
        <w:tc>
          <w:tcPr>
            <w:tcW w:w="1214"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0.749</w:t>
            </w:r>
          </w:p>
        </w:tc>
      </w:tr>
      <w:tr>
        <w:tblPrEx>
          <w:tblLayout w:type="fixed"/>
          <w:tblCellMar>
            <w:top w:w="0" w:type="dxa"/>
            <w:left w:w="108" w:type="dxa"/>
            <w:bottom w:w="0" w:type="dxa"/>
            <w:right w:w="108" w:type="dxa"/>
          </w:tblCellMar>
        </w:tblPrEx>
        <w:trPr>
          <w:trHeight w:val="315" w:hRule="atLeast"/>
        </w:trPr>
        <w:tc>
          <w:tcPr>
            <w:tcW w:w="2600"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4"/>
                <w:szCs w:val="14"/>
              </w:rPr>
            </w:pPr>
            <w:r>
              <w:rPr>
                <w:rFonts w:ascii="Times New Roman" w:hAnsi="Times New Roman" w:eastAsia="Times New Roman" w:cs="Times New Roman"/>
                <w:sz w:val="14"/>
                <w:szCs w:val="14"/>
              </w:rPr>
              <w:t>Current Liabilities to Stock Ratio</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4.617</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6.429</w:t>
            </w:r>
          </w:p>
        </w:tc>
        <w:tc>
          <w:tcPr>
            <w:tcW w:w="70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5.864</w:t>
            </w:r>
          </w:p>
        </w:tc>
        <w:tc>
          <w:tcPr>
            <w:tcW w:w="1874"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5.637</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2.185</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2.971</w:t>
            </w:r>
          </w:p>
        </w:tc>
        <w:tc>
          <w:tcPr>
            <w:tcW w:w="1214" w:type="dxa"/>
            <w:tcBorders>
              <w:top w:val="nil"/>
              <w:left w:val="nil"/>
              <w:bottom w:val="single" w:color="auto" w:sz="4" w:space="0"/>
              <w:right w:val="single" w:color="auto" w:sz="4" w:space="0"/>
            </w:tcBorders>
            <w:shd w:val="clear" w:color="auto" w:fill="auto"/>
            <w:noWrap/>
            <w:vAlign w:val="bottom"/>
          </w:tcPr>
          <w:p>
            <w:pPr>
              <w:spacing w:after="0" w:line="240" w:lineRule="auto"/>
              <w:jc w:val="right"/>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3.598</w:t>
            </w:r>
          </w:p>
        </w:tc>
      </w:tr>
    </w:tbl>
    <w:p>
      <w:pPr>
        <w:rPr>
          <w:rFonts w:ascii="Times New Roman" w:hAnsi="Times New Roman" w:cs="Times New Roman"/>
        </w:rPr>
      </w:pPr>
    </w:p>
    <w:p>
      <w:pPr>
        <w:jc w:val="both"/>
        <w:rPr>
          <w:rFonts w:ascii="Times New Roman" w:hAnsi="Times New Roman" w:cs="Times New Roman"/>
          <w:b/>
        </w:rPr>
      </w:pPr>
      <w:r>
        <w:rPr>
          <w:rFonts w:ascii="Times New Roman" w:hAnsi="Times New Roman" w:cs="Times New Roman"/>
          <w:b/>
        </w:rPr>
        <w:t>Fixed asset to long term liability ratio</w:t>
      </w:r>
    </w:p>
    <w:p>
      <w:pPr>
        <w:jc w:val="both"/>
        <w:rPr>
          <w:rFonts w:ascii="Times New Roman" w:hAnsi="Times New Roman" w:cs="Times New Roman"/>
        </w:rPr>
      </w:pPr>
      <w:r>
        <w:rPr>
          <w:rFonts w:ascii="Times New Roman" w:hAnsi="Times New Roman" w:cs="Times New Roman"/>
        </w:rPr>
        <w:t>If the ratio is high, the source of funds is less stable, which means when the fixed asset to long term liability ratio has a higher value, the financial crises of that company is in a higher chance (</w:t>
      </w:r>
      <w:r>
        <w:rPr>
          <w:rFonts w:hint="eastAsia" w:ascii="Times New Roman" w:hAnsi="Times New Roman" w:cs="Times New Roman"/>
        </w:rPr>
        <w:t>Feng and Wang, 2000</w:t>
      </w:r>
      <w:r>
        <w:rPr>
          <w:rFonts w:ascii="Times New Roman" w:hAnsi="Times New Roman" w:cs="Times New Roman"/>
        </w:rPr>
        <w:t>). Meng</w:t>
      </w:r>
      <w:r>
        <w:rPr>
          <w:rFonts w:hint="eastAsia" w:ascii="Times New Roman" w:hAnsi="Times New Roman" w:cs="Times New Roman"/>
        </w:rPr>
        <w:t>n</w:t>
      </w:r>
      <w:r>
        <w:rPr>
          <w:rFonts w:ascii="Times New Roman" w:hAnsi="Times New Roman" w:cs="Times New Roman"/>
        </w:rPr>
        <w:t>iu’s fixed asset to long term liability ratio continuously decreased from 2.710 in year 2016 to</w:t>
      </w:r>
      <w:r>
        <w:rPr>
          <w:rFonts w:hint="eastAsia" w:ascii="Times New Roman" w:hAnsi="Times New Roman" w:cs="Times New Roman"/>
        </w:rPr>
        <w:t xml:space="preserve"> </w:t>
      </w:r>
      <w:r>
        <w:rPr>
          <w:rFonts w:ascii="Times New Roman" w:hAnsi="Times New Roman" w:cs="Times New Roman"/>
        </w:rPr>
        <w:t>2.209 in year 2018, which means the probability of Mengniu having financial crises is lowering from year 2016 to year 2018. Mengniu’s 3</w:t>
      </w:r>
      <w:r>
        <w:rPr>
          <w:rFonts w:hint="eastAsia" w:ascii="Times New Roman" w:hAnsi="Times New Roman" w:cs="Times New Roman"/>
        </w:rPr>
        <w:t xml:space="preserve"> </w:t>
      </w:r>
      <w:r>
        <w:rPr>
          <w:rFonts w:ascii="Times New Roman" w:hAnsi="Times New Roman" w:cs="Times New Roman"/>
        </w:rPr>
        <w:t>years average fixed asset to long term liability ratio (2</w:t>
      </w:r>
      <w:r>
        <w:rPr>
          <w:rFonts w:hint="eastAsia" w:ascii="Times New Roman" w:hAnsi="Times New Roman" w:cs="Times New Roman"/>
        </w:rPr>
        <w:t>.</w:t>
      </w:r>
      <w:r>
        <w:rPr>
          <w:rFonts w:ascii="Times New Roman" w:hAnsi="Times New Roman" w:cs="Times New Roman"/>
        </w:rPr>
        <w:t>482)</w:t>
      </w:r>
      <w:r>
        <w:rPr>
          <w:rFonts w:hint="eastAsia" w:ascii="Times New Roman" w:hAnsi="Times New Roman" w:cs="Times New Roman"/>
          <w:lang w:val="en-US" w:eastAsia="zh-TW"/>
        </w:rPr>
        <w:t xml:space="preserve"> </w:t>
      </w:r>
      <w:r>
        <w:rPr>
          <w:rFonts w:ascii="Times New Roman" w:hAnsi="Times New Roman" w:cs="Times New Roman"/>
        </w:rPr>
        <w:t>is higher than the industrial average level (1.510), which indicates Mengniu is having higher risk to have financial crises compared to the other two companies.</w:t>
      </w:r>
    </w:p>
    <w:p>
      <w:pPr>
        <w:jc w:val="both"/>
        <w:rPr>
          <w:rFonts w:ascii="Times New Roman" w:hAnsi="Times New Roman" w:cs="Times New Roman"/>
          <w:b/>
        </w:rPr>
      </w:pPr>
      <w:r>
        <w:rPr>
          <w:rFonts w:ascii="Times New Roman" w:hAnsi="Times New Roman" w:cs="Times New Roman"/>
          <w:b/>
        </w:rPr>
        <w:t>Current Liabilities to Net Asset Ratio</w:t>
      </w:r>
    </w:p>
    <w:p>
      <w:pPr>
        <w:jc w:val="both"/>
        <w:rPr>
          <w:rFonts w:ascii="Times New Roman" w:hAnsi="Times New Roman" w:cs="Times New Roman"/>
        </w:rPr>
      </w:pPr>
      <w:r>
        <w:rPr>
          <w:rFonts w:ascii="Times New Roman" w:hAnsi="Times New Roman" w:cs="Times New Roman"/>
        </w:rPr>
        <w:t>This ratio indicates debt payment relied on the equity. Lower percentages mean less pressure on future cash flows</w:t>
      </w:r>
      <w:r>
        <w:rPr>
          <w:rFonts w:hint="eastAsia" w:ascii="Times New Roman" w:hAnsi="Times New Roman" w:cs="Times New Roman"/>
        </w:rPr>
        <w:t xml:space="preserve"> (</w:t>
      </w:r>
      <w:r>
        <w:rPr>
          <w:rFonts w:ascii="Times New Roman" w:hAnsi="Times New Roman" w:eastAsia="SimSun" w:cs="Times New Roman"/>
          <w:color w:val="222222"/>
        </w:rPr>
        <w:t>Edmister</w:t>
      </w:r>
      <w:r>
        <w:rPr>
          <w:rFonts w:hint="eastAsia" w:ascii="Times New Roman" w:hAnsi="Times New Roman" w:eastAsia="PMingLiU" w:cs="Times New Roman"/>
          <w:color w:val="222222"/>
        </w:rPr>
        <w:t>, 1972)</w:t>
      </w:r>
      <w:r>
        <w:rPr>
          <w:rFonts w:ascii="Times New Roman" w:hAnsi="Times New Roman" w:cs="Times New Roman"/>
        </w:rPr>
        <w:t>.</w:t>
      </w:r>
      <w:r>
        <w:rPr>
          <w:rFonts w:hint="eastAsia" w:ascii="Times New Roman" w:hAnsi="Times New Roman" w:cs="Times New Roman"/>
        </w:rPr>
        <w:t xml:space="preserve"> </w:t>
      </w:r>
      <w:r>
        <w:rPr>
          <w:rFonts w:ascii="Times New Roman" w:hAnsi="Times New Roman" w:cs="Times New Roman"/>
        </w:rPr>
        <w:t>Mengniu’s ratio increased from 0.600 in year 2016 to 0.824 in year 2018, which means this company is increasing its debt when compared to its equity. The ratio of the three compared companies three years average is 0.749, and the 3 years average ratio of Mengniu is 0.752, It has higher ratio than Yashili (0.377) but lower ratio than Ausnutria (1.117).</w:t>
      </w:r>
    </w:p>
    <w:p>
      <w:pPr>
        <w:jc w:val="both"/>
        <w:rPr>
          <w:rFonts w:ascii="Times New Roman" w:hAnsi="Times New Roman" w:cs="Times New Roman"/>
          <w:b/>
        </w:rPr>
      </w:pPr>
      <w:r>
        <w:rPr>
          <w:rFonts w:ascii="Times New Roman" w:hAnsi="Times New Roman" w:cs="Times New Roman"/>
          <w:b/>
        </w:rPr>
        <w:t>Current Liabilities to Stock Ratio</w:t>
      </w:r>
    </w:p>
    <w:p>
      <w:pPr>
        <w:jc w:val="both"/>
        <w:rPr>
          <w:rFonts w:ascii="Times New Roman" w:hAnsi="Times New Roman" w:cs="Times New Roman"/>
          <w:shd w:val="clear" w:color="auto" w:fill="FFFFFF"/>
        </w:rPr>
      </w:pPr>
      <w:r>
        <w:rPr>
          <w:rFonts w:ascii="Times New Roman" w:hAnsi="Times New Roman" w:cs="Times New Roman"/>
        </w:rPr>
        <w:t>It is also named current liabilities to inventory ratio, which indicates payment of debt relied on the available inventory</w:t>
      </w:r>
      <w:r>
        <w:rPr>
          <w:rFonts w:hint="eastAsia" w:ascii="Times New Roman" w:hAnsi="Times New Roman" w:cs="Times New Roman"/>
        </w:rPr>
        <w:t xml:space="preserve"> (Chen and Shimerda, 1981)</w:t>
      </w:r>
      <w:r>
        <w:rPr>
          <w:rFonts w:ascii="Times New Roman" w:hAnsi="Times New Roman" w:cs="Times New Roman"/>
        </w:rPr>
        <w:t>.</w:t>
      </w:r>
      <w:r>
        <w:rPr>
          <w:rFonts w:ascii="Times New Roman" w:hAnsi="Times New Roman" w:cs="Times New Roman"/>
          <w:shd w:val="clear" w:color="auto" w:fill="FFFFFF"/>
        </w:rPr>
        <w:t xml:space="preserve"> A high ratio, relative to industry norms, suggests over-reliance on unsold goods to finance operations. Mengniu’s 3 years average ratio is 5.637, compared to Ausnutria’s 3 years average ratio (2.185) and Yashili’s 3 years average ratio (2.971), which indicates Mengniu has over reliance on unsold goods to finance operations compared to the other two companies.</w:t>
      </w:r>
    </w:p>
    <w:p>
      <w:pPr>
        <w:jc w:val="both"/>
        <w:rPr>
          <w:rFonts w:ascii="Times New Roman" w:hAnsi="Times New Roman" w:cs="Times New Roman"/>
          <w:shd w:val="clear" w:color="auto" w:fill="FFFFFF"/>
        </w:rPr>
      </w:pPr>
      <w:r>
        <w:rPr>
          <w:rFonts w:ascii="Times New Roman" w:hAnsi="Times New Roman" w:cs="Times New Roman"/>
          <w:shd w:val="clear" w:color="auto" w:fill="FFFFFF"/>
        </w:rPr>
        <w:t xml:space="preserve">In conclusion, after analyzing the three measures of the solvency of the three compared company  (Mengniu, Ausnutria and Yashili), Mengniu is performing lower than the industrial standard level. </w:t>
      </w:r>
    </w:p>
    <w:p>
      <w:pPr>
        <w:rPr>
          <w:rFonts w:ascii="Times New Roman" w:hAnsi="Times New Roman" w:cs="Times New Roman"/>
          <w:shd w:val="clear" w:color="auto" w:fill="FFFFFF"/>
        </w:rPr>
      </w:pPr>
    </w:p>
    <w:p>
      <w:pPr>
        <w:rPr>
          <w:rFonts w:ascii="Times New Roman" w:hAnsi="Times New Roman" w:cs="Times New Roman"/>
          <w:b/>
          <w:shd w:val="clear" w:color="auto" w:fill="FFFFFF"/>
        </w:rPr>
      </w:pPr>
      <w:r>
        <w:rPr>
          <w:rFonts w:ascii="Times New Roman" w:hAnsi="Times New Roman" w:cs="Times New Roman"/>
          <w:b/>
          <w:shd w:val="clear" w:color="auto" w:fill="FFFFFF"/>
        </w:rPr>
        <w:t>2.4</w:t>
      </w:r>
      <w:r>
        <w:rPr>
          <w:rFonts w:ascii="Times New Roman" w:hAnsi="Times New Roman" w:cs="Times New Roman"/>
          <w:b/>
          <w:shd w:val="clear" w:color="auto" w:fill="FFFFFF"/>
        </w:rPr>
        <w:tab/>
      </w:r>
      <w:r>
        <w:rPr>
          <w:rFonts w:ascii="Times New Roman" w:hAnsi="Times New Roman" w:cs="Times New Roman"/>
          <w:b/>
          <w:shd w:val="clear" w:color="auto" w:fill="FFFFFF"/>
        </w:rPr>
        <w:t>Paying debt ability</w:t>
      </w:r>
    </w:p>
    <w:p>
      <w:pPr>
        <w:rPr>
          <w:rFonts w:ascii="Times New Roman" w:hAnsi="Times New Roman" w:cs="Times New Roman"/>
          <w:b/>
          <w:shd w:val="clear" w:color="auto" w:fill="FFFFFF"/>
        </w:rPr>
      </w:pPr>
      <w:r>
        <w:rPr>
          <w:rFonts w:hint="eastAsia" w:ascii="Times New Roman" w:hAnsi="Times New Roman" w:cs="Times New Roman"/>
          <w:b/>
          <w:shd w:val="clear" w:color="auto" w:fill="FFFFFF"/>
        </w:rPr>
        <w:t>Table 4: Paying debt abilities of listed companies</w:t>
      </w:r>
    </w:p>
    <w:tbl>
      <w:tblPr>
        <w:tblStyle w:val="10"/>
        <w:tblW w:w="10402" w:type="dxa"/>
        <w:tblInd w:w="93" w:type="dxa"/>
        <w:tblLayout w:type="fixed"/>
        <w:tblCellMar>
          <w:top w:w="0" w:type="dxa"/>
          <w:left w:w="108" w:type="dxa"/>
          <w:bottom w:w="0" w:type="dxa"/>
          <w:right w:w="108" w:type="dxa"/>
        </w:tblCellMar>
      </w:tblPr>
      <w:tblGrid>
        <w:gridCol w:w="2622"/>
        <w:gridCol w:w="941"/>
        <w:gridCol w:w="941"/>
        <w:gridCol w:w="941"/>
        <w:gridCol w:w="1347"/>
        <w:gridCol w:w="1260"/>
        <w:gridCol w:w="1200"/>
        <w:gridCol w:w="1150"/>
      </w:tblGrid>
      <w:tr>
        <w:tblPrEx>
          <w:tblLayout w:type="fixed"/>
          <w:tblCellMar>
            <w:top w:w="0" w:type="dxa"/>
            <w:left w:w="108" w:type="dxa"/>
            <w:bottom w:w="0" w:type="dxa"/>
            <w:right w:w="108" w:type="dxa"/>
          </w:tblCellMar>
        </w:tblPrEx>
        <w:trPr>
          <w:trHeight w:val="315" w:hRule="atLeast"/>
        </w:trPr>
        <w:tc>
          <w:tcPr>
            <w:tcW w:w="2622"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4170" w:type="dxa"/>
            <w:gridSpan w:val="4"/>
            <w:tcBorders>
              <w:top w:val="nil"/>
              <w:left w:val="nil"/>
              <w:bottom w:val="nil"/>
              <w:right w:val="nil"/>
            </w:tcBorders>
            <w:shd w:val="clear" w:color="000000" w:fill="FFFFFF"/>
            <w:noWrap/>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Mengniu</w:t>
            </w:r>
          </w:p>
        </w:tc>
        <w:tc>
          <w:tcPr>
            <w:tcW w:w="126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1200"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c>
          <w:tcPr>
            <w:tcW w:w="1150" w:type="dxa"/>
            <w:tcBorders>
              <w:top w:val="nil"/>
              <w:left w:val="nil"/>
              <w:bottom w:val="nil"/>
              <w:right w:val="nil"/>
            </w:tcBorders>
            <w:shd w:val="clear" w:color="000000" w:fill="FFFFFF"/>
            <w:noWrap/>
            <w:vAlign w:val="bottom"/>
          </w:tcPr>
          <w:p>
            <w:pPr>
              <w:spacing w:after="0" w:line="240" w:lineRule="auto"/>
              <w:jc w:val="center"/>
              <w:rPr>
                <w:rFonts w:ascii="Calibri" w:hAnsi="Calibri" w:eastAsia="Times New Roman" w:cs="Calibri"/>
                <w:b/>
                <w:bCs/>
                <w:sz w:val="18"/>
                <w:szCs w:val="18"/>
              </w:rPr>
            </w:pPr>
            <w:r>
              <w:rPr>
                <w:rFonts w:ascii="Calibri" w:hAnsi="Calibri" w:eastAsia="Times New Roman" w:cs="Calibri"/>
                <w:b/>
                <w:bCs/>
                <w:sz w:val="18"/>
                <w:szCs w:val="18"/>
              </w:rPr>
              <w:t>3 companies</w:t>
            </w:r>
          </w:p>
        </w:tc>
      </w:tr>
      <w:tr>
        <w:tblPrEx>
          <w:tblLayout w:type="fixed"/>
          <w:tblCellMar>
            <w:top w:w="0" w:type="dxa"/>
            <w:left w:w="108" w:type="dxa"/>
            <w:bottom w:w="0" w:type="dxa"/>
            <w:right w:w="108" w:type="dxa"/>
          </w:tblCellMar>
        </w:tblPrEx>
        <w:trPr>
          <w:trHeight w:val="315" w:hRule="atLeast"/>
        </w:trPr>
        <w:tc>
          <w:tcPr>
            <w:tcW w:w="2622" w:type="dxa"/>
            <w:tcBorders>
              <w:top w:val="nil"/>
              <w:left w:val="nil"/>
              <w:bottom w:val="nil"/>
              <w:right w:val="nil"/>
            </w:tcBorders>
            <w:shd w:val="clear" w:color="000000" w:fill="FFFFFF"/>
            <w:noWrap/>
            <w:vAlign w:val="bottom"/>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 </w:t>
            </w:r>
          </w:p>
        </w:tc>
        <w:tc>
          <w:tcPr>
            <w:tcW w:w="941"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941"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941"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347"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6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20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1150" w:type="dxa"/>
            <w:tcBorders>
              <w:top w:val="single" w:color="auto" w:sz="4" w:space="0"/>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622" w:type="dxa"/>
            <w:tcBorders>
              <w:top w:val="single" w:color="auto" w:sz="4" w:space="0"/>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Current ratio (%)</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129.633</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115.295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118.449</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121.125</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137.100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195.200</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151.142 </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Quick Ratio (%)</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107.975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99.739</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101.395</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103.036</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90.000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160.600</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117.879</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Stock Credit Index</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-0.368</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0.017</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-0.082</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-0.144</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0.244</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-0.454 </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-0.118</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Cash Ratio (%)</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39.667</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26.406</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29.065</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31.713</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35.800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85.900 </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51.138 </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Total Debt Ratio (%)</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48.083</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53.375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54.160</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51.873</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58.400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27.500 </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45.924 </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Debt/Equity Ratio</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0.926</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1.145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1.181</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1.084</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1.456</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0.380</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0.973</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Long Term Debt Ratio</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0.113</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0.103</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0.124</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0.113</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0.241</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0.0</w:t>
            </w:r>
            <w:r>
              <w:rPr>
                <w:rFonts w:hint="eastAsia" w:ascii="Calibri" w:hAnsi="Calibri" w:eastAsia="PMingLiU" w:cs="Calibri"/>
                <w:sz w:val="24"/>
                <w:szCs w:val="24"/>
              </w:rPr>
              <w:t>0</w:t>
            </w:r>
            <w:r>
              <w:rPr>
                <w:rFonts w:ascii="Calibri" w:hAnsi="Calibri" w:eastAsia="Times New Roman" w:cs="Calibri"/>
                <w:sz w:val="24"/>
                <w:szCs w:val="24"/>
              </w:rPr>
              <w:t>0</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0.1</w:t>
            </w:r>
            <w:r>
              <w:rPr>
                <w:rFonts w:hint="eastAsia" w:ascii="Calibri" w:hAnsi="Calibri" w:eastAsia="PMingLiU" w:cs="Calibri"/>
                <w:sz w:val="24"/>
                <w:szCs w:val="24"/>
              </w:rPr>
              <w:t>1</w:t>
            </w:r>
            <w:r>
              <w:rPr>
                <w:rFonts w:ascii="Calibri" w:hAnsi="Calibri" w:eastAsia="Times New Roman" w:cs="Calibri"/>
                <w:sz w:val="24"/>
                <w:szCs w:val="24"/>
              </w:rPr>
              <w:t>8</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Total Debt/Fixed Asset Ratio</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0.807</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0.966</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0.980</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0.918</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2.400</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 1.303</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1.540 </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Time Interest Cover Ratio</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-0.571</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7.565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7.997</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4.997</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22.045</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w:t>
            </w:r>
            <w:r>
              <w:rPr>
                <w:rFonts w:hint="eastAsia" w:ascii="Calibri" w:hAnsi="Calibri" w:eastAsia="PMingLiU" w:cs="Calibri"/>
                <w:sz w:val="24"/>
                <w:szCs w:val="24"/>
              </w:rPr>
              <w:t>8.391</w:t>
            </w:r>
            <w:r>
              <w:rPr>
                <w:rFonts w:ascii="Calibri" w:hAnsi="Calibri" w:eastAsia="Times New Roman" w:cs="Calibri"/>
                <w:sz w:val="24"/>
                <w:szCs w:val="24"/>
              </w:rPr>
              <w:t> </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hint="eastAsia" w:ascii="Calibri" w:hAnsi="Calibri" w:eastAsia="PMingLiU" w:cs="Calibri"/>
                <w:sz w:val="24"/>
                <w:szCs w:val="24"/>
              </w:rPr>
              <w:t>6.217</w:t>
            </w:r>
            <w:r>
              <w:rPr>
                <w:rFonts w:ascii="Calibri" w:hAnsi="Calibri" w:eastAsia="Times New Roman" w:cs="Calibri"/>
                <w:sz w:val="24"/>
                <w:szCs w:val="24"/>
              </w:rPr>
              <w:t> </w:t>
            </w:r>
          </w:p>
        </w:tc>
      </w:tr>
      <w:tr>
        <w:tblPrEx>
          <w:tblLayout w:type="fixed"/>
          <w:tblCellMar>
            <w:top w:w="0" w:type="dxa"/>
            <w:left w:w="108" w:type="dxa"/>
            <w:bottom w:w="0" w:type="dxa"/>
            <w:right w:w="108" w:type="dxa"/>
          </w:tblCellMar>
        </w:tblPrEx>
        <w:trPr>
          <w:trHeight w:val="315" w:hRule="atLeast"/>
        </w:trPr>
        <w:tc>
          <w:tcPr>
            <w:tcW w:w="262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Cash Coverage Ratio</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4.882</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11.825</w:t>
            </w:r>
          </w:p>
        </w:tc>
        <w:tc>
          <w:tcPr>
            <w:tcW w:w="941"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11.335</w:t>
            </w:r>
          </w:p>
        </w:tc>
        <w:tc>
          <w:tcPr>
            <w:tcW w:w="1347"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rPr>
            </w:pPr>
            <w:r>
              <w:rPr>
                <w:rFonts w:ascii="Calibri" w:hAnsi="Calibri" w:eastAsia="Times New Roman" w:cs="Calibri"/>
              </w:rPr>
              <w:t>9.348</w:t>
            </w:r>
          </w:p>
        </w:tc>
        <w:tc>
          <w:tcPr>
            <w:tcW w:w="1260" w:type="dxa"/>
            <w:tcBorders>
              <w:top w:val="nil"/>
              <w:left w:val="nil"/>
              <w:bottom w:val="single" w:color="auto" w:sz="4" w:space="0"/>
              <w:right w:val="single" w:color="auto" w:sz="4" w:space="0"/>
            </w:tcBorders>
            <w:shd w:val="clear" w:color="000000" w:fill="FFFFFF"/>
            <w:noWrap/>
            <w:vAlign w:val="bottom"/>
          </w:tcPr>
          <w:p>
            <w:pPr>
              <w:spacing w:after="0" w:line="240" w:lineRule="auto"/>
              <w:rPr>
                <w:rFonts w:ascii="Calibri" w:hAnsi="Calibri" w:eastAsia="Times New Roman" w:cs="Calibri"/>
                <w:color w:val="000000"/>
                <w:sz w:val="24"/>
                <w:szCs w:val="24"/>
              </w:rPr>
            </w:pPr>
            <w:r>
              <w:rPr>
                <w:rFonts w:ascii="Calibri" w:hAnsi="Calibri" w:eastAsia="Times New Roman" w:cs="Calibri"/>
                <w:color w:val="000000"/>
                <w:sz w:val="24"/>
                <w:szCs w:val="24"/>
              </w:rPr>
              <w:t> 27.456</w:t>
            </w:r>
          </w:p>
        </w:tc>
        <w:tc>
          <w:tcPr>
            <w:tcW w:w="120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hint="eastAsia" w:ascii="Calibri" w:hAnsi="Calibri" w:eastAsia="PMingLiU" w:cs="Calibri"/>
                <w:sz w:val="24"/>
                <w:szCs w:val="24"/>
              </w:rPr>
              <w:t>12.680</w:t>
            </w:r>
            <w:r>
              <w:rPr>
                <w:rFonts w:ascii="Calibri" w:hAnsi="Calibri" w:eastAsia="Times New Roman" w:cs="Calibri"/>
                <w:sz w:val="24"/>
                <w:szCs w:val="24"/>
              </w:rPr>
              <w:t> </w:t>
            </w:r>
          </w:p>
        </w:tc>
        <w:tc>
          <w:tcPr>
            <w:tcW w:w="115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sz w:val="24"/>
                <w:szCs w:val="24"/>
              </w:rPr>
            </w:pPr>
            <w:r>
              <w:rPr>
                <w:rFonts w:ascii="Calibri" w:hAnsi="Calibri" w:eastAsia="Times New Roman" w:cs="Calibri"/>
                <w:sz w:val="24"/>
                <w:szCs w:val="24"/>
              </w:rPr>
              <w:t>1</w:t>
            </w:r>
            <w:r>
              <w:rPr>
                <w:rFonts w:hint="eastAsia" w:ascii="Calibri" w:hAnsi="Calibri" w:eastAsia="PMingLiU" w:cs="Calibri"/>
                <w:sz w:val="24"/>
                <w:szCs w:val="24"/>
              </w:rPr>
              <w:t>6.495</w:t>
            </w:r>
            <w:r>
              <w:rPr>
                <w:rFonts w:ascii="Calibri" w:hAnsi="Calibri" w:eastAsia="Times New Roman" w:cs="Calibri"/>
                <w:sz w:val="24"/>
                <w:szCs w:val="24"/>
              </w:rPr>
              <w:t> </w:t>
            </w:r>
          </w:p>
        </w:tc>
      </w:tr>
    </w:tbl>
    <w:p>
      <w:pPr>
        <w:rPr>
          <w:rFonts w:ascii="Times New Roman" w:hAnsi="Times New Roman" w:cs="Times New Roman"/>
          <w:shd w:val="clear" w:color="auto" w:fill="FFFFFF"/>
        </w:rPr>
      </w:pPr>
    </w:p>
    <w:p>
      <w:pPr>
        <w:jc w:val="both"/>
        <w:rPr>
          <w:rFonts w:ascii="Times New Roman" w:hAnsi="Times New Roman" w:cs="Times New Roman"/>
          <w:b/>
        </w:rPr>
      </w:pPr>
    </w:p>
    <w:p>
      <w:pPr>
        <w:jc w:val="both"/>
        <w:rPr>
          <w:rFonts w:ascii="Times New Roman" w:hAnsi="Times New Roman" w:cs="Times New Roman"/>
          <w:b/>
        </w:rPr>
      </w:pPr>
    </w:p>
    <w:p>
      <w:pPr>
        <w:jc w:val="both"/>
        <w:rPr>
          <w:rFonts w:ascii="Times New Roman" w:hAnsi="Times New Roman" w:cs="Times New Roman"/>
          <w:b/>
        </w:rPr>
      </w:pPr>
      <w:r>
        <w:rPr>
          <w:rFonts w:ascii="Times New Roman" w:hAnsi="Times New Roman" w:cs="Times New Roman"/>
          <w:b/>
        </w:rPr>
        <w:t>Current Ratio and quick ratio</w:t>
      </w:r>
    </w:p>
    <w:p>
      <w:pPr>
        <w:jc w:val="both"/>
        <w:rPr>
          <w:rFonts w:ascii="Times New Roman" w:hAnsi="Times New Roman" w:cs="Times New Roman"/>
        </w:rPr>
      </w:pPr>
      <w:r>
        <w:rPr>
          <w:rFonts w:ascii="Times New Roman" w:hAnsi="Times New Roman" w:cs="Times New Roman"/>
        </w:rPr>
        <w:t>This two ratio represent the ability of the company to settle the current liabilities. The current ratio is firm’s ability indicator to meet short-term financial obligations (</w:t>
      </w:r>
      <w:r>
        <w:rPr>
          <w:rFonts w:ascii="Times New Roman" w:hAnsi="Times New Roman" w:eastAsia="SimSun" w:cs="Times New Roman"/>
          <w:color w:val="222222"/>
        </w:rPr>
        <w:t>Edmister</w:t>
      </w:r>
      <w:r>
        <w:rPr>
          <w:rFonts w:ascii="Times New Roman" w:hAnsi="Times New Roman" w:eastAsia="PMingLiU" w:cs="Times New Roman"/>
          <w:color w:val="222222"/>
        </w:rPr>
        <w:t>, 1972)</w:t>
      </w:r>
      <w:r>
        <w:rPr>
          <w:rFonts w:ascii="Times New Roman" w:hAnsi="Times New Roman" w:cs="Times New Roman"/>
        </w:rPr>
        <w:t>. The quick ratio provide a more desirable outlook of a company’s ability to settle its obligations, as it concentrates on the more liquid assets. Mengniu’s 3 years average current ratio (121.125%) is lower than the industrial average level (151.142%). Furthermore, Mengniu’s 3 years average quick ratio (103.395%) is higher than Ausnutria’s 3 years average quick ratio (90%) but lower than Yashili’s 3 years average quick ratio (160.6%).</w:t>
      </w:r>
    </w:p>
    <w:p>
      <w:pPr>
        <w:jc w:val="both"/>
        <w:rPr>
          <w:rFonts w:ascii="Times New Roman" w:hAnsi="Times New Roman" w:cs="Times New Roman"/>
          <w:b/>
        </w:rPr>
      </w:pPr>
      <w:r>
        <w:rPr>
          <w:rFonts w:ascii="Times New Roman" w:hAnsi="Times New Roman" w:cs="Times New Roman"/>
          <w:b/>
        </w:rPr>
        <w:t>Stock Credit index</w:t>
      </w:r>
    </w:p>
    <w:p>
      <w:pPr>
        <w:jc w:val="both"/>
        <w:rPr>
          <w:rFonts w:ascii="Times New Roman" w:hAnsi="Times New Roman" w:cs="Times New Roman"/>
        </w:rPr>
      </w:pPr>
      <w:r>
        <w:rPr>
          <w:rFonts w:ascii="Times New Roman" w:hAnsi="Times New Roman" w:cs="Times New Roman"/>
        </w:rPr>
        <w:t>Mengniu’s 3 years average Stock Credit index is -0.144, with -0.368 in year 2016, 0.017 in year 2017 and -0.082 in year 2018. The 3 years average stock credit index of the three compared companies is also negative, negative is a good sign as it means the company has more potential to clear the stock with its current asset. Yashili has the best Stock Credit index (-0.454) in 3 years average among the three compared companies.  Mengniu was better than Ausnutria (0.244).</w:t>
      </w:r>
    </w:p>
    <w:p>
      <w:pPr>
        <w:jc w:val="both"/>
        <w:rPr>
          <w:rFonts w:ascii="Times New Roman" w:hAnsi="Times New Roman" w:cs="Times New Roman"/>
          <w:b/>
        </w:rPr>
      </w:pPr>
      <w:r>
        <w:rPr>
          <w:rFonts w:ascii="Times New Roman" w:hAnsi="Times New Roman" w:cs="Times New Roman"/>
          <w:b/>
        </w:rPr>
        <w:t>Cash ratio</w:t>
      </w:r>
    </w:p>
    <w:p>
      <w:pPr>
        <w:jc w:val="both"/>
        <w:rPr>
          <w:rFonts w:ascii="Times New Roman" w:hAnsi="Times New Roman" w:eastAsia="Times New Roman" w:cs="Times New Roman"/>
        </w:rPr>
      </w:pPr>
      <w:r>
        <w:rPr>
          <w:rFonts w:ascii="Times New Roman" w:hAnsi="Times New Roman" w:cs="Times New Roman"/>
        </w:rPr>
        <w:t>It is the company’s liquidity measurement. When the company is about to go out of business, this indicator tells the analysts and creditors under the worst case scenario how much current assets can quickly be turned into cash (</w:t>
      </w:r>
      <w:r>
        <w:rPr>
          <w:rFonts w:ascii="Times New Roman" w:hAnsi="Times New Roman" w:eastAsia="SimSun" w:cs="Times New Roman"/>
          <w:color w:val="222222"/>
        </w:rPr>
        <w:t>Mills</w:t>
      </w:r>
      <w:r>
        <w:rPr>
          <w:rFonts w:ascii="Times New Roman" w:hAnsi="Times New Roman" w:eastAsia="PMingLiU" w:cs="Times New Roman"/>
          <w:color w:val="222222"/>
        </w:rPr>
        <w:t xml:space="preserve"> and </w:t>
      </w:r>
      <w:r>
        <w:rPr>
          <w:rFonts w:ascii="Times New Roman" w:hAnsi="Times New Roman" w:eastAsia="SimSun" w:cs="Times New Roman"/>
          <w:color w:val="222222"/>
        </w:rPr>
        <w:t>Yamamura,1998</w:t>
      </w:r>
      <w:r>
        <w:rPr>
          <w:rFonts w:ascii="Times New Roman" w:hAnsi="Times New Roman" w:eastAsia="PMingLiU" w:cs="Times New Roman"/>
          <w:color w:val="222222"/>
        </w:rPr>
        <w:t>)</w:t>
      </w:r>
      <w:r>
        <w:rPr>
          <w:rFonts w:ascii="Times New Roman" w:hAnsi="Times New Roman" w:cs="Times New Roman"/>
        </w:rPr>
        <w:t xml:space="preserve">. Mengniu has the lowest 3 years average cash ratio (31.713%) among the three studied companies. The industrial 3 years average level was </w:t>
      </w:r>
      <w:r>
        <w:rPr>
          <w:rFonts w:ascii="Times New Roman" w:hAnsi="Times New Roman" w:eastAsia="Times New Roman" w:cs="Times New Roman"/>
        </w:rPr>
        <w:t>51.138 %.</w:t>
      </w:r>
    </w:p>
    <w:p>
      <w:pPr>
        <w:jc w:val="both"/>
        <w:rPr>
          <w:rFonts w:ascii="Times New Roman" w:hAnsi="Times New Roman" w:eastAsia="Times New Roman" w:cs="Times New Roman"/>
          <w:b/>
        </w:rPr>
      </w:pPr>
      <w:r>
        <w:rPr>
          <w:rFonts w:ascii="Times New Roman" w:hAnsi="Times New Roman" w:eastAsia="Times New Roman" w:cs="Times New Roman"/>
          <w:b/>
        </w:rPr>
        <w:t>Total debt ratio</w:t>
      </w:r>
    </w:p>
    <w:p>
      <w:pPr>
        <w:jc w:val="both"/>
        <w:rPr>
          <w:rFonts w:ascii="Times New Roman" w:hAnsi="Times New Roman" w:eastAsia="Times New Roman" w:cs="Times New Roman"/>
        </w:rPr>
      </w:pPr>
      <w:r>
        <w:rPr>
          <w:rFonts w:ascii="Times New Roman" w:hAnsi="Times New Roman" w:eastAsia="Times New Roman" w:cs="Times New Roman"/>
        </w:rPr>
        <w:t xml:space="preserve">It is a financial </w:t>
      </w:r>
      <w:r>
        <w:rPr>
          <w:rFonts w:ascii="Times New Roman" w:hAnsi="Times New Roman" w:eastAsia="PMingLiU" w:cs="Times New Roman"/>
        </w:rPr>
        <w:t>quotient</w:t>
      </w:r>
      <w:r>
        <w:rPr>
          <w:rFonts w:ascii="Times New Roman" w:hAnsi="Times New Roman" w:eastAsia="Times New Roman" w:cs="Times New Roman"/>
        </w:rPr>
        <w:t xml:space="preserve"> meas</w:t>
      </w:r>
      <w:r>
        <w:rPr>
          <w:rFonts w:ascii="Times New Roman" w:hAnsi="Times New Roman" w:eastAsia="PMingLiU" w:cs="Times New Roman"/>
        </w:rPr>
        <w:t>ures</w:t>
      </w:r>
      <w:r>
        <w:rPr>
          <w:rFonts w:ascii="Times New Roman" w:hAnsi="Times New Roman" w:eastAsia="Times New Roman" w:cs="Times New Roman"/>
        </w:rPr>
        <w:t xml:space="preserve"> the leverage </w:t>
      </w:r>
      <w:r>
        <w:rPr>
          <w:rFonts w:ascii="Times New Roman" w:hAnsi="Times New Roman" w:eastAsia="PMingLiU" w:cs="Times New Roman"/>
        </w:rPr>
        <w:t>scale</w:t>
      </w:r>
      <w:r>
        <w:rPr>
          <w:rFonts w:ascii="Times New Roman" w:hAnsi="Times New Roman" w:eastAsia="Times New Roman" w:cs="Times New Roman"/>
        </w:rPr>
        <w:t xml:space="preserve"> of the company. When the ratio is of high level (bigger than one), the company has more liabilities than assets; when it is low (below one), it means a greater portion of a company’s assets is funded by equity</w:t>
      </w:r>
      <w:r>
        <w:rPr>
          <w:rFonts w:ascii="Times New Roman" w:hAnsi="Times New Roman" w:eastAsia="PMingLiU" w:cs="Times New Roman"/>
        </w:rPr>
        <w:t xml:space="preserve"> (</w:t>
      </w:r>
      <w:r>
        <w:rPr>
          <w:rFonts w:ascii="Times New Roman" w:hAnsi="Times New Roman" w:eastAsia="SimSun" w:cs="Times New Roman"/>
          <w:color w:val="222222"/>
        </w:rPr>
        <w:t>Remmers</w:t>
      </w:r>
      <w:r>
        <w:rPr>
          <w:rFonts w:ascii="Times New Roman" w:hAnsi="Times New Roman" w:eastAsia="PMingLiU" w:cs="Times New Roman"/>
          <w:color w:val="222222"/>
        </w:rPr>
        <w:t xml:space="preserve"> et al., 1974)</w:t>
      </w:r>
      <w:r>
        <w:rPr>
          <w:rFonts w:ascii="Times New Roman" w:hAnsi="Times New Roman" w:eastAsia="Times New Roman" w:cs="Times New Roman"/>
        </w:rPr>
        <w:t>. Mengniu’s total debt ratio is below one, which is similar to the industrial 3 years average total debt ratio (45.924%).</w:t>
      </w:r>
    </w:p>
    <w:p>
      <w:pPr>
        <w:jc w:val="both"/>
        <w:rPr>
          <w:rFonts w:ascii="Times New Roman" w:hAnsi="Times New Roman" w:eastAsia="Times New Roman" w:cs="Times New Roman"/>
          <w:b/>
        </w:rPr>
      </w:pPr>
      <w:r>
        <w:rPr>
          <w:rFonts w:ascii="Times New Roman" w:hAnsi="Times New Roman" w:eastAsia="Times New Roman" w:cs="Times New Roman"/>
          <w:b/>
        </w:rPr>
        <w:t>Debt/Equity ratio</w:t>
      </w:r>
    </w:p>
    <w:p>
      <w:pPr>
        <w:jc w:val="both"/>
        <w:rPr>
          <w:rFonts w:ascii="Times New Roman" w:hAnsi="Times New Roman" w:eastAsia="Times New Roman" w:cs="Times New Roman"/>
        </w:rPr>
      </w:pPr>
      <w:r>
        <w:rPr>
          <w:rFonts w:ascii="Times New Roman" w:hAnsi="Times New Roman" w:cs="Times New Roman"/>
        </w:rPr>
        <w:t>When this ratio is bigger than 1, it means a greater portion of a company’s liabilities is funded by equity (</w:t>
      </w:r>
      <w:r>
        <w:rPr>
          <w:rFonts w:ascii="Times New Roman" w:hAnsi="Times New Roman" w:eastAsia="SimSun" w:cs="Times New Roman"/>
          <w:color w:val="222222"/>
        </w:rPr>
        <w:t>Bhandari, 1988</w:t>
      </w:r>
      <w:r>
        <w:rPr>
          <w:rFonts w:ascii="Times New Roman" w:hAnsi="Times New Roman" w:eastAsia="PMingLiU" w:cs="Times New Roman"/>
          <w:color w:val="222222"/>
        </w:rPr>
        <w:t>)</w:t>
      </w:r>
      <w:r>
        <w:rPr>
          <w:rFonts w:ascii="Times New Roman" w:hAnsi="Times New Roman" w:cs="Times New Roman"/>
        </w:rPr>
        <w:t>. Mengniu’s 3 years average debt/equity ratio was 1.084, which is also similar to the industrial 3 years average debt/equity ratio (</w:t>
      </w:r>
      <w:r>
        <w:rPr>
          <w:rFonts w:ascii="Times New Roman" w:hAnsi="Times New Roman" w:eastAsia="Times New Roman" w:cs="Times New Roman"/>
        </w:rPr>
        <w:t xml:space="preserve">0.973). </w:t>
      </w:r>
    </w:p>
    <w:p>
      <w:pPr>
        <w:jc w:val="both"/>
        <w:rPr>
          <w:rFonts w:ascii="Times New Roman" w:hAnsi="Times New Roman" w:eastAsia="Times New Roman" w:cs="Times New Roman"/>
          <w:b/>
        </w:rPr>
      </w:pPr>
      <w:r>
        <w:rPr>
          <w:rFonts w:ascii="Times New Roman" w:hAnsi="Times New Roman" w:eastAsia="Times New Roman" w:cs="Times New Roman"/>
          <w:b/>
        </w:rPr>
        <w:t xml:space="preserve">Long Term Debt </w:t>
      </w:r>
      <w:r>
        <w:rPr>
          <w:rFonts w:ascii="Times New Roman" w:hAnsi="Times New Roman" w:eastAsia="PMingLiU" w:cs="Times New Roman"/>
          <w:b/>
        </w:rPr>
        <w:t xml:space="preserve">(interest bearing) </w:t>
      </w:r>
      <w:r>
        <w:rPr>
          <w:rFonts w:ascii="Times New Roman" w:hAnsi="Times New Roman" w:eastAsia="Times New Roman" w:cs="Times New Roman"/>
          <w:b/>
        </w:rPr>
        <w:t>to total assets ratio</w:t>
      </w:r>
    </w:p>
    <w:p>
      <w:pPr>
        <w:jc w:val="both"/>
        <w:rPr>
          <w:rFonts w:ascii="Times New Roman" w:hAnsi="Times New Roman" w:cs="Times New Roman"/>
        </w:rPr>
      </w:pPr>
      <w:r>
        <w:rPr>
          <w:rFonts w:ascii="Times New Roman" w:hAnsi="Times New Roman" w:cs="Times New Roman"/>
        </w:rPr>
        <w:t>It is the ratio shows the company’s asset percentage that are financed with loans and other financial obligations that last over a year. Decrease in the ratio means the company is progressively less dependent on debt to grow its business (</w:t>
      </w:r>
      <w:r>
        <w:rPr>
          <w:rFonts w:ascii="Times New Roman" w:hAnsi="Times New Roman" w:eastAsia="SimSun" w:cs="Times New Roman"/>
          <w:color w:val="222222"/>
        </w:rPr>
        <w:t>Singh</w:t>
      </w:r>
      <w:r>
        <w:rPr>
          <w:rFonts w:ascii="Times New Roman" w:hAnsi="Times New Roman" w:eastAsia="PMingLiU" w:cs="Times New Roman"/>
          <w:color w:val="222222"/>
        </w:rPr>
        <w:t xml:space="preserve"> </w:t>
      </w:r>
      <w:r>
        <w:rPr>
          <w:rFonts w:ascii="Times New Roman" w:hAnsi="Times New Roman" w:eastAsia="SimSun" w:cs="Times New Roman"/>
          <w:color w:val="222222"/>
        </w:rPr>
        <w:t>and Faircloth*, 2005</w:t>
      </w:r>
      <w:r>
        <w:rPr>
          <w:rFonts w:ascii="Times New Roman" w:hAnsi="Times New Roman" w:eastAsia="PMingLiU" w:cs="Times New Roman"/>
          <w:color w:val="222222"/>
        </w:rPr>
        <w:t>)</w:t>
      </w:r>
      <w:r>
        <w:rPr>
          <w:rFonts w:ascii="Times New Roman" w:hAnsi="Times New Roman" w:cs="Times New Roman"/>
        </w:rPr>
        <w:t>. Mengniu’s three years average ratio was 0.918, which was lower than Ausnutria (2.400) but higher than Yashili (0.000).</w:t>
      </w:r>
    </w:p>
    <w:p>
      <w:pPr>
        <w:jc w:val="both"/>
        <w:rPr>
          <w:rFonts w:ascii="Times New Roman" w:hAnsi="Times New Roman" w:cs="Times New Roman"/>
          <w:b/>
        </w:rPr>
      </w:pPr>
    </w:p>
    <w:p>
      <w:pPr>
        <w:jc w:val="both"/>
        <w:rPr>
          <w:rFonts w:ascii="Times New Roman" w:hAnsi="Times New Roman" w:cs="Times New Roman"/>
          <w:b/>
        </w:rPr>
      </w:pPr>
    </w:p>
    <w:p>
      <w:pPr>
        <w:jc w:val="both"/>
        <w:rPr>
          <w:rFonts w:ascii="Times New Roman" w:hAnsi="Times New Roman" w:cs="Times New Roman"/>
          <w:b/>
        </w:rPr>
      </w:pPr>
      <w:r>
        <w:rPr>
          <w:rFonts w:ascii="Times New Roman" w:hAnsi="Times New Roman" w:cs="Times New Roman"/>
          <w:b/>
        </w:rPr>
        <w:t xml:space="preserve">Time Interest cover ratio </w:t>
      </w:r>
    </w:p>
    <w:p>
      <w:pPr>
        <w:jc w:val="both"/>
        <w:rPr>
          <w:rFonts w:ascii="Times New Roman" w:hAnsi="Times New Roman" w:eastAsia="Times New Roman" w:cs="Times New Roman"/>
        </w:rPr>
      </w:pPr>
      <w:r>
        <w:rPr>
          <w:rFonts w:ascii="Times New Roman" w:hAnsi="Times New Roman" w:cs="Times New Roman"/>
        </w:rPr>
        <w:t xml:space="preserve">It measures the proportionate amount of income that can be used to cover interest expenses in the future. Mengniu’s 3 years average time interest cover ratio is </w:t>
      </w:r>
      <w:r>
        <w:rPr>
          <w:rFonts w:ascii="Times New Roman" w:hAnsi="Times New Roman" w:eastAsia="Times New Roman" w:cs="Times New Roman"/>
        </w:rPr>
        <w:t xml:space="preserve"> 4.997 means it makes enough income to pay for its total interest expense 4.997 times over. It is lower than Ausnutria (22.045) but higher than Yashili (-</w:t>
      </w:r>
      <w:r>
        <w:rPr>
          <w:rFonts w:ascii="Times New Roman" w:hAnsi="Times New Roman" w:eastAsia="PMingLiU" w:cs="Times New Roman"/>
        </w:rPr>
        <w:t>8.391</w:t>
      </w:r>
      <w:r>
        <w:rPr>
          <w:rFonts w:ascii="Times New Roman" w:hAnsi="Times New Roman" w:eastAsia="Times New Roman" w:cs="Times New Roman"/>
        </w:rPr>
        <w:t>).</w:t>
      </w:r>
    </w:p>
    <w:p>
      <w:pPr>
        <w:jc w:val="both"/>
        <w:rPr>
          <w:rFonts w:ascii="Times New Roman" w:hAnsi="Times New Roman" w:eastAsia="Times New Roman" w:cs="Times New Roman"/>
          <w:b/>
        </w:rPr>
      </w:pPr>
      <w:r>
        <w:rPr>
          <w:rFonts w:ascii="Times New Roman" w:hAnsi="Times New Roman" w:eastAsia="Times New Roman" w:cs="Times New Roman"/>
          <w:b/>
        </w:rPr>
        <w:t>Cash coverage ratio</w:t>
      </w:r>
    </w:p>
    <w:p>
      <w:pPr>
        <w:jc w:val="both"/>
        <w:rPr>
          <w:rFonts w:ascii="Times New Roman" w:hAnsi="Times New Roman" w:eastAsia="Times New Roman" w:cs="Times New Roman"/>
        </w:rPr>
      </w:pPr>
      <w:r>
        <w:rPr>
          <w:rFonts w:ascii="Times New Roman" w:hAnsi="Times New Roman" w:eastAsia="Times New Roman" w:cs="Times New Roman"/>
        </w:rPr>
        <w:t>It determines the cash amount available to pay for a borrower’s interest expense</w:t>
      </w:r>
      <w:r>
        <w:rPr>
          <w:rFonts w:ascii="Times New Roman" w:hAnsi="Times New Roman" w:eastAsia="PMingLiU" w:cs="Times New Roman"/>
        </w:rPr>
        <w:t xml:space="preserve"> (</w:t>
      </w:r>
      <w:r>
        <w:rPr>
          <w:rFonts w:ascii="Times New Roman" w:hAnsi="Times New Roman" w:eastAsia="SimSun" w:cs="Times New Roman"/>
          <w:color w:val="222222"/>
        </w:rPr>
        <w:t>Mills</w:t>
      </w:r>
      <w:r>
        <w:rPr>
          <w:rFonts w:ascii="Times New Roman" w:hAnsi="Times New Roman" w:eastAsia="PMingLiU" w:cs="Times New Roman"/>
          <w:color w:val="222222"/>
        </w:rPr>
        <w:t xml:space="preserve"> </w:t>
      </w:r>
      <w:r>
        <w:rPr>
          <w:rFonts w:ascii="Times New Roman" w:hAnsi="Times New Roman" w:eastAsia="SimSun" w:cs="Times New Roman"/>
          <w:color w:val="222222"/>
        </w:rPr>
        <w:t>and Yamamura,</w:t>
      </w:r>
      <w:r>
        <w:rPr>
          <w:rFonts w:ascii="Times New Roman" w:hAnsi="Times New Roman" w:eastAsia="PMingLiU" w:cs="Times New Roman"/>
          <w:color w:val="222222"/>
        </w:rPr>
        <w:t xml:space="preserve"> </w:t>
      </w:r>
      <w:r>
        <w:rPr>
          <w:rFonts w:ascii="Times New Roman" w:hAnsi="Times New Roman" w:eastAsia="SimSun" w:cs="Times New Roman"/>
          <w:color w:val="222222"/>
        </w:rPr>
        <w:t>1998</w:t>
      </w:r>
      <w:r>
        <w:rPr>
          <w:rFonts w:ascii="Times New Roman" w:hAnsi="Times New Roman" w:eastAsia="PMingLiU" w:cs="Times New Roman"/>
          <w:color w:val="222222"/>
        </w:rPr>
        <w:t>)</w:t>
      </w:r>
      <w:r>
        <w:rPr>
          <w:rFonts w:ascii="Times New Roman" w:hAnsi="Times New Roman" w:eastAsia="Times New Roman" w:cs="Times New Roman"/>
        </w:rPr>
        <w:t>. Mengniu’s 3 years average cash coverage ratio was 9.348, which is lower than Ausnutria (</w:t>
      </w:r>
      <w:r>
        <w:rPr>
          <w:rFonts w:ascii="Times New Roman" w:hAnsi="Times New Roman" w:eastAsia="Times New Roman" w:cs="Times New Roman"/>
          <w:color w:val="000000"/>
        </w:rPr>
        <w:t xml:space="preserve">27.456) </w:t>
      </w:r>
      <w:r>
        <w:rPr>
          <w:rFonts w:ascii="Times New Roman" w:hAnsi="Times New Roman" w:eastAsia="PMingLiU" w:cs="Times New Roman"/>
          <w:color w:val="000000"/>
        </w:rPr>
        <w:t>and</w:t>
      </w:r>
      <w:r>
        <w:rPr>
          <w:rFonts w:ascii="Times New Roman" w:hAnsi="Times New Roman" w:eastAsia="Times New Roman" w:cs="Times New Roman"/>
          <w:color w:val="000000"/>
        </w:rPr>
        <w:t xml:space="preserve"> Yashili (</w:t>
      </w:r>
      <w:r>
        <w:rPr>
          <w:rFonts w:ascii="Times New Roman" w:hAnsi="Times New Roman" w:eastAsia="PMingLiU" w:cs="Times New Roman"/>
          <w:color w:val="000000"/>
        </w:rPr>
        <w:t>12.680</w:t>
      </w:r>
      <w:r>
        <w:rPr>
          <w:rFonts w:ascii="Times New Roman" w:hAnsi="Times New Roman" w:eastAsia="Times New Roman" w:cs="Times New Roman"/>
        </w:rPr>
        <w:t xml:space="preserve">). </w:t>
      </w:r>
    </w:p>
    <w:p>
      <w:pPr>
        <w:jc w:val="both"/>
        <w:rPr>
          <w:rFonts w:ascii="Times New Roman" w:hAnsi="Times New Roman" w:eastAsia="Times New Roman" w:cs="Times New Roman"/>
        </w:rPr>
      </w:pPr>
    </w:p>
    <w:p>
      <w:pPr>
        <w:jc w:val="both"/>
        <w:rPr>
          <w:rFonts w:ascii="Times New Roman" w:hAnsi="Times New Roman" w:eastAsia="Times New Roman" w:cs="Times New Roman"/>
        </w:rPr>
      </w:pPr>
      <w:r>
        <w:rPr>
          <w:rFonts w:ascii="Times New Roman" w:hAnsi="Times New Roman" w:eastAsia="Times New Roman" w:cs="Times New Roman"/>
        </w:rPr>
        <w:t>In conclusion, Mengniu was performing not particularly well in paying debt ability; it has a relatively low current ratio, quick ratio and cash ratio</w:t>
      </w:r>
      <w:r>
        <w:rPr>
          <w:rFonts w:ascii="Times New Roman" w:hAnsi="Times New Roman" w:eastAsia="PMingLiU" w:cs="Times New Roman"/>
        </w:rPr>
        <w:t xml:space="preserve"> and cash coverage ratio</w:t>
      </w:r>
      <w:r>
        <w:rPr>
          <w:rFonts w:ascii="Times New Roman" w:hAnsi="Times New Roman" w:eastAsia="Times New Roman" w:cs="Times New Roman"/>
        </w:rPr>
        <w:t>. Nevertheless,</w:t>
      </w:r>
      <w:r>
        <w:rPr>
          <w:rFonts w:ascii="Times New Roman" w:hAnsi="Times New Roman" w:eastAsia="PMingLiU" w:cs="Times New Roman"/>
        </w:rPr>
        <w:t xml:space="preserve"> </w:t>
      </w:r>
      <w:r>
        <w:rPr>
          <w:rFonts w:ascii="Times New Roman" w:hAnsi="Times New Roman" w:eastAsia="Times New Roman" w:cs="Times New Roman"/>
        </w:rPr>
        <w:t xml:space="preserve">Mengniu’s long term debt </w:t>
      </w:r>
      <w:r>
        <w:rPr>
          <w:rFonts w:ascii="Times New Roman" w:hAnsi="Times New Roman" w:eastAsia="PMingLiU" w:cs="Times New Roman"/>
        </w:rPr>
        <w:t xml:space="preserve">(interest bearing) </w:t>
      </w:r>
      <w:r>
        <w:rPr>
          <w:rFonts w:ascii="Times New Roman" w:hAnsi="Times New Roman" w:eastAsia="Times New Roman" w:cs="Times New Roman"/>
        </w:rPr>
        <w:t>to total assets ratio, time interest cover ratio were not bad when compared to the industrial average level.</w:t>
      </w:r>
    </w:p>
    <w:p>
      <w:pPr>
        <w:rPr>
          <w:rFonts w:ascii="Times New Roman" w:hAnsi="Times New Roman" w:eastAsia="Times New Roman" w:cs="Times New Roman"/>
          <w:b/>
        </w:rPr>
      </w:pPr>
    </w:p>
    <w:p>
      <w:pPr>
        <w:rPr>
          <w:rFonts w:ascii="Times New Roman" w:hAnsi="Times New Roman" w:eastAsia="Times New Roman" w:cs="Times New Roman"/>
          <w:b/>
        </w:rPr>
      </w:pPr>
      <w:r>
        <w:rPr>
          <w:rFonts w:ascii="Times New Roman" w:hAnsi="Times New Roman" w:eastAsia="Times New Roman" w:cs="Times New Roman"/>
          <w:b/>
        </w:rPr>
        <w:t>2.5</w:t>
      </w:r>
      <w:r>
        <w:rPr>
          <w:rFonts w:ascii="Times New Roman" w:hAnsi="Times New Roman" w:eastAsia="Times New Roman" w:cs="Times New Roman"/>
          <w:b/>
        </w:rPr>
        <w:tab/>
      </w:r>
      <w:r>
        <w:rPr>
          <w:rFonts w:ascii="Times New Roman" w:hAnsi="Times New Roman" w:eastAsia="Times New Roman" w:cs="Times New Roman"/>
          <w:b/>
        </w:rPr>
        <w:t>Operating ability</w:t>
      </w:r>
    </w:p>
    <w:p>
      <w:pPr>
        <w:rPr>
          <w:rFonts w:ascii="Times New Roman" w:hAnsi="Times New Roman" w:eastAsia="PMingLiU" w:cs="Times New Roman"/>
          <w:b/>
        </w:rPr>
      </w:pPr>
      <w:r>
        <w:rPr>
          <w:rFonts w:ascii="Times New Roman" w:hAnsi="Times New Roman" w:eastAsia="PMingLiU" w:cs="Times New Roman"/>
          <w:b/>
        </w:rPr>
        <w:t>Table 5: Operating abilities of listed companies</w:t>
      </w:r>
    </w:p>
    <w:tbl>
      <w:tblPr>
        <w:tblStyle w:val="10"/>
        <w:tblW w:w="9483" w:type="dxa"/>
        <w:tblInd w:w="93" w:type="dxa"/>
        <w:tblLayout w:type="fixed"/>
        <w:tblCellMar>
          <w:top w:w="0" w:type="dxa"/>
          <w:left w:w="108" w:type="dxa"/>
          <w:bottom w:w="0" w:type="dxa"/>
          <w:right w:w="108" w:type="dxa"/>
        </w:tblCellMar>
      </w:tblPr>
      <w:tblGrid>
        <w:gridCol w:w="2627"/>
        <w:gridCol w:w="826"/>
        <w:gridCol w:w="913"/>
        <w:gridCol w:w="869"/>
        <w:gridCol w:w="1062"/>
        <w:gridCol w:w="1062"/>
        <w:gridCol w:w="1062"/>
        <w:gridCol w:w="1062"/>
      </w:tblGrid>
      <w:tr>
        <w:tblPrEx>
          <w:tblLayout w:type="fixed"/>
          <w:tblCellMar>
            <w:top w:w="0" w:type="dxa"/>
            <w:left w:w="108" w:type="dxa"/>
            <w:bottom w:w="0" w:type="dxa"/>
            <w:right w:w="108" w:type="dxa"/>
          </w:tblCellMar>
        </w:tblPrEx>
        <w:trPr>
          <w:trHeight w:val="315" w:hRule="atLeast"/>
        </w:trPr>
        <w:tc>
          <w:tcPr>
            <w:tcW w:w="2627" w:type="dxa"/>
            <w:tcBorders>
              <w:top w:val="single" w:color="auto" w:sz="4" w:space="0"/>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color w:val="000000"/>
                <w:sz w:val="18"/>
                <w:szCs w:val="18"/>
              </w:rPr>
            </w:pPr>
            <w:r>
              <w:rPr>
                <w:rFonts w:ascii="Times New Roman" w:hAnsi="Times New Roman" w:eastAsia="Times New Roman" w:cs="Times New Roman"/>
                <w:b/>
                <w:bCs/>
                <w:i/>
                <w:iCs/>
                <w:color w:val="000000"/>
                <w:sz w:val="18"/>
                <w:szCs w:val="18"/>
              </w:rPr>
              <w:t>(Company Name)</w:t>
            </w:r>
          </w:p>
        </w:tc>
        <w:tc>
          <w:tcPr>
            <w:tcW w:w="3670" w:type="dxa"/>
            <w:gridSpan w:val="4"/>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Mengniu</w:t>
            </w:r>
          </w:p>
        </w:tc>
        <w:tc>
          <w:tcPr>
            <w:tcW w:w="1062"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 xml:space="preserve">Ausnutria </w:t>
            </w:r>
          </w:p>
        </w:tc>
        <w:tc>
          <w:tcPr>
            <w:tcW w:w="1062"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 xml:space="preserve">Yashili </w:t>
            </w:r>
          </w:p>
        </w:tc>
        <w:tc>
          <w:tcPr>
            <w:tcW w:w="1062"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3 companies</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color w:val="000000"/>
                <w:sz w:val="18"/>
                <w:szCs w:val="18"/>
              </w:rPr>
            </w:pPr>
            <w:r>
              <w:rPr>
                <w:rFonts w:ascii="Times New Roman" w:hAnsi="Times New Roman" w:eastAsia="Times New Roman" w:cs="Times New Roman"/>
                <w:b/>
                <w:bCs/>
                <w:i/>
                <w:iCs/>
                <w:color w:val="000000"/>
                <w:sz w:val="18"/>
                <w:szCs w:val="18"/>
              </w:rPr>
              <w:t>(RMB in million)(Year) </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2016</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2017</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 xml:space="preserve">Depreciation and Amortization </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1601.52</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1703.85</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1838.45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1,714.61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89.574</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167.171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657.118</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Selling and distribution expense</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13,435</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14,868.8</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18833.3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15,712.43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1019.925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1068.18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5933.51</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Administrative expense</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2,471.</w:t>
            </w:r>
            <w:r>
              <w:rPr>
                <w:rFonts w:hint="eastAsia" w:ascii="Times New Roman" w:hAnsi="Times New Roman" w:eastAsia="PMingLiU" w:cs="Times New Roman"/>
                <w:color w:val="000000"/>
                <w:sz w:val="18"/>
                <w:szCs w:val="18"/>
                <w:lang w:val="en-US" w:eastAsia="zh-TW"/>
              </w:rPr>
              <w:t>4</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2,497.21</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2,915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2627.8707</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325.178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289.805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1080.95</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Other expenses</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2,850.7</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1,098.61</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851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1600.163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34.0473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127.015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587.075</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Total asset turnover</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1.095</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1.035</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1.038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1.056</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0.729</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0.323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0.703</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 xml:space="preserve">Average Collection Period (days) </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15.882</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16.06</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15.303</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15.748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hint="eastAsia" w:ascii="Times New Roman" w:hAnsi="Times New Roman" w:eastAsia="PMingLiU" w:cs="Times New Roman"/>
                <w:color w:val="000000"/>
                <w:sz w:val="18"/>
                <w:szCs w:val="18"/>
              </w:rPr>
              <w:t>24.579</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23.285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PMingLiU" w:cs="Times New Roman"/>
                <w:color w:val="000000"/>
                <w:sz w:val="18"/>
                <w:szCs w:val="18"/>
              </w:rPr>
            </w:pPr>
            <w:r>
              <w:rPr>
                <w:rFonts w:ascii="Times New Roman" w:hAnsi="Times New Roman" w:eastAsia="Times New Roman" w:cs="Times New Roman"/>
                <w:color w:val="000000"/>
                <w:sz w:val="18"/>
                <w:szCs w:val="18"/>
              </w:rPr>
              <w:t>2</w:t>
            </w:r>
            <w:r>
              <w:rPr>
                <w:rFonts w:hint="eastAsia" w:ascii="Times New Roman" w:hAnsi="Times New Roman" w:eastAsia="PMingLiU" w:cs="Times New Roman"/>
                <w:color w:val="000000"/>
                <w:sz w:val="18"/>
                <w:szCs w:val="18"/>
              </w:rPr>
              <w:t>1.204</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Day Sales in Inventory(days)</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33.469</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32.875</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36.184</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34.176</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188.068</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187.179</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1</w:t>
            </w:r>
            <w:r>
              <w:rPr>
                <w:rFonts w:hint="eastAsia" w:ascii="Times New Roman" w:hAnsi="Times New Roman" w:eastAsia="PMingLiU" w:cs="Times New Roman"/>
                <w:color w:val="000000"/>
                <w:sz w:val="18"/>
                <w:szCs w:val="18"/>
              </w:rPr>
              <w:t>36.474</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Average Payment period(days)</w:t>
            </w:r>
          </w:p>
        </w:tc>
        <w:tc>
          <w:tcPr>
            <w:tcW w:w="82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54.589</w:t>
            </w:r>
          </w:p>
        </w:tc>
        <w:tc>
          <w:tcPr>
            <w:tcW w:w="91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59.398</w:t>
            </w:r>
          </w:p>
        </w:tc>
        <w:tc>
          <w:tcPr>
            <w:tcW w:w="86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59.335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57.774</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38.881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79.122</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58.592</w:t>
            </w:r>
          </w:p>
        </w:tc>
      </w:tr>
      <w:tr>
        <w:tblPrEx>
          <w:tblLayout w:type="fixed"/>
          <w:tblCellMar>
            <w:top w:w="0" w:type="dxa"/>
            <w:left w:w="108" w:type="dxa"/>
            <w:bottom w:w="0" w:type="dxa"/>
            <w:right w:w="108" w:type="dxa"/>
          </w:tblCellMar>
        </w:tblPrEx>
        <w:trPr>
          <w:trHeight w:val="315" w:hRule="atLeast"/>
        </w:trPr>
        <w:tc>
          <w:tcPr>
            <w:tcW w:w="2627"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Sales</w:t>
            </w:r>
          </w:p>
        </w:tc>
        <w:tc>
          <w:tcPr>
            <w:tcW w:w="826" w:type="dxa"/>
            <w:tcBorders>
              <w:top w:val="nil"/>
              <w:left w:val="nil"/>
              <w:bottom w:val="single" w:color="auto" w:sz="4" w:space="0"/>
              <w:right w:val="single" w:color="auto" w:sz="4" w:space="0"/>
            </w:tcBorders>
            <w:shd w:val="clear" w:color="000000" w:fill="FFFFFF"/>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53779.3</w:t>
            </w:r>
          </w:p>
        </w:tc>
        <w:tc>
          <w:tcPr>
            <w:tcW w:w="913" w:type="dxa"/>
            <w:tcBorders>
              <w:top w:val="nil"/>
              <w:left w:val="nil"/>
              <w:bottom w:val="single" w:color="auto" w:sz="4" w:space="0"/>
              <w:right w:val="single" w:color="auto" w:sz="4" w:space="0"/>
            </w:tcBorders>
            <w:shd w:val="clear" w:color="000000" w:fill="FFFFFF"/>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60155.6</w:t>
            </w:r>
          </w:p>
        </w:tc>
        <w:tc>
          <w:tcPr>
            <w:tcW w:w="869" w:type="dxa"/>
            <w:tcBorders>
              <w:top w:val="nil"/>
              <w:left w:val="nil"/>
              <w:bottom w:val="single" w:color="auto" w:sz="4" w:space="0"/>
              <w:right w:val="single" w:color="auto" w:sz="4" w:space="0"/>
            </w:tcBorders>
            <w:shd w:val="clear" w:color="000000" w:fill="FFFFFF"/>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68977.1</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60970.676</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4018.765</w:t>
            </w:r>
          </w:p>
        </w:tc>
        <w:tc>
          <w:tcPr>
            <w:tcW w:w="106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2489.744</w:t>
            </w:r>
          </w:p>
        </w:tc>
        <w:tc>
          <w:tcPr>
            <w:tcW w:w="1062"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 </w:t>
            </w:r>
          </w:p>
        </w:tc>
      </w:tr>
    </w:tbl>
    <w:p>
      <w:pPr>
        <w:rPr>
          <w:rFonts w:ascii="Calibri" w:hAnsi="Calibri" w:eastAsia="Times New Roman" w:cs="Calibri"/>
          <w:sz w:val="24"/>
          <w:szCs w:val="24"/>
        </w:rPr>
      </w:pPr>
    </w:p>
    <w:p>
      <w:pPr>
        <w:jc w:val="both"/>
        <w:rPr>
          <w:rFonts w:ascii="Times New Roman" w:hAnsi="Times New Roman" w:eastAsia="Times New Roman" w:cs="Times New Roman"/>
        </w:rPr>
      </w:pPr>
      <w:r>
        <w:rPr>
          <w:rFonts w:ascii="Times New Roman" w:hAnsi="Times New Roman" w:eastAsia="Times New Roman" w:cs="Times New Roman"/>
        </w:rPr>
        <w:t>From the table we can see Mengniu had highest 3 years average depreciation and amortization (1714.608 million RMB),selling and distribution expense (15712.433 million RMB), administrative expense (2627.871 million RMB), other expenses (1600.163 million RMB) among the three compared companies, this can be explained by Mengniu has highest 3 years average sales (60970.676 million RMB), which is 15.171 times more than Ausnutria (4018.765 million RMB) and 24.489 times more than Yashili (2489.744 million RMB).</w:t>
      </w:r>
    </w:p>
    <w:p>
      <w:pPr>
        <w:jc w:val="both"/>
        <w:rPr>
          <w:rFonts w:ascii="Times New Roman" w:hAnsi="Times New Roman" w:eastAsia="Times New Roman" w:cs="Times New Roman"/>
          <w:b/>
        </w:rPr>
      </w:pPr>
      <w:r>
        <w:rPr>
          <w:rFonts w:ascii="Times New Roman" w:hAnsi="Times New Roman" w:eastAsia="Times New Roman" w:cs="Times New Roman"/>
          <w:b/>
        </w:rPr>
        <w:t>Total asset turnover</w:t>
      </w:r>
    </w:p>
    <w:p>
      <w:pPr>
        <w:jc w:val="both"/>
        <w:rPr>
          <w:rFonts w:ascii="Times New Roman" w:hAnsi="Times New Roman" w:eastAsia="Times New Roman" w:cs="Times New Roman"/>
        </w:rPr>
      </w:pPr>
      <w:r>
        <w:rPr>
          <w:rFonts w:ascii="Times New Roman" w:hAnsi="Times New Roman" w:eastAsia="Times New Roman" w:cs="Times New Roman"/>
        </w:rPr>
        <w:t>It is a ratio to measure the efficacy with which a company is using its assets to generate revenue. The lower the asset turnover ratio, the less efficient a company</w:t>
      </w:r>
      <w:r>
        <w:rPr>
          <w:rFonts w:ascii="Times New Roman" w:hAnsi="Times New Roman" w:eastAsia="PMingLiU" w:cs="Times New Roman"/>
        </w:rPr>
        <w:t xml:space="preserve"> (</w:t>
      </w:r>
      <w:r>
        <w:rPr>
          <w:rFonts w:ascii="Times New Roman" w:hAnsi="Times New Roman" w:eastAsia="SimSun" w:cs="Times New Roman"/>
          <w:color w:val="222222"/>
        </w:rPr>
        <w:t>Fairfield and Yohn, 2001</w:t>
      </w:r>
      <w:r>
        <w:rPr>
          <w:rFonts w:ascii="Times New Roman" w:hAnsi="Times New Roman" w:eastAsia="PMingLiU" w:cs="Times New Roman"/>
          <w:color w:val="222222"/>
        </w:rPr>
        <w:t>)</w:t>
      </w:r>
      <w:r>
        <w:rPr>
          <w:rFonts w:ascii="Times New Roman" w:hAnsi="Times New Roman" w:eastAsia="Times New Roman" w:cs="Times New Roman"/>
        </w:rPr>
        <w:t>. The 3 years average total asset turnover of Mengniu is 1.056, which is higher than Ausnutria (0.729) and Yashili (0.323), which meant Mengniu is more efficient to generate revenue using its assets compared to its competitors.</w:t>
      </w:r>
    </w:p>
    <w:p>
      <w:pPr>
        <w:jc w:val="both"/>
        <w:rPr>
          <w:rFonts w:ascii="Times New Roman" w:hAnsi="Times New Roman" w:eastAsia="Times New Roman" w:cs="Times New Roman"/>
          <w:b/>
        </w:rPr>
      </w:pPr>
      <w:r>
        <w:rPr>
          <w:rFonts w:ascii="Times New Roman" w:hAnsi="Times New Roman" w:eastAsia="Times New Roman" w:cs="Times New Roman"/>
          <w:b/>
        </w:rPr>
        <w:t>Average collection period</w:t>
      </w:r>
    </w:p>
    <w:p>
      <w:pPr>
        <w:jc w:val="both"/>
        <w:rPr>
          <w:rFonts w:ascii="Times New Roman" w:hAnsi="Times New Roman" w:eastAsia="Times New Roman" w:cs="Times New Roman"/>
        </w:rPr>
      </w:pPr>
      <w:r>
        <w:rPr>
          <w:rFonts w:ascii="Times New Roman" w:hAnsi="Times New Roman" w:eastAsia="Times New Roman" w:cs="Times New Roman"/>
        </w:rPr>
        <w:t>In order to ensure a company operating smoothly, it must manage its average collection period well, as it is indicative of the effectiveness of its accounts receivable management practices. A low average collection period indicates the organization collects payment faster</w:t>
      </w:r>
      <w:r>
        <w:rPr>
          <w:rFonts w:ascii="Times New Roman" w:hAnsi="Times New Roman" w:eastAsia="PMingLiU" w:cs="Times New Roman"/>
        </w:rPr>
        <w:t xml:space="preserve"> (</w:t>
      </w:r>
      <w:r>
        <w:rPr>
          <w:rFonts w:ascii="Times New Roman" w:hAnsi="Times New Roman" w:eastAsia="SimSun" w:cs="Times New Roman"/>
          <w:color w:val="222222"/>
        </w:rPr>
        <w:t>Zainudin</w:t>
      </w:r>
      <w:r>
        <w:rPr>
          <w:rFonts w:ascii="Times New Roman" w:hAnsi="Times New Roman" w:eastAsia="PMingLiU" w:cs="Times New Roman"/>
          <w:color w:val="222222"/>
        </w:rPr>
        <w:t>, 2008)</w:t>
      </w:r>
      <w:r>
        <w:rPr>
          <w:rFonts w:ascii="Times New Roman" w:hAnsi="Times New Roman" w:eastAsia="Times New Roman" w:cs="Times New Roman"/>
        </w:rPr>
        <w:t>. Mengniu’s 3 years average collection period was 15.748 days, which was lower than Ausnutria (</w:t>
      </w:r>
      <w:r>
        <w:rPr>
          <w:rFonts w:ascii="Times New Roman" w:hAnsi="Times New Roman" w:eastAsia="PMingLiU" w:cs="Times New Roman"/>
        </w:rPr>
        <w:t>24.579</w:t>
      </w:r>
      <w:r>
        <w:rPr>
          <w:rFonts w:ascii="Times New Roman" w:hAnsi="Times New Roman" w:eastAsia="Times New Roman" w:cs="Times New Roman"/>
        </w:rPr>
        <w:t xml:space="preserve"> days) and Yashili (23.285 days), which meant Mengniu’s collect their payment faster than their competitors.</w:t>
      </w:r>
    </w:p>
    <w:p>
      <w:pPr>
        <w:jc w:val="both"/>
        <w:rPr>
          <w:rFonts w:ascii="Times New Roman" w:hAnsi="Times New Roman" w:eastAsia="Times New Roman" w:cs="Times New Roman"/>
          <w:b/>
        </w:rPr>
      </w:pPr>
      <w:r>
        <w:rPr>
          <w:rFonts w:ascii="Times New Roman" w:hAnsi="Times New Roman" w:eastAsia="Times New Roman" w:cs="Times New Roman"/>
          <w:b/>
        </w:rPr>
        <w:t>Days Sales of Inventory (DSI)</w:t>
      </w:r>
    </w:p>
    <w:p>
      <w:pPr>
        <w:jc w:val="both"/>
        <w:rPr>
          <w:rFonts w:ascii="Times New Roman" w:hAnsi="Times New Roman" w:eastAsia="Times New Roman" w:cs="Times New Roman"/>
        </w:rPr>
      </w:pPr>
      <w:r>
        <w:rPr>
          <w:rFonts w:ascii="Times New Roman" w:hAnsi="Times New Roman" w:eastAsia="Times New Roman" w:cs="Times New Roman"/>
        </w:rPr>
        <w:t>It indicates the inventory liquidity, a lower DSI is often p</w:t>
      </w:r>
      <w:r>
        <w:rPr>
          <w:rFonts w:ascii="Times New Roman" w:hAnsi="Times New Roman" w:eastAsia="PMingLiU" w:cs="Times New Roman"/>
        </w:rPr>
        <w:t>re</w:t>
      </w:r>
      <w:r>
        <w:rPr>
          <w:rFonts w:ascii="Times New Roman" w:hAnsi="Times New Roman" w:eastAsia="Times New Roman" w:cs="Times New Roman"/>
        </w:rPr>
        <w:t>ferable as it represents how many days a company’s current inventory stock will last</w:t>
      </w:r>
      <w:r>
        <w:rPr>
          <w:rFonts w:ascii="Times New Roman" w:hAnsi="Times New Roman" w:eastAsia="PMingLiU" w:cs="Times New Roman"/>
        </w:rPr>
        <w:t>(</w:t>
      </w:r>
      <w:r>
        <w:rPr>
          <w:rFonts w:ascii="Times New Roman" w:hAnsi="Times New Roman" w:eastAsia="SimSun" w:cs="Times New Roman"/>
          <w:color w:val="222222"/>
        </w:rPr>
        <w:t>Burja and Burja, 2010</w:t>
      </w:r>
      <w:r>
        <w:rPr>
          <w:rFonts w:ascii="Times New Roman" w:hAnsi="Times New Roman" w:eastAsia="PMingLiU" w:cs="Times New Roman"/>
          <w:color w:val="222222"/>
        </w:rPr>
        <w:t>)</w:t>
      </w:r>
      <w:r>
        <w:rPr>
          <w:rFonts w:ascii="Times New Roman" w:hAnsi="Times New Roman" w:eastAsia="Times New Roman" w:cs="Times New Roman"/>
        </w:rPr>
        <w:t>. Mengniu’s 3 years average days sales of inventory was 34.176 days, which is a lot lower than Ausnutria (188.068 days) and Yashili (187.179 days).</w:t>
      </w:r>
    </w:p>
    <w:p>
      <w:pPr>
        <w:jc w:val="both"/>
        <w:rPr>
          <w:rFonts w:ascii="Times New Roman" w:hAnsi="Times New Roman" w:eastAsia="Times New Roman" w:cs="Times New Roman"/>
          <w:b/>
        </w:rPr>
      </w:pPr>
      <w:r>
        <w:rPr>
          <w:rFonts w:ascii="Times New Roman" w:hAnsi="Times New Roman" w:eastAsia="Times New Roman" w:cs="Times New Roman"/>
          <w:b/>
        </w:rPr>
        <w:t>Average payment period</w:t>
      </w:r>
    </w:p>
    <w:p>
      <w:pPr>
        <w:jc w:val="both"/>
        <w:rPr>
          <w:rFonts w:ascii="Times New Roman" w:hAnsi="Times New Roman" w:eastAsia="Times New Roman" w:cs="Times New Roman"/>
        </w:rPr>
      </w:pPr>
      <w:r>
        <w:rPr>
          <w:rFonts w:ascii="Times New Roman" w:hAnsi="Times New Roman" w:eastAsia="Times New Roman" w:cs="Times New Roman"/>
        </w:rPr>
        <w:t>It indicates the company creditworthiness, a shorter payment period indicates prompt payments to creditors</w:t>
      </w:r>
      <w:r>
        <w:rPr>
          <w:rFonts w:ascii="Times New Roman" w:hAnsi="Times New Roman" w:eastAsia="PMingLiU" w:cs="Times New Roman"/>
        </w:rPr>
        <w:t xml:space="preserve"> (</w:t>
      </w:r>
      <w:r>
        <w:rPr>
          <w:rFonts w:ascii="Times New Roman" w:hAnsi="Times New Roman" w:eastAsia="SimSun" w:cs="Times New Roman"/>
          <w:color w:val="222222"/>
        </w:rPr>
        <w:t>Richards and Laughlin, 1980</w:t>
      </w:r>
      <w:r>
        <w:rPr>
          <w:rFonts w:ascii="Times New Roman" w:hAnsi="Times New Roman" w:eastAsia="PMingLiU" w:cs="Times New Roman"/>
          <w:color w:val="222222"/>
        </w:rPr>
        <w:t>).</w:t>
      </w:r>
      <w:r>
        <w:rPr>
          <w:rFonts w:ascii="Times New Roman" w:hAnsi="Times New Roman" w:eastAsia="Times New Roman" w:cs="Times New Roman"/>
        </w:rPr>
        <w:t xml:space="preserve"> Mengniu 3 years average payment period was 57.774 days, which is more than Ausnutria (38.881 days) but less than Yashili (79.122 days).</w:t>
      </w:r>
    </w:p>
    <w:p>
      <w:pPr>
        <w:jc w:val="both"/>
        <w:rPr>
          <w:rFonts w:ascii="Times New Roman" w:hAnsi="Times New Roman" w:eastAsia="Times New Roman" w:cs="Times New Roman"/>
          <w:b/>
        </w:rPr>
      </w:pPr>
      <w:r>
        <w:rPr>
          <w:rFonts w:ascii="Times New Roman" w:hAnsi="Times New Roman" w:eastAsia="Times New Roman" w:cs="Times New Roman"/>
          <w:b/>
        </w:rPr>
        <w:t>Sales</w:t>
      </w:r>
    </w:p>
    <w:p>
      <w:pPr>
        <w:jc w:val="both"/>
        <w:rPr>
          <w:rFonts w:ascii="Times New Roman" w:hAnsi="Times New Roman" w:eastAsia="Times New Roman" w:cs="Times New Roman"/>
        </w:rPr>
      </w:pPr>
      <w:r>
        <w:rPr>
          <w:rFonts w:ascii="Times New Roman" w:hAnsi="Times New Roman" w:eastAsia="Times New Roman" w:cs="Times New Roman"/>
        </w:rPr>
        <w:t>Mengniu’s sales has been growing continuously for 3 consecutive years, from 53779.3 million RMB in year 2016, to 60155.6 million RMB in year 2017 and 68977.1 million RMB in year 2018, which indicates the market share of Mengniu in this industry grows.</w:t>
      </w:r>
    </w:p>
    <w:p>
      <w:pPr>
        <w:jc w:val="both"/>
        <w:rPr>
          <w:rFonts w:ascii="Times New Roman" w:hAnsi="Times New Roman" w:eastAsia="Times New Roman" w:cs="Times New Roman"/>
        </w:rPr>
      </w:pPr>
      <w:r>
        <w:rPr>
          <w:rFonts w:ascii="Times New Roman" w:hAnsi="Times New Roman" w:eastAsia="Times New Roman" w:cs="Times New Roman"/>
        </w:rPr>
        <w:t xml:space="preserve">In conclusion,in operating capacity analysis,  Mengniu’s business growth </w:t>
      </w:r>
      <w:r>
        <w:rPr>
          <w:rFonts w:ascii="Times New Roman" w:hAnsi="Times New Roman" w:eastAsia="PMingLiU" w:cs="Times New Roman"/>
        </w:rPr>
        <w:t>speed</w:t>
      </w:r>
      <w:r>
        <w:rPr>
          <w:rFonts w:ascii="Times New Roman" w:hAnsi="Times New Roman" w:eastAsia="Times New Roman" w:cs="Times New Roman"/>
        </w:rPr>
        <w:t xml:space="preserve"> up despite more depreciation and amortization, selling and distribution expense, administrative expense through the studied years. It has good total asset turnover, average collection period and day sales in inventory compared to its competitors. Its market share is highest among the three studied companies.</w:t>
      </w:r>
    </w:p>
    <w:p>
      <w:pPr>
        <w:jc w:val="both"/>
        <w:rPr>
          <w:rFonts w:ascii="Times New Roman" w:hAnsi="Times New Roman" w:eastAsia="Times New Roman" w:cs="Times New Roman"/>
          <w:b/>
        </w:rPr>
      </w:pPr>
    </w:p>
    <w:p>
      <w:pPr>
        <w:jc w:val="both"/>
        <w:rPr>
          <w:rFonts w:ascii="Times New Roman" w:hAnsi="Times New Roman" w:eastAsia="Times New Roman" w:cs="Times New Roman"/>
          <w:b/>
        </w:rPr>
      </w:pPr>
    </w:p>
    <w:p>
      <w:pPr>
        <w:jc w:val="both"/>
        <w:rPr>
          <w:rFonts w:ascii="Times New Roman" w:hAnsi="Times New Roman" w:eastAsia="Times New Roman" w:cs="Times New Roman"/>
          <w:b/>
        </w:rPr>
      </w:pPr>
    </w:p>
    <w:p>
      <w:pPr>
        <w:jc w:val="both"/>
        <w:rPr>
          <w:rFonts w:ascii="Times New Roman" w:hAnsi="Times New Roman" w:eastAsia="Times New Roman" w:cs="Times New Roman"/>
          <w:b/>
        </w:rPr>
      </w:pPr>
    </w:p>
    <w:p>
      <w:pPr>
        <w:jc w:val="both"/>
        <w:rPr>
          <w:rFonts w:ascii="Times New Roman" w:hAnsi="Times New Roman" w:eastAsia="Times New Roman" w:cs="Times New Roman"/>
          <w:b/>
        </w:rPr>
      </w:pPr>
    </w:p>
    <w:p>
      <w:pPr>
        <w:jc w:val="both"/>
        <w:rPr>
          <w:rFonts w:ascii="Times New Roman" w:hAnsi="Times New Roman" w:eastAsia="Times New Roman" w:cs="Times New Roman"/>
          <w:b/>
        </w:rPr>
      </w:pPr>
      <w:r>
        <w:rPr>
          <w:rFonts w:ascii="Times New Roman" w:hAnsi="Times New Roman" w:eastAsia="Times New Roman" w:cs="Times New Roman"/>
          <w:b/>
        </w:rPr>
        <w:t>2.6</w:t>
      </w:r>
      <w:r>
        <w:rPr>
          <w:rFonts w:ascii="Times New Roman" w:hAnsi="Times New Roman" w:eastAsia="Times New Roman" w:cs="Times New Roman"/>
          <w:b/>
        </w:rPr>
        <w:tab/>
      </w:r>
      <w:r>
        <w:rPr>
          <w:rFonts w:ascii="Times New Roman" w:hAnsi="Times New Roman" w:eastAsia="Times New Roman" w:cs="Times New Roman"/>
          <w:b/>
        </w:rPr>
        <w:t>Profitability</w:t>
      </w:r>
    </w:p>
    <w:p>
      <w:pPr>
        <w:jc w:val="both"/>
        <w:rPr>
          <w:rFonts w:ascii="Times New Roman" w:hAnsi="Times New Roman" w:eastAsia="PMingLiU" w:cs="Times New Roman"/>
          <w:b/>
        </w:rPr>
      </w:pPr>
      <w:r>
        <w:rPr>
          <w:rFonts w:ascii="Times New Roman" w:hAnsi="Times New Roman" w:eastAsia="PMingLiU" w:cs="Times New Roman"/>
          <w:b/>
        </w:rPr>
        <w:t>Table 6: Profitability analysis of listed companies</w:t>
      </w:r>
    </w:p>
    <w:tbl>
      <w:tblPr>
        <w:tblStyle w:val="10"/>
        <w:tblW w:w="9483" w:type="dxa"/>
        <w:tblInd w:w="93" w:type="dxa"/>
        <w:tblLayout w:type="fixed"/>
        <w:tblCellMar>
          <w:top w:w="0" w:type="dxa"/>
          <w:left w:w="108" w:type="dxa"/>
          <w:bottom w:w="0" w:type="dxa"/>
          <w:right w:w="108" w:type="dxa"/>
        </w:tblCellMar>
      </w:tblPr>
      <w:tblGrid>
        <w:gridCol w:w="2105"/>
        <w:gridCol w:w="1130"/>
        <w:gridCol w:w="1130"/>
        <w:gridCol w:w="1083"/>
        <w:gridCol w:w="1139"/>
        <w:gridCol w:w="958"/>
        <w:gridCol w:w="953"/>
        <w:gridCol w:w="985"/>
      </w:tblGrid>
      <w:tr>
        <w:tblPrEx>
          <w:tblLayout w:type="fixed"/>
          <w:tblCellMar>
            <w:top w:w="0" w:type="dxa"/>
            <w:left w:w="108" w:type="dxa"/>
            <w:bottom w:w="0" w:type="dxa"/>
            <w:right w:w="108" w:type="dxa"/>
          </w:tblCellMar>
        </w:tblPrEx>
        <w:trPr>
          <w:trHeight w:val="315" w:hRule="atLeast"/>
        </w:trPr>
        <w:tc>
          <w:tcPr>
            <w:tcW w:w="2105" w:type="dxa"/>
            <w:tcBorders>
              <w:top w:val="single" w:color="auto" w:sz="4" w:space="0"/>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color w:val="000000"/>
                <w:sz w:val="18"/>
                <w:szCs w:val="18"/>
              </w:rPr>
            </w:pPr>
            <w:r>
              <w:rPr>
                <w:rFonts w:ascii="Times New Roman" w:hAnsi="Times New Roman" w:eastAsia="Times New Roman" w:cs="Times New Roman"/>
                <w:b/>
                <w:bCs/>
                <w:i/>
                <w:iCs/>
                <w:color w:val="000000"/>
                <w:sz w:val="18"/>
                <w:szCs w:val="18"/>
              </w:rPr>
              <w:t>(Company Name)</w:t>
            </w:r>
          </w:p>
        </w:tc>
        <w:tc>
          <w:tcPr>
            <w:tcW w:w="4482" w:type="dxa"/>
            <w:gridSpan w:val="4"/>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Mengniu</w:t>
            </w:r>
          </w:p>
        </w:tc>
        <w:tc>
          <w:tcPr>
            <w:tcW w:w="958"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Ausnutria</w:t>
            </w:r>
          </w:p>
        </w:tc>
        <w:tc>
          <w:tcPr>
            <w:tcW w:w="953"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Yashili</w:t>
            </w:r>
          </w:p>
        </w:tc>
        <w:tc>
          <w:tcPr>
            <w:tcW w:w="985"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color w:val="000000"/>
                <w:sz w:val="18"/>
                <w:szCs w:val="18"/>
              </w:rPr>
            </w:pPr>
            <w:r>
              <w:rPr>
                <w:rFonts w:ascii="Times New Roman" w:hAnsi="Times New Roman" w:eastAsia="Times New Roman" w:cs="Times New Roman"/>
                <w:b/>
                <w:bCs/>
                <w:color w:val="000000"/>
                <w:sz w:val="18"/>
                <w:szCs w:val="18"/>
              </w:rPr>
              <w:t>3 companies</w:t>
            </w:r>
          </w:p>
        </w:tc>
      </w:tr>
      <w:tr>
        <w:tblPrEx>
          <w:tblLayout w:type="fixed"/>
          <w:tblCellMar>
            <w:top w:w="0" w:type="dxa"/>
            <w:left w:w="108" w:type="dxa"/>
            <w:bottom w:w="0" w:type="dxa"/>
            <w:right w:w="108" w:type="dxa"/>
          </w:tblCellMar>
        </w:tblPrEx>
        <w:trPr>
          <w:trHeight w:val="315" w:hRule="atLeast"/>
        </w:trPr>
        <w:tc>
          <w:tcPr>
            <w:tcW w:w="2105"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color w:val="000000"/>
                <w:sz w:val="18"/>
                <w:szCs w:val="18"/>
              </w:rPr>
            </w:pPr>
            <w:r>
              <w:rPr>
                <w:rFonts w:ascii="Times New Roman" w:hAnsi="Times New Roman" w:eastAsia="Times New Roman" w:cs="Times New Roman"/>
                <w:b/>
                <w:bCs/>
                <w:i/>
                <w:iCs/>
                <w:color w:val="000000"/>
                <w:sz w:val="18"/>
                <w:szCs w:val="18"/>
              </w:rPr>
              <w:t>(RMB in million)(Year)</w:t>
            </w:r>
          </w:p>
        </w:tc>
        <w:tc>
          <w:tcPr>
            <w:tcW w:w="1130"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2016</w:t>
            </w:r>
          </w:p>
        </w:tc>
        <w:tc>
          <w:tcPr>
            <w:tcW w:w="1130"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2017</w:t>
            </w:r>
          </w:p>
        </w:tc>
        <w:tc>
          <w:tcPr>
            <w:tcW w:w="108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2018</w:t>
            </w:r>
          </w:p>
        </w:tc>
        <w:tc>
          <w:tcPr>
            <w:tcW w:w="113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958"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95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c>
          <w:tcPr>
            <w:tcW w:w="985"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color w:val="000000"/>
                <w:sz w:val="18"/>
                <w:szCs w:val="18"/>
              </w:rPr>
            </w:pPr>
            <w:r>
              <w:rPr>
                <w:rFonts w:ascii="Times New Roman" w:hAnsi="Times New Roman" w:eastAsia="Times New Roman" w:cs="Times New Roman"/>
                <w:color w:val="000000"/>
                <w:sz w:val="18"/>
                <w:szCs w:val="18"/>
              </w:rPr>
              <w:t>3 years average</w:t>
            </w:r>
          </w:p>
        </w:tc>
      </w:tr>
      <w:tr>
        <w:tblPrEx>
          <w:tblLayout w:type="fixed"/>
          <w:tblCellMar>
            <w:top w:w="0" w:type="dxa"/>
            <w:left w:w="108" w:type="dxa"/>
            <w:bottom w:w="0" w:type="dxa"/>
            <w:right w:w="108" w:type="dxa"/>
          </w:tblCellMar>
        </w:tblPrEx>
        <w:trPr>
          <w:trHeight w:val="315" w:hRule="atLeast"/>
        </w:trPr>
        <w:tc>
          <w:tcPr>
            <w:tcW w:w="2105"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Net profit (1 Million RMB)</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-812.765</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2030.678</w:t>
            </w:r>
          </w:p>
        </w:tc>
        <w:tc>
          <w:tcPr>
            <w:tcW w:w="1083"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3203.72</w:t>
            </w:r>
          </w:p>
        </w:tc>
        <w:tc>
          <w:tcPr>
            <w:tcW w:w="113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1,473.87</w:t>
            </w:r>
          </w:p>
        </w:tc>
        <w:tc>
          <w:tcPr>
            <w:tcW w:w="958"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PMingLiU" w:cs="Times New Roman"/>
                <w:color w:val="000000"/>
                <w:sz w:val="24"/>
                <w:szCs w:val="24"/>
              </w:rPr>
            </w:pPr>
            <w:r>
              <w:rPr>
                <w:rFonts w:ascii="Times New Roman" w:hAnsi="Times New Roman" w:eastAsia="Times New Roman" w:cs="Times New Roman"/>
                <w:color w:val="000000"/>
                <w:sz w:val="24"/>
                <w:szCs w:val="24"/>
              </w:rPr>
              <w:t>404</w:t>
            </w:r>
            <w:r>
              <w:rPr>
                <w:rFonts w:ascii="Times New Roman" w:hAnsi="Times New Roman" w:eastAsia="PMingLiU" w:cs="Times New Roman"/>
                <w:color w:val="000000"/>
                <w:sz w:val="24"/>
                <w:szCs w:val="24"/>
              </w:rPr>
              <w:t>.44</w:t>
            </w:r>
          </w:p>
        </w:tc>
        <w:tc>
          <w:tcPr>
            <w:tcW w:w="953"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-149.3</w:t>
            </w:r>
          </w:p>
        </w:tc>
        <w:tc>
          <w:tcPr>
            <w:tcW w:w="985"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576.34</w:t>
            </w:r>
          </w:p>
        </w:tc>
      </w:tr>
      <w:tr>
        <w:tblPrEx>
          <w:tblLayout w:type="fixed"/>
          <w:tblCellMar>
            <w:top w:w="0" w:type="dxa"/>
            <w:left w:w="108" w:type="dxa"/>
            <w:bottom w:w="0" w:type="dxa"/>
            <w:right w:w="108" w:type="dxa"/>
          </w:tblCellMar>
        </w:tblPrEx>
        <w:trPr>
          <w:trHeight w:val="315" w:hRule="atLeast"/>
        </w:trPr>
        <w:tc>
          <w:tcPr>
            <w:tcW w:w="2105"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Net profit growth</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-132.30%</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349.80%</w:t>
            </w:r>
          </w:p>
        </w:tc>
        <w:tc>
          <w:tcPr>
            <w:tcW w:w="1083"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57.800%</w:t>
            </w:r>
          </w:p>
        </w:tc>
        <w:tc>
          <w:tcPr>
            <w:tcW w:w="113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PMingLiU" w:cs="Times New Roman"/>
                <w:color w:val="000000"/>
                <w:sz w:val="24"/>
                <w:szCs w:val="24"/>
              </w:rPr>
            </w:pPr>
            <w:r>
              <w:rPr>
                <w:rFonts w:ascii="Times New Roman" w:hAnsi="Times New Roman" w:eastAsia="PMingLiU" w:cs="Times New Roman"/>
                <w:color w:val="000000"/>
                <w:sz w:val="24"/>
                <w:szCs w:val="24"/>
              </w:rPr>
              <w:t>91.8%</w:t>
            </w:r>
          </w:p>
        </w:tc>
        <w:tc>
          <w:tcPr>
            <w:tcW w:w="958"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2519%</w:t>
            </w:r>
          </w:p>
        </w:tc>
        <w:tc>
          <w:tcPr>
            <w:tcW w:w="953"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-181%</w:t>
            </w:r>
          </w:p>
        </w:tc>
        <w:tc>
          <w:tcPr>
            <w:tcW w:w="985"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25.50%</w:t>
            </w:r>
          </w:p>
        </w:tc>
      </w:tr>
      <w:tr>
        <w:tblPrEx>
          <w:tblLayout w:type="fixed"/>
          <w:tblCellMar>
            <w:top w:w="0" w:type="dxa"/>
            <w:left w:w="108" w:type="dxa"/>
            <w:bottom w:w="0" w:type="dxa"/>
            <w:right w:w="108" w:type="dxa"/>
          </w:tblCellMar>
        </w:tblPrEx>
        <w:trPr>
          <w:trHeight w:val="315" w:hRule="atLeast"/>
        </w:trPr>
        <w:tc>
          <w:tcPr>
            <w:tcW w:w="2105"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Gross profit margin</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0.328</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0.352</w:t>
            </w:r>
          </w:p>
        </w:tc>
        <w:tc>
          <w:tcPr>
            <w:tcW w:w="1083"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0.374</w:t>
            </w:r>
          </w:p>
        </w:tc>
        <w:tc>
          <w:tcPr>
            <w:tcW w:w="113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0.351</w:t>
            </w:r>
          </w:p>
        </w:tc>
        <w:tc>
          <w:tcPr>
            <w:tcW w:w="958"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0.45</w:t>
            </w:r>
          </w:p>
        </w:tc>
        <w:tc>
          <w:tcPr>
            <w:tcW w:w="953"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0.425</w:t>
            </w:r>
          </w:p>
        </w:tc>
        <w:tc>
          <w:tcPr>
            <w:tcW w:w="985"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0.407</w:t>
            </w:r>
          </w:p>
        </w:tc>
      </w:tr>
      <w:tr>
        <w:tblPrEx>
          <w:tblLayout w:type="fixed"/>
          <w:tblCellMar>
            <w:top w:w="0" w:type="dxa"/>
            <w:left w:w="108" w:type="dxa"/>
            <w:bottom w:w="0" w:type="dxa"/>
            <w:right w:w="108" w:type="dxa"/>
          </w:tblCellMar>
        </w:tblPrEx>
        <w:trPr>
          <w:trHeight w:val="315" w:hRule="atLeast"/>
        </w:trPr>
        <w:tc>
          <w:tcPr>
            <w:tcW w:w="2105"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Net Profit margin</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-0.015</w:t>
            </w:r>
          </w:p>
        </w:tc>
        <w:tc>
          <w:tcPr>
            <w:tcW w:w="113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0.034</w:t>
            </w:r>
          </w:p>
        </w:tc>
        <w:tc>
          <w:tcPr>
            <w:tcW w:w="1083"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0.046</w:t>
            </w:r>
          </w:p>
        </w:tc>
        <w:tc>
          <w:tcPr>
            <w:tcW w:w="113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0.022</w:t>
            </w:r>
          </w:p>
        </w:tc>
        <w:tc>
          <w:tcPr>
            <w:tcW w:w="958"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0.097</w:t>
            </w:r>
          </w:p>
        </w:tc>
        <w:tc>
          <w:tcPr>
            <w:tcW w:w="953"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-0.069</w:t>
            </w:r>
          </w:p>
        </w:tc>
        <w:tc>
          <w:tcPr>
            <w:tcW w:w="985"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0.017</w:t>
            </w:r>
          </w:p>
        </w:tc>
      </w:tr>
    </w:tbl>
    <w:p>
      <w:pPr>
        <w:jc w:val="both"/>
        <w:rPr>
          <w:rFonts w:ascii="Times New Roman" w:hAnsi="Times New Roman" w:eastAsia="Times New Roman" w:cs="Times New Roman"/>
        </w:rPr>
      </w:pPr>
    </w:p>
    <w:p>
      <w:pPr>
        <w:jc w:val="both"/>
        <w:rPr>
          <w:rFonts w:ascii="Times New Roman" w:hAnsi="Times New Roman" w:eastAsia="Times New Roman" w:cs="Times New Roman"/>
          <w:b/>
        </w:rPr>
      </w:pPr>
      <w:r>
        <w:rPr>
          <w:rFonts w:ascii="Times New Roman" w:hAnsi="Times New Roman" w:eastAsia="Times New Roman" w:cs="Times New Roman"/>
          <w:b/>
        </w:rPr>
        <w:t>Gross profit margin</w:t>
      </w:r>
    </w:p>
    <w:p>
      <w:pPr>
        <w:jc w:val="both"/>
        <w:rPr>
          <w:rFonts w:ascii="Times New Roman" w:hAnsi="Times New Roman" w:eastAsia="PMingLiU" w:cs="Times New Roman"/>
        </w:rPr>
      </w:pPr>
      <w:r>
        <w:rPr>
          <w:rFonts w:ascii="Times New Roman" w:hAnsi="Times New Roman" w:eastAsia="Times New Roman" w:cs="Times New Roman"/>
        </w:rPr>
        <w:t>It is used to assess a company’s financial health and business model by revealing the amount of money left over from sales after deducting the cost of goods sold</w:t>
      </w:r>
      <w:r>
        <w:rPr>
          <w:rFonts w:ascii="Times New Roman" w:hAnsi="Times New Roman" w:eastAsia="PMingLiU" w:cs="Times New Roman"/>
        </w:rPr>
        <w:t xml:space="preserve"> (</w:t>
      </w:r>
      <w:r>
        <w:rPr>
          <w:rFonts w:ascii="Times New Roman" w:hAnsi="Times New Roman" w:eastAsia="SimSun" w:cs="Times New Roman"/>
          <w:color w:val="222222"/>
        </w:rPr>
        <w:t>Stahl</w:t>
      </w:r>
      <w:r>
        <w:rPr>
          <w:rFonts w:ascii="Times New Roman" w:hAnsi="Times New Roman" w:eastAsia="PMingLiU" w:cs="Times New Roman"/>
          <w:color w:val="222222"/>
        </w:rPr>
        <w:t xml:space="preserve"> et al., 2012)</w:t>
      </w:r>
      <w:r>
        <w:rPr>
          <w:rFonts w:ascii="Times New Roman" w:hAnsi="Times New Roman" w:eastAsia="Times New Roman" w:cs="Times New Roman"/>
        </w:rPr>
        <w:t>. Mengniu has a 3 year average gross profit margin of 35.1%, which was lower than Ausnutria (45%) and Yashili (42.5%). Mengniu performed poorer than average industrial level (40.7%</w:t>
      </w:r>
      <w:r>
        <w:rPr>
          <w:rFonts w:ascii="Times New Roman" w:hAnsi="Times New Roman" w:eastAsia="PMingLiU" w:cs="Times New Roman"/>
        </w:rPr>
        <w:t>).</w:t>
      </w:r>
    </w:p>
    <w:p>
      <w:pPr>
        <w:jc w:val="both"/>
        <w:rPr>
          <w:rFonts w:ascii="Times New Roman" w:hAnsi="Times New Roman" w:eastAsia="Times New Roman" w:cs="Times New Roman"/>
          <w:b/>
        </w:rPr>
      </w:pPr>
      <w:r>
        <w:rPr>
          <w:rFonts w:ascii="Times New Roman" w:hAnsi="Times New Roman" w:eastAsia="Times New Roman" w:cs="Times New Roman"/>
          <w:b/>
        </w:rPr>
        <w:t>Net profit margin</w:t>
      </w:r>
    </w:p>
    <w:p>
      <w:pPr>
        <w:jc w:val="both"/>
        <w:rPr>
          <w:rFonts w:ascii="Times New Roman" w:hAnsi="Times New Roman" w:eastAsia="PMingLiU" w:cs="Times New Roman"/>
        </w:rPr>
      </w:pPr>
      <w:r>
        <w:rPr>
          <w:rFonts w:ascii="Times New Roman" w:hAnsi="Times New Roman" w:eastAsia="Times New Roman" w:cs="Times New Roman"/>
        </w:rPr>
        <w:t>It is equal to how much net income is generated as a revenue percentage</w:t>
      </w:r>
      <w:r>
        <w:rPr>
          <w:rFonts w:ascii="Times New Roman" w:hAnsi="Times New Roman" w:eastAsia="PMingLiU" w:cs="Times New Roman"/>
        </w:rPr>
        <w:t xml:space="preserve"> (</w:t>
      </w:r>
      <w:r>
        <w:rPr>
          <w:rFonts w:ascii="Times New Roman" w:hAnsi="Times New Roman" w:eastAsia="SimSun" w:cs="Times New Roman"/>
          <w:color w:val="222222"/>
        </w:rPr>
        <w:t>Khadafi,</w:t>
      </w:r>
      <w:r>
        <w:rPr>
          <w:rFonts w:ascii="Times New Roman" w:hAnsi="Times New Roman" w:eastAsia="PMingLiU" w:cs="Times New Roman"/>
          <w:color w:val="222222"/>
        </w:rPr>
        <w:t>, 2014)</w:t>
      </w:r>
      <w:r>
        <w:rPr>
          <w:rFonts w:ascii="Times New Roman" w:hAnsi="Times New Roman" w:eastAsia="Times New Roman" w:cs="Times New Roman"/>
        </w:rPr>
        <w:t>. Mengniu’s 3 years average net profit margin was 2.2%, which is lower than Ausnutria (9.7%</w:t>
      </w:r>
      <w:r>
        <w:rPr>
          <w:rFonts w:ascii="Times New Roman" w:hAnsi="Times New Roman" w:eastAsia="PMingLiU" w:cs="Times New Roman"/>
        </w:rPr>
        <w:t>)</w:t>
      </w:r>
      <w:r>
        <w:rPr>
          <w:rFonts w:ascii="Times New Roman" w:hAnsi="Times New Roman" w:eastAsia="Times New Roman" w:cs="Times New Roman"/>
        </w:rPr>
        <w:t xml:space="preserve"> but higher than Yashili (-6.9%). Mengniu performed better than average industrial level (1.7%)</w:t>
      </w:r>
      <w:r>
        <w:rPr>
          <w:rFonts w:ascii="Times New Roman" w:hAnsi="Times New Roman" w:eastAsia="PMingLiU" w:cs="Times New Roman"/>
        </w:rPr>
        <w:t>.</w:t>
      </w:r>
    </w:p>
    <w:p>
      <w:pPr>
        <w:jc w:val="both"/>
        <w:rPr>
          <w:rFonts w:ascii="Times New Roman" w:hAnsi="Times New Roman" w:eastAsia="PMingLiU" w:cs="Times New Roman"/>
          <w:b/>
        </w:rPr>
      </w:pPr>
      <w:r>
        <w:rPr>
          <w:rFonts w:ascii="Times New Roman" w:hAnsi="Times New Roman" w:eastAsia="PMingLiU" w:cs="Times New Roman"/>
          <w:b/>
        </w:rPr>
        <w:t>Table 7: Operating capacity analysis of listed companies</w:t>
      </w:r>
    </w:p>
    <w:tbl>
      <w:tblPr>
        <w:tblStyle w:val="10"/>
        <w:tblW w:w="9483" w:type="dxa"/>
        <w:tblInd w:w="93" w:type="dxa"/>
        <w:tblLayout w:type="fixed"/>
        <w:tblCellMar>
          <w:top w:w="0" w:type="dxa"/>
          <w:left w:w="108" w:type="dxa"/>
          <w:bottom w:w="0" w:type="dxa"/>
          <w:right w:w="108" w:type="dxa"/>
        </w:tblCellMar>
      </w:tblPr>
      <w:tblGrid>
        <w:gridCol w:w="2789"/>
        <w:gridCol w:w="890"/>
        <w:gridCol w:w="890"/>
        <w:gridCol w:w="1004"/>
        <w:gridCol w:w="1141"/>
        <w:gridCol w:w="948"/>
        <w:gridCol w:w="846"/>
        <w:gridCol w:w="975"/>
      </w:tblGrid>
      <w:tr>
        <w:tblPrEx>
          <w:tblLayout w:type="fixed"/>
          <w:tblCellMar>
            <w:top w:w="0" w:type="dxa"/>
            <w:left w:w="108" w:type="dxa"/>
            <w:bottom w:w="0" w:type="dxa"/>
            <w:right w:w="108" w:type="dxa"/>
          </w:tblCellMar>
        </w:tblPrEx>
        <w:trPr>
          <w:trHeight w:val="315" w:hRule="atLeast"/>
        </w:trPr>
        <w:tc>
          <w:tcPr>
            <w:tcW w:w="2789" w:type="dxa"/>
            <w:tcBorders>
              <w:top w:val="single" w:color="auto" w:sz="4" w:space="0"/>
              <w:left w:val="single" w:color="auto" w:sz="4" w:space="0"/>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3925" w:type="dxa"/>
            <w:gridSpan w:val="4"/>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Mengniu</w:t>
            </w:r>
          </w:p>
        </w:tc>
        <w:tc>
          <w:tcPr>
            <w:tcW w:w="948"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846"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c>
          <w:tcPr>
            <w:tcW w:w="975"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3 companies</w:t>
            </w:r>
          </w:p>
        </w:tc>
      </w:tr>
      <w:tr>
        <w:tblPrEx>
          <w:tblLayout w:type="fixed"/>
          <w:tblCellMar>
            <w:top w:w="0" w:type="dxa"/>
            <w:left w:w="108" w:type="dxa"/>
            <w:bottom w:w="0" w:type="dxa"/>
            <w:right w:w="108" w:type="dxa"/>
          </w:tblCellMar>
        </w:tblPrEx>
        <w:trPr>
          <w:trHeight w:val="315" w:hRule="atLeast"/>
        </w:trPr>
        <w:tc>
          <w:tcPr>
            <w:tcW w:w="2789"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b/>
                <w:bCs/>
                <w:i/>
                <w:iCs/>
                <w:sz w:val="18"/>
                <w:szCs w:val="18"/>
              </w:rPr>
            </w:pPr>
          </w:p>
        </w:tc>
        <w:tc>
          <w:tcPr>
            <w:tcW w:w="890" w:type="dxa"/>
            <w:tcBorders>
              <w:top w:val="nil"/>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890" w:type="dxa"/>
            <w:tcBorders>
              <w:top w:val="nil"/>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1004" w:type="dxa"/>
            <w:tcBorders>
              <w:top w:val="nil"/>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1141" w:type="dxa"/>
            <w:tcBorders>
              <w:top w:val="nil"/>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948" w:type="dxa"/>
            <w:tcBorders>
              <w:top w:val="nil"/>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846" w:type="dxa"/>
            <w:tcBorders>
              <w:top w:val="nil"/>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975" w:type="dxa"/>
            <w:tcBorders>
              <w:top w:val="nil"/>
              <w:left w:val="nil"/>
              <w:bottom w:val="single" w:color="auto" w:sz="4" w:space="0"/>
              <w:right w:val="single" w:color="auto" w:sz="4" w:space="0"/>
            </w:tcBorders>
            <w:shd w:val="clear" w:color="000000" w:fill="FFFFFF"/>
            <w:noWrap/>
            <w:vAlign w:val="center"/>
          </w:tcPr>
          <w:p>
            <w:pPr>
              <w:spacing w:after="0" w:line="240" w:lineRule="auto"/>
              <w:jc w:val="both"/>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2789"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rPr>
            </w:pPr>
            <w:r>
              <w:rPr>
                <w:rFonts w:ascii="Times New Roman" w:hAnsi="Times New Roman" w:eastAsia="Times New Roman" w:cs="Times New Roman"/>
              </w:rPr>
              <w:t xml:space="preserve">Total assets turnover </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1.095</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1.035</w:t>
            </w:r>
          </w:p>
        </w:tc>
        <w:tc>
          <w:tcPr>
            <w:tcW w:w="1004"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1.038</w:t>
            </w:r>
          </w:p>
        </w:tc>
        <w:tc>
          <w:tcPr>
            <w:tcW w:w="1141"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1.056</w:t>
            </w:r>
          </w:p>
        </w:tc>
        <w:tc>
          <w:tcPr>
            <w:tcW w:w="948"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PMingLiU" w:cs="Times New Roman"/>
                <w:sz w:val="24"/>
                <w:szCs w:val="24"/>
              </w:rPr>
            </w:pPr>
            <w:r>
              <w:rPr>
                <w:rFonts w:ascii="Times New Roman" w:hAnsi="Times New Roman" w:eastAsia="Times New Roman" w:cs="Times New Roman"/>
                <w:sz w:val="24"/>
                <w:szCs w:val="24"/>
              </w:rPr>
              <w:t>0.8</w:t>
            </w:r>
            <w:r>
              <w:rPr>
                <w:rFonts w:ascii="Times New Roman" w:hAnsi="Times New Roman" w:eastAsia="PMingLiU" w:cs="Times New Roman"/>
                <w:sz w:val="24"/>
                <w:szCs w:val="24"/>
              </w:rPr>
              <w:t>00</w:t>
            </w:r>
          </w:p>
        </w:tc>
        <w:tc>
          <w:tcPr>
            <w:tcW w:w="846"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0.38</w:t>
            </w:r>
          </w:p>
        </w:tc>
        <w:tc>
          <w:tcPr>
            <w:tcW w:w="975"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0.745</w:t>
            </w:r>
          </w:p>
        </w:tc>
      </w:tr>
      <w:tr>
        <w:tblPrEx>
          <w:tblLayout w:type="fixed"/>
          <w:tblCellMar>
            <w:top w:w="0" w:type="dxa"/>
            <w:left w:w="108" w:type="dxa"/>
            <w:bottom w:w="0" w:type="dxa"/>
            <w:right w:w="108" w:type="dxa"/>
          </w:tblCellMar>
        </w:tblPrEx>
        <w:trPr>
          <w:trHeight w:val="315" w:hRule="atLeast"/>
        </w:trPr>
        <w:tc>
          <w:tcPr>
            <w:tcW w:w="2789"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leverage ratio </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0.926</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1.145</w:t>
            </w:r>
          </w:p>
        </w:tc>
        <w:tc>
          <w:tcPr>
            <w:tcW w:w="1004"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1.181</w:t>
            </w:r>
          </w:p>
        </w:tc>
        <w:tc>
          <w:tcPr>
            <w:tcW w:w="1141"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1.084</w:t>
            </w:r>
          </w:p>
        </w:tc>
        <w:tc>
          <w:tcPr>
            <w:tcW w:w="948"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0.584</w:t>
            </w:r>
          </w:p>
        </w:tc>
        <w:tc>
          <w:tcPr>
            <w:tcW w:w="846"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0.275</w:t>
            </w:r>
          </w:p>
        </w:tc>
        <w:tc>
          <w:tcPr>
            <w:tcW w:w="975"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0.648</w:t>
            </w:r>
          </w:p>
        </w:tc>
      </w:tr>
      <w:tr>
        <w:tblPrEx>
          <w:tblLayout w:type="fixed"/>
          <w:tblCellMar>
            <w:top w:w="0" w:type="dxa"/>
            <w:left w:w="108" w:type="dxa"/>
            <w:bottom w:w="0" w:type="dxa"/>
            <w:right w:w="108" w:type="dxa"/>
          </w:tblCellMar>
        </w:tblPrEx>
        <w:trPr>
          <w:trHeight w:val="315" w:hRule="atLeast"/>
        </w:trPr>
        <w:tc>
          <w:tcPr>
            <w:tcW w:w="2789"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Return on Equity (after tax) (%) </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2"/>
                <w:szCs w:val="22"/>
              </w:rPr>
              <w:t>-3.1</w:t>
            </w:r>
            <w:r>
              <w:rPr>
                <w:rFonts w:ascii="Times New Roman" w:hAnsi="Times New Roman" w:eastAsia="PMingLiU" w:cs="Times New Roman"/>
                <w:sz w:val="22"/>
                <w:szCs w:val="22"/>
              </w:rPr>
              <w:t>9</w:t>
            </w:r>
            <w:r>
              <w:rPr>
                <w:rFonts w:ascii="Times New Roman" w:hAnsi="Times New Roman" w:eastAsia="Times New Roman" w:cs="Times New Roman"/>
                <w:sz w:val="22"/>
                <w:szCs w:val="22"/>
              </w:rPr>
              <w:t>%</w:t>
            </w:r>
          </w:p>
        </w:tc>
        <w:tc>
          <w:tcPr>
            <w:tcW w:w="890"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7.4</w:t>
            </w:r>
            <w:r>
              <w:rPr>
                <w:rFonts w:ascii="Times New Roman" w:hAnsi="Times New Roman" w:eastAsia="PMingLiU" w:cs="Times New Roman"/>
                <w:sz w:val="24"/>
                <w:szCs w:val="24"/>
              </w:rPr>
              <w:t>9</w:t>
            </w:r>
            <w:r>
              <w:rPr>
                <w:rFonts w:ascii="Times New Roman" w:hAnsi="Times New Roman" w:eastAsia="Times New Roman" w:cs="Times New Roman"/>
                <w:sz w:val="24"/>
                <w:szCs w:val="24"/>
              </w:rPr>
              <w:t>%</w:t>
            </w:r>
          </w:p>
        </w:tc>
        <w:tc>
          <w:tcPr>
            <w:tcW w:w="1004"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10.5</w:t>
            </w:r>
            <w:r>
              <w:rPr>
                <w:rFonts w:ascii="Times New Roman" w:hAnsi="Times New Roman" w:eastAsia="PMingLiU" w:cs="Times New Roman"/>
                <w:sz w:val="24"/>
                <w:szCs w:val="24"/>
              </w:rPr>
              <w:t>2</w:t>
            </w:r>
            <w:r>
              <w:rPr>
                <w:rFonts w:ascii="Times New Roman" w:hAnsi="Times New Roman" w:eastAsia="Times New Roman" w:cs="Times New Roman"/>
                <w:sz w:val="24"/>
                <w:szCs w:val="24"/>
              </w:rPr>
              <w:t>%</w:t>
            </w:r>
          </w:p>
        </w:tc>
        <w:tc>
          <w:tcPr>
            <w:tcW w:w="1141"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4.940%</w:t>
            </w:r>
          </w:p>
        </w:tc>
        <w:tc>
          <w:tcPr>
            <w:tcW w:w="948"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18.</w:t>
            </w:r>
            <w:r>
              <w:rPr>
                <w:rFonts w:hint="eastAsia" w:ascii="Times New Roman" w:hAnsi="Times New Roman" w:eastAsia="PMingLiU" w:cs="Times New Roman"/>
                <w:sz w:val="24"/>
                <w:szCs w:val="24"/>
                <w:lang w:val="en-US" w:eastAsia="zh-TW"/>
              </w:rPr>
              <w:t>1</w:t>
            </w:r>
            <w:r>
              <w:rPr>
                <w:rFonts w:ascii="Times New Roman" w:hAnsi="Times New Roman" w:eastAsia="Times New Roman" w:cs="Times New Roman"/>
                <w:sz w:val="24"/>
                <w:szCs w:val="24"/>
              </w:rPr>
              <w:t>%</w:t>
            </w:r>
          </w:p>
        </w:tc>
        <w:tc>
          <w:tcPr>
            <w:tcW w:w="846"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0"/>
                <w:szCs w:val="20"/>
              </w:rPr>
              <w:t>-2.65%</w:t>
            </w:r>
          </w:p>
        </w:tc>
        <w:tc>
          <w:tcPr>
            <w:tcW w:w="975"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6.78%</w:t>
            </w:r>
          </w:p>
        </w:tc>
      </w:tr>
    </w:tbl>
    <w:p>
      <w:pPr>
        <w:jc w:val="both"/>
        <w:rPr>
          <w:rFonts w:ascii="Times New Roman" w:hAnsi="Times New Roman" w:eastAsia="Times New Roman" w:cs="Times New Roman"/>
        </w:rPr>
      </w:pPr>
    </w:p>
    <w:p>
      <w:pPr>
        <w:jc w:val="both"/>
        <w:rPr>
          <w:rFonts w:ascii="Times New Roman" w:hAnsi="Times New Roman" w:eastAsia="Times New Roman" w:cs="Times New Roman"/>
          <w:b/>
        </w:rPr>
      </w:pPr>
      <w:r>
        <w:rPr>
          <w:rFonts w:ascii="Times New Roman" w:hAnsi="Times New Roman" w:eastAsia="Times New Roman" w:cs="Times New Roman"/>
          <w:b/>
        </w:rPr>
        <w:t>Total assets turnover</w:t>
      </w:r>
    </w:p>
    <w:p>
      <w:pPr>
        <w:jc w:val="both"/>
        <w:rPr>
          <w:rFonts w:ascii="Times New Roman" w:hAnsi="Times New Roman" w:eastAsia="Times New Roman" w:cs="Times New Roman"/>
        </w:rPr>
      </w:pPr>
      <w:r>
        <w:rPr>
          <w:rFonts w:ascii="Times New Roman" w:hAnsi="Times New Roman" w:eastAsia="Times New Roman" w:cs="Times New Roman"/>
        </w:rPr>
        <w:t>It means how efficient the company is using its assets to generate revenue</w:t>
      </w:r>
      <w:r>
        <w:rPr>
          <w:rFonts w:ascii="Times New Roman" w:hAnsi="Times New Roman" w:eastAsia="PMingLiU" w:cs="Times New Roman"/>
        </w:rPr>
        <w:t xml:space="preserve"> (</w:t>
      </w:r>
      <w:r>
        <w:rPr>
          <w:rFonts w:ascii="Times New Roman" w:hAnsi="Times New Roman" w:eastAsia="SimSun" w:cs="Times New Roman"/>
          <w:color w:val="222222"/>
        </w:rPr>
        <w:t>Fairfield</w:t>
      </w:r>
      <w:r>
        <w:rPr>
          <w:rFonts w:ascii="Times New Roman" w:hAnsi="Times New Roman" w:eastAsia="PMingLiU" w:cs="Times New Roman"/>
          <w:color w:val="222222"/>
        </w:rPr>
        <w:t xml:space="preserve"> </w:t>
      </w:r>
      <w:r>
        <w:rPr>
          <w:rFonts w:ascii="Times New Roman" w:hAnsi="Times New Roman" w:eastAsia="SimSun" w:cs="Times New Roman"/>
          <w:color w:val="222222"/>
        </w:rPr>
        <w:t>and Yohn, 2001</w:t>
      </w:r>
      <w:r>
        <w:rPr>
          <w:rFonts w:ascii="Times New Roman" w:hAnsi="Times New Roman" w:eastAsia="PMingLiU" w:cs="Times New Roman"/>
          <w:color w:val="222222"/>
        </w:rPr>
        <w:t>)</w:t>
      </w:r>
      <w:r>
        <w:rPr>
          <w:rFonts w:ascii="Times New Roman" w:hAnsi="Times New Roman" w:eastAsia="Times New Roman" w:cs="Times New Roman"/>
        </w:rPr>
        <w:t>. Mengniu’s 3 years average total assets turnover was 105.6%, which was better than Ausnutria (80%) and Yashili (38%), and it was better than average industrial level (74.5%)</w:t>
      </w:r>
    </w:p>
    <w:p>
      <w:pPr>
        <w:jc w:val="both"/>
        <w:rPr>
          <w:rFonts w:ascii="Times New Roman" w:hAnsi="Times New Roman" w:eastAsia="Times New Roman" w:cs="Times New Roman"/>
          <w:b/>
        </w:rPr>
      </w:pPr>
      <w:r>
        <w:rPr>
          <w:rFonts w:ascii="Times New Roman" w:hAnsi="Times New Roman" w:eastAsia="Times New Roman" w:cs="Times New Roman"/>
          <w:b/>
        </w:rPr>
        <w:t>Leverage ratio</w:t>
      </w:r>
    </w:p>
    <w:p>
      <w:pPr>
        <w:jc w:val="both"/>
        <w:rPr>
          <w:rFonts w:ascii="Times New Roman" w:hAnsi="Times New Roman" w:eastAsia="Times New Roman" w:cs="Times New Roman"/>
        </w:rPr>
      </w:pPr>
      <w:r>
        <w:rPr>
          <w:rFonts w:ascii="Times New Roman" w:hAnsi="Times New Roman" w:eastAsia="Times New Roman" w:cs="Times New Roman"/>
        </w:rPr>
        <w:t xml:space="preserve">It assesses the company ability to meet its financial obligations and measures </w:t>
      </w:r>
      <w:r>
        <w:rPr>
          <w:rFonts w:ascii="Times New Roman" w:hAnsi="Times New Roman" w:eastAsia="PMingLiU" w:cs="Times New Roman"/>
        </w:rPr>
        <w:t>the loans capital(</w:t>
      </w:r>
      <w:r>
        <w:rPr>
          <w:rFonts w:ascii="Times New Roman" w:hAnsi="Times New Roman" w:eastAsia="SimSun" w:cs="Times New Roman"/>
          <w:color w:val="222222"/>
        </w:rPr>
        <w:t>Adrian and Shin, 2010</w:t>
      </w:r>
      <w:r>
        <w:rPr>
          <w:rFonts w:ascii="Times New Roman" w:hAnsi="Times New Roman" w:eastAsia="PMingLiU" w:cs="Times New Roman"/>
          <w:color w:val="222222"/>
        </w:rPr>
        <w:t>)</w:t>
      </w:r>
      <w:r>
        <w:rPr>
          <w:rFonts w:ascii="Times New Roman" w:hAnsi="Times New Roman" w:eastAsia="PMingLiU" w:cs="Times New Roman"/>
        </w:rPr>
        <w:t>.</w:t>
      </w:r>
      <w:r>
        <w:rPr>
          <w:rFonts w:ascii="Times New Roman" w:hAnsi="Times New Roman" w:eastAsia="Times New Roman" w:cs="Times New Roman"/>
        </w:rPr>
        <w:t xml:space="preserve"> Mengniu’s 3 years average leverage ratio was 1.084, which is higher than Ausnutria (0.584) and Yashili (0.275). </w:t>
      </w:r>
      <w:r>
        <w:rPr>
          <w:rFonts w:ascii="Times New Roman" w:hAnsi="Times New Roman" w:eastAsia="PMingLiU" w:cs="Times New Roman"/>
        </w:rPr>
        <w:t>Sometimes debt can help the company increase the growth rate of profits, provided the debt can create higher return rate than the loans’ interest rate (though too heavy debt can be detrimental to the investors and the company).</w:t>
      </w:r>
      <w:r>
        <w:rPr>
          <w:rFonts w:ascii="Times New Roman" w:hAnsi="Times New Roman" w:eastAsia="Times New Roman" w:cs="Times New Roman"/>
        </w:rPr>
        <w:t xml:space="preserve"> Mengniu was in this situation.</w:t>
      </w:r>
    </w:p>
    <w:p>
      <w:pPr>
        <w:jc w:val="both"/>
        <w:rPr>
          <w:rFonts w:ascii="Times New Roman" w:hAnsi="Times New Roman" w:eastAsia="Times New Roman" w:cs="Times New Roman"/>
          <w:b/>
        </w:rPr>
      </w:pPr>
      <w:r>
        <w:rPr>
          <w:rFonts w:ascii="Times New Roman" w:hAnsi="Times New Roman" w:eastAsia="Times New Roman" w:cs="Times New Roman"/>
          <w:b/>
        </w:rPr>
        <w:t>Return on Equity (after-tax)</w:t>
      </w:r>
    </w:p>
    <w:p>
      <w:pPr>
        <w:jc w:val="both"/>
        <w:rPr>
          <w:rFonts w:ascii="Times New Roman" w:hAnsi="Times New Roman" w:eastAsia="Times New Roman" w:cs="Times New Roman"/>
        </w:rPr>
      </w:pPr>
      <w:r>
        <w:rPr>
          <w:rFonts w:ascii="Times New Roman" w:hAnsi="Times New Roman" w:eastAsia="Times New Roman" w:cs="Times New Roman"/>
        </w:rPr>
        <w:t>It measures the financial performance calculated by dividing net income by shareholders’ equity</w:t>
      </w:r>
      <w:r>
        <w:rPr>
          <w:rFonts w:ascii="Times New Roman" w:hAnsi="Times New Roman" w:eastAsia="PMingLiU" w:cs="Times New Roman"/>
        </w:rPr>
        <w:t xml:space="preserve"> (</w:t>
      </w:r>
      <w:r>
        <w:rPr>
          <w:rFonts w:ascii="Times New Roman" w:hAnsi="Times New Roman" w:eastAsia="SimSun" w:cs="Times New Roman"/>
          <w:color w:val="222222"/>
        </w:rPr>
        <w:t>Khadafi</w:t>
      </w:r>
      <w:r>
        <w:rPr>
          <w:rFonts w:ascii="Times New Roman" w:hAnsi="Times New Roman" w:eastAsia="PMingLiU" w:cs="Times New Roman"/>
          <w:color w:val="222222"/>
        </w:rPr>
        <w:t xml:space="preserve"> et al.,</w:t>
      </w:r>
      <w:r>
        <w:rPr>
          <w:rFonts w:ascii="Times New Roman" w:hAnsi="Times New Roman" w:eastAsia="SimSun" w:cs="Times New Roman"/>
          <w:color w:val="222222"/>
        </w:rPr>
        <w:t xml:space="preserve"> 2014</w:t>
      </w:r>
      <w:r>
        <w:rPr>
          <w:rFonts w:ascii="Times New Roman" w:hAnsi="Times New Roman" w:eastAsia="PMingLiU" w:cs="Times New Roman"/>
          <w:color w:val="222222"/>
        </w:rPr>
        <w:t>)</w:t>
      </w:r>
      <w:r>
        <w:rPr>
          <w:rFonts w:ascii="Times New Roman" w:hAnsi="Times New Roman" w:eastAsia="Times New Roman" w:cs="Times New Roman"/>
        </w:rPr>
        <w:t>. Mengniu’s 3 years average return on equity (after tax) was 4.94%, which was lower than Ausnutria (18.05%) but higher than Yashili (2.65%), and it was little bit lower than average industrial level (6.78%).</w:t>
      </w:r>
    </w:p>
    <w:p>
      <w:pPr>
        <w:jc w:val="both"/>
        <w:rPr>
          <w:rFonts w:ascii="Times New Roman" w:hAnsi="Times New Roman" w:eastAsia="Times New Roman" w:cs="Times New Roman"/>
        </w:rPr>
      </w:pPr>
      <w:r>
        <w:rPr>
          <w:rFonts w:ascii="Times New Roman" w:hAnsi="Times New Roman" w:eastAsia="Times New Roman" w:cs="Times New Roman"/>
        </w:rPr>
        <w:t>In conclusion, after the profitability analysis, Mengniu has better total assets turnover than average industrial level, but inferior to the average industrial level in lower return on equity (after tax). With higher leverage ratio than the average industrial level, Mengniu depends on loans to increase the capital more than Ausnutria and Yashili. We recommend Mengniu to increase their market penetration to improve its profit rate and return on equity (after tax).</w:t>
      </w:r>
    </w:p>
    <w:p>
      <w:pPr>
        <w:rPr>
          <w:rFonts w:ascii="Calibri" w:hAnsi="Calibri" w:eastAsia="Times New Roman" w:cs="Calibri"/>
        </w:rPr>
      </w:pPr>
    </w:p>
    <w:p>
      <w:pPr>
        <w:rPr>
          <w:rFonts w:ascii="Times New Roman" w:hAnsi="Times New Roman" w:eastAsia="Times New Roman" w:cs="Times New Roman"/>
          <w:b/>
        </w:rPr>
      </w:pPr>
      <w:r>
        <w:rPr>
          <w:rFonts w:ascii="Times New Roman" w:hAnsi="Times New Roman" w:eastAsia="Times New Roman" w:cs="Times New Roman"/>
          <w:b/>
        </w:rPr>
        <w:t>2.7</w:t>
      </w:r>
      <w:r>
        <w:rPr>
          <w:rFonts w:ascii="Times New Roman" w:hAnsi="Times New Roman" w:eastAsia="Times New Roman" w:cs="Times New Roman"/>
          <w:b/>
        </w:rPr>
        <w:tab/>
      </w:r>
      <w:r>
        <w:rPr>
          <w:rFonts w:ascii="Times New Roman" w:hAnsi="Times New Roman" w:eastAsia="Times New Roman" w:cs="Times New Roman"/>
          <w:b/>
        </w:rPr>
        <w:t>Growth ability</w:t>
      </w:r>
    </w:p>
    <w:p>
      <w:pPr>
        <w:rPr>
          <w:rFonts w:ascii="Times New Roman" w:hAnsi="Times New Roman" w:eastAsia="PMingLiU" w:cs="Times New Roman"/>
          <w:b/>
        </w:rPr>
      </w:pPr>
      <w:r>
        <w:rPr>
          <w:rFonts w:ascii="Times New Roman" w:hAnsi="Times New Roman" w:eastAsia="PMingLiU" w:cs="Times New Roman"/>
          <w:b/>
        </w:rPr>
        <w:t>Table 8: Growth abilities of listed companies</w:t>
      </w:r>
    </w:p>
    <w:tbl>
      <w:tblPr>
        <w:tblStyle w:val="10"/>
        <w:tblW w:w="9483" w:type="dxa"/>
        <w:tblInd w:w="93" w:type="dxa"/>
        <w:tblLayout w:type="fixed"/>
        <w:tblCellMar>
          <w:top w:w="0" w:type="dxa"/>
          <w:left w:w="108" w:type="dxa"/>
          <w:bottom w:w="0" w:type="dxa"/>
          <w:right w:w="108" w:type="dxa"/>
        </w:tblCellMar>
      </w:tblPr>
      <w:tblGrid>
        <w:gridCol w:w="3426"/>
        <w:gridCol w:w="879"/>
        <w:gridCol w:w="879"/>
        <w:gridCol w:w="879"/>
        <w:gridCol w:w="879"/>
        <w:gridCol w:w="879"/>
        <w:gridCol w:w="834"/>
        <w:gridCol w:w="828"/>
      </w:tblGrid>
      <w:tr>
        <w:tblPrEx>
          <w:tblLayout w:type="fixed"/>
          <w:tblCellMar>
            <w:top w:w="0" w:type="dxa"/>
            <w:left w:w="108" w:type="dxa"/>
            <w:bottom w:w="0" w:type="dxa"/>
            <w:right w:w="108" w:type="dxa"/>
          </w:tblCellMar>
        </w:tblPrEx>
        <w:trPr>
          <w:trHeight w:val="315" w:hRule="atLeast"/>
        </w:trPr>
        <w:tc>
          <w:tcPr>
            <w:tcW w:w="3426" w:type="dxa"/>
            <w:tcBorders>
              <w:top w:val="single" w:color="auto" w:sz="4" w:space="0"/>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(Company Name)</w:t>
            </w:r>
          </w:p>
        </w:tc>
        <w:tc>
          <w:tcPr>
            <w:tcW w:w="3516" w:type="dxa"/>
            <w:gridSpan w:val="4"/>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Mengniu</w:t>
            </w:r>
          </w:p>
        </w:tc>
        <w:tc>
          <w:tcPr>
            <w:tcW w:w="879"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Ausnutria </w:t>
            </w:r>
          </w:p>
        </w:tc>
        <w:tc>
          <w:tcPr>
            <w:tcW w:w="834"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 xml:space="preserve">Yashili </w:t>
            </w:r>
          </w:p>
        </w:tc>
        <w:tc>
          <w:tcPr>
            <w:tcW w:w="828"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sz w:val="18"/>
                <w:szCs w:val="18"/>
              </w:rPr>
            </w:pPr>
            <w:r>
              <w:rPr>
                <w:rFonts w:ascii="Times New Roman" w:hAnsi="Times New Roman" w:eastAsia="Times New Roman" w:cs="Times New Roman"/>
                <w:b/>
                <w:bCs/>
                <w:sz w:val="18"/>
                <w:szCs w:val="18"/>
              </w:rPr>
              <w:t>3 companies</w:t>
            </w:r>
          </w:p>
        </w:tc>
      </w:tr>
      <w:tr>
        <w:tblPrEx>
          <w:tblLayout w:type="fixed"/>
          <w:tblCellMar>
            <w:top w:w="0" w:type="dxa"/>
            <w:left w:w="108" w:type="dxa"/>
            <w:bottom w:w="0" w:type="dxa"/>
            <w:right w:w="108" w:type="dxa"/>
          </w:tblCellMar>
        </w:tblPrEx>
        <w:trPr>
          <w:trHeight w:val="315" w:hRule="atLeast"/>
        </w:trPr>
        <w:tc>
          <w:tcPr>
            <w:tcW w:w="3426"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sz w:val="18"/>
                <w:szCs w:val="18"/>
              </w:rPr>
            </w:pPr>
            <w:r>
              <w:rPr>
                <w:rFonts w:ascii="Times New Roman" w:hAnsi="Times New Roman" w:eastAsia="Times New Roman" w:cs="Times New Roman"/>
                <w:b/>
                <w:bCs/>
                <w:i/>
                <w:iCs/>
                <w:sz w:val="18"/>
                <w:szCs w:val="18"/>
              </w:rPr>
              <w:t> </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2016</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2017</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2018</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879"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834"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c>
          <w:tcPr>
            <w:tcW w:w="828"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sz w:val="18"/>
                <w:szCs w:val="18"/>
              </w:rPr>
            </w:pPr>
            <w:r>
              <w:rPr>
                <w:rFonts w:ascii="Times New Roman" w:hAnsi="Times New Roman" w:eastAsia="Times New Roman" w:cs="Times New Roman"/>
                <w:sz w:val="18"/>
                <w:szCs w:val="18"/>
              </w:rPr>
              <w:t>3 years average</w:t>
            </w:r>
          </w:p>
        </w:tc>
      </w:tr>
      <w:tr>
        <w:tblPrEx>
          <w:tblLayout w:type="fixed"/>
          <w:tblCellMar>
            <w:top w:w="0" w:type="dxa"/>
            <w:left w:w="108" w:type="dxa"/>
            <w:bottom w:w="0" w:type="dxa"/>
            <w:right w:w="108" w:type="dxa"/>
          </w:tblCellMar>
        </w:tblPrEx>
        <w:trPr>
          <w:trHeight w:val="315" w:hRule="atLeast"/>
        </w:trPr>
        <w:tc>
          <w:tcPr>
            <w:tcW w:w="3426"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Retained yield (times)</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-9.721</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4.823</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3.940</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-0.319</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5.173</w:t>
            </w:r>
          </w:p>
        </w:tc>
        <w:tc>
          <w:tcPr>
            <w:tcW w:w="834"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17.94</w:t>
            </w:r>
          </w:p>
        </w:tc>
        <w:tc>
          <w:tcPr>
            <w:tcW w:w="828"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23.47</w:t>
            </w:r>
          </w:p>
        </w:tc>
      </w:tr>
      <w:tr>
        <w:tblPrEx>
          <w:tblLayout w:type="fixed"/>
          <w:tblCellMar>
            <w:top w:w="0" w:type="dxa"/>
            <w:left w:w="108" w:type="dxa"/>
            <w:bottom w:w="0" w:type="dxa"/>
            <w:right w:w="108" w:type="dxa"/>
          </w:tblCellMar>
        </w:tblPrEx>
        <w:trPr>
          <w:trHeight w:val="315" w:hRule="atLeast"/>
        </w:trPr>
        <w:tc>
          <w:tcPr>
            <w:tcW w:w="3426"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Self-sustainable growth ratio (%) (retained earning /equity)</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both"/>
              <w:rPr>
                <w:rFonts w:ascii="Calibri" w:hAnsi="Calibri" w:eastAsia="Times New Roman" w:cs="Calibri"/>
                <w:color w:val="000000"/>
                <w:sz w:val="24"/>
                <w:szCs w:val="24"/>
              </w:rPr>
            </w:pPr>
            <w:r>
              <w:rPr>
                <w:rFonts w:ascii="Calibri" w:hAnsi="Calibri" w:eastAsia="Times New Roman" w:cs="Calibri"/>
                <w:color w:val="000000"/>
                <w:sz w:val="24"/>
                <w:szCs w:val="24"/>
              </w:rPr>
              <w:t>30.9%</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36.1%</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41.4%</w:t>
            </w:r>
          </w:p>
        </w:tc>
        <w:tc>
          <w:tcPr>
            <w:tcW w:w="879"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36.2%</w:t>
            </w:r>
          </w:p>
        </w:tc>
        <w:tc>
          <w:tcPr>
            <w:tcW w:w="879"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Calibri" w:hAnsi="Calibri" w:eastAsia="Times New Roman" w:cs="Calibri"/>
                <w:color w:val="000000"/>
                <w:sz w:val="24"/>
                <w:szCs w:val="24"/>
              </w:rPr>
            </w:pPr>
            <w:r>
              <w:rPr>
                <w:rFonts w:hint="eastAsia" w:ascii="Calibri" w:hAnsi="Calibri" w:eastAsia="PMingLiU" w:cs="Calibri"/>
                <w:color w:val="000000"/>
                <w:sz w:val="24"/>
                <w:szCs w:val="24"/>
              </w:rPr>
              <w:t>87.0</w:t>
            </w:r>
            <w:r>
              <w:rPr>
                <w:rFonts w:ascii="Calibri" w:hAnsi="Calibri" w:eastAsia="Times New Roman" w:cs="Calibri"/>
                <w:color w:val="000000"/>
                <w:sz w:val="24"/>
                <w:szCs w:val="24"/>
              </w:rPr>
              <w:t>%</w:t>
            </w:r>
          </w:p>
        </w:tc>
        <w:tc>
          <w:tcPr>
            <w:tcW w:w="834"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92.9%</w:t>
            </w:r>
          </w:p>
        </w:tc>
        <w:tc>
          <w:tcPr>
            <w:tcW w:w="828"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Calibri" w:hAnsi="Calibri" w:eastAsia="Times New Roman" w:cs="Calibri"/>
                <w:color w:val="000000"/>
                <w:sz w:val="24"/>
                <w:szCs w:val="24"/>
              </w:rPr>
            </w:pPr>
            <w:r>
              <w:rPr>
                <w:rFonts w:ascii="Calibri" w:hAnsi="Calibri" w:eastAsia="Times New Roman" w:cs="Calibri"/>
                <w:color w:val="000000"/>
                <w:sz w:val="24"/>
                <w:szCs w:val="24"/>
              </w:rPr>
              <w:t>106%</w:t>
            </w:r>
          </w:p>
        </w:tc>
      </w:tr>
    </w:tbl>
    <w:p>
      <w:pPr>
        <w:jc w:val="center"/>
        <w:rPr>
          <w:rFonts w:ascii="Calibri" w:hAnsi="Calibri" w:eastAsia="Times New Roman" w:cs="Calibri"/>
        </w:rPr>
      </w:pPr>
    </w:p>
    <w:p>
      <w:pPr>
        <w:rPr>
          <w:rFonts w:ascii="Times New Roman" w:hAnsi="Times New Roman" w:eastAsia="Times New Roman" w:cs="Times New Roman"/>
          <w:b/>
        </w:rPr>
      </w:pPr>
      <w:r>
        <w:rPr>
          <w:rFonts w:ascii="Times New Roman" w:hAnsi="Times New Roman" w:eastAsia="Times New Roman" w:cs="Times New Roman"/>
          <w:b/>
        </w:rPr>
        <w:t>Retained yield (times)</w:t>
      </w:r>
    </w:p>
    <w:p>
      <w:pPr>
        <w:jc w:val="both"/>
        <w:rPr>
          <w:rFonts w:ascii="Times New Roman" w:hAnsi="Times New Roman" w:eastAsia="Times New Roman" w:cs="Times New Roman"/>
        </w:rPr>
      </w:pPr>
      <w:r>
        <w:rPr>
          <w:rFonts w:ascii="Times New Roman" w:hAnsi="Times New Roman" w:eastAsia="Times New Roman" w:cs="Times New Roman"/>
        </w:rPr>
        <w:t xml:space="preserve">The 3 years average retained yield of Mengniu was -0.319 times, which was lower than Ausnutria (5.173 times) and Yashili (17.935 times). This phenomenon did not mean Mengniu had a lower growth ability than Ausnutria and Yashili from year 2016 to year 2018, it can be explained Mengniu was losing money in year 2016, and the retained yield in year 2016 was -9.721 times, which lowered Mengniu’s  3 years average retained yield. Yashili’s retained yield in year 2016 was -16.558 times, in year 2017 was -28.316 times, and in year 2018 was 98.680 times, Yashili was losing money in year 2016 and year 2017, and it started to earn profit in year 2018, thus, Yashili could enjoy a big increase in retained yield in year 2018. </w:t>
      </w:r>
    </w:p>
    <w:p>
      <w:pPr>
        <w:jc w:val="both"/>
        <w:rPr>
          <w:rFonts w:ascii="Times New Roman" w:hAnsi="Times New Roman" w:eastAsia="Times New Roman" w:cs="Times New Roman"/>
          <w:b/>
        </w:rPr>
      </w:pPr>
    </w:p>
    <w:p>
      <w:pPr>
        <w:jc w:val="both"/>
        <w:rPr>
          <w:rFonts w:ascii="Times New Roman" w:hAnsi="Times New Roman" w:eastAsia="Times New Roman" w:cs="Times New Roman"/>
          <w:b/>
        </w:rPr>
      </w:pPr>
      <w:r>
        <w:rPr>
          <w:rFonts w:ascii="Times New Roman" w:hAnsi="Times New Roman" w:eastAsia="Times New Roman" w:cs="Times New Roman"/>
          <w:b/>
        </w:rPr>
        <w:t>Self-sustainable growth ratio (%)</w:t>
      </w:r>
    </w:p>
    <w:p>
      <w:pPr>
        <w:jc w:val="both"/>
        <w:rPr>
          <w:rFonts w:ascii="Times New Roman" w:hAnsi="Times New Roman" w:eastAsia="Times New Roman" w:cs="Times New Roman"/>
        </w:rPr>
      </w:pPr>
      <w:r>
        <w:rPr>
          <w:rFonts w:ascii="Times New Roman" w:hAnsi="Times New Roman" w:eastAsia="Times New Roman" w:cs="Times New Roman"/>
        </w:rPr>
        <w:t>It meansures the growth rate that a company can sustain without having to finance growth with additional debt or equity</w:t>
      </w:r>
      <w:r>
        <w:rPr>
          <w:rFonts w:ascii="Times New Roman" w:hAnsi="Times New Roman" w:eastAsia="PMingLiU" w:cs="Times New Roman"/>
        </w:rPr>
        <w:t xml:space="preserve"> (</w:t>
      </w:r>
      <w:r>
        <w:rPr>
          <w:rFonts w:ascii="Times New Roman" w:hAnsi="Times New Roman" w:eastAsia="SimSun" w:cs="Times New Roman"/>
          <w:color w:val="222222"/>
        </w:rPr>
        <w:t>Pandit and Tejani, 201.</w:t>
      </w:r>
      <w:r>
        <w:rPr>
          <w:rFonts w:ascii="Times New Roman" w:hAnsi="Times New Roman" w:eastAsia="PMingLiU" w:cs="Times New Roman"/>
          <w:color w:val="222222"/>
        </w:rPr>
        <w:t>)</w:t>
      </w:r>
      <w:r>
        <w:rPr>
          <w:rFonts w:ascii="Times New Roman" w:hAnsi="Times New Roman" w:eastAsia="Times New Roman" w:cs="Times New Roman"/>
        </w:rPr>
        <w:t>. Mengniu’s 3 years average self-sustainable growth ratio was 36.181%, which is a lot lower than Ausnutria (190.35%) and Yashili</w:t>
      </w:r>
      <w:r>
        <w:rPr>
          <w:rFonts w:ascii="Times New Roman" w:hAnsi="Times New Roman" w:eastAsia="PMingLiU" w:cs="Times New Roman"/>
        </w:rPr>
        <w:t xml:space="preserve"> </w:t>
      </w:r>
      <w:r>
        <w:rPr>
          <w:rFonts w:ascii="Times New Roman" w:hAnsi="Times New Roman" w:eastAsia="Times New Roman" w:cs="Times New Roman"/>
        </w:rPr>
        <w:t>(92.85%) , and way below the average industrial level (106.46%). Mengniu needs to increase retained yield to maintain its self-sustaining growth rate within industrial level, or its sustainable development may be affected.</w:t>
      </w:r>
    </w:p>
    <w:p>
      <w:pPr>
        <w:jc w:val="both"/>
        <w:rPr>
          <w:rFonts w:ascii="Times New Roman" w:hAnsi="Times New Roman" w:eastAsia="Times New Roman" w:cs="Times New Roman"/>
        </w:rPr>
      </w:pPr>
      <w:r>
        <w:rPr>
          <w:rFonts w:ascii="Times New Roman" w:hAnsi="Times New Roman" w:eastAsia="Times New Roman" w:cs="Times New Roman"/>
        </w:rPr>
        <w:t>In conclusion, after growth capacity analysis, Mengniu’s business growth capacity levels was behind its competitors which it needs improvement.</w:t>
      </w: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jc w:val="both"/>
        <w:rPr>
          <w:rFonts w:ascii="Times New Roman" w:hAnsi="Times New Roman" w:eastAsia="Times New Roman" w:cs="Times New Roman"/>
        </w:rPr>
      </w:pPr>
    </w:p>
    <w:p>
      <w:pPr>
        <w:rPr>
          <w:rFonts w:ascii="Times New Roman" w:hAnsi="Times New Roman" w:eastAsia="Times New Roman" w:cs="Times New Roman"/>
          <w:b/>
        </w:rPr>
      </w:pPr>
      <w:r>
        <w:rPr>
          <w:rFonts w:ascii="Times New Roman" w:hAnsi="Times New Roman" w:eastAsia="Times New Roman" w:cs="Times New Roman"/>
          <w:b/>
        </w:rPr>
        <w:t>2.8</w:t>
      </w:r>
      <w:r>
        <w:rPr>
          <w:rFonts w:ascii="Times New Roman" w:hAnsi="Times New Roman" w:eastAsia="Times New Roman" w:cs="Times New Roman"/>
          <w:b/>
        </w:rPr>
        <w:tab/>
      </w:r>
      <w:r>
        <w:rPr>
          <w:rFonts w:ascii="Times New Roman" w:hAnsi="Times New Roman" w:eastAsia="Times New Roman" w:cs="Times New Roman"/>
          <w:b/>
        </w:rPr>
        <w:t>Stock Market Prospects Analysis</w:t>
      </w:r>
    </w:p>
    <w:p>
      <w:pPr>
        <w:rPr>
          <w:rFonts w:ascii="Times New Roman" w:hAnsi="Times New Roman" w:eastAsia="PMingLiU" w:cs="Times New Roman"/>
          <w:b/>
        </w:rPr>
      </w:pPr>
      <w:r>
        <w:rPr>
          <w:rFonts w:ascii="Times New Roman" w:hAnsi="Times New Roman" w:eastAsia="PMingLiU" w:cs="Times New Roman"/>
          <w:b/>
        </w:rPr>
        <w:t>Table 9: Stock market prospects analysis of listed companies</w:t>
      </w:r>
    </w:p>
    <w:tbl>
      <w:tblPr>
        <w:tblStyle w:val="10"/>
        <w:tblW w:w="9483" w:type="dxa"/>
        <w:tblInd w:w="93" w:type="dxa"/>
        <w:tblLayout w:type="fixed"/>
        <w:tblCellMar>
          <w:top w:w="0" w:type="dxa"/>
          <w:left w:w="108" w:type="dxa"/>
          <w:bottom w:w="0" w:type="dxa"/>
          <w:right w:w="108" w:type="dxa"/>
        </w:tblCellMar>
      </w:tblPr>
      <w:tblGrid>
        <w:gridCol w:w="2602"/>
        <w:gridCol w:w="992"/>
        <w:gridCol w:w="992"/>
        <w:gridCol w:w="992"/>
        <w:gridCol w:w="1060"/>
        <w:gridCol w:w="936"/>
        <w:gridCol w:w="946"/>
        <w:gridCol w:w="963"/>
      </w:tblGrid>
      <w:tr>
        <w:tblPrEx>
          <w:tblLayout w:type="fixed"/>
          <w:tblCellMar>
            <w:top w:w="0" w:type="dxa"/>
            <w:left w:w="108" w:type="dxa"/>
            <w:bottom w:w="0" w:type="dxa"/>
            <w:right w:w="108" w:type="dxa"/>
          </w:tblCellMar>
        </w:tblPrEx>
        <w:trPr>
          <w:trHeight w:val="315" w:hRule="atLeast"/>
        </w:trPr>
        <w:tc>
          <w:tcPr>
            <w:tcW w:w="2602" w:type="dxa"/>
            <w:tcBorders>
              <w:top w:val="single" w:color="auto" w:sz="4" w:space="0"/>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rPr>
            </w:pPr>
            <w:r>
              <w:rPr>
                <w:rFonts w:ascii="Times New Roman" w:hAnsi="Times New Roman" w:eastAsia="Times New Roman" w:cs="Times New Roman"/>
                <w:b/>
                <w:bCs/>
                <w:i/>
                <w:iCs/>
              </w:rPr>
              <w:t>(Company Name)</w:t>
            </w:r>
          </w:p>
        </w:tc>
        <w:tc>
          <w:tcPr>
            <w:tcW w:w="4036" w:type="dxa"/>
            <w:gridSpan w:val="4"/>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rPr>
            </w:pPr>
            <w:r>
              <w:rPr>
                <w:rFonts w:ascii="Times New Roman" w:hAnsi="Times New Roman" w:eastAsia="Times New Roman" w:cs="Times New Roman"/>
                <w:b/>
                <w:bCs/>
              </w:rPr>
              <w:t>Mengniu</w:t>
            </w:r>
          </w:p>
        </w:tc>
        <w:tc>
          <w:tcPr>
            <w:tcW w:w="936"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rPr>
            </w:pPr>
            <w:r>
              <w:rPr>
                <w:rFonts w:ascii="Times New Roman" w:hAnsi="Times New Roman" w:eastAsia="Times New Roman" w:cs="Times New Roman"/>
                <w:b/>
                <w:bCs/>
              </w:rPr>
              <w:t xml:space="preserve">Ausnutria </w:t>
            </w:r>
          </w:p>
        </w:tc>
        <w:tc>
          <w:tcPr>
            <w:tcW w:w="946"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rPr>
            </w:pPr>
            <w:r>
              <w:rPr>
                <w:rFonts w:ascii="Times New Roman" w:hAnsi="Times New Roman" w:eastAsia="Times New Roman" w:cs="Times New Roman"/>
                <w:b/>
                <w:bCs/>
              </w:rPr>
              <w:t xml:space="preserve">Yashili </w:t>
            </w:r>
          </w:p>
        </w:tc>
        <w:tc>
          <w:tcPr>
            <w:tcW w:w="963" w:type="dxa"/>
            <w:tcBorders>
              <w:top w:val="single" w:color="auto" w:sz="4" w:space="0"/>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rPr>
            </w:pPr>
            <w:r>
              <w:rPr>
                <w:rFonts w:ascii="Times New Roman" w:hAnsi="Times New Roman" w:eastAsia="Times New Roman" w:cs="Times New Roman"/>
                <w:b/>
                <w:bCs/>
              </w:rPr>
              <w:t>3 companies</w:t>
            </w:r>
          </w:p>
        </w:tc>
      </w:tr>
      <w:tr>
        <w:tblPrEx>
          <w:tblLayout w:type="fixed"/>
          <w:tblCellMar>
            <w:top w:w="0" w:type="dxa"/>
            <w:left w:w="108" w:type="dxa"/>
            <w:bottom w:w="0" w:type="dxa"/>
            <w:right w:w="108" w:type="dxa"/>
          </w:tblCellMar>
        </w:tblPrEx>
        <w:trPr>
          <w:trHeight w:val="315" w:hRule="atLeast"/>
        </w:trPr>
        <w:tc>
          <w:tcPr>
            <w:tcW w:w="2602" w:type="dxa"/>
            <w:tcBorders>
              <w:top w:val="nil"/>
              <w:left w:val="single" w:color="auto" w:sz="4" w:space="0"/>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b/>
                <w:bCs/>
                <w:i/>
                <w:iCs/>
              </w:rPr>
            </w:pPr>
            <w:r>
              <w:rPr>
                <w:rFonts w:ascii="Times New Roman" w:hAnsi="Times New Roman" w:eastAsia="Times New Roman" w:cs="Times New Roman"/>
                <w:b/>
                <w:bCs/>
                <w:i/>
                <w:iCs/>
              </w:rPr>
              <w:t> </w:t>
            </w:r>
          </w:p>
        </w:tc>
        <w:tc>
          <w:tcPr>
            <w:tcW w:w="99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rPr>
            </w:pPr>
            <w:r>
              <w:rPr>
                <w:rFonts w:ascii="Times New Roman" w:hAnsi="Times New Roman" w:eastAsia="Times New Roman" w:cs="Times New Roman"/>
              </w:rPr>
              <w:t>2016</w:t>
            </w:r>
          </w:p>
        </w:tc>
        <w:tc>
          <w:tcPr>
            <w:tcW w:w="99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rPr>
            </w:pPr>
            <w:r>
              <w:rPr>
                <w:rFonts w:ascii="Times New Roman" w:hAnsi="Times New Roman" w:eastAsia="Times New Roman" w:cs="Times New Roman"/>
              </w:rPr>
              <w:t>2017</w:t>
            </w:r>
          </w:p>
        </w:tc>
        <w:tc>
          <w:tcPr>
            <w:tcW w:w="992"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rPr>
            </w:pPr>
            <w:r>
              <w:rPr>
                <w:rFonts w:ascii="Times New Roman" w:hAnsi="Times New Roman" w:eastAsia="Times New Roman" w:cs="Times New Roman"/>
              </w:rPr>
              <w:t>2018</w:t>
            </w:r>
          </w:p>
        </w:tc>
        <w:tc>
          <w:tcPr>
            <w:tcW w:w="1060"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rPr>
            </w:pPr>
            <w:r>
              <w:rPr>
                <w:rFonts w:ascii="Times New Roman" w:hAnsi="Times New Roman" w:eastAsia="Times New Roman" w:cs="Times New Roman"/>
              </w:rPr>
              <w:t>3 years average</w:t>
            </w:r>
          </w:p>
        </w:tc>
        <w:tc>
          <w:tcPr>
            <w:tcW w:w="93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rPr>
            </w:pPr>
            <w:r>
              <w:rPr>
                <w:rFonts w:ascii="Times New Roman" w:hAnsi="Times New Roman" w:eastAsia="Times New Roman" w:cs="Times New Roman"/>
              </w:rPr>
              <w:t>3 years average</w:t>
            </w:r>
          </w:p>
        </w:tc>
        <w:tc>
          <w:tcPr>
            <w:tcW w:w="946"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rPr>
            </w:pPr>
            <w:r>
              <w:rPr>
                <w:rFonts w:ascii="Times New Roman" w:hAnsi="Times New Roman" w:eastAsia="Times New Roman" w:cs="Times New Roman"/>
              </w:rPr>
              <w:t>3 years average</w:t>
            </w:r>
          </w:p>
        </w:tc>
        <w:tc>
          <w:tcPr>
            <w:tcW w:w="963" w:type="dxa"/>
            <w:tcBorders>
              <w:top w:val="nil"/>
              <w:left w:val="nil"/>
              <w:bottom w:val="single" w:color="auto" w:sz="4" w:space="0"/>
              <w:right w:val="single" w:color="auto" w:sz="4" w:space="0"/>
            </w:tcBorders>
            <w:shd w:val="clear" w:color="000000" w:fill="FFFFFF"/>
            <w:noWrap/>
            <w:vAlign w:val="center"/>
          </w:tcPr>
          <w:p>
            <w:pPr>
              <w:spacing w:after="0" w:line="240" w:lineRule="auto"/>
              <w:jc w:val="center"/>
              <w:rPr>
                <w:rFonts w:ascii="Times New Roman" w:hAnsi="Times New Roman" w:eastAsia="Times New Roman" w:cs="Times New Roman"/>
              </w:rPr>
            </w:pPr>
            <w:r>
              <w:rPr>
                <w:rFonts w:ascii="Times New Roman" w:hAnsi="Times New Roman" w:eastAsia="Times New Roman" w:cs="Times New Roman"/>
              </w:rPr>
              <w:t>3 years average</w:t>
            </w:r>
          </w:p>
        </w:tc>
      </w:tr>
      <w:tr>
        <w:tblPrEx>
          <w:tblLayout w:type="fixed"/>
          <w:tblCellMar>
            <w:top w:w="0" w:type="dxa"/>
            <w:left w:w="108" w:type="dxa"/>
            <w:bottom w:w="0" w:type="dxa"/>
            <w:right w:w="108" w:type="dxa"/>
          </w:tblCellMar>
        </w:tblPrEx>
        <w:trPr>
          <w:trHeight w:val="315" w:hRule="atLeast"/>
        </w:trPr>
        <w:tc>
          <w:tcPr>
            <w:tcW w:w="260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 xml:space="preserve">Earning per share (HK$)  </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-0.207</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0.517</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0.816</w:t>
            </w:r>
          </w:p>
        </w:tc>
        <w:tc>
          <w:tcPr>
            <w:tcW w:w="10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0.375</w:t>
            </w:r>
          </w:p>
        </w:tc>
        <w:tc>
          <w:tcPr>
            <w:tcW w:w="936"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29.617</w:t>
            </w:r>
          </w:p>
        </w:tc>
        <w:tc>
          <w:tcPr>
            <w:tcW w:w="946"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-3.599</w:t>
            </w:r>
          </w:p>
        </w:tc>
        <w:tc>
          <w:tcPr>
            <w:tcW w:w="963"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36.393</w:t>
            </w:r>
          </w:p>
        </w:tc>
      </w:tr>
      <w:tr>
        <w:tblPrEx>
          <w:tblLayout w:type="fixed"/>
          <w:tblCellMar>
            <w:top w:w="0" w:type="dxa"/>
            <w:left w:w="108" w:type="dxa"/>
            <w:bottom w:w="0" w:type="dxa"/>
            <w:right w:w="108" w:type="dxa"/>
          </w:tblCellMar>
        </w:tblPrEx>
        <w:trPr>
          <w:trHeight w:val="315" w:hRule="atLeast"/>
        </w:trPr>
        <w:tc>
          <w:tcPr>
            <w:tcW w:w="260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 xml:space="preserve">Price-earning Ratio (Times) </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-70.792</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44.403</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29.708</w:t>
            </w:r>
          </w:p>
        </w:tc>
        <w:tc>
          <w:tcPr>
            <w:tcW w:w="10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1.106</w:t>
            </w:r>
          </w:p>
        </w:tc>
        <w:tc>
          <w:tcPr>
            <w:tcW w:w="936"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52.594</w:t>
            </w:r>
          </w:p>
        </w:tc>
        <w:tc>
          <w:tcPr>
            <w:tcW w:w="946"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705.6</w:t>
            </w:r>
            <w:r>
              <w:rPr>
                <w:rFonts w:ascii="Times New Roman" w:hAnsi="Times New Roman" w:eastAsia="PMingLiU" w:cs="Times New Roman"/>
                <w:color w:val="000000"/>
              </w:rPr>
              <w:t>9</w:t>
            </w:r>
          </w:p>
        </w:tc>
        <w:tc>
          <w:tcPr>
            <w:tcW w:w="963"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253.</w:t>
            </w:r>
            <w:r>
              <w:rPr>
                <w:rFonts w:ascii="Times New Roman" w:hAnsi="Times New Roman" w:eastAsia="PMingLiU" w:cs="Times New Roman"/>
                <w:color w:val="000000"/>
              </w:rPr>
              <w:t>13</w:t>
            </w:r>
          </w:p>
        </w:tc>
      </w:tr>
      <w:tr>
        <w:tblPrEx>
          <w:tblLayout w:type="fixed"/>
          <w:tblCellMar>
            <w:top w:w="0" w:type="dxa"/>
            <w:left w:w="108" w:type="dxa"/>
            <w:bottom w:w="0" w:type="dxa"/>
            <w:right w:w="108" w:type="dxa"/>
          </w:tblCellMar>
        </w:tblPrEx>
        <w:trPr>
          <w:trHeight w:val="315" w:hRule="atLeast"/>
        </w:trPr>
        <w:tc>
          <w:tcPr>
            <w:tcW w:w="2602" w:type="dxa"/>
            <w:tcBorders>
              <w:top w:val="nil"/>
              <w:left w:val="single" w:color="auto" w:sz="4" w:space="0"/>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Dividend yield (%)</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-43.0%</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23.2</w:t>
            </w:r>
            <w:r>
              <w:rPr>
                <w:rFonts w:ascii="Times New Roman" w:hAnsi="Times New Roman" w:eastAsia="PMingLiU" w:cs="Times New Roman"/>
                <w:color w:val="000000"/>
              </w:rPr>
              <w:t>1</w:t>
            </w:r>
            <w:r>
              <w:rPr>
                <w:rFonts w:ascii="Times New Roman" w:hAnsi="Times New Roman" w:eastAsia="Times New Roman" w:cs="Times New Roman"/>
                <w:color w:val="000000"/>
              </w:rPr>
              <w:t>%</w:t>
            </w:r>
          </w:p>
        </w:tc>
        <w:tc>
          <w:tcPr>
            <w:tcW w:w="992"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22.19%</w:t>
            </w:r>
          </w:p>
        </w:tc>
        <w:tc>
          <w:tcPr>
            <w:tcW w:w="1060" w:type="dxa"/>
            <w:tcBorders>
              <w:top w:val="nil"/>
              <w:left w:val="nil"/>
              <w:bottom w:val="single" w:color="auto" w:sz="4" w:space="0"/>
              <w:right w:val="single" w:color="auto" w:sz="4" w:space="0"/>
            </w:tcBorders>
            <w:shd w:val="clear" w:color="000000" w:fill="FFFFFF"/>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0.799%</w:t>
            </w:r>
          </w:p>
        </w:tc>
        <w:tc>
          <w:tcPr>
            <w:tcW w:w="936"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24.13%</w:t>
            </w:r>
          </w:p>
        </w:tc>
        <w:tc>
          <w:tcPr>
            <w:tcW w:w="946"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-3.69%</w:t>
            </w:r>
          </w:p>
        </w:tc>
        <w:tc>
          <w:tcPr>
            <w:tcW w:w="963" w:type="dxa"/>
            <w:tcBorders>
              <w:top w:val="nil"/>
              <w:left w:val="nil"/>
              <w:bottom w:val="single" w:color="auto" w:sz="4" w:space="0"/>
              <w:right w:val="single" w:color="auto" w:sz="4" w:space="0"/>
            </w:tcBorders>
            <w:shd w:val="clear" w:color="auto" w:fill="auto"/>
            <w:noWrap/>
            <w:vAlign w:val="bottom"/>
          </w:tcPr>
          <w:p>
            <w:pPr>
              <w:spacing w:after="0" w:line="240" w:lineRule="auto"/>
              <w:jc w:val="center"/>
              <w:rPr>
                <w:rFonts w:ascii="Times New Roman" w:hAnsi="Times New Roman" w:eastAsia="Times New Roman" w:cs="Times New Roman"/>
                <w:color w:val="000000"/>
              </w:rPr>
            </w:pPr>
            <w:r>
              <w:rPr>
                <w:rFonts w:ascii="Times New Roman" w:hAnsi="Times New Roman" w:eastAsia="Times New Roman" w:cs="Times New Roman"/>
                <w:color w:val="000000"/>
              </w:rPr>
              <w:t>7.08%</w:t>
            </w:r>
          </w:p>
        </w:tc>
      </w:tr>
    </w:tbl>
    <w:p>
      <w:pPr>
        <w:rPr>
          <w:rFonts w:ascii="Times New Roman" w:hAnsi="Times New Roman" w:eastAsia="Times New Roman" w:cs="Times New Roman"/>
        </w:rPr>
      </w:pPr>
    </w:p>
    <w:p>
      <w:pPr>
        <w:rPr>
          <w:rFonts w:ascii="Times New Roman" w:hAnsi="Times New Roman" w:eastAsia="Times New Roman" w:cs="Times New Roman"/>
        </w:rPr>
      </w:pPr>
      <w:r>
        <w:rPr>
          <w:rFonts w:ascii="Times New Roman" w:hAnsi="Times New Roman" w:eastAsia="Times New Roman" w:cs="Times New Roman"/>
        </w:rPr>
        <w:t>Mengniu’s 3 years average price-earning ratio was 1.106, which was lower than the average industrial level (253.129 times), which was due to losing money in year 2016, which PE ratio -70.792 in year 2016. Its 3 years average dividend yield was 0.799%, which was also lower than the average industrial level (7.08%), which was because in year 2016 its dividend yield was negative 43%, and it lowered the overall average of dividend yield from year 2016 to year 2018.</w:t>
      </w:r>
    </w:p>
    <w:p>
      <w:pPr>
        <w:rPr>
          <w:rFonts w:ascii="Times New Roman" w:hAnsi="Times New Roman" w:eastAsia="Times New Roman" w:cs="Times New Roman"/>
        </w:rPr>
      </w:pPr>
      <w:r>
        <w:rPr>
          <w:rFonts w:ascii="Times New Roman" w:hAnsi="Times New Roman" w:eastAsia="Times New Roman" w:cs="Times New Roman"/>
        </w:rPr>
        <w:t>In conclusion, through stock market prospects analysis, Mengniu PE ratio was lower than its competitors and the price did not fully reflect its value. Its dividend yield percentage improved from -43% in year 2016 to 22.19% in year 2018, which meant Mengniu’s improved their dividend return to investors in year 2017 and year 2018, when compared to year 2016.</w:t>
      </w: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rPr>
      </w:pPr>
    </w:p>
    <w:p>
      <w:pPr>
        <w:rPr>
          <w:rFonts w:ascii="Times New Roman" w:hAnsi="Times New Roman" w:eastAsia="Times New Roman" w:cs="Times New Roman"/>
          <w:b/>
          <w:sz w:val="40"/>
          <w:szCs w:val="40"/>
        </w:rPr>
      </w:pPr>
      <w:r>
        <w:rPr>
          <w:rFonts w:ascii="Times New Roman" w:hAnsi="Times New Roman" w:eastAsia="Times New Roman" w:cs="Times New Roman"/>
          <w:b/>
          <w:sz w:val="40"/>
          <w:szCs w:val="40"/>
        </w:rPr>
        <w:t>Chapter 3</w:t>
      </w:r>
    </w:p>
    <w:p>
      <w:pPr>
        <w:rPr>
          <w:rFonts w:ascii="Times New Roman" w:hAnsi="Times New Roman" w:cs="Times New Roman"/>
          <w:b/>
        </w:rPr>
      </w:pPr>
      <w:r>
        <w:rPr>
          <w:rFonts w:ascii="Times New Roman" w:hAnsi="Times New Roman" w:cs="Times New Roman"/>
          <w:b/>
        </w:rPr>
        <w:t>3.1</w:t>
      </w:r>
      <w:r>
        <w:rPr>
          <w:rFonts w:ascii="Times New Roman" w:hAnsi="Times New Roman" w:cs="Times New Roman"/>
          <w:b/>
        </w:rPr>
        <w:tab/>
      </w:r>
      <w:r>
        <w:rPr>
          <w:rFonts w:ascii="Times New Roman" w:hAnsi="Times New Roman" w:cs="Times New Roman"/>
          <w:b/>
        </w:rPr>
        <w:t>Mengniu’s Corporate Governance assessment</w:t>
      </w:r>
    </w:p>
    <w:p>
      <w:pPr>
        <w:jc w:val="both"/>
        <w:rPr>
          <w:rFonts w:ascii="Times New Roman" w:hAnsi="Times New Roman" w:cs="Times New Roman"/>
        </w:rPr>
      </w:pPr>
      <w:r>
        <w:rPr>
          <w:rFonts w:ascii="Times New Roman" w:hAnsi="Times New Roman" w:cs="Times New Roman"/>
        </w:rPr>
        <w:t xml:space="preserve">Through chapter 2 the financial assessment analysis, we understand Mengniu appeared not performing too well compared to its competitors, which has direct effect  to its enterprise development and the shareholders’ interests. In this chapter we are going to explore Mengniu corporate governance for its financial performance, internal control and risk management. </w:t>
      </w:r>
    </w:p>
    <w:p>
      <w:pPr>
        <w:jc w:val="both"/>
        <w:rPr>
          <w:rFonts w:ascii="Times New Roman" w:hAnsi="Times New Roman" w:cs="Times New Roman"/>
        </w:rPr>
      </w:pPr>
      <w:r>
        <w:rPr>
          <w:rFonts w:ascii="Times New Roman" w:hAnsi="Times New Roman" w:cs="Times New Roman"/>
        </w:rPr>
        <w:t>Moody’s stated Mengniu’s solid 2018 results support its Baa1 ratings (Moodys, 2019),  which means Mengniu is judged to be medium-grade and subject to moderate credit risk and as such may possess certain speculative characteristics.</w:t>
      </w:r>
    </w:p>
    <w:p>
      <w:pPr>
        <w:jc w:val="both"/>
        <w:rPr>
          <w:rFonts w:ascii="Times New Roman" w:hAnsi="Times New Roman" w:cs="Times New Roman"/>
        </w:rPr>
      </w:pPr>
      <w:r>
        <w:rPr>
          <w:rFonts w:ascii="Times New Roman" w:hAnsi="Times New Roman" w:cs="Times New Roman"/>
        </w:rPr>
        <w:t>The Irish Association of Non-Governmental Development Organisations developed a corporate governance assessment tool to assess the corporate governance, it is a nine page assessment assessing board leadership, board accountability, board responsibilities, board performance review and renewal, board delegation, board and director integrity, board openness, and finally corporate governance: recommended documentation (Dochas, 2011).</w:t>
      </w:r>
    </w:p>
    <w:p>
      <w:pPr>
        <w:jc w:val="both"/>
        <w:rPr>
          <w:rFonts w:ascii="Times New Roman" w:hAnsi="Times New Roman" w:cs="Times New Roman"/>
        </w:rPr>
      </w:pPr>
      <w:r>
        <w:rPr>
          <w:rFonts w:ascii="Times New Roman" w:hAnsi="Times New Roman" w:cs="Times New Roman"/>
        </w:rPr>
        <w:t xml:space="preserve">Mengniu year 2018 annual report included the corporate governance report (page 64 to page 84). In this research we used the above corporate governance assessment tool to assess this company.   </w:t>
      </w:r>
    </w:p>
    <w:p>
      <w:pPr>
        <w:jc w:val="both"/>
        <w:rPr>
          <w:rFonts w:ascii="Times New Roman" w:hAnsi="Times New Roman" w:cs="Times New Roman"/>
        </w:rPr>
      </w:pPr>
      <w:r>
        <w:rPr>
          <w:rFonts w:ascii="Times New Roman" w:hAnsi="Times New Roman" w:cs="Times New Roman"/>
        </w:rPr>
        <w:t>On the issue of Board Leadership, the company was partially compliant, the Board mentored the CEO, identified aspects of the organi</w:t>
      </w:r>
      <w:r>
        <w:rPr>
          <w:rFonts w:hint="eastAsia" w:ascii="Times New Roman" w:hAnsi="Times New Roman" w:cs="Times New Roman"/>
          <w:lang w:val="en-US" w:eastAsia="zh-TW"/>
        </w:rPr>
        <w:t>z</w:t>
      </w:r>
      <w:r>
        <w:rPr>
          <w:rFonts w:ascii="Times New Roman" w:hAnsi="Times New Roman" w:cs="Times New Roman"/>
        </w:rPr>
        <w:t>ation’s performance requiring board action and received acceptable responses from management regarding information sought.</w:t>
      </w:r>
    </w:p>
    <w:p>
      <w:pPr>
        <w:jc w:val="both"/>
        <w:rPr>
          <w:rFonts w:ascii="Times New Roman" w:hAnsi="Times New Roman" w:cs="Times New Roman"/>
        </w:rPr>
      </w:pPr>
      <w:r>
        <w:rPr>
          <w:rFonts w:ascii="Times New Roman" w:hAnsi="Times New Roman" w:cs="Times New Roman"/>
        </w:rPr>
        <w:t>On the issue of Board Accountability, the company was partially compliant, which the Board reviewed adequacy of internal controls, reviewed risks and risk management procedures and sought advice on equality and diversity.</w:t>
      </w:r>
    </w:p>
    <w:p>
      <w:pPr>
        <w:jc w:val="both"/>
        <w:rPr>
          <w:rFonts w:ascii="Times New Roman" w:hAnsi="Times New Roman" w:cs="Times New Roman"/>
        </w:rPr>
      </w:pPr>
      <w:r>
        <w:rPr>
          <w:rFonts w:ascii="Times New Roman" w:hAnsi="Times New Roman" w:cs="Times New Roman"/>
        </w:rPr>
        <w:t>On the issue of Board responsibilities, the company was partially compliant, which the Board determined resources required by secretary for induction and training of directors, and identified how directors must comply with board collective responsibility.</w:t>
      </w:r>
    </w:p>
    <w:p>
      <w:pPr>
        <w:jc w:val="both"/>
        <w:rPr>
          <w:rFonts w:ascii="Times New Roman" w:hAnsi="Times New Roman" w:cs="Times New Roman"/>
        </w:rPr>
      </w:pPr>
      <w:r>
        <w:rPr>
          <w:rFonts w:ascii="Times New Roman" w:hAnsi="Times New Roman" w:cs="Times New Roman"/>
        </w:rPr>
        <w:t>On the issue of Board performance review and renewal, the company was partially compliant, it considered the current suitability of structure and agreed objective criteria for selecting chairpersons/directors.</w:t>
      </w:r>
    </w:p>
    <w:p>
      <w:pPr>
        <w:jc w:val="both"/>
        <w:rPr>
          <w:rFonts w:ascii="Times New Roman" w:hAnsi="Times New Roman" w:cs="Times New Roman"/>
        </w:rPr>
      </w:pPr>
      <w:r>
        <w:rPr>
          <w:rFonts w:ascii="Times New Roman" w:hAnsi="Times New Roman" w:cs="Times New Roman"/>
        </w:rPr>
        <w:t>On the issue of Board delegation, the company was fully compliant, agreed what functions are delegated to the Chair, insisted on formal authority level document, formally reviewed the CEO’s performance and reviewed functioning of committees.</w:t>
      </w:r>
    </w:p>
    <w:p>
      <w:pPr>
        <w:jc w:val="both"/>
        <w:rPr>
          <w:rFonts w:ascii="Times New Roman" w:hAnsi="Times New Roman" w:cs="Times New Roman"/>
        </w:rPr>
      </w:pPr>
      <w:r>
        <w:rPr>
          <w:rFonts w:ascii="Times New Roman" w:hAnsi="Times New Roman" w:cs="Times New Roman"/>
        </w:rPr>
        <w:t>On the issue of Board and Director integrity, the company was partially compliant, which discussed the manner in which board confidentiality was respected and reviewed its code of conduct.</w:t>
      </w:r>
    </w:p>
    <w:p>
      <w:pPr>
        <w:jc w:val="both"/>
        <w:rPr>
          <w:rFonts w:ascii="Times New Roman" w:hAnsi="Times New Roman" w:cs="Times New Roman"/>
        </w:rPr>
      </w:pPr>
      <w:r>
        <w:rPr>
          <w:rFonts w:ascii="Times New Roman" w:hAnsi="Times New Roman" w:cs="Times New Roman"/>
        </w:rPr>
        <w:t>On the issue of Board openness, the company was partially compliant, which considered new practical ways of improving transparency and reviewed how the board communicated and engaged with stakeholders.</w:t>
      </w:r>
    </w:p>
    <w:p>
      <w:pPr>
        <w:jc w:val="both"/>
        <w:rPr>
          <w:rFonts w:ascii="Times New Roman" w:hAnsi="Times New Roman" w:cs="Times New Roman"/>
          <w:b/>
        </w:rPr>
      </w:pPr>
      <w:r>
        <w:rPr>
          <w:rFonts w:ascii="Times New Roman" w:hAnsi="Times New Roman" w:cs="Times New Roman"/>
          <w:b/>
        </w:rPr>
        <w:t>3.2</w:t>
      </w:r>
      <w:r>
        <w:rPr>
          <w:rFonts w:ascii="Times New Roman" w:hAnsi="Times New Roman" w:cs="Times New Roman"/>
          <w:b/>
        </w:rPr>
        <w:tab/>
      </w:r>
      <w:r>
        <w:rPr>
          <w:rFonts w:ascii="Times New Roman" w:hAnsi="Times New Roman" w:cs="Times New Roman"/>
          <w:b/>
        </w:rPr>
        <w:t xml:space="preserve">Recommendation </w:t>
      </w:r>
    </w:p>
    <w:p>
      <w:pPr>
        <w:jc w:val="both"/>
        <w:rPr>
          <w:rFonts w:ascii="Times New Roman" w:hAnsi="Times New Roman" w:cs="Times New Roman"/>
        </w:rPr>
      </w:pPr>
      <w:r>
        <w:rPr>
          <w:rFonts w:ascii="Times New Roman" w:hAnsi="Times New Roman" w:cs="Times New Roman"/>
        </w:rPr>
        <w:t>In year 2010, Mengniu was involved in a smear scandal, which rumors circulated that Mengniu made up a story that clained Yili’s infant formula contained fish oil that could lead to premature sexual development(Chen, 2010). These scandals in Mainland China can direct the company directors to face legal issue. Through studying Mengniu latest 3 years annual reports , I could not find the company subscribed insurance coverage on directors’ liabilities. According to Ausnutria annual report 2018 (Ausnutria Dairy Corporation Limited, 2019), legal charges may be taken targeting the Directors due to their liabilities to activities of the corporation, Ausnutria pledged sufficient and appropriate coverage of insurance on their liabilities. On an annual basis Ausnutria renewed and reviewed the sum and their coverage insured. We recommend Mengniu can follow this measure.</w:t>
      </w:r>
    </w:p>
    <w:p>
      <w:pPr>
        <w:jc w:val="both"/>
        <w:rPr>
          <w:rFonts w:ascii="Times New Roman" w:hAnsi="Times New Roman" w:cs="Times New Roman"/>
        </w:rPr>
      </w:pPr>
      <w:r>
        <w:rPr>
          <w:rFonts w:ascii="Times New Roman" w:hAnsi="Times New Roman" w:cs="Times New Roman"/>
        </w:rPr>
        <w:t>Moreover, The Irish Association of Non-Governmental Development Organisations made recommendations every organisations should document the following (Dochas, 2011):</w:t>
      </w:r>
    </w:p>
    <w:p>
      <w:pPr>
        <w:jc w:val="both"/>
        <w:rPr>
          <w:rFonts w:ascii="Times New Roman" w:hAnsi="Times New Roman" w:cs="Times New Roman"/>
          <w:b/>
        </w:rPr>
      </w:pPr>
      <w:r>
        <w:rPr>
          <w:rFonts w:ascii="Times New Roman" w:hAnsi="Times New Roman" w:cs="Times New Roman"/>
          <w:b/>
        </w:rPr>
        <w:t>Strategies/policies:</w:t>
      </w:r>
    </w:p>
    <w:p>
      <w:pPr>
        <w:jc w:val="both"/>
        <w:rPr>
          <w:rFonts w:ascii="Times New Roman" w:hAnsi="Times New Roman" w:cs="Times New Roman"/>
        </w:rPr>
      </w:pPr>
      <w:r>
        <w:rPr>
          <w:rFonts w:ascii="Times New Roman" w:hAnsi="Times New Roman" w:cs="Times New Roman"/>
        </w:rPr>
        <w:t>Equality and Diversity Policies, Recruitment Strategies, Safety and Health Policies, Authority Levels document, Ethics and Code of Conduct, Fundraising Strategy document, Treasury Policy, Conflict of Interest Policy, Risk Strategy, Fraud Policy, Reserves Policy, Annual Planning andBudget System, Strategic Planning Methodology</w:t>
      </w:r>
    </w:p>
    <w:p>
      <w:pPr>
        <w:jc w:val="both"/>
        <w:rPr>
          <w:rFonts w:ascii="Times New Roman" w:hAnsi="Times New Roman" w:cs="Times New Roman"/>
          <w:b/>
        </w:rPr>
      </w:pPr>
      <w:r>
        <w:rPr>
          <w:rFonts w:ascii="Times New Roman" w:hAnsi="Times New Roman" w:cs="Times New Roman"/>
          <w:b/>
        </w:rPr>
        <w:t>Terms of Reference documents</w:t>
      </w:r>
    </w:p>
    <w:p>
      <w:pPr>
        <w:jc w:val="both"/>
        <w:rPr>
          <w:rFonts w:ascii="Times New Roman" w:hAnsi="Times New Roman" w:cs="Times New Roman"/>
        </w:rPr>
      </w:pPr>
      <w:r>
        <w:rPr>
          <w:rFonts w:ascii="Times New Roman" w:hAnsi="Times New Roman" w:cs="Times New Roman"/>
        </w:rPr>
        <w:t>Internal Audit Guidelines, Terms of Reference- other board committees, Terms of Reference of Audit Committee, Induction Arrangements for Directors, Arrangements for appointing directors, Chairperson Responsibilities, Board Responsibilities</w:t>
      </w:r>
    </w:p>
    <w:p>
      <w:pPr>
        <w:jc w:val="both"/>
        <w:rPr>
          <w:rFonts w:ascii="Times New Roman" w:hAnsi="Times New Roman" w:cs="Times New Roman"/>
          <w:b/>
        </w:rPr>
      </w:pPr>
      <w:r>
        <w:rPr>
          <w:rFonts w:ascii="Times New Roman" w:hAnsi="Times New Roman" w:cs="Times New Roman"/>
          <w:b/>
        </w:rPr>
        <w:t>Reports</w:t>
      </w:r>
    </w:p>
    <w:p>
      <w:pPr>
        <w:jc w:val="both"/>
        <w:rPr>
          <w:rFonts w:ascii="Times New Roman" w:hAnsi="Times New Roman" w:cs="Times New Roman"/>
        </w:rPr>
      </w:pPr>
      <w:r>
        <w:rPr>
          <w:rFonts w:ascii="Times New Roman" w:hAnsi="Times New Roman" w:cs="Times New Roman"/>
        </w:rPr>
        <w:t>Risk Management Assessments and Reports, Internal audit reports on home operations, Internal audit outcomes of field programme audits, Human Resource presentations to board, Reports to board on committed public giving, Cash Flow Statements, Cash Flow Budgets, Budget Outcome Reports, Management Accounts, Programme Reports to board, Management Reports to board</w:t>
      </w:r>
    </w:p>
    <w:p>
      <w:pPr>
        <w:jc w:val="both"/>
        <w:rPr>
          <w:rFonts w:ascii="Times New Roman" w:hAnsi="Times New Roman" w:cs="Times New Roman"/>
          <w:b/>
        </w:rPr>
      </w:pPr>
      <w:r>
        <w:rPr>
          <w:rFonts w:ascii="Times New Roman" w:hAnsi="Times New Roman" w:cs="Times New Roman"/>
          <w:b/>
        </w:rPr>
        <w:t>Procedures</w:t>
      </w:r>
    </w:p>
    <w:p>
      <w:pPr>
        <w:jc w:val="both"/>
        <w:rPr>
          <w:rFonts w:ascii="Times New Roman" w:hAnsi="Times New Roman" w:cs="Times New Roman"/>
        </w:rPr>
      </w:pPr>
      <w:r>
        <w:rPr>
          <w:rFonts w:ascii="Times New Roman" w:hAnsi="Times New Roman" w:cs="Times New Roman"/>
        </w:rPr>
        <w:t>Disciplinary Procedures, Human Resource Manual/Staff Handbook, Accounting Manual, Financial/Accounting Procedures, Purchasing procedures, Internal Control Procedures, Internal Audit Procedures, Programme Budgeting/Programme Management procedures, Annual Planning and Budgetary procedures.</w:t>
      </w:r>
    </w:p>
    <w:p>
      <w:pPr>
        <w:shd w:val="clear" w:color="auto" w:fill="FFFFFF"/>
        <w:spacing w:after="0" w:line="240" w:lineRule="auto"/>
        <w:rPr>
          <w:rFonts w:ascii="Segoe UI" w:hAnsi="Segoe UI" w:eastAsia="Times New Roman" w:cs="Segoe UI"/>
          <w:color w:val="000000"/>
          <w:sz w:val="20"/>
          <w:szCs w:val="20"/>
        </w:rPr>
      </w:pPr>
    </w:p>
    <w:p>
      <w:pPr>
        <w:shd w:val="clear" w:color="auto" w:fill="FFFFFF"/>
        <w:spacing w:after="0" w:line="240" w:lineRule="auto"/>
        <w:rPr>
          <w:rFonts w:ascii="Segoe UI" w:hAnsi="Segoe UI" w:eastAsia="Times New Roman" w:cs="Segoe UI"/>
          <w:color w:val="000000"/>
          <w:sz w:val="20"/>
          <w:szCs w:val="20"/>
        </w:rPr>
      </w:pPr>
    </w:p>
    <w:p>
      <w:pPr>
        <w:shd w:val="clear" w:color="auto" w:fill="FFFFFF"/>
        <w:spacing w:after="0" w:line="240" w:lineRule="auto"/>
        <w:rPr>
          <w:rFonts w:ascii="Times New Roman" w:hAnsi="Times New Roman" w:eastAsia="Times New Roman" w:cs="Times New Roman"/>
          <w:b/>
          <w:color w:val="000000"/>
          <w:sz w:val="40"/>
          <w:szCs w:val="40"/>
        </w:rPr>
      </w:pPr>
      <w:r>
        <w:rPr>
          <w:rFonts w:ascii="Times New Roman" w:hAnsi="Times New Roman" w:eastAsia="Times New Roman" w:cs="Times New Roman"/>
          <w:b/>
          <w:color w:val="000000"/>
          <w:sz w:val="40"/>
          <w:szCs w:val="40"/>
        </w:rPr>
        <w:t>Chapter 4</w:t>
      </w:r>
    </w:p>
    <w:p>
      <w:pPr>
        <w:shd w:val="clear" w:color="auto" w:fill="FFFFFF"/>
        <w:spacing w:after="0" w:line="240" w:lineRule="auto"/>
        <w:rPr>
          <w:rFonts w:ascii="Segoe UI" w:hAnsi="Segoe UI" w:eastAsia="Times New Roman" w:cs="Segoe UI"/>
          <w:color w:val="000000"/>
          <w:sz w:val="20"/>
          <w:szCs w:val="20"/>
        </w:rPr>
      </w:pPr>
    </w:p>
    <w:p>
      <w:pPr>
        <w:shd w:val="clear" w:color="auto" w:fill="FFFFFF"/>
        <w:spacing w:after="0" w:line="240" w:lineRule="auto"/>
        <w:jc w:val="both"/>
        <w:rPr>
          <w:rFonts w:ascii="Times New Roman" w:hAnsi="Times New Roman" w:eastAsia="Times New Roman" w:cs="Times New Roman"/>
          <w:b/>
          <w:color w:val="000000"/>
        </w:rPr>
      </w:pPr>
      <w:r>
        <w:rPr>
          <w:rFonts w:ascii="Times New Roman" w:hAnsi="Times New Roman" w:eastAsia="Times New Roman" w:cs="Times New Roman"/>
          <w:b/>
          <w:color w:val="000000"/>
        </w:rPr>
        <w:t>4.1</w:t>
      </w:r>
      <w:r>
        <w:rPr>
          <w:rFonts w:ascii="Times New Roman" w:hAnsi="Times New Roman" w:eastAsia="Times New Roman" w:cs="Times New Roman"/>
          <w:b/>
          <w:color w:val="000000"/>
        </w:rPr>
        <w:tab/>
      </w:r>
      <w:r>
        <w:rPr>
          <w:rFonts w:ascii="Times New Roman" w:hAnsi="Times New Roman" w:eastAsia="Times New Roman" w:cs="Times New Roman"/>
          <w:b/>
          <w:color w:val="000000"/>
        </w:rPr>
        <w:t>Investment appraisals exercise</w:t>
      </w:r>
    </w:p>
    <w:p>
      <w:pPr>
        <w:shd w:val="clear" w:color="auto" w:fill="FFFFFF"/>
        <w:spacing w:after="0" w:line="240" w:lineRule="auto"/>
        <w:jc w:val="both"/>
        <w:rPr>
          <w:rFonts w:ascii="Times New Roman" w:hAnsi="Times New Roman" w:eastAsia="Times New Roman" w:cs="Times New Roman"/>
          <w:color w:val="000000"/>
        </w:rPr>
      </w:pPr>
    </w:p>
    <w:p>
      <w:pPr>
        <w:shd w:val="clear" w:color="auto" w:fill="FFFFFF"/>
        <w:spacing w:after="0" w:line="240" w:lineRule="auto"/>
        <w:jc w:val="both"/>
        <w:rPr>
          <w:rFonts w:ascii="Times New Roman" w:hAnsi="Times New Roman" w:eastAsia="Times New Roman" w:cs="Times New Roman"/>
          <w:color w:val="000000"/>
        </w:rPr>
      </w:pPr>
      <w:r>
        <w:rPr>
          <w:rFonts w:ascii="Times New Roman" w:hAnsi="Times New Roman" w:eastAsia="Times New Roman" w:cs="Times New Roman"/>
          <w:color w:val="000000"/>
        </w:rPr>
        <w:t>With the strong support of different departments of the Indonesian government and the Embassy of the People's Republic of China in the Republic of Indonesia, Mengniu had the factory plan confirmed in November 2017 and construction began in March 2018</w:t>
      </w:r>
      <w:r>
        <w:rPr>
          <w:rFonts w:ascii="Times New Roman" w:hAnsi="Times New Roman" w:eastAsia="PMingLiU" w:cs="Times New Roman"/>
          <w:color w:val="000000"/>
        </w:rPr>
        <w:t xml:space="preserve"> (Tan, 2018)</w:t>
      </w:r>
      <w:r>
        <w:rPr>
          <w:rFonts w:ascii="Times New Roman" w:hAnsi="Times New Roman" w:eastAsia="Times New Roman" w:cs="Times New Roman"/>
          <w:color w:val="000000"/>
        </w:rPr>
        <w:t>. The new factory is on a 15,000 m2 site and commanded a total investment of more than US$50 million (314.1065 million RMB, with USD/CNY: 6.28213 on 31/03/2018</w:t>
      </w:r>
      <w:r>
        <w:rPr>
          <w:rFonts w:ascii="Times New Roman" w:hAnsi="Times New Roman" w:eastAsia="PMingLiU" w:cs="Times New Roman"/>
          <w:color w:val="000000"/>
        </w:rPr>
        <w:t xml:space="preserve"> (Xe.com Inc, 2019).</w:t>
      </w:r>
      <w:r>
        <w:rPr>
          <w:rFonts w:ascii="Times New Roman" w:hAnsi="Times New Roman" w:eastAsia="Times New Roman" w:cs="Times New Roman"/>
          <w:color w:val="000000"/>
        </w:rPr>
        <w:t xml:space="preserve"> It has a</w:t>
      </w:r>
      <w:r>
        <w:rPr>
          <w:rFonts w:ascii="Times New Roman" w:hAnsi="Times New Roman" w:eastAsia="PMingLiU" w:cs="Times New Roman"/>
          <w:color w:val="000000"/>
        </w:rPr>
        <w:t>n intended capacity of 260 tonnes daily outputs</w:t>
      </w:r>
      <w:r>
        <w:rPr>
          <w:rFonts w:ascii="Times New Roman" w:hAnsi="Times New Roman" w:eastAsia="Times New Roman" w:cs="Times New Roman"/>
          <w:color w:val="000000"/>
        </w:rPr>
        <w:t xml:space="preserve"> and annual output capacity valued at US$160 million (1005.1408 million RMB). We will use a different financial ratios, including net present value measure (Greenwald, Kahn and Sonkin, 2005) to make an investment assessment.</w:t>
      </w:r>
    </w:p>
    <w:p>
      <w:pPr>
        <w:shd w:val="clear" w:color="auto" w:fill="FFFFFF"/>
        <w:spacing w:after="0" w:line="240" w:lineRule="auto"/>
        <w:jc w:val="both"/>
        <w:rPr>
          <w:rFonts w:ascii="Times New Roman" w:hAnsi="Times New Roman" w:eastAsia="Times New Roman" w:cs="Times New Roman"/>
          <w:color w:val="000000"/>
        </w:rPr>
      </w:pPr>
    </w:p>
    <w:p>
      <w:pPr>
        <w:shd w:val="clear" w:color="auto" w:fill="FFFFFF"/>
        <w:spacing w:after="0" w:line="240" w:lineRule="auto"/>
        <w:jc w:val="both"/>
        <w:rPr>
          <w:rFonts w:ascii="Times New Roman" w:hAnsi="Times New Roman" w:eastAsia="PMingLiU" w:cs="Times New Roman"/>
          <w:color w:val="000000"/>
        </w:rPr>
      </w:pPr>
      <w:r>
        <w:rPr>
          <w:rFonts w:ascii="Times New Roman" w:hAnsi="Times New Roman" w:eastAsia="PMingLiU" w:cs="Times New Roman"/>
          <w:color w:val="000000"/>
        </w:rPr>
        <w:t xml:space="preserve">According to year 2018 annual report (China </w:t>
      </w:r>
      <w:r>
        <w:rPr>
          <w:rFonts w:ascii="Times New Roman" w:hAnsi="Times New Roman" w:eastAsia="PMingLiU" w:cs="Times New Roman"/>
        </w:rPr>
        <w:t>Mengniu Dairy Company Limited</w:t>
      </w:r>
      <w:r>
        <w:rPr>
          <w:rFonts w:ascii="Times New Roman" w:hAnsi="Times New Roman" w:eastAsia="PMingLiU" w:cs="Times New Roman"/>
          <w:color w:val="000000"/>
        </w:rPr>
        <w:t>, 2019), Mengniu total cost of buildings and structures plus plant and machinery is 6962.988 million RMB + 15465.453 million RMB =22428.441 million RMB, If the total investment cost of Indonesia factory cost 314.1065 million RMB, we can assume the cost of Indonesia factory’s buildings and structures is 314.1065 * (6962.988/22428.441) million RMB = 97.515 million RMB, while the Indonesia factory’s plant and machinery cost is (314.1065-97.515) million RMB = 216.5915 million RMB.))</w:t>
      </w:r>
    </w:p>
    <w:p>
      <w:pPr>
        <w:shd w:val="clear" w:color="auto" w:fill="FFFFFF"/>
        <w:spacing w:after="0" w:line="240" w:lineRule="auto"/>
        <w:jc w:val="both"/>
        <w:rPr>
          <w:rFonts w:ascii="Times New Roman" w:hAnsi="Times New Roman" w:eastAsia="Times New Roman" w:cs="Times New Roman"/>
          <w:color w:val="000000"/>
        </w:rPr>
      </w:pPr>
    </w:p>
    <w:p>
      <w:pPr>
        <w:shd w:val="clear" w:color="auto" w:fill="FFFFFF"/>
        <w:spacing w:after="0" w:line="240" w:lineRule="auto"/>
        <w:jc w:val="both"/>
        <w:rPr>
          <w:rFonts w:ascii="Times New Roman" w:hAnsi="Times New Roman" w:eastAsia="Times New Roman" w:cs="Times New Roman"/>
          <w:color w:val="000000"/>
        </w:rPr>
      </w:pPr>
    </w:p>
    <w:p>
      <w:pPr>
        <w:shd w:val="clear" w:color="auto" w:fill="FFFFFF"/>
        <w:spacing w:after="0" w:line="240" w:lineRule="auto"/>
        <w:jc w:val="both"/>
        <w:rPr>
          <w:rFonts w:ascii="Times New Roman" w:hAnsi="Times New Roman" w:eastAsia="Times New Roman" w:cs="Times New Roman"/>
          <w:color w:val="000000"/>
        </w:rPr>
      </w:pPr>
    </w:p>
    <w:p>
      <w:pPr>
        <w:shd w:val="clear" w:color="auto" w:fill="FFFFFF"/>
        <w:spacing w:after="0" w:line="240" w:lineRule="auto"/>
        <w:jc w:val="both"/>
        <w:rPr>
          <w:rFonts w:ascii="Times New Roman" w:hAnsi="Times New Roman" w:eastAsia="Times New Roman" w:cs="Times New Roman"/>
          <w:color w:val="000000"/>
        </w:rPr>
      </w:pPr>
    </w:p>
    <w:p>
      <w:pPr>
        <w:shd w:val="clear" w:color="auto" w:fill="FFFFFF"/>
        <w:spacing w:after="0" w:line="240" w:lineRule="auto"/>
        <w:rPr>
          <w:rFonts w:ascii="Segoe UI" w:hAnsi="Segoe UI" w:eastAsia="Times New Roman" w:cs="Segoe UI"/>
          <w:color w:val="000000"/>
          <w:sz w:val="20"/>
          <w:szCs w:val="20"/>
        </w:rPr>
      </w:pPr>
    </w:p>
    <w:p>
      <w:pPr>
        <w:shd w:val="clear" w:color="auto" w:fill="FFFFFF"/>
        <w:spacing w:after="0" w:line="240" w:lineRule="auto"/>
        <w:jc w:val="both"/>
        <w:rPr>
          <w:rFonts w:ascii="Times New Roman" w:hAnsi="Times New Roman" w:eastAsia="Times New Roman" w:cs="Times New Roman"/>
          <w:b/>
          <w:color w:val="000000"/>
        </w:rPr>
      </w:pPr>
      <w:r>
        <w:rPr>
          <w:rFonts w:ascii="Times New Roman" w:hAnsi="Times New Roman" w:eastAsia="Times New Roman" w:cs="Times New Roman"/>
          <w:b/>
          <w:color w:val="000000"/>
        </w:rPr>
        <w:t>4.2</w:t>
      </w:r>
      <w:r>
        <w:rPr>
          <w:rFonts w:ascii="Times New Roman" w:hAnsi="Times New Roman" w:eastAsia="Times New Roman" w:cs="Times New Roman"/>
          <w:b/>
          <w:color w:val="000000"/>
        </w:rPr>
        <w:tab/>
      </w:r>
      <w:r>
        <w:rPr>
          <w:rFonts w:ascii="Times New Roman" w:hAnsi="Times New Roman" w:eastAsia="Times New Roman" w:cs="Times New Roman"/>
          <w:b/>
          <w:color w:val="000000"/>
        </w:rPr>
        <w:t>Project items basic information</w:t>
      </w:r>
    </w:p>
    <w:p>
      <w:pPr>
        <w:shd w:val="clear" w:color="auto" w:fill="FFFFFF"/>
        <w:spacing w:after="0" w:line="240" w:lineRule="auto"/>
        <w:jc w:val="both"/>
        <w:rPr>
          <w:rFonts w:ascii="Times New Roman" w:hAnsi="Times New Roman" w:eastAsia="Times New Roman" w:cs="Times New Roman"/>
          <w:color w:val="000000"/>
        </w:rPr>
      </w:pPr>
    </w:p>
    <w:p>
      <w:pPr>
        <w:shd w:val="clear" w:color="auto" w:fill="FFFFFF"/>
        <w:spacing w:after="0" w:line="240" w:lineRule="auto"/>
        <w:jc w:val="both"/>
        <w:rPr>
          <w:rFonts w:ascii="Times New Roman" w:hAnsi="Times New Roman" w:eastAsia="PMingLiU" w:cs="Times New Roman"/>
          <w:b/>
          <w:color w:val="000000"/>
        </w:rPr>
      </w:pPr>
      <w:r>
        <w:rPr>
          <w:rFonts w:ascii="Times New Roman" w:hAnsi="Times New Roman" w:eastAsia="PMingLiU" w:cs="Times New Roman"/>
          <w:b/>
          <w:color w:val="000000"/>
        </w:rPr>
        <w:t>Table 10: Basic information of investment project</w:t>
      </w:r>
    </w:p>
    <w:p>
      <w:pPr>
        <w:shd w:val="clear" w:color="auto" w:fill="FFFFFF"/>
        <w:spacing w:after="0" w:line="240" w:lineRule="auto"/>
        <w:jc w:val="both"/>
        <w:rPr>
          <w:rFonts w:ascii="Times New Roman" w:hAnsi="Times New Roman" w:eastAsia="Times New Roman" w:cs="Times New Roman"/>
          <w:color w:val="000000"/>
        </w:rPr>
      </w:pPr>
    </w:p>
    <w:p>
      <w:pPr>
        <w:shd w:val="clear" w:color="auto" w:fill="FFFFFF"/>
        <w:spacing w:after="0" w:line="240" w:lineRule="auto"/>
        <w:jc w:val="both"/>
        <w:rPr>
          <w:rFonts w:ascii="Times New Roman" w:hAnsi="Times New Roman" w:eastAsia="Times New Roman" w:cs="Times New Roman"/>
          <w:color w:val="000000"/>
        </w:rPr>
      </w:pPr>
    </w:p>
    <w:p>
      <w:pPr>
        <w:shd w:val="clear" w:color="auto" w:fill="FFFFFF"/>
        <w:spacing w:after="0" w:line="240" w:lineRule="auto"/>
        <w:jc w:val="both"/>
        <w:rPr>
          <w:rFonts w:ascii="Times New Roman" w:hAnsi="Times New Roman" w:eastAsia="Times New Roman" w:cs="Times New Roman"/>
          <w:b/>
          <w:color w:val="000000"/>
        </w:rPr>
      </w:pPr>
      <w:r>
        <w:rPr>
          <w:rFonts w:ascii="Times New Roman" w:hAnsi="Times New Roman" w:eastAsia="Times New Roman" w:cs="Times New Roman"/>
          <w:b/>
          <w:color w:val="000000"/>
        </w:rPr>
        <w:t>Project Costs</w:t>
      </w:r>
      <w:r>
        <w:rPr>
          <w:rFonts w:ascii="Times New Roman" w:hAnsi="Times New Roman" w:eastAsia="Times New Roman" w:cs="Times New Roman"/>
          <w:color w:val="000000"/>
        </w:rPr>
        <w:tab/>
      </w:r>
      <w:r>
        <w:rPr>
          <w:rFonts w:ascii="Times New Roman" w:hAnsi="Times New Roman" w:eastAsia="Times New Roman" w:cs="Times New Roman"/>
          <w:color w:val="000000"/>
        </w:rPr>
        <w:tab/>
      </w:r>
      <w:r>
        <w:rPr>
          <w:rFonts w:ascii="Times New Roman" w:hAnsi="Times New Roman" w:eastAsia="Times New Roman" w:cs="Times New Roman"/>
          <w:color w:val="000000"/>
        </w:rPr>
        <w:tab/>
      </w:r>
      <w:r>
        <w:rPr>
          <w:rFonts w:ascii="Times New Roman" w:hAnsi="Times New Roman" w:eastAsia="Times New Roman" w:cs="Times New Roman"/>
          <w:color w:val="000000"/>
        </w:rPr>
        <w:tab/>
      </w:r>
      <w:r>
        <w:rPr>
          <w:rFonts w:ascii="Times New Roman" w:hAnsi="Times New Roman" w:eastAsia="Times New Roman" w:cs="Times New Roman"/>
          <w:color w:val="000000"/>
        </w:rPr>
        <w:tab/>
      </w:r>
      <w:r>
        <w:rPr>
          <w:rFonts w:ascii="Times New Roman" w:hAnsi="Times New Roman" w:eastAsia="Times New Roman" w:cs="Times New Roman"/>
          <w:color w:val="000000"/>
        </w:rPr>
        <w:tab/>
      </w:r>
      <w:r>
        <w:rPr>
          <w:rFonts w:ascii="Times New Roman" w:hAnsi="Times New Roman" w:eastAsia="Times New Roman" w:cs="Times New Roman"/>
          <w:color w:val="000000"/>
        </w:rPr>
        <w:tab/>
      </w:r>
      <w:r>
        <w:rPr>
          <w:rFonts w:ascii="Times New Roman" w:hAnsi="Times New Roman" w:eastAsia="Times New Roman" w:cs="Times New Roman"/>
          <w:b/>
          <w:color w:val="000000"/>
        </w:rPr>
        <w:t>Remarks</w:t>
      </w:r>
    </w:p>
    <w:p>
      <w:pPr>
        <w:jc w:val="both"/>
        <w:rPr>
          <w:rFonts w:ascii="Times New Roman" w:hAnsi="Times New Roman" w:cs="Times New Roman"/>
        </w:rPr>
      </w:pPr>
    </w:p>
    <w:p>
      <w:pPr>
        <w:jc w:val="both"/>
        <w:rPr>
          <w:rFonts w:ascii="Times New Roman" w:hAnsi="Times New Roman" w:cs="Times New Roman"/>
        </w:rPr>
      </w:pPr>
      <w:r>
        <w:rPr>
          <w:rFonts w:ascii="Times New Roman" w:hAnsi="Times New Roman" w:cs="Times New Roman"/>
        </w:rPr>
        <w:t>Factory size (square meters)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15000</w:t>
      </w:r>
      <w:r>
        <w:rPr>
          <w:rFonts w:ascii="Times New Roman" w:hAnsi="Times New Roman" w:cs="Times New Roman"/>
        </w:rPr>
        <w:tab/>
      </w:r>
      <w:r>
        <w:rPr>
          <w:rFonts w:ascii="Times New Roman" w:hAnsi="Times New Roman" w:cs="Times New Roman"/>
        </w:rPr>
        <w:tab/>
      </w:r>
      <w:r>
        <w:rPr>
          <w:rFonts w:ascii="Times New Roman" w:hAnsi="Times New Roman" w:cs="Times New Roman"/>
        </w:rPr>
        <w:t>(Tan, 2018)</w:t>
      </w:r>
    </w:p>
    <w:p>
      <w:pPr>
        <w:jc w:val="both"/>
        <w:rPr>
          <w:rFonts w:ascii="Times New Roman" w:hAnsi="Times New Roman" w:cs="Times New Roman"/>
        </w:rPr>
      </w:pPr>
      <w:r>
        <w:rPr>
          <w:rFonts w:ascii="Times New Roman" w:hAnsi="Times New Roman" w:cs="Times New Roman"/>
        </w:rPr>
        <w:t>Building price (RMB/square meters)</w:t>
      </w:r>
      <w:r>
        <w:rPr>
          <w:rFonts w:ascii="Times New Roman" w:hAnsi="Times New Roman" w:cs="Times New Roman"/>
        </w:rPr>
        <w:tab/>
      </w:r>
      <w:r>
        <w:rPr>
          <w:rFonts w:ascii="Times New Roman" w:hAnsi="Times New Roman" w:cs="Times New Roman"/>
        </w:rPr>
        <w:tab/>
      </w:r>
      <w:r>
        <w:rPr>
          <w:rFonts w:ascii="Times New Roman" w:hAnsi="Times New Roman" w:cs="Times New Roman"/>
        </w:rPr>
        <w:t>6503.33</w:t>
      </w:r>
      <w:r>
        <w:rPr>
          <w:rFonts w:ascii="Times New Roman" w:hAnsi="Times New Roman" w:cs="Times New Roman"/>
        </w:rPr>
        <w:tab/>
      </w:r>
    </w:p>
    <w:p>
      <w:pPr>
        <w:jc w:val="both"/>
        <w:rPr>
          <w:rFonts w:ascii="Times New Roman" w:hAnsi="Times New Roman" w:cs="Times New Roman"/>
        </w:rPr>
      </w:pPr>
      <w:r>
        <w:rPr>
          <w:rFonts w:ascii="Times New Roman" w:hAnsi="Times New Roman" w:cs="Times New Roman"/>
        </w:rPr>
        <w:t>Factory building cost (1 million RMB)</w:t>
      </w:r>
      <w:r>
        <w:rPr>
          <w:rFonts w:ascii="Times New Roman" w:hAnsi="Times New Roman" w:cs="Times New Roman"/>
        </w:rPr>
        <w:tab/>
      </w:r>
      <w:r>
        <w:rPr>
          <w:rFonts w:ascii="Times New Roman" w:hAnsi="Times New Roman" w:cs="Times New Roman"/>
        </w:rPr>
        <w:tab/>
      </w:r>
      <w:r>
        <w:rPr>
          <w:rFonts w:ascii="Times New Roman" w:hAnsi="Times New Roman" w:cs="Times New Roman"/>
        </w:rPr>
        <w:t>97.515</w:t>
      </w:r>
      <w:r>
        <w:rPr>
          <w:rFonts w:ascii="Times New Roman" w:hAnsi="Times New Roman" w:cs="Times New Roman"/>
        </w:rPr>
        <w:tab/>
      </w:r>
      <w:r>
        <w:rPr>
          <w:rFonts w:ascii="Times New Roman" w:hAnsi="Times New Roman" w:cs="Times New Roman"/>
        </w:rPr>
        <w:tab/>
      </w:r>
    </w:p>
    <w:p>
      <w:pPr>
        <w:jc w:val="both"/>
        <w:rPr>
          <w:rFonts w:ascii="Times New Roman" w:hAnsi="Times New Roman" w:cs="Times New Roman"/>
        </w:rPr>
      </w:pPr>
      <w:r>
        <w:rPr>
          <w:rFonts w:ascii="Times New Roman" w:hAnsi="Times New Roman" w:cs="Times New Roman"/>
        </w:rPr>
        <w:t>Machinery (1 million RMB)</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216.5915</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p>
      <w:pPr>
        <w:jc w:val="both"/>
        <w:rPr>
          <w:rFonts w:ascii="Times New Roman" w:hAnsi="Times New Roman" w:cs="Times New Roman"/>
        </w:rPr>
      </w:pPr>
      <w:r>
        <w:rPr>
          <w:rFonts w:ascii="Times New Roman" w:hAnsi="Times New Roman" w:cs="Times New Roman"/>
        </w:rPr>
        <w:t>Total Cost (1 million RMB)</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314.1065</w:t>
      </w:r>
      <w:r>
        <w:rPr>
          <w:rFonts w:ascii="Times New Roman" w:hAnsi="Times New Roman" w:cs="Times New Roman"/>
        </w:rPr>
        <w:tab/>
      </w:r>
      <w:r>
        <w:rPr>
          <w:rFonts w:ascii="Times New Roman" w:hAnsi="Times New Roman" w:cs="Times New Roman"/>
        </w:rPr>
        <w:t>(Tan, 2018)</w:t>
      </w: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r>
        <w:rPr>
          <w:rFonts w:ascii="Times New Roman" w:hAnsi="Times New Roman" w:cs="Times New Roman"/>
          <w:b/>
        </w:rPr>
        <w:t xml:space="preserve">Remaining basic information </w:t>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ab/>
      </w:r>
      <w:r>
        <w:rPr>
          <w:rFonts w:ascii="Times New Roman" w:hAnsi="Times New Roman" w:cs="Times New Roman"/>
          <w:b/>
        </w:rPr>
        <w:t>Remarks</w:t>
      </w:r>
    </w:p>
    <w:p>
      <w:pPr>
        <w:rPr>
          <w:rFonts w:ascii="Times New Roman" w:hAnsi="Times New Roman" w:cs="Times New Roman"/>
        </w:rPr>
      </w:pPr>
      <w:r>
        <w:rPr>
          <w:rFonts w:ascii="Times New Roman" w:hAnsi="Times New Roman" w:cs="Times New Roman"/>
        </w:rPr>
        <w:t>Mengniu Building depreciation years</w:t>
      </w:r>
      <w:r>
        <w:rPr>
          <w:rFonts w:ascii="Times New Roman" w:hAnsi="Times New Roman" w:cs="Times New Roman"/>
        </w:rPr>
        <w:tab/>
      </w:r>
      <w:r>
        <w:rPr>
          <w:rFonts w:ascii="Times New Roman" w:hAnsi="Times New Roman" w:cs="Times New Roman"/>
        </w:rPr>
        <w:tab/>
      </w:r>
      <w:r>
        <w:rPr>
          <w:rFonts w:ascii="Times New Roman" w:hAnsi="Times New Roman" w:cs="Times New Roman"/>
        </w:rPr>
        <w:t>14</w:t>
      </w:r>
      <w:r>
        <w:rPr>
          <w:rFonts w:ascii="Times New Roman" w:hAnsi="Times New Roman" w:cs="Times New Roman"/>
        </w:rPr>
        <w:tab/>
      </w:r>
      <w:r>
        <w:rPr>
          <w:rFonts w:ascii="Times New Roman" w:hAnsi="Times New Roman" w:cs="Times New Roman"/>
        </w:rPr>
        <w:tab/>
      </w:r>
      <w:r>
        <w:rPr>
          <w:rFonts w:ascii="Times New Roman" w:hAnsi="Times New Roman" w:cs="Times New Roman"/>
        </w:rPr>
        <w:t xml:space="preserve">(Mengniu regular approach, 7%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 xml:space="preserve"> depreciation each year)</w:t>
      </w:r>
    </w:p>
    <w:p>
      <w:pPr>
        <w:rPr>
          <w:rFonts w:ascii="Times New Roman" w:hAnsi="Times New Roman" w:cs="Times New Roman"/>
        </w:rPr>
      </w:pPr>
      <w:r>
        <w:rPr>
          <w:rFonts w:ascii="Times New Roman" w:hAnsi="Times New Roman" w:cs="Times New Roman"/>
        </w:rPr>
        <w:t>Machinery depreciation years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10</w:t>
      </w:r>
      <w:r>
        <w:rPr>
          <w:rFonts w:ascii="Times New Roman" w:hAnsi="Times New Roman" w:cs="Times New Roman"/>
        </w:rPr>
        <w:tab/>
      </w:r>
      <w:r>
        <w:rPr>
          <w:rFonts w:ascii="Times New Roman" w:hAnsi="Times New Roman" w:cs="Times New Roman"/>
        </w:rPr>
        <w:tab/>
      </w:r>
      <w:r>
        <w:rPr>
          <w:rFonts w:ascii="Times New Roman" w:hAnsi="Times New Roman" w:cs="Times New Roman"/>
        </w:rPr>
        <w:t>(Mengniu regular approach)</w:t>
      </w:r>
    </w:p>
    <w:p>
      <w:pPr>
        <w:rPr>
          <w:rFonts w:ascii="Times New Roman" w:hAnsi="Times New Roman" w:cs="Times New Roman"/>
        </w:rPr>
      </w:pPr>
      <w:r>
        <w:rPr>
          <w:rFonts w:ascii="Times New Roman" w:hAnsi="Times New Roman" w:cs="Times New Roman"/>
        </w:rPr>
        <w:t>Sales growth rate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12%</w:t>
      </w:r>
      <w:r>
        <w:rPr>
          <w:rFonts w:ascii="Times New Roman" w:hAnsi="Times New Roman" w:cs="Times New Roman"/>
        </w:rPr>
        <w:tab/>
      </w:r>
      <w:r>
        <w:rPr>
          <w:rFonts w:ascii="Times New Roman" w:hAnsi="Times New Roman" w:cs="Times New Roman"/>
        </w:rPr>
        <w:tab/>
      </w:r>
      <w:r>
        <w:rPr>
          <w:rFonts w:ascii="Times New Roman" w:hAnsi="Times New Roman" w:cs="Times New Roman"/>
        </w:rPr>
        <w:t>(Appendix 1)</w:t>
      </w:r>
    </w:p>
    <w:p>
      <w:pPr>
        <w:rPr>
          <w:rFonts w:ascii="Times New Roman" w:hAnsi="Times New Roman" w:cs="Times New Roman"/>
        </w:rPr>
      </w:pPr>
      <w:r>
        <w:rPr>
          <w:rFonts w:ascii="Times New Roman" w:hAnsi="Times New Roman" w:cs="Times New Roman"/>
        </w:rPr>
        <w:t>EBITDA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8.9%</w:t>
      </w:r>
      <w:r>
        <w:rPr>
          <w:rFonts w:ascii="Times New Roman" w:hAnsi="Times New Roman" w:cs="Times New Roman"/>
        </w:rPr>
        <w:tab/>
      </w:r>
      <w:r>
        <w:rPr>
          <w:rFonts w:ascii="Times New Roman" w:hAnsi="Times New Roman" w:cs="Times New Roman"/>
        </w:rPr>
        <w:tab/>
      </w:r>
      <w:r>
        <w:rPr>
          <w:rFonts w:ascii="Times New Roman" w:hAnsi="Times New Roman" w:cs="Times New Roman"/>
        </w:rPr>
        <w:t>(Appendix 1)</w:t>
      </w:r>
    </w:p>
    <w:p>
      <w:pPr>
        <w:rPr>
          <w:rFonts w:ascii="Times New Roman" w:hAnsi="Times New Roman" w:cs="Times New Roman"/>
        </w:rPr>
      </w:pPr>
      <w:r>
        <w:rPr>
          <w:rFonts w:ascii="Times New Roman" w:hAnsi="Times New Roman" w:cs="Times New Roman"/>
        </w:rPr>
        <w:t>Cash flow period (days)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7.850</w:t>
      </w:r>
      <w:r>
        <w:rPr>
          <w:rFonts w:ascii="Times New Roman" w:hAnsi="Times New Roman" w:cs="Times New Roman"/>
        </w:rPr>
        <w:tab/>
      </w:r>
      <w:r>
        <w:rPr>
          <w:rFonts w:ascii="Times New Roman" w:hAnsi="Times New Roman" w:cs="Times New Roman"/>
        </w:rPr>
        <w:tab/>
      </w:r>
      <w:r>
        <w:rPr>
          <w:rFonts w:ascii="Times New Roman" w:hAnsi="Times New Roman" w:cs="Times New Roman"/>
        </w:rPr>
        <w:t>(Appendix 1)</w:t>
      </w:r>
    </w:p>
    <w:p>
      <w:pPr>
        <w:rPr>
          <w:rFonts w:ascii="Times New Roman" w:hAnsi="Times New Roman" w:cs="Times New Roman"/>
        </w:rPr>
      </w:pPr>
    </w:p>
    <w:p>
      <w:pPr>
        <w:rPr>
          <w:rFonts w:ascii="Times New Roman" w:hAnsi="Times New Roman" w:cs="Times New Roman"/>
          <w:b/>
        </w:rPr>
      </w:pPr>
      <w:r>
        <w:rPr>
          <w:rFonts w:ascii="Times New Roman" w:hAnsi="Times New Roman" w:cs="Times New Roman"/>
          <w:b/>
        </w:rPr>
        <w:t>4.</w:t>
      </w:r>
      <w:r>
        <w:rPr>
          <w:rFonts w:hint="eastAsia" w:ascii="Times New Roman" w:hAnsi="Times New Roman" w:cs="Times New Roman"/>
          <w:b/>
          <w:lang w:val="en-US" w:eastAsia="zh-TW"/>
        </w:rPr>
        <w:t>3</w:t>
      </w:r>
      <w:r>
        <w:rPr>
          <w:rFonts w:ascii="Times New Roman" w:hAnsi="Times New Roman" w:cs="Times New Roman"/>
          <w:b/>
        </w:rPr>
        <w:tab/>
      </w:r>
      <w:r>
        <w:rPr>
          <w:rFonts w:ascii="Times New Roman" w:hAnsi="Times New Roman" w:cs="Times New Roman"/>
          <w:b/>
        </w:rPr>
        <w:t>The first year calculation of sales</w:t>
      </w:r>
    </w:p>
    <w:p>
      <w:pPr>
        <w:rPr>
          <w:rFonts w:ascii="Times New Roman" w:hAnsi="Times New Roman" w:cs="Times New Roman"/>
        </w:rPr>
      </w:pPr>
      <w:r>
        <w:rPr>
          <w:rFonts w:ascii="Times New Roman" w:hAnsi="Times New Roman" w:cs="Times New Roman"/>
        </w:rPr>
        <w:t>Project items</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Remarks</w:t>
      </w:r>
    </w:p>
    <w:p>
      <w:pPr>
        <w:rPr>
          <w:rFonts w:ascii="Times New Roman" w:hAnsi="Times New Roman" w:cs="Times New Roman"/>
        </w:rPr>
      </w:pPr>
      <w:r>
        <w:rPr>
          <w:rFonts w:ascii="Times New Roman" w:hAnsi="Times New Roman" w:cs="Times New Roman"/>
        </w:rPr>
        <w:t>Total Sales (1 million RMB)</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 xml:space="preserve">1005.1408 </w:t>
      </w:r>
      <w:r>
        <w:rPr>
          <w:rFonts w:ascii="Times New Roman" w:hAnsi="Times New Roman" w:cs="Times New Roman"/>
        </w:rPr>
        <w:tab/>
      </w:r>
      <w:r>
        <w:rPr>
          <w:rFonts w:ascii="Times New Roman" w:hAnsi="Times New Roman" w:cs="Times New Roman"/>
        </w:rPr>
        <w:t>(Tan, 2018)</w:t>
      </w:r>
    </w:p>
    <w:p>
      <w:pPr>
        <w:rPr>
          <w:rFonts w:ascii="Times New Roman" w:hAnsi="Times New Roman" w:cs="Times New Roman"/>
          <w:b/>
        </w:rPr>
      </w:pPr>
    </w:p>
    <w:p>
      <w:pPr>
        <w:rPr>
          <w:rFonts w:ascii="Times New Roman" w:hAnsi="Times New Roman" w:cs="Times New Roman"/>
          <w:b/>
        </w:rPr>
      </w:pPr>
      <w:r>
        <w:rPr>
          <w:rFonts w:ascii="Times New Roman" w:hAnsi="Times New Roman" w:cs="Times New Roman"/>
          <w:b/>
        </w:rPr>
        <w:t>4.</w:t>
      </w:r>
      <w:r>
        <w:rPr>
          <w:rFonts w:hint="eastAsia" w:ascii="Times New Roman" w:hAnsi="Times New Roman" w:cs="Times New Roman"/>
          <w:b/>
          <w:lang w:val="en-US" w:eastAsia="zh-TW"/>
        </w:rPr>
        <w:t>4</w:t>
      </w:r>
      <w:r>
        <w:rPr>
          <w:rFonts w:ascii="Times New Roman" w:hAnsi="Times New Roman" w:cs="Times New Roman"/>
          <w:b/>
        </w:rPr>
        <w:tab/>
      </w:r>
      <w:r>
        <w:rPr>
          <w:rFonts w:ascii="Times New Roman" w:hAnsi="Times New Roman" w:cs="Times New Roman"/>
          <w:b/>
        </w:rPr>
        <w:t>Computing Tax Cost</w:t>
      </w:r>
    </w:p>
    <w:p>
      <w:pPr>
        <w:rPr>
          <w:rFonts w:ascii="Times New Roman" w:hAnsi="Times New Roman" w:cs="Times New Roman"/>
          <w:b/>
        </w:rPr>
      </w:pPr>
      <w:r>
        <w:rPr>
          <w:rFonts w:ascii="Times New Roman" w:hAnsi="Times New Roman" w:cs="Times New Roman"/>
          <w:b/>
        </w:rPr>
        <w:t>Table 11: Calculation of tax cost and profit of investment project (Appendix 2)</w:t>
      </w:r>
    </w:p>
    <w:tbl>
      <w:tblPr>
        <w:tblStyle w:val="10"/>
        <w:tblW w:w="8653" w:type="dxa"/>
        <w:tblInd w:w="0" w:type="dxa"/>
        <w:tblLayout w:type="fixed"/>
        <w:tblCellMar>
          <w:top w:w="0" w:type="dxa"/>
          <w:left w:w="0" w:type="dxa"/>
          <w:bottom w:w="0" w:type="dxa"/>
          <w:right w:w="0" w:type="dxa"/>
        </w:tblCellMar>
      </w:tblPr>
      <w:tblGrid>
        <w:gridCol w:w="990"/>
        <w:gridCol w:w="520"/>
        <w:gridCol w:w="830"/>
        <w:gridCol w:w="800"/>
        <w:gridCol w:w="780"/>
        <w:gridCol w:w="700"/>
        <w:gridCol w:w="770"/>
        <w:gridCol w:w="710"/>
        <w:gridCol w:w="690"/>
        <w:gridCol w:w="750"/>
        <w:gridCol w:w="560"/>
        <w:gridCol w:w="553"/>
      </w:tblGrid>
      <w:tr>
        <w:tblPrEx>
          <w:tblLayout w:type="fixed"/>
          <w:tblCellMar>
            <w:top w:w="0" w:type="dxa"/>
            <w:left w:w="0" w:type="dxa"/>
            <w:bottom w:w="0" w:type="dxa"/>
            <w:right w:w="0" w:type="dxa"/>
          </w:tblCellMar>
        </w:tblPrEx>
        <w:trPr>
          <w:trHeight w:val="290" w:hRule="atLeast"/>
        </w:trPr>
        <w:tc>
          <w:tcPr>
            <w:tcW w:w="9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Items (Unit: 1 million RMB)</w:t>
            </w:r>
          </w:p>
        </w:tc>
        <w:tc>
          <w:tcPr>
            <w:tcW w:w="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3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1Yr</w:t>
            </w:r>
          </w:p>
        </w:tc>
        <w:tc>
          <w:tcPr>
            <w:tcW w:w="8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2Yr</w:t>
            </w:r>
          </w:p>
        </w:tc>
        <w:tc>
          <w:tcPr>
            <w:tcW w:w="7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3Yr</w:t>
            </w:r>
          </w:p>
        </w:tc>
        <w:tc>
          <w:tcPr>
            <w:tcW w:w="7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4Yr</w:t>
            </w:r>
          </w:p>
        </w:tc>
        <w:tc>
          <w:tcPr>
            <w:tcW w:w="7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5Yr</w:t>
            </w:r>
          </w:p>
        </w:tc>
        <w:tc>
          <w:tcPr>
            <w:tcW w:w="71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6Yr</w:t>
            </w:r>
          </w:p>
        </w:tc>
        <w:tc>
          <w:tcPr>
            <w:tcW w:w="6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7Yr</w:t>
            </w:r>
          </w:p>
        </w:tc>
        <w:tc>
          <w:tcPr>
            <w:tcW w:w="75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8Yr</w:t>
            </w:r>
          </w:p>
        </w:tc>
        <w:tc>
          <w:tcPr>
            <w:tcW w:w="56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9Yr</w:t>
            </w:r>
          </w:p>
        </w:tc>
        <w:tc>
          <w:tcPr>
            <w:tcW w:w="55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10Yr</w:t>
            </w:r>
          </w:p>
        </w:tc>
      </w:tr>
      <w:tr>
        <w:tblPrEx>
          <w:tblLayout w:type="fixed"/>
          <w:tblCellMar>
            <w:top w:w="0" w:type="dxa"/>
            <w:left w:w="0" w:type="dxa"/>
            <w:bottom w:w="0" w:type="dxa"/>
            <w:right w:w="0" w:type="dxa"/>
          </w:tblCellMar>
        </w:tblPrEx>
        <w:trPr>
          <w:trHeight w:val="290" w:hRule="atLeast"/>
        </w:trPr>
        <w:tc>
          <w:tcPr>
            <w:tcW w:w="9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 xml:space="preserve">Sales </w:t>
            </w:r>
          </w:p>
        </w:tc>
        <w:tc>
          <w:tcPr>
            <w:tcW w:w="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3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1005.1408</w:t>
            </w:r>
          </w:p>
        </w:tc>
        <w:tc>
          <w:tcPr>
            <w:tcW w:w="8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1125.758</w:t>
            </w:r>
          </w:p>
        </w:tc>
        <w:tc>
          <w:tcPr>
            <w:tcW w:w="7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1260.849</w:t>
            </w:r>
          </w:p>
        </w:tc>
        <w:tc>
          <w:tcPr>
            <w:tcW w:w="7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1412.15</w:t>
            </w:r>
          </w:p>
        </w:tc>
        <w:tc>
          <w:tcPr>
            <w:tcW w:w="7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1581.609</w:t>
            </w:r>
          </w:p>
        </w:tc>
        <w:tc>
          <w:tcPr>
            <w:tcW w:w="71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1771.402</w:t>
            </w:r>
          </w:p>
        </w:tc>
        <w:tc>
          <w:tcPr>
            <w:tcW w:w="6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1983.97</w:t>
            </w:r>
          </w:p>
        </w:tc>
        <w:tc>
          <w:tcPr>
            <w:tcW w:w="75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2222.046</w:t>
            </w:r>
          </w:p>
        </w:tc>
        <w:tc>
          <w:tcPr>
            <w:tcW w:w="56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2488.692</w:t>
            </w:r>
          </w:p>
        </w:tc>
        <w:tc>
          <w:tcPr>
            <w:tcW w:w="55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2787.335</w:t>
            </w:r>
          </w:p>
        </w:tc>
      </w:tr>
      <w:tr>
        <w:tblPrEx>
          <w:tblLayout w:type="fixed"/>
          <w:tblCellMar>
            <w:top w:w="0" w:type="dxa"/>
            <w:left w:w="0" w:type="dxa"/>
            <w:bottom w:w="0" w:type="dxa"/>
            <w:right w:w="0" w:type="dxa"/>
          </w:tblCellMar>
        </w:tblPrEx>
        <w:trPr>
          <w:trHeight w:val="290" w:hRule="atLeast"/>
        </w:trPr>
        <w:tc>
          <w:tcPr>
            <w:tcW w:w="9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EBITDA</w:t>
            </w:r>
          </w:p>
        </w:tc>
        <w:tc>
          <w:tcPr>
            <w:tcW w:w="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3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89.788</w:t>
            </w:r>
          </w:p>
        </w:tc>
        <w:tc>
          <w:tcPr>
            <w:tcW w:w="8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100.562</w:t>
            </w:r>
          </w:p>
        </w:tc>
        <w:tc>
          <w:tcPr>
            <w:tcW w:w="7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112.629</w:t>
            </w:r>
          </w:p>
        </w:tc>
        <w:tc>
          <w:tcPr>
            <w:tcW w:w="7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126.145</w:t>
            </w:r>
          </w:p>
        </w:tc>
        <w:tc>
          <w:tcPr>
            <w:tcW w:w="7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141.282</w:t>
            </w:r>
          </w:p>
        </w:tc>
        <w:tc>
          <w:tcPr>
            <w:tcW w:w="71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158.236</w:t>
            </w:r>
          </w:p>
        </w:tc>
        <w:tc>
          <w:tcPr>
            <w:tcW w:w="6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177.225</w:t>
            </w:r>
          </w:p>
        </w:tc>
        <w:tc>
          <w:tcPr>
            <w:tcW w:w="75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198.492</w:t>
            </w:r>
          </w:p>
        </w:tc>
        <w:tc>
          <w:tcPr>
            <w:tcW w:w="56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222.311</w:t>
            </w:r>
          </w:p>
        </w:tc>
        <w:tc>
          <w:tcPr>
            <w:tcW w:w="55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248.988</w:t>
            </w:r>
          </w:p>
        </w:tc>
      </w:tr>
      <w:tr>
        <w:tblPrEx>
          <w:tblLayout w:type="fixed"/>
          <w:tblCellMar>
            <w:top w:w="0" w:type="dxa"/>
            <w:left w:w="0" w:type="dxa"/>
            <w:bottom w:w="0" w:type="dxa"/>
            <w:right w:w="0" w:type="dxa"/>
          </w:tblCellMar>
        </w:tblPrEx>
        <w:trPr>
          <w:trHeight w:val="290" w:hRule="atLeast"/>
        </w:trPr>
        <w:tc>
          <w:tcPr>
            <w:tcW w:w="9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 xml:space="preserve">Depreciation </w:t>
            </w:r>
          </w:p>
        </w:tc>
        <w:tc>
          <w:tcPr>
            <w:tcW w:w="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3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-28.625</w:t>
            </w:r>
          </w:p>
        </w:tc>
        <w:tc>
          <w:tcPr>
            <w:tcW w:w="8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-28.625</w:t>
            </w:r>
          </w:p>
        </w:tc>
        <w:tc>
          <w:tcPr>
            <w:tcW w:w="7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-28.625</w:t>
            </w:r>
          </w:p>
        </w:tc>
        <w:tc>
          <w:tcPr>
            <w:tcW w:w="7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-28.625</w:t>
            </w:r>
          </w:p>
        </w:tc>
        <w:tc>
          <w:tcPr>
            <w:tcW w:w="7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-28.625</w:t>
            </w:r>
          </w:p>
        </w:tc>
        <w:tc>
          <w:tcPr>
            <w:tcW w:w="71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-28.625</w:t>
            </w:r>
          </w:p>
        </w:tc>
        <w:tc>
          <w:tcPr>
            <w:tcW w:w="6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-28.625</w:t>
            </w:r>
          </w:p>
        </w:tc>
        <w:tc>
          <w:tcPr>
            <w:tcW w:w="75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-28.625</w:t>
            </w:r>
          </w:p>
        </w:tc>
        <w:tc>
          <w:tcPr>
            <w:tcW w:w="56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-28.625</w:t>
            </w:r>
          </w:p>
        </w:tc>
        <w:tc>
          <w:tcPr>
            <w:tcW w:w="55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-28.625</w:t>
            </w:r>
          </w:p>
        </w:tc>
      </w:tr>
      <w:tr>
        <w:tblPrEx>
          <w:tblLayout w:type="fixed"/>
          <w:tblCellMar>
            <w:top w:w="0" w:type="dxa"/>
            <w:left w:w="0" w:type="dxa"/>
            <w:bottom w:w="0" w:type="dxa"/>
            <w:right w:w="0" w:type="dxa"/>
          </w:tblCellMar>
        </w:tblPrEx>
        <w:trPr>
          <w:trHeight w:val="290" w:hRule="atLeast"/>
        </w:trPr>
        <w:tc>
          <w:tcPr>
            <w:tcW w:w="9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EBIT:</w:t>
            </w:r>
          </w:p>
        </w:tc>
        <w:tc>
          <w:tcPr>
            <w:tcW w:w="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3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61.163</w:t>
            </w:r>
          </w:p>
        </w:tc>
        <w:tc>
          <w:tcPr>
            <w:tcW w:w="8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71.937</w:t>
            </w:r>
          </w:p>
        </w:tc>
        <w:tc>
          <w:tcPr>
            <w:tcW w:w="7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84.004</w:t>
            </w:r>
          </w:p>
        </w:tc>
        <w:tc>
          <w:tcPr>
            <w:tcW w:w="7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97.52</w:t>
            </w:r>
          </w:p>
        </w:tc>
        <w:tc>
          <w:tcPr>
            <w:tcW w:w="7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112.657</w:t>
            </w:r>
          </w:p>
        </w:tc>
        <w:tc>
          <w:tcPr>
            <w:tcW w:w="71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129.611</w:t>
            </w:r>
          </w:p>
        </w:tc>
        <w:tc>
          <w:tcPr>
            <w:tcW w:w="6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148.6</w:t>
            </w:r>
          </w:p>
        </w:tc>
        <w:tc>
          <w:tcPr>
            <w:tcW w:w="75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169.867</w:t>
            </w:r>
          </w:p>
        </w:tc>
        <w:tc>
          <w:tcPr>
            <w:tcW w:w="56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193.686</w:t>
            </w:r>
          </w:p>
        </w:tc>
        <w:tc>
          <w:tcPr>
            <w:tcW w:w="55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220.365</w:t>
            </w:r>
          </w:p>
        </w:tc>
      </w:tr>
      <w:tr>
        <w:tblPrEx>
          <w:tblLayout w:type="fixed"/>
          <w:tblCellMar>
            <w:top w:w="0" w:type="dxa"/>
            <w:left w:w="0" w:type="dxa"/>
            <w:bottom w:w="0" w:type="dxa"/>
            <w:right w:w="0" w:type="dxa"/>
          </w:tblCellMar>
        </w:tblPrEx>
        <w:trPr>
          <w:trHeight w:val="290" w:hRule="atLeast"/>
        </w:trPr>
        <w:tc>
          <w:tcPr>
            <w:tcW w:w="9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3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7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7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7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71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6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75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56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55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r>
      <w:tr>
        <w:tblPrEx>
          <w:tblLayout w:type="fixed"/>
          <w:tblCellMar>
            <w:top w:w="0" w:type="dxa"/>
            <w:left w:w="0" w:type="dxa"/>
            <w:bottom w:w="0" w:type="dxa"/>
            <w:right w:w="0" w:type="dxa"/>
          </w:tblCellMar>
        </w:tblPrEx>
        <w:trPr>
          <w:trHeight w:val="290" w:hRule="atLeast"/>
        </w:trPr>
        <w:tc>
          <w:tcPr>
            <w:tcW w:w="9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Tax cost</w:t>
            </w:r>
          </w:p>
        </w:tc>
        <w:tc>
          <w:tcPr>
            <w:tcW w:w="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3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-15.291</w:t>
            </w:r>
          </w:p>
        </w:tc>
        <w:tc>
          <w:tcPr>
            <w:tcW w:w="8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-17.984</w:t>
            </w:r>
          </w:p>
        </w:tc>
        <w:tc>
          <w:tcPr>
            <w:tcW w:w="7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-21.001</w:t>
            </w:r>
          </w:p>
        </w:tc>
        <w:tc>
          <w:tcPr>
            <w:tcW w:w="7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-24.38</w:t>
            </w:r>
          </w:p>
        </w:tc>
        <w:tc>
          <w:tcPr>
            <w:tcW w:w="7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-28.164</w:t>
            </w:r>
          </w:p>
        </w:tc>
        <w:tc>
          <w:tcPr>
            <w:tcW w:w="71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-32.403</w:t>
            </w:r>
          </w:p>
        </w:tc>
        <w:tc>
          <w:tcPr>
            <w:tcW w:w="6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-37.15</w:t>
            </w:r>
          </w:p>
        </w:tc>
        <w:tc>
          <w:tcPr>
            <w:tcW w:w="75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-42.467</w:t>
            </w:r>
          </w:p>
        </w:tc>
        <w:tc>
          <w:tcPr>
            <w:tcW w:w="56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-48.422</w:t>
            </w:r>
          </w:p>
        </w:tc>
        <w:tc>
          <w:tcPr>
            <w:tcW w:w="55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-55.091</w:t>
            </w:r>
          </w:p>
        </w:tc>
      </w:tr>
      <w:tr>
        <w:tblPrEx>
          <w:tblLayout w:type="fixed"/>
          <w:tblCellMar>
            <w:top w:w="0" w:type="dxa"/>
            <w:left w:w="0" w:type="dxa"/>
            <w:bottom w:w="0" w:type="dxa"/>
            <w:right w:w="0" w:type="dxa"/>
          </w:tblCellMar>
        </w:tblPrEx>
        <w:trPr>
          <w:trHeight w:val="290" w:hRule="atLeast"/>
        </w:trPr>
        <w:tc>
          <w:tcPr>
            <w:tcW w:w="9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Profit:</w:t>
            </w:r>
          </w:p>
        </w:tc>
        <w:tc>
          <w:tcPr>
            <w:tcW w:w="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3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45.872</w:t>
            </w:r>
          </w:p>
        </w:tc>
        <w:tc>
          <w:tcPr>
            <w:tcW w:w="8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53.953</w:t>
            </w:r>
          </w:p>
        </w:tc>
        <w:tc>
          <w:tcPr>
            <w:tcW w:w="78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63.003</w:t>
            </w:r>
          </w:p>
        </w:tc>
        <w:tc>
          <w:tcPr>
            <w:tcW w:w="70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73.14</w:t>
            </w:r>
          </w:p>
        </w:tc>
        <w:tc>
          <w:tcPr>
            <w:tcW w:w="77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84.493</w:t>
            </w:r>
          </w:p>
        </w:tc>
        <w:tc>
          <w:tcPr>
            <w:tcW w:w="71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97.208</w:t>
            </w:r>
          </w:p>
        </w:tc>
        <w:tc>
          <w:tcPr>
            <w:tcW w:w="6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111.45</w:t>
            </w:r>
          </w:p>
        </w:tc>
        <w:tc>
          <w:tcPr>
            <w:tcW w:w="75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127.4</w:t>
            </w:r>
          </w:p>
        </w:tc>
        <w:tc>
          <w:tcPr>
            <w:tcW w:w="56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145.265</w:t>
            </w:r>
          </w:p>
        </w:tc>
        <w:tc>
          <w:tcPr>
            <w:tcW w:w="55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165.274</w:t>
            </w:r>
          </w:p>
        </w:tc>
      </w:tr>
    </w:tbl>
    <w:p>
      <w:pPr>
        <w:rPr>
          <w:rFonts w:ascii="Times New Roman" w:hAnsi="Times New Roman" w:cs="Times New Roman"/>
        </w:rPr>
      </w:pPr>
      <w:r>
        <w:rPr>
          <w:rFonts w:ascii="Times New Roman" w:hAnsi="Times New Roman" w:cs="Times New Roman"/>
        </w:rPr>
        <w:t>Sales = Last Year Sales x (1+Growth rate)</w:t>
      </w:r>
    </w:p>
    <w:p>
      <w:pPr>
        <w:rPr>
          <w:rFonts w:ascii="Times New Roman" w:hAnsi="Times New Roman" w:cs="Times New Roman"/>
        </w:rPr>
      </w:pPr>
      <w:r>
        <w:rPr>
          <w:rFonts w:ascii="Times New Roman" w:hAnsi="Times New Roman" w:cs="Times New Roman"/>
        </w:rPr>
        <w:t>Depreciation = -(Building cost/14 + Machinery/10)</w:t>
      </w:r>
    </w:p>
    <w:p>
      <w:pPr>
        <w:rPr>
          <w:rFonts w:ascii="Times New Roman" w:hAnsi="Times New Roman" w:cs="Times New Roman"/>
        </w:rPr>
      </w:pPr>
      <w:r>
        <w:rPr>
          <w:rFonts w:ascii="Times New Roman" w:hAnsi="Times New Roman" w:cs="Times New Roman"/>
        </w:rPr>
        <w:t>Tax cost = Standard tax rate: 25%</w:t>
      </w:r>
    </w:p>
    <w:p/>
    <w:p/>
    <w:p/>
    <w:p>
      <w:pPr>
        <w:rPr>
          <w:rFonts w:ascii="Times New Roman" w:hAnsi="Times New Roman" w:cs="Times New Roman"/>
          <w:b/>
        </w:rPr>
      </w:pPr>
      <w:r>
        <w:rPr>
          <w:rFonts w:ascii="Times New Roman" w:hAnsi="Times New Roman" w:cs="Times New Roman"/>
          <w:b/>
        </w:rPr>
        <w:t>4.</w:t>
      </w:r>
      <w:r>
        <w:rPr>
          <w:rFonts w:hint="eastAsia" w:ascii="Times New Roman" w:hAnsi="Times New Roman" w:cs="Times New Roman"/>
          <w:b/>
          <w:lang w:val="en-US" w:eastAsia="zh-TW"/>
        </w:rPr>
        <w:t>5</w:t>
      </w:r>
      <w:r>
        <w:rPr>
          <w:rFonts w:ascii="Times New Roman" w:hAnsi="Times New Roman" w:cs="Times New Roman"/>
          <w:b/>
        </w:rPr>
        <w:t xml:space="preserve"> </w:t>
      </w:r>
      <w:r>
        <w:rPr>
          <w:rFonts w:ascii="Times New Roman" w:hAnsi="Times New Roman" w:cs="Times New Roman"/>
          <w:b/>
        </w:rPr>
        <w:tab/>
      </w:r>
      <w:r>
        <w:rPr>
          <w:rFonts w:ascii="Times New Roman" w:hAnsi="Times New Roman" w:cs="Times New Roman"/>
          <w:b/>
        </w:rPr>
        <w:t>Cashflow calculation</w:t>
      </w:r>
    </w:p>
    <w:p>
      <w:pPr>
        <w:rPr>
          <w:rFonts w:ascii="Times New Roman" w:hAnsi="Times New Roman" w:cs="Times New Roman"/>
          <w:b/>
        </w:rPr>
      </w:pPr>
      <w:r>
        <w:rPr>
          <w:rFonts w:ascii="Times New Roman" w:hAnsi="Times New Roman" w:cs="Times New Roman"/>
          <w:b/>
        </w:rPr>
        <w:t>Table 12: Cashflow calculation of investment project (Appendix 2)</w:t>
      </w:r>
    </w:p>
    <w:tbl>
      <w:tblPr>
        <w:tblStyle w:val="10"/>
        <w:tblW w:w="9380" w:type="dxa"/>
        <w:tblInd w:w="0" w:type="dxa"/>
        <w:tblLayout w:type="fixed"/>
        <w:tblCellMar>
          <w:top w:w="0" w:type="dxa"/>
          <w:left w:w="0" w:type="dxa"/>
          <w:bottom w:w="0" w:type="dxa"/>
          <w:right w:w="0" w:type="dxa"/>
        </w:tblCellMar>
      </w:tblPr>
      <w:tblGrid>
        <w:gridCol w:w="1536"/>
        <w:gridCol w:w="504"/>
        <w:gridCol w:w="803"/>
        <w:gridCol w:w="774"/>
        <w:gridCol w:w="755"/>
        <w:gridCol w:w="678"/>
        <w:gridCol w:w="745"/>
        <w:gridCol w:w="687"/>
        <w:gridCol w:w="668"/>
        <w:gridCol w:w="726"/>
        <w:gridCol w:w="542"/>
        <w:gridCol w:w="494"/>
        <w:gridCol w:w="468"/>
      </w:tblGrid>
      <w:tr>
        <w:tblPrEx>
          <w:tblLayout w:type="fixed"/>
          <w:tblCellMar>
            <w:top w:w="0" w:type="dxa"/>
            <w:left w:w="0" w:type="dxa"/>
            <w:bottom w:w="0" w:type="dxa"/>
            <w:right w:w="0" w:type="dxa"/>
          </w:tblCellMar>
        </w:tblPrEx>
        <w:trPr>
          <w:trHeight w:val="290" w:hRule="atLeast"/>
        </w:trPr>
        <w:tc>
          <w:tcPr>
            <w:tcW w:w="153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Items (Unit: 1 million RMB)</w:t>
            </w:r>
          </w:p>
        </w:tc>
        <w:tc>
          <w:tcPr>
            <w:tcW w:w="5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0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Initial cost</w:t>
            </w:r>
          </w:p>
        </w:tc>
        <w:tc>
          <w:tcPr>
            <w:tcW w:w="77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1Yr</w:t>
            </w:r>
          </w:p>
        </w:tc>
        <w:tc>
          <w:tcPr>
            <w:tcW w:w="7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2Yr</w:t>
            </w:r>
          </w:p>
        </w:tc>
        <w:tc>
          <w:tcPr>
            <w:tcW w:w="67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3Yr</w:t>
            </w:r>
          </w:p>
        </w:tc>
        <w:tc>
          <w:tcPr>
            <w:tcW w:w="74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4Yr</w:t>
            </w:r>
          </w:p>
        </w:tc>
        <w:tc>
          <w:tcPr>
            <w:tcW w:w="6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5Yr</w:t>
            </w:r>
          </w:p>
        </w:tc>
        <w:tc>
          <w:tcPr>
            <w:tcW w:w="6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6Yr</w:t>
            </w:r>
          </w:p>
        </w:tc>
        <w:tc>
          <w:tcPr>
            <w:tcW w:w="72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7Yr</w:t>
            </w:r>
          </w:p>
        </w:tc>
        <w:tc>
          <w:tcPr>
            <w:tcW w:w="5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8Yr</w:t>
            </w:r>
          </w:p>
        </w:tc>
        <w:tc>
          <w:tcPr>
            <w:tcW w:w="49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9Yr</w:t>
            </w:r>
          </w:p>
        </w:tc>
        <w:tc>
          <w:tcPr>
            <w:tcW w:w="4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10Yr</w:t>
            </w:r>
          </w:p>
        </w:tc>
      </w:tr>
      <w:tr>
        <w:tblPrEx>
          <w:tblLayout w:type="fixed"/>
          <w:tblCellMar>
            <w:top w:w="0" w:type="dxa"/>
            <w:left w:w="0" w:type="dxa"/>
            <w:bottom w:w="0" w:type="dxa"/>
            <w:right w:w="0" w:type="dxa"/>
          </w:tblCellMar>
        </w:tblPrEx>
        <w:trPr>
          <w:trHeight w:val="290" w:hRule="atLeast"/>
        </w:trPr>
        <w:tc>
          <w:tcPr>
            <w:tcW w:w="153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EBITDA</w:t>
            </w:r>
          </w:p>
        </w:tc>
        <w:tc>
          <w:tcPr>
            <w:tcW w:w="5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0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77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89.788</w:t>
            </w:r>
          </w:p>
        </w:tc>
        <w:tc>
          <w:tcPr>
            <w:tcW w:w="7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100.562</w:t>
            </w:r>
          </w:p>
        </w:tc>
        <w:tc>
          <w:tcPr>
            <w:tcW w:w="67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112.629</w:t>
            </w:r>
          </w:p>
        </w:tc>
        <w:tc>
          <w:tcPr>
            <w:tcW w:w="74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126.145</w:t>
            </w:r>
          </w:p>
        </w:tc>
        <w:tc>
          <w:tcPr>
            <w:tcW w:w="6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141.282</w:t>
            </w:r>
          </w:p>
        </w:tc>
        <w:tc>
          <w:tcPr>
            <w:tcW w:w="6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158.236</w:t>
            </w:r>
          </w:p>
        </w:tc>
        <w:tc>
          <w:tcPr>
            <w:tcW w:w="72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177.225</w:t>
            </w:r>
          </w:p>
        </w:tc>
        <w:tc>
          <w:tcPr>
            <w:tcW w:w="5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198.492</w:t>
            </w:r>
          </w:p>
        </w:tc>
        <w:tc>
          <w:tcPr>
            <w:tcW w:w="49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222.311</w:t>
            </w:r>
          </w:p>
        </w:tc>
        <w:tc>
          <w:tcPr>
            <w:tcW w:w="4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248.988</w:t>
            </w:r>
          </w:p>
        </w:tc>
      </w:tr>
      <w:tr>
        <w:tblPrEx>
          <w:tblLayout w:type="fixed"/>
          <w:tblCellMar>
            <w:top w:w="0" w:type="dxa"/>
            <w:left w:w="0" w:type="dxa"/>
            <w:bottom w:w="0" w:type="dxa"/>
            <w:right w:w="0" w:type="dxa"/>
          </w:tblCellMar>
        </w:tblPrEx>
        <w:trPr>
          <w:trHeight w:val="290" w:hRule="atLeast"/>
        </w:trPr>
        <w:tc>
          <w:tcPr>
            <w:tcW w:w="153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Working Capital Movement</w:t>
            </w:r>
          </w:p>
        </w:tc>
        <w:tc>
          <w:tcPr>
            <w:tcW w:w="5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0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77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-21.617</w:t>
            </w:r>
          </w:p>
        </w:tc>
        <w:tc>
          <w:tcPr>
            <w:tcW w:w="7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-24.211</w:t>
            </w:r>
          </w:p>
        </w:tc>
        <w:tc>
          <w:tcPr>
            <w:tcW w:w="67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-27.116</w:t>
            </w:r>
          </w:p>
        </w:tc>
        <w:tc>
          <w:tcPr>
            <w:tcW w:w="74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-30.37</w:t>
            </w:r>
          </w:p>
        </w:tc>
        <w:tc>
          <w:tcPr>
            <w:tcW w:w="6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-34.015</w:t>
            </w:r>
          </w:p>
        </w:tc>
        <w:tc>
          <w:tcPr>
            <w:tcW w:w="6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-38.097</w:t>
            </w:r>
          </w:p>
        </w:tc>
        <w:tc>
          <w:tcPr>
            <w:tcW w:w="72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-42.668</w:t>
            </w:r>
          </w:p>
        </w:tc>
        <w:tc>
          <w:tcPr>
            <w:tcW w:w="5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-47.788</w:t>
            </w:r>
          </w:p>
        </w:tc>
        <w:tc>
          <w:tcPr>
            <w:tcW w:w="49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-53.523</w:t>
            </w:r>
          </w:p>
        </w:tc>
        <w:tc>
          <w:tcPr>
            <w:tcW w:w="4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-59.946</w:t>
            </w:r>
          </w:p>
        </w:tc>
      </w:tr>
      <w:tr>
        <w:tblPrEx>
          <w:tblLayout w:type="fixed"/>
          <w:tblCellMar>
            <w:top w:w="0" w:type="dxa"/>
            <w:left w:w="0" w:type="dxa"/>
            <w:bottom w:w="0" w:type="dxa"/>
            <w:right w:w="0" w:type="dxa"/>
          </w:tblCellMar>
        </w:tblPrEx>
        <w:trPr>
          <w:trHeight w:val="290" w:hRule="atLeast"/>
        </w:trPr>
        <w:tc>
          <w:tcPr>
            <w:tcW w:w="153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Expenditure</w:t>
            </w:r>
          </w:p>
        </w:tc>
        <w:tc>
          <w:tcPr>
            <w:tcW w:w="5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0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77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-2.166</w:t>
            </w:r>
          </w:p>
        </w:tc>
        <w:tc>
          <w:tcPr>
            <w:tcW w:w="7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-2.166</w:t>
            </w:r>
          </w:p>
        </w:tc>
        <w:tc>
          <w:tcPr>
            <w:tcW w:w="67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-2.166</w:t>
            </w:r>
          </w:p>
        </w:tc>
        <w:tc>
          <w:tcPr>
            <w:tcW w:w="74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-2.166</w:t>
            </w:r>
          </w:p>
        </w:tc>
        <w:tc>
          <w:tcPr>
            <w:tcW w:w="6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-2.166</w:t>
            </w:r>
          </w:p>
        </w:tc>
        <w:tc>
          <w:tcPr>
            <w:tcW w:w="6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-2.166</w:t>
            </w:r>
          </w:p>
        </w:tc>
        <w:tc>
          <w:tcPr>
            <w:tcW w:w="72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-2.166</w:t>
            </w:r>
          </w:p>
        </w:tc>
        <w:tc>
          <w:tcPr>
            <w:tcW w:w="5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-2.166</w:t>
            </w:r>
          </w:p>
        </w:tc>
        <w:tc>
          <w:tcPr>
            <w:tcW w:w="49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-2.166</w:t>
            </w:r>
          </w:p>
        </w:tc>
        <w:tc>
          <w:tcPr>
            <w:tcW w:w="4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-2.166</w:t>
            </w:r>
          </w:p>
        </w:tc>
      </w:tr>
      <w:tr>
        <w:tblPrEx>
          <w:tblLayout w:type="fixed"/>
          <w:tblCellMar>
            <w:top w:w="0" w:type="dxa"/>
            <w:left w:w="0" w:type="dxa"/>
            <w:bottom w:w="0" w:type="dxa"/>
            <w:right w:w="0" w:type="dxa"/>
          </w:tblCellMar>
        </w:tblPrEx>
        <w:trPr>
          <w:trHeight w:val="290" w:hRule="atLeast"/>
        </w:trPr>
        <w:tc>
          <w:tcPr>
            <w:tcW w:w="153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Tax expense</w:t>
            </w:r>
          </w:p>
        </w:tc>
        <w:tc>
          <w:tcPr>
            <w:tcW w:w="5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0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77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-15.291</w:t>
            </w:r>
          </w:p>
        </w:tc>
        <w:tc>
          <w:tcPr>
            <w:tcW w:w="7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-17.984</w:t>
            </w:r>
          </w:p>
        </w:tc>
        <w:tc>
          <w:tcPr>
            <w:tcW w:w="67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-21.001</w:t>
            </w:r>
          </w:p>
        </w:tc>
        <w:tc>
          <w:tcPr>
            <w:tcW w:w="74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-24.38</w:t>
            </w:r>
          </w:p>
        </w:tc>
        <w:tc>
          <w:tcPr>
            <w:tcW w:w="6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-28.164</w:t>
            </w:r>
          </w:p>
        </w:tc>
        <w:tc>
          <w:tcPr>
            <w:tcW w:w="6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-32.403</w:t>
            </w:r>
          </w:p>
        </w:tc>
        <w:tc>
          <w:tcPr>
            <w:tcW w:w="72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-37.15</w:t>
            </w:r>
          </w:p>
        </w:tc>
        <w:tc>
          <w:tcPr>
            <w:tcW w:w="5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-42.467</w:t>
            </w:r>
          </w:p>
        </w:tc>
        <w:tc>
          <w:tcPr>
            <w:tcW w:w="49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-48.422</w:t>
            </w:r>
          </w:p>
        </w:tc>
        <w:tc>
          <w:tcPr>
            <w:tcW w:w="4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-55.091</w:t>
            </w:r>
          </w:p>
        </w:tc>
      </w:tr>
      <w:tr>
        <w:tblPrEx>
          <w:tblLayout w:type="fixed"/>
          <w:tblCellMar>
            <w:top w:w="0" w:type="dxa"/>
            <w:left w:w="0" w:type="dxa"/>
            <w:bottom w:w="0" w:type="dxa"/>
            <w:right w:w="0" w:type="dxa"/>
          </w:tblCellMar>
        </w:tblPrEx>
        <w:trPr>
          <w:trHeight w:val="290" w:hRule="atLeast"/>
        </w:trPr>
        <w:tc>
          <w:tcPr>
            <w:tcW w:w="153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Cashflow</w:t>
            </w:r>
          </w:p>
        </w:tc>
        <w:tc>
          <w:tcPr>
            <w:tcW w:w="5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Times New Roman" w:hAnsi="Times New Roman" w:cs="Times New Roman"/>
                <w:color w:val="000000"/>
                <w:sz w:val="14"/>
                <w:szCs w:val="14"/>
              </w:rPr>
            </w:pPr>
          </w:p>
        </w:tc>
        <w:tc>
          <w:tcPr>
            <w:tcW w:w="80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-314.1065</w:t>
            </w:r>
          </w:p>
        </w:tc>
        <w:tc>
          <w:tcPr>
            <w:tcW w:w="77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50.714</w:t>
            </w:r>
          </w:p>
        </w:tc>
        <w:tc>
          <w:tcPr>
            <w:tcW w:w="7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56.201</w:t>
            </w:r>
          </w:p>
        </w:tc>
        <w:tc>
          <w:tcPr>
            <w:tcW w:w="67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62.346</w:t>
            </w:r>
          </w:p>
        </w:tc>
        <w:tc>
          <w:tcPr>
            <w:tcW w:w="74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69.229</w:t>
            </w:r>
          </w:p>
        </w:tc>
        <w:tc>
          <w:tcPr>
            <w:tcW w:w="6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76.937</w:t>
            </w:r>
          </w:p>
        </w:tc>
        <w:tc>
          <w:tcPr>
            <w:tcW w:w="6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85.57</w:t>
            </w:r>
          </w:p>
        </w:tc>
        <w:tc>
          <w:tcPr>
            <w:tcW w:w="72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95.241</w:t>
            </w:r>
          </w:p>
        </w:tc>
        <w:tc>
          <w:tcPr>
            <w:tcW w:w="5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106.071</w:t>
            </w:r>
          </w:p>
        </w:tc>
        <w:tc>
          <w:tcPr>
            <w:tcW w:w="49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118.2</w:t>
            </w:r>
          </w:p>
        </w:tc>
        <w:tc>
          <w:tcPr>
            <w:tcW w:w="46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sz w:val="14"/>
                <w:szCs w:val="14"/>
              </w:rPr>
            </w:pPr>
            <w:r>
              <w:rPr>
                <w:rFonts w:ascii="Times New Roman" w:hAnsi="Times New Roman" w:eastAsia="SimSun" w:cs="Times New Roman"/>
                <w:color w:val="000000"/>
                <w:sz w:val="14"/>
                <w:szCs w:val="14"/>
                <w:lang w:eastAsia="zh-CN" w:bidi="ar"/>
              </w:rPr>
              <w:t>131.785</w:t>
            </w:r>
          </w:p>
        </w:tc>
      </w:tr>
    </w:tbl>
    <w:p>
      <w:pPr>
        <w:rPr>
          <w:rFonts w:ascii="Times New Roman" w:hAnsi="Times New Roman" w:cs="Times New Roman"/>
        </w:rPr>
      </w:pPr>
    </w:p>
    <w:p>
      <w:pPr>
        <w:rPr>
          <w:rFonts w:ascii="Times New Roman" w:hAnsi="Times New Roman" w:cs="Times New Roman"/>
        </w:rPr>
      </w:pPr>
      <w:r>
        <w:rPr>
          <w:rFonts w:ascii="Times New Roman" w:hAnsi="Times New Roman" w:cs="Times New Roman"/>
        </w:rPr>
        <w:t>Working Capital Movement for the first year calculation =annual sales x operating cashflow period/365=1005.1408 x 7.85/365 =21.617 million</w:t>
      </w:r>
    </w:p>
    <w:p>
      <w:pPr>
        <w:rPr>
          <w:rFonts w:ascii="Times New Roman" w:hAnsi="Times New Roman" w:cs="Times New Roman"/>
        </w:rPr>
      </w:pPr>
      <w:r>
        <w:rPr>
          <w:rFonts w:ascii="Times New Roman" w:hAnsi="Times New Roman" w:cs="Times New Roman"/>
        </w:rPr>
        <w:t>Working Capital for the rest of the years calculation = the previous year working capital x (1+ Sales growth rate)</w:t>
      </w:r>
    </w:p>
    <w:p>
      <w:pPr>
        <w:rPr>
          <w:rFonts w:ascii="Times New Roman" w:hAnsi="Times New Roman" w:cs="Times New Roman"/>
        </w:rPr>
      </w:pPr>
      <w:r>
        <w:rPr>
          <w:rFonts w:ascii="Times New Roman" w:hAnsi="Times New Roman" w:cs="Times New Roman"/>
        </w:rPr>
        <w:t>assumption for expenditure to pay for the annual machinery cost, about 21.65915 million/10 year = 2.166 million/year</w:t>
      </w:r>
    </w:p>
    <w:p>
      <w:pPr>
        <w:rPr>
          <w:rFonts w:ascii="Times New Roman" w:hAnsi="Times New Roman" w:cs="Times New Roman"/>
        </w:rPr>
      </w:pPr>
    </w:p>
    <w:p>
      <w:pPr>
        <w:rPr>
          <w:rFonts w:ascii="Times New Roman" w:hAnsi="Times New Roman" w:cs="Times New Roman"/>
          <w:b/>
        </w:rPr>
      </w:pPr>
      <w:r>
        <w:rPr>
          <w:rFonts w:ascii="Times New Roman" w:hAnsi="Times New Roman" w:cs="Times New Roman"/>
          <w:b/>
        </w:rPr>
        <w:t>4.</w:t>
      </w:r>
      <w:r>
        <w:rPr>
          <w:rFonts w:hint="eastAsia" w:ascii="Times New Roman" w:hAnsi="Times New Roman" w:cs="Times New Roman"/>
          <w:b/>
          <w:lang w:val="en-US" w:eastAsia="zh-TW"/>
        </w:rPr>
        <w:t>6</w:t>
      </w:r>
      <w:r>
        <w:rPr>
          <w:rFonts w:ascii="Times New Roman" w:hAnsi="Times New Roman" w:cs="Times New Roman"/>
          <w:b/>
        </w:rPr>
        <w:t xml:space="preserve"> </w:t>
      </w:r>
      <w:r>
        <w:rPr>
          <w:rFonts w:ascii="Times New Roman" w:hAnsi="Times New Roman" w:cs="Times New Roman"/>
          <w:b/>
        </w:rPr>
        <w:tab/>
      </w:r>
      <w:r>
        <w:rPr>
          <w:rFonts w:ascii="Times New Roman" w:hAnsi="Times New Roman" w:cs="Times New Roman"/>
          <w:b/>
        </w:rPr>
        <w:t>ARR, NPV and IRR calculation</w:t>
      </w:r>
    </w:p>
    <w:p>
      <w:pPr>
        <w:rPr>
          <w:rFonts w:ascii="Times New Roman" w:hAnsi="Times New Roman" w:cs="Times New Roman"/>
          <w:b/>
        </w:rPr>
      </w:pPr>
    </w:p>
    <w:p>
      <w:pPr>
        <w:rPr>
          <w:rFonts w:ascii="Times New Roman" w:hAnsi="Times New Roman" w:cs="Times New Roman"/>
          <w:b/>
        </w:rPr>
      </w:pPr>
      <w:r>
        <w:rPr>
          <w:rFonts w:ascii="Times New Roman" w:hAnsi="Times New Roman" w:cs="Times New Roman"/>
          <w:b/>
        </w:rPr>
        <w:t>Table 13: ARR calculation of investment project (Appendix 2)</w:t>
      </w:r>
    </w:p>
    <w:tbl>
      <w:tblPr>
        <w:tblStyle w:val="10"/>
        <w:tblW w:w="4591" w:type="dxa"/>
        <w:tblInd w:w="0" w:type="dxa"/>
        <w:tblLayout w:type="fixed"/>
        <w:tblCellMar>
          <w:top w:w="0" w:type="dxa"/>
          <w:left w:w="0" w:type="dxa"/>
          <w:bottom w:w="0" w:type="dxa"/>
          <w:right w:w="0" w:type="dxa"/>
        </w:tblCellMar>
      </w:tblPr>
      <w:tblGrid>
        <w:gridCol w:w="2293"/>
        <w:gridCol w:w="520"/>
        <w:gridCol w:w="830"/>
        <w:gridCol w:w="948"/>
      </w:tblGrid>
      <w:tr>
        <w:tblPrEx>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ARR</w:t>
            </w:r>
          </w:p>
        </w:tc>
        <w:tc>
          <w:tcPr>
            <w:tcW w:w="520"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c>
          <w:tcPr>
            <w:tcW w:w="830"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c>
          <w:tcPr>
            <w:tcW w:w="94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r>
      <w:tr>
        <w:tblPrEx>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Total income for 10 years</w:t>
            </w:r>
          </w:p>
        </w:tc>
        <w:tc>
          <w:tcPr>
            <w:tcW w:w="520"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c>
          <w:tcPr>
            <w:tcW w:w="830"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c>
          <w:tcPr>
            <w:tcW w:w="948" w:type="dxa"/>
            <w:tcBorders>
              <w:top w:val="nil"/>
              <w:left w:val="nil"/>
              <w:bottom w:val="nil"/>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rPr>
            </w:pPr>
            <w:r>
              <w:rPr>
                <w:rFonts w:ascii="Calibri" w:hAnsi="Calibri" w:eastAsia="SimSun" w:cs="Calibri"/>
                <w:color w:val="000000"/>
                <w:lang w:eastAsia="zh-CN" w:bidi="ar"/>
              </w:rPr>
              <w:t>1575.658</w:t>
            </w:r>
          </w:p>
        </w:tc>
      </w:tr>
      <w:tr>
        <w:tblPrEx>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 xml:space="preserve">Average ARR </w:t>
            </w:r>
          </w:p>
        </w:tc>
        <w:tc>
          <w:tcPr>
            <w:tcW w:w="520"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c>
          <w:tcPr>
            <w:tcW w:w="830"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c>
          <w:tcPr>
            <w:tcW w:w="948" w:type="dxa"/>
            <w:tcBorders>
              <w:top w:val="nil"/>
              <w:left w:val="nil"/>
              <w:bottom w:val="nil"/>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rPr>
            </w:pPr>
            <w:r>
              <w:rPr>
                <w:rFonts w:ascii="Calibri" w:hAnsi="Calibri" w:eastAsia="SimSun" w:cs="Calibri"/>
                <w:color w:val="000000"/>
                <w:lang w:eastAsia="zh-CN" w:bidi="ar"/>
              </w:rPr>
              <w:t>157.566</w:t>
            </w:r>
          </w:p>
        </w:tc>
      </w:tr>
      <w:tr>
        <w:tblPrEx>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 xml:space="preserve">Initial cost </w:t>
            </w:r>
          </w:p>
        </w:tc>
        <w:tc>
          <w:tcPr>
            <w:tcW w:w="520"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c>
          <w:tcPr>
            <w:tcW w:w="830"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c>
          <w:tcPr>
            <w:tcW w:w="948" w:type="dxa"/>
            <w:tcBorders>
              <w:top w:val="nil"/>
              <w:left w:val="nil"/>
              <w:bottom w:val="nil"/>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rPr>
            </w:pPr>
            <w:r>
              <w:rPr>
                <w:rFonts w:ascii="Calibri" w:hAnsi="Calibri" w:eastAsia="SimSun" w:cs="Calibri"/>
                <w:color w:val="000000"/>
                <w:lang w:eastAsia="zh-CN" w:bidi="ar"/>
              </w:rPr>
              <w:t>314.1065</w:t>
            </w:r>
          </w:p>
        </w:tc>
      </w:tr>
      <w:tr>
        <w:tblPrEx>
          <w:tblLayout w:type="fixed"/>
          <w:tblCellMar>
            <w:top w:w="0" w:type="dxa"/>
            <w:left w:w="0" w:type="dxa"/>
            <w:bottom w:w="0" w:type="dxa"/>
            <w:right w:w="0" w:type="dxa"/>
          </w:tblCellMar>
        </w:tblPrEx>
        <w:trPr>
          <w:trHeight w:val="290" w:hRule="atLeast"/>
        </w:trPr>
        <w:tc>
          <w:tcPr>
            <w:tcW w:w="2293"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 xml:space="preserve">ARR: </w:t>
            </w:r>
          </w:p>
        </w:tc>
        <w:tc>
          <w:tcPr>
            <w:tcW w:w="520"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c>
          <w:tcPr>
            <w:tcW w:w="830"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rPr>
            </w:pPr>
          </w:p>
        </w:tc>
        <w:tc>
          <w:tcPr>
            <w:tcW w:w="948"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50.163%</w:t>
            </w:r>
          </w:p>
        </w:tc>
      </w:tr>
    </w:tbl>
    <w:p/>
    <w:p/>
    <w:p/>
    <w:p>
      <w:pPr>
        <w:rPr>
          <w:b/>
        </w:rPr>
      </w:pPr>
      <w:r>
        <w:rPr>
          <w:rFonts w:hint="eastAsia"/>
          <w:b/>
        </w:rPr>
        <w:t>Table 14: NPV and IRR calculation of investment project</w:t>
      </w:r>
      <w:r>
        <w:rPr>
          <w:b/>
        </w:rPr>
        <w:t xml:space="preserve"> (Appendix 2)</w:t>
      </w:r>
    </w:p>
    <w:p>
      <w:pPr>
        <w:rPr>
          <w:rFonts w:ascii="Times New Roman" w:hAnsi="Times New Roman" w:cs="Times New Roman"/>
        </w:rPr>
      </w:pPr>
      <w:r>
        <w:rPr>
          <w:rFonts w:ascii="Times New Roman" w:hAnsi="Times New Roman" w:cs="Times New Roman"/>
        </w:rPr>
        <w:t>ROA of Mengniu (year 2018)= 2.222% (Appendix 1)</w:t>
      </w:r>
    </w:p>
    <w:p>
      <w:pPr>
        <w:rPr>
          <w:rFonts w:ascii="Times New Roman" w:hAnsi="Times New Roman" w:cs="Times New Roman"/>
          <w:vertAlign w:val="superscript"/>
        </w:rPr>
      </w:pPr>
      <w:r>
        <w:rPr>
          <w:rFonts w:ascii="Times New Roman" w:hAnsi="Times New Roman" w:cs="Times New Roman"/>
        </w:rPr>
        <w:t>T year =cashflow at t th year/(1r)</w:t>
      </w:r>
      <w:r>
        <w:rPr>
          <w:rFonts w:ascii="Times New Roman" w:hAnsi="Times New Roman" w:cs="Times New Roman"/>
          <w:vertAlign w:val="superscript"/>
        </w:rPr>
        <w:t>t</w:t>
      </w:r>
    </w:p>
    <w:tbl>
      <w:tblPr>
        <w:tblStyle w:val="10"/>
        <w:tblW w:w="8937" w:type="dxa"/>
        <w:tblInd w:w="10" w:type="dxa"/>
        <w:tblLayout w:type="fixed"/>
        <w:tblCellMar>
          <w:top w:w="0" w:type="dxa"/>
          <w:left w:w="0" w:type="dxa"/>
          <w:bottom w:w="0" w:type="dxa"/>
          <w:right w:w="0" w:type="dxa"/>
        </w:tblCellMar>
      </w:tblPr>
      <w:tblGrid>
        <w:gridCol w:w="5231"/>
        <w:gridCol w:w="889"/>
        <w:gridCol w:w="1530"/>
        <w:gridCol w:w="1287"/>
      </w:tblGrid>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Year</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eastAsia="PMingLiU" w:cs="Times New Roman"/>
                <w:color w:val="000000"/>
              </w:rPr>
            </w:pPr>
            <w:r>
              <w:rPr>
                <w:rFonts w:ascii="Times New Roman" w:hAnsi="Times New Roman" w:eastAsia="SimSun" w:cs="Times New Roman"/>
                <w:color w:val="000000"/>
                <w:lang w:eastAsia="zh-CN" w:bidi="ar"/>
              </w:rPr>
              <w:t xml:space="preserve">Cashflow   </w:t>
            </w:r>
            <w:r>
              <w:rPr>
                <w:rFonts w:ascii="Times New Roman" w:hAnsi="Times New Roman" w:eastAsia="PMingLiU" w:cs="Times New Roman"/>
                <w:color w:val="000000"/>
                <w:lang w:bidi="ar"/>
              </w:rPr>
              <w:t>(million)</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eastAsia="PMingLiU" w:cs="Times New Roman"/>
                <w:color w:val="000000"/>
              </w:rPr>
            </w:pPr>
            <w:r>
              <w:rPr>
                <w:rFonts w:ascii="Times New Roman" w:hAnsi="Times New Roman" w:eastAsia="SimSun" w:cs="Times New Roman"/>
                <w:color w:val="000000"/>
                <w:lang w:eastAsia="zh-CN" w:bidi="ar"/>
              </w:rPr>
              <w:t>Present value</w:t>
            </w:r>
            <w:r>
              <w:rPr>
                <w:rFonts w:ascii="Times New Roman" w:hAnsi="Times New Roman" w:eastAsia="PMingLiU" w:cs="Times New Roman"/>
                <w:color w:val="000000"/>
                <w:lang w:bidi="ar"/>
              </w:rPr>
              <w:t>(million)</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Initial cost</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-314.1065</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1st</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50.714</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$49.61</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2nd</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56.201</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53.786</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3rd</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62.346</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58.372</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4th</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69.229</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63.408</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5th</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76.937</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68.938</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6th</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85.57</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75.008</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7th</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95.241</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81.672</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8th</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106.071</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88.984</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9th</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118.2</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97.005</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10th</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131.785</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105.805</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742.591</w:t>
            </w: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eastAsia="PMingLiU" w:cs="Times New Roman"/>
                <w:color w:val="000000"/>
              </w:rPr>
            </w:pPr>
            <w:r>
              <w:rPr>
                <w:rFonts w:ascii="Times New Roman" w:hAnsi="Times New Roman" w:eastAsia="SimSun" w:cs="Times New Roman"/>
                <w:color w:val="000000"/>
                <w:lang w:eastAsia="zh-CN" w:bidi="ar"/>
              </w:rPr>
              <w:t>NPV= all cashflow for 10 years- initial cost</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eastAsia="PMingLiU" w:cs="Times New Roman"/>
                <w:color w:val="000000"/>
              </w:rPr>
            </w:pPr>
            <w:r>
              <w:rPr>
                <w:rFonts w:ascii="Times New Roman" w:hAnsi="Times New Roman" w:eastAsia="PMingLiU" w:cs="Times New Roman"/>
                <w:color w:val="000000"/>
              </w:rPr>
              <w:t>428.485</w:t>
            </w: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r>
      <w:tr>
        <w:tblPrEx>
          <w:tblLayout w:type="fixed"/>
          <w:tblCellMar>
            <w:top w:w="0" w:type="dxa"/>
            <w:left w:w="0" w:type="dxa"/>
            <w:bottom w:w="0" w:type="dxa"/>
            <w:right w:w="0" w:type="dxa"/>
          </w:tblCellMar>
        </w:tblPrEx>
        <w:trPr>
          <w:trHeight w:val="290" w:hRule="atLeast"/>
        </w:trPr>
        <w:tc>
          <w:tcPr>
            <w:tcW w:w="5231"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Internal rate of return</w:t>
            </w:r>
          </w:p>
        </w:tc>
        <w:tc>
          <w:tcPr>
            <w:tcW w:w="889"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530" w:type="dxa"/>
            <w:tcBorders>
              <w:top w:val="nil"/>
              <w:left w:val="nil"/>
              <w:bottom w:val="nil"/>
              <w:right w:val="nil"/>
            </w:tcBorders>
            <w:shd w:val="clear" w:color="auto" w:fill="auto"/>
            <w:noWrap/>
            <w:tcMar>
              <w:top w:w="10" w:type="dxa"/>
              <w:left w:w="10" w:type="dxa"/>
              <w:right w:w="10" w:type="dxa"/>
            </w:tcMar>
            <w:vAlign w:val="center"/>
          </w:tcPr>
          <w:p>
            <w:pPr>
              <w:jc w:val="center"/>
              <w:rPr>
                <w:rFonts w:ascii="Times New Roman" w:hAnsi="Times New Roman" w:cs="Times New Roman"/>
                <w:color w:val="000000"/>
              </w:rPr>
            </w:pPr>
          </w:p>
        </w:tc>
        <w:tc>
          <w:tcPr>
            <w:tcW w:w="1287" w:type="dxa"/>
            <w:tcBorders>
              <w:top w:val="nil"/>
              <w:left w:val="nil"/>
              <w:bottom w:val="nil"/>
              <w:right w:val="nil"/>
            </w:tcBorders>
            <w:shd w:val="clear" w:color="auto" w:fill="auto"/>
            <w:noWrap/>
            <w:tcMar>
              <w:top w:w="10" w:type="dxa"/>
              <w:left w:w="10" w:type="dxa"/>
              <w:right w:w="10" w:type="dxa"/>
            </w:tcMar>
            <w:vAlign w:val="center"/>
          </w:tcPr>
          <w:p>
            <w:pPr>
              <w:jc w:val="cente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19%</w:t>
            </w:r>
          </w:p>
        </w:tc>
      </w:tr>
    </w:tbl>
    <w:p>
      <w:pPr>
        <w:rPr>
          <w:rFonts w:ascii="Times New Roman" w:hAnsi="Times New Roman" w:cs="Times New Roman"/>
          <w:sz w:val="24"/>
          <w:szCs w:val="24"/>
          <w:vertAlign w:val="superscript"/>
        </w:rPr>
      </w:pPr>
    </w:p>
    <w:p>
      <w:pPr>
        <w:rPr>
          <w:rFonts w:ascii="Times New Roman" w:hAnsi="Times New Roman" w:cs="Times New Roman"/>
          <w:sz w:val="24"/>
          <w:szCs w:val="24"/>
          <w:vertAlign w:val="superscript"/>
        </w:rPr>
      </w:pPr>
    </w:p>
    <w:p>
      <w:pPr>
        <w:rPr>
          <w:rFonts w:ascii="Times New Roman" w:hAnsi="Times New Roman" w:cs="Times New Roman"/>
          <w:b/>
        </w:rPr>
      </w:pPr>
    </w:p>
    <w:p>
      <w:pPr>
        <w:rPr>
          <w:rFonts w:ascii="Times New Roman" w:hAnsi="Times New Roman" w:cs="Times New Roman"/>
          <w:b/>
        </w:rPr>
      </w:pPr>
    </w:p>
    <w:p>
      <w:pPr>
        <w:rPr>
          <w:rFonts w:ascii="Times New Roman" w:hAnsi="Times New Roman" w:cs="Times New Roman"/>
          <w:b/>
        </w:rPr>
      </w:pPr>
    </w:p>
    <w:p>
      <w:pPr>
        <w:rPr>
          <w:rFonts w:ascii="Times New Roman" w:hAnsi="Times New Roman" w:cs="Times New Roman"/>
          <w:b/>
        </w:rPr>
      </w:pPr>
    </w:p>
    <w:p>
      <w:pPr>
        <w:rPr>
          <w:rFonts w:ascii="Times New Roman" w:hAnsi="Times New Roman" w:cs="Times New Roman"/>
          <w:b/>
        </w:rPr>
      </w:pPr>
      <w:r>
        <w:rPr>
          <w:rFonts w:ascii="Times New Roman" w:hAnsi="Times New Roman" w:cs="Times New Roman"/>
          <w:b/>
        </w:rPr>
        <w:t>4.</w:t>
      </w:r>
      <w:r>
        <w:rPr>
          <w:rFonts w:hint="eastAsia" w:ascii="Times New Roman" w:hAnsi="Times New Roman" w:cs="Times New Roman"/>
          <w:b/>
          <w:lang w:val="en-US" w:eastAsia="zh-TW"/>
        </w:rPr>
        <w:t>7</w:t>
      </w:r>
      <w:r>
        <w:rPr>
          <w:rFonts w:ascii="Times New Roman" w:hAnsi="Times New Roman" w:cs="Times New Roman"/>
          <w:b/>
        </w:rPr>
        <w:t xml:space="preserve"> </w:t>
      </w:r>
      <w:r>
        <w:rPr>
          <w:rFonts w:ascii="Times New Roman" w:hAnsi="Times New Roman" w:cs="Times New Roman"/>
          <w:b/>
        </w:rPr>
        <w:tab/>
      </w:r>
      <w:r>
        <w:rPr>
          <w:rFonts w:hint="eastAsia" w:ascii="Times New Roman" w:hAnsi="Times New Roman" w:cs="Times New Roman"/>
          <w:b/>
          <w:lang w:val="en-US" w:eastAsia="zh-TW"/>
        </w:rPr>
        <w:t>Payback period</w:t>
      </w:r>
      <w:r>
        <w:rPr>
          <w:rFonts w:ascii="Times New Roman" w:hAnsi="Times New Roman" w:cs="Times New Roman"/>
          <w:b/>
        </w:rPr>
        <w:t xml:space="preserve"> calculation</w:t>
      </w:r>
    </w:p>
    <w:p>
      <w:pPr>
        <w:rPr>
          <w:rFonts w:ascii="Times New Roman" w:hAnsi="Times New Roman" w:cs="Times New Roman"/>
          <w:sz w:val="24"/>
          <w:szCs w:val="24"/>
          <w:vertAlign w:val="superscript"/>
        </w:rPr>
      </w:pPr>
    </w:p>
    <w:p>
      <w:pPr>
        <w:rPr>
          <w:rFonts w:ascii="Times New Roman" w:hAnsi="Times New Roman" w:cs="Times New Roman"/>
          <w:b/>
        </w:rPr>
      </w:pPr>
      <w:r>
        <w:rPr>
          <w:rFonts w:hint="eastAsia" w:ascii="Times New Roman" w:hAnsi="Times New Roman" w:cs="Times New Roman"/>
          <w:b/>
        </w:rPr>
        <w:t>Table 15: Calculation of payback period of investment project</w:t>
      </w:r>
      <w:r>
        <w:rPr>
          <w:rFonts w:ascii="Times New Roman" w:hAnsi="Times New Roman" w:cs="Times New Roman"/>
          <w:b/>
        </w:rPr>
        <w:t xml:space="preserve"> (Appendix 2)</w:t>
      </w:r>
    </w:p>
    <w:p>
      <w:pPr>
        <w:rPr>
          <w:rFonts w:ascii="Times New Roman" w:hAnsi="Times New Roman" w:cs="Times New Roman"/>
        </w:rPr>
      </w:pPr>
      <w:r>
        <w:rPr>
          <w:rFonts w:hint="eastAsia" w:ascii="Times New Roman" w:hAnsi="Times New Roman" w:cs="Times New Roman"/>
          <w:sz w:val="24"/>
          <w:szCs w:val="24"/>
        </w:rPr>
        <w:tab/>
      </w:r>
      <w:r>
        <w:rPr>
          <w:rFonts w:ascii="Times New Roman" w:hAnsi="Times New Roman" w:cs="Times New Roman"/>
        </w:rPr>
        <w:tab/>
      </w:r>
    </w:p>
    <w:p>
      <w:pPr>
        <w:ind w:left="720" w:firstLine="720"/>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 xml:space="preserve">      1 million RMB</w:t>
      </w:r>
    </w:p>
    <w:tbl>
      <w:tblPr>
        <w:tblStyle w:val="10"/>
        <w:tblW w:w="4358" w:type="dxa"/>
        <w:tblInd w:w="0" w:type="dxa"/>
        <w:tblLayout w:type="fixed"/>
        <w:tblCellMar>
          <w:top w:w="0" w:type="dxa"/>
          <w:left w:w="0" w:type="dxa"/>
          <w:bottom w:w="0" w:type="dxa"/>
          <w:right w:w="0" w:type="dxa"/>
        </w:tblCellMar>
      </w:tblPr>
      <w:tblGrid>
        <w:gridCol w:w="1385"/>
        <w:gridCol w:w="520"/>
        <w:gridCol w:w="995"/>
        <w:gridCol w:w="1458"/>
      </w:tblGrid>
      <w:tr>
        <w:tblPrEx>
          <w:tblLayout w:type="fixed"/>
          <w:tblCellMar>
            <w:top w:w="0" w:type="dxa"/>
            <w:left w:w="0" w:type="dxa"/>
            <w:bottom w:w="0" w:type="dxa"/>
            <w:right w:w="0" w:type="dxa"/>
          </w:tblCellMar>
        </w:tblPrEx>
        <w:trPr>
          <w:trHeight w:val="290" w:hRule="atLeast"/>
        </w:trPr>
        <w:tc>
          <w:tcPr>
            <w:tcW w:w="1385"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1-10 years Profit</w:t>
            </w:r>
          </w:p>
        </w:tc>
        <w:tc>
          <w:tcPr>
            <w:tcW w:w="520" w:type="dxa"/>
            <w:tcBorders>
              <w:top w:val="nil"/>
              <w:left w:val="nil"/>
              <w:bottom w:val="nil"/>
              <w:right w:val="nil"/>
            </w:tcBorders>
            <w:shd w:val="clear" w:color="auto" w:fill="auto"/>
            <w:noWrap/>
            <w:tcMar>
              <w:top w:w="10" w:type="dxa"/>
              <w:left w:w="10" w:type="dxa"/>
              <w:right w:w="10" w:type="dxa"/>
            </w:tcMar>
            <w:vAlign w:val="center"/>
          </w:tcPr>
          <w:p>
            <w:pPr>
              <w:rPr>
                <w:rFonts w:ascii="Times New Roman" w:hAnsi="Times New Roman" w:cs="Times New Roman"/>
                <w:color w:val="000000"/>
              </w:rPr>
            </w:pPr>
          </w:p>
        </w:tc>
        <w:tc>
          <w:tcPr>
            <w:tcW w:w="995" w:type="dxa"/>
            <w:tcBorders>
              <w:top w:val="nil"/>
              <w:left w:val="nil"/>
              <w:bottom w:val="nil"/>
              <w:right w:val="nil"/>
            </w:tcBorders>
            <w:shd w:val="clear" w:color="auto" w:fill="auto"/>
            <w:noWrap/>
            <w:tcMar>
              <w:top w:w="10" w:type="dxa"/>
              <w:left w:w="10" w:type="dxa"/>
              <w:right w:w="10" w:type="dxa"/>
            </w:tcMar>
            <w:vAlign w:val="center"/>
          </w:tcPr>
          <w:p>
            <w:pPr>
              <w:rPr>
                <w:rFonts w:ascii="Times New Roman" w:hAnsi="Times New Roman" w:cs="Times New Roman"/>
                <w:color w:val="000000"/>
              </w:rPr>
            </w:pPr>
          </w:p>
        </w:tc>
        <w:tc>
          <w:tcPr>
            <w:tcW w:w="1458" w:type="dxa"/>
            <w:tcBorders>
              <w:top w:val="nil"/>
              <w:left w:val="nil"/>
              <w:bottom w:val="nil"/>
              <w:right w:val="nil"/>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rPr>
            </w:pPr>
            <w:r>
              <w:rPr>
                <w:rFonts w:ascii="Times New Roman" w:hAnsi="Times New Roman" w:eastAsia="SimSun" w:cs="Times New Roman"/>
                <w:color w:val="000000"/>
                <w:lang w:eastAsia="zh-CN" w:bidi="ar"/>
              </w:rPr>
              <w:t>967.058</w:t>
            </w:r>
          </w:p>
        </w:tc>
      </w:tr>
      <w:tr>
        <w:tblPrEx>
          <w:tblLayout w:type="fixed"/>
          <w:tblCellMar>
            <w:top w:w="0" w:type="dxa"/>
            <w:left w:w="0" w:type="dxa"/>
            <w:bottom w:w="0" w:type="dxa"/>
            <w:right w:w="0" w:type="dxa"/>
          </w:tblCellMar>
        </w:tblPrEx>
        <w:trPr>
          <w:trHeight w:val="290" w:hRule="atLeast"/>
        </w:trPr>
        <w:tc>
          <w:tcPr>
            <w:tcW w:w="1385"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1-4 years Profit</w:t>
            </w:r>
          </w:p>
        </w:tc>
        <w:tc>
          <w:tcPr>
            <w:tcW w:w="520" w:type="dxa"/>
            <w:tcBorders>
              <w:top w:val="nil"/>
              <w:left w:val="nil"/>
              <w:bottom w:val="nil"/>
              <w:right w:val="nil"/>
            </w:tcBorders>
            <w:shd w:val="clear" w:color="auto" w:fill="auto"/>
            <w:noWrap/>
            <w:tcMar>
              <w:top w:w="10" w:type="dxa"/>
              <w:left w:w="10" w:type="dxa"/>
              <w:right w:w="10" w:type="dxa"/>
            </w:tcMar>
            <w:vAlign w:val="center"/>
          </w:tcPr>
          <w:p>
            <w:pPr>
              <w:rPr>
                <w:rFonts w:ascii="Times New Roman" w:hAnsi="Times New Roman" w:cs="Times New Roman"/>
                <w:color w:val="000000"/>
              </w:rPr>
            </w:pPr>
          </w:p>
        </w:tc>
        <w:tc>
          <w:tcPr>
            <w:tcW w:w="995" w:type="dxa"/>
            <w:tcBorders>
              <w:top w:val="nil"/>
              <w:left w:val="nil"/>
              <w:bottom w:val="nil"/>
              <w:right w:val="nil"/>
            </w:tcBorders>
            <w:shd w:val="clear" w:color="auto" w:fill="auto"/>
            <w:noWrap/>
            <w:tcMar>
              <w:top w:w="10" w:type="dxa"/>
              <w:left w:w="10" w:type="dxa"/>
              <w:right w:w="10" w:type="dxa"/>
            </w:tcMar>
            <w:vAlign w:val="center"/>
          </w:tcPr>
          <w:p>
            <w:pPr>
              <w:rPr>
                <w:rFonts w:ascii="Times New Roman" w:hAnsi="Times New Roman" w:cs="Times New Roman"/>
                <w:color w:val="000000"/>
              </w:rPr>
            </w:pPr>
          </w:p>
        </w:tc>
        <w:tc>
          <w:tcPr>
            <w:tcW w:w="1458" w:type="dxa"/>
            <w:tcBorders>
              <w:top w:val="nil"/>
              <w:left w:val="nil"/>
              <w:bottom w:val="nil"/>
              <w:right w:val="nil"/>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rPr>
            </w:pPr>
            <w:r>
              <w:rPr>
                <w:rFonts w:ascii="Times New Roman" w:hAnsi="Times New Roman" w:eastAsia="SimSun" w:cs="Times New Roman"/>
                <w:color w:val="000000"/>
                <w:lang w:eastAsia="zh-CN" w:bidi="ar"/>
              </w:rPr>
              <w:t>235.968</w:t>
            </w:r>
          </w:p>
        </w:tc>
      </w:tr>
      <w:tr>
        <w:tblPrEx>
          <w:tblLayout w:type="fixed"/>
          <w:tblCellMar>
            <w:top w:w="0" w:type="dxa"/>
            <w:left w:w="0" w:type="dxa"/>
            <w:bottom w:w="0" w:type="dxa"/>
            <w:right w:w="0" w:type="dxa"/>
          </w:tblCellMar>
        </w:tblPrEx>
        <w:trPr>
          <w:trHeight w:val="290" w:hRule="atLeast"/>
        </w:trPr>
        <w:tc>
          <w:tcPr>
            <w:tcW w:w="1385"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1-5 years Profit</w:t>
            </w:r>
          </w:p>
        </w:tc>
        <w:tc>
          <w:tcPr>
            <w:tcW w:w="520" w:type="dxa"/>
            <w:tcBorders>
              <w:top w:val="nil"/>
              <w:left w:val="nil"/>
              <w:bottom w:val="nil"/>
              <w:right w:val="nil"/>
            </w:tcBorders>
            <w:shd w:val="clear" w:color="auto" w:fill="auto"/>
            <w:noWrap/>
            <w:tcMar>
              <w:top w:w="10" w:type="dxa"/>
              <w:left w:w="10" w:type="dxa"/>
              <w:right w:w="10" w:type="dxa"/>
            </w:tcMar>
            <w:vAlign w:val="center"/>
          </w:tcPr>
          <w:p>
            <w:pPr>
              <w:rPr>
                <w:rFonts w:ascii="Times New Roman" w:hAnsi="Times New Roman" w:cs="Times New Roman"/>
                <w:color w:val="000000"/>
              </w:rPr>
            </w:pPr>
          </w:p>
        </w:tc>
        <w:tc>
          <w:tcPr>
            <w:tcW w:w="995" w:type="dxa"/>
            <w:tcBorders>
              <w:top w:val="nil"/>
              <w:left w:val="nil"/>
              <w:bottom w:val="nil"/>
              <w:right w:val="nil"/>
            </w:tcBorders>
            <w:shd w:val="clear" w:color="auto" w:fill="auto"/>
            <w:noWrap/>
            <w:tcMar>
              <w:top w:w="10" w:type="dxa"/>
              <w:left w:w="10" w:type="dxa"/>
              <w:right w:w="10" w:type="dxa"/>
            </w:tcMar>
            <w:vAlign w:val="center"/>
          </w:tcPr>
          <w:p>
            <w:pPr>
              <w:rPr>
                <w:rFonts w:ascii="Times New Roman" w:hAnsi="Times New Roman" w:cs="Times New Roman"/>
                <w:color w:val="000000"/>
              </w:rPr>
            </w:pPr>
          </w:p>
        </w:tc>
        <w:tc>
          <w:tcPr>
            <w:tcW w:w="1458" w:type="dxa"/>
            <w:tcBorders>
              <w:top w:val="nil"/>
              <w:left w:val="nil"/>
              <w:bottom w:val="nil"/>
              <w:right w:val="nil"/>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rPr>
            </w:pPr>
            <w:r>
              <w:rPr>
                <w:rFonts w:ascii="Times New Roman" w:hAnsi="Times New Roman" w:eastAsia="SimSun" w:cs="Times New Roman"/>
                <w:color w:val="000000"/>
                <w:lang w:eastAsia="zh-CN" w:bidi="ar"/>
              </w:rPr>
              <w:t>320.461</w:t>
            </w:r>
          </w:p>
        </w:tc>
      </w:tr>
      <w:tr>
        <w:tblPrEx>
          <w:tblLayout w:type="fixed"/>
          <w:tblCellMar>
            <w:top w:w="0" w:type="dxa"/>
            <w:left w:w="0" w:type="dxa"/>
            <w:bottom w:w="0" w:type="dxa"/>
            <w:right w:w="0" w:type="dxa"/>
          </w:tblCellMar>
        </w:tblPrEx>
        <w:trPr>
          <w:trHeight w:val="290" w:hRule="atLeast"/>
        </w:trPr>
        <w:tc>
          <w:tcPr>
            <w:tcW w:w="1385"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Times New Roman" w:hAnsi="Times New Roman" w:cs="Times New Roman"/>
                <w:color w:val="000000"/>
              </w:rPr>
            </w:pPr>
            <w:r>
              <w:rPr>
                <w:rFonts w:ascii="Times New Roman" w:hAnsi="Times New Roman" w:eastAsia="SimSun" w:cs="Times New Roman"/>
                <w:color w:val="000000"/>
                <w:lang w:eastAsia="zh-CN" w:bidi="ar"/>
              </w:rPr>
              <w:t>Initial cost</w:t>
            </w:r>
          </w:p>
        </w:tc>
        <w:tc>
          <w:tcPr>
            <w:tcW w:w="520" w:type="dxa"/>
            <w:tcBorders>
              <w:top w:val="nil"/>
              <w:left w:val="nil"/>
              <w:bottom w:val="nil"/>
              <w:right w:val="nil"/>
            </w:tcBorders>
            <w:shd w:val="clear" w:color="auto" w:fill="auto"/>
            <w:noWrap/>
            <w:tcMar>
              <w:top w:w="10" w:type="dxa"/>
              <w:left w:w="10" w:type="dxa"/>
              <w:right w:w="10" w:type="dxa"/>
            </w:tcMar>
            <w:vAlign w:val="center"/>
          </w:tcPr>
          <w:p>
            <w:pPr>
              <w:rPr>
                <w:rFonts w:ascii="Times New Roman" w:hAnsi="Times New Roman" w:cs="Times New Roman"/>
                <w:color w:val="000000"/>
              </w:rPr>
            </w:pPr>
          </w:p>
        </w:tc>
        <w:tc>
          <w:tcPr>
            <w:tcW w:w="995" w:type="dxa"/>
            <w:tcBorders>
              <w:top w:val="nil"/>
              <w:left w:val="nil"/>
              <w:bottom w:val="nil"/>
              <w:right w:val="nil"/>
            </w:tcBorders>
            <w:shd w:val="clear" w:color="auto" w:fill="auto"/>
            <w:noWrap/>
            <w:tcMar>
              <w:top w:w="10" w:type="dxa"/>
              <w:left w:w="10" w:type="dxa"/>
              <w:right w:w="10" w:type="dxa"/>
            </w:tcMar>
            <w:vAlign w:val="center"/>
          </w:tcPr>
          <w:p>
            <w:pPr>
              <w:rPr>
                <w:rFonts w:ascii="Times New Roman" w:hAnsi="Times New Roman" w:cs="Times New Roman"/>
                <w:color w:val="000000"/>
              </w:rPr>
            </w:pPr>
          </w:p>
        </w:tc>
        <w:tc>
          <w:tcPr>
            <w:tcW w:w="1458" w:type="dxa"/>
            <w:tcBorders>
              <w:top w:val="nil"/>
              <w:left w:val="nil"/>
              <w:bottom w:val="nil"/>
              <w:right w:val="nil"/>
            </w:tcBorders>
            <w:shd w:val="clear" w:color="auto" w:fill="auto"/>
            <w:noWrap/>
            <w:tcMar>
              <w:top w:w="10" w:type="dxa"/>
              <w:left w:w="10" w:type="dxa"/>
              <w:right w:w="10" w:type="dxa"/>
            </w:tcMar>
            <w:vAlign w:val="center"/>
          </w:tcPr>
          <w:p>
            <w:pPr>
              <w:jc w:val="right"/>
              <w:textAlignment w:val="center"/>
              <w:rPr>
                <w:rFonts w:ascii="Times New Roman" w:hAnsi="Times New Roman" w:cs="Times New Roman"/>
                <w:color w:val="000000"/>
              </w:rPr>
            </w:pPr>
            <w:r>
              <w:rPr>
                <w:rFonts w:ascii="Times New Roman" w:hAnsi="Times New Roman" w:eastAsia="SimSun" w:cs="Times New Roman"/>
                <w:color w:val="000000"/>
                <w:lang w:eastAsia="zh-CN" w:bidi="ar"/>
              </w:rPr>
              <w:t>314.1065</w:t>
            </w:r>
          </w:p>
        </w:tc>
      </w:tr>
    </w:tbl>
    <w:p>
      <w:pPr>
        <w:rPr>
          <w:rFonts w:ascii="Times New Roman" w:hAnsi="Times New Roman" w:cs="Times New Roman"/>
        </w:rPr>
      </w:pPr>
      <w:r>
        <w:rPr>
          <w:rFonts w:ascii="Times New Roman" w:hAnsi="Times New Roman" w:cs="Times New Roman"/>
        </w:rPr>
        <w:t>Fourth year Profit</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73.14</w:t>
      </w:r>
    </w:p>
    <w:p>
      <w:pPr>
        <w:rPr>
          <w:rFonts w:ascii="Times New Roman" w:hAnsi="Times New Roman" w:cs="Times New Roman"/>
        </w:rPr>
      </w:pPr>
      <w:r>
        <w:rPr>
          <w:rFonts w:ascii="Times New Roman" w:hAnsi="Times New Roman" w:cs="Times New Roman"/>
        </w:rPr>
        <w:t>Payback period = 4 + (1-(320.461-314.1065))/73.14) x 12 =4 years 10.96 months</w:t>
      </w:r>
    </w:p>
    <w:p>
      <w:pPr>
        <w:rPr>
          <w:rFonts w:ascii="Times New Roman" w:hAnsi="Times New Roman" w:cs="Times New Roman"/>
          <w:b/>
          <w:sz w:val="24"/>
          <w:szCs w:val="24"/>
        </w:rPr>
      </w:pPr>
    </w:p>
    <w:p>
      <w:pPr>
        <w:jc w:val="both"/>
        <w:rPr>
          <w:rFonts w:ascii="Times New Roman" w:hAnsi="Times New Roman" w:cs="Times New Roman"/>
          <w:b/>
        </w:rPr>
      </w:pPr>
      <w:r>
        <w:rPr>
          <w:rFonts w:ascii="Times New Roman" w:hAnsi="Times New Roman" w:cs="Times New Roman"/>
          <w:b/>
        </w:rPr>
        <w:t>4.</w:t>
      </w:r>
      <w:r>
        <w:rPr>
          <w:rFonts w:hint="eastAsia" w:ascii="Times New Roman" w:hAnsi="Times New Roman" w:cs="Times New Roman"/>
          <w:b/>
          <w:lang w:val="en-US" w:eastAsia="zh-TW"/>
        </w:rPr>
        <w:t>8</w:t>
      </w:r>
      <w:r>
        <w:rPr>
          <w:rFonts w:ascii="Times New Roman" w:hAnsi="Times New Roman" w:cs="Times New Roman"/>
          <w:b/>
        </w:rPr>
        <w:tab/>
      </w:r>
      <w:r>
        <w:rPr>
          <w:rFonts w:ascii="Times New Roman" w:hAnsi="Times New Roman" w:cs="Times New Roman"/>
          <w:b/>
        </w:rPr>
        <w:t>The appraisal of the investment project</w:t>
      </w:r>
    </w:p>
    <w:p>
      <w:pPr>
        <w:jc w:val="both"/>
        <w:rPr>
          <w:rFonts w:ascii="Times New Roman" w:hAnsi="Times New Roman" w:cs="Times New Roman"/>
        </w:rPr>
      </w:pPr>
      <w:r>
        <w:rPr>
          <w:rFonts w:ascii="Times New Roman" w:hAnsi="Times New Roman" w:cs="Times New Roman"/>
        </w:rPr>
        <w:t xml:space="preserve">The payback period of this new factory investmen project is 4 years 10.96 months and the net preset value is positive value. The internal rate of return is 19%, average rate of return is 50.163%. Thus, it is a positive return and the company should carry on this project. </w:t>
      </w:r>
    </w:p>
    <w:p>
      <w:pPr>
        <w:jc w:val="both"/>
        <w:rPr>
          <w:rFonts w:ascii="Times New Roman" w:hAnsi="Times New Roman" w:cs="Times New Roman"/>
        </w:rPr>
      </w:pPr>
      <w:r>
        <w:rPr>
          <w:rFonts w:ascii="Times New Roman" w:hAnsi="Times New Roman" w:cs="Times New Roman"/>
        </w:rPr>
        <w:t>The Return on assets (ROA) and Return on equity (ROE) are two of the most important measures for evaluating how effective a company’s management team is doing its job of managing the capital entrusted to it (</w:t>
      </w:r>
      <w:r>
        <w:rPr>
          <w:rFonts w:ascii="Times New Roman" w:hAnsi="Times New Roman" w:eastAsia="SimSun" w:cs="Times New Roman"/>
          <w:color w:val="222222"/>
        </w:rPr>
        <w:t>Khadafi</w:t>
      </w:r>
      <w:r>
        <w:rPr>
          <w:rFonts w:ascii="Times New Roman" w:hAnsi="Times New Roman" w:eastAsia="PMingLiU" w:cs="Times New Roman"/>
          <w:color w:val="222222"/>
        </w:rPr>
        <w:t xml:space="preserve"> et al., 2014)</w:t>
      </w:r>
      <w:r>
        <w:rPr>
          <w:rFonts w:ascii="Times New Roman" w:hAnsi="Times New Roman" w:cs="Times New Roman"/>
        </w:rPr>
        <w:t>. The 3 years average ROA of Mengniu is 2.222%, and the 3 years average ROE of Mengniu is 4.940%, we suggest the company should use debt to raise fund for this project as debt is more effective than equity in this matter.</w:t>
      </w: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sz w:val="24"/>
          <w:szCs w:val="24"/>
        </w:rPr>
      </w:pPr>
    </w:p>
    <w:p>
      <w:pPr>
        <w:rPr>
          <w:rFonts w:ascii="Times New Roman" w:hAnsi="Times New Roman" w:cs="Times New Roman"/>
          <w:b/>
          <w:sz w:val="40"/>
          <w:szCs w:val="40"/>
        </w:rPr>
      </w:pPr>
      <w:r>
        <w:rPr>
          <w:rFonts w:ascii="Times New Roman" w:hAnsi="Times New Roman" w:cs="Times New Roman"/>
          <w:b/>
          <w:sz w:val="40"/>
          <w:szCs w:val="40"/>
        </w:rPr>
        <w:t>Chapter 5</w:t>
      </w:r>
    </w:p>
    <w:p>
      <w:pPr>
        <w:jc w:val="both"/>
        <w:rPr>
          <w:rFonts w:ascii="Times New Roman" w:hAnsi="Times New Roman" w:cs="Times New Roman"/>
          <w:b/>
        </w:rPr>
      </w:pPr>
      <w:r>
        <w:rPr>
          <w:rFonts w:ascii="Times New Roman" w:hAnsi="Times New Roman" w:cs="Times New Roman"/>
          <w:b/>
        </w:rPr>
        <w:t>5.1</w:t>
      </w:r>
      <w:r>
        <w:rPr>
          <w:rFonts w:ascii="Times New Roman" w:hAnsi="Times New Roman" w:cs="Times New Roman"/>
          <w:b/>
        </w:rPr>
        <w:tab/>
      </w:r>
      <w:r>
        <w:rPr>
          <w:rFonts w:ascii="Times New Roman" w:hAnsi="Times New Roman" w:cs="Times New Roman"/>
          <w:b/>
        </w:rPr>
        <w:t>Financing (Fund-raising) Management and working capital management</w:t>
      </w:r>
    </w:p>
    <w:p>
      <w:pPr>
        <w:jc w:val="both"/>
        <w:rPr>
          <w:rFonts w:ascii="Times New Roman" w:hAnsi="Times New Roman" w:eastAsia="Times New Roman" w:cs="Times New Roman"/>
        </w:rPr>
      </w:pPr>
      <w:r>
        <w:rPr>
          <w:rFonts w:ascii="Times New Roman" w:hAnsi="Times New Roman" w:cs="Times New Roman"/>
        </w:rPr>
        <w:t xml:space="preserve">In this chapter we need to raise one-time significant additional cash equivalent to three percent of total assets to finance a project, which is equivalent to </w:t>
      </w:r>
      <w:r>
        <w:rPr>
          <w:rFonts w:ascii="Times New Roman" w:hAnsi="Times New Roman" w:eastAsia="Times New Roman" w:cs="Times New Roman"/>
        </w:rPr>
        <w:t xml:space="preserve">49124.427 million RMB x 3% =1473.733 million RMB. There are two fund-raising options to </w:t>
      </w:r>
      <w:r>
        <w:rPr>
          <w:rFonts w:ascii="Times New Roman" w:hAnsi="Times New Roman" w:eastAsia="PMingLiU" w:cs="Times New Roman"/>
        </w:rPr>
        <w:t>finance business</w:t>
      </w:r>
      <w:r>
        <w:rPr>
          <w:rFonts w:ascii="Times New Roman" w:hAnsi="Times New Roman" w:eastAsia="Times New Roman" w:cs="Times New Roman"/>
        </w:rPr>
        <w:t xml:space="preserve">-equity and debt. </w:t>
      </w:r>
      <w:r>
        <w:rPr>
          <w:rFonts w:ascii="Times New Roman" w:hAnsi="Times New Roman" w:eastAsia="PMingLiU" w:cs="Times New Roman"/>
        </w:rPr>
        <w:t>Every companies facing different situations and the mix of equity and debt requires careful corporate finance practice.</w:t>
      </w:r>
    </w:p>
    <w:p>
      <w:pPr>
        <w:jc w:val="both"/>
        <w:rPr>
          <w:rFonts w:ascii="Times New Roman" w:hAnsi="Times New Roman" w:eastAsia="Times New Roman" w:cs="Times New Roman"/>
          <w:b/>
        </w:rPr>
      </w:pPr>
      <w:r>
        <w:rPr>
          <w:rFonts w:ascii="Times New Roman" w:hAnsi="Times New Roman" w:eastAsia="Times New Roman" w:cs="Times New Roman"/>
          <w:b/>
        </w:rPr>
        <w:t>Equity Capital</w:t>
      </w:r>
    </w:p>
    <w:p>
      <w:pPr>
        <w:jc w:val="both"/>
        <w:rPr>
          <w:rFonts w:ascii="Times New Roman" w:hAnsi="Times New Roman" w:eastAsia="PMingLiU" w:cs="Times New Roman"/>
        </w:rPr>
      </w:pPr>
      <w:r>
        <w:rPr>
          <w:rFonts w:ascii="Times New Roman" w:hAnsi="Times New Roman" w:eastAsia="PMingLiU" w:cs="Times New Roman"/>
        </w:rPr>
        <w:t>Stock shares sale creates the e</w:t>
      </w:r>
      <w:r>
        <w:rPr>
          <w:rFonts w:ascii="Times New Roman" w:hAnsi="Times New Roman" w:eastAsia="Times New Roman" w:cs="Times New Roman"/>
        </w:rPr>
        <w:t>quity capital</w:t>
      </w:r>
      <w:r>
        <w:rPr>
          <w:rFonts w:ascii="Times New Roman" w:hAnsi="Times New Roman" w:eastAsia="PMingLiU" w:cs="Times New Roman"/>
        </w:rPr>
        <w:t>. Selling additional preferred shares or common shares can serve this purpose, when it is not financially feasible.</w:t>
      </w:r>
    </w:p>
    <w:p>
      <w:pPr>
        <w:jc w:val="both"/>
        <w:rPr>
          <w:rFonts w:ascii="Times New Roman" w:hAnsi="Times New Roman" w:eastAsia="PMingLiU" w:cs="Times New Roman"/>
        </w:rPr>
      </w:pPr>
      <w:r>
        <w:rPr>
          <w:rFonts w:ascii="Times New Roman" w:hAnsi="Times New Roman" w:eastAsia="Times New Roman" w:cs="Times New Roman"/>
        </w:rPr>
        <w:t xml:space="preserve">Preferred shares are </w:t>
      </w:r>
      <w:r>
        <w:rPr>
          <w:rFonts w:ascii="Times New Roman" w:hAnsi="Times New Roman" w:eastAsia="PMingLiU" w:cs="Times New Roman"/>
        </w:rPr>
        <w:t>distinctive</w:t>
      </w:r>
      <w:r>
        <w:rPr>
          <w:rFonts w:ascii="Times New Roman" w:hAnsi="Times New Roman" w:eastAsia="Times New Roman" w:cs="Times New Roman"/>
        </w:rPr>
        <w:t xml:space="preserve"> </w:t>
      </w:r>
      <w:r>
        <w:rPr>
          <w:rFonts w:ascii="Times New Roman" w:hAnsi="Times New Roman" w:eastAsia="PMingLiU" w:cs="Times New Roman"/>
        </w:rPr>
        <w:t>as</w:t>
      </w:r>
      <w:r>
        <w:rPr>
          <w:rFonts w:ascii="Times New Roman" w:hAnsi="Times New Roman" w:eastAsia="Times New Roman" w:cs="Times New Roman"/>
        </w:rPr>
        <w:t xml:space="preserve"> shareholders have limited ownership rights, but the </w:t>
      </w:r>
      <w:r>
        <w:rPr>
          <w:rFonts w:ascii="Times New Roman" w:hAnsi="Times New Roman" w:eastAsia="PMingLiU" w:cs="Times New Roman"/>
        </w:rPr>
        <w:t xml:space="preserve">dividend payment </w:t>
      </w:r>
      <w:r>
        <w:rPr>
          <w:rFonts w:ascii="Times New Roman" w:hAnsi="Times New Roman" w:eastAsia="Times New Roman" w:cs="Times New Roman"/>
        </w:rPr>
        <w:t xml:space="preserve">is </w:t>
      </w:r>
      <w:r>
        <w:rPr>
          <w:rFonts w:ascii="Times New Roman" w:hAnsi="Times New Roman" w:eastAsia="PMingLiU" w:cs="Times New Roman"/>
        </w:rPr>
        <w:t>pledged</w:t>
      </w:r>
      <w:r>
        <w:rPr>
          <w:rFonts w:ascii="Times New Roman" w:hAnsi="Times New Roman" w:eastAsia="Times New Roman" w:cs="Times New Roman"/>
        </w:rPr>
        <w:t xml:space="preserve"> before </w:t>
      </w:r>
      <w:r>
        <w:rPr>
          <w:rFonts w:ascii="Times New Roman" w:hAnsi="Times New Roman" w:eastAsia="PMingLiU" w:cs="Times New Roman"/>
        </w:rPr>
        <w:t>common shares, which explains why preferred equity has lower capital cost.</w:t>
      </w:r>
    </w:p>
    <w:p>
      <w:pPr>
        <w:jc w:val="both"/>
        <w:rPr>
          <w:rFonts w:ascii="Times New Roman" w:hAnsi="Times New Roman" w:eastAsia="Times New Roman" w:cs="Times New Roman"/>
          <w:b/>
        </w:rPr>
      </w:pPr>
      <w:r>
        <w:rPr>
          <w:rFonts w:ascii="Times New Roman" w:hAnsi="Times New Roman" w:eastAsia="Times New Roman" w:cs="Times New Roman"/>
          <w:b/>
        </w:rPr>
        <w:t>Advantage of Equity Capital</w:t>
      </w:r>
    </w:p>
    <w:p>
      <w:pPr>
        <w:jc w:val="both"/>
        <w:rPr>
          <w:rFonts w:ascii="Times New Roman" w:hAnsi="Times New Roman" w:eastAsia="PMingLiU" w:cs="Times New Roman"/>
        </w:rPr>
      </w:pPr>
      <w:r>
        <w:rPr>
          <w:rFonts w:ascii="Times New Roman" w:hAnsi="Times New Roman" w:eastAsia="Times New Roman" w:cs="Times New Roman"/>
        </w:rPr>
        <w:t xml:space="preserve">Mengniu is not </w:t>
      </w:r>
      <w:r>
        <w:rPr>
          <w:rFonts w:ascii="Times New Roman" w:hAnsi="Times New Roman" w:eastAsia="PMingLiU" w:cs="Times New Roman"/>
        </w:rPr>
        <w:t>obligated</w:t>
      </w:r>
      <w:r>
        <w:rPr>
          <w:rFonts w:ascii="Times New Roman" w:hAnsi="Times New Roman" w:eastAsia="Times New Roman" w:cs="Times New Roman"/>
        </w:rPr>
        <w:t xml:space="preserve"> to</w:t>
      </w:r>
      <w:r>
        <w:rPr>
          <w:rFonts w:ascii="Times New Roman" w:hAnsi="Times New Roman" w:eastAsia="PMingLiU" w:cs="Times New Roman"/>
        </w:rPr>
        <w:t xml:space="preserve"> pay back the investment of shareholders. The larger market performance determines the return amount of the equity capital cost. The stock valuation and dividends payment determine the capital return.</w:t>
      </w:r>
    </w:p>
    <w:p>
      <w:pPr>
        <w:jc w:val="both"/>
        <w:rPr>
          <w:rFonts w:ascii="Times New Roman" w:hAnsi="Times New Roman" w:eastAsia="Times New Roman" w:cs="Times New Roman"/>
          <w:b/>
        </w:rPr>
      </w:pPr>
      <w:r>
        <w:rPr>
          <w:rFonts w:ascii="Times New Roman" w:hAnsi="Times New Roman" w:eastAsia="Times New Roman" w:cs="Times New Roman"/>
          <w:b/>
        </w:rPr>
        <w:t>Disadvantage of Equity Capital</w:t>
      </w:r>
    </w:p>
    <w:p>
      <w:pPr>
        <w:jc w:val="both"/>
        <w:rPr>
          <w:rFonts w:ascii="Times New Roman" w:hAnsi="Times New Roman" w:eastAsia="Times New Roman" w:cs="Times New Roman"/>
        </w:rPr>
      </w:pPr>
      <w:r>
        <w:rPr>
          <w:rFonts w:ascii="Times New Roman" w:hAnsi="Times New Roman" w:eastAsia="Times New Roman" w:cs="Times New Roman"/>
        </w:rPr>
        <w:t xml:space="preserve">Each </w:t>
      </w:r>
      <w:r>
        <w:rPr>
          <w:rFonts w:ascii="Times New Roman" w:hAnsi="Times New Roman" w:eastAsia="PMingLiU" w:cs="Times New Roman"/>
        </w:rPr>
        <w:t>share owner</w:t>
      </w:r>
      <w:r>
        <w:rPr>
          <w:rFonts w:ascii="Times New Roman" w:hAnsi="Times New Roman" w:eastAsia="Times New Roman" w:cs="Times New Roman"/>
        </w:rPr>
        <w:t xml:space="preserve"> </w:t>
      </w:r>
      <w:r>
        <w:rPr>
          <w:rFonts w:ascii="Times New Roman" w:hAnsi="Times New Roman" w:eastAsia="PMingLiU" w:cs="Times New Roman"/>
        </w:rPr>
        <w:t xml:space="preserve">be in possession of </w:t>
      </w:r>
      <w:r>
        <w:rPr>
          <w:rFonts w:ascii="Times New Roman" w:hAnsi="Times New Roman" w:eastAsia="Times New Roman" w:cs="Times New Roman"/>
        </w:rPr>
        <w:t xml:space="preserve">a small </w:t>
      </w:r>
      <w:r>
        <w:rPr>
          <w:rFonts w:ascii="Times New Roman" w:hAnsi="Times New Roman" w:eastAsia="PMingLiU" w:cs="Times New Roman"/>
        </w:rPr>
        <w:t>composition</w:t>
      </w:r>
      <w:r>
        <w:rPr>
          <w:rFonts w:ascii="Times New Roman" w:hAnsi="Times New Roman" w:eastAsia="Times New Roman" w:cs="Times New Roman"/>
        </w:rPr>
        <w:t xml:space="preserve"> of Mengniu</w:t>
      </w:r>
      <w:r>
        <w:rPr>
          <w:rFonts w:ascii="Times New Roman" w:hAnsi="Times New Roman" w:eastAsia="PMingLiU" w:cs="Times New Roman"/>
        </w:rPr>
        <w:t>. Elevated valuation of stock is preferred as the share owner expects to receive dividends, and the owners of business have to make sure the company continue its profitability(</w:t>
      </w:r>
      <w:r>
        <w:rPr>
          <w:rFonts w:ascii="Times New Roman" w:hAnsi="Times New Roman" w:eastAsia="SimSun" w:cs="Times New Roman"/>
          <w:color w:val="222222"/>
        </w:rPr>
        <w:t>Botosa</w:t>
      </w:r>
      <w:r>
        <w:rPr>
          <w:rFonts w:ascii="Times New Roman" w:hAnsi="Times New Roman" w:eastAsia="PMingLiU" w:cs="Times New Roman"/>
          <w:color w:val="222222"/>
        </w:rPr>
        <w:t>n, 1997)</w:t>
      </w:r>
      <w:r>
        <w:rPr>
          <w:rFonts w:ascii="Times New Roman" w:hAnsi="Times New Roman" w:eastAsia="PMingLiU" w:cs="Times New Roman"/>
        </w:rPr>
        <w:t>.</w:t>
      </w:r>
    </w:p>
    <w:p>
      <w:pPr>
        <w:jc w:val="both"/>
        <w:rPr>
          <w:rFonts w:ascii="Times New Roman" w:hAnsi="Times New Roman" w:cs="Times New Roman"/>
          <w:b/>
        </w:rPr>
      </w:pPr>
    </w:p>
    <w:p>
      <w:pPr>
        <w:jc w:val="both"/>
        <w:rPr>
          <w:rFonts w:ascii="Times New Roman" w:hAnsi="Times New Roman" w:cs="Times New Roman"/>
          <w:b/>
        </w:rPr>
      </w:pPr>
      <w:r>
        <w:rPr>
          <w:rFonts w:ascii="Times New Roman" w:hAnsi="Times New Roman" w:cs="Times New Roman"/>
          <w:b/>
        </w:rPr>
        <w:t>Debt Capital</w:t>
      </w:r>
    </w:p>
    <w:p>
      <w:pPr>
        <w:jc w:val="both"/>
        <w:rPr>
          <w:rFonts w:ascii="Times New Roman" w:hAnsi="Times New Roman" w:cs="Times New Roman"/>
        </w:rPr>
      </w:pPr>
      <w:r>
        <w:rPr>
          <w:rFonts w:ascii="Times New Roman" w:hAnsi="Times New Roman" w:cs="Times New Roman"/>
        </w:rPr>
        <w:t>The most familiar kinds of debt capital are credit card debt, bonds, personal loans and bank loan. Mengniu can open a credit line or apply a new loan to raise this additional capital. Under a contractual agreement, the company can pay back the money at a latter date after the borrowing.</w:t>
      </w:r>
    </w:p>
    <w:p>
      <w:pPr>
        <w:jc w:val="both"/>
        <w:rPr>
          <w:rFonts w:ascii="Times New Roman" w:hAnsi="Times New Roman" w:cs="Times New Roman"/>
          <w:b/>
        </w:rPr>
      </w:pPr>
      <w:r>
        <w:rPr>
          <w:rFonts w:ascii="Times New Roman" w:hAnsi="Times New Roman" w:cs="Times New Roman"/>
          <w:b/>
        </w:rPr>
        <w:t>Advantage of Debt Capital</w:t>
      </w:r>
    </w:p>
    <w:p>
      <w:pPr>
        <w:jc w:val="both"/>
        <w:rPr>
          <w:rFonts w:ascii="Times New Roman" w:hAnsi="Times New Roman" w:cs="Times New Roman"/>
        </w:rPr>
      </w:pPr>
      <w:r>
        <w:rPr>
          <w:rFonts w:ascii="Times New Roman" w:hAnsi="Times New Roman" w:cs="Times New Roman"/>
        </w:rPr>
        <w:t>The debt cost is commonly lesser than the equity as recourse is more common in debt capital.</w:t>
      </w:r>
    </w:p>
    <w:p>
      <w:pPr>
        <w:jc w:val="both"/>
        <w:rPr>
          <w:rFonts w:ascii="Times New Roman" w:hAnsi="Times New Roman" w:cs="Times New Roman"/>
          <w:b/>
        </w:rPr>
      </w:pPr>
      <w:r>
        <w:rPr>
          <w:rFonts w:ascii="Times New Roman" w:hAnsi="Times New Roman" w:cs="Times New Roman"/>
          <w:b/>
        </w:rPr>
        <w:t>Disadvantage of Debt Capital</w:t>
      </w:r>
    </w:p>
    <w:p>
      <w:pPr>
        <w:jc w:val="both"/>
        <w:rPr>
          <w:rFonts w:ascii="Times New Roman" w:hAnsi="Times New Roman" w:cs="Times New Roman"/>
        </w:rPr>
      </w:pPr>
      <w:r>
        <w:rPr>
          <w:rFonts w:ascii="Times New Roman" w:hAnsi="Times New Roman" w:cs="Times New Roman"/>
        </w:rPr>
        <w:t>Debt capital bears supplementary interest burden, which increases the cost of debt capital by existing as expense. The actual amount of compounded interest (provided the loans are not repaid so quickly) can accumulate swiftly if the loan amount is large. Regardless of performance of business, payment must be made to lenders. In a bad economy or poor season, a hughly leverage corporation may have payment of debt that surmount its sales (</w:t>
      </w:r>
      <w:r>
        <w:rPr>
          <w:rFonts w:ascii="Times New Roman" w:hAnsi="Times New Roman" w:eastAsia="SimSun" w:cs="Times New Roman"/>
          <w:color w:val="222222"/>
        </w:rPr>
        <w:t>Karjalainen</w:t>
      </w:r>
      <w:r>
        <w:rPr>
          <w:rFonts w:ascii="Times New Roman" w:hAnsi="Times New Roman" w:eastAsia="PMingLiU" w:cs="Times New Roman"/>
          <w:color w:val="222222"/>
        </w:rPr>
        <w:t>, 2011)</w:t>
      </w:r>
      <w:r>
        <w:rPr>
          <w:rFonts w:ascii="Times New Roman" w:hAnsi="Times New Roman" w:cs="Times New Roman"/>
        </w:rPr>
        <w:t>.</w:t>
      </w:r>
    </w:p>
    <w:p>
      <w:pPr>
        <w:jc w:val="both"/>
        <w:rPr>
          <w:rFonts w:ascii="Times New Roman" w:hAnsi="Times New Roman" w:cs="Times New Roman"/>
        </w:rPr>
      </w:pPr>
      <w:r>
        <w:rPr>
          <w:rFonts w:ascii="Times New Roman" w:hAnsi="Times New Roman" w:cs="Times New Roman"/>
          <w:b/>
        </w:rPr>
        <w:t>5.2</w:t>
      </w:r>
      <w:r>
        <w:rPr>
          <w:rFonts w:ascii="Times New Roman" w:hAnsi="Times New Roman" w:cs="Times New Roman"/>
          <w:b/>
        </w:rPr>
        <w:tab/>
      </w:r>
      <w:r>
        <w:rPr>
          <w:rFonts w:ascii="Times New Roman" w:hAnsi="Times New Roman" w:cs="Times New Roman"/>
          <w:b/>
        </w:rPr>
        <w:t>Financing recommendation</w:t>
      </w:r>
    </w:p>
    <w:p>
      <w:pPr>
        <w:jc w:val="both"/>
        <w:rPr>
          <w:rFonts w:ascii="Times New Roman" w:hAnsi="Times New Roman" w:cs="Times New Roman"/>
        </w:rPr>
      </w:pPr>
      <w:r>
        <w:rPr>
          <w:rFonts w:ascii="Times New Roman" w:hAnsi="Times New Roman" w:cs="Times New Roman"/>
        </w:rPr>
        <w:t xml:space="preserve">Mengniu’s 3 years average leverage ratio was 1.084, which was lower than Ausnutria (0.584) and Yashili (0.648), The 3 years average earning per share was HK$0.375, which was also lower than Ausnutria (HK$29.617) but higher than Yashili (HK$-3.599). At the stock price of HK$24.232 (2018 year end stock price), Mengniu has to issue (1474.744 million /(24.232/ 1.138 (RMB/HKD ex rate, appendix 1)))= 69.258 million shares to raise this fund if Mengniu is using equity capital fund raising option. </w:t>
      </w:r>
    </w:p>
    <w:p>
      <w:pPr>
        <w:jc w:val="both"/>
        <w:rPr>
          <w:rFonts w:ascii="Times New Roman" w:hAnsi="Times New Roman" w:cs="Times New Roman"/>
        </w:rPr>
      </w:pPr>
      <w:r>
        <w:rPr>
          <w:rFonts w:ascii="Times New Roman" w:hAnsi="Times New Roman" w:cs="Times New Roman"/>
        </w:rPr>
        <w:t>The benchmark interest rate of  China has been 4.35 percent since Oct 2015 (Trading Economics, 2019), the 3 years average ROA of Mengniu was 2.222% (year 2016-2018), which means the cost of raising capital through equity is lower than debt (bank loan financing). In this case, Mengniu should use equity capital, by issuing 69.258 million shares (preferred or common shares) to raise this fund.</w:t>
      </w:r>
    </w:p>
    <w:p/>
    <w:p/>
    <w:p/>
    <w:p/>
    <w:p/>
    <w:p/>
    <w:p/>
    <w:p/>
    <w:p/>
    <w:p/>
    <w:p/>
    <w:p/>
    <w:p/>
    <w:p/>
    <w:p/>
    <w:p>
      <w:pPr>
        <w:rPr>
          <w:rFonts w:ascii="Times New Roman" w:hAnsi="Times New Roman" w:cs="Times New Roman"/>
          <w:b/>
        </w:rPr>
      </w:pPr>
    </w:p>
    <w:p>
      <w:pPr>
        <w:jc w:val="both"/>
        <w:rPr>
          <w:rFonts w:ascii="Times New Roman" w:hAnsi="Times New Roman" w:cs="Times New Roman"/>
          <w:b/>
        </w:rPr>
      </w:pPr>
    </w:p>
    <w:p>
      <w:pPr>
        <w:jc w:val="both"/>
        <w:rPr>
          <w:rFonts w:ascii="Times New Roman" w:hAnsi="Times New Roman" w:cs="Times New Roman"/>
          <w:b/>
        </w:rPr>
      </w:pPr>
    </w:p>
    <w:p>
      <w:pPr>
        <w:jc w:val="both"/>
        <w:rPr>
          <w:rFonts w:ascii="Times New Roman" w:hAnsi="Times New Roman" w:cs="Times New Roman"/>
          <w:b/>
        </w:rPr>
      </w:pPr>
    </w:p>
    <w:p>
      <w:pPr>
        <w:jc w:val="both"/>
        <w:rPr>
          <w:rFonts w:ascii="Times New Roman" w:hAnsi="Times New Roman" w:cs="Times New Roman"/>
          <w:b/>
          <w:sz w:val="40"/>
          <w:szCs w:val="40"/>
        </w:rPr>
      </w:pPr>
      <w:r>
        <w:rPr>
          <w:rFonts w:ascii="Times New Roman" w:hAnsi="Times New Roman" w:cs="Times New Roman"/>
          <w:b/>
          <w:sz w:val="40"/>
          <w:szCs w:val="40"/>
        </w:rPr>
        <w:t>Chapter 6</w:t>
      </w:r>
    </w:p>
    <w:p>
      <w:pPr>
        <w:jc w:val="both"/>
        <w:rPr>
          <w:rFonts w:ascii="Times New Roman" w:hAnsi="Times New Roman" w:cs="Times New Roman"/>
          <w:b/>
        </w:rPr>
      </w:pPr>
      <w:r>
        <w:rPr>
          <w:rFonts w:ascii="Times New Roman" w:hAnsi="Times New Roman" w:cs="Times New Roman"/>
          <w:b/>
        </w:rPr>
        <w:t>6.1</w:t>
      </w:r>
      <w:r>
        <w:rPr>
          <w:rFonts w:ascii="Times New Roman" w:hAnsi="Times New Roman" w:cs="Times New Roman"/>
          <w:b/>
        </w:rPr>
        <w:tab/>
      </w:r>
      <w:r>
        <w:rPr>
          <w:rFonts w:ascii="Times New Roman" w:hAnsi="Times New Roman" w:cs="Times New Roman"/>
          <w:b/>
        </w:rPr>
        <w:t>Audit Plan</w:t>
      </w:r>
    </w:p>
    <w:p>
      <w:pPr>
        <w:jc w:val="both"/>
        <w:rPr>
          <w:rFonts w:ascii="Times New Roman" w:hAnsi="Times New Roman" w:cs="Times New Roman"/>
        </w:rPr>
      </w:pPr>
      <w:r>
        <w:rPr>
          <w:rFonts w:ascii="Times New Roman" w:hAnsi="Times New Roman" w:cs="Times New Roman"/>
        </w:rPr>
        <w:t>In the coming year, the following proposed audit plan is recommended in order to maintain the corporation profitability and facilitate the internal control.</w:t>
      </w:r>
    </w:p>
    <w:p>
      <w:pPr>
        <w:jc w:val="both"/>
        <w:rPr>
          <w:rFonts w:ascii="Times New Roman" w:hAnsi="Times New Roman" w:cs="Times New Roman"/>
          <w:b/>
        </w:rPr>
      </w:pPr>
      <w:r>
        <w:rPr>
          <w:rFonts w:ascii="Times New Roman" w:hAnsi="Times New Roman" w:cs="Times New Roman"/>
          <w:b/>
        </w:rPr>
        <w:t>Quarter 1</w:t>
      </w:r>
    </w:p>
    <w:p>
      <w:pPr>
        <w:jc w:val="both"/>
        <w:rPr>
          <w:rFonts w:ascii="Times New Roman" w:hAnsi="Times New Roman" w:cs="Times New Roman"/>
        </w:rPr>
      </w:pPr>
      <w:r>
        <w:rPr>
          <w:rFonts w:ascii="Times New Roman" w:hAnsi="Times New Roman" w:cs="Times New Roman"/>
        </w:rPr>
        <w:t>Cost control and increase the market of share - to trim, evaluate and monitor the expenditure. Mengniu can consider building their third overseas factory to enhance the competitiveness of Mengniu in overseas market. At the same time it can lower their production cost when they are selling products in these countries as there would be no import tariff when the company is selling products manufactured in their countries, at the same time it can also lower the transportation cost of final products from China Factory.</w:t>
      </w:r>
    </w:p>
    <w:p>
      <w:pPr>
        <w:jc w:val="both"/>
        <w:rPr>
          <w:rFonts w:ascii="Times New Roman" w:hAnsi="Times New Roman" w:cs="Times New Roman"/>
          <w:b/>
        </w:rPr>
      </w:pPr>
      <w:r>
        <w:rPr>
          <w:rFonts w:ascii="Times New Roman" w:hAnsi="Times New Roman" w:cs="Times New Roman"/>
          <w:b/>
        </w:rPr>
        <w:t>Quarter 2</w:t>
      </w:r>
    </w:p>
    <w:p>
      <w:pPr>
        <w:jc w:val="both"/>
        <w:rPr>
          <w:rFonts w:ascii="Times New Roman" w:hAnsi="Times New Roman" w:cs="Times New Roman"/>
        </w:rPr>
      </w:pPr>
      <w:r>
        <w:rPr>
          <w:rFonts w:ascii="Times New Roman" w:hAnsi="Times New Roman" w:cs="Times New Roman"/>
        </w:rPr>
        <w:t>Capital management-Both debt and equity capitals are needed to be focused on preserving on certain of efficient level. Mengniu can outsource business consulting firm to manage their capital in order to maximize its utilization.</w:t>
      </w:r>
    </w:p>
    <w:p>
      <w:pPr>
        <w:jc w:val="both"/>
        <w:rPr>
          <w:rFonts w:ascii="Times New Roman" w:hAnsi="Times New Roman" w:cs="Times New Roman"/>
          <w:b/>
        </w:rPr>
      </w:pPr>
      <w:r>
        <w:rPr>
          <w:rFonts w:ascii="Times New Roman" w:hAnsi="Times New Roman" w:cs="Times New Roman"/>
          <w:b/>
        </w:rPr>
        <w:t>Quarter 3</w:t>
      </w:r>
    </w:p>
    <w:p>
      <w:pPr>
        <w:jc w:val="both"/>
        <w:rPr>
          <w:rFonts w:ascii="Times New Roman" w:hAnsi="Times New Roman" w:cs="Times New Roman"/>
        </w:rPr>
      </w:pPr>
      <w:r>
        <w:rPr>
          <w:rFonts w:ascii="Times New Roman" w:hAnsi="Times New Roman" w:cs="Times New Roman"/>
        </w:rPr>
        <w:t xml:space="preserve">Risk management- To identify and analyze the potential risk of corporation management. With clear responsibilities and objectives, it can improve the governance in 5 different areas: compliance on the regulations and laws, efficient implementation of strategic decision making and business plan, protect the appropriate and complete usage of assets security, reliance on information to provide the standards, and enhance the operational efficiency. </w:t>
      </w:r>
    </w:p>
    <w:p>
      <w:pPr>
        <w:jc w:val="both"/>
        <w:rPr>
          <w:rFonts w:ascii="Times New Roman" w:hAnsi="Times New Roman" w:cs="Times New Roman"/>
          <w:b/>
        </w:rPr>
      </w:pPr>
      <w:r>
        <w:rPr>
          <w:rFonts w:ascii="Times New Roman" w:hAnsi="Times New Roman" w:cs="Times New Roman"/>
          <w:b/>
        </w:rPr>
        <w:t>Quarter 4</w:t>
      </w:r>
    </w:p>
    <w:p>
      <w:pPr>
        <w:jc w:val="both"/>
        <w:rPr>
          <w:rFonts w:ascii="Times New Roman" w:hAnsi="Times New Roman" w:cs="Times New Roman"/>
        </w:rPr>
      </w:pPr>
      <w:r>
        <w:rPr>
          <w:rFonts w:ascii="Times New Roman" w:hAnsi="Times New Roman" w:cs="Times New Roman"/>
        </w:rPr>
        <w:t>Corporate governance review- the Management team is separated from Board members under the appointment and supervision, there must be mechanism to keep the independence of management team to ensure the independent directors are effective to comply with good governance code, which can bring the maximum benefits to the company they serve, it can also strengthen the director credibility. Strengthen the transparency of the enterprise- share the operating transaction information to relieve the small shareholders’ worries (</w:t>
      </w:r>
      <w:r>
        <w:rPr>
          <w:rFonts w:ascii="Times New Roman" w:hAnsi="Times New Roman" w:eastAsia="SimSun" w:cs="Times New Roman"/>
          <w:color w:val="222222"/>
        </w:rPr>
        <w:t>Hoffman</w:t>
      </w:r>
      <w:r>
        <w:rPr>
          <w:rFonts w:ascii="Times New Roman" w:hAnsi="Times New Roman" w:eastAsia="PMingLiU" w:cs="Times New Roman"/>
          <w:color w:val="222222"/>
        </w:rPr>
        <w:t xml:space="preserve"> and</w:t>
      </w:r>
      <w:r>
        <w:rPr>
          <w:rFonts w:ascii="Times New Roman" w:hAnsi="Times New Roman" w:eastAsia="SimSun" w:cs="Times New Roman"/>
          <w:color w:val="222222"/>
        </w:rPr>
        <w:t xml:space="preserve"> Zimbelman, 2009.</w:t>
      </w:r>
      <w:r>
        <w:rPr>
          <w:rFonts w:ascii="Times New Roman" w:hAnsi="Times New Roman" w:eastAsia="PMingLiU" w:cs="Times New Roman"/>
          <w:color w:val="222222"/>
        </w:rPr>
        <w:t>)</w:t>
      </w:r>
      <w:r>
        <w:rPr>
          <w:rFonts w:ascii="Times New Roman" w:hAnsi="Times New Roman" w:cs="Times New Roman"/>
        </w:rPr>
        <w:t>.</w:t>
      </w:r>
    </w:p>
    <w:p/>
    <w:p/>
    <w:p/>
    <w:p/>
    <w:p/>
    <w:p>
      <w:pPr>
        <w:rPr>
          <w:rFonts w:hint="default" w:ascii="Times New Roman" w:hAnsi="Times New Roman" w:eastAsia="PMingLiU" w:cs="Times New Roman"/>
          <w:b/>
          <w:bCs/>
          <w:sz w:val="40"/>
          <w:szCs w:val="40"/>
          <w:lang w:val="en-US" w:eastAsia="zh-TW"/>
        </w:rPr>
      </w:pPr>
      <w:r>
        <w:rPr>
          <w:rFonts w:hint="eastAsia" w:ascii="Times New Roman" w:hAnsi="Times New Roman" w:eastAsia="PMingLiU" w:cs="Times New Roman"/>
          <w:b/>
          <w:bCs/>
          <w:sz w:val="40"/>
          <w:szCs w:val="40"/>
          <w:lang w:val="en-US" w:eastAsia="zh-TW"/>
        </w:rPr>
        <w:t>Reference</w:t>
      </w:r>
      <w:r>
        <w:rPr>
          <w:rFonts w:hint="default" w:ascii="Times New Roman" w:hAnsi="Times New Roman" w:eastAsia="PMingLiU" w:cs="Times New Roman"/>
          <w:b/>
          <w:bCs/>
          <w:sz w:val="40"/>
          <w:szCs w:val="40"/>
          <w:lang w:val="en-US" w:eastAsia="zh-TW"/>
        </w:rPr>
        <w:t xml:space="preserve"> </w:t>
      </w: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r>
        <w:rPr>
          <w:rFonts w:hint="default" w:ascii="Times New Roman" w:hAnsi="Times New Roman" w:eastAsia="PMingLiU" w:cs="Times New Roman"/>
          <w:sz w:val="22"/>
          <w:szCs w:val="22"/>
          <w:lang w:val="en-US" w:eastAsia="zh-TW"/>
        </w:rPr>
        <w:t>Aastocks (2019a). Mengniu Corporate Information. Available at:</w:t>
      </w:r>
    </w:p>
    <w:p>
      <w:pPr>
        <w:rPr>
          <w:rStyle w:val="9"/>
          <w:rFonts w:hint="default" w:ascii="Times New Roman" w:hAnsi="Times New Roman" w:cs="Times New Roman"/>
          <w:sz w:val="22"/>
          <w:szCs w:val="22"/>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"http://www.aastocks.com/en/stocks/analysis/company-fundamental/company-information?symbol=02319" </w:instrText>
      </w:r>
      <w:r>
        <w:rPr>
          <w:rFonts w:hint="default" w:ascii="Times New Roman" w:hAnsi="Times New Roman" w:cs="Times New Roman"/>
          <w:sz w:val="22"/>
          <w:szCs w:val="22"/>
        </w:rPr>
        <w:fldChar w:fldCharType="separate"/>
      </w:r>
      <w:r>
        <w:rPr>
          <w:rStyle w:val="9"/>
          <w:rFonts w:hint="default" w:ascii="Times New Roman" w:hAnsi="Times New Roman" w:cs="Times New Roman"/>
          <w:sz w:val="22"/>
          <w:szCs w:val="22"/>
        </w:rPr>
        <w:t>http://www.aastocks.com/en/stocks/analysis/company-fundamental/company-information?symbol=02319</w:t>
      </w:r>
      <w:r>
        <w:rPr>
          <w:rStyle w:val="9"/>
          <w:rFonts w:hint="default" w:ascii="Times New Roman" w:hAnsi="Times New Roman" w:cs="Times New Roman"/>
          <w:sz w:val="22"/>
          <w:szCs w:val="22"/>
        </w:rPr>
        <w:fldChar w:fldCharType="end"/>
      </w:r>
    </w:p>
    <w:p>
      <w:pPr>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t>(Accessed: 05 Aug 2019)</w:t>
      </w: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r>
        <w:rPr>
          <w:rFonts w:hint="default" w:ascii="Times New Roman" w:hAnsi="Times New Roman" w:eastAsia="PMingLiU" w:cs="Times New Roman"/>
          <w:sz w:val="22"/>
          <w:szCs w:val="22"/>
          <w:lang w:val="en-US" w:eastAsia="zh-TW"/>
        </w:rPr>
        <w:t>Aastocks (2019b). Mengniu stock quick quote. Available at:</w:t>
      </w:r>
    </w:p>
    <w:p>
      <w:pPr>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fldChar w:fldCharType="begin"/>
      </w:r>
      <w:r>
        <w:rPr>
          <w:rFonts w:hint="default" w:ascii="Times New Roman" w:hAnsi="Times New Roman" w:cs="Times New Roman"/>
          <w:sz w:val="22"/>
          <w:szCs w:val="22"/>
          <w:lang w:val="en-US" w:eastAsia="zh-TW"/>
        </w:rPr>
        <w:instrText xml:space="preserve"> HYPERLINK "http://www.aastocks.com/en/stocks/quote/quick-quote.aspx?symbol=02319" </w:instrText>
      </w:r>
      <w:r>
        <w:rPr>
          <w:rFonts w:hint="default" w:ascii="Times New Roman" w:hAnsi="Times New Roman" w:cs="Times New Roman"/>
          <w:sz w:val="22"/>
          <w:szCs w:val="22"/>
          <w:lang w:val="en-US" w:eastAsia="zh-TW"/>
        </w:rPr>
        <w:fldChar w:fldCharType="separate"/>
      </w:r>
      <w:r>
        <w:rPr>
          <w:rStyle w:val="9"/>
          <w:rFonts w:hint="default" w:ascii="Times New Roman" w:hAnsi="Times New Roman" w:cs="Times New Roman"/>
          <w:sz w:val="22"/>
          <w:szCs w:val="22"/>
          <w:lang w:val="en-US" w:eastAsia="zh-TW"/>
        </w:rPr>
        <w:t>http://www.aastocks.com/en/stocks/quote/quick-quote.aspx?symbol=02319</w:t>
      </w:r>
      <w:r>
        <w:rPr>
          <w:rFonts w:hint="default" w:ascii="Times New Roman" w:hAnsi="Times New Roman" w:cs="Times New Roman"/>
          <w:sz w:val="22"/>
          <w:szCs w:val="22"/>
          <w:lang w:val="en-US" w:eastAsia="zh-TW"/>
        </w:rPr>
        <w:fldChar w:fldCharType="end"/>
      </w:r>
    </w:p>
    <w:p>
      <w:pPr>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t>(Accessed: 05 Aug 2019)</w:t>
      </w:r>
    </w:p>
    <w:p>
      <w:pPr>
        <w:rPr>
          <w:rFonts w:hint="default" w:ascii="Times New Roman" w:hAnsi="Times New Roman" w:cs="Times New Roman"/>
          <w:sz w:val="22"/>
          <w:szCs w:val="22"/>
          <w:lang w:val="en-US" w:eastAsia="zh-TW"/>
        </w:rPr>
      </w:pPr>
    </w:p>
    <w:p>
      <w:pPr>
        <w:rPr>
          <w:rFonts w:hint="default" w:ascii="Times New Roman" w:hAnsi="Times New Roman" w:eastAsia="PMingLiU" w:cs="Times New Roman"/>
          <w:sz w:val="22"/>
          <w:szCs w:val="22"/>
          <w:lang w:val="en-US" w:eastAsia="zh-TW"/>
        </w:rPr>
      </w:pPr>
      <w:r>
        <w:rPr>
          <w:rFonts w:hint="default" w:ascii="Times New Roman" w:hAnsi="Times New Roman" w:eastAsia="SimSun" w:cs="Times New Roman"/>
          <w:i w:val="0"/>
          <w:caps w:val="0"/>
          <w:color w:val="222222"/>
          <w:spacing w:val="0"/>
          <w:sz w:val="22"/>
          <w:szCs w:val="22"/>
          <w:u w:val="none"/>
        </w:rPr>
        <w:t xml:space="preserve">Adrian, T. and Shin, H.S., 2010. Liquidity and leverage. </w:t>
      </w:r>
      <w:r>
        <w:rPr>
          <w:rFonts w:hint="default" w:ascii="Times New Roman" w:hAnsi="Times New Roman" w:eastAsia="SimSun" w:cs="Times New Roman"/>
          <w:i/>
          <w:caps w:val="0"/>
          <w:color w:val="222222"/>
          <w:spacing w:val="0"/>
          <w:sz w:val="22"/>
          <w:szCs w:val="22"/>
          <w:u w:val="none"/>
          <w:vertAlign w:val="baseline"/>
        </w:rPr>
        <w:t>Journal of financial intermediation</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19</w:t>
      </w:r>
      <w:r>
        <w:rPr>
          <w:rFonts w:hint="default" w:ascii="Times New Roman" w:hAnsi="Times New Roman" w:eastAsia="SimSun" w:cs="Times New Roman"/>
          <w:i w:val="0"/>
          <w:caps w:val="0"/>
          <w:color w:val="222222"/>
          <w:spacing w:val="0"/>
          <w:sz w:val="22"/>
          <w:szCs w:val="22"/>
          <w:u w:val="none"/>
        </w:rPr>
        <w:t>(3), pp.418-437.</w:t>
      </w: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r>
        <w:rPr>
          <w:rFonts w:hint="default" w:ascii="Times New Roman" w:hAnsi="Times New Roman" w:cs="Times New Roman"/>
          <w:sz w:val="22"/>
          <w:szCs w:val="22"/>
          <w:lang w:val="en-US" w:eastAsia="zh-TW"/>
        </w:rPr>
        <w:t>Ausnutria Dairy Corporation Limited (2017). Annual Report. Available at:</w:t>
      </w:r>
      <w:r>
        <w:rPr>
          <w:rFonts w:hint="default" w:ascii="Times New Roman" w:hAnsi="Times New Roman" w:eastAsia="PMingLiU" w:cs="Times New Roman"/>
          <w:sz w:val="22"/>
          <w:szCs w:val="22"/>
          <w:lang w:val="en-US" w:eastAsia="zh-TW"/>
        </w:rPr>
        <w:t xml:space="preserve"> </w:t>
      </w:r>
      <w:r>
        <w:rPr>
          <w:rFonts w:hint="default" w:ascii="Times New Roman" w:hAnsi="Times New Roman" w:eastAsia="PMingLiU" w:cs="Times New Roman"/>
          <w:sz w:val="22"/>
          <w:szCs w:val="22"/>
          <w:lang w:val="en-US" w:eastAsia="zh-TW"/>
        </w:rPr>
        <w:fldChar w:fldCharType="begin"/>
      </w:r>
      <w:r>
        <w:rPr>
          <w:rFonts w:hint="default" w:ascii="Times New Roman" w:hAnsi="Times New Roman" w:eastAsia="PMingLiU" w:cs="Times New Roman"/>
          <w:sz w:val="22"/>
          <w:szCs w:val="22"/>
          <w:lang w:val="en-US" w:eastAsia="zh-TW"/>
        </w:rPr>
        <w:instrText xml:space="preserve"> HYPERLINK "https://www1.hkexnews.hk/listedco/listconews/sehk/2017/0421/ltn20170421693.pdf" </w:instrText>
      </w:r>
      <w:r>
        <w:rPr>
          <w:rFonts w:hint="default" w:ascii="Times New Roman" w:hAnsi="Times New Roman" w:eastAsia="PMingLiU" w:cs="Times New Roman"/>
          <w:sz w:val="22"/>
          <w:szCs w:val="22"/>
          <w:lang w:val="en-US" w:eastAsia="zh-TW"/>
        </w:rPr>
        <w:fldChar w:fldCharType="separate"/>
      </w:r>
      <w:r>
        <w:rPr>
          <w:rStyle w:val="9"/>
          <w:rFonts w:hint="default" w:ascii="Times New Roman" w:hAnsi="Times New Roman" w:eastAsia="PMingLiU" w:cs="Times New Roman"/>
          <w:sz w:val="22"/>
          <w:szCs w:val="22"/>
          <w:lang w:val="en-US" w:eastAsia="zh-TW"/>
        </w:rPr>
        <w:t>https://www1.hkexnews.hk/listedco/listconews/sehk/2017/0421/ltn20170421693.pdf</w:t>
      </w:r>
      <w:r>
        <w:rPr>
          <w:rFonts w:hint="default" w:ascii="Times New Roman" w:hAnsi="Times New Roman" w:eastAsia="PMingLiU" w:cs="Times New Roman"/>
          <w:sz w:val="22"/>
          <w:szCs w:val="22"/>
          <w:lang w:val="en-US" w:eastAsia="zh-TW"/>
        </w:rPr>
        <w:fldChar w:fldCharType="end"/>
      </w:r>
    </w:p>
    <w:p>
      <w:pPr>
        <w:rPr>
          <w:rFonts w:hint="default" w:ascii="Times New Roman" w:hAnsi="Times New Roman" w:eastAsia="PMingLiU" w:cs="Times New Roman"/>
          <w:sz w:val="22"/>
          <w:szCs w:val="22"/>
          <w:lang w:val="en-US" w:eastAsia="zh-TW"/>
        </w:rPr>
      </w:pPr>
      <w:r>
        <w:rPr>
          <w:rFonts w:hint="default" w:ascii="Times New Roman" w:hAnsi="Times New Roman" w:eastAsia="PMingLiU" w:cs="Times New Roman"/>
          <w:sz w:val="22"/>
          <w:szCs w:val="22"/>
          <w:lang w:val="en-US" w:eastAsia="zh-TW"/>
        </w:rPr>
        <w:t>(Accessed: 05 Aug 2019)</w:t>
      </w:r>
    </w:p>
    <w:p>
      <w:pPr>
        <w:rPr>
          <w:rFonts w:hint="default" w:ascii="Times New Roman" w:hAnsi="Times New Roman" w:cs="Times New Roman"/>
          <w:sz w:val="22"/>
          <w:szCs w:val="22"/>
          <w:lang w:val="en-US" w:eastAsia="zh-TW"/>
        </w:rPr>
      </w:pPr>
    </w:p>
    <w:p>
      <w:pPr>
        <w:rPr>
          <w:rFonts w:hint="default" w:ascii="Times New Roman" w:hAnsi="Times New Roman" w:eastAsia="PMingLiU" w:cs="Times New Roman"/>
          <w:sz w:val="22"/>
          <w:szCs w:val="22"/>
          <w:lang w:val="en-US" w:eastAsia="zh-TW"/>
        </w:rPr>
      </w:pPr>
      <w:r>
        <w:rPr>
          <w:rFonts w:hint="default" w:ascii="Times New Roman" w:hAnsi="Times New Roman" w:cs="Times New Roman"/>
          <w:sz w:val="22"/>
          <w:szCs w:val="22"/>
          <w:lang w:val="en-US" w:eastAsia="zh-TW"/>
        </w:rPr>
        <w:t>Ausnutria Dairy Corporation Limited (2018). Annual Report. Available at:</w:t>
      </w:r>
      <w:r>
        <w:rPr>
          <w:rFonts w:hint="default" w:ascii="Times New Roman" w:hAnsi="Times New Roman" w:eastAsia="PMingLiU" w:cs="Times New Roman"/>
          <w:sz w:val="22"/>
          <w:szCs w:val="22"/>
          <w:lang w:val="en-US" w:eastAsia="zh-TW"/>
        </w:rPr>
        <w:t xml:space="preserve"> </w:t>
      </w:r>
      <w:r>
        <w:rPr>
          <w:rFonts w:hint="default" w:ascii="Times New Roman" w:hAnsi="Times New Roman" w:eastAsia="PMingLiU" w:cs="Times New Roman"/>
          <w:sz w:val="22"/>
          <w:szCs w:val="22"/>
          <w:lang w:val="en-US" w:eastAsia="zh-TW"/>
        </w:rPr>
        <w:fldChar w:fldCharType="begin"/>
      </w:r>
      <w:r>
        <w:rPr>
          <w:rFonts w:hint="default" w:ascii="Times New Roman" w:hAnsi="Times New Roman" w:eastAsia="PMingLiU" w:cs="Times New Roman"/>
          <w:sz w:val="22"/>
          <w:szCs w:val="22"/>
          <w:lang w:val="en-US" w:eastAsia="zh-TW"/>
        </w:rPr>
        <w:instrText xml:space="preserve"> HYPERLINK "https://www1.hkexnews.hk/listedco/listconews/sehk/2018/0409/ltn20180409443.pdf" </w:instrText>
      </w:r>
      <w:r>
        <w:rPr>
          <w:rFonts w:hint="default" w:ascii="Times New Roman" w:hAnsi="Times New Roman" w:eastAsia="PMingLiU" w:cs="Times New Roman"/>
          <w:sz w:val="22"/>
          <w:szCs w:val="22"/>
          <w:lang w:val="en-US" w:eastAsia="zh-TW"/>
        </w:rPr>
        <w:fldChar w:fldCharType="separate"/>
      </w:r>
      <w:r>
        <w:rPr>
          <w:rStyle w:val="9"/>
          <w:rFonts w:hint="default" w:ascii="Times New Roman" w:hAnsi="Times New Roman" w:eastAsia="PMingLiU" w:cs="Times New Roman"/>
          <w:sz w:val="22"/>
          <w:szCs w:val="22"/>
          <w:lang w:val="en-US" w:eastAsia="zh-TW"/>
        </w:rPr>
        <w:t>https://www1.hkexnews.hk/listedco/listconews/sehk/2018/0409/ltn20180409443.pdf</w:t>
      </w:r>
      <w:r>
        <w:rPr>
          <w:rFonts w:hint="default" w:ascii="Times New Roman" w:hAnsi="Times New Roman" w:eastAsia="PMingLiU" w:cs="Times New Roman"/>
          <w:sz w:val="22"/>
          <w:szCs w:val="22"/>
          <w:lang w:val="en-US" w:eastAsia="zh-TW"/>
        </w:rPr>
        <w:fldChar w:fldCharType="end"/>
      </w:r>
    </w:p>
    <w:p>
      <w:pPr>
        <w:rPr>
          <w:rFonts w:hint="default" w:ascii="Times New Roman" w:hAnsi="Times New Roman" w:eastAsia="PMingLiU" w:cs="Times New Roman"/>
          <w:sz w:val="22"/>
          <w:szCs w:val="22"/>
          <w:lang w:val="en-US" w:eastAsia="zh-TW"/>
        </w:rPr>
      </w:pPr>
      <w:r>
        <w:rPr>
          <w:rFonts w:hint="default" w:ascii="Times New Roman" w:hAnsi="Times New Roman" w:eastAsia="PMingLiU" w:cs="Times New Roman"/>
          <w:sz w:val="22"/>
          <w:szCs w:val="22"/>
          <w:lang w:val="en-US" w:eastAsia="zh-TW"/>
        </w:rPr>
        <w:t>(Accessed: 05 Aug 2019)</w:t>
      </w:r>
    </w:p>
    <w:p>
      <w:pPr>
        <w:rPr>
          <w:rFonts w:hint="default" w:ascii="Times New Roman" w:hAnsi="Times New Roman" w:cs="Times New Roman"/>
          <w:sz w:val="22"/>
          <w:szCs w:val="22"/>
          <w:lang w:val="en-US" w:eastAsia="zh-TW"/>
        </w:rPr>
      </w:pPr>
    </w:p>
    <w:p>
      <w:pPr>
        <w:rPr>
          <w:rFonts w:hint="default" w:ascii="Times New Roman" w:hAnsi="Times New Roman" w:eastAsia="PMingLiU" w:cs="Times New Roman"/>
          <w:sz w:val="22"/>
          <w:szCs w:val="22"/>
          <w:lang w:val="en-US" w:eastAsia="zh-TW"/>
        </w:rPr>
      </w:pPr>
      <w:r>
        <w:rPr>
          <w:rFonts w:hint="default" w:ascii="Times New Roman" w:hAnsi="Times New Roman" w:cs="Times New Roman"/>
          <w:sz w:val="22"/>
          <w:szCs w:val="22"/>
          <w:lang w:val="en-US" w:eastAsia="zh-TW"/>
        </w:rPr>
        <w:t>Ausnutria Dairy Corporation Limited (2019). Annual Report. Available at:</w:t>
      </w:r>
      <w:r>
        <w:rPr>
          <w:rFonts w:hint="default" w:ascii="Times New Roman" w:hAnsi="Times New Roman" w:eastAsia="PMingLiU" w:cs="Times New Roman"/>
          <w:sz w:val="22"/>
          <w:szCs w:val="22"/>
          <w:lang w:val="en-US" w:eastAsia="zh-TW"/>
        </w:rPr>
        <w:t xml:space="preserve"> </w:t>
      </w:r>
      <w:r>
        <w:rPr>
          <w:rFonts w:hint="default" w:ascii="Times New Roman" w:hAnsi="Times New Roman" w:eastAsia="PMingLiU" w:cs="Times New Roman"/>
          <w:sz w:val="22"/>
          <w:szCs w:val="22"/>
          <w:lang w:val="en-US" w:eastAsia="zh-TW"/>
        </w:rPr>
        <w:fldChar w:fldCharType="begin"/>
      </w:r>
      <w:r>
        <w:rPr>
          <w:rFonts w:hint="default" w:ascii="Times New Roman" w:hAnsi="Times New Roman" w:eastAsia="PMingLiU" w:cs="Times New Roman"/>
          <w:sz w:val="22"/>
          <w:szCs w:val="22"/>
          <w:lang w:val="en-US" w:eastAsia="zh-TW"/>
        </w:rPr>
        <w:instrText xml:space="preserve"> HYPERLINK "https://www1.hkexnews.hk/listedco/listconews/sehk/2019/0403/ltn201904031613.pdf" </w:instrText>
      </w:r>
      <w:r>
        <w:rPr>
          <w:rFonts w:hint="default" w:ascii="Times New Roman" w:hAnsi="Times New Roman" w:eastAsia="PMingLiU" w:cs="Times New Roman"/>
          <w:sz w:val="22"/>
          <w:szCs w:val="22"/>
          <w:lang w:val="en-US" w:eastAsia="zh-TW"/>
        </w:rPr>
        <w:fldChar w:fldCharType="separate"/>
      </w:r>
      <w:r>
        <w:rPr>
          <w:rStyle w:val="9"/>
          <w:rFonts w:hint="default" w:ascii="Times New Roman" w:hAnsi="Times New Roman" w:eastAsia="PMingLiU" w:cs="Times New Roman"/>
          <w:sz w:val="22"/>
          <w:szCs w:val="22"/>
          <w:lang w:val="en-US" w:eastAsia="zh-TW"/>
        </w:rPr>
        <w:t>https://www1.hkexnews.hk/listedco/listconews/sehk/2019/0403/ltn201904031613.pdf</w:t>
      </w:r>
      <w:r>
        <w:rPr>
          <w:rFonts w:hint="default" w:ascii="Times New Roman" w:hAnsi="Times New Roman" w:eastAsia="PMingLiU" w:cs="Times New Roman"/>
          <w:sz w:val="22"/>
          <w:szCs w:val="22"/>
          <w:lang w:val="en-US" w:eastAsia="zh-TW"/>
        </w:rPr>
        <w:fldChar w:fldCharType="end"/>
      </w:r>
    </w:p>
    <w:p>
      <w:pPr>
        <w:rPr>
          <w:rFonts w:hint="default" w:ascii="Times New Roman" w:hAnsi="Times New Roman" w:eastAsia="PMingLiU" w:cs="Times New Roman"/>
          <w:sz w:val="22"/>
          <w:szCs w:val="22"/>
          <w:lang w:val="en-US" w:eastAsia="zh-TW"/>
        </w:rPr>
      </w:pPr>
      <w:r>
        <w:rPr>
          <w:rFonts w:hint="default" w:ascii="Times New Roman" w:hAnsi="Times New Roman" w:eastAsia="PMingLiU" w:cs="Times New Roman"/>
          <w:sz w:val="22"/>
          <w:szCs w:val="22"/>
          <w:lang w:val="en-US" w:eastAsia="zh-TW"/>
        </w:rPr>
        <w:t>(Accessed: 05 Aug 2019)</w:t>
      </w:r>
    </w:p>
    <w:p>
      <w:pPr>
        <w:rPr>
          <w:rFonts w:hint="default" w:ascii="Times New Roman" w:hAnsi="Times New Roman" w:eastAsia="PMingLiU" w:cs="Times New Roman"/>
          <w:sz w:val="22"/>
          <w:szCs w:val="22"/>
          <w:lang w:val="en-US" w:eastAsia="zh-TW"/>
        </w:rPr>
      </w:pPr>
    </w:p>
    <w:p>
      <w:pPr>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Bhandari, L.C., 1988. Debt/equity ratio and expected common stock returns: Empirical evidence. </w:t>
      </w:r>
      <w:r>
        <w:rPr>
          <w:rFonts w:hint="default" w:ascii="Times New Roman" w:hAnsi="Times New Roman" w:eastAsia="SimSun" w:cs="Times New Roman"/>
          <w:i/>
          <w:caps w:val="0"/>
          <w:color w:val="222222"/>
          <w:spacing w:val="0"/>
          <w:sz w:val="22"/>
          <w:szCs w:val="22"/>
          <w:u w:val="none"/>
          <w:vertAlign w:val="baseline"/>
        </w:rPr>
        <w:t>The journal of finance</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43</w:t>
      </w:r>
      <w:r>
        <w:rPr>
          <w:rFonts w:hint="default" w:ascii="Times New Roman" w:hAnsi="Times New Roman" w:eastAsia="SimSun" w:cs="Times New Roman"/>
          <w:i w:val="0"/>
          <w:caps w:val="0"/>
          <w:color w:val="222222"/>
          <w:spacing w:val="0"/>
          <w:sz w:val="22"/>
          <w:szCs w:val="22"/>
          <w:u w:val="none"/>
        </w:rPr>
        <w:t>(2), pp.507-528.</w:t>
      </w:r>
    </w:p>
    <w:p>
      <w:pPr>
        <w:rPr>
          <w:rFonts w:hint="default" w:ascii="Times New Roman" w:hAnsi="Times New Roman" w:eastAsia="SimSun" w:cs="Times New Roman"/>
          <w:i w:val="0"/>
          <w:caps w:val="0"/>
          <w:color w:val="222222"/>
          <w:spacing w:val="0"/>
          <w:sz w:val="22"/>
          <w:szCs w:val="22"/>
          <w:u w:val="none"/>
        </w:rPr>
      </w:pPr>
    </w:p>
    <w:p>
      <w:pPr>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Burja, C. and Burja, V., 2010. Analysis model for inventory management. </w:t>
      </w:r>
      <w:r>
        <w:rPr>
          <w:rFonts w:hint="default" w:ascii="Times New Roman" w:hAnsi="Times New Roman" w:eastAsia="SimSun" w:cs="Times New Roman"/>
          <w:i/>
          <w:caps w:val="0"/>
          <w:color w:val="222222"/>
          <w:spacing w:val="0"/>
          <w:sz w:val="22"/>
          <w:szCs w:val="22"/>
          <w:u w:val="none"/>
          <w:vertAlign w:val="baseline"/>
        </w:rPr>
        <w:t>Annals of the University of Petroşani</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10</w:t>
      </w:r>
      <w:r>
        <w:rPr>
          <w:rFonts w:hint="default" w:ascii="Times New Roman" w:hAnsi="Times New Roman" w:eastAsia="SimSun" w:cs="Times New Roman"/>
          <w:i w:val="0"/>
          <w:caps w:val="0"/>
          <w:color w:val="222222"/>
          <w:spacing w:val="0"/>
          <w:sz w:val="22"/>
          <w:szCs w:val="22"/>
          <w:u w:val="none"/>
        </w:rPr>
        <w:t>(1), pp.43-50.</w:t>
      </w:r>
    </w:p>
    <w:p>
      <w:pPr>
        <w:rPr>
          <w:rFonts w:hint="default" w:ascii="Times New Roman" w:hAnsi="Times New Roman" w:eastAsia="SimSun" w:cs="Times New Roman"/>
          <w:i w:val="0"/>
          <w:caps w:val="0"/>
          <w:color w:val="222222"/>
          <w:spacing w:val="0"/>
          <w:sz w:val="22"/>
          <w:szCs w:val="22"/>
          <w:u w:val="none"/>
        </w:rPr>
      </w:pPr>
    </w:p>
    <w:p>
      <w:pPr>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Botosan, C. A. (1997). Disclosure level and the cost of equity capital. </w:t>
      </w:r>
      <w:r>
        <w:rPr>
          <w:rFonts w:hint="default" w:ascii="Times New Roman" w:hAnsi="Times New Roman" w:eastAsia="SimSun" w:cs="Times New Roman"/>
          <w:i/>
          <w:caps w:val="0"/>
          <w:color w:val="222222"/>
          <w:spacing w:val="0"/>
          <w:sz w:val="22"/>
          <w:szCs w:val="22"/>
          <w:u w:val="none"/>
          <w:vertAlign w:val="baseline"/>
        </w:rPr>
        <w:t>Accounting review</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PMingLiU" w:cs="Times New Roman"/>
          <w:i w:val="0"/>
          <w:caps w:val="0"/>
          <w:color w:val="222222"/>
          <w:spacing w:val="0"/>
          <w:sz w:val="22"/>
          <w:szCs w:val="22"/>
          <w:u w:val="none"/>
          <w:lang w:val="en-US" w:eastAsia="zh-TW"/>
        </w:rPr>
        <w:t>pp.</w:t>
      </w:r>
      <w:r>
        <w:rPr>
          <w:rFonts w:hint="default" w:ascii="Times New Roman" w:hAnsi="Times New Roman" w:eastAsia="SimSun" w:cs="Times New Roman"/>
          <w:i w:val="0"/>
          <w:caps w:val="0"/>
          <w:color w:val="222222"/>
          <w:spacing w:val="0"/>
          <w:sz w:val="22"/>
          <w:szCs w:val="22"/>
          <w:u w:val="none"/>
        </w:rPr>
        <w:t>323-349.</w:t>
      </w:r>
    </w:p>
    <w:p>
      <w:pPr>
        <w:rPr>
          <w:rFonts w:hint="default" w:ascii="Times New Roman" w:hAnsi="Times New Roman" w:eastAsia="SimSun" w:cs="Times New Roman"/>
          <w:i w:val="0"/>
          <w:caps w:val="0"/>
          <w:color w:val="222222"/>
          <w:spacing w:val="0"/>
          <w:sz w:val="22"/>
          <w:szCs w:val="22"/>
          <w:u w:val="none"/>
        </w:rPr>
      </w:pPr>
    </w:p>
    <w:p>
      <w:pPr>
        <w:rPr>
          <w:rFonts w:hint="default" w:ascii="Times New Roman" w:hAnsi="Times New Roman" w:eastAsia="PMingLiU" w:cs="Times New Roman"/>
          <w:sz w:val="22"/>
          <w:szCs w:val="22"/>
          <w:lang w:val="en-US" w:eastAsia="zh-TW"/>
        </w:rPr>
      </w:pPr>
      <w:r>
        <w:rPr>
          <w:rFonts w:hint="default" w:ascii="Times New Roman" w:hAnsi="Times New Roman" w:eastAsia="SimSun" w:cs="Times New Roman"/>
          <w:i w:val="0"/>
          <w:caps w:val="0"/>
          <w:color w:val="222222"/>
          <w:spacing w:val="0"/>
          <w:sz w:val="22"/>
          <w:szCs w:val="22"/>
          <w:u w:val="none"/>
        </w:rPr>
        <w:t xml:space="preserve">Chen, K.H. and Shimerda, T.A., 1981. An empirical analysis of useful financial ratios. </w:t>
      </w:r>
      <w:r>
        <w:rPr>
          <w:rFonts w:hint="default" w:ascii="Times New Roman" w:hAnsi="Times New Roman" w:eastAsia="SimSun" w:cs="Times New Roman"/>
          <w:i/>
          <w:caps w:val="0"/>
          <w:color w:val="222222"/>
          <w:spacing w:val="0"/>
          <w:sz w:val="22"/>
          <w:szCs w:val="22"/>
          <w:u w:val="none"/>
          <w:vertAlign w:val="baseline"/>
        </w:rPr>
        <w:t>Financial Management</w:t>
      </w:r>
      <w:r>
        <w:rPr>
          <w:rFonts w:hint="default" w:ascii="Times New Roman" w:hAnsi="Times New Roman" w:eastAsia="SimSun" w:cs="Times New Roman"/>
          <w:i w:val="0"/>
          <w:caps w:val="0"/>
          <w:color w:val="222222"/>
          <w:spacing w:val="0"/>
          <w:sz w:val="22"/>
          <w:szCs w:val="22"/>
          <w:u w:val="none"/>
        </w:rPr>
        <w:t>, pp.51-60.</w:t>
      </w:r>
    </w:p>
    <w:p>
      <w:pPr>
        <w:rPr>
          <w:rFonts w:hint="default" w:ascii="Times New Roman" w:hAnsi="Times New Roman" w:eastAsia="PMingLiU" w:cs="Times New Roman"/>
          <w:sz w:val="22"/>
          <w:szCs w:val="22"/>
          <w:lang w:val="en-US" w:eastAsia="zh-TW"/>
        </w:rPr>
      </w:pPr>
    </w:p>
    <w:p>
      <w:pPr>
        <w:spacing w:line="360" w:lineRule="auto"/>
        <w:jc w:val="both"/>
        <w:rPr>
          <w:rFonts w:hint="default" w:ascii="Times New Roman" w:hAnsi="Times New Roman" w:cs="Times New Roman"/>
          <w:sz w:val="22"/>
          <w:szCs w:val="22"/>
        </w:rPr>
      </w:pPr>
      <w:r>
        <w:rPr>
          <w:rFonts w:hint="default" w:ascii="Times New Roman" w:hAnsi="Times New Roman" w:eastAsia="PMingLiU" w:cs="Times New Roman"/>
          <w:sz w:val="22"/>
          <w:szCs w:val="22"/>
          <w:lang w:val="en-US" w:eastAsia="zh-TW"/>
        </w:rPr>
        <w:t>China Mengniu Dairy Company Limited</w:t>
      </w:r>
      <w:r>
        <w:rPr>
          <w:rFonts w:hint="default" w:ascii="Times New Roman" w:hAnsi="Times New Roman" w:cs="Times New Roman"/>
          <w:sz w:val="22"/>
          <w:szCs w:val="22"/>
        </w:rPr>
        <w:t xml:space="preserve"> (20</w:t>
      </w:r>
      <w:r>
        <w:rPr>
          <w:rFonts w:hint="default" w:ascii="Times New Roman" w:hAnsi="Times New Roman" w:eastAsia="PMingLiU" w:cs="Times New Roman"/>
          <w:sz w:val="22"/>
          <w:szCs w:val="22"/>
          <w:lang w:val="en-US" w:eastAsia="zh-TW"/>
        </w:rPr>
        <w:t>04</w:t>
      </w:r>
      <w:r>
        <w:rPr>
          <w:rFonts w:hint="default" w:ascii="Times New Roman" w:hAnsi="Times New Roman" w:cs="Times New Roman"/>
          <w:sz w:val="22"/>
          <w:szCs w:val="22"/>
        </w:rPr>
        <w:t xml:space="preserve">). Global Offering. Available at: </w:t>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"https://www1.hkexnews.hk/listedco/listconews/sehk/2004/0608/ltn20040608021.pdf" </w:instrText>
      </w:r>
      <w:r>
        <w:rPr>
          <w:rFonts w:hint="default" w:ascii="Times New Roman" w:hAnsi="Times New Roman" w:cs="Times New Roman"/>
          <w:sz w:val="22"/>
          <w:szCs w:val="22"/>
        </w:rPr>
        <w:fldChar w:fldCharType="separate"/>
      </w:r>
      <w:r>
        <w:rPr>
          <w:rStyle w:val="9"/>
          <w:rFonts w:hint="default" w:ascii="Times New Roman" w:hAnsi="Times New Roman" w:cs="Times New Roman"/>
          <w:sz w:val="22"/>
          <w:szCs w:val="22"/>
        </w:rPr>
        <w:t>https://www1.hkexnews.hk/listedco/listconews/sehk/2004/0608/ltn20040608021.pdf</w:t>
      </w:r>
      <w:r>
        <w:rPr>
          <w:rFonts w:hint="default" w:ascii="Times New Roman" w:hAnsi="Times New Roman" w:cs="Times New Roman"/>
          <w:sz w:val="22"/>
          <w:szCs w:val="22"/>
        </w:rPr>
        <w:fldChar w:fldCharType="end"/>
      </w:r>
    </w:p>
    <w:p>
      <w:pPr>
        <w:spacing w:line="360" w:lineRule="auto"/>
        <w:jc w:val="both"/>
        <w:rPr>
          <w:rFonts w:hint="default" w:ascii="Times New Roman" w:hAnsi="Times New Roman" w:cs="Times New Roman"/>
          <w:sz w:val="22"/>
          <w:szCs w:val="22"/>
          <w:shd w:val="clear" w:color="auto" w:fill="FFFFFF"/>
        </w:rPr>
      </w:pPr>
      <w:r>
        <w:rPr>
          <w:rFonts w:hint="default" w:ascii="Times New Roman" w:hAnsi="Times New Roman" w:cs="Times New Roman"/>
          <w:sz w:val="22"/>
          <w:szCs w:val="22"/>
          <w:shd w:val="clear" w:color="auto" w:fill="FFFFFF"/>
        </w:rPr>
        <w:t xml:space="preserve">(Accessed: </w:t>
      </w:r>
      <w:r>
        <w:rPr>
          <w:rFonts w:hint="default" w:ascii="Times New Roman" w:hAnsi="Times New Roman" w:eastAsia="PMingLiU" w:cs="Times New Roman"/>
          <w:sz w:val="22"/>
          <w:szCs w:val="22"/>
          <w:shd w:val="clear" w:color="auto" w:fill="FFFFFF"/>
          <w:lang w:val="en-US" w:eastAsia="zh-TW"/>
        </w:rPr>
        <w:t>05 Aug</w:t>
      </w:r>
      <w:r>
        <w:rPr>
          <w:rFonts w:hint="default" w:ascii="Times New Roman" w:hAnsi="Times New Roman" w:cs="Times New Roman"/>
          <w:sz w:val="22"/>
          <w:szCs w:val="22"/>
          <w:shd w:val="clear" w:color="auto" w:fill="FFFFFF"/>
        </w:rPr>
        <w:t xml:space="preserve"> 2019)</w:t>
      </w:r>
    </w:p>
    <w:p>
      <w:pPr>
        <w:rPr>
          <w:rFonts w:hint="default" w:ascii="Times New Roman" w:hAnsi="Times New Roman" w:eastAsia="PMingLiU" w:cs="Times New Roman"/>
          <w:sz w:val="22"/>
          <w:szCs w:val="22"/>
          <w:lang w:val="en-US" w:eastAsia="zh-TW"/>
        </w:rPr>
      </w:pPr>
    </w:p>
    <w:p>
      <w:pPr>
        <w:spacing w:line="360" w:lineRule="auto"/>
        <w:jc w:val="both"/>
        <w:rPr>
          <w:rFonts w:hint="default" w:ascii="Times New Roman" w:hAnsi="Times New Roman" w:eastAsia="PMingLiU" w:cs="Times New Roman"/>
          <w:sz w:val="22"/>
          <w:szCs w:val="22"/>
          <w:lang w:val="en-US" w:eastAsia="zh-TW"/>
        </w:rPr>
      </w:pPr>
      <w:r>
        <w:rPr>
          <w:rFonts w:hint="default" w:ascii="Times New Roman" w:hAnsi="Times New Roman" w:eastAsia="PMingLiU" w:cs="Times New Roman"/>
          <w:sz w:val="22"/>
          <w:szCs w:val="22"/>
          <w:lang w:val="en-US" w:eastAsia="zh-TW"/>
        </w:rPr>
        <w:t>China Mengniu Dairy Company Limited</w:t>
      </w:r>
      <w:r>
        <w:rPr>
          <w:rFonts w:hint="default" w:ascii="Times New Roman" w:hAnsi="Times New Roman" w:cs="Times New Roman"/>
          <w:sz w:val="22"/>
          <w:szCs w:val="22"/>
        </w:rPr>
        <w:t xml:space="preserve"> (20</w:t>
      </w:r>
      <w:r>
        <w:rPr>
          <w:rFonts w:hint="default" w:ascii="Times New Roman" w:hAnsi="Times New Roman" w:eastAsia="PMingLiU" w:cs="Times New Roman"/>
          <w:sz w:val="22"/>
          <w:szCs w:val="22"/>
          <w:lang w:val="en-US" w:eastAsia="zh-TW"/>
        </w:rPr>
        <w:t>17</w:t>
      </w:r>
      <w:r>
        <w:rPr>
          <w:rFonts w:hint="default" w:ascii="Times New Roman" w:hAnsi="Times New Roman" w:cs="Times New Roman"/>
          <w:sz w:val="22"/>
          <w:szCs w:val="22"/>
        </w:rPr>
        <w:t xml:space="preserve">). </w:t>
      </w:r>
      <w:r>
        <w:rPr>
          <w:rFonts w:hint="default" w:ascii="Times New Roman" w:hAnsi="Times New Roman" w:eastAsia="PMingLiU" w:cs="Times New Roman"/>
          <w:sz w:val="22"/>
          <w:szCs w:val="22"/>
          <w:lang w:val="en-US" w:eastAsia="zh-TW"/>
        </w:rPr>
        <w:t>Annual Report</w:t>
      </w:r>
      <w:r>
        <w:rPr>
          <w:rFonts w:hint="default" w:ascii="Times New Roman" w:hAnsi="Times New Roman" w:cs="Times New Roman"/>
          <w:sz w:val="22"/>
          <w:szCs w:val="22"/>
        </w:rPr>
        <w:t xml:space="preserve">. Available at: </w:t>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"https://www1.hkexnews.hk/listedco/listconews/sehk/2017/0427/ltn20170427880.pdf" </w:instrText>
      </w:r>
      <w:r>
        <w:rPr>
          <w:rFonts w:hint="default" w:ascii="Times New Roman" w:hAnsi="Times New Roman" w:cs="Times New Roman"/>
          <w:sz w:val="22"/>
          <w:szCs w:val="22"/>
        </w:rPr>
        <w:fldChar w:fldCharType="separate"/>
      </w:r>
      <w:r>
        <w:rPr>
          <w:rStyle w:val="9"/>
          <w:rFonts w:hint="default" w:ascii="Times New Roman" w:hAnsi="Times New Roman" w:cs="Times New Roman"/>
          <w:sz w:val="22"/>
          <w:szCs w:val="22"/>
        </w:rPr>
        <w:t>https://www1.hkexnews.hk/listedco/listconews/sehk/2017/0427/ltn20170427880.pdf</w:t>
      </w:r>
      <w:r>
        <w:rPr>
          <w:rFonts w:hint="default" w:ascii="Times New Roman" w:hAnsi="Times New Roman" w:cs="Times New Roman"/>
          <w:sz w:val="22"/>
          <w:szCs w:val="22"/>
        </w:rPr>
        <w:fldChar w:fldCharType="end"/>
      </w:r>
    </w:p>
    <w:p>
      <w:pPr>
        <w:spacing w:line="360" w:lineRule="auto"/>
        <w:jc w:val="both"/>
        <w:rPr>
          <w:rFonts w:hint="default" w:ascii="Times New Roman" w:hAnsi="Times New Roman" w:cs="Times New Roman"/>
          <w:sz w:val="22"/>
          <w:szCs w:val="22"/>
          <w:shd w:val="clear" w:color="auto" w:fill="FFFFFF"/>
        </w:rPr>
      </w:pPr>
      <w:r>
        <w:rPr>
          <w:rFonts w:hint="default" w:ascii="Times New Roman" w:hAnsi="Times New Roman" w:cs="Times New Roman"/>
          <w:sz w:val="22"/>
          <w:szCs w:val="22"/>
          <w:shd w:val="clear" w:color="auto" w:fill="FFFFFF"/>
        </w:rPr>
        <w:t xml:space="preserve">(Accessed: </w:t>
      </w:r>
      <w:r>
        <w:rPr>
          <w:rFonts w:hint="default" w:ascii="Times New Roman" w:hAnsi="Times New Roman" w:eastAsia="PMingLiU" w:cs="Times New Roman"/>
          <w:sz w:val="22"/>
          <w:szCs w:val="22"/>
          <w:shd w:val="clear" w:color="auto" w:fill="FFFFFF"/>
          <w:lang w:val="en-US" w:eastAsia="zh-TW"/>
        </w:rPr>
        <w:t>05 Aug</w:t>
      </w:r>
      <w:r>
        <w:rPr>
          <w:rFonts w:hint="default" w:ascii="Times New Roman" w:hAnsi="Times New Roman" w:cs="Times New Roman"/>
          <w:sz w:val="22"/>
          <w:szCs w:val="22"/>
          <w:shd w:val="clear" w:color="auto" w:fill="FFFFFF"/>
        </w:rPr>
        <w:t xml:space="preserve"> 2019)</w:t>
      </w:r>
    </w:p>
    <w:p>
      <w:pPr>
        <w:rPr>
          <w:rFonts w:hint="default" w:ascii="Times New Roman" w:hAnsi="Times New Roman" w:eastAsia="PMingLiU" w:cs="Times New Roman"/>
          <w:sz w:val="22"/>
          <w:szCs w:val="22"/>
          <w:lang w:val="en-US" w:eastAsia="zh-TW"/>
        </w:rPr>
      </w:pPr>
    </w:p>
    <w:p>
      <w:pPr>
        <w:spacing w:line="360" w:lineRule="auto"/>
        <w:jc w:val="both"/>
        <w:rPr>
          <w:rFonts w:hint="default" w:ascii="Times New Roman" w:hAnsi="Times New Roman" w:cs="Times New Roman"/>
          <w:sz w:val="22"/>
          <w:szCs w:val="22"/>
        </w:rPr>
      </w:pPr>
      <w:r>
        <w:rPr>
          <w:rFonts w:hint="default" w:ascii="Times New Roman" w:hAnsi="Times New Roman" w:eastAsia="PMingLiU" w:cs="Times New Roman"/>
          <w:sz w:val="22"/>
          <w:szCs w:val="22"/>
          <w:lang w:val="en-US" w:eastAsia="zh-TW"/>
        </w:rPr>
        <w:t>China Mengniu Dairy Company Limited</w:t>
      </w:r>
      <w:r>
        <w:rPr>
          <w:rFonts w:hint="default" w:ascii="Times New Roman" w:hAnsi="Times New Roman" w:cs="Times New Roman"/>
          <w:sz w:val="22"/>
          <w:szCs w:val="22"/>
        </w:rPr>
        <w:t xml:space="preserve"> (20</w:t>
      </w:r>
      <w:r>
        <w:rPr>
          <w:rFonts w:hint="default" w:ascii="Times New Roman" w:hAnsi="Times New Roman" w:eastAsia="PMingLiU" w:cs="Times New Roman"/>
          <w:sz w:val="22"/>
          <w:szCs w:val="22"/>
          <w:lang w:val="en-US" w:eastAsia="zh-TW"/>
        </w:rPr>
        <w:t>18</w:t>
      </w:r>
      <w:r>
        <w:rPr>
          <w:rFonts w:hint="default" w:ascii="Times New Roman" w:hAnsi="Times New Roman" w:cs="Times New Roman"/>
          <w:sz w:val="22"/>
          <w:szCs w:val="22"/>
        </w:rPr>
        <w:t xml:space="preserve">). </w:t>
      </w:r>
      <w:r>
        <w:rPr>
          <w:rFonts w:hint="default" w:ascii="Times New Roman" w:hAnsi="Times New Roman" w:eastAsia="PMingLiU" w:cs="Times New Roman"/>
          <w:sz w:val="22"/>
          <w:szCs w:val="22"/>
          <w:lang w:val="en-US" w:eastAsia="zh-TW"/>
        </w:rPr>
        <w:t>Annual Report</w:t>
      </w:r>
      <w:r>
        <w:rPr>
          <w:rFonts w:hint="default" w:ascii="Times New Roman" w:hAnsi="Times New Roman" w:cs="Times New Roman"/>
          <w:sz w:val="22"/>
          <w:szCs w:val="22"/>
        </w:rPr>
        <w:t xml:space="preserve">. Available at: </w:t>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"https://www1.hkexnews.hk/listedco/listconews/sehk/2004/0608/ltn20040608021.pdf" </w:instrText>
      </w:r>
      <w:r>
        <w:rPr>
          <w:rFonts w:hint="default" w:ascii="Times New Roman" w:hAnsi="Times New Roman" w:cs="Times New Roman"/>
          <w:sz w:val="22"/>
          <w:szCs w:val="22"/>
        </w:rPr>
        <w:fldChar w:fldCharType="separate"/>
      </w:r>
      <w:r>
        <w:rPr>
          <w:rStyle w:val="9"/>
          <w:rFonts w:hint="default" w:ascii="Times New Roman" w:hAnsi="Times New Roman" w:cs="Times New Roman"/>
          <w:sz w:val="22"/>
          <w:szCs w:val="22"/>
        </w:rPr>
        <w:t>https://www1.hkexnews.hk/listedco/listconews/sehk/2004/0608/ltn20040608021.pdf</w:t>
      </w:r>
      <w:r>
        <w:rPr>
          <w:rFonts w:hint="default" w:ascii="Times New Roman" w:hAnsi="Times New Roman" w:cs="Times New Roman"/>
          <w:sz w:val="22"/>
          <w:szCs w:val="22"/>
        </w:rPr>
        <w:fldChar w:fldCharType="end"/>
      </w:r>
    </w:p>
    <w:p>
      <w:pPr>
        <w:spacing w:line="360" w:lineRule="auto"/>
        <w:jc w:val="both"/>
        <w:rPr>
          <w:rFonts w:hint="default" w:ascii="Times New Roman" w:hAnsi="Times New Roman" w:cs="Times New Roman"/>
          <w:sz w:val="22"/>
          <w:szCs w:val="22"/>
          <w:shd w:val="clear" w:color="auto" w:fill="FFFFFF"/>
        </w:rPr>
      </w:pPr>
      <w:r>
        <w:rPr>
          <w:rFonts w:hint="default" w:ascii="Times New Roman" w:hAnsi="Times New Roman" w:cs="Times New Roman"/>
          <w:sz w:val="22"/>
          <w:szCs w:val="22"/>
          <w:shd w:val="clear" w:color="auto" w:fill="FFFFFF"/>
        </w:rPr>
        <w:t xml:space="preserve">(Accessed: </w:t>
      </w:r>
      <w:r>
        <w:rPr>
          <w:rFonts w:hint="default" w:ascii="Times New Roman" w:hAnsi="Times New Roman" w:eastAsia="PMingLiU" w:cs="Times New Roman"/>
          <w:sz w:val="22"/>
          <w:szCs w:val="22"/>
          <w:shd w:val="clear" w:color="auto" w:fill="FFFFFF"/>
          <w:lang w:val="en-US" w:eastAsia="zh-TW"/>
        </w:rPr>
        <w:t>05 Aug</w:t>
      </w:r>
      <w:r>
        <w:rPr>
          <w:rFonts w:hint="default" w:ascii="Times New Roman" w:hAnsi="Times New Roman" w:cs="Times New Roman"/>
          <w:sz w:val="22"/>
          <w:szCs w:val="22"/>
          <w:shd w:val="clear" w:color="auto" w:fill="FFFFFF"/>
        </w:rPr>
        <w:t xml:space="preserve"> 2019)</w:t>
      </w:r>
    </w:p>
    <w:p>
      <w:pPr>
        <w:spacing w:line="360" w:lineRule="auto"/>
        <w:jc w:val="both"/>
        <w:rPr>
          <w:rFonts w:hint="default" w:ascii="Times New Roman" w:hAnsi="Times New Roman" w:eastAsia="PMingLiU" w:cs="Times New Roman"/>
          <w:sz w:val="22"/>
          <w:szCs w:val="22"/>
          <w:lang w:val="en-US" w:eastAsia="zh-TW"/>
        </w:rPr>
      </w:pPr>
    </w:p>
    <w:p>
      <w:pPr>
        <w:spacing w:line="360" w:lineRule="auto"/>
        <w:jc w:val="both"/>
        <w:rPr>
          <w:rFonts w:hint="default" w:ascii="Times New Roman" w:hAnsi="Times New Roman" w:cs="Times New Roman"/>
          <w:sz w:val="22"/>
          <w:szCs w:val="22"/>
        </w:rPr>
      </w:pPr>
      <w:r>
        <w:rPr>
          <w:rFonts w:hint="default" w:ascii="Times New Roman" w:hAnsi="Times New Roman" w:eastAsia="PMingLiU" w:cs="Times New Roman"/>
          <w:sz w:val="22"/>
          <w:szCs w:val="22"/>
          <w:lang w:val="en-US" w:eastAsia="zh-TW"/>
        </w:rPr>
        <w:t>China Mengniu Dairy Company Limited</w:t>
      </w:r>
      <w:r>
        <w:rPr>
          <w:rFonts w:hint="default" w:ascii="Times New Roman" w:hAnsi="Times New Roman" w:cs="Times New Roman"/>
          <w:sz w:val="22"/>
          <w:szCs w:val="22"/>
        </w:rPr>
        <w:t xml:space="preserve"> (20</w:t>
      </w:r>
      <w:r>
        <w:rPr>
          <w:rFonts w:hint="default" w:ascii="Times New Roman" w:hAnsi="Times New Roman" w:eastAsia="PMingLiU" w:cs="Times New Roman"/>
          <w:sz w:val="22"/>
          <w:szCs w:val="22"/>
          <w:lang w:val="en-US" w:eastAsia="zh-TW"/>
        </w:rPr>
        <w:t>19</w:t>
      </w:r>
      <w:r>
        <w:rPr>
          <w:rFonts w:hint="default" w:ascii="Times New Roman" w:hAnsi="Times New Roman" w:cs="Times New Roman"/>
          <w:sz w:val="22"/>
          <w:szCs w:val="22"/>
        </w:rPr>
        <w:t xml:space="preserve">). </w:t>
      </w:r>
      <w:r>
        <w:rPr>
          <w:rFonts w:hint="default" w:ascii="Times New Roman" w:hAnsi="Times New Roman" w:eastAsia="PMingLiU" w:cs="Times New Roman"/>
          <w:sz w:val="22"/>
          <w:szCs w:val="22"/>
          <w:lang w:val="en-US" w:eastAsia="zh-TW"/>
        </w:rPr>
        <w:t>Annual Report</w:t>
      </w:r>
      <w:r>
        <w:rPr>
          <w:rFonts w:hint="default" w:ascii="Times New Roman" w:hAnsi="Times New Roman" w:cs="Times New Roman"/>
          <w:sz w:val="22"/>
          <w:szCs w:val="22"/>
        </w:rPr>
        <w:t xml:space="preserve">. Available at: </w:t>
      </w: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"https://www1.hkexnews.hk/listedco/listconews/sehk/2019/0429/ltn201904291616.pdf" </w:instrText>
      </w:r>
      <w:r>
        <w:rPr>
          <w:rFonts w:hint="default" w:ascii="Times New Roman" w:hAnsi="Times New Roman" w:cs="Times New Roman"/>
          <w:sz w:val="22"/>
          <w:szCs w:val="22"/>
        </w:rPr>
        <w:fldChar w:fldCharType="separate"/>
      </w:r>
      <w:r>
        <w:rPr>
          <w:rStyle w:val="9"/>
          <w:rFonts w:hint="default" w:ascii="Times New Roman" w:hAnsi="Times New Roman" w:cs="Times New Roman"/>
          <w:sz w:val="22"/>
          <w:szCs w:val="22"/>
        </w:rPr>
        <w:t>https://www1.hkexnews.hk/listedco/listconews/sehk/2019/0429/ltn201904291616.pdf</w:t>
      </w:r>
      <w:r>
        <w:rPr>
          <w:rFonts w:hint="default" w:ascii="Times New Roman" w:hAnsi="Times New Roman" w:cs="Times New Roman"/>
          <w:sz w:val="22"/>
          <w:szCs w:val="22"/>
        </w:rPr>
        <w:fldChar w:fldCharType="end"/>
      </w:r>
    </w:p>
    <w:p>
      <w:pPr>
        <w:spacing w:line="360" w:lineRule="auto"/>
        <w:jc w:val="both"/>
        <w:rPr>
          <w:rFonts w:hint="default" w:ascii="Times New Roman" w:hAnsi="Times New Roman" w:cs="Times New Roman"/>
          <w:sz w:val="22"/>
          <w:szCs w:val="22"/>
          <w:shd w:val="clear" w:color="auto" w:fill="FFFFFF"/>
        </w:rPr>
      </w:pPr>
      <w:r>
        <w:rPr>
          <w:rFonts w:hint="default" w:ascii="Times New Roman" w:hAnsi="Times New Roman" w:cs="Times New Roman"/>
          <w:sz w:val="22"/>
          <w:szCs w:val="22"/>
          <w:shd w:val="clear" w:color="auto" w:fill="FFFFFF"/>
        </w:rPr>
        <w:t xml:space="preserve">(Accessed: </w:t>
      </w:r>
      <w:r>
        <w:rPr>
          <w:rFonts w:hint="default" w:ascii="Times New Roman" w:hAnsi="Times New Roman" w:eastAsia="PMingLiU" w:cs="Times New Roman"/>
          <w:sz w:val="22"/>
          <w:szCs w:val="22"/>
          <w:shd w:val="clear" w:color="auto" w:fill="FFFFFF"/>
          <w:lang w:val="en-US" w:eastAsia="zh-TW"/>
        </w:rPr>
        <w:t>05 Aug</w:t>
      </w:r>
      <w:r>
        <w:rPr>
          <w:rFonts w:hint="default" w:ascii="Times New Roman" w:hAnsi="Times New Roman" w:cs="Times New Roman"/>
          <w:sz w:val="22"/>
          <w:szCs w:val="22"/>
          <w:shd w:val="clear" w:color="auto" w:fill="FFFFFF"/>
        </w:rPr>
        <w:t xml:space="preserve"> 2019)</w:t>
      </w:r>
    </w:p>
    <w:p>
      <w:pPr>
        <w:spacing w:line="360" w:lineRule="auto"/>
        <w:jc w:val="both"/>
        <w:rPr>
          <w:rFonts w:hint="default" w:ascii="Times New Roman" w:hAnsi="Times New Roman" w:cs="Times New Roman"/>
          <w:sz w:val="22"/>
          <w:szCs w:val="22"/>
          <w:shd w:val="clear" w:color="auto" w:fill="FFFFFF"/>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280" w:lineRule="atLeast"/>
        <w:ind w:left="0" w:right="0" w:firstLine="0"/>
        <w:jc w:val="left"/>
        <w:rPr>
          <w:rFonts w:hint="default" w:ascii="Times New Roman" w:hAnsi="Times New Roman" w:cs="Times New Roman"/>
          <w:sz w:val="22"/>
          <w:szCs w:val="22"/>
          <w:lang w:val="en-US" w:eastAsia="zh-TW"/>
        </w:rPr>
      </w:pPr>
      <w:r>
        <w:rPr>
          <w:rFonts w:hint="default" w:ascii="Times New Roman" w:hAnsi="Times New Roman" w:eastAsia="PMingLiU" w:cs="Times New Roman"/>
          <w:b w:val="0"/>
          <w:bCs w:val="0"/>
          <w:i w:val="0"/>
          <w:caps w:val="0"/>
          <w:color w:val="000000"/>
          <w:spacing w:val="0"/>
          <w:sz w:val="22"/>
          <w:szCs w:val="22"/>
          <w:u w:val="none"/>
          <w:lang w:val="en-US" w:eastAsia="zh-TW"/>
        </w:rPr>
        <w:t xml:space="preserve">Chen X (2010). </w:t>
      </w:r>
      <w:r>
        <w:rPr>
          <w:rFonts w:hint="default" w:ascii="Times New Roman" w:hAnsi="Times New Roman" w:eastAsia="&amp;quot" w:cs="Times New Roman"/>
          <w:b w:val="0"/>
          <w:bCs w:val="0"/>
          <w:i w:val="0"/>
          <w:caps w:val="0"/>
          <w:color w:val="000000"/>
          <w:spacing w:val="0"/>
          <w:sz w:val="22"/>
          <w:szCs w:val="22"/>
          <w:u w:val="none"/>
        </w:rPr>
        <w:t>Dairy giant Mengniu in smear scandal</w:t>
      </w:r>
      <w:r>
        <w:rPr>
          <w:rFonts w:hint="default" w:ascii="Times New Roman" w:hAnsi="Times New Roman" w:eastAsia="PMingLiU" w:cs="Times New Roman"/>
          <w:b w:val="0"/>
          <w:bCs w:val="0"/>
          <w:i w:val="0"/>
          <w:caps w:val="0"/>
          <w:color w:val="000000"/>
          <w:spacing w:val="0"/>
          <w:sz w:val="22"/>
          <w:szCs w:val="22"/>
          <w:u w:val="none"/>
          <w:lang w:val="en-US" w:eastAsia="zh-TW"/>
        </w:rPr>
        <w:t>.Available at:</w:t>
      </w:r>
    </w:p>
    <w:p>
      <w:pPr>
        <w:spacing w:line="360" w:lineRule="auto"/>
        <w:jc w:val="both"/>
        <w:rPr>
          <w:rFonts w:hint="default" w:ascii="Times New Roman" w:hAnsi="Times New Roman" w:eastAsia="PMingLiU" w:cs="Times New Roman"/>
          <w:sz w:val="22"/>
          <w:szCs w:val="22"/>
          <w:shd w:val="clear" w:color="auto" w:fill="FFFFFF"/>
          <w:lang w:val="en-US" w:eastAsia="zh-TW"/>
        </w:rPr>
      </w:pPr>
      <w:r>
        <w:rPr>
          <w:rFonts w:hint="default" w:ascii="Times New Roman" w:hAnsi="Times New Roman" w:eastAsia="PMingLiU" w:cs="Times New Roman"/>
          <w:sz w:val="22"/>
          <w:szCs w:val="22"/>
          <w:shd w:val="clear" w:color="auto" w:fill="FFFFFF"/>
          <w:lang w:val="en-US" w:eastAsia="zh-TW"/>
        </w:rPr>
        <w:fldChar w:fldCharType="begin"/>
      </w:r>
      <w:r>
        <w:rPr>
          <w:rFonts w:hint="default" w:ascii="Times New Roman" w:hAnsi="Times New Roman" w:eastAsia="PMingLiU" w:cs="Times New Roman"/>
          <w:sz w:val="22"/>
          <w:szCs w:val="22"/>
          <w:shd w:val="clear" w:color="auto" w:fill="FFFFFF"/>
          <w:lang w:val="en-US" w:eastAsia="zh-TW"/>
        </w:rPr>
        <w:instrText xml:space="preserve"> HYPERLINK "http://www.chinadaily.com.cn/china/2010-10/21/content_11437735.htm" </w:instrText>
      </w:r>
      <w:r>
        <w:rPr>
          <w:rFonts w:hint="default" w:ascii="Times New Roman" w:hAnsi="Times New Roman" w:eastAsia="PMingLiU" w:cs="Times New Roman"/>
          <w:sz w:val="22"/>
          <w:szCs w:val="22"/>
          <w:shd w:val="clear" w:color="auto" w:fill="FFFFFF"/>
          <w:lang w:val="en-US" w:eastAsia="zh-TW"/>
        </w:rPr>
        <w:fldChar w:fldCharType="separate"/>
      </w:r>
      <w:r>
        <w:rPr>
          <w:rStyle w:val="9"/>
          <w:rFonts w:hint="default" w:ascii="Times New Roman" w:hAnsi="Times New Roman" w:eastAsia="PMingLiU" w:cs="Times New Roman"/>
          <w:sz w:val="22"/>
          <w:szCs w:val="22"/>
          <w:shd w:val="clear" w:color="auto" w:fill="FFFFFF"/>
          <w:lang w:val="en-US" w:eastAsia="zh-TW"/>
        </w:rPr>
        <w:t>http://www.chinadaily.com.cn/china/2010-10/21/content_11437735.htm</w:t>
      </w:r>
      <w:r>
        <w:rPr>
          <w:rFonts w:hint="default" w:ascii="Times New Roman" w:hAnsi="Times New Roman" w:eastAsia="PMingLiU" w:cs="Times New Roman"/>
          <w:sz w:val="22"/>
          <w:szCs w:val="22"/>
          <w:shd w:val="clear" w:color="auto" w:fill="FFFFFF"/>
          <w:lang w:val="en-US" w:eastAsia="zh-TW"/>
        </w:rPr>
        <w:fldChar w:fldCharType="end"/>
      </w:r>
    </w:p>
    <w:p>
      <w:pPr>
        <w:spacing w:line="360" w:lineRule="auto"/>
        <w:jc w:val="both"/>
        <w:rPr>
          <w:rFonts w:hint="default" w:ascii="Times New Roman" w:hAnsi="Times New Roman" w:eastAsia="PMingLiU" w:cs="Times New Roman"/>
          <w:sz w:val="22"/>
          <w:szCs w:val="22"/>
          <w:shd w:val="clear" w:color="auto" w:fill="FFFFFF"/>
          <w:lang w:val="en-US" w:eastAsia="zh-TW"/>
        </w:rPr>
      </w:pPr>
      <w:r>
        <w:rPr>
          <w:rFonts w:hint="default" w:ascii="Times New Roman" w:hAnsi="Times New Roman" w:eastAsia="PMingLiU" w:cs="Times New Roman"/>
          <w:sz w:val="22"/>
          <w:szCs w:val="22"/>
          <w:shd w:val="clear" w:color="auto" w:fill="FFFFFF"/>
          <w:lang w:val="en-US" w:eastAsia="zh-TW"/>
        </w:rPr>
        <w:t>(Accessed: 05 Aug 2019)</w:t>
      </w:r>
    </w:p>
    <w:p>
      <w:pPr>
        <w:spacing w:line="360" w:lineRule="auto"/>
        <w:jc w:val="both"/>
        <w:rPr>
          <w:rFonts w:hint="default" w:ascii="Times New Roman" w:hAnsi="Times New Roman" w:eastAsia="PMingLiU" w:cs="Times New Roman"/>
          <w:sz w:val="22"/>
          <w:szCs w:val="22"/>
          <w:shd w:val="clear" w:color="auto" w:fill="FFFFFF"/>
          <w:lang w:val="en-US" w:eastAsia="zh-TW"/>
        </w:rPr>
      </w:pPr>
      <w:r>
        <w:rPr>
          <w:rFonts w:hint="default" w:ascii="Times New Roman" w:hAnsi="Times New Roman" w:eastAsia="PMingLiU" w:cs="Times New Roman"/>
          <w:sz w:val="22"/>
          <w:szCs w:val="22"/>
          <w:shd w:val="clear" w:color="auto" w:fill="FFFFFF"/>
          <w:lang w:val="en-US" w:eastAsia="zh-TW"/>
        </w:rPr>
        <w:t>Dochas, (2011). Corporate Governance Assessment Tool. Available at:</w:t>
      </w:r>
    </w:p>
    <w:p>
      <w:pPr>
        <w:spacing w:line="360" w:lineRule="auto"/>
        <w:jc w:val="both"/>
        <w:rPr>
          <w:rStyle w:val="9"/>
          <w:rFonts w:hint="default" w:ascii="Times New Roman" w:hAnsi="Times New Roman" w:eastAsia="PMingLiU" w:cs="Times New Roman"/>
          <w:sz w:val="22"/>
          <w:szCs w:val="22"/>
          <w:lang w:val="en-US" w:eastAsia="zh-TW"/>
        </w:rPr>
      </w:pPr>
      <w:r>
        <w:rPr>
          <w:rStyle w:val="9"/>
          <w:rFonts w:hint="default" w:ascii="Times New Roman" w:hAnsi="Times New Roman" w:cs="Times New Roman"/>
          <w:sz w:val="22"/>
          <w:szCs w:val="22"/>
        </w:rPr>
        <w:fldChar w:fldCharType="begin"/>
      </w:r>
      <w:r>
        <w:rPr>
          <w:rStyle w:val="9"/>
          <w:rFonts w:hint="default" w:ascii="Times New Roman" w:hAnsi="Times New Roman" w:cs="Times New Roman"/>
          <w:sz w:val="22"/>
          <w:szCs w:val="22"/>
        </w:rPr>
        <w:instrText xml:space="preserve"> HYPERLINK "https://dochas.ie/sites/default/files/dochas-assessment-tool-v3-writable.pdf" </w:instrText>
      </w:r>
      <w:r>
        <w:rPr>
          <w:rStyle w:val="9"/>
          <w:rFonts w:hint="default" w:ascii="Times New Roman" w:hAnsi="Times New Roman" w:cs="Times New Roman"/>
          <w:sz w:val="22"/>
          <w:szCs w:val="22"/>
        </w:rPr>
        <w:fldChar w:fldCharType="separate"/>
      </w:r>
      <w:r>
        <w:rPr>
          <w:rStyle w:val="9"/>
          <w:rFonts w:hint="default" w:ascii="Times New Roman" w:hAnsi="Times New Roman" w:cs="Times New Roman"/>
          <w:sz w:val="22"/>
          <w:szCs w:val="22"/>
        </w:rPr>
        <w:t>https://dochas.ie/sites/default/files/dochas-assessment-tool-v3-writable.pdf</w:t>
      </w:r>
      <w:r>
        <w:rPr>
          <w:rStyle w:val="9"/>
          <w:rFonts w:hint="default" w:ascii="Times New Roman" w:hAnsi="Times New Roman" w:cs="Times New Roman"/>
          <w:sz w:val="22"/>
          <w:szCs w:val="22"/>
        </w:rPr>
        <w:fldChar w:fldCharType="end"/>
      </w:r>
      <w:r>
        <w:rPr>
          <w:rStyle w:val="9"/>
          <w:rFonts w:hint="default" w:ascii="Times New Roman" w:hAnsi="Times New Roman" w:eastAsia="PMingLiU" w:cs="Times New Roman"/>
          <w:sz w:val="22"/>
          <w:szCs w:val="22"/>
          <w:lang w:val="en-US" w:eastAsia="zh-TW"/>
        </w:rPr>
        <w:t xml:space="preserve"> </w:t>
      </w:r>
    </w:p>
    <w:p>
      <w:pPr>
        <w:spacing w:line="360" w:lineRule="auto"/>
        <w:jc w:val="both"/>
        <w:rPr>
          <w:rStyle w:val="9"/>
          <w:rFonts w:hint="default" w:ascii="Times New Roman" w:hAnsi="Times New Roman" w:eastAsia="PMingLiU" w:cs="Times New Roman"/>
          <w:i w:val="0"/>
          <w:iCs w:val="0"/>
          <w:color w:val="auto"/>
          <w:sz w:val="22"/>
          <w:szCs w:val="22"/>
          <w:u w:val="none"/>
          <w:lang w:val="en-US" w:eastAsia="zh-TW"/>
        </w:rPr>
      </w:pPr>
      <w:r>
        <w:rPr>
          <w:rStyle w:val="9"/>
          <w:rFonts w:hint="default" w:ascii="Times New Roman" w:hAnsi="Times New Roman" w:eastAsia="PMingLiU" w:cs="Times New Roman"/>
          <w:i w:val="0"/>
          <w:iCs w:val="0"/>
          <w:color w:val="auto"/>
          <w:sz w:val="22"/>
          <w:szCs w:val="22"/>
          <w:u w:val="none"/>
          <w:lang w:val="en-US" w:eastAsia="zh-TW"/>
        </w:rPr>
        <w:t>(Accessed: 05 Aug 2019)</w:t>
      </w: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Edmister, R.O., </w:t>
      </w:r>
      <w:r>
        <w:rPr>
          <w:rFonts w:hint="default" w:ascii="Times New Roman" w:hAnsi="Times New Roman" w:eastAsia="PMingLiU" w:cs="Times New Roman"/>
          <w:i w:val="0"/>
          <w:caps w:val="0"/>
          <w:color w:val="222222"/>
          <w:spacing w:val="0"/>
          <w:sz w:val="22"/>
          <w:szCs w:val="22"/>
          <w:u w:val="none"/>
          <w:lang w:val="en-US" w:eastAsia="zh-TW"/>
        </w:rPr>
        <w:t>(</w:t>
      </w:r>
      <w:r>
        <w:rPr>
          <w:rFonts w:hint="default" w:ascii="Times New Roman" w:hAnsi="Times New Roman" w:eastAsia="SimSun" w:cs="Times New Roman"/>
          <w:i w:val="0"/>
          <w:caps w:val="0"/>
          <w:color w:val="222222"/>
          <w:spacing w:val="0"/>
          <w:sz w:val="22"/>
          <w:szCs w:val="22"/>
          <w:u w:val="none"/>
        </w:rPr>
        <w:t>1972</w:t>
      </w:r>
      <w:r>
        <w:rPr>
          <w:rFonts w:hint="default" w:ascii="Times New Roman" w:hAnsi="Times New Roman" w:eastAsia="PMingLiU" w:cs="Times New Roman"/>
          <w:i w:val="0"/>
          <w:caps w:val="0"/>
          <w:color w:val="222222"/>
          <w:spacing w:val="0"/>
          <w:sz w:val="22"/>
          <w:szCs w:val="22"/>
          <w:u w:val="none"/>
          <w:lang w:val="en-US" w:eastAsia="zh-TW"/>
        </w:rPr>
        <w:t>)</w:t>
      </w:r>
      <w:r>
        <w:rPr>
          <w:rFonts w:hint="default" w:ascii="Times New Roman" w:hAnsi="Times New Roman" w:eastAsia="SimSun" w:cs="Times New Roman"/>
          <w:i w:val="0"/>
          <w:caps w:val="0"/>
          <w:color w:val="222222"/>
          <w:spacing w:val="0"/>
          <w:sz w:val="22"/>
          <w:szCs w:val="22"/>
          <w:u w:val="none"/>
        </w:rPr>
        <w:t xml:space="preserve">. An empirical test of financial ratio analysis for small business failure prediction. </w:t>
      </w:r>
      <w:r>
        <w:rPr>
          <w:rFonts w:hint="default" w:ascii="Times New Roman" w:hAnsi="Times New Roman" w:eastAsia="SimSun" w:cs="Times New Roman"/>
          <w:i/>
          <w:caps w:val="0"/>
          <w:color w:val="222222"/>
          <w:spacing w:val="0"/>
          <w:sz w:val="22"/>
          <w:szCs w:val="22"/>
          <w:u w:val="none"/>
          <w:vertAlign w:val="baseline"/>
        </w:rPr>
        <w:t>Journal of Financial and Quantitative analysis</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7</w:t>
      </w:r>
      <w:r>
        <w:rPr>
          <w:rFonts w:hint="default" w:ascii="Times New Roman" w:hAnsi="Times New Roman" w:eastAsia="SimSun" w:cs="Times New Roman"/>
          <w:i w:val="0"/>
          <w:caps w:val="0"/>
          <w:color w:val="222222"/>
          <w:spacing w:val="0"/>
          <w:sz w:val="22"/>
          <w:szCs w:val="22"/>
          <w:u w:val="none"/>
        </w:rPr>
        <w:t>(2), pp.1477-1493.</w:t>
      </w: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Fairfield, P.M. and Yohn, T.L., 2001. Using asset turnover and profit margin to forecast changes in profitability. </w:t>
      </w:r>
      <w:r>
        <w:rPr>
          <w:rFonts w:hint="default" w:ascii="Times New Roman" w:hAnsi="Times New Roman" w:eastAsia="SimSun" w:cs="Times New Roman"/>
          <w:i/>
          <w:caps w:val="0"/>
          <w:color w:val="222222"/>
          <w:spacing w:val="0"/>
          <w:sz w:val="22"/>
          <w:szCs w:val="22"/>
          <w:u w:val="none"/>
          <w:vertAlign w:val="baseline"/>
        </w:rPr>
        <w:t>Review of Accounting Studies</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6</w:t>
      </w:r>
      <w:r>
        <w:rPr>
          <w:rFonts w:hint="default" w:ascii="Times New Roman" w:hAnsi="Times New Roman" w:eastAsia="SimSun" w:cs="Times New Roman"/>
          <w:i w:val="0"/>
          <w:caps w:val="0"/>
          <w:color w:val="222222"/>
          <w:spacing w:val="0"/>
          <w:sz w:val="22"/>
          <w:szCs w:val="22"/>
          <w:u w:val="none"/>
        </w:rPr>
        <w:t xml:space="preserve">(4), pp.371-385.. </w:t>
      </w: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r>
        <w:rPr>
          <w:rFonts w:hint="default" w:ascii="Times New Roman" w:hAnsi="Times New Roman" w:eastAsia="PMingLiU" w:cs="Times New Roman"/>
          <w:i w:val="0"/>
          <w:caps w:val="0"/>
          <w:color w:val="222222"/>
          <w:spacing w:val="0"/>
          <w:sz w:val="22"/>
          <w:szCs w:val="22"/>
          <w:u w:val="none"/>
          <w:lang w:val="en-US" w:eastAsia="zh-TW"/>
        </w:rPr>
        <w:t>Feng,C.M. and Wang, R.T., (2000). Performance evaluation for airlines including the consideration of financial ratios. Journal of Air Transport Management, 6(3),pp.133-142.</w:t>
      </w: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r>
        <w:rPr>
          <w:rFonts w:hint="default" w:ascii="Times New Roman" w:hAnsi="Times New Roman" w:eastAsia="SimSun" w:cs="Times New Roman"/>
          <w:i w:val="0"/>
          <w:caps w:val="0"/>
          <w:color w:val="222222"/>
          <w:spacing w:val="0"/>
          <w:sz w:val="22"/>
          <w:szCs w:val="22"/>
          <w:u w:val="none"/>
        </w:rPr>
        <w:t xml:space="preserve">Hoffman, V.B. and Zimbelman, M.F., 2009. Do strategic reasoning and brainstorming help auditors change their standard audit procedures in response to fraud risk?. </w:t>
      </w:r>
      <w:r>
        <w:rPr>
          <w:rFonts w:hint="default" w:ascii="Times New Roman" w:hAnsi="Times New Roman" w:eastAsia="SimSun" w:cs="Times New Roman"/>
          <w:i/>
          <w:caps w:val="0"/>
          <w:color w:val="222222"/>
          <w:spacing w:val="0"/>
          <w:sz w:val="22"/>
          <w:szCs w:val="22"/>
          <w:u w:val="none"/>
          <w:vertAlign w:val="baseline"/>
        </w:rPr>
        <w:t>The Accounting Review</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84</w:t>
      </w:r>
      <w:r>
        <w:rPr>
          <w:rFonts w:hint="default" w:ascii="Times New Roman" w:hAnsi="Times New Roman" w:eastAsia="SimSun" w:cs="Times New Roman"/>
          <w:i w:val="0"/>
          <w:caps w:val="0"/>
          <w:color w:val="222222"/>
          <w:spacing w:val="0"/>
          <w:sz w:val="22"/>
          <w:szCs w:val="22"/>
          <w:u w:val="none"/>
        </w:rPr>
        <w:t>(3), pp.811-837.</w:t>
      </w: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r>
        <w:rPr>
          <w:rFonts w:hint="default" w:ascii="Times New Roman" w:hAnsi="Times New Roman" w:eastAsia="SimSun" w:cs="Times New Roman"/>
          <w:i w:val="0"/>
          <w:caps w:val="0"/>
          <w:color w:val="222222"/>
          <w:spacing w:val="0"/>
          <w:sz w:val="22"/>
          <w:szCs w:val="22"/>
          <w:u w:val="none"/>
        </w:rPr>
        <w:t xml:space="preserve">Karjalainen, J., 2011. Audit quality and cost of debt capital for private firms: Evidence from Finland. </w:t>
      </w:r>
      <w:r>
        <w:rPr>
          <w:rFonts w:hint="default" w:ascii="Times New Roman" w:hAnsi="Times New Roman" w:eastAsia="SimSun" w:cs="Times New Roman"/>
          <w:i/>
          <w:caps w:val="0"/>
          <w:color w:val="222222"/>
          <w:spacing w:val="0"/>
          <w:sz w:val="22"/>
          <w:szCs w:val="22"/>
          <w:u w:val="none"/>
          <w:vertAlign w:val="baseline"/>
        </w:rPr>
        <w:t>International journal of auditing</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15</w:t>
      </w:r>
      <w:r>
        <w:rPr>
          <w:rFonts w:hint="default" w:ascii="Times New Roman" w:hAnsi="Times New Roman" w:eastAsia="SimSun" w:cs="Times New Roman"/>
          <w:i w:val="0"/>
          <w:caps w:val="0"/>
          <w:color w:val="222222"/>
          <w:spacing w:val="0"/>
          <w:sz w:val="22"/>
          <w:szCs w:val="22"/>
          <w:u w:val="none"/>
        </w:rPr>
        <w:t>(1), pp.88-108.</w:t>
      </w: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r>
        <w:rPr>
          <w:rFonts w:hint="default" w:ascii="Times New Roman" w:hAnsi="Times New Roman" w:eastAsia="SimSun" w:cs="Times New Roman"/>
          <w:i w:val="0"/>
          <w:caps w:val="0"/>
          <w:color w:val="222222"/>
          <w:spacing w:val="0"/>
          <w:sz w:val="22"/>
          <w:szCs w:val="22"/>
          <w:u w:val="none"/>
        </w:rPr>
        <w:t xml:space="preserve">Khadafi, M., Heikal, M. and Ummah, A., 2014. Influence analysis of return on assets (ROA), return on equity (ROE), net profit margin (NPM), debt to equity ratio (DER), and current ratio (CR), against corporate profit growth in automotive in Indonesia Stock Exchange. </w:t>
      </w:r>
      <w:r>
        <w:rPr>
          <w:rFonts w:hint="default" w:ascii="Times New Roman" w:hAnsi="Times New Roman" w:eastAsia="SimSun" w:cs="Times New Roman"/>
          <w:i/>
          <w:caps w:val="0"/>
          <w:color w:val="222222"/>
          <w:spacing w:val="0"/>
          <w:sz w:val="22"/>
          <w:szCs w:val="22"/>
          <w:u w:val="none"/>
          <w:vertAlign w:val="baseline"/>
        </w:rPr>
        <w:t>International Journal of Academic Research in Business and Social Sciences</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4</w:t>
      </w:r>
      <w:r>
        <w:rPr>
          <w:rFonts w:hint="default" w:ascii="Times New Roman" w:hAnsi="Times New Roman" w:eastAsia="SimSun" w:cs="Times New Roman"/>
          <w:i w:val="0"/>
          <w:caps w:val="0"/>
          <w:color w:val="222222"/>
          <w:spacing w:val="0"/>
          <w:sz w:val="22"/>
          <w:szCs w:val="22"/>
          <w:u w:val="none"/>
        </w:rPr>
        <w:t>(12).</w:t>
      </w: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r>
        <w:rPr>
          <w:rFonts w:hint="default" w:ascii="Times New Roman" w:hAnsi="Times New Roman" w:eastAsia="PMingLiU" w:cs="Times New Roman"/>
          <w:i w:val="0"/>
          <w:caps w:val="0"/>
          <w:color w:val="222222"/>
          <w:spacing w:val="0"/>
          <w:sz w:val="22"/>
          <w:szCs w:val="22"/>
          <w:u w:val="none"/>
          <w:lang w:val="en-US" w:eastAsia="zh-TW"/>
        </w:rPr>
        <w:t>Moodys, (2019).Moodys rating of Mengniu China Dairy Company Limited. Available at:</w:t>
      </w: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fldChar w:fldCharType="begin"/>
      </w:r>
      <w:r>
        <w:rPr>
          <w:rFonts w:hint="default" w:ascii="Times New Roman" w:hAnsi="Times New Roman" w:cs="Times New Roman"/>
          <w:sz w:val="22"/>
          <w:szCs w:val="22"/>
          <w:lang w:val="en-US" w:eastAsia="zh-TW"/>
        </w:rPr>
        <w:instrText xml:space="preserve"> HYPERLINK "https://www.moodys.com/credit-ratings/China-Mengniu-Dairy-Company-Limited-credit-rating-808033642" </w:instrText>
      </w:r>
      <w:r>
        <w:rPr>
          <w:rFonts w:hint="default" w:ascii="Times New Roman" w:hAnsi="Times New Roman" w:cs="Times New Roman"/>
          <w:sz w:val="22"/>
          <w:szCs w:val="22"/>
          <w:lang w:val="en-US" w:eastAsia="zh-TW"/>
        </w:rPr>
        <w:fldChar w:fldCharType="separate"/>
      </w:r>
      <w:r>
        <w:rPr>
          <w:rStyle w:val="9"/>
          <w:rFonts w:hint="default" w:ascii="Times New Roman" w:hAnsi="Times New Roman" w:cs="Times New Roman"/>
          <w:sz w:val="22"/>
          <w:szCs w:val="22"/>
          <w:lang w:val="en-US" w:eastAsia="zh-TW"/>
        </w:rPr>
        <w:t>https://www.moodys.com/credit-ratings/China-Mengniu-Dairy-Company-Limited-credit-rating-808033642</w:t>
      </w:r>
      <w:r>
        <w:rPr>
          <w:rFonts w:hint="default" w:ascii="Times New Roman" w:hAnsi="Times New Roman" w:cs="Times New Roman"/>
          <w:sz w:val="22"/>
          <w:szCs w:val="22"/>
          <w:lang w:val="en-US" w:eastAsia="zh-TW"/>
        </w:rPr>
        <w:fldChar w:fldCharType="end"/>
      </w:r>
    </w:p>
    <w:p>
      <w:pPr>
        <w:spacing w:line="360" w:lineRule="auto"/>
        <w:jc w:val="both"/>
        <w:rPr>
          <w:rFonts w:hint="default" w:ascii="Times New Roman" w:hAnsi="Times New Roman" w:cs="Times New Roman"/>
          <w:sz w:val="22"/>
          <w:szCs w:val="22"/>
          <w:shd w:val="clear" w:color="auto" w:fill="FFFFFF"/>
        </w:rPr>
      </w:pPr>
      <w:r>
        <w:rPr>
          <w:rFonts w:hint="default" w:ascii="Times New Roman" w:hAnsi="Times New Roman" w:cs="Times New Roman"/>
          <w:sz w:val="22"/>
          <w:szCs w:val="22"/>
          <w:shd w:val="clear" w:color="auto" w:fill="FFFFFF"/>
        </w:rPr>
        <w:t xml:space="preserve">(Accessed: </w:t>
      </w:r>
      <w:r>
        <w:rPr>
          <w:rFonts w:hint="default" w:ascii="Times New Roman" w:hAnsi="Times New Roman" w:eastAsia="PMingLiU" w:cs="Times New Roman"/>
          <w:sz w:val="22"/>
          <w:szCs w:val="22"/>
          <w:shd w:val="clear" w:color="auto" w:fill="FFFFFF"/>
          <w:lang w:val="en-US" w:eastAsia="zh-TW"/>
        </w:rPr>
        <w:t>05 Aug</w:t>
      </w:r>
      <w:r>
        <w:rPr>
          <w:rFonts w:hint="default" w:ascii="Times New Roman" w:hAnsi="Times New Roman" w:cs="Times New Roman"/>
          <w:sz w:val="22"/>
          <w:szCs w:val="22"/>
          <w:shd w:val="clear" w:color="auto" w:fill="FFFFFF"/>
        </w:rPr>
        <w:t xml:space="preserve"> 2019)</w:t>
      </w: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p>
    <w:p>
      <w:pPr>
        <w:spacing w:line="360" w:lineRule="auto"/>
        <w:jc w:val="both"/>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Mills, J. and Yamamura, J.H., 1998. The power of cash flow ratios. </w:t>
      </w:r>
      <w:r>
        <w:rPr>
          <w:rFonts w:hint="default" w:ascii="Times New Roman" w:hAnsi="Times New Roman" w:eastAsia="SimSun" w:cs="Times New Roman"/>
          <w:i/>
          <w:caps w:val="0"/>
          <w:color w:val="222222"/>
          <w:spacing w:val="0"/>
          <w:sz w:val="22"/>
          <w:szCs w:val="22"/>
          <w:u w:val="none"/>
          <w:vertAlign w:val="baseline"/>
        </w:rPr>
        <w:t>Journal of Accountancy</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186</w:t>
      </w:r>
      <w:r>
        <w:rPr>
          <w:rFonts w:hint="default" w:ascii="Times New Roman" w:hAnsi="Times New Roman" w:eastAsia="SimSun" w:cs="Times New Roman"/>
          <w:i w:val="0"/>
          <w:caps w:val="0"/>
          <w:color w:val="222222"/>
          <w:spacing w:val="0"/>
          <w:sz w:val="22"/>
          <w:szCs w:val="22"/>
          <w:u w:val="none"/>
        </w:rPr>
        <w:t>(4), p.53.</w:t>
      </w: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Pandit, N. and Tejani, R., 2011. Sustainable growth rate of textile and apparel segment of the Indian retail sector. </w:t>
      </w:r>
      <w:r>
        <w:rPr>
          <w:rFonts w:hint="default" w:ascii="Times New Roman" w:hAnsi="Times New Roman" w:eastAsia="SimSun" w:cs="Times New Roman"/>
          <w:i/>
          <w:caps w:val="0"/>
          <w:color w:val="222222"/>
          <w:spacing w:val="0"/>
          <w:sz w:val="22"/>
          <w:szCs w:val="22"/>
          <w:u w:val="none"/>
          <w:vertAlign w:val="baseline"/>
        </w:rPr>
        <w:t>Global Journal of Management and Business Research</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11</w:t>
      </w:r>
      <w:r>
        <w:rPr>
          <w:rFonts w:hint="default" w:ascii="Times New Roman" w:hAnsi="Times New Roman" w:eastAsia="SimSun" w:cs="Times New Roman"/>
          <w:i w:val="0"/>
          <w:caps w:val="0"/>
          <w:color w:val="222222"/>
          <w:spacing w:val="0"/>
          <w:sz w:val="22"/>
          <w:szCs w:val="22"/>
          <w:u w:val="none"/>
        </w:rPr>
        <w:t>(6).</w:t>
      </w: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Remmers, L., Stonehill, A., Wright, R. and Beekhuisen, T., 1974. Industry and size as debt ratio determinants in manufacturing internationally. </w:t>
      </w:r>
      <w:r>
        <w:rPr>
          <w:rFonts w:hint="default" w:ascii="Times New Roman" w:hAnsi="Times New Roman" w:eastAsia="SimSun" w:cs="Times New Roman"/>
          <w:i/>
          <w:caps w:val="0"/>
          <w:color w:val="222222"/>
          <w:spacing w:val="0"/>
          <w:sz w:val="22"/>
          <w:szCs w:val="22"/>
          <w:u w:val="none"/>
          <w:vertAlign w:val="baseline"/>
        </w:rPr>
        <w:t>Financial Management</w:t>
      </w:r>
      <w:r>
        <w:rPr>
          <w:rFonts w:hint="default" w:ascii="Times New Roman" w:hAnsi="Times New Roman" w:eastAsia="SimSun" w:cs="Times New Roman"/>
          <w:i w:val="0"/>
          <w:caps w:val="0"/>
          <w:color w:val="222222"/>
          <w:spacing w:val="0"/>
          <w:sz w:val="22"/>
          <w:szCs w:val="22"/>
          <w:u w:val="none"/>
        </w:rPr>
        <w:t>, pp.24-32.</w:t>
      </w: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Richards, V.D. and Laughlin, E.J., 1980. A cash conversion cycle approach to liquidity analysis. </w:t>
      </w:r>
      <w:r>
        <w:rPr>
          <w:rFonts w:hint="default" w:ascii="Times New Roman" w:hAnsi="Times New Roman" w:eastAsia="SimSun" w:cs="Times New Roman"/>
          <w:i/>
          <w:caps w:val="0"/>
          <w:color w:val="222222"/>
          <w:spacing w:val="0"/>
          <w:sz w:val="22"/>
          <w:szCs w:val="22"/>
          <w:u w:val="none"/>
          <w:vertAlign w:val="baseline"/>
        </w:rPr>
        <w:t>Financial management</w:t>
      </w:r>
      <w:r>
        <w:rPr>
          <w:rFonts w:hint="default" w:ascii="Times New Roman" w:hAnsi="Times New Roman" w:eastAsia="SimSun" w:cs="Times New Roman"/>
          <w:i w:val="0"/>
          <w:caps w:val="0"/>
          <w:color w:val="222222"/>
          <w:spacing w:val="0"/>
          <w:sz w:val="22"/>
          <w:szCs w:val="22"/>
          <w:u w:val="none"/>
        </w:rPr>
        <w:t>, pp.32-38.</w:t>
      </w: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Singh, M. and Faircloth*, S., 2005. The impact of corporate debt on long term investment and firm performance. </w:t>
      </w:r>
      <w:r>
        <w:rPr>
          <w:rFonts w:hint="default" w:ascii="Times New Roman" w:hAnsi="Times New Roman" w:eastAsia="SimSun" w:cs="Times New Roman"/>
          <w:i/>
          <w:caps w:val="0"/>
          <w:color w:val="222222"/>
          <w:spacing w:val="0"/>
          <w:sz w:val="22"/>
          <w:szCs w:val="22"/>
          <w:u w:val="none"/>
          <w:vertAlign w:val="baseline"/>
        </w:rPr>
        <w:t>Applied Economics</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37</w:t>
      </w:r>
      <w:r>
        <w:rPr>
          <w:rFonts w:hint="default" w:ascii="Times New Roman" w:hAnsi="Times New Roman" w:eastAsia="SimSun" w:cs="Times New Roman"/>
          <w:i w:val="0"/>
          <w:caps w:val="0"/>
          <w:color w:val="222222"/>
          <w:spacing w:val="0"/>
          <w:sz w:val="22"/>
          <w:szCs w:val="22"/>
          <w:u w:val="none"/>
        </w:rPr>
        <w:t>(8), pp.875-883.</w:t>
      </w: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SimSun" w:cs="Times New Roman"/>
          <w:i w:val="0"/>
          <w:caps w:val="0"/>
          <w:color w:val="222222"/>
          <w:spacing w:val="0"/>
          <w:sz w:val="22"/>
          <w:szCs w:val="22"/>
          <w:u w:val="none"/>
        </w:rPr>
      </w:pPr>
      <w:r>
        <w:rPr>
          <w:rFonts w:hint="default" w:ascii="Times New Roman" w:hAnsi="Times New Roman" w:eastAsia="SimSun" w:cs="Times New Roman"/>
          <w:i w:val="0"/>
          <w:caps w:val="0"/>
          <w:color w:val="222222"/>
          <w:spacing w:val="0"/>
          <w:sz w:val="22"/>
          <w:szCs w:val="22"/>
          <w:u w:val="none"/>
        </w:rPr>
        <w:t xml:space="preserve">Stahl, F., Heitmann, M., Lehmann, D.R. and Neslin, S.A., 2012. The impact of brand equity on customer acquisition, retention, and profit margin. </w:t>
      </w:r>
      <w:r>
        <w:rPr>
          <w:rFonts w:hint="default" w:ascii="Times New Roman" w:hAnsi="Times New Roman" w:eastAsia="SimSun" w:cs="Times New Roman"/>
          <w:i/>
          <w:caps w:val="0"/>
          <w:color w:val="222222"/>
          <w:spacing w:val="0"/>
          <w:sz w:val="22"/>
          <w:szCs w:val="22"/>
          <w:u w:val="none"/>
          <w:vertAlign w:val="baseline"/>
        </w:rPr>
        <w:t>Journal of marketing</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76</w:t>
      </w:r>
      <w:r>
        <w:rPr>
          <w:rFonts w:hint="default" w:ascii="Times New Roman" w:hAnsi="Times New Roman" w:eastAsia="SimSun" w:cs="Times New Roman"/>
          <w:i w:val="0"/>
          <w:caps w:val="0"/>
          <w:color w:val="222222"/>
          <w:spacing w:val="0"/>
          <w:sz w:val="22"/>
          <w:szCs w:val="22"/>
          <w:u w:val="none"/>
        </w:rPr>
        <w:t>(4), pp.44-63.</w:t>
      </w: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r>
        <w:rPr>
          <w:rFonts w:hint="default" w:ascii="Times New Roman" w:hAnsi="Times New Roman" w:eastAsia="PMingLiU" w:cs="Times New Roman"/>
          <w:i w:val="0"/>
          <w:caps w:val="0"/>
          <w:color w:val="222222"/>
          <w:spacing w:val="0"/>
          <w:sz w:val="22"/>
          <w:szCs w:val="22"/>
          <w:u w:val="none"/>
          <w:lang w:val="en-US" w:eastAsia="zh-TW"/>
        </w:rPr>
        <w:t>Tan HH (2018). Mengniu opens Indonesia factory, Yili to buy Thai ice cream maker. Available at:</w:t>
      </w: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r>
        <w:rPr>
          <w:rFonts w:hint="default" w:ascii="Times New Roman" w:hAnsi="Times New Roman" w:eastAsia="PMingLiU" w:cs="Times New Roman"/>
          <w:i w:val="0"/>
          <w:caps w:val="0"/>
          <w:color w:val="222222"/>
          <w:spacing w:val="0"/>
          <w:sz w:val="22"/>
          <w:szCs w:val="22"/>
          <w:u w:val="none"/>
          <w:lang w:val="en-US" w:eastAsia="zh-TW"/>
        </w:rPr>
        <w:fldChar w:fldCharType="begin"/>
      </w:r>
      <w:r>
        <w:rPr>
          <w:rFonts w:hint="default" w:ascii="Times New Roman" w:hAnsi="Times New Roman" w:eastAsia="PMingLiU" w:cs="Times New Roman"/>
          <w:i w:val="0"/>
          <w:caps w:val="0"/>
          <w:color w:val="222222"/>
          <w:spacing w:val="0"/>
          <w:sz w:val="22"/>
          <w:szCs w:val="22"/>
          <w:u w:val="none"/>
          <w:lang w:val="en-US" w:eastAsia="zh-TW"/>
        </w:rPr>
        <w:instrText xml:space="preserve"> HYPERLINK "https://www.minimeinsights.com/2018/11/30/mengniu-opens-dairy-factory-in-china-yili-to-buy-thai-ice-cream-maker/" </w:instrText>
      </w:r>
      <w:r>
        <w:rPr>
          <w:rFonts w:hint="default" w:ascii="Times New Roman" w:hAnsi="Times New Roman" w:eastAsia="PMingLiU" w:cs="Times New Roman"/>
          <w:i w:val="0"/>
          <w:caps w:val="0"/>
          <w:color w:val="222222"/>
          <w:spacing w:val="0"/>
          <w:sz w:val="22"/>
          <w:szCs w:val="22"/>
          <w:u w:val="none"/>
          <w:lang w:val="en-US" w:eastAsia="zh-TW"/>
        </w:rPr>
        <w:fldChar w:fldCharType="separate"/>
      </w:r>
      <w:r>
        <w:rPr>
          <w:rStyle w:val="9"/>
          <w:rFonts w:hint="default" w:ascii="Times New Roman" w:hAnsi="Times New Roman" w:eastAsia="PMingLiU" w:cs="Times New Roman"/>
          <w:i w:val="0"/>
          <w:caps w:val="0"/>
          <w:spacing w:val="0"/>
          <w:sz w:val="22"/>
          <w:szCs w:val="22"/>
          <w:lang w:val="en-US" w:eastAsia="zh-TW"/>
        </w:rPr>
        <w:t>https://www.minimeinsights.com/2018/11/30/mengniu-opens-dairy-factory-in-china-yili-to-buy-thai-ice-cream-maker/</w:t>
      </w:r>
      <w:r>
        <w:rPr>
          <w:rFonts w:hint="default" w:ascii="Times New Roman" w:hAnsi="Times New Roman" w:eastAsia="PMingLiU" w:cs="Times New Roman"/>
          <w:i w:val="0"/>
          <w:caps w:val="0"/>
          <w:color w:val="222222"/>
          <w:spacing w:val="0"/>
          <w:sz w:val="22"/>
          <w:szCs w:val="22"/>
          <w:u w:val="none"/>
          <w:lang w:val="en-US" w:eastAsia="zh-TW"/>
        </w:rPr>
        <w:fldChar w:fldCharType="end"/>
      </w: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r>
        <w:rPr>
          <w:rFonts w:hint="default" w:ascii="Times New Roman" w:hAnsi="Times New Roman" w:eastAsia="PMingLiU" w:cs="Times New Roman"/>
          <w:i w:val="0"/>
          <w:caps w:val="0"/>
          <w:color w:val="222222"/>
          <w:spacing w:val="0"/>
          <w:sz w:val="22"/>
          <w:szCs w:val="22"/>
          <w:u w:val="none"/>
          <w:lang w:val="en-US" w:eastAsia="zh-TW"/>
        </w:rPr>
        <w:t>(Accessed: 05 Aug 2019)</w:t>
      </w: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r>
        <w:rPr>
          <w:rFonts w:hint="default" w:ascii="Times New Roman" w:hAnsi="Times New Roman" w:eastAsia="PMingLiU" w:cs="Times New Roman"/>
          <w:i w:val="0"/>
          <w:caps w:val="0"/>
          <w:color w:val="222222"/>
          <w:spacing w:val="0"/>
          <w:sz w:val="22"/>
          <w:szCs w:val="22"/>
          <w:u w:val="none"/>
          <w:lang w:val="en-US" w:eastAsia="zh-TW"/>
        </w:rPr>
        <w:t>Trading Economics (2019). China Interest Rate. Available at:</w:t>
      </w: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fldChar w:fldCharType="begin"/>
      </w:r>
      <w:r>
        <w:rPr>
          <w:rFonts w:hint="default" w:ascii="Times New Roman" w:hAnsi="Times New Roman" w:cs="Times New Roman"/>
          <w:sz w:val="22"/>
          <w:szCs w:val="22"/>
          <w:lang w:val="en-US" w:eastAsia="zh-TW"/>
        </w:rPr>
        <w:instrText xml:space="preserve"> HYPERLINK "https://tradingeconomics.com/china/interest-rate" </w:instrText>
      </w:r>
      <w:r>
        <w:rPr>
          <w:rFonts w:hint="default" w:ascii="Times New Roman" w:hAnsi="Times New Roman" w:cs="Times New Roman"/>
          <w:sz w:val="22"/>
          <w:szCs w:val="22"/>
          <w:lang w:val="en-US" w:eastAsia="zh-TW"/>
        </w:rPr>
        <w:fldChar w:fldCharType="separate"/>
      </w:r>
      <w:r>
        <w:rPr>
          <w:rStyle w:val="9"/>
          <w:rFonts w:hint="default" w:ascii="Times New Roman" w:hAnsi="Times New Roman" w:cs="Times New Roman"/>
          <w:sz w:val="22"/>
          <w:szCs w:val="22"/>
          <w:lang w:val="en-US" w:eastAsia="zh-TW"/>
        </w:rPr>
        <w:t>https://tradingeconomics.com/china/interest-rate</w:t>
      </w:r>
      <w:r>
        <w:rPr>
          <w:rFonts w:hint="default" w:ascii="Times New Roman" w:hAnsi="Times New Roman" w:cs="Times New Roman"/>
          <w:sz w:val="22"/>
          <w:szCs w:val="22"/>
          <w:lang w:val="en-US" w:eastAsia="zh-TW"/>
        </w:rPr>
        <w:fldChar w:fldCharType="end"/>
      </w: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t>(Accessed: 05 Aug 2019)</w:t>
      </w: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p>
    <w:p>
      <w:pPr>
        <w:spacing w:line="360" w:lineRule="auto"/>
        <w:jc w:val="both"/>
        <w:rPr>
          <w:rFonts w:hint="default" w:ascii="Times New Roman" w:hAnsi="Times New Roman" w:eastAsia="PMingLiU" w:cs="Times New Roman"/>
          <w:i w:val="0"/>
          <w:caps w:val="0"/>
          <w:color w:val="222222"/>
          <w:spacing w:val="0"/>
          <w:sz w:val="22"/>
          <w:szCs w:val="22"/>
          <w:u w:val="none"/>
          <w:lang w:val="en-US" w:eastAsia="zh-TW"/>
        </w:rPr>
      </w:pPr>
      <w:r>
        <w:rPr>
          <w:rFonts w:hint="default" w:ascii="Times New Roman" w:hAnsi="Times New Roman" w:eastAsia="PMingLiU" w:cs="Times New Roman"/>
          <w:i w:val="0"/>
          <w:caps w:val="0"/>
          <w:color w:val="222222"/>
          <w:spacing w:val="0"/>
          <w:sz w:val="22"/>
          <w:szCs w:val="22"/>
          <w:u w:val="none"/>
          <w:lang w:val="en-US" w:eastAsia="zh-TW"/>
        </w:rPr>
        <w:t>XE.com Inc (2019). Current Chart USD/CNY. Available at:</w:t>
      </w:r>
    </w:p>
    <w:p>
      <w:pPr>
        <w:spacing w:line="360" w:lineRule="auto"/>
        <w:jc w:val="both"/>
        <w:rPr>
          <w:rFonts w:hint="default" w:ascii="Times New Roman" w:hAnsi="Times New Roman" w:eastAsia="Times New Roman" w:cs="Times New Roman"/>
          <w:color w:val="196AD4"/>
          <w:sz w:val="22"/>
          <w:szCs w:val="22"/>
          <w:u w:val="single"/>
        </w:rPr>
      </w:pPr>
      <w:r>
        <w:rPr>
          <w:rFonts w:hint="default" w:ascii="Times New Roman" w:hAnsi="Times New Roman" w:cs="Times New Roman"/>
          <w:sz w:val="22"/>
          <w:szCs w:val="22"/>
        </w:rPr>
        <w:fldChar w:fldCharType="begin"/>
      </w:r>
      <w:r>
        <w:rPr>
          <w:rFonts w:hint="default" w:ascii="Times New Roman" w:hAnsi="Times New Roman" w:cs="Times New Roman"/>
          <w:sz w:val="22"/>
          <w:szCs w:val="22"/>
        </w:rPr>
        <w:instrText xml:space="preserve"> HYPERLINK "https://www.xe.com/zh-HK/currencycharts/?from=USD&amp;to=CNY&amp;view=2Y" \t "_blank" </w:instrText>
      </w:r>
      <w:r>
        <w:rPr>
          <w:rFonts w:hint="default" w:ascii="Times New Roman" w:hAnsi="Times New Roman" w:cs="Times New Roman"/>
          <w:sz w:val="22"/>
          <w:szCs w:val="22"/>
        </w:rPr>
        <w:fldChar w:fldCharType="separate"/>
      </w:r>
      <w:r>
        <w:rPr>
          <w:rFonts w:hint="default" w:ascii="Times New Roman" w:hAnsi="Times New Roman" w:eastAsia="Times New Roman" w:cs="Times New Roman"/>
          <w:color w:val="196AD4"/>
          <w:sz w:val="22"/>
          <w:szCs w:val="22"/>
          <w:u w:val="single"/>
        </w:rPr>
        <w:t>https://www.xe.com/zh-HK/currencycharts/?from=USD&amp;to=CNY&amp;view=2Y</w:t>
      </w:r>
      <w:r>
        <w:rPr>
          <w:rFonts w:hint="default" w:ascii="Times New Roman" w:hAnsi="Times New Roman" w:eastAsia="Times New Roman" w:cs="Times New Roman"/>
          <w:color w:val="196AD4"/>
          <w:sz w:val="22"/>
          <w:szCs w:val="22"/>
          <w:u w:val="single"/>
        </w:rPr>
        <w:fldChar w:fldCharType="end"/>
      </w:r>
    </w:p>
    <w:p>
      <w:pPr>
        <w:spacing w:line="360" w:lineRule="auto"/>
        <w:jc w:val="both"/>
        <w:rPr>
          <w:rFonts w:hint="default" w:ascii="Times New Roman" w:hAnsi="Times New Roman" w:eastAsia="PMingLiU" w:cs="Times New Roman"/>
          <w:color w:val="auto"/>
          <w:sz w:val="22"/>
          <w:szCs w:val="22"/>
          <w:u w:val="none"/>
          <w:lang w:val="en-US" w:eastAsia="zh-TW"/>
        </w:rPr>
      </w:pPr>
      <w:r>
        <w:rPr>
          <w:rFonts w:hint="default" w:ascii="Times New Roman" w:hAnsi="Times New Roman" w:eastAsia="PMingLiU" w:cs="Times New Roman"/>
          <w:color w:val="auto"/>
          <w:sz w:val="22"/>
          <w:szCs w:val="22"/>
          <w:u w:val="none"/>
          <w:lang w:val="en-US" w:eastAsia="zh-TW"/>
        </w:rPr>
        <w:t>(Accessed: 05 Aug 2019)</w:t>
      </w:r>
    </w:p>
    <w:p>
      <w:pPr>
        <w:spacing w:line="360" w:lineRule="auto"/>
        <w:jc w:val="both"/>
        <w:rPr>
          <w:rFonts w:hint="default" w:ascii="Times New Roman" w:hAnsi="Times New Roman" w:eastAsia="SimSun" w:cs="Times New Roman"/>
          <w:i w:val="0"/>
          <w:caps w:val="0"/>
          <w:color w:val="222222"/>
          <w:spacing w:val="0"/>
          <w:sz w:val="22"/>
          <w:szCs w:val="22"/>
          <w:u w:val="none"/>
        </w:rPr>
      </w:pP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t>Yashili International Holdings Limited (2017). Annual Report. Available at:</w:t>
      </w: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fldChar w:fldCharType="begin"/>
      </w:r>
      <w:r>
        <w:rPr>
          <w:rFonts w:hint="default" w:ascii="Times New Roman" w:hAnsi="Times New Roman" w:cs="Times New Roman"/>
          <w:sz w:val="22"/>
          <w:szCs w:val="22"/>
          <w:lang w:val="en-US" w:eastAsia="zh-TW"/>
        </w:rPr>
        <w:instrText xml:space="preserve"> HYPERLINK "https://www1.hkexnews.hk/listedco/listconews/sehk/2017/0427/ltn201704271607.pdf" </w:instrText>
      </w:r>
      <w:r>
        <w:rPr>
          <w:rFonts w:hint="default" w:ascii="Times New Roman" w:hAnsi="Times New Roman" w:cs="Times New Roman"/>
          <w:sz w:val="22"/>
          <w:szCs w:val="22"/>
          <w:lang w:val="en-US" w:eastAsia="zh-TW"/>
        </w:rPr>
        <w:fldChar w:fldCharType="separate"/>
      </w:r>
      <w:r>
        <w:rPr>
          <w:rStyle w:val="9"/>
          <w:rFonts w:hint="default" w:ascii="Times New Roman" w:hAnsi="Times New Roman" w:cs="Times New Roman"/>
          <w:sz w:val="22"/>
          <w:szCs w:val="22"/>
          <w:lang w:val="en-US" w:eastAsia="zh-TW"/>
        </w:rPr>
        <w:t>https://www1.hkexnews.hk/listedco/listconews/sehk/2017/0427/ltn201704271607.pdf</w:t>
      </w:r>
      <w:r>
        <w:rPr>
          <w:rFonts w:hint="default" w:ascii="Times New Roman" w:hAnsi="Times New Roman" w:cs="Times New Roman"/>
          <w:sz w:val="22"/>
          <w:szCs w:val="22"/>
          <w:lang w:val="en-US" w:eastAsia="zh-TW"/>
        </w:rPr>
        <w:fldChar w:fldCharType="end"/>
      </w: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t>(Accessed: 05 Aug 2019)</w:t>
      </w:r>
    </w:p>
    <w:p>
      <w:pPr>
        <w:spacing w:line="360" w:lineRule="auto"/>
        <w:jc w:val="both"/>
        <w:rPr>
          <w:rFonts w:hint="default" w:ascii="Times New Roman" w:hAnsi="Times New Roman" w:cs="Times New Roman"/>
          <w:sz w:val="22"/>
          <w:szCs w:val="22"/>
          <w:lang w:val="en-US" w:eastAsia="zh-TW"/>
        </w:rPr>
      </w:pP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t>Yashili International Holdings Limited (2018). Annual Report. Available at:</w:t>
      </w: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fldChar w:fldCharType="begin"/>
      </w:r>
      <w:r>
        <w:rPr>
          <w:rFonts w:hint="default" w:ascii="Times New Roman" w:hAnsi="Times New Roman" w:cs="Times New Roman"/>
          <w:sz w:val="22"/>
          <w:szCs w:val="22"/>
          <w:lang w:val="en-US" w:eastAsia="zh-TW"/>
        </w:rPr>
        <w:instrText xml:space="preserve"> HYPERLINK "https://www1.hkexnews.hk/listedco/listconews/sehk/2018/0420/ltn20180420059.pdf" </w:instrText>
      </w:r>
      <w:r>
        <w:rPr>
          <w:rFonts w:hint="default" w:ascii="Times New Roman" w:hAnsi="Times New Roman" w:cs="Times New Roman"/>
          <w:sz w:val="22"/>
          <w:szCs w:val="22"/>
          <w:lang w:val="en-US" w:eastAsia="zh-TW"/>
        </w:rPr>
        <w:fldChar w:fldCharType="separate"/>
      </w:r>
      <w:r>
        <w:rPr>
          <w:rStyle w:val="9"/>
          <w:rFonts w:hint="default" w:ascii="Times New Roman" w:hAnsi="Times New Roman" w:cs="Times New Roman"/>
          <w:sz w:val="22"/>
          <w:szCs w:val="22"/>
          <w:lang w:val="en-US" w:eastAsia="zh-TW"/>
        </w:rPr>
        <w:t>https://www1.hkexnews.hk/listedco/listconews/sehk/2018/0420/ltn20180420059.pdf</w:t>
      </w:r>
      <w:r>
        <w:rPr>
          <w:rFonts w:hint="default" w:ascii="Times New Roman" w:hAnsi="Times New Roman" w:cs="Times New Roman"/>
          <w:sz w:val="22"/>
          <w:szCs w:val="22"/>
          <w:lang w:val="en-US" w:eastAsia="zh-TW"/>
        </w:rPr>
        <w:fldChar w:fldCharType="end"/>
      </w: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t>(Accessed: 05 Aug 2019)</w:t>
      </w:r>
    </w:p>
    <w:p>
      <w:pPr>
        <w:spacing w:line="360" w:lineRule="auto"/>
        <w:jc w:val="both"/>
        <w:rPr>
          <w:rFonts w:hint="default" w:ascii="Times New Roman" w:hAnsi="Times New Roman" w:cs="Times New Roman"/>
          <w:sz w:val="22"/>
          <w:szCs w:val="22"/>
          <w:lang w:val="en-US" w:eastAsia="zh-TW"/>
        </w:rPr>
      </w:pPr>
    </w:p>
    <w:p>
      <w:pPr>
        <w:spacing w:line="360" w:lineRule="auto"/>
        <w:jc w:val="both"/>
        <w:rPr>
          <w:rFonts w:hint="default" w:ascii="Times New Roman" w:hAnsi="Times New Roman" w:cs="Times New Roman"/>
          <w:sz w:val="22"/>
          <w:szCs w:val="22"/>
          <w:lang w:val="en-US" w:eastAsia="zh-TW"/>
        </w:rPr>
      </w:pPr>
    </w:p>
    <w:p>
      <w:pPr>
        <w:spacing w:line="360" w:lineRule="auto"/>
        <w:jc w:val="both"/>
        <w:rPr>
          <w:rFonts w:hint="default" w:ascii="Times New Roman" w:hAnsi="Times New Roman" w:cs="Times New Roman"/>
          <w:sz w:val="22"/>
          <w:szCs w:val="22"/>
          <w:lang w:val="en-US" w:eastAsia="zh-TW"/>
        </w:rPr>
      </w:pP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t>Yashili International Holdings Limited (2019). Annual Report. Available at:</w:t>
      </w: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fldChar w:fldCharType="begin"/>
      </w:r>
      <w:r>
        <w:rPr>
          <w:rFonts w:hint="default" w:ascii="Times New Roman" w:hAnsi="Times New Roman" w:cs="Times New Roman"/>
          <w:sz w:val="22"/>
          <w:szCs w:val="22"/>
          <w:lang w:val="en-US" w:eastAsia="zh-TW"/>
        </w:rPr>
        <w:instrText xml:space="preserve"> HYPERLINK "https://www1.hkexnews.hk/listedco/listconews/sehk/2019/0429/ltn201904293210.pdf" </w:instrText>
      </w:r>
      <w:r>
        <w:rPr>
          <w:rFonts w:hint="default" w:ascii="Times New Roman" w:hAnsi="Times New Roman" w:cs="Times New Roman"/>
          <w:sz w:val="22"/>
          <w:szCs w:val="22"/>
          <w:lang w:val="en-US" w:eastAsia="zh-TW"/>
        </w:rPr>
        <w:fldChar w:fldCharType="separate"/>
      </w:r>
      <w:r>
        <w:rPr>
          <w:rStyle w:val="9"/>
          <w:rFonts w:hint="default" w:ascii="Times New Roman" w:hAnsi="Times New Roman" w:cs="Times New Roman"/>
          <w:sz w:val="22"/>
          <w:szCs w:val="22"/>
          <w:lang w:val="en-US" w:eastAsia="zh-TW"/>
        </w:rPr>
        <w:t>https://www1.hkexnews.hk/listedco/listconews/sehk/2019/0429/ltn201904293210.pdf</w:t>
      </w:r>
      <w:r>
        <w:rPr>
          <w:rFonts w:hint="default" w:ascii="Times New Roman" w:hAnsi="Times New Roman" w:cs="Times New Roman"/>
          <w:sz w:val="22"/>
          <w:szCs w:val="22"/>
          <w:lang w:val="en-US" w:eastAsia="zh-TW"/>
        </w:rPr>
        <w:fldChar w:fldCharType="end"/>
      </w:r>
    </w:p>
    <w:p>
      <w:pPr>
        <w:spacing w:line="360" w:lineRule="auto"/>
        <w:jc w:val="both"/>
        <w:rPr>
          <w:rFonts w:hint="default" w:ascii="Times New Roman" w:hAnsi="Times New Roman" w:cs="Times New Roman"/>
          <w:sz w:val="22"/>
          <w:szCs w:val="22"/>
          <w:lang w:val="en-US" w:eastAsia="zh-TW"/>
        </w:rPr>
      </w:pPr>
      <w:r>
        <w:rPr>
          <w:rFonts w:hint="default" w:ascii="Times New Roman" w:hAnsi="Times New Roman" w:cs="Times New Roman"/>
          <w:sz w:val="22"/>
          <w:szCs w:val="22"/>
          <w:lang w:val="en-US" w:eastAsia="zh-TW"/>
        </w:rPr>
        <w:t>(Accessed: 05 Aug 2019)</w:t>
      </w:r>
    </w:p>
    <w:p>
      <w:pPr>
        <w:spacing w:line="360" w:lineRule="auto"/>
        <w:jc w:val="both"/>
        <w:rPr>
          <w:rFonts w:hint="default" w:ascii="Times New Roman" w:hAnsi="Times New Roman" w:cs="Times New Roman"/>
          <w:sz w:val="22"/>
          <w:szCs w:val="22"/>
          <w:lang w:val="en-US" w:eastAsia="zh-TW"/>
        </w:rPr>
      </w:pPr>
    </w:p>
    <w:p>
      <w:pPr>
        <w:rPr>
          <w:rFonts w:hint="default" w:ascii="Times New Roman" w:hAnsi="Times New Roman" w:eastAsia="PMingLiU" w:cs="Times New Roman"/>
          <w:sz w:val="22"/>
          <w:szCs w:val="22"/>
          <w:lang w:val="en-US" w:eastAsia="zh-TW"/>
        </w:rPr>
      </w:pPr>
      <w:r>
        <w:rPr>
          <w:rFonts w:hint="default" w:ascii="Times New Roman" w:hAnsi="Times New Roman" w:eastAsia="SimSun" w:cs="Times New Roman"/>
          <w:i w:val="0"/>
          <w:caps w:val="0"/>
          <w:color w:val="222222"/>
          <w:spacing w:val="0"/>
          <w:sz w:val="22"/>
          <w:szCs w:val="22"/>
          <w:u w:val="none"/>
        </w:rPr>
        <w:t xml:space="preserve">Zainudin, N., 2008. Tracking the credit collection period of Malaysian small and medium-sized enterprises. </w:t>
      </w:r>
      <w:r>
        <w:rPr>
          <w:rFonts w:hint="default" w:ascii="Times New Roman" w:hAnsi="Times New Roman" w:eastAsia="SimSun" w:cs="Times New Roman"/>
          <w:i/>
          <w:caps w:val="0"/>
          <w:color w:val="222222"/>
          <w:spacing w:val="0"/>
          <w:sz w:val="22"/>
          <w:szCs w:val="22"/>
          <w:u w:val="none"/>
          <w:vertAlign w:val="baseline"/>
        </w:rPr>
        <w:t>International Business Research</w:t>
      </w:r>
      <w:r>
        <w:rPr>
          <w:rFonts w:hint="default" w:ascii="Times New Roman" w:hAnsi="Times New Roman" w:eastAsia="SimSun" w:cs="Times New Roman"/>
          <w:i w:val="0"/>
          <w:caps w:val="0"/>
          <w:color w:val="222222"/>
          <w:spacing w:val="0"/>
          <w:sz w:val="22"/>
          <w:szCs w:val="22"/>
          <w:u w:val="none"/>
        </w:rPr>
        <w:t xml:space="preserve">, </w:t>
      </w:r>
      <w:r>
        <w:rPr>
          <w:rFonts w:hint="default" w:ascii="Times New Roman" w:hAnsi="Times New Roman" w:eastAsia="SimSun" w:cs="Times New Roman"/>
          <w:i/>
          <w:caps w:val="0"/>
          <w:color w:val="222222"/>
          <w:spacing w:val="0"/>
          <w:sz w:val="22"/>
          <w:szCs w:val="22"/>
          <w:u w:val="none"/>
          <w:vertAlign w:val="baseline"/>
        </w:rPr>
        <w:t>1</w:t>
      </w:r>
      <w:r>
        <w:rPr>
          <w:rFonts w:hint="default" w:ascii="Times New Roman" w:hAnsi="Times New Roman" w:eastAsia="SimSun" w:cs="Times New Roman"/>
          <w:i w:val="0"/>
          <w:caps w:val="0"/>
          <w:color w:val="222222"/>
          <w:spacing w:val="0"/>
          <w:sz w:val="22"/>
          <w:szCs w:val="22"/>
          <w:u w:val="none"/>
        </w:rPr>
        <w:t>(1), pp.78-86.</w:t>
      </w: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pPr>
        <w:rPr>
          <w:rFonts w:hint="default" w:ascii="Times New Roman" w:hAnsi="Times New Roman" w:eastAsia="PMingLiU" w:cs="Times New Roman"/>
          <w:sz w:val="22"/>
          <w:szCs w:val="22"/>
          <w:lang w:val="en-US" w:eastAsia="zh-TW"/>
        </w:rPr>
      </w:pPr>
    </w:p>
    <w:p>
      <w:r>
        <w:rPr>
          <w:rFonts w:hint="default" w:ascii="Times New Roman" w:hAnsi="Times New Roman" w:cs="Times New Roman"/>
          <w:b/>
          <w:bCs/>
          <w:sz w:val="28"/>
          <w:szCs w:val="28"/>
        </w:rPr>
        <w:t>Appendix 1: Financial Analysis of China Mengniu Dairy Company Limited</w:t>
      </w:r>
      <w:r>
        <w:rPr>
          <w:rFonts w:hint="eastAsia"/>
        </w:rPr>
        <w:t xml:space="preserve"> </w:t>
      </w:r>
    </w:p>
    <w:tbl>
      <w:tblPr>
        <w:tblStyle w:val="10"/>
        <w:tblW w:w="9380" w:type="dxa"/>
        <w:tblInd w:w="0" w:type="dxa"/>
        <w:tblLayout w:type="fixed"/>
        <w:tblCellMar>
          <w:top w:w="0" w:type="dxa"/>
          <w:left w:w="0" w:type="dxa"/>
          <w:bottom w:w="0" w:type="dxa"/>
          <w:right w:w="0" w:type="dxa"/>
        </w:tblCellMar>
      </w:tblPr>
      <w:tblGrid>
        <w:gridCol w:w="1242"/>
        <w:gridCol w:w="569"/>
        <w:gridCol w:w="607"/>
        <w:gridCol w:w="569"/>
        <w:gridCol w:w="658"/>
        <w:gridCol w:w="352"/>
        <w:gridCol w:w="1899"/>
        <w:gridCol w:w="1899"/>
        <w:gridCol w:w="1585"/>
      </w:tblGrid>
      <w:tr>
        <w:tblPrEx>
          <w:tblLayout w:type="fixed"/>
          <w:tblCellMar>
            <w:top w:w="0" w:type="dxa"/>
            <w:left w:w="0" w:type="dxa"/>
            <w:bottom w:w="0" w:type="dxa"/>
            <w:right w:w="0" w:type="dxa"/>
          </w:tblCellMar>
        </w:tblPrEx>
        <w:trPr>
          <w:trHeight w:val="290" w:hRule="atLeast"/>
        </w:trPr>
        <w:tc>
          <w:tcPr>
            <w:tcW w:w="1242" w:type="dxa"/>
            <w:tcBorders>
              <w:top w:val="nil"/>
              <w:left w:val="nil"/>
              <w:bottom w:val="nil"/>
              <w:right w:val="nil"/>
            </w:tcBorders>
            <w:shd w:val="clear" w:color="auto" w:fill="auto"/>
            <w:noWrap/>
            <w:tcMar>
              <w:top w:w="10" w:type="dxa"/>
              <w:left w:w="10" w:type="dxa"/>
              <w:right w:w="10" w:type="dxa"/>
            </w:tcMar>
            <w:vAlign w:val="bottom"/>
          </w:tcPr>
          <w:p>
            <w:pPr>
              <w:textAlignment w:val="bottom"/>
              <w:rPr>
                <w:rFonts w:ascii="Calibri" w:hAnsi="Calibri" w:cs="Calibri"/>
                <w:b/>
                <w:i/>
                <w:color w:val="000000"/>
                <w:sz w:val="12"/>
                <w:szCs w:val="12"/>
              </w:rPr>
            </w:pPr>
          </w:p>
        </w:tc>
        <w:tc>
          <w:tcPr>
            <w:tcW w:w="569"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b/>
                <w:i/>
                <w:color w:val="000000"/>
                <w:sz w:val="12"/>
                <w:szCs w:val="12"/>
              </w:rPr>
            </w:pPr>
          </w:p>
        </w:tc>
        <w:tc>
          <w:tcPr>
            <w:tcW w:w="2403" w:type="dxa"/>
            <w:gridSpan w:val="4"/>
            <w:tcBorders>
              <w:top w:val="nil"/>
              <w:left w:val="nil"/>
              <w:bottom w:val="nil"/>
              <w:right w:val="nil"/>
            </w:tcBorders>
            <w:shd w:val="clear" w:color="auto" w:fill="auto"/>
            <w:noWrap/>
            <w:tcMar>
              <w:top w:w="10" w:type="dxa"/>
              <w:left w:w="10" w:type="dxa"/>
              <w:right w:w="10" w:type="dxa"/>
            </w:tcMar>
          </w:tcPr>
          <w:p>
            <w:pPr>
              <w:jc w:val="center"/>
              <w:textAlignment w:val="top"/>
              <w:rPr>
                <w:rFonts w:ascii="Calibri" w:hAnsi="Calibri" w:cs="Calibri"/>
                <w:b/>
                <w:color w:val="000000"/>
                <w:sz w:val="12"/>
                <w:szCs w:val="12"/>
              </w:rPr>
            </w:pPr>
            <w:r>
              <w:rPr>
                <w:rFonts w:ascii="Calibri" w:hAnsi="Calibri" w:eastAsia="SimSun" w:cs="Calibri"/>
                <w:b/>
                <w:color w:val="000000"/>
                <w:sz w:val="12"/>
                <w:szCs w:val="12"/>
                <w:lang w:eastAsia="zh-CN" w:bidi="ar"/>
              </w:rPr>
              <w:t>China Mengniu Dairy Company Limited</w:t>
            </w:r>
          </w:p>
        </w:tc>
        <w:tc>
          <w:tcPr>
            <w:tcW w:w="352" w:type="dxa"/>
            <w:tcBorders>
              <w:top w:val="nil"/>
              <w:left w:val="nil"/>
              <w:bottom w:val="nil"/>
              <w:right w:val="nil"/>
            </w:tcBorders>
            <w:shd w:val="clear" w:color="auto" w:fill="auto"/>
            <w:noWrap/>
            <w:tcMar>
              <w:top w:w="10" w:type="dxa"/>
              <w:left w:w="10" w:type="dxa"/>
              <w:right w:w="10" w:type="dxa"/>
            </w:tcMar>
            <w:vAlign w:val="bottom"/>
          </w:tcPr>
          <w:p>
            <w:pPr>
              <w:jc w:val="center"/>
              <w:rPr>
                <w:rFonts w:ascii="Calibri" w:hAnsi="Calibri" w:cs="Calibri"/>
                <w:b/>
                <w:color w:val="000000"/>
                <w:sz w:val="12"/>
                <w:szCs w:val="12"/>
              </w:rPr>
            </w:pPr>
          </w:p>
        </w:tc>
        <w:tc>
          <w:tcPr>
            <w:tcW w:w="1899"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In RMB 1 million RMB (Year)</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2016</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2017</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2018</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 years average</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cente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2016</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cente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2017</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cente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2018</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Net Current Assets</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4632.26</w:t>
            </w:r>
          </w:p>
        </w:tc>
        <w:tc>
          <w:tcPr>
            <w:tcW w:w="607"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3451.413</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4632.26</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4238.644</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19837-15303</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26018-22566</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29741-25109</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Assets</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49124.427</w:t>
            </w:r>
          </w:p>
        </w:tc>
        <w:tc>
          <w:tcPr>
            <w:tcW w:w="607"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58138.731</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66457</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57906.719</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29287+19837</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32121+26018</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36716+29741</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bookmarkStart w:id="0" w:name="_GoBack"/>
            <w:bookmarkEnd w:id="0"/>
            <w:r>
              <w:rPr>
                <w:rFonts w:ascii="Calibri" w:hAnsi="Calibri" w:eastAsia="SimSun" w:cs="Calibri"/>
                <w:color w:val="000000"/>
                <w:sz w:val="12"/>
                <w:szCs w:val="12"/>
                <w:lang w:eastAsia="zh-CN" w:bidi="ar"/>
              </w:rPr>
              <w:t>Retained earnings</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7901.126</w:t>
            </w:r>
          </w:p>
        </w:tc>
        <w:tc>
          <w:tcPr>
            <w:tcW w:w="607"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9793.487</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12622.549</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10105.721</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EBIT</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-167.686</w:t>
            </w:r>
          </w:p>
        </w:tc>
        <w:tc>
          <w:tcPr>
            <w:tcW w:w="607"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3024.833</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4403.384</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2420.177</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Stock value (HKD) </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14.659</w:t>
            </w:r>
          </w:p>
        </w:tc>
        <w:tc>
          <w:tcPr>
            <w:tcW w:w="607"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22.959</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24.232</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20.617</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RMB/HKD currency exchange rate</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1.117</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1.201</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1.138</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1.152</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No of stock (Million Shares)</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3925.027</w:t>
            </w:r>
          </w:p>
        </w:tc>
        <w:tc>
          <w:tcPr>
            <w:tcW w:w="607"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3927.361</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3927.708</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3926.699</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liablities</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31031.608</w:t>
            </w:r>
          </w:p>
        </w:tc>
        <w:tc>
          <w:tcPr>
            <w:tcW w:w="607"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31031.608</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35992.978</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32685.398</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Sales</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53779.339</w:t>
            </w:r>
          </w:p>
        </w:tc>
        <w:tc>
          <w:tcPr>
            <w:tcW w:w="607"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60155.622</w:t>
            </w:r>
          </w:p>
        </w:tc>
        <w:tc>
          <w:tcPr>
            <w:tcW w:w="569" w:type="dxa"/>
            <w:tcBorders>
              <w:top w:val="single" w:color="000000" w:sz="4" w:space="0"/>
              <w:left w:val="single" w:color="000000" w:sz="4" w:space="0"/>
              <w:bottom w:val="single" w:color="000000" w:sz="4" w:space="0"/>
              <w:right w:val="single" w:color="000000" w:sz="4" w:space="0"/>
            </w:tcBorders>
            <w:shd w:val="clear" w:color="auto" w:fill="auto"/>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68977.066</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60970.676</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A=Working Captial/Total Assets</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0.094</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0.059</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0.070</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0.074</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B=Retained Earnings/Total Assets</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0.161</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0.168</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0.190</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0.173</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 EBIT/Total Assets</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-0.003</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0.052</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0.066</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0.038</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D</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1.660</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2.419</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2.324</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2.134</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E= Sales/Total Assets</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1.095</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1.035</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1.038</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1.056</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Z score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2.417</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2.964</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2.999</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2.793</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Fixed Assets</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15021.498</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15194.154</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18131.500</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12698.374+1271.844+67.486+983.794</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12715.454+1363.399+59.333+1055.968</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14733.924+2203.125+73.785+1120.666</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CL</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15302.669</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22566.293</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25109.118</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Net asset</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25503.728</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27107.123</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30464.279</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 xml:space="preserve">Long Term Liabilities(interest bearing)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5542.163</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6015.097</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8209.857</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(5542.163+0)</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(6015.097+0)</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(8192.400+17.457)</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Equity</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25503.728</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27107.123</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30464.279</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sz w:val="12"/>
                <w:szCs w:val="12"/>
              </w:rPr>
            </w:pPr>
            <w:r>
              <w:rPr>
                <w:rFonts w:ascii="Calibri" w:hAnsi="Calibri" w:eastAsia="SimSun" w:cs="Calibri"/>
                <w:b/>
                <w:i/>
                <w:color w:val="000000"/>
                <w:sz w:val="12"/>
                <w:szCs w:val="12"/>
                <w:lang w:eastAsia="zh-CN" w:bidi="ar"/>
              </w:rPr>
              <w:t>Financial Structure</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Fixed Asset to Long term Liablility Ratio</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2.710</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2.526</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2.209</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2.482</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(28.808+830.891)/(2.482+761.455+1589.651)</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(1537.068+27.960)/(1.592+1158.040+1947.006)</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(1580.523+27.112)/(1.858+659.042+3394.548)</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Current Liabilities to Net Asset Ratio</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0.600</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0.832</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0.824</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0.752</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Current Liabilities to Stock Ratio</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4.617</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6.429</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5.864</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5.637</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cash</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6070.078</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5958.877</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7297.988</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sz w:val="12"/>
                <w:szCs w:val="12"/>
              </w:rPr>
            </w:pPr>
            <w:r>
              <w:rPr>
                <w:rFonts w:ascii="Calibri" w:hAnsi="Calibri" w:eastAsia="SimSun" w:cs="Calibri"/>
                <w:b/>
                <w:i/>
                <w:color w:val="000000"/>
                <w:sz w:val="12"/>
                <w:szCs w:val="12"/>
                <w:lang w:eastAsia="zh-CN" w:bidi="ar"/>
              </w:rPr>
              <w:t>Paying debit ability</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Current ratio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1.296</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1.153</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1.184</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1.211</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(19837.309/15302.669)</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(26017.706/22566.293)</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(29741.378/25109.118)</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Quick Ratio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1.080</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0.997</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1.014</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1.030</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((19837.309-3314.282)/15302.669)</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((26017.706-3510.268)/22566.293)</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((29741.378-4281.919)/25109.118)</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Stock Credit Index</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-0.368</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0.017</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-0.082</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-0.144</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((15302.669-(19837.309-3314.282))/3314.282)</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((22566.293-(26017.706-3510.268))/3510.268)</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((25109.118-(29741.378-4281.919)/4281.919)</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Cash Ratio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0.397</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0.264</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0.291</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0.317</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(6070.078/15302.669)</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(5958.877/22566.293)</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(7297.988/25109.118)</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Debt Ratio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0.481</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0.534</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0.542</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0.519</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((15302.669+8318.030)/(29287.118+19837.309))</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((22566.293+8465.315)/(32121.025+26017.706))</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((25109.118+10883.860)/(36715.879+29741.378))</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Debt/Equity Ratio</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0.926</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1.145</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1.181</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1.084</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((15302.669+8318.030)/25503.728)</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((22566.293+8465.315)/(27107.123))</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((25109.118+10883.860)/(30464.279))</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Long Term Debt Ratio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0.113</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0.103</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0.124</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0.113</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Debit/Fixed Asset Ratio</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0.807</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0.966</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0.980</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0.918</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((15302.669+8318.030)/(29287.118+19837.309-19837.309))</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((22566.293+8465.315)/(32121.025+26017.706-26017.706))</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((25109.118+10883.860)/(36715.879+29741.378-29741.378))</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Time Interest Cover Ratio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-0.571</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7.565</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7.997</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4.997</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294</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399.872</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550.662</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Cash Coverage Ratio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4.882</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11.825</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11.335</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9.348</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(((-167.686+1536.404+2.457+24.760+37.903)/293.7))</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(((3024.833+1622.015+2.447+24.536+54.852)/399.872))</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(((4403.384 + 1738.806+3.937+28.843+66.865)/550.662))</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b/>
                <w: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sz w:val="12"/>
                <w:szCs w:val="12"/>
              </w:rPr>
            </w:pPr>
            <w:r>
              <w:rPr>
                <w:rFonts w:ascii="Calibri" w:hAnsi="Calibri" w:eastAsia="SimSun" w:cs="Calibri"/>
                <w:b/>
                <w:i/>
                <w:color w:val="000000"/>
                <w:sz w:val="12"/>
                <w:szCs w:val="12"/>
                <w:lang w:eastAsia="zh-CN" w:bidi="ar"/>
              </w:rPr>
              <w:t>Operating expenses</w:t>
            </w:r>
          </w:p>
        </w:tc>
        <w:tc>
          <w:tcPr>
            <w:tcW w:w="2403" w:type="dxa"/>
            <w:gridSpan w:val="4"/>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tcPr>
          <w:p>
            <w:pPr>
              <w:jc w:val="center"/>
              <w:rPr>
                <w:rFonts w:ascii="Calibri" w:hAnsi="Calibri" w:cs="Calibri"/>
                <w:b/>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center"/>
              <w:rPr>
                <w:rFonts w:ascii="Calibri" w:hAnsi="Calibri" w:cs="Calibri"/>
                <w:b/>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Deprecitation and Amortization</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1601.524</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1703.850</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1838.451</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1,714.608</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Selling and distribution expense</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13,435</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14,868.800</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18833.3</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15,712.433</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Administrate expense</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2,471.365</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2,497.212</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2,915</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2627.87</w:t>
            </w:r>
            <w:r>
              <w:rPr>
                <w:rFonts w:hint="eastAsia" w:ascii="Calibri" w:hAnsi="Calibri" w:eastAsia="PMingLiU" w:cs="Calibri"/>
                <w:color w:val="000000"/>
                <w:sz w:val="12"/>
                <w:szCs w:val="12"/>
                <w:lang w:bidi="ar"/>
              </w:rPr>
              <w:t>1</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Other expenses</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2,850.668</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1,098.61</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851</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1600.1630</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b/>
                <w:i/>
                <w:color w:val="000000"/>
                <w:sz w:val="12"/>
                <w:szCs w:val="12"/>
              </w:rPr>
            </w:pPr>
          </w:p>
        </w:tc>
        <w:tc>
          <w:tcPr>
            <w:tcW w:w="2403" w:type="dxa"/>
            <w:gridSpan w:val="4"/>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tcPr>
          <w:p>
            <w:pPr>
              <w:jc w:val="center"/>
              <w:rPr>
                <w:rFonts w:ascii="Calibri" w:hAnsi="Calibri" w:cs="Calibri"/>
                <w:b/>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center"/>
              <w:rPr>
                <w:rFonts w:ascii="Calibri" w:hAnsi="Calibri" w:cs="Calibri"/>
                <w:b/>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assets turnover</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1.095</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1.035</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1.038</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1.056</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Average Collection Period (days)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15.882</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16.060</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15.303</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15.748</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(2340.099/53779.339*365)</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(2646.834/60155.622*365)</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(2891.973/68977.066*365)</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Day's Sales in Inventory(1)(days)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33.469</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32.875</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36.184</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34.176</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(3314.282/36143.937*365)</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(3510.268/38972.927*365)</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(4281.919/43193.440*365)</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Payment period(days)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54.589</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59.398</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59.335</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57.774</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( 5405.620/36143.937*365)</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(6342.273/38972.927*365)</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(7021.542/43193.440*365)</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sz w:val="12"/>
                <w:szCs w:val="12"/>
              </w:rPr>
            </w:pPr>
            <w:r>
              <w:rPr>
                <w:rFonts w:ascii="Calibri" w:hAnsi="Calibri" w:eastAsia="SimSun" w:cs="Calibri"/>
                <w:b/>
                <w:i/>
                <w:color w:val="000000"/>
                <w:sz w:val="12"/>
                <w:szCs w:val="12"/>
                <w:lang w:eastAsia="zh-CN" w:bidi="ar"/>
              </w:rPr>
              <w:t>Profitability</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Net profit (1 Miliion RMB)</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-812.765</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2030.678</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3203.721</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1,473.878</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Net profit growth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-132.251%</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349.848%</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57.766%</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0.918</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((-812.765-2520.132)/2520.132)</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((2030.678+812.765)/812.765)</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((3203.721-2030.678)/2030.678)</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Gross profit margin</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0.328</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0.352</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0.374</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0.351</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(17635.402/53779.339)</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(21182.695/60155.622)</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((25783.626/68977.066)</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Net Profit margin</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-0.015</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0.034</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0.046</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0.022</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sz w:val="12"/>
                <w:szCs w:val="12"/>
              </w:rPr>
            </w:pPr>
            <w:r>
              <w:rPr>
                <w:rFonts w:ascii="Calibri" w:hAnsi="Calibri" w:eastAsia="SimSun" w:cs="Calibri"/>
                <w:b/>
                <w:i/>
                <w:color w:val="000000"/>
                <w:sz w:val="12"/>
                <w:szCs w:val="12"/>
                <w:lang w:eastAsia="zh-CN" w:bidi="ar"/>
              </w:rPr>
              <w:t>Total Assets Turnover</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Total assets turnover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1.095</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1.035</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1.038</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1.056</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leverage ratio</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0.926</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1.145</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1.181</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1.084</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((15302.669+8318.030)/25503.728)</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((22566.293+8465.315)/27107.123)</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((25109.118+10883.860)/30464.279)</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Return on Equity (after tax)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-3.187%</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7.491%</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10.516%</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4.940%</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(-812.765/25503.728)</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(2030.678/27107.123)</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(3203.721/30464.279)</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sz w:val="12"/>
                <w:szCs w:val="12"/>
              </w:rPr>
            </w:pPr>
            <w:r>
              <w:rPr>
                <w:rFonts w:ascii="Calibri" w:hAnsi="Calibri" w:eastAsia="SimSun" w:cs="Calibri"/>
                <w:b/>
                <w:i/>
                <w:color w:val="000000"/>
                <w:sz w:val="12"/>
                <w:szCs w:val="12"/>
                <w:lang w:eastAsia="zh-CN" w:bidi="ar"/>
              </w:rPr>
              <w:t>Growth ability</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Retained yield (times)</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-9.721</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4.823</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3.940</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-0.320</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Self-sustainable growth ratio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30.980%</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36.129%</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41.434%</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36.181%</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(7901.126/25503.728)</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(9793.487/27107.123)</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(12622.549/30464.279)</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sz w:val="12"/>
                <w:szCs w:val="12"/>
              </w:rPr>
            </w:pPr>
            <w:r>
              <w:rPr>
                <w:rFonts w:ascii="Calibri" w:hAnsi="Calibri" w:eastAsia="SimSun" w:cs="Calibri"/>
                <w:b/>
                <w:i/>
                <w:color w:val="000000"/>
                <w:sz w:val="12"/>
                <w:szCs w:val="12"/>
                <w:lang w:eastAsia="zh-CN" w:bidi="ar"/>
              </w:rPr>
              <w:t>Stock Market Prospects Analysis</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Market Capitalization</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51510.269</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75077.670</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83634.640</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70074.193</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Market to book ratio (times)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2.020</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2.770</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2.745</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2.512</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Enterprise value (EV)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66285.023</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97700.183</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109655.6</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91213.611</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EBITDA</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956.000</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4144.700</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5373.600</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3491.4333</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Enterprise value multiple (EV multiple)</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69.336</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23.572</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20.406</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37.771</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Earning per share (HK$)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-0.207</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0.517</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0.816</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0.375</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(3203.721/3927.708)</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Price-earning Ratio (Times)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-70.792</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44.403</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29.708</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1.106</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Dividend yield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-42.980%</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23.208%</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22.190%</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0.806%</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(349.327/(-812.765))</w:t>
            </w: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(471.283/2030.678)</w:t>
            </w: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(710.915/3203.721)</w:t>
            </w: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sz w:val="12"/>
                <w:szCs w:val="12"/>
              </w:rPr>
            </w:pPr>
            <w:r>
              <w:rPr>
                <w:rFonts w:ascii="Calibri" w:hAnsi="Calibri" w:eastAsia="SimSun" w:cs="Calibri"/>
                <w:b/>
                <w:i/>
                <w:color w:val="000000"/>
                <w:sz w:val="12"/>
                <w:szCs w:val="12"/>
                <w:lang w:eastAsia="zh-CN" w:bidi="ar"/>
              </w:rPr>
              <w:t>ROA &amp; ROE</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ROA (after tax)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-1.655%</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3.493%</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4.821%</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2.220%</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24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ROE (after tax) %</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-3.187%</w:t>
            </w:r>
          </w:p>
        </w:tc>
        <w:tc>
          <w:tcPr>
            <w:tcW w:w="60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7.491%</w:t>
            </w:r>
          </w:p>
        </w:tc>
        <w:tc>
          <w:tcPr>
            <w:tcW w:w="56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10.516%</w:t>
            </w:r>
          </w:p>
        </w:tc>
        <w:tc>
          <w:tcPr>
            <w:tcW w:w="6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4.940%</w:t>
            </w:r>
          </w:p>
        </w:tc>
        <w:tc>
          <w:tcPr>
            <w:tcW w:w="35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58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bl>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p>
    <w:p>
      <w:pPr>
        <w:rPr>
          <w:rFonts w:hint="default" w:ascii="Times New Roman" w:hAnsi="Times New Roman" w:cs="Times New Roman"/>
          <w:b/>
          <w:bCs/>
          <w:sz w:val="28"/>
          <w:szCs w:val="28"/>
        </w:rPr>
      </w:pPr>
      <w:r>
        <w:rPr>
          <w:rFonts w:hint="default" w:ascii="Times New Roman" w:hAnsi="Times New Roman" w:cs="Times New Roman"/>
          <w:b/>
          <w:bCs/>
          <w:sz w:val="28"/>
          <w:szCs w:val="28"/>
        </w:rPr>
        <w:t>Appendix 2: Investment Project Calculation</w:t>
      </w:r>
    </w:p>
    <w:tbl>
      <w:tblPr>
        <w:tblStyle w:val="10"/>
        <w:tblW w:w="9380" w:type="dxa"/>
        <w:tblInd w:w="0" w:type="dxa"/>
        <w:tblLayout w:type="fixed"/>
        <w:tblCellMar>
          <w:top w:w="0" w:type="dxa"/>
          <w:left w:w="0" w:type="dxa"/>
          <w:bottom w:w="0" w:type="dxa"/>
          <w:right w:w="0" w:type="dxa"/>
        </w:tblCellMar>
      </w:tblPr>
      <w:tblGrid>
        <w:gridCol w:w="2329"/>
        <w:gridCol w:w="787"/>
        <w:gridCol w:w="608"/>
        <w:gridCol w:w="546"/>
        <w:gridCol w:w="595"/>
        <w:gridCol w:w="502"/>
        <w:gridCol w:w="558"/>
        <w:gridCol w:w="586"/>
        <w:gridCol w:w="502"/>
        <w:gridCol w:w="641"/>
        <w:gridCol w:w="623"/>
        <w:gridCol w:w="586"/>
        <w:gridCol w:w="517"/>
      </w:tblGrid>
      <w:tr>
        <w:tblPrEx>
          <w:tblLayout w:type="fixed"/>
          <w:tblCellMar>
            <w:top w:w="0" w:type="dxa"/>
            <w:left w:w="0" w:type="dxa"/>
            <w:bottom w:w="0" w:type="dxa"/>
            <w:right w:w="0" w:type="dxa"/>
          </w:tblCellMar>
        </w:tblPrEx>
        <w:trPr>
          <w:trHeight w:val="290" w:hRule="atLeast"/>
        </w:trPr>
        <w:tc>
          <w:tcPr>
            <w:tcW w:w="2329"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building cost=97.515</w:t>
            </w:r>
          </w:p>
        </w:tc>
        <w:tc>
          <w:tcPr>
            <w:tcW w:w="787" w:type="dxa"/>
            <w:tcBorders>
              <w:top w:val="nil"/>
              <w:left w:val="nil"/>
              <w:bottom w:val="nil"/>
              <w:right w:val="nil"/>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Machinery cost=216.5915</w:t>
            </w:r>
          </w:p>
        </w:tc>
        <w:tc>
          <w:tcPr>
            <w:tcW w:w="60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nil"/>
              <w:left w:val="nil"/>
              <w:bottom w:val="nil"/>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p>
        </w:tc>
        <w:tc>
          <w:tcPr>
            <w:tcW w:w="595" w:type="dxa"/>
            <w:tcBorders>
              <w:top w:val="nil"/>
              <w:left w:val="nil"/>
              <w:bottom w:val="nil"/>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Items (Unit: 1 million RMB)</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1Yr</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2Yr</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3Yr</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4Yr</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5Yr</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6Yr</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7Yr</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8Yr</w:t>
            </w:r>
          </w:p>
        </w:tc>
        <w:tc>
          <w:tcPr>
            <w:tcW w:w="623" w:type="dxa"/>
            <w:tcBorders>
              <w:top w:val="single" w:color="000000" w:sz="4" w:space="0"/>
              <w:left w:val="single" w:color="000000" w:sz="4" w:space="0"/>
              <w:bottom w:val="single" w:color="000000" w:sz="4" w:space="0"/>
              <w:right w:val="nil"/>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9Yr</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10Yr</w:t>
            </w: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 xml:space="preserve">Sales </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1005.1408</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1125.758</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1260.849</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1412.15</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1581.609</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1771.402</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1983.97</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2222.046</w:t>
            </w:r>
          </w:p>
        </w:tc>
        <w:tc>
          <w:tcPr>
            <w:tcW w:w="623" w:type="dxa"/>
            <w:tcBorders>
              <w:top w:val="single" w:color="000000" w:sz="4" w:space="0"/>
              <w:left w:val="single" w:color="000000" w:sz="4" w:space="0"/>
              <w:bottom w:val="single" w:color="000000" w:sz="4" w:space="0"/>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2488.692</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2787.335</w:t>
            </w: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EBITDA</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89.788</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100.562</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112.629</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126.145</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141.282</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158.236</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177.225</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198.492</w:t>
            </w:r>
          </w:p>
        </w:tc>
        <w:tc>
          <w:tcPr>
            <w:tcW w:w="623" w:type="dxa"/>
            <w:tcBorders>
              <w:top w:val="single" w:color="000000" w:sz="4" w:space="0"/>
              <w:left w:val="single" w:color="000000" w:sz="4" w:space="0"/>
              <w:bottom w:val="single" w:color="000000" w:sz="4" w:space="0"/>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222.311</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248.988</w:t>
            </w: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 xml:space="preserve">Depreciation </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-28.625</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-28.625</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-28.625</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-28.625</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-28.625</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-28.625</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-28.625</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-28.625</w:t>
            </w:r>
          </w:p>
        </w:tc>
        <w:tc>
          <w:tcPr>
            <w:tcW w:w="623" w:type="dxa"/>
            <w:tcBorders>
              <w:top w:val="single" w:color="000000" w:sz="4" w:space="0"/>
              <w:left w:val="single" w:color="000000" w:sz="4" w:space="0"/>
              <w:bottom w:val="single" w:color="000000" w:sz="4" w:space="0"/>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-28.625</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-28.625</w:t>
            </w: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EBIT:</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61.163</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71.937</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84.004</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97.52</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112.657</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129.611</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148.6</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169.867</w:t>
            </w:r>
          </w:p>
        </w:tc>
        <w:tc>
          <w:tcPr>
            <w:tcW w:w="623" w:type="dxa"/>
            <w:tcBorders>
              <w:top w:val="single" w:color="000000" w:sz="4" w:space="0"/>
              <w:left w:val="single" w:color="000000" w:sz="4" w:space="0"/>
              <w:bottom w:val="single" w:color="000000" w:sz="4" w:space="0"/>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193.686</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220.365</w:t>
            </w: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single" w:color="000000" w:sz="4" w:space="0"/>
              <w:left w:val="single" w:color="000000" w:sz="4" w:space="0"/>
              <w:bottom w:val="single" w:color="000000" w:sz="4" w:space="0"/>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Tax cost</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-15.291</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-17.984</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-21.001</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-24.38</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-28.164</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-32.403</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-37.15</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-42.467</w:t>
            </w:r>
          </w:p>
        </w:tc>
        <w:tc>
          <w:tcPr>
            <w:tcW w:w="623" w:type="dxa"/>
            <w:tcBorders>
              <w:top w:val="single" w:color="000000" w:sz="4" w:space="0"/>
              <w:left w:val="single" w:color="000000" w:sz="4" w:space="0"/>
              <w:bottom w:val="single" w:color="000000" w:sz="4" w:space="0"/>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-48.422</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-55.091</w:t>
            </w: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Profit:</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45.872</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53.953</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63.003</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73.14</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84.493</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97.208</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111.45</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127.4</w:t>
            </w:r>
          </w:p>
        </w:tc>
        <w:tc>
          <w:tcPr>
            <w:tcW w:w="623" w:type="dxa"/>
            <w:tcBorders>
              <w:top w:val="single" w:color="000000" w:sz="4" w:space="0"/>
              <w:left w:val="single" w:color="000000" w:sz="4" w:space="0"/>
              <w:bottom w:val="single" w:color="000000" w:sz="4" w:space="0"/>
              <w:right w:val="nil"/>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145.265</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165.274</w:t>
            </w: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78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Items (Unit: 1 million RMB)</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Initial cost</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1Yr</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2Yr</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3Yr</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4Yr</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5Yr</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6Yr</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7Yr</w:t>
            </w:r>
          </w:p>
        </w:tc>
        <w:tc>
          <w:tcPr>
            <w:tcW w:w="62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8Yr</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9Yr</w:t>
            </w:r>
          </w:p>
        </w:tc>
        <w:tc>
          <w:tcPr>
            <w:tcW w:w="51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10Yr</w:t>
            </w: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EBITDA</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89.788</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100.562</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112.629</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126.145</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141.282</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158.236</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177.225</w:t>
            </w:r>
          </w:p>
        </w:tc>
        <w:tc>
          <w:tcPr>
            <w:tcW w:w="62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198.492</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222.311</w:t>
            </w:r>
          </w:p>
        </w:tc>
        <w:tc>
          <w:tcPr>
            <w:tcW w:w="51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248.988</w:t>
            </w: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Working Capital Movement</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-21.617</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-24.211</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-27.116</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-30.37</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-34.015</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-38.097</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-42.668</w:t>
            </w:r>
          </w:p>
        </w:tc>
        <w:tc>
          <w:tcPr>
            <w:tcW w:w="62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-47.788</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-53.523</w:t>
            </w:r>
          </w:p>
        </w:tc>
        <w:tc>
          <w:tcPr>
            <w:tcW w:w="51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-59.946</w:t>
            </w: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Expenditure</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-2.166</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-2.166</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-2.166</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-2.166</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-2.166</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-2.166</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-2.166</w:t>
            </w:r>
          </w:p>
        </w:tc>
        <w:tc>
          <w:tcPr>
            <w:tcW w:w="62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-2.166</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-2.166</w:t>
            </w:r>
          </w:p>
        </w:tc>
        <w:tc>
          <w:tcPr>
            <w:tcW w:w="51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-2.166</w:t>
            </w: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Tax expense</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-15.291</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-17.984</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-21.001</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-24.38</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-28.164</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-32.403</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-37.15</w:t>
            </w:r>
          </w:p>
        </w:tc>
        <w:tc>
          <w:tcPr>
            <w:tcW w:w="62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-42.467</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-48.422</w:t>
            </w:r>
          </w:p>
        </w:tc>
        <w:tc>
          <w:tcPr>
            <w:tcW w:w="51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-55.091</w:t>
            </w: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Cashflow</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-314.1065</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50.714</w:t>
            </w:r>
          </w:p>
        </w:tc>
        <w:tc>
          <w:tcPr>
            <w:tcW w:w="59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56.201</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62.346</w:t>
            </w:r>
          </w:p>
        </w:tc>
        <w:tc>
          <w:tcPr>
            <w:tcW w:w="55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69.229</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76.937</w:t>
            </w:r>
          </w:p>
        </w:tc>
        <w:tc>
          <w:tcPr>
            <w:tcW w:w="50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85.57</w:t>
            </w:r>
          </w:p>
        </w:tc>
        <w:tc>
          <w:tcPr>
            <w:tcW w:w="64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95.241</w:t>
            </w:r>
          </w:p>
        </w:tc>
        <w:tc>
          <w:tcPr>
            <w:tcW w:w="623"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106.071</w:t>
            </w:r>
          </w:p>
        </w:tc>
        <w:tc>
          <w:tcPr>
            <w:tcW w:w="58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118.2</w:t>
            </w:r>
          </w:p>
        </w:tc>
        <w:tc>
          <w:tcPr>
            <w:tcW w:w="51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131.785</w:t>
            </w:r>
          </w:p>
        </w:tc>
      </w:tr>
      <w:tr>
        <w:tblPrEx>
          <w:tblLayout w:type="fixed"/>
          <w:tblCellMar>
            <w:top w:w="0" w:type="dxa"/>
            <w:left w:w="0" w:type="dxa"/>
            <w:bottom w:w="0" w:type="dxa"/>
            <w:right w:w="0" w:type="dxa"/>
          </w:tblCellMar>
        </w:tblPrEx>
        <w:trPr>
          <w:trHeight w:val="290" w:hRule="atLeast"/>
        </w:trPr>
        <w:tc>
          <w:tcPr>
            <w:tcW w:w="2329"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78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ARR</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Total income for 10 years</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1575.658</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 xml:space="preserve">Average ARR </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157.566</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 xml:space="preserve">Initial cost </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314.1065</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 xml:space="preserve">ARR: </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50.163%%</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r=2.222%</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Year</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 xml:space="preserve">Cashflow </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Present value</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 xml:space="preserve">Initial cost </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-314.1065</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1st</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50.714</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 xml:space="preserve">$49.61 </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2nd</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56.201</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53.786</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3rd</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62.346</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58.372</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4th</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69.229</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63.408</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5th</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76.937</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68.938</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6th</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85.57</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75.008</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7th</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95.241</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81.672</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8th</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106.071</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88.984</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9th</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118.2</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97.005</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10th</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131.785</w:t>
            </w: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105.805</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742.591</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NPV= all cashflow for 10 years- initial cost: 428.485</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Internal rate of return</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19%</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Payback Period and IRR</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 million RMB</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1-10 years Profit</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967.058</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1-4 years Profit</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235.968</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1-5 years Profit</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320.461</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232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Initial cost</w:t>
            </w:r>
          </w:p>
        </w:tc>
        <w:tc>
          <w:tcPr>
            <w:tcW w:w="78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4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right"/>
              <w:textAlignment w:val="center"/>
              <w:rPr>
                <w:rFonts w:ascii="Calibri" w:hAnsi="Calibri" w:cs="Calibri"/>
                <w:color w:val="000000"/>
                <w:sz w:val="12"/>
                <w:szCs w:val="12"/>
              </w:rPr>
            </w:pPr>
            <w:r>
              <w:rPr>
                <w:rFonts w:ascii="Calibri" w:hAnsi="Calibri" w:eastAsia="SimSun" w:cs="Calibri"/>
                <w:color w:val="000000"/>
                <w:sz w:val="12"/>
                <w:szCs w:val="12"/>
                <w:lang w:eastAsia="zh-CN" w:bidi="ar"/>
              </w:rPr>
              <w:t>314.1065</w:t>
            </w:r>
          </w:p>
        </w:tc>
        <w:tc>
          <w:tcPr>
            <w:tcW w:w="595"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58"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02"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41"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623"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86"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c>
          <w:tcPr>
            <w:tcW w:w="517" w:type="dxa"/>
            <w:tcBorders>
              <w:top w:val="nil"/>
              <w:left w:val="nil"/>
              <w:bottom w:val="nil"/>
              <w:right w:val="nil"/>
            </w:tcBorders>
            <w:shd w:val="clear" w:color="auto" w:fill="auto"/>
            <w:noWrap/>
            <w:tcMar>
              <w:top w:w="10" w:type="dxa"/>
              <w:left w:w="10" w:type="dxa"/>
              <w:right w:w="10" w:type="dxa"/>
            </w:tcMar>
            <w:vAlign w:val="center"/>
          </w:tcPr>
          <w:p>
            <w:pPr>
              <w:rPr>
                <w:rFonts w:ascii="Calibri" w:hAnsi="Calibri" w:cs="Calibri"/>
                <w:color w:val="000000"/>
                <w:sz w:val="12"/>
                <w:szCs w:val="12"/>
              </w:rPr>
            </w:pPr>
          </w:p>
        </w:tc>
      </w:tr>
    </w:tbl>
    <w:p/>
    <w:p/>
    <w:p/>
    <w:p/>
    <w:p/>
    <w:p/>
    <w:p/>
    <w:p/>
    <w:p/>
    <w:p/>
    <w:p/>
    <w:p/>
    <w:p/>
    <w:p>
      <w:pPr>
        <w:rPr>
          <w:rFonts w:hint="default" w:ascii="Times New Roman" w:hAnsi="Times New Roman" w:cs="Times New Roman"/>
          <w:b/>
          <w:bCs/>
          <w:sz w:val="28"/>
          <w:szCs w:val="28"/>
        </w:rPr>
      </w:pPr>
      <w:r>
        <w:rPr>
          <w:rFonts w:hint="default" w:ascii="Times New Roman" w:hAnsi="Times New Roman" w:cs="Times New Roman"/>
          <w:b/>
          <w:bCs/>
          <w:sz w:val="28"/>
          <w:szCs w:val="28"/>
        </w:rPr>
        <w:t>Appendix 3: Financial Analysis of Ausnutria Dairy Corporation Limited</w:t>
      </w:r>
    </w:p>
    <w:tbl>
      <w:tblPr>
        <w:tblStyle w:val="10"/>
        <w:tblW w:w="9380" w:type="dxa"/>
        <w:tblInd w:w="0" w:type="dxa"/>
        <w:tblLayout w:type="fixed"/>
        <w:tblCellMar>
          <w:top w:w="0" w:type="dxa"/>
          <w:left w:w="0" w:type="dxa"/>
          <w:bottom w:w="0" w:type="dxa"/>
          <w:right w:w="0" w:type="dxa"/>
        </w:tblCellMar>
      </w:tblPr>
      <w:tblGrid>
        <w:gridCol w:w="1492"/>
        <w:gridCol w:w="699"/>
        <w:gridCol w:w="547"/>
        <w:gridCol w:w="604"/>
        <w:gridCol w:w="614"/>
        <w:gridCol w:w="1855"/>
        <w:gridCol w:w="1808"/>
        <w:gridCol w:w="1761"/>
      </w:tblGrid>
      <w:tr>
        <w:tblPrEx>
          <w:tblLayout w:type="fixed"/>
          <w:tblCellMar>
            <w:top w:w="0" w:type="dxa"/>
            <w:left w:w="0" w:type="dxa"/>
            <w:bottom w:w="0" w:type="dxa"/>
            <w:right w:w="0" w:type="dxa"/>
          </w:tblCellMar>
        </w:tblPrEx>
        <w:trPr>
          <w:trHeight w:val="410" w:hRule="atLeast"/>
        </w:trPr>
        <w:tc>
          <w:tcPr>
            <w:tcW w:w="1492" w:type="dxa"/>
            <w:tcBorders>
              <w:top w:val="nil"/>
              <w:left w:val="nil"/>
              <w:bottom w:val="nil"/>
              <w:right w:val="nil"/>
            </w:tcBorders>
            <w:shd w:val="clear" w:color="auto" w:fill="auto"/>
            <w:noWrap/>
            <w:tcMar>
              <w:top w:w="10" w:type="dxa"/>
              <w:left w:w="10" w:type="dxa"/>
              <w:right w:w="10" w:type="dxa"/>
            </w:tcMar>
            <w:vAlign w:val="bottom"/>
          </w:tcPr>
          <w:p>
            <w:pPr>
              <w:textAlignment w:val="bottom"/>
              <w:rPr>
                <w:rFonts w:ascii="Calibri" w:hAnsi="Calibri" w:cs="Calibri"/>
                <w:b/>
                <w:i/>
                <w:color w:val="000000"/>
                <w:sz w:val="12"/>
                <w:szCs w:val="12"/>
              </w:rPr>
            </w:pPr>
          </w:p>
        </w:tc>
        <w:tc>
          <w:tcPr>
            <w:tcW w:w="699"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410" w:hRule="atLeast"/>
        </w:trPr>
        <w:tc>
          <w:tcPr>
            <w:tcW w:w="1492"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b/>
                <w:i/>
                <w:color w:val="000000"/>
                <w:sz w:val="12"/>
                <w:szCs w:val="12"/>
              </w:rPr>
            </w:pPr>
          </w:p>
        </w:tc>
        <w:tc>
          <w:tcPr>
            <w:tcW w:w="2464" w:type="dxa"/>
            <w:gridSpan w:val="4"/>
            <w:tcBorders>
              <w:top w:val="nil"/>
              <w:left w:val="nil"/>
              <w:bottom w:val="nil"/>
              <w:right w:val="nil"/>
            </w:tcBorders>
            <w:shd w:val="clear" w:color="auto" w:fill="auto"/>
            <w:noWrap/>
            <w:tcMar>
              <w:top w:w="10" w:type="dxa"/>
              <w:left w:w="10" w:type="dxa"/>
              <w:right w:w="10" w:type="dxa"/>
            </w:tcMar>
          </w:tcPr>
          <w:p>
            <w:pPr>
              <w:jc w:val="center"/>
              <w:rPr>
                <w:rFonts w:ascii="Calibri" w:hAnsi="Calibri" w:cs="Calibri"/>
                <w:b/>
                <w:color w:val="000000"/>
                <w:sz w:val="12"/>
                <w:szCs w:val="12"/>
              </w:rPr>
            </w:pPr>
          </w:p>
        </w:tc>
        <w:tc>
          <w:tcPr>
            <w:tcW w:w="1855"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In RMB 1 million RMB (Year)</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2016</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2017</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 years average</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2016</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2017</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2018</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Net Current Assets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708.500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455.800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1485.396</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883.232</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Assets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3923.646</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5621.13</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6829.006</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5457.927</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Retained earnings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1359.614</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1631.319</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3116.317</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2035.750</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EBIT</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315.601</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460.655</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821.745</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532.667</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297.752+17.849+63.756</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438.545+22.110+103.780</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791.992+29.753+147.440</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Stock value (HKD)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3.028</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4.595</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8.711</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5.445</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30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RMB/HKD currency exchange rate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1.117</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1.201</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1.139</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1.152</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No of stock (Million Shares) at 31 Dec</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1,247.733</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1,256.061</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1,582.151</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1361.982</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liabilities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2333.950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3674.124</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3434.458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3147.511</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Sales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2740.262</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3926.466</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5389.568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4018.765</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A=Working Capital/Total Assets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0.181</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0.081</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0.218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0.160</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B=Retained Earnings/Total Assets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0.347</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0.290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0.456</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0.364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 EBIT/Total Assets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0.080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0.082</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0.120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0.094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343"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D=</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1.449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1.308</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3.525</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2.094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E= Sales/Total Assets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0.698</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0.699</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0.789</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0.729</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Z score</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2.535</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2.256</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4.200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2.997</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Fixed Assets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859.699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1565.028</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1607.635</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(28.808+830.891)</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1537.068+27.960</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1580.523+27.112</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CL</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1828.589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2763.240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2653.155</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Net asset</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1589.651</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1947.006</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3394.548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Long Term Liabilities* (interest bearing)</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1215.092</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1973.776</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416.400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(2.482+761.455+451.155)</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(1.592+1158.040+814.144)</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(1.858+659.042+416.400)</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sz w:val="12"/>
                <w:szCs w:val="12"/>
              </w:rPr>
            </w:pPr>
            <w:r>
              <w:rPr>
                <w:rFonts w:ascii="Calibri" w:hAnsi="Calibri" w:eastAsia="SimSun" w:cs="Calibri"/>
                <w:color w:val="000000"/>
                <w:sz w:val="12"/>
                <w:szCs w:val="12"/>
                <w:lang w:eastAsia="zh-CN" w:bidi="ar"/>
              </w:rPr>
              <w:t>Equity</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1589.651</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1947.006</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3394.548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Fixed Asset to Long term Liability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0.708</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0.793</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3.861</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1.787</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(28.808+830.891)/(2.482+761.455+1589.651)</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(1537.068+27.960)/(1.592+1158.040+1947.006)</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(1580.523+27.112)/(1.858+659.042+3394.548)</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Current Liabilities to Net Asset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1.150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1.419</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0.782</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1.117</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Current Liabilities to Stock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2.285</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2.551</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1.718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2.185</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B33/800,259</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C33/1083.385</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D33/1544.321</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Current ratio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1.387</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1.165</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1.560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1.371</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2537.042/1828.589</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3219.083/2763.240</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4138.551/2653.155</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Quick Ratio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0.950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0.773</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0.978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0.900</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(2537.04-800.259 )/1828.589</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(3219.083-1083.385)/2763.240</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(4138.551-1544.321)/2653.155</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Stock Credit Index</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0.115</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0.579</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0.038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0.244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(1828.589-(2537.04-800.259))/800.259</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(2763.240-(3219.083-1083.385))/1083.385</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(2653.155-(4138.551-1544.321))/1544.321</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Cash Ratio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0.299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0.230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0.546</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0.358</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546.532/1828.589</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635.650/2763.240</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1449.861/2653.155</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Debt Ratio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0.595</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0.654</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0.503</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0.584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(1828.589+505.406)/(1386.604+2537.042)</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(2763.240+910.884)/(2402.047+3219.083)</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(2653.155+781.303)/(2690.455+4138.551)</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Debt/Equity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1.468</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1.887</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1.012</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1.456</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/1589.651</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/1947.006</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/3394.548</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Long Term Debit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0.310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0.351</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0.061</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0.241</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Debit/Fixed Asset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2.715</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2.348</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2.136</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2.400</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(1828.589+505.406)/</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Time Interest Cover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17.682</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20.835</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27.619</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22.045</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379.357/17.849</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564.435/22.11</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969.185/29.753</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Cash Coverage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24.332</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21.830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36.206</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27.456</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(379.357+44.429+10.161+0.357)/17.849</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(564.435+56.136+0.848)/28.466</w:t>
            </w: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(969.185+107.200+0.848)/29.753</w:t>
            </w: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b/>
                <w: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Depreciation and Amortization</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51.130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73.369</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144.222</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89.574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Selling and distribution expense</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646</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969.127</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1444.237</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1,019.925</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Administrate expense</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215.656</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298.025</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461.853</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325.178</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Other expenses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14.055</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28.466</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59.621</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34.047</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assets turnover</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0.698</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0.699</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0.789</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0.729</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Average Collection Period (days)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28.903</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20.954</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23.880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24.579</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Day's Sales in Inventory (days)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180.818</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176.828</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206.556</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188.068</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Payment period(days)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34.329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44.383</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37.930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38.881</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b/>
                <w: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Net profit (1 Million RMB)</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233.996</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334.78</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644.552</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404.443</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Net profit growth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362.032%</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43.071%</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92.530%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1.659</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Gross profit margin</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0.410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0.430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0.494</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0.445</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Net Profit margin</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0.085</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0.085</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0.120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0.097</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Total assets turnover</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0.788</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0.823</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0.789</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0.800</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Leverage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0.595</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0.654</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0.503</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0.584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Return on Equity (after tax)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15.939%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19.235%</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18.988%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18.054%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Retained yield (times)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5.810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4.873</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4.835</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5.173</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Self-sustainable growth ratio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85.529%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83.786%</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91.804%</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87.040%</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SGR=Return on Equity×(1−Dividend Payout Ratio)</w:t>
            </w: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Market Capitalization</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3383.000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4804.062</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12105.508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6764.190</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Market to book ratio (times)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2.128</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2.467</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3.566</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2.721</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Enterprise value (EV)</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7469.800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10852.434</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17119.750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11813.994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EBITDA</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333.300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503.300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948.700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595.1</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Enterprise value multiple (EV multiple)</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22.412</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21.563</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18.045</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20.673</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 xml:space="preserve">Earning per share (HK$)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17.040</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24.610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47.200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29.617</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Price-earning Ratio (Times)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73.224</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51.039</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33.520</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52.594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Dividend yield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23.849%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16.290%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32.261%</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24.133%</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ROA (after tax)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5.964%</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5.956%</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9.438%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7.119%</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ROE (after tax) %</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15.939%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19.235%</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18.988%</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18.054%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Cash and equivalents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546.532</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635.65</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1449.861</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877.348</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Bank loans</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1212.61</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1972.184</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1075.442</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1,420.079</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Cash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0.299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0.230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0.546</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0.358</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Retained profit</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845.011</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1153.151</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1789.11</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1,262.424</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Net debit ratio</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9.084</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9.230</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4.652</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7.655</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Net interest expense</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17.849</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22.11</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29.753</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23.237</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r>
        <w:tblPrEx>
          <w:tblLayout w:type="fixed"/>
          <w:tblCellMar>
            <w:top w:w="0" w:type="dxa"/>
            <w:left w:w="0" w:type="dxa"/>
            <w:bottom w:w="0" w:type="dxa"/>
            <w:right w:w="0" w:type="dxa"/>
          </w:tblCellMar>
        </w:tblPrEx>
        <w:trPr>
          <w:trHeight w:val="290" w:hRule="atLeast"/>
        </w:trPr>
        <w:tc>
          <w:tcPr>
            <w:tcW w:w="1492"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sz w:val="12"/>
                <w:szCs w:val="12"/>
              </w:rPr>
            </w:pPr>
            <w:r>
              <w:rPr>
                <w:rFonts w:ascii="Calibri" w:hAnsi="Calibri" w:eastAsia="SimSun" w:cs="Calibri"/>
                <w:color w:val="000000"/>
                <w:sz w:val="12"/>
                <w:szCs w:val="12"/>
                <w:lang w:eastAsia="zh-CN" w:bidi="ar"/>
              </w:rPr>
              <w:t>Net interest expense/turnover</w:t>
            </w:r>
          </w:p>
        </w:tc>
        <w:tc>
          <w:tcPr>
            <w:tcW w:w="69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0.007</w:t>
            </w:r>
          </w:p>
        </w:tc>
        <w:tc>
          <w:tcPr>
            <w:tcW w:w="547"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0.006</w:t>
            </w:r>
          </w:p>
        </w:tc>
        <w:tc>
          <w:tcPr>
            <w:tcW w:w="60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0.006</w:t>
            </w:r>
          </w:p>
        </w:tc>
        <w:tc>
          <w:tcPr>
            <w:tcW w:w="614"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sz w:val="12"/>
                <w:szCs w:val="12"/>
              </w:rPr>
            </w:pPr>
            <w:r>
              <w:rPr>
                <w:rFonts w:ascii="Calibri" w:hAnsi="Calibri" w:eastAsia="SimSun" w:cs="Calibri"/>
                <w:color w:val="000000"/>
                <w:sz w:val="12"/>
                <w:szCs w:val="12"/>
                <w:lang w:eastAsia="zh-CN" w:bidi="ar"/>
              </w:rPr>
              <w:t>0.006</w:t>
            </w:r>
          </w:p>
        </w:tc>
        <w:tc>
          <w:tcPr>
            <w:tcW w:w="185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808"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c>
          <w:tcPr>
            <w:tcW w:w="1761"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sz w:val="12"/>
                <w:szCs w:val="12"/>
              </w:rPr>
            </w:pPr>
          </w:p>
        </w:tc>
      </w:tr>
    </w:tbl>
    <w:p/>
    <w:p>
      <w:pPr>
        <w:rPr>
          <w:rFonts w:hint="eastAsia"/>
        </w:rPr>
      </w:pPr>
    </w:p>
    <w:p>
      <w:pPr>
        <w:rPr>
          <w:rFonts w:hint="eastAsia"/>
        </w:rPr>
      </w:pPr>
    </w:p>
    <w:p>
      <w:pPr>
        <w:rPr>
          <w:rFonts w:hint="default" w:ascii="Times New Roman" w:hAnsi="Times New Roman" w:cs="Times New Roman"/>
          <w:b/>
          <w:bCs/>
          <w:sz w:val="28"/>
          <w:szCs w:val="28"/>
        </w:rPr>
      </w:pPr>
      <w:r>
        <w:rPr>
          <w:rFonts w:hint="default" w:ascii="Times New Roman" w:hAnsi="Times New Roman" w:cs="Times New Roman"/>
          <w:b/>
          <w:bCs/>
          <w:sz w:val="28"/>
          <w:szCs w:val="28"/>
        </w:rPr>
        <w:t>Appendix 4: Financial Analysis of Yashili International Holdings Limited</w:t>
      </w:r>
    </w:p>
    <w:tbl>
      <w:tblPr>
        <w:tblStyle w:val="10"/>
        <w:tblW w:w="10220" w:type="dxa"/>
        <w:tblInd w:w="0" w:type="dxa"/>
        <w:tblLayout w:type="fixed"/>
        <w:tblCellMar>
          <w:top w:w="0" w:type="dxa"/>
          <w:left w:w="0" w:type="dxa"/>
          <w:bottom w:w="0" w:type="dxa"/>
          <w:right w:w="0" w:type="dxa"/>
        </w:tblCellMar>
      </w:tblPr>
      <w:tblGrid>
        <w:gridCol w:w="3596"/>
        <w:gridCol w:w="1965"/>
        <w:gridCol w:w="1490"/>
        <w:gridCol w:w="1520"/>
        <w:gridCol w:w="1649"/>
      </w:tblGrid>
      <w:tr>
        <w:tblPrEx>
          <w:tblLayout w:type="fixed"/>
          <w:tblCellMar>
            <w:top w:w="0" w:type="dxa"/>
            <w:left w:w="0" w:type="dxa"/>
            <w:bottom w:w="0" w:type="dxa"/>
            <w:right w:w="0" w:type="dxa"/>
          </w:tblCellMar>
        </w:tblPrEx>
        <w:trPr>
          <w:trHeight w:val="410" w:hRule="atLeast"/>
        </w:trPr>
        <w:tc>
          <w:tcPr>
            <w:tcW w:w="3596" w:type="dxa"/>
            <w:tcBorders>
              <w:top w:val="nil"/>
              <w:left w:val="nil"/>
              <w:bottom w:val="nil"/>
              <w:right w:val="nil"/>
            </w:tcBorders>
            <w:shd w:val="clear" w:color="auto" w:fill="auto"/>
            <w:noWrap/>
            <w:tcMar>
              <w:top w:w="10" w:type="dxa"/>
              <w:left w:w="10" w:type="dxa"/>
              <w:right w:w="10" w:type="dxa"/>
            </w:tcMar>
            <w:vAlign w:val="bottom"/>
          </w:tcPr>
          <w:p>
            <w:pPr>
              <w:textAlignment w:val="bottom"/>
              <w:rPr>
                <w:rFonts w:ascii="Calibri" w:hAnsi="Calibri" w:cs="Calibri"/>
                <w:b/>
                <w:i/>
                <w:color w:val="000000"/>
                <w:sz w:val="24"/>
                <w:szCs w:val="24"/>
              </w:rPr>
            </w:pPr>
          </w:p>
        </w:tc>
        <w:tc>
          <w:tcPr>
            <w:tcW w:w="1965"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410" w:hRule="atLeast"/>
        </w:trPr>
        <w:tc>
          <w:tcPr>
            <w:tcW w:w="3596" w:type="dxa"/>
            <w:tcBorders>
              <w:top w:val="nil"/>
              <w:left w:val="nil"/>
              <w:bottom w:val="nil"/>
              <w:right w:val="nil"/>
            </w:tcBorders>
            <w:shd w:val="clear" w:color="auto" w:fill="auto"/>
            <w:noWrap/>
            <w:tcMar>
              <w:top w:w="10" w:type="dxa"/>
              <w:left w:w="10" w:type="dxa"/>
              <w:right w:w="10" w:type="dxa"/>
            </w:tcMar>
            <w:vAlign w:val="bottom"/>
          </w:tcPr>
          <w:p>
            <w:pPr>
              <w:rPr>
                <w:rFonts w:ascii="Calibri" w:hAnsi="Calibri" w:cs="Calibri"/>
                <w:b/>
                <w:i/>
                <w:color w:val="000000"/>
                <w:sz w:val="24"/>
                <w:szCs w:val="24"/>
              </w:rPr>
            </w:pPr>
          </w:p>
        </w:tc>
        <w:tc>
          <w:tcPr>
            <w:tcW w:w="6624" w:type="dxa"/>
            <w:gridSpan w:val="4"/>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jc w:val="center"/>
              <w:textAlignment w:val="center"/>
              <w:rPr>
                <w:rFonts w:ascii="Calibri" w:hAnsi="Calibri" w:cs="Calibri"/>
                <w:b/>
                <w:color w:val="000000"/>
                <w:sz w:val="32"/>
                <w:szCs w:val="32"/>
              </w:rPr>
            </w:pPr>
            <w:r>
              <w:rPr>
                <w:rFonts w:ascii="Calibri" w:hAnsi="Calibri" w:eastAsia="SimSun" w:cs="Calibri"/>
                <w:b/>
                <w:color w:val="000000"/>
                <w:sz w:val="32"/>
                <w:szCs w:val="32"/>
                <w:lang w:eastAsia="zh-CN" w:bidi="ar"/>
              </w:rPr>
              <w:t xml:space="preserve">Yashili International Holdings Ltd </w:t>
            </w:r>
          </w:p>
        </w:tc>
      </w:tr>
      <w:tr>
        <w:tblPrEx>
          <w:tblLayout w:type="fixed"/>
          <w:tblCellMar>
            <w:top w:w="0" w:type="dxa"/>
            <w:left w:w="0" w:type="dxa"/>
            <w:bottom w:w="0" w:type="dxa"/>
            <w:right w:w="0" w:type="dxa"/>
          </w:tblCellMar>
        </w:tblPrEx>
        <w:trPr>
          <w:trHeight w:val="305" w:hRule="atLeast"/>
        </w:trPr>
        <w:tc>
          <w:tcPr>
            <w:tcW w:w="3596"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jc w:val="center"/>
              <w:textAlignment w:val="bottom"/>
              <w:rPr>
                <w:rFonts w:ascii="Calibri" w:hAnsi="Calibri" w:cs="Calibri"/>
                <w:b/>
                <w:color w:val="000000"/>
              </w:rPr>
            </w:pPr>
            <w:r>
              <w:rPr>
                <w:rFonts w:ascii="Calibri" w:hAnsi="Calibri" w:eastAsia="SimSun" w:cs="Calibri"/>
                <w:b/>
                <w:color w:val="000000"/>
                <w:lang w:eastAsia="zh-CN" w:bidi="ar"/>
              </w:rPr>
              <w:t>In million RMB (Year)</w:t>
            </w:r>
          </w:p>
        </w:tc>
        <w:tc>
          <w:tcPr>
            <w:tcW w:w="1965"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jc w:val="center"/>
              <w:textAlignment w:val="bottom"/>
              <w:rPr>
                <w:rFonts w:ascii="Calibri" w:hAnsi="Calibri" w:cs="Calibri"/>
                <w:b/>
                <w:color w:val="000000"/>
              </w:rPr>
            </w:pPr>
            <w:r>
              <w:rPr>
                <w:rFonts w:ascii="Calibri" w:hAnsi="Calibri" w:eastAsia="SimSun" w:cs="Calibri"/>
                <w:b/>
                <w:color w:val="000000"/>
                <w:lang w:eastAsia="zh-CN" w:bidi="ar"/>
              </w:rPr>
              <w:t>2016</w:t>
            </w:r>
          </w:p>
        </w:tc>
        <w:tc>
          <w:tcPr>
            <w:tcW w:w="149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jc w:val="center"/>
              <w:textAlignment w:val="bottom"/>
              <w:rPr>
                <w:rFonts w:ascii="Calibri" w:hAnsi="Calibri" w:cs="Calibri"/>
                <w:b/>
                <w:color w:val="000000"/>
              </w:rPr>
            </w:pPr>
            <w:r>
              <w:rPr>
                <w:rFonts w:ascii="Calibri" w:hAnsi="Calibri" w:eastAsia="SimSun" w:cs="Calibri"/>
                <w:b/>
                <w:color w:val="000000"/>
                <w:lang w:eastAsia="zh-CN" w:bidi="ar"/>
              </w:rPr>
              <w:t>2017</w:t>
            </w:r>
          </w:p>
        </w:tc>
        <w:tc>
          <w:tcPr>
            <w:tcW w:w="152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jc w:val="center"/>
              <w:textAlignment w:val="bottom"/>
              <w:rPr>
                <w:rFonts w:ascii="Calibri" w:hAnsi="Calibri" w:cs="Calibri"/>
                <w:b/>
                <w:color w:val="000000"/>
              </w:rPr>
            </w:pPr>
            <w:r>
              <w:rPr>
                <w:rFonts w:ascii="Calibri" w:hAnsi="Calibri" w:eastAsia="SimSun" w:cs="Calibri"/>
                <w:b/>
                <w:color w:val="000000"/>
                <w:lang w:eastAsia="zh-CN" w:bidi="ar"/>
              </w:rPr>
              <w:t>2018</w:t>
            </w:r>
          </w:p>
        </w:tc>
        <w:tc>
          <w:tcPr>
            <w:tcW w:w="1649"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jc w:val="center"/>
              <w:textAlignment w:val="bottom"/>
              <w:rPr>
                <w:rFonts w:ascii="Calibri" w:hAnsi="Calibri" w:cs="Calibri"/>
                <w:b/>
                <w:color w:val="000000"/>
              </w:rPr>
            </w:pPr>
            <w:r>
              <w:rPr>
                <w:rFonts w:ascii="Calibri" w:hAnsi="Calibri" w:eastAsia="SimSun" w:cs="Calibri"/>
                <w:b/>
                <w:color w:val="000000"/>
                <w:lang w:eastAsia="zh-CN" w:bidi="ar"/>
              </w:rPr>
              <w:t>3 years average</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Net Current Assets</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1846.356</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2107.864</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2016.572</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1990.264</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Total Assets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7965.991</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7430.576</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7722.217</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7706.261</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Retained Earnings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5302.262</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5091.575</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5158.473</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5184.103</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EBIT</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-313.801</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-211.256</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50.932</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-158.042</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 xml:space="preserve">Stock Value (HKD) </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1.490</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1.500</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1.400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1.463</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 xml:space="preserve">RMB/HKD currency exchange rate </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1.117</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1.201</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1.139</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1.152</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Number of Stock (in million shares)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4,745.560</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4,745.560</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4,745.560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4745.560</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Total Liabilities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2264.377</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1939.649</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2164.392</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2122.806</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Sales</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2203.315</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2254.716</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3011.200</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2489.744</w:t>
            </w:r>
          </w:p>
        </w:tc>
      </w:tr>
      <w:tr>
        <w:tblPrEx>
          <w:tblLayout w:type="fixed"/>
          <w:tblCellMar>
            <w:top w:w="0" w:type="dxa"/>
            <w:left w:w="0" w:type="dxa"/>
            <w:bottom w:w="0" w:type="dxa"/>
            <w:right w:w="0" w:type="dxa"/>
          </w:tblCellMar>
        </w:tblPrEx>
        <w:trPr>
          <w:trHeight w:val="300" w:hRule="atLeast"/>
        </w:trPr>
        <w:tc>
          <w:tcPr>
            <w:tcW w:w="3596" w:type="dxa"/>
            <w:tcBorders>
              <w:top w:val="nil"/>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nil"/>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nil"/>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nil"/>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nil"/>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A=Working Captial/Total Assets</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0.232</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0.284</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0.261</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0.259</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B=Retained Earnings/Total Assets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0.666</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0.685</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0.668</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0.673</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C= EBIT/Total Assets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-0.039</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-0.028</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0.007</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-0.020</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D</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2.796</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3.055</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2.696</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2.849</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E= Sales/Total Assets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0.277</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0.303</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0.390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0.323</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Z score =1.2A+1.4B+3.3C+0.6D+0.999E</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3.034</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3.342</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3.278</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3.218</w:t>
            </w:r>
          </w:p>
        </w:tc>
      </w:tr>
      <w:tr>
        <w:tblPrEx>
          <w:tblLayout w:type="fixed"/>
          <w:tblCellMar>
            <w:top w:w="0" w:type="dxa"/>
            <w:left w:w="0" w:type="dxa"/>
            <w:bottom w:w="0" w:type="dxa"/>
            <w:right w:w="0" w:type="dxa"/>
          </w:tblCellMar>
        </w:tblPrEx>
        <w:trPr>
          <w:trHeight w:val="300" w:hRule="atLeast"/>
        </w:trPr>
        <w:tc>
          <w:tcPr>
            <w:tcW w:w="3596"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Fixed Assets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1788.658</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1602.976</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1510.604</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1,634.079</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Current Liabilities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2253.535</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1917.986</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2150.033</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2,107.185</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Net Assets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5701.614</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5490.927</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5557.825</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5,583.455</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Long Term Liabilities* (interest bearing)</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0.000</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0.000</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0.000</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center"/>
          </w:tcPr>
          <w:p>
            <w:pPr>
              <w:textAlignment w:val="center"/>
              <w:rPr>
                <w:rFonts w:ascii="Calibri" w:hAnsi="Calibri" w:cs="Calibri"/>
                <w:color w:val="000000"/>
              </w:rPr>
            </w:pPr>
            <w:r>
              <w:rPr>
                <w:rFonts w:ascii="Calibri" w:hAnsi="Calibri" w:eastAsia="SimSun" w:cs="Calibri"/>
                <w:color w:val="000000"/>
                <w:lang w:eastAsia="zh-CN" w:bidi="ar"/>
              </w:rPr>
              <w:t>Equity</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5701.614</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5490.927</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5557.825</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5,583.455</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rPr>
            </w:pPr>
            <w:r>
              <w:rPr>
                <w:rFonts w:ascii="Calibri" w:hAnsi="Calibri" w:eastAsia="SimSun" w:cs="Calibri"/>
                <w:b/>
                <w:i/>
                <w:color w:val="000000"/>
                <w:lang w:eastAsia="zh-CN" w:bidi="ar"/>
              </w:rPr>
              <w:t>Financial Structure</w:t>
            </w:r>
          </w:p>
        </w:tc>
        <w:tc>
          <w:tcPr>
            <w:tcW w:w="1965"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Fixed Asset to Long term Liablility Ratio</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0.314</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0.292</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0.272</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0.292</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Current Liabilities to Net Asset Ratio</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0.395</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0.349</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0.387</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0.377</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Current Liabilities to Stock Ratio</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3.635</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2.439</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2.839</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2.971</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 xml:space="preserve">Z score </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3.034</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3.342</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3.278</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3.218</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rPr>
            </w:pPr>
            <w:r>
              <w:rPr>
                <w:rFonts w:ascii="Calibri" w:hAnsi="Calibri" w:eastAsia="SimSun" w:cs="Calibri"/>
                <w:b/>
                <w:i/>
                <w:color w:val="000000"/>
                <w:lang w:eastAsia="zh-CN" w:bidi="ar"/>
              </w:rPr>
              <w:t>Paying Debt Ability</w:t>
            </w:r>
          </w:p>
        </w:tc>
        <w:tc>
          <w:tcPr>
            <w:tcW w:w="1965"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Current ratio (%)</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1.819</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2.099</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1.938</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1.952</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Quick Ratio (%)</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1.544</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1.689</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1.586</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1.606</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Stock Credit Index</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-1.979</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0.579</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0.038</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-0.454</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Cash Ratio (%)</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0.729</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0.912</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0.935</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0.859</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Total Debt Ratio (%)</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0.284</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0.261</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0.280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0.275</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Debt/Equity Ratio</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0.397</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0.353</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0.389</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0.380</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Long Term Debt Ratio</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0.000</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0.000</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0.000</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Total Debt/Fixed Asset Ratio</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1.266</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1.210</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1.433</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1.303</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Time Interest Cover Ratio</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-16.669</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-11.666</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3.164</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-8.391</w:t>
            </w:r>
          </w:p>
        </w:tc>
      </w:tr>
      <w:tr>
        <w:tblPrEx>
          <w:tblLayout w:type="fixed"/>
          <w:tblCellMar>
            <w:top w:w="0" w:type="dxa"/>
            <w:left w:w="0" w:type="dxa"/>
            <w:bottom w:w="0" w:type="dxa"/>
            <w:right w:w="0" w:type="dxa"/>
          </w:tblCellMar>
        </w:tblPrEx>
        <w:trPr>
          <w:trHeight w:val="300" w:hRule="atLeast"/>
        </w:trPr>
        <w:tc>
          <w:tcPr>
            <w:tcW w:w="3596"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Cash Coverage Ratio</w:t>
            </w:r>
          </w:p>
        </w:tc>
        <w:tc>
          <w:tcPr>
            <w:tcW w:w="1965"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-7.654</w:t>
            </w:r>
          </w:p>
        </w:tc>
        <w:tc>
          <w:tcPr>
            <w:tcW w:w="149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-1.804</w:t>
            </w:r>
          </w:p>
        </w:tc>
        <w:tc>
          <w:tcPr>
            <w:tcW w:w="152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12.680</w:t>
            </w:r>
          </w:p>
        </w:tc>
        <w:tc>
          <w:tcPr>
            <w:tcW w:w="1649"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1.074</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b/>
                <w:i/>
                <w:color w:val="000000"/>
              </w:rPr>
            </w:pP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sz w:val="24"/>
                <w:szCs w:val="24"/>
              </w:rPr>
            </w:pPr>
            <w:r>
              <w:rPr>
                <w:rFonts w:ascii="Calibri" w:hAnsi="Calibri" w:eastAsia="SimSun" w:cs="Calibri"/>
                <w:b/>
                <w:i/>
                <w:color w:val="000000"/>
                <w:sz w:val="24"/>
                <w:szCs w:val="24"/>
                <w:lang w:eastAsia="zh-CN" w:bidi="ar"/>
              </w:rPr>
              <w:t>Operating expenses</w:t>
            </w:r>
          </w:p>
        </w:tc>
        <w:tc>
          <w:tcPr>
            <w:tcW w:w="6624" w:type="dxa"/>
            <w:gridSpan w:val="4"/>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tcPr>
          <w:p>
            <w:pPr>
              <w:jc w:val="center"/>
              <w:rPr>
                <w:rFonts w:ascii="Calibri" w:hAnsi="Calibri" w:cs="Calibri"/>
                <w:b/>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Deprecitation and Amortization</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169.713</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178.596</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153.203</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167.171</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Selling and distribution expense</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1170.950</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893.156</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1140.433</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1068.180</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Administrate expense</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389.555</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271.224</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208.637</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289.8053333</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Other expenses</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148.230</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162.974</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69.841</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127.0150</w:t>
            </w:r>
          </w:p>
        </w:tc>
      </w:tr>
      <w:tr>
        <w:tblPrEx>
          <w:tblLayout w:type="fixed"/>
          <w:tblCellMar>
            <w:top w:w="0" w:type="dxa"/>
            <w:left w:w="0" w:type="dxa"/>
            <w:bottom w:w="0" w:type="dxa"/>
            <w:right w:w="0" w:type="dxa"/>
          </w:tblCellMar>
        </w:tblPrEx>
        <w:trPr>
          <w:trHeight w:val="300" w:hRule="atLeast"/>
        </w:trPr>
        <w:tc>
          <w:tcPr>
            <w:tcW w:w="3596" w:type="dxa"/>
            <w:tcBorders>
              <w:top w:val="nil"/>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b/>
                <w:i/>
                <w:color w:val="000000"/>
                <w:sz w:val="24"/>
                <w:szCs w:val="24"/>
              </w:rPr>
            </w:pPr>
          </w:p>
        </w:tc>
        <w:tc>
          <w:tcPr>
            <w:tcW w:w="6624" w:type="dxa"/>
            <w:gridSpan w:val="4"/>
            <w:tcBorders>
              <w:top w:val="nil"/>
              <w:left w:val="single" w:color="000000" w:sz="4" w:space="0"/>
              <w:bottom w:val="nil"/>
              <w:right w:val="single" w:color="000000" w:sz="4" w:space="0"/>
            </w:tcBorders>
            <w:shd w:val="clear" w:color="auto" w:fill="auto"/>
            <w:noWrap/>
            <w:tcMar>
              <w:top w:w="10" w:type="dxa"/>
              <w:left w:w="10" w:type="dxa"/>
              <w:right w:w="10" w:type="dxa"/>
            </w:tcMar>
          </w:tcPr>
          <w:p>
            <w:pPr>
              <w:jc w:val="center"/>
              <w:rPr>
                <w:rFonts w:ascii="Calibri" w:hAnsi="Calibri" w:cs="Calibri"/>
                <w:b/>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Total assets turnover</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0.277</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0.303</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0.390</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0.323</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Average Collection Period (days)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26.736</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23.366</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19.754</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23.285</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Day's Sales in Inventory(1)(days)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194.041</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215.389</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152.107</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187.179</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Payment period(days)</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74.383</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92.705</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70.279</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79.122</w:t>
            </w:r>
          </w:p>
        </w:tc>
      </w:tr>
      <w:tr>
        <w:tblPrEx>
          <w:tblLayout w:type="fixed"/>
          <w:tblCellMar>
            <w:top w:w="0" w:type="dxa"/>
            <w:left w:w="0" w:type="dxa"/>
            <w:bottom w:w="0" w:type="dxa"/>
            <w:right w:w="0" w:type="dxa"/>
          </w:tblCellMar>
        </w:tblPrEx>
        <w:trPr>
          <w:trHeight w:val="300" w:hRule="atLeast"/>
        </w:trPr>
        <w:tc>
          <w:tcPr>
            <w:tcW w:w="3596"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rPr>
            </w:pPr>
            <w:r>
              <w:rPr>
                <w:rFonts w:ascii="Calibri" w:hAnsi="Calibri" w:eastAsia="SimSun" w:cs="Calibri"/>
                <w:b/>
                <w:i/>
                <w:color w:val="000000"/>
                <w:lang w:eastAsia="zh-CN" w:bidi="ar"/>
              </w:rPr>
              <w:t>Profitability</w:t>
            </w:r>
          </w:p>
        </w:tc>
        <w:tc>
          <w:tcPr>
            <w:tcW w:w="1965"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Net profit (1 Miliion RMB)</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-320.218</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-179.811</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52.275</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-149.251</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 xml:space="preserve">Net profit growth </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-370.784%</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-43.847%</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-129.072%</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-1.812</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Gross profit margin</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0.471</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0.409</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0.396</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0.425</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Net Profit margin</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-0.145</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-0.080</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0.017</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-0.069</w:t>
            </w:r>
          </w:p>
        </w:tc>
      </w:tr>
      <w:tr>
        <w:tblPrEx>
          <w:tblLayout w:type="fixed"/>
          <w:tblCellMar>
            <w:top w:w="0" w:type="dxa"/>
            <w:left w:w="0" w:type="dxa"/>
            <w:bottom w:w="0" w:type="dxa"/>
            <w:right w:w="0" w:type="dxa"/>
          </w:tblCellMar>
        </w:tblPrEx>
        <w:trPr>
          <w:trHeight w:val="300" w:hRule="atLeast"/>
        </w:trPr>
        <w:tc>
          <w:tcPr>
            <w:tcW w:w="3596"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rPr>
            </w:pPr>
            <w:r>
              <w:rPr>
                <w:rFonts w:ascii="Calibri" w:hAnsi="Calibri" w:eastAsia="SimSun" w:cs="Calibri"/>
                <w:b/>
                <w:i/>
                <w:color w:val="000000"/>
                <w:lang w:eastAsia="zh-CN" w:bidi="ar"/>
              </w:rPr>
              <w:t>Total Assets Turnover</w:t>
            </w:r>
          </w:p>
        </w:tc>
        <w:tc>
          <w:tcPr>
            <w:tcW w:w="1965"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Total assets turnover</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0.277</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0.472</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0.390</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0.380</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Leverage ratio</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0.284</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0.261</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0.280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0.275</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Return on Equity (after tax) (%)</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-5.616%</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-3.275%</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0.941%</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-2.650%</w:t>
            </w:r>
          </w:p>
        </w:tc>
      </w:tr>
      <w:tr>
        <w:tblPrEx>
          <w:tblLayout w:type="fixed"/>
          <w:tblCellMar>
            <w:top w:w="0" w:type="dxa"/>
            <w:left w:w="0" w:type="dxa"/>
            <w:bottom w:w="0" w:type="dxa"/>
            <w:right w:w="0" w:type="dxa"/>
          </w:tblCellMar>
        </w:tblPrEx>
        <w:trPr>
          <w:trHeight w:val="300" w:hRule="atLeast"/>
        </w:trPr>
        <w:tc>
          <w:tcPr>
            <w:tcW w:w="3596"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rPr>
            </w:pPr>
            <w:r>
              <w:rPr>
                <w:rFonts w:ascii="Calibri" w:hAnsi="Calibri" w:eastAsia="SimSun" w:cs="Calibri"/>
                <w:b/>
                <w:i/>
                <w:color w:val="000000"/>
                <w:lang w:eastAsia="zh-CN" w:bidi="ar"/>
              </w:rPr>
              <w:t>Growth ability</w:t>
            </w:r>
          </w:p>
        </w:tc>
        <w:tc>
          <w:tcPr>
            <w:tcW w:w="1965"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Retained yield (times)</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-16.558</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-28.316</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98.680</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17.935</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Self-sustainable growth ratio (%)</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92.996%</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92.727%</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92.815%</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92.846%</w:t>
            </w:r>
          </w:p>
        </w:tc>
      </w:tr>
      <w:tr>
        <w:tblPrEx>
          <w:tblLayout w:type="fixed"/>
          <w:tblCellMar>
            <w:top w:w="0" w:type="dxa"/>
            <w:left w:w="0" w:type="dxa"/>
            <w:bottom w:w="0" w:type="dxa"/>
            <w:right w:w="0" w:type="dxa"/>
          </w:tblCellMar>
        </w:tblPrEx>
        <w:trPr>
          <w:trHeight w:val="300" w:hRule="atLeast"/>
        </w:trPr>
        <w:tc>
          <w:tcPr>
            <w:tcW w:w="3596"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rPr>
            </w:pPr>
            <w:r>
              <w:rPr>
                <w:rFonts w:ascii="Calibri" w:hAnsi="Calibri" w:eastAsia="SimSun" w:cs="Calibri"/>
                <w:b/>
                <w:i/>
                <w:color w:val="000000"/>
                <w:lang w:eastAsia="zh-CN" w:bidi="ar"/>
              </w:rPr>
              <w:t>Stock Market Prospects Analysis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Market Capitalization</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6331.379</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5925.037</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5835.559</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6030.659</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Market to book ratio (times)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1.110</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1.079</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1.050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1.080</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Enterprise value (EV)</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12643.710</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11585.555</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11533.099</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11920.788</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EBITDA</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-274.300</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-156.400</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20.900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-136.600</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Enterprise value multiple (EV multiple)</w:t>
            </w:r>
          </w:p>
        </w:tc>
        <w:tc>
          <w:tcPr>
            <w:tcW w:w="1965"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-46.094</w:t>
            </w:r>
          </w:p>
        </w:tc>
        <w:tc>
          <w:tcPr>
            <w:tcW w:w="149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-74.076</w:t>
            </w:r>
          </w:p>
        </w:tc>
        <w:tc>
          <w:tcPr>
            <w:tcW w:w="152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551.823</w:t>
            </w:r>
          </w:p>
        </w:tc>
        <w:tc>
          <w:tcPr>
            <w:tcW w:w="1649"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143.884</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 xml:space="preserve">Earning per share (HK$) </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-7.483</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-4.565</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1.252</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-3.599</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Price-earning Ratio (Times)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-634.216</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-1039.480</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3789.324</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705.209</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Dividend yield (%)</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-11.079%</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0.000%</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0.000%</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-3.693%</w:t>
            </w:r>
          </w:p>
        </w:tc>
      </w:tr>
      <w:tr>
        <w:tblPrEx>
          <w:tblLayout w:type="fixed"/>
          <w:tblCellMar>
            <w:top w:w="0" w:type="dxa"/>
            <w:left w:w="0" w:type="dxa"/>
            <w:bottom w:w="0" w:type="dxa"/>
            <w:right w:w="0" w:type="dxa"/>
          </w:tblCellMar>
        </w:tblPrEx>
        <w:trPr>
          <w:trHeight w:val="300" w:hRule="atLeast"/>
        </w:trPr>
        <w:tc>
          <w:tcPr>
            <w:tcW w:w="3596"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rPr>
            </w:pPr>
            <w:r>
              <w:rPr>
                <w:rFonts w:ascii="Calibri" w:hAnsi="Calibri" w:eastAsia="SimSun" w:cs="Calibri"/>
                <w:b/>
                <w:i/>
                <w:color w:val="000000"/>
                <w:lang w:eastAsia="zh-CN" w:bidi="ar"/>
              </w:rPr>
              <w:t>ROA &amp; ROE</w:t>
            </w:r>
          </w:p>
        </w:tc>
        <w:tc>
          <w:tcPr>
            <w:tcW w:w="1965"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ROA (after tax) %</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-4.020%</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-2.420%</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0.677%</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-1.921%</w:t>
            </w: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ROE (after tax) %</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-5.616%</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-3.275%</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0.941%</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-2.650%</w:t>
            </w:r>
          </w:p>
        </w:tc>
      </w:tr>
      <w:tr>
        <w:tblPrEx>
          <w:tblLayout w:type="fixed"/>
          <w:tblCellMar>
            <w:top w:w="0" w:type="dxa"/>
            <w:left w:w="0" w:type="dxa"/>
            <w:bottom w:w="0" w:type="dxa"/>
            <w:right w:w="0" w:type="dxa"/>
          </w:tblCellMar>
        </w:tblPrEx>
        <w:trPr>
          <w:trHeight w:val="300" w:hRule="atLeast"/>
        </w:trPr>
        <w:tc>
          <w:tcPr>
            <w:tcW w:w="3596"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nil"/>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300" w:hRule="atLeast"/>
        </w:trPr>
        <w:tc>
          <w:tcPr>
            <w:tcW w:w="3596"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b/>
                <w:i/>
                <w:color w:val="000000"/>
              </w:rPr>
            </w:pPr>
            <w:r>
              <w:rPr>
                <w:rFonts w:ascii="Calibri" w:hAnsi="Calibri" w:eastAsia="SimSun" w:cs="Calibri"/>
                <w:b/>
                <w:i/>
                <w:color w:val="000000"/>
                <w:lang w:eastAsia="zh-CN" w:bidi="ar"/>
              </w:rPr>
              <w:t>Financing Method for Analzying</w:t>
            </w:r>
          </w:p>
        </w:tc>
        <w:tc>
          <w:tcPr>
            <w:tcW w:w="1965"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49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520"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c>
          <w:tcPr>
            <w:tcW w:w="1649" w:type="dxa"/>
            <w:tcBorders>
              <w:top w:val="single" w:color="000000" w:sz="4" w:space="0"/>
              <w:left w:val="single" w:color="000000" w:sz="4" w:space="0"/>
              <w:bottom w:val="nil"/>
              <w:right w:val="single" w:color="000000" w:sz="4" w:space="0"/>
            </w:tcBorders>
            <w:shd w:val="clear" w:color="auto" w:fill="auto"/>
            <w:noWrap/>
            <w:tcMar>
              <w:top w:w="10" w:type="dxa"/>
              <w:left w:w="10" w:type="dxa"/>
              <w:right w:w="10" w:type="dxa"/>
            </w:tcMar>
            <w:vAlign w:val="bottom"/>
          </w:tcPr>
          <w:p>
            <w:pPr>
              <w:rPr>
                <w:rFonts w:ascii="Calibri" w:hAnsi="Calibri" w:cs="Calibri"/>
                <w:color w:val="000000"/>
              </w:rPr>
            </w:pPr>
          </w:p>
        </w:tc>
      </w:tr>
      <w:tr>
        <w:tblPrEx>
          <w:tblLayout w:type="fixed"/>
          <w:tblCellMar>
            <w:top w:w="0" w:type="dxa"/>
            <w:left w:w="0" w:type="dxa"/>
            <w:bottom w:w="0" w:type="dxa"/>
            <w:right w:w="0" w:type="dxa"/>
          </w:tblCellMar>
        </w:tblPrEx>
        <w:trPr>
          <w:trHeight w:val="290" w:hRule="atLeast"/>
        </w:trPr>
        <w:tc>
          <w:tcPr>
            <w:tcW w:w="3596" w:type="dxa"/>
            <w:tcBorders>
              <w:top w:val="single" w:color="000000" w:sz="8"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Cash and Equivalents</w:t>
            </w:r>
          </w:p>
        </w:tc>
        <w:tc>
          <w:tcPr>
            <w:tcW w:w="1965"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1642.818</w:t>
            </w:r>
          </w:p>
        </w:tc>
        <w:tc>
          <w:tcPr>
            <w:tcW w:w="149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1748.395</w:t>
            </w:r>
          </w:p>
        </w:tc>
        <w:tc>
          <w:tcPr>
            <w:tcW w:w="1520"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2010.318</w:t>
            </w:r>
          </w:p>
        </w:tc>
        <w:tc>
          <w:tcPr>
            <w:tcW w:w="1649" w:type="dxa"/>
            <w:tcBorders>
              <w:top w:val="single" w:color="000000" w:sz="8"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1,800.510</w:t>
            </w:r>
          </w:p>
        </w:tc>
      </w:tr>
      <w:tr>
        <w:tblPrEx>
          <w:tblLayout w:type="fixed"/>
          <w:tblCellMar>
            <w:top w:w="0" w:type="dxa"/>
            <w:left w:w="0" w:type="dxa"/>
            <w:bottom w:w="0" w:type="dxa"/>
            <w:right w:w="0" w:type="dxa"/>
          </w:tblCellMar>
        </w:tblPrEx>
        <w:trPr>
          <w:trHeight w:val="29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Bank Loans</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1143.091</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529.696</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415.128</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695.972</w:t>
            </w:r>
          </w:p>
        </w:tc>
      </w:tr>
      <w:tr>
        <w:tblPrEx>
          <w:tblLayout w:type="fixed"/>
          <w:tblCellMar>
            <w:top w:w="0" w:type="dxa"/>
            <w:left w:w="0" w:type="dxa"/>
            <w:bottom w:w="0" w:type="dxa"/>
            <w:right w:w="0" w:type="dxa"/>
          </w:tblCellMar>
        </w:tblPrEx>
        <w:trPr>
          <w:trHeight w:val="29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Cash Ratio</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451.887</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716.796</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708.160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625.614</w:t>
            </w:r>
          </w:p>
        </w:tc>
      </w:tr>
      <w:tr>
        <w:tblPrEx>
          <w:tblLayout w:type="fixed"/>
          <w:tblCellMar>
            <w:top w:w="0" w:type="dxa"/>
            <w:left w:w="0" w:type="dxa"/>
            <w:bottom w:w="0" w:type="dxa"/>
            <w:right w:w="0" w:type="dxa"/>
          </w:tblCellMar>
        </w:tblPrEx>
        <w:trPr>
          <w:trHeight w:val="29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Retained Profit</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-16.558</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-28.475</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98.680</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17.882</w:t>
            </w:r>
          </w:p>
        </w:tc>
      </w:tr>
      <w:tr>
        <w:tblPrEx>
          <w:tblLayout w:type="fixed"/>
          <w:tblCellMar>
            <w:top w:w="0" w:type="dxa"/>
            <w:left w:w="0" w:type="dxa"/>
            <w:bottom w:w="0" w:type="dxa"/>
            <w:right w:w="0" w:type="dxa"/>
          </w:tblCellMar>
        </w:tblPrEx>
        <w:trPr>
          <w:trHeight w:val="29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Net Debt Ratio</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-0.088</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-0.222</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-0.287</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-0.199</w:t>
            </w:r>
          </w:p>
        </w:tc>
      </w:tr>
      <w:tr>
        <w:tblPrEx>
          <w:tblLayout w:type="fixed"/>
          <w:tblCellMar>
            <w:top w:w="0" w:type="dxa"/>
            <w:left w:w="0" w:type="dxa"/>
            <w:bottom w:w="0" w:type="dxa"/>
            <w:right w:w="0" w:type="dxa"/>
          </w:tblCellMar>
        </w:tblPrEx>
        <w:trPr>
          <w:trHeight w:val="250" w:hRule="atLeast"/>
        </w:trPr>
        <w:tc>
          <w:tcPr>
            <w:tcW w:w="3596" w:type="dxa"/>
            <w:tcBorders>
              <w:top w:val="single" w:color="000000" w:sz="4" w:space="0"/>
              <w:left w:val="single" w:color="000000" w:sz="8" w:space="0"/>
              <w:bottom w:val="single" w:color="000000" w:sz="4"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Net Interest Expense</w:t>
            </w:r>
          </w:p>
        </w:tc>
        <w:tc>
          <w:tcPr>
            <w:tcW w:w="1965"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-84.936</w:t>
            </w:r>
          </w:p>
        </w:tc>
        <w:tc>
          <w:tcPr>
            <w:tcW w:w="149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-94.794</w:t>
            </w:r>
          </w:p>
        </w:tc>
        <w:tc>
          <w:tcPr>
            <w:tcW w:w="1520"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-59.523</w:t>
            </w:r>
          </w:p>
        </w:tc>
        <w:tc>
          <w:tcPr>
            <w:tcW w:w="1649" w:type="dxa"/>
            <w:tcBorders>
              <w:top w:val="single" w:color="000000" w:sz="4" w:space="0"/>
              <w:left w:val="single" w:color="000000" w:sz="4" w:space="0"/>
              <w:bottom w:val="single" w:color="000000" w:sz="4"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-79.751</w:t>
            </w:r>
          </w:p>
        </w:tc>
      </w:tr>
      <w:tr>
        <w:tblPrEx>
          <w:tblLayout w:type="fixed"/>
          <w:tblCellMar>
            <w:top w:w="0" w:type="dxa"/>
            <w:left w:w="0" w:type="dxa"/>
            <w:bottom w:w="0" w:type="dxa"/>
            <w:right w:w="0" w:type="dxa"/>
          </w:tblCellMar>
        </w:tblPrEx>
        <w:trPr>
          <w:trHeight w:val="305" w:hRule="atLeast"/>
        </w:trPr>
        <w:tc>
          <w:tcPr>
            <w:tcW w:w="3596" w:type="dxa"/>
            <w:tcBorders>
              <w:top w:val="single" w:color="000000" w:sz="4" w:space="0"/>
              <w:left w:val="single" w:color="000000" w:sz="8" w:space="0"/>
              <w:bottom w:val="single" w:color="000000" w:sz="8" w:space="0"/>
              <w:right w:val="single" w:color="000000" w:sz="4" w:space="0"/>
            </w:tcBorders>
            <w:shd w:val="clear" w:color="auto" w:fill="auto"/>
            <w:noWrap/>
            <w:tcMar>
              <w:top w:w="10" w:type="dxa"/>
              <w:left w:w="10" w:type="dxa"/>
              <w:right w:w="10" w:type="dxa"/>
            </w:tcMar>
            <w:vAlign w:val="bottom"/>
          </w:tcPr>
          <w:p>
            <w:pPr>
              <w:textAlignment w:val="bottom"/>
              <w:rPr>
                <w:rFonts w:ascii="Calibri" w:hAnsi="Calibri" w:cs="Calibri"/>
                <w:color w:val="000000"/>
              </w:rPr>
            </w:pPr>
            <w:r>
              <w:rPr>
                <w:rFonts w:ascii="Calibri" w:hAnsi="Calibri" w:eastAsia="SimSun" w:cs="Calibri"/>
                <w:color w:val="000000"/>
                <w:lang w:eastAsia="zh-CN" w:bidi="ar"/>
              </w:rPr>
              <w:t>Net Interest Expense/Turnover</w:t>
            </w:r>
          </w:p>
        </w:tc>
        <w:tc>
          <w:tcPr>
            <w:tcW w:w="1965"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-0.039</w:t>
            </w:r>
          </w:p>
        </w:tc>
        <w:tc>
          <w:tcPr>
            <w:tcW w:w="149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-0.042</w:t>
            </w:r>
          </w:p>
        </w:tc>
        <w:tc>
          <w:tcPr>
            <w:tcW w:w="1520"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-0.020</w:t>
            </w:r>
          </w:p>
        </w:tc>
        <w:tc>
          <w:tcPr>
            <w:tcW w:w="1649" w:type="dxa"/>
            <w:tcBorders>
              <w:top w:val="single" w:color="000000" w:sz="4" w:space="0"/>
              <w:left w:val="single" w:color="000000" w:sz="4" w:space="0"/>
              <w:bottom w:val="single" w:color="000000" w:sz="8" w:space="0"/>
              <w:right w:val="single" w:color="000000" w:sz="4" w:space="0"/>
            </w:tcBorders>
            <w:shd w:val="clear" w:color="auto" w:fill="auto"/>
            <w:noWrap/>
            <w:tcMar>
              <w:top w:w="10" w:type="dxa"/>
              <w:left w:w="10" w:type="dxa"/>
              <w:right w:w="10" w:type="dxa"/>
            </w:tcMar>
            <w:vAlign w:val="bottom"/>
          </w:tcPr>
          <w:p>
            <w:pPr>
              <w:jc w:val="right"/>
              <w:textAlignment w:val="bottom"/>
              <w:rPr>
                <w:rFonts w:ascii="Calibri" w:hAnsi="Calibri" w:cs="Calibri"/>
                <w:color w:val="000000"/>
              </w:rPr>
            </w:pPr>
            <w:r>
              <w:rPr>
                <w:rFonts w:ascii="Calibri" w:hAnsi="Calibri" w:eastAsia="SimSun" w:cs="Calibri"/>
                <w:color w:val="000000"/>
                <w:lang w:eastAsia="zh-CN" w:bidi="ar"/>
              </w:rPr>
              <w:t>-0.033</w:t>
            </w:r>
          </w:p>
        </w:tc>
      </w:tr>
    </w:tbl>
    <w:p/>
    <w:p/>
    <w:sectPr>
      <w:footerReference r:id="rId3" w:type="default"/>
      <w:pgSz w:w="12240" w:h="15840"/>
      <w:pgMar w:top="1440" w:right="1440" w:bottom="1440" w:left="144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PMingLiU">
    <w:panose1 w:val="02020500000000000000"/>
    <w:charset w:val="88"/>
    <w:family w:val="auto"/>
    <w:pitch w:val="default"/>
    <w:sig w:usb0="A00002FF" w:usb1="28CFFCFA" w:usb2="00000016" w:usb3="00000000" w:csb0="00100001" w:csb1="00000000"/>
  </w:font>
  <w:font w:name="Segoe UI">
    <w:panose1 w:val="020B0502040204020203"/>
    <w:charset w:val="00"/>
    <w:family w:val="swiss"/>
    <w:pitch w:val="default"/>
    <w:sig w:usb0="E4002EFF" w:usb1="C000E47F" w:usb2="00000009" w:usb3="00000000" w:csb0="200001FF" w:csb1="00000000"/>
  </w:font>
  <w:font w:name="&amp;quo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22"/>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TW"/>
                            </w:rPr>
                          </w:pPr>
                          <w:r>
                            <w:rPr>
                              <w:rFonts w:hint="eastAsia"/>
                              <w:lang w:eastAsia="zh-TW"/>
                            </w:rPr>
                            <w:fldChar w:fldCharType="begin"/>
                          </w:r>
                          <w:r>
                            <w:rPr>
                              <w:rFonts w:hint="eastAsia"/>
                              <w:lang w:eastAsia="zh-TW"/>
                            </w:rPr>
                            <w:instrText xml:space="preserve"> PAGE  \* MERGEFORMAT </w:instrText>
                          </w:r>
                          <w:r>
                            <w:rPr>
                              <w:rFonts w:hint="eastAsia"/>
                              <w:lang w:eastAsia="zh-TW"/>
                            </w:rPr>
                            <w:fldChar w:fldCharType="separate"/>
                          </w:r>
                          <w:r>
                            <w:rPr>
                              <w:rFonts w:hint="eastAsia"/>
                              <w:lang w:eastAsia="zh-TW"/>
                            </w:rPr>
                            <w:t>1</w:t>
                          </w:r>
                          <w:r>
                            <w:rPr>
                              <w:rFonts w:hint="eastAsia"/>
                              <w:lang w:eastAsia="zh-TW"/>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">
              <v:fill on="f" focussize="0,0"/>
              <v:stroke on="f" weight="0.5pt"/>
              <v:imagedata o:title=""/>
              <o:lock v:ext="edit" aspectratio="f"/>
              <v:textbox inset="0mm,0mm,0mm,0mm" style="mso-fit-shape-to-text:t;">
                <w:txbxContent>
                  <w:p>
                    <w:pPr>
                      <w:pStyle w:val="6"/>
                      <w:rPr>
                        <w:rFonts w:hint="eastAsia" w:eastAsiaTheme="minorEastAsia"/>
                        <w:lang w:eastAsia="zh-TW"/>
                      </w:rPr>
                    </w:pPr>
                    <w:r>
                      <w:rPr>
                        <w:rFonts w:hint="eastAsia"/>
                        <w:lang w:eastAsia="zh-TW"/>
                      </w:rPr>
                      <w:fldChar w:fldCharType="begin"/>
                    </w:r>
                    <w:r>
                      <w:rPr>
                        <w:rFonts w:hint="eastAsia"/>
                        <w:lang w:eastAsia="zh-TW"/>
                      </w:rPr>
                      <w:instrText xml:space="preserve"> PAGE  \* MERGEFORMAT </w:instrText>
                    </w:r>
                    <w:r>
                      <w:rPr>
                        <w:rFonts w:hint="eastAsia"/>
                        <w:lang w:eastAsia="zh-TW"/>
                      </w:rPr>
                      <w:fldChar w:fldCharType="separate"/>
                    </w:r>
                    <w:r>
                      <w:rPr>
                        <w:rFonts w:hint="eastAsia"/>
                        <w:lang w:eastAsia="zh-TW"/>
                      </w:rPr>
                      <w:t>1</w:t>
                    </w:r>
                    <w:r>
                      <w:rPr>
                        <w:rFonts w:hint="eastAsia"/>
                        <w:lang w:eastAsia="zh-TW"/>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documentProtection w:enforcement="0"/>
  <w:defaultTabStop w:val="720"/>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3A88"/>
    <w:rsid w:val="0002691A"/>
    <w:rsid w:val="0005509D"/>
    <w:rsid w:val="00135197"/>
    <w:rsid w:val="0015373E"/>
    <w:rsid w:val="0017182E"/>
    <w:rsid w:val="00197A0F"/>
    <w:rsid w:val="001C4250"/>
    <w:rsid w:val="001D2103"/>
    <w:rsid w:val="00205C93"/>
    <w:rsid w:val="00213839"/>
    <w:rsid w:val="002816BD"/>
    <w:rsid w:val="002F4A24"/>
    <w:rsid w:val="00301504"/>
    <w:rsid w:val="0030736E"/>
    <w:rsid w:val="00342559"/>
    <w:rsid w:val="00397D6E"/>
    <w:rsid w:val="003E0952"/>
    <w:rsid w:val="00400B1D"/>
    <w:rsid w:val="004146CA"/>
    <w:rsid w:val="004225C3"/>
    <w:rsid w:val="00535E46"/>
    <w:rsid w:val="00545754"/>
    <w:rsid w:val="00551BB7"/>
    <w:rsid w:val="005E58AE"/>
    <w:rsid w:val="00625CBE"/>
    <w:rsid w:val="006878C0"/>
    <w:rsid w:val="006A0E92"/>
    <w:rsid w:val="006C54B8"/>
    <w:rsid w:val="006D2501"/>
    <w:rsid w:val="006E1EBC"/>
    <w:rsid w:val="00711945"/>
    <w:rsid w:val="00720B5A"/>
    <w:rsid w:val="00745141"/>
    <w:rsid w:val="00842D17"/>
    <w:rsid w:val="00890C20"/>
    <w:rsid w:val="008F60A0"/>
    <w:rsid w:val="00925A01"/>
    <w:rsid w:val="00953FF2"/>
    <w:rsid w:val="00A02478"/>
    <w:rsid w:val="00A77F2F"/>
    <w:rsid w:val="00A95689"/>
    <w:rsid w:val="00A95B4D"/>
    <w:rsid w:val="00AD4694"/>
    <w:rsid w:val="00AD7FAA"/>
    <w:rsid w:val="00B73A88"/>
    <w:rsid w:val="00B91A4D"/>
    <w:rsid w:val="00BD143C"/>
    <w:rsid w:val="00C06AA2"/>
    <w:rsid w:val="00C674F7"/>
    <w:rsid w:val="00C77335"/>
    <w:rsid w:val="00CE7F2F"/>
    <w:rsid w:val="00D02C44"/>
    <w:rsid w:val="00DB63AE"/>
    <w:rsid w:val="00DD154A"/>
    <w:rsid w:val="00E41385"/>
    <w:rsid w:val="00E77A79"/>
    <w:rsid w:val="00E822D9"/>
    <w:rsid w:val="00E868E3"/>
    <w:rsid w:val="00EA2727"/>
    <w:rsid w:val="00EA356D"/>
    <w:rsid w:val="00EE1937"/>
    <w:rsid w:val="00EE6E27"/>
    <w:rsid w:val="00F21AEF"/>
    <w:rsid w:val="00F46666"/>
    <w:rsid w:val="00F72008"/>
    <w:rsid w:val="05016A0E"/>
    <w:rsid w:val="054E65FE"/>
    <w:rsid w:val="06D32DCA"/>
    <w:rsid w:val="06F23263"/>
    <w:rsid w:val="079B3391"/>
    <w:rsid w:val="09DA7256"/>
    <w:rsid w:val="0A161FD8"/>
    <w:rsid w:val="0CC152CD"/>
    <w:rsid w:val="0ED12013"/>
    <w:rsid w:val="102F52A8"/>
    <w:rsid w:val="10441EBA"/>
    <w:rsid w:val="108D37B4"/>
    <w:rsid w:val="10D07F31"/>
    <w:rsid w:val="10D260AA"/>
    <w:rsid w:val="113309A8"/>
    <w:rsid w:val="12B40ADE"/>
    <w:rsid w:val="177F268F"/>
    <w:rsid w:val="190A1FBA"/>
    <w:rsid w:val="1B482109"/>
    <w:rsid w:val="1D757E12"/>
    <w:rsid w:val="1E65558F"/>
    <w:rsid w:val="1F184B1C"/>
    <w:rsid w:val="20287DA5"/>
    <w:rsid w:val="20906213"/>
    <w:rsid w:val="20C30D58"/>
    <w:rsid w:val="20F33688"/>
    <w:rsid w:val="21A35B89"/>
    <w:rsid w:val="22A863A2"/>
    <w:rsid w:val="23E240E0"/>
    <w:rsid w:val="25C35828"/>
    <w:rsid w:val="263E354A"/>
    <w:rsid w:val="27BA4662"/>
    <w:rsid w:val="28B3671B"/>
    <w:rsid w:val="28C6672A"/>
    <w:rsid w:val="294B0E96"/>
    <w:rsid w:val="2B6F0335"/>
    <w:rsid w:val="2BDC60C8"/>
    <w:rsid w:val="2D9B4F54"/>
    <w:rsid w:val="2F007068"/>
    <w:rsid w:val="329660CA"/>
    <w:rsid w:val="32B260C0"/>
    <w:rsid w:val="34C552DD"/>
    <w:rsid w:val="357F3083"/>
    <w:rsid w:val="3725120F"/>
    <w:rsid w:val="3789453B"/>
    <w:rsid w:val="3830412B"/>
    <w:rsid w:val="39AF6AA7"/>
    <w:rsid w:val="3B494643"/>
    <w:rsid w:val="3BE76DEC"/>
    <w:rsid w:val="3CBF4363"/>
    <w:rsid w:val="3F500CCE"/>
    <w:rsid w:val="3F691A0B"/>
    <w:rsid w:val="401057A2"/>
    <w:rsid w:val="40363115"/>
    <w:rsid w:val="4050591E"/>
    <w:rsid w:val="406A6187"/>
    <w:rsid w:val="4110718F"/>
    <w:rsid w:val="425D0CD8"/>
    <w:rsid w:val="440178AD"/>
    <w:rsid w:val="45402771"/>
    <w:rsid w:val="46F23D32"/>
    <w:rsid w:val="47F5245D"/>
    <w:rsid w:val="48714721"/>
    <w:rsid w:val="4EDA5D13"/>
    <w:rsid w:val="4EFF63C3"/>
    <w:rsid w:val="4FE903E6"/>
    <w:rsid w:val="504D28DB"/>
    <w:rsid w:val="5229103C"/>
    <w:rsid w:val="528579BA"/>
    <w:rsid w:val="534D3C87"/>
    <w:rsid w:val="53D17566"/>
    <w:rsid w:val="556672F4"/>
    <w:rsid w:val="55FA7D3F"/>
    <w:rsid w:val="56B80F4C"/>
    <w:rsid w:val="56ED31B0"/>
    <w:rsid w:val="570914B9"/>
    <w:rsid w:val="59E12666"/>
    <w:rsid w:val="59E61BDA"/>
    <w:rsid w:val="59EA3199"/>
    <w:rsid w:val="5A726C26"/>
    <w:rsid w:val="5AE04EE3"/>
    <w:rsid w:val="5D9F05F6"/>
    <w:rsid w:val="5E5D7456"/>
    <w:rsid w:val="5F294CCB"/>
    <w:rsid w:val="5FA50EB2"/>
    <w:rsid w:val="60B75642"/>
    <w:rsid w:val="6212341D"/>
    <w:rsid w:val="62536FA5"/>
    <w:rsid w:val="65B9282C"/>
    <w:rsid w:val="662B1B9A"/>
    <w:rsid w:val="67FE388E"/>
    <w:rsid w:val="6A994D86"/>
    <w:rsid w:val="6AE808B9"/>
    <w:rsid w:val="6CFE14B3"/>
    <w:rsid w:val="6E8239B9"/>
    <w:rsid w:val="6EBE7C22"/>
    <w:rsid w:val="703B0F46"/>
    <w:rsid w:val="714F233F"/>
    <w:rsid w:val="71787589"/>
    <w:rsid w:val="738E1DDA"/>
    <w:rsid w:val="778B282A"/>
    <w:rsid w:val="79E9001C"/>
    <w:rsid w:val="7A3405E9"/>
    <w:rsid w:val="7A5C0371"/>
    <w:rsid w:val="7AEB00C0"/>
    <w:rsid w:val="7C9318D2"/>
    <w:rsid w:val="7E2822FF"/>
    <w:rsid w:val="7FBE777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9" w:name="heading 3"/>
    <w:lsdException w:qFormat="1" w:uiPriority="0"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0"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zh-TW"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basedOn w:val="1"/>
    <w:next w:val="1"/>
    <w:link w:val="14"/>
    <w:unhideWhenUsed/>
    <w:qFormat/>
    <w:uiPriority w:val="0"/>
    <w:pPr>
      <w:keepNext/>
      <w:spacing w:after="0" w:line="240" w:lineRule="auto"/>
      <w:jc w:val="both"/>
      <w:outlineLvl w:val="1"/>
    </w:pPr>
    <w:rPr>
      <w:rFonts w:ascii="Times New Roman" w:hAnsi="Times New Roman" w:eastAsia="Times New Roman" w:cs="Times New Roman"/>
      <w:b/>
      <w:sz w:val="24"/>
      <w:szCs w:val="20"/>
      <w:lang w:val="en-GB" w:eastAsia="en-GB"/>
    </w:rPr>
  </w:style>
  <w:style w:type="paragraph" w:styleId="4">
    <w:name w:val="heading 4"/>
    <w:basedOn w:val="1"/>
    <w:next w:val="1"/>
    <w:link w:val="15"/>
    <w:unhideWhenUsed/>
    <w:qFormat/>
    <w:uiPriority w:val="0"/>
    <w:pPr>
      <w:keepNext/>
      <w:spacing w:before="120" w:after="120" w:line="240" w:lineRule="auto"/>
      <w:jc w:val="center"/>
      <w:outlineLvl w:val="3"/>
    </w:pPr>
    <w:rPr>
      <w:rFonts w:ascii="Times New Roman" w:hAnsi="Times New Roman" w:eastAsia="Times New Roman" w:cs="Times New Roman"/>
      <w:sz w:val="40"/>
      <w:szCs w:val="20"/>
      <w:lang w:val="en-GB" w:eastAsia="en-GB"/>
    </w:rPr>
  </w:style>
  <w:style w:type="character" w:default="1" w:styleId="8">
    <w:name w:val="Default Paragraph Font"/>
    <w:semiHidden/>
    <w:unhideWhenUsed/>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5">
    <w:name w:val="Balloon Text"/>
    <w:basedOn w:val="1"/>
    <w:link w:val="16"/>
    <w:semiHidden/>
    <w:unhideWhenUsed/>
    <w:uiPriority w:val="99"/>
    <w:pPr>
      <w:spacing w:after="0" w:line="240" w:lineRule="auto"/>
    </w:pPr>
    <w:rPr>
      <w:rFonts w:ascii="PMingLiU" w:eastAsia="PMingLiU"/>
      <w:sz w:val="18"/>
      <w:szCs w:val="18"/>
    </w:rPr>
  </w:style>
  <w:style w:type="paragraph" w:styleId="6">
    <w:name w:val="footer"/>
    <w:basedOn w:val="1"/>
    <w:link w:val="12"/>
    <w:unhideWhenUsed/>
    <w:qFormat/>
    <w:uiPriority w:val="99"/>
    <w:pPr>
      <w:tabs>
        <w:tab w:val="center" w:pos="4680"/>
        <w:tab w:val="right" w:pos="9360"/>
      </w:tabs>
      <w:spacing w:after="0" w:line="240" w:lineRule="auto"/>
    </w:pPr>
  </w:style>
  <w:style w:type="paragraph" w:styleId="7">
    <w:name w:val="header"/>
    <w:basedOn w:val="1"/>
    <w:link w:val="11"/>
    <w:unhideWhenUsed/>
    <w:qFormat/>
    <w:uiPriority w:val="0"/>
    <w:pPr>
      <w:tabs>
        <w:tab w:val="center" w:pos="4680"/>
        <w:tab w:val="right" w:pos="9360"/>
      </w:tabs>
      <w:spacing w:after="0" w:line="240" w:lineRule="auto"/>
    </w:pPr>
  </w:style>
  <w:style w:type="character" w:styleId="9">
    <w:name w:val="Hyperlink"/>
    <w:basedOn w:val="8"/>
    <w:unhideWhenUsed/>
    <w:qFormat/>
    <w:uiPriority w:val="99"/>
    <w:rPr>
      <w:color w:val="0000FF"/>
      <w:u w:val="single"/>
    </w:rPr>
  </w:style>
  <w:style w:type="character" w:customStyle="1" w:styleId="11">
    <w:name w:val="頁首 字元"/>
    <w:basedOn w:val="8"/>
    <w:link w:val="7"/>
    <w:qFormat/>
    <w:uiPriority w:val="0"/>
  </w:style>
  <w:style w:type="character" w:customStyle="1" w:styleId="12">
    <w:name w:val="頁尾 字元"/>
    <w:basedOn w:val="8"/>
    <w:link w:val="6"/>
    <w:qFormat/>
    <w:uiPriority w:val="99"/>
  </w:style>
  <w:style w:type="paragraph" w:styleId="13">
    <w:name w:val="List Paragraph"/>
    <w:basedOn w:val="1"/>
    <w:qFormat/>
    <w:uiPriority w:val="34"/>
    <w:pPr>
      <w:ind w:left="720"/>
      <w:contextualSpacing/>
    </w:pPr>
  </w:style>
  <w:style w:type="character" w:customStyle="1" w:styleId="14">
    <w:name w:val="標題 2 字元"/>
    <w:basedOn w:val="8"/>
    <w:link w:val="3"/>
    <w:uiPriority w:val="0"/>
    <w:rPr>
      <w:rFonts w:eastAsia="Times New Roman"/>
      <w:b/>
      <w:sz w:val="24"/>
      <w:lang w:val="en-GB" w:eastAsia="en-GB"/>
    </w:rPr>
  </w:style>
  <w:style w:type="character" w:customStyle="1" w:styleId="15">
    <w:name w:val="標題 4 字元"/>
    <w:basedOn w:val="8"/>
    <w:link w:val="4"/>
    <w:uiPriority w:val="0"/>
    <w:rPr>
      <w:rFonts w:eastAsia="Times New Roman"/>
      <w:sz w:val="40"/>
      <w:lang w:val="en-GB" w:eastAsia="en-GB"/>
    </w:rPr>
  </w:style>
  <w:style w:type="character" w:customStyle="1" w:styleId="16">
    <w:name w:val="註解方塊文字 字元"/>
    <w:basedOn w:val="8"/>
    <w:link w:val="5"/>
    <w:semiHidden/>
    <w:uiPriority w:val="99"/>
    <w:rPr>
      <w:rFonts w:ascii="PMingLiU" w:eastAsia="PMingLiU" w:hAnsiTheme="minorHAnsi" w:cstheme="minorBidi"/>
      <w:sz w:val="18"/>
      <w:szCs w:val="1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37</Pages>
  <Words>9623</Words>
  <Characters>54852</Characters>
  <Lines>457</Lines>
  <Paragraphs>128</Paragraphs>
  <TotalTime>20</TotalTime>
  <ScaleCrop>false</ScaleCrop>
  <LinksUpToDate>false</LinksUpToDate>
  <CharactersWithSpaces>64347</CharactersWithSpaces>
  <Application>WPS Office_11.2.0.8684_F1E327BC-269C-435d-A152-05C5408002CA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2019-08-06T06:46:00Z</dcterms:created>
  <dc:creator>admin</dc:creator>
  <cp:lastModifiedBy>alvin429</cp:lastModifiedBy>
  <dcterms:modified xsi:type="dcterms:W3CDTF">2019-08-06T15:51:59Z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1033-11.2.0.8684</vt:lpwstr>
  </property>
</Properties>
</file>