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04B513" w14:textId="77777777" w:rsidR="00B75405" w:rsidRDefault="00B75405" w:rsidP="00E93BE8">
      <w:pPr>
        <w:spacing w:line="360" w:lineRule="auto"/>
        <w:jc w:val="both"/>
        <w:rPr>
          <w:rFonts w:ascii="Arial" w:hAnsi="Arial" w:cs="Arial"/>
          <w:b/>
          <w:bCs/>
          <w:sz w:val="22"/>
          <w:szCs w:val="22"/>
        </w:rPr>
      </w:pPr>
    </w:p>
    <w:p w14:paraId="5687F299" w14:textId="77777777" w:rsidR="00B75405" w:rsidRDefault="00B75405" w:rsidP="00E93BE8">
      <w:pPr>
        <w:spacing w:line="360" w:lineRule="auto"/>
        <w:jc w:val="both"/>
        <w:rPr>
          <w:rFonts w:ascii="Arial" w:hAnsi="Arial" w:cs="Arial"/>
          <w:b/>
          <w:bCs/>
          <w:sz w:val="22"/>
          <w:szCs w:val="22"/>
        </w:rPr>
      </w:pPr>
    </w:p>
    <w:p w14:paraId="274EBCE5" w14:textId="77777777" w:rsidR="00B75405" w:rsidRDefault="00B75405" w:rsidP="00E93BE8">
      <w:pPr>
        <w:spacing w:line="360" w:lineRule="auto"/>
        <w:jc w:val="both"/>
        <w:rPr>
          <w:rFonts w:ascii="Arial" w:hAnsi="Arial" w:cs="Arial"/>
          <w:b/>
          <w:bCs/>
          <w:sz w:val="22"/>
          <w:szCs w:val="22"/>
        </w:rPr>
      </w:pPr>
    </w:p>
    <w:p w14:paraId="3905CF8F" w14:textId="77777777" w:rsidR="00B75405" w:rsidRDefault="00B75405" w:rsidP="00E93BE8">
      <w:pPr>
        <w:spacing w:line="360" w:lineRule="auto"/>
        <w:jc w:val="both"/>
        <w:rPr>
          <w:rFonts w:ascii="Arial" w:hAnsi="Arial" w:cs="Arial"/>
          <w:b/>
          <w:bCs/>
          <w:sz w:val="22"/>
          <w:szCs w:val="22"/>
        </w:rPr>
      </w:pPr>
    </w:p>
    <w:p w14:paraId="0CA29389" w14:textId="6A766E8E" w:rsidR="00B75405" w:rsidRDefault="00B75405" w:rsidP="00E93BE8">
      <w:pPr>
        <w:spacing w:line="360" w:lineRule="auto"/>
        <w:jc w:val="both"/>
        <w:rPr>
          <w:rFonts w:ascii="Arial" w:hAnsi="Arial" w:cs="Arial"/>
          <w:b/>
          <w:bCs/>
          <w:sz w:val="22"/>
          <w:szCs w:val="22"/>
        </w:rPr>
      </w:pPr>
      <w:r>
        <w:rPr>
          <w:rFonts w:ascii="Arial" w:hAnsi="Arial" w:cs="Arial"/>
          <w:b/>
          <w:bCs/>
          <w:sz w:val="22"/>
          <w:szCs w:val="22"/>
        </w:rPr>
        <w:t xml:space="preserve">Student Name: Kingsley Adu </w:t>
      </w:r>
      <w:proofErr w:type="spellStart"/>
      <w:r>
        <w:rPr>
          <w:rFonts w:ascii="Arial" w:hAnsi="Arial" w:cs="Arial"/>
          <w:b/>
          <w:bCs/>
          <w:sz w:val="22"/>
          <w:szCs w:val="22"/>
        </w:rPr>
        <w:t>Brefo</w:t>
      </w:r>
      <w:proofErr w:type="spellEnd"/>
    </w:p>
    <w:p w14:paraId="50B89376" w14:textId="1608A635" w:rsidR="00B75405" w:rsidRDefault="00B75405" w:rsidP="00E93BE8">
      <w:pPr>
        <w:spacing w:line="360" w:lineRule="auto"/>
        <w:jc w:val="both"/>
        <w:rPr>
          <w:rFonts w:ascii="Arial" w:hAnsi="Arial" w:cs="Arial"/>
          <w:b/>
          <w:bCs/>
          <w:sz w:val="22"/>
          <w:szCs w:val="22"/>
        </w:rPr>
      </w:pPr>
      <w:r>
        <w:rPr>
          <w:rFonts w:ascii="Arial" w:hAnsi="Arial" w:cs="Arial"/>
          <w:b/>
          <w:bCs/>
          <w:sz w:val="22"/>
          <w:szCs w:val="22"/>
        </w:rPr>
        <w:t>Student ID:2424521</w:t>
      </w:r>
    </w:p>
    <w:p w14:paraId="49A329F7" w14:textId="2EF874B8" w:rsidR="00B75405" w:rsidRDefault="00E93BE8" w:rsidP="00E93BE8">
      <w:pPr>
        <w:spacing w:line="360" w:lineRule="auto"/>
        <w:jc w:val="both"/>
        <w:rPr>
          <w:rFonts w:ascii="Arial" w:hAnsi="Arial" w:cs="Arial"/>
          <w:b/>
          <w:bCs/>
          <w:sz w:val="22"/>
          <w:szCs w:val="22"/>
        </w:rPr>
      </w:pPr>
      <w:r>
        <w:rPr>
          <w:rFonts w:ascii="Arial" w:hAnsi="Arial" w:cs="Arial"/>
          <w:b/>
          <w:bCs/>
          <w:sz w:val="22"/>
          <w:szCs w:val="22"/>
        </w:rPr>
        <w:t xml:space="preserve">Module: </w:t>
      </w:r>
      <w:r w:rsidRPr="00E93BE8">
        <w:rPr>
          <w:rFonts w:ascii="Arial" w:hAnsi="Arial" w:cs="Arial"/>
          <w:b/>
          <w:bCs/>
          <w:sz w:val="22"/>
          <w:szCs w:val="22"/>
        </w:rPr>
        <w:t>Principles of Health and Social Care Practice</w:t>
      </w:r>
    </w:p>
    <w:p w14:paraId="2F6E4454" w14:textId="3ED67F11" w:rsidR="00E93BE8" w:rsidRDefault="00E93BE8" w:rsidP="00E93BE8">
      <w:pPr>
        <w:spacing w:line="360" w:lineRule="auto"/>
        <w:jc w:val="both"/>
        <w:rPr>
          <w:rFonts w:ascii="Arial" w:hAnsi="Arial" w:cs="Arial"/>
          <w:b/>
          <w:bCs/>
          <w:sz w:val="22"/>
          <w:szCs w:val="22"/>
        </w:rPr>
      </w:pPr>
      <w:r>
        <w:rPr>
          <w:rFonts w:ascii="Arial" w:hAnsi="Arial" w:cs="Arial"/>
          <w:b/>
          <w:bCs/>
          <w:sz w:val="22"/>
          <w:szCs w:val="22"/>
        </w:rPr>
        <w:t xml:space="preserve">Module Number: </w:t>
      </w:r>
      <w:r w:rsidRPr="00E93BE8">
        <w:rPr>
          <w:rFonts w:ascii="Arial" w:hAnsi="Arial" w:cs="Arial"/>
          <w:b/>
          <w:bCs/>
          <w:sz w:val="22"/>
          <w:szCs w:val="22"/>
        </w:rPr>
        <w:t>BMHP5016</w:t>
      </w:r>
    </w:p>
    <w:p w14:paraId="0E441FFC" w14:textId="711FD51A" w:rsidR="00B75405" w:rsidRDefault="00B75405" w:rsidP="00E93BE8">
      <w:pPr>
        <w:spacing w:line="360" w:lineRule="auto"/>
        <w:jc w:val="both"/>
        <w:rPr>
          <w:rFonts w:ascii="Arial" w:hAnsi="Arial" w:cs="Arial"/>
          <w:b/>
          <w:bCs/>
          <w:sz w:val="22"/>
          <w:szCs w:val="22"/>
        </w:rPr>
      </w:pPr>
      <w:r>
        <w:rPr>
          <w:rFonts w:ascii="Arial" w:hAnsi="Arial" w:cs="Arial"/>
          <w:b/>
          <w:bCs/>
          <w:sz w:val="22"/>
          <w:szCs w:val="22"/>
        </w:rPr>
        <w:t xml:space="preserve">Lecturers </w:t>
      </w:r>
      <w:proofErr w:type="spellStart"/>
      <w:proofErr w:type="gramStart"/>
      <w:r>
        <w:rPr>
          <w:rFonts w:ascii="Arial" w:hAnsi="Arial" w:cs="Arial"/>
          <w:b/>
          <w:bCs/>
          <w:sz w:val="22"/>
          <w:szCs w:val="22"/>
        </w:rPr>
        <w:t>Name:</w:t>
      </w:r>
      <w:r w:rsidR="00D61D7D">
        <w:rPr>
          <w:rFonts w:ascii="Arial" w:hAnsi="Arial" w:cs="Arial"/>
          <w:b/>
          <w:bCs/>
          <w:sz w:val="22"/>
          <w:szCs w:val="22"/>
        </w:rPr>
        <w:t>Tsiwani</w:t>
      </w:r>
      <w:proofErr w:type="spellEnd"/>
      <w:proofErr w:type="gramEnd"/>
      <w:r w:rsidR="00D61D7D">
        <w:rPr>
          <w:rFonts w:ascii="Arial" w:hAnsi="Arial" w:cs="Arial"/>
          <w:b/>
          <w:bCs/>
          <w:sz w:val="22"/>
          <w:szCs w:val="22"/>
        </w:rPr>
        <w:t xml:space="preserve"> Khumalo</w:t>
      </w:r>
    </w:p>
    <w:p w14:paraId="1B9FEA28" w14:textId="77777777" w:rsidR="00E93BE8" w:rsidRDefault="00E93BE8" w:rsidP="00E93BE8">
      <w:pPr>
        <w:spacing w:line="360" w:lineRule="auto"/>
        <w:jc w:val="both"/>
        <w:rPr>
          <w:rFonts w:ascii="Arial" w:hAnsi="Arial" w:cs="Arial"/>
          <w:b/>
          <w:bCs/>
          <w:sz w:val="22"/>
          <w:szCs w:val="22"/>
        </w:rPr>
      </w:pPr>
    </w:p>
    <w:p w14:paraId="0E8E9727" w14:textId="77777777" w:rsidR="00E93BE8" w:rsidRDefault="00E93BE8" w:rsidP="00E93BE8">
      <w:pPr>
        <w:spacing w:line="360" w:lineRule="auto"/>
        <w:jc w:val="both"/>
        <w:rPr>
          <w:rFonts w:ascii="Arial" w:hAnsi="Arial" w:cs="Arial"/>
          <w:b/>
          <w:bCs/>
          <w:sz w:val="22"/>
          <w:szCs w:val="22"/>
        </w:rPr>
      </w:pPr>
    </w:p>
    <w:p w14:paraId="0BE59149" w14:textId="77777777" w:rsidR="00E93BE8" w:rsidRDefault="00E93BE8" w:rsidP="00E93BE8">
      <w:pPr>
        <w:spacing w:line="360" w:lineRule="auto"/>
        <w:jc w:val="both"/>
        <w:rPr>
          <w:rFonts w:ascii="Arial" w:hAnsi="Arial" w:cs="Arial"/>
          <w:b/>
          <w:bCs/>
          <w:sz w:val="22"/>
          <w:szCs w:val="22"/>
        </w:rPr>
      </w:pPr>
    </w:p>
    <w:p w14:paraId="753ECFB7" w14:textId="77777777" w:rsidR="00E93BE8" w:rsidRDefault="00E93BE8" w:rsidP="00E93BE8">
      <w:pPr>
        <w:spacing w:line="360" w:lineRule="auto"/>
        <w:jc w:val="both"/>
        <w:rPr>
          <w:rFonts w:ascii="Arial" w:hAnsi="Arial" w:cs="Arial"/>
          <w:b/>
          <w:bCs/>
          <w:sz w:val="22"/>
          <w:szCs w:val="22"/>
        </w:rPr>
      </w:pPr>
    </w:p>
    <w:p w14:paraId="53BD5F6B" w14:textId="77777777" w:rsidR="00E93BE8" w:rsidRDefault="00E93BE8" w:rsidP="00E93BE8">
      <w:pPr>
        <w:spacing w:line="360" w:lineRule="auto"/>
        <w:jc w:val="both"/>
        <w:rPr>
          <w:rFonts w:ascii="Arial" w:hAnsi="Arial" w:cs="Arial"/>
          <w:b/>
          <w:bCs/>
          <w:sz w:val="22"/>
          <w:szCs w:val="22"/>
        </w:rPr>
      </w:pPr>
    </w:p>
    <w:p w14:paraId="2F499A2D" w14:textId="77777777" w:rsidR="00E93BE8" w:rsidRDefault="00E93BE8" w:rsidP="00E93BE8">
      <w:pPr>
        <w:spacing w:line="360" w:lineRule="auto"/>
        <w:jc w:val="both"/>
        <w:rPr>
          <w:rFonts w:ascii="Arial" w:hAnsi="Arial" w:cs="Arial"/>
          <w:b/>
          <w:bCs/>
          <w:sz w:val="22"/>
          <w:szCs w:val="22"/>
        </w:rPr>
      </w:pPr>
    </w:p>
    <w:p w14:paraId="3660CF11" w14:textId="77777777" w:rsidR="00E93BE8" w:rsidRDefault="00E93BE8" w:rsidP="00E93BE8">
      <w:pPr>
        <w:spacing w:line="360" w:lineRule="auto"/>
        <w:jc w:val="both"/>
        <w:rPr>
          <w:rFonts w:ascii="Arial" w:hAnsi="Arial" w:cs="Arial"/>
          <w:b/>
          <w:bCs/>
          <w:sz w:val="22"/>
          <w:szCs w:val="22"/>
        </w:rPr>
      </w:pPr>
    </w:p>
    <w:p w14:paraId="561D4EEC" w14:textId="77777777" w:rsidR="00E93BE8" w:rsidRDefault="00E93BE8" w:rsidP="00E93BE8">
      <w:pPr>
        <w:spacing w:line="360" w:lineRule="auto"/>
        <w:jc w:val="both"/>
        <w:rPr>
          <w:rFonts w:ascii="Arial" w:hAnsi="Arial" w:cs="Arial"/>
          <w:b/>
          <w:bCs/>
          <w:sz w:val="22"/>
          <w:szCs w:val="22"/>
        </w:rPr>
      </w:pPr>
    </w:p>
    <w:p w14:paraId="197103A6" w14:textId="77777777" w:rsidR="00E93BE8" w:rsidRDefault="00E93BE8" w:rsidP="00E93BE8">
      <w:pPr>
        <w:spacing w:line="360" w:lineRule="auto"/>
        <w:jc w:val="both"/>
        <w:rPr>
          <w:rFonts w:ascii="Arial" w:hAnsi="Arial" w:cs="Arial"/>
          <w:b/>
          <w:bCs/>
          <w:sz w:val="22"/>
          <w:szCs w:val="22"/>
        </w:rPr>
      </w:pPr>
    </w:p>
    <w:p w14:paraId="34055044" w14:textId="77777777" w:rsidR="00E93BE8" w:rsidRDefault="00E93BE8" w:rsidP="00E93BE8">
      <w:pPr>
        <w:spacing w:line="360" w:lineRule="auto"/>
        <w:jc w:val="both"/>
        <w:rPr>
          <w:rFonts w:ascii="Arial" w:hAnsi="Arial" w:cs="Arial"/>
          <w:b/>
          <w:bCs/>
          <w:sz w:val="22"/>
          <w:szCs w:val="22"/>
        </w:rPr>
      </w:pPr>
    </w:p>
    <w:p w14:paraId="505DCD82" w14:textId="77777777" w:rsidR="00E93BE8" w:rsidRDefault="00E93BE8" w:rsidP="00E93BE8">
      <w:pPr>
        <w:spacing w:line="360" w:lineRule="auto"/>
        <w:jc w:val="both"/>
        <w:rPr>
          <w:rFonts w:ascii="Arial" w:hAnsi="Arial" w:cs="Arial"/>
          <w:b/>
          <w:bCs/>
          <w:sz w:val="22"/>
          <w:szCs w:val="22"/>
        </w:rPr>
      </w:pPr>
    </w:p>
    <w:p w14:paraId="0DC4A6DD" w14:textId="77777777" w:rsidR="00E93BE8" w:rsidRDefault="00E93BE8" w:rsidP="00E93BE8">
      <w:pPr>
        <w:spacing w:line="360" w:lineRule="auto"/>
        <w:jc w:val="both"/>
        <w:rPr>
          <w:rFonts w:ascii="Arial" w:hAnsi="Arial" w:cs="Arial"/>
          <w:b/>
          <w:bCs/>
          <w:sz w:val="22"/>
          <w:szCs w:val="22"/>
        </w:rPr>
      </w:pPr>
    </w:p>
    <w:p w14:paraId="1E847C21" w14:textId="77777777" w:rsidR="00E93BE8" w:rsidRDefault="00E93BE8" w:rsidP="00E93BE8">
      <w:pPr>
        <w:spacing w:line="360" w:lineRule="auto"/>
        <w:jc w:val="both"/>
        <w:rPr>
          <w:rFonts w:ascii="Arial" w:hAnsi="Arial" w:cs="Arial"/>
          <w:b/>
          <w:bCs/>
          <w:sz w:val="22"/>
          <w:szCs w:val="22"/>
        </w:rPr>
      </w:pPr>
    </w:p>
    <w:p w14:paraId="5951CB7F" w14:textId="77777777" w:rsidR="00E93BE8" w:rsidRDefault="00E93BE8" w:rsidP="00E93BE8">
      <w:pPr>
        <w:spacing w:line="360" w:lineRule="auto"/>
        <w:jc w:val="both"/>
        <w:rPr>
          <w:rFonts w:ascii="Arial" w:hAnsi="Arial" w:cs="Arial"/>
          <w:b/>
          <w:bCs/>
          <w:sz w:val="22"/>
          <w:szCs w:val="22"/>
        </w:rPr>
      </w:pPr>
    </w:p>
    <w:p w14:paraId="2A4D081B" w14:textId="77777777" w:rsidR="00E93BE8" w:rsidRDefault="00E93BE8" w:rsidP="00E93BE8">
      <w:pPr>
        <w:spacing w:line="360" w:lineRule="auto"/>
        <w:jc w:val="both"/>
        <w:rPr>
          <w:rFonts w:ascii="Arial" w:hAnsi="Arial" w:cs="Arial"/>
          <w:b/>
          <w:bCs/>
          <w:sz w:val="22"/>
          <w:szCs w:val="22"/>
        </w:rPr>
      </w:pPr>
    </w:p>
    <w:p w14:paraId="7DBEA116" w14:textId="77777777" w:rsidR="00E93BE8" w:rsidRDefault="00E93BE8" w:rsidP="00E93BE8">
      <w:pPr>
        <w:spacing w:line="360" w:lineRule="auto"/>
        <w:jc w:val="both"/>
        <w:rPr>
          <w:rFonts w:ascii="Arial" w:hAnsi="Arial" w:cs="Arial"/>
          <w:b/>
          <w:bCs/>
          <w:sz w:val="22"/>
          <w:szCs w:val="22"/>
        </w:rPr>
      </w:pPr>
    </w:p>
    <w:p w14:paraId="73DF5D51" w14:textId="77777777" w:rsidR="00E93BE8" w:rsidRDefault="00E93BE8" w:rsidP="00E93BE8">
      <w:pPr>
        <w:spacing w:line="360" w:lineRule="auto"/>
        <w:jc w:val="both"/>
        <w:rPr>
          <w:rFonts w:ascii="Arial" w:hAnsi="Arial" w:cs="Arial"/>
          <w:b/>
          <w:bCs/>
          <w:sz w:val="22"/>
          <w:szCs w:val="22"/>
        </w:rPr>
      </w:pPr>
    </w:p>
    <w:p w14:paraId="71BE629D" w14:textId="77777777" w:rsidR="00E93BE8" w:rsidRDefault="00E93BE8" w:rsidP="00E93BE8">
      <w:pPr>
        <w:spacing w:line="360" w:lineRule="auto"/>
        <w:jc w:val="both"/>
        <w:rPr>
          <w:rFonts w:ascii="Arial" w:hAnsi="Arial" w:cs="Arial"/>
          <w:b/>
          <w:bCs/>
          <w:sz w:val="22"/>
          <w:szCs w:val="22"/>
        </w:rPr>
      </w:pPr>
    </w:p>
    <w:p w14:paraId="59B946D7" w14:textId="77777777" w:rsidR="00E93BE8" w:rsidRDefault="00E93BE8" w:rsidP="00E93BE8">
      <w:pPr>
        <w:spacing w:line="360" w:lineRule="auto"/>
        <w:jc w:val="both"/>
        <w:rPr>
          <w:rFonts w:ascii="Arial" w:hAnsi="Arial" w:cs="Arial"/>
          <w:b/>
          <w:bCs/>
          <w:sz w:val="22"/>
          <w:szCs w:val="22"/>
        </w:rPr>
      </w:pPr>
    </w:p>
    <w:p w14:paraId="22B1BC44" w14:textId="77777777" w:rsidR="00E93BE8" w:rsidRDefault="00E93BE8" w:rsidP="00E93BE8">
      <w:pPr>
        <w:spacing w:line="360" w:lineRule="auto"/>
        <w:jc w:val="both"/>
        <w:rPr>
          <w:rFonts w:ascii="Arial" w:hAnsi="Arial" w:cs="Arial"/>
          <w:b/>
          <w:bCs/>
          <w:sz w:val="22"/>
          <w:szCs w:val="22"/>
        </w:rPr>
      </w:pPr>
    </w:p>
    <w:p w14:paraId="143E67BC" w14:textId="77777777" w:rsidR="00E93BE8" w:rsidRDefault="00E93BE8" w:rsidP="00E93BE8">
      <w:pPr>
        <w:spacing w:line="360" w:lineRule="auto"/>
        <w:jc w:val="both"/>
        <w:rPr>
          <w:rFonts w:ascii="Arial" w:hAnsi="Arial" w:cs="Arial"/>
          <w:b/>
          <w:bCs/>
          <w:sz w:val="22"/>
          <w:szCs w:val="22"/>
        </w:rPr>
      </w:pPr>
    </w:p>
    <w:p w14:paraId="5D325C8E" w14:textId="77777777" w:rsidR="00E93BE8" w:rsidRDefault="00E93BE8" w:rsidP="00E93BE8">
      <w:pPr>
        <w:spacing w:line="360" w:lineRule="auto"/>
        <w:jc w:val="both"/>
        <w:rPr>
          <w:rFonts w:ascii="Arial" w:hAnsi="Arial" w:cs="Arial"/>
          <w:b/>
          <w:bCs/>
          <w:sz w:val="22"/>
          <w:szCs w:val="22"/>
        </w:rPr>
      </w:pPr>
    </w:p>
    <w:p w14:paraId="052A486C" w14:textId="77777777" w:rsidR="00E93BE8" w:rsidRDefault="00E93BE8" w:rsidP="00E93BE8">
      <w:pPr>
        <w:spacing w:line="360" w:lineRule="auto"/>
        <w:jc w:val="both"/>
        <w:rPr>
          <w:rFonts w:ascii="Arial" w:hAnsi="Arial" w:cs="Arial"/>
          <w:b/>
          <w:bCs/>
          <w:sz w:val="22"/>
          <w:szCs w:val="22"/>
        </w:rPr>
      </w:pPr>
    </w:p>
    <w:p w14:paraId="7463C802" w14:textId="77777777" w:rsidR="00E93BE8" w:rsidRDefault="00E93BE8" w:rsidP="00E93BE8">
      <w:pPr>
        <w:spacing w:line="360" w:lineRule="auto"/>
        <w:jc w:val="both"/>
        <w:rPr>
          <w:rFonts w:ascii="Arial" w:hAnsi="Arial" w:cs="Arial"/>
          <w:b/>
          <w:bCs/>
          <w:sz w:val="22"/>
          <w:szCs w:val="22"/>
        </w:rPr>
      </w:pPr>
    </w:p>
    <w:p w14:paraId="12D0C207" w14:textId="32FCF588" w:rsidR="00E93BE8" w:rsidRPr="00E93BE8" w:rsidRDefault="00E93BE8" w:rsidP="00E93BE8">
      <w:pPr>
        <w:spacing w:line="360" w:lineRule="auto"/>
        <w:jc w:val="both"/>
        <w:rPr>
          <w:rFonts w:ascii="Arial" w:hAnsi="Arial" w:cs="Arial"/>
          <w:b/>
          <w:bCs/>
          <w:sz w:val="22"/>
          <w:szCs w:val="22"/>
        </w:rPr>
      </w:pPr>
      <w:r w:rsidRPr="00E93BE8">
        <w:rPr>
          <w:rFonts w:ascii="Arial" w:hAnsi="Arial" w:cs="Arial"/>
          <w:b/>
          <w:bCs/>
          <w:sz w:val="22"/>
          <w:szCs w:val="22"/>
        </w:rPr>
        <w:t>Abstract</w:t>
      </w:r>
    </w:p>
    <w:p w14:paraId="6DB04CAC" w14:textId="16F0FB04"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This report critically evaluates person centred care (PCC) and partnership working within UK health and social care, examining how these approaches operate together to improve patient outcomes and service delivery. PCC is explored in terms of its definition, benefits and limitations, highlighting how shared decision making, personalised care planning and patient engagement contribute to better health outcomes and satisfaction. The McCormack and McCance person centred nursing framework is analysed as a theoretical model underpinning PCC, with its strengths and limitations discussed in relation to practical implementation. Ethical principles of autonomy, beneficence, non-maleficence and justice are examined to demonstrate how they guide PCC and collaborative practice. Partnership working is evaluated in terms of its definition, importance, benefits and challenges, including communication barriers and role conflict, with examples drawn from NHS primary care. Relevant UK policies and legislation, such as the Care Act 2014 and the NHS Long Term Plan, are critically assessed to show their impact on PCC and collaboration. The report concludes with recommendations to enhance PCC and partnership working through targeted training, improved communication systems and investment in resources. Overall, integrating PCC and partnership working is essential for delivering coordinated, ethical and personalised care, although effective implementation depends on organisational support, workforce capacity and clear professional roles.</w:t>
      </w:r>
    </w:p>
    <w:p w14:paraId="6ED2DD1B" w14:textId="77777777" w:rsidR="00E93BE8" w:rsidRPr="00E93BE8" w:rsidRDefault="00E93BE8" w:rsidP="00E66B50">
      <w:pPr>
        <w:spacing w:line="360" w:lineRule="auto"/>
        <w:jc w:val="both"/>
        <w:rPr>
          <w:rFonts w:ascii="Arial" w:hAnsi="Arial" w:cs="Arial"/>
          <w:sz w:val="22"/>
          <w:szCs w:val="22"/>
        </w:rPr>
      </w:pPr>
    </w:p>
    <w:p w14:paraId="0B9407B5" w14:textId="77777777" w:rsidR="00E93BE8" w:rsidRDefault="00E93BE8" w:rsidP="00E66B50">
      <w:pPr>
        <w:spacing w:line="360" w:lineRule="auto"/>
        <w:jc w:val="both"/>
        <w:rPr>
          <w:rFonts w:ascii="Arial" w:hAnsi="Arial" w:cs="Arial"/>
          <w:b/>
          <w:bCs/>
          <w:sz w:val="22"/>
          <w:szCs w:val="22"/>
        </w:rPr>
      </w:pPr>
    </w:p>
    <w:p w14:paraId="19838EA1" w14:textId="77777777" w:rsidR="00E93BE8" w:rsidRDefault="00E93BE8" w:rsidP="00E66B50">
      <w:pPr>
        <w:spacing w:line="360" w:lineRule="auto"/>
        <w:jc w:val="both"/>
        <w:rPr>
          <w:rFonts w:ascii="Arial" w:hAnsi="Arial" w:cs="Arial"/>
          <w:b/>
          <w:bCs/>
          <w:sz w:val="22"/>
          <w:szCs w:val="22"/>
        </w:rPr>
      </w:pPr>
    </w:p>
    <w:p w14:paraId="086121C7" w14:textId="77777777" w:rsidR="00E93BE8" w:rsidRDefault="00E93BE8" w:rsidP="00E66B50">
      <w:pPr>
        <w:spacing w:line="360" w:lineRule="auto"/>
        <w:jc w:val="both"/>
        <w:rPr>
          <w:rFonts w:ascii="Arial" w:hAnsi="Arial" w:cs="Arial"/>
          <w:b/>
          <w:bCs/>
          <w:sz w:val="22"/>
          <w:szCs w:val="22"/>
        </w:rPr>
      </w:pPr>
    </w:p>
    <w:p w14:paraId="329E69DE" w14:textId="77777777" w:rsidR="00E93BE8" w:rsidRDefault="00E93BE8" w:rsidP="00E66B50">
      <w:pPr>
        <w:spacing w:line="360" w:lineRule="auto"/>
        <w:jc w:val="both"/>
        <w:rPr>
          <w:rFonts w:ascii="Arial" w:hAnsi="Arial" w:cs="Arial"/>
          <w:b/>
          <w:bCs/>
          <w:sz w:val="22"/>
          <w:szCs w:val="22"/>
        </w:rPr>
      </w:pPr>
    </w:p>
    <w:p w14:paraId="5B738D01" w14:textId="77777777" w:rsidR="00E93BE8" w:rsidRDefault="00E93BE8" w:rsidP="00E66B50">
      <w:pPr>
        <w:spacing w:line="360" w:lineRule="auto"/>
        <w:jc w:val="both"/>
        <w:rPr>
          <w:rFonts w:ascii="Arial" w:hAnsi="Arial" w:cs="Arial"/>
          <w:b/>
          <w:bCs/>
          <w:sz w:val="22"/>
          <w:szCs w:val="22"/>
        </w:rPr>
      </w:pPr>
    </w:p>
    <w:p w14:paraId="2EEDAE0E" w14:textId="77777777" w:rsidR="00E93BE8" w:rsidRDefault="00E93BE8" w:rsidP="00E66B50">
      <w:pPr>
        <w:spacing w:line="360" w:lineRule="auto"/>
        <w:jc w:val="both"/>
        <w:rPr>
          <w:rFonts w:ascii="Arial" w:hAnsi="Arial" w:cs="Arial"/>
          <w:b/>
          <w:bCs/>
          <w:sz w:val="22"/>
          <w:szCs w:val="22"/>
        </w:rPr>
      </w:pPr>
    </w:p>
    <w:p w14:paraId="4A16EF5C" w14:textId="77777777" w:rsidR="00E93BE8" w:rsidRDefault="00E93BE8" w:rsidP="00E66B50">
      <w:pPr>
        <w:spacing w:line="360" w:lineRule="auto"/>
        <w:jc w:val="both"/>
        <w:rPr>
          <w:rFonts w:ascii="Arial" w:hAnsi="Arial" w:cs="Arial"/>
          <w:b/>
          <w:bCs/>
          <w:sz w:val="22"/>
          <w:szCs w:val="22"/>
        </w:rPr>
      </w:pPr>
    </w:p>
    <w:p w14:paraId="51205465" w14:textId="77777777" w:rsidR="00E93BE8" w:rsidRDefault="00E93BE8" w:rsidP="00E66B50">
      <w:pPr>
        <w:spacing w:line="360" w:lineRule="auto"/>
        <w:jc w:val="both"/>
        <w:rPr>
          <w:rFonts w:ascii="Arial" w:hAnsi="Arial" w:cs="Arial"/>
          <w:b/>
          <w:bCs/>
          <w:sz w:val="22"/>
          <w:szCs w:val="22"/>
        </w:rPr>
      </w:pPr>
    </w:p>
    <w:p w14:paraId="578FB949" w14:textId="77777777" w:rsidR="00E93BE8" w:rsidRDefault="00E93BE8" w:rsidP="00E66B50">
      <w:pPr>
        <w:spacing w:line="360" w:lineRule="auto"/>
        <w:jc w:val="both"/>
        <w:rPr>
          <w:rFonts w:ascii="Arial" w:hAnsi="Arial" w:cs="Arial"/>
          <w:b/>
          <w:bCs/>
          <w:sz w:val="22"/>
          <w:szCs w:val="22"/>
        </w:rPr>
      </w:pPr>
    </w:p>
    <w:p w14:paraId="5DFCF486" w14:textId="77777777" w:rsidR="00E93BE8" w:rsidRDefault="00E93BE8" w:rsidP="00E66B50">
      <w:pPr>
        <w:spacing w:line="360" w:lineRule="auto"/>
        <w:jc w:val="both"/>
        <w:rPr>
          <w:rFonts w:ascii="Arial" w:hAnsi="Arial" w:cs="Arial"/>
          <w:b/>
          <w:bCs/>
          <w:sz w:val="22"/>
          <w:szCs w:val="22"/>
        </w:rPr>
      </w:pPr>
    </w:p>
    <w:p w14:paraId="71644766" w14:textId="77777777" w:rsidR="00E93BE8" w:rsidRDefault="00E93BE8" w:rsidP="00E66B50">
      <w:pPr>
        <w:spacing w:line="360" w:lineRule="auto"/>
        <w:jc w:val="both"/>
        <w:rPr>
          <w:rFonts w:ascii="Arial" w:hAnsi="Arial" w:cs="Arial"/>
          <w:b/>
          <w:bCs/>
          <w:sz w:val="22"/>
          <w:szCs w:val="22"/>
        </w:rPr>
      </w:pPr>
    </w:p>
    <w:p w14:paraId="1F266CB9" w14:textId="2A7953E3" w:rsidR="005A0BF9" w:rsidRPr="005A0BF9" w:rsidRDefault="005A0BF9" w:rsidP="00E66B50">
      <w:pPr>
        <w:spacing w:line="360" w:lineRule="auto"/>
        <w:jc w:val="both"/>
        <w:rPr>
          <w:rFonts w:ascii="Arial" w:hAnsi="Arial" w:cs="Arial"/>
          <w:b/>
          <w:bCs/>
          <w:sz w:val="22"/>
          <w:szCs w:val="22"/>
        </w:rPr>
      </w:pPr>
      <w:r w:rsidRPr="005A0BF9">
        <w:rPr>
          <w:rFonts w:ascii="Arial" w:hAnsi="Arial" w:cs="Arial"/>
          <w:b/>
          <w:bCs/>
          <w:sz w:val="22"/>
          <w:szCs w:val="22"/>
        </w:rPr>
        <w:t>Introduction</w:t>
      </w:r>
    </w:p>
    <w:p w14:paraId="2025A9A9" w14:textId="482976F3" w:rsidR="005A0BF9" w:rsidRPr="005A0BF9" w:rsidRDefault="005A0BF9" w:rsidP="00E66B50">
      <w:pPr>
        <w:spacing w:line="360" w:lineRule="auto"/>
        <w:jc w:val="both"/>
        <w:rPr>
          <w:rFonts w:ascii="Arial" w:hAnsi="Arial" w:cs="Arial"/>
          <w:sz w:val="22"/>
          <w:szCs w:val="22"/>
        </w:rPr>
      </w:pPr>
      <w:r w:rsidRPr="005A0BF9">
        <w:rPr>
          <w:rFonts w:ascii="Arial" w:hAnsi="Arial" w:cs="Arial"/>
          <w:sz w:val="22"/>
          <w:szCs w:val="22"/>
        </w:rPr>
        <w:t>Person</w:t>
      </w:r>
      <w:r w:rsidR="00E66B50">
        <w:rPr>
          <w:rFonts w:ascii="Arial" w:hAnsi="Arial" w:cs="Arial"/>
          <w:sz w:val="22"/>
          <w:szCs w:val="22"/>
        </w:rPr>
        <w:t>-</w:t>
      </w:r>
      <w:r w:rsidRPr="005A0BF9">
        <w:rPr>
          <w:rFonts w:ascii="Arial" w:hAnsi="Arial" w:cs="Arial"/>
          <w:sz w:val="22"/>
          <w:szCs w:val="22"/>
        </w:rPr>
        <w:t>centred care (PCC) is a key principle in UK health and social care, focusing on delivering care that respects an individual’s preferences, needs, and values</w:t>
      </w:r>
      <w:r w:rsidR="00691E9C">
        <w:rPr>
          <w:rFonts w:ascii="Arial" w:hAnsi="Arial" w:cs="Arial"/>
          <w:sz w:val="22"/>
          <w:szCs w:val="22"/>
        </w:rPr>
        <w:t xml:space="preserve"> (</w:t>
      </w:r>
      <w:r w:rsidR="00691E9C" w:rsidRPr="00691E9C">
        <w:rPr>
          <w:rFonts w:ascii="Arial" w:hAnsi="Arial" w:cs="Arial"/>
          <w:sz w:val="22"/>
          <w:szCs w:val="22"/>
        </w:rPr>
        <w:t>Corbett,</w:t>
      </w:r>
      <w:r w:rsidR="00691E9C">
        <w:rPr>
          <w:rFonts w:ascii="Arial" w:hAnsi="Arial" w:cs="Arial"/>
          <w:sz w:val="22"/>
          <w:szCs w:val="22"/>
        </w:rPr>
        <w:t xml:space="preserve"> 2023)</w:t>
      </w:r>
      <w:r w:rsidRPr="005A0BF9">
        <w:rPr>
          <w:rFonts w:ascii="Arial" w:hAnsi="Arial" w:cs="Arial"/>
          <w:sz w:val="22"/>
          <w:szCs w:val="22"/>
        </w:rPr>
        <w:t>. The National Health Service promotes involving patients in decisions about their care, recognising that individuals should not be treated as passive recipients but as active participants. While PCC is linked to improved patient satisfaction and outcomes, its implementation is often limited by time pressures, staffing shortages, and organisational demands (</w:t>
      </w:r>
      <w:r w:rsidR="00691E9C" w:rsidRPr="00CB50A9">
        <w:rPr>
          <w:rFonts w:ascii="Arial" w:hAnsi="Arial" w:cs="Arial"/>
          <w:sz w:val="22"/>
          <w:szCs w:val="22"/>
        </w:rPr>
        <w:t>Edgar, Wilson and Moroney</w:t>
      </w:r>
      <w:r w:rsidRPr="005A0BF9">
        <w:rPr>
          <w:rFonts w:ascii="Arial" w:hAnsi="Arial" w:cs="Arial"/>
          <w:sz w:val="22"/>
          <w:szCs w:val="22"/>
        </w:rPr>
        <w:t>, 20</w:t>
      </w:r>
      <w:r w:rsidR="00691E9C">
        <w:rPr>
          <w:rFonts w:ascii="Arial" w:hAnsi="Arial" w:cs="Arial"/>
          <w:sz w:val="22"/>
          <w:szCs w:val="22"/>
        </w:rPr>
        <w:t>20</w:t>
      </w:r>
      <w:r w:rsidRPr="005A0BF9">
        <w:rPr>
          <w:rFonts w:ascii="Arial" w:hAnsi="Arial" w:cs="Arial"/>
          <w:sz w:val="22"/>
          <w:szCs w:val="22"/>
        </w:rPr>
        <w:t>).</w:t>
      </w:r>
    </w:p>
    <w:p w14:paraId="5FEA7190" w14:textId="111C3C70" w:rsidR="005A0BF9" w:rsidRPr="005A0BF9" w:rsidRDefault="005A0BF9" w:rsidP="00E66B50">
      <w:pPr>
        <w:spacing w:line="360" w:lineRule="auto"/>
        <w:jc w:val="both"/>
        <w:rPr>
          <w:rFonts w:ascii="Arial" w:hAnsi="Arial" w:cs="Arial"/>
          <w:sz w:val="22"/>
          <w:szCs w:val="22"/>
        </w:rPr>
      </w:pPr>
      <w:r w:rsidRPr="005A0BF9">
        <w:rPr>
          <w:rFonts w:ascii="Arial" w:hAnsi="Arial" w:cs="Arial"/>
          <w:sz w:val="22"/>
          <w:szCs w:val="22"/>
        </w:rPr>
        <w:t xml:space="preserve">Partnership working supports the delivery of PCC by encouraging collaboration between professionals, organisations, patients, and families. </w:t>
      </w:r>
      <w:r w:rsidR="00422698" w:rsidRPr="00422698">
        <w:rPr>
          <w:rFonts w:ascii="Arial" w:hAnsi="Arial" w:cs="Arial"/>
          <w:sz w:val="22"/>
          <w:szCs w:val="22"/>
        </w:rPr>
        <w:t>Partnership working in health and social care is a collaborative approach where multiple stakeholders</w:t>
      </w:r>
      <w:r w:rsidR="00422698">
        <w:rPr>
          <w:rFonts w:ascii="Arial" w:hAnsi="Arial" w:cs="Arial"/>
          <w:sz w:val="22"/>
          <w:szCs w:val="22"/>
        </w:rPr>
        <w:t xml:space="preserve"> </w:t>
      </w:r>
      <w:r w:rsidR="00422698" w:rsidRPr="00422698">
        <w:rPr>
          <w:rFonts w:ascii="Arial" w:hAnsi="Arial" w:cs="Arial"/>
          <w:sz w:val="22"/>
          <w:szCs w:val="22"/>
        </w:rPr>
        <w:t>work together to plan, deliver, and evaluate care</w:t>
      </w:r>
      <w:r w:rsidR="00422698">
        <w:rPr>
          <w:rFonts w:ascii="Arial" w:hAnsi="Arial" w:cs="Arial"/>
          <w:sz w:val="22"/>
          <w:szCs w:val="22"/>
        </w:rPr>
        <w:t xml:space="preserve"> (</w:t>
      </w:r>
      <w:proofErr w:type="spellStart"/>
      <w:r w:rsidR="00422698">
        <w:rPr>
          <w:rFonts w:ascii="Arial" w:hAnsi="Arial" w:cs="Arial"/>
          <w:sz w:val="22"/>
          <w:szCs w:val="22"/>
        </w:rPr>
        <w:t>Ocloo</w:t>
      </w:r>
      <w:proofErr w:type="spellEnd"/>
      <w:r w:rsidR="00422698">
        <w:rPr>
          <w:rFonts w:ascii="Arial" w:hAnsi="Arial" w:cs="Arial"/>
          <w:sz w:val="22"/>
          <w:szCs w:val="22"/>
        </w:rPr>
        <w:t xml:space="preserve"> et al., 2021). </w:t>
      </w:r>
      <w:r w:rsidRPr="005A0BF9">
        <w:rPr>
          <w:rFonts w:ascii="Arial" w:hAnsi="Arial" w:cs="Arial"/>
          <w:sz w:val="22"/>
          <w:szCs w:val="22"/>
        </w:rPr>
        <w:t>The Care Act 2014 highlights the importance of cooperation to ensure coordinated and effective care. However, challenges such as poor communication and unclear roles can affect its success (</w:t>
      </w:r>
      <w:proofErr w:type="spellStart"/>
      <w:r w:rsidR="00422698">
        <w:rPr>
          <w:rFonts w:ascii="Arial" w:hAnsi="Arial" w:cs="Arial"/>
          <w:sz w:val="22"/>
          <w:szCs w:val="22"/>
        </w:rPr>
        <w:t>Ocloo</w:t>
      </w:r>
      <w:proofErr w:type="spellEnd"/>
      <w:r w:rsidR="00422698">
        <w:rPr>
          <w:rFonts w:ascii="Arial" w:hAnsi="Arial" w:cs="Arial"/>
          <w:sz w:val="22"/>
          <w:szCs w:val="22"/>
        </w:rPr>
        <w:t xml:space="preserve"> et al.</w:t>
      </w:r>
      <w:r w:rsidRPr="005A0BF9">
        <w:rPr>
          <w:rFonts w:ascii="Arial" w:hAnsi="Arial" w:cs="Arial"/>
          <w:sz w:val="22"/>
          <w:szCs w:val="22"/>
        </w:rPr>
        <w:t>, 2014).</w:t>
      </w:r>
    </w:p>
    <w:p w14:paraId="401391DB" w14:textId="77777777" w:rsidR="005A0BF9" w:rsidRPr="005A0BF9" w:rsidRDefault="005A0BF9" w:rsidP="00E66B50">
      <w:pPr>
        <w:spacing w:line="360" w:lineRule="auto"/>
        <w:jc w:val="both"/>
        <w:rPr>
          <w:rFonts w:ascii="Arial" w:hAnsi="Arial" w:cs="Arial"/>
          <w:sz w:val="22"/>
          <w:szCs w:val="22"/>
        </w:rPr>
      </w:pPr>
      <w:r w:rsidRPr="005A0BF9">
        <w:rPr>
          <w:rFonts w:ascii="Arial" w:hAnsi="Arial" w:cs="Arial"/>
          <w:sz w:val="22"/>
          <w:szCs w:val="22"/>
        </w:rPr>
        <w:t>This report critically evaluates PCC and partnership working, including their benefits, limitations, ethical foundations, and the role of policy and practice in the UK.</w:t>
      </w:r>
    </w:p>
    <w:p w14:paraId="02EC9D8E" w14:textId="418C0839" w:rsidR="005A0BF9" w:rsidRPr="005A0BF9" w:rsidRDefault="005A0BF9" w:rsidP="00E66B50">
      <w:pPr>
        <w:spacing w:line="360" w:lineRule="auto"/>
        <w:jc w:val="both"/>
        <w:rPr>
          <w:rFonts w:ascii="Arial" w:hAnsi="Arial" w:cs="Arial"/>
          <w:b/>
          <w:bCs/>
          <w:sz w:val="22"/>
          <w:szCs w:val="22"/>
        </w:rPr>
      </w:pPr>
      <w:r w:rsidRPr="005A0BF9">
        <w:rPr>
          <w:rFonts w:ascii="Arial" w:hAnsi="Arial" w:cs="Arial"/>
          <w:b/>
          <w:bCs/>
          <w:sz w:val="22"/>
          <w:szCs w:val="22"/>
        </w:rPr>
        <w:t xml:space="preserve">Definition, Benefits and Limitations of </w:t>
      </w:r>
      <w:r w:rsidR="00E66B50" w:rsidRPr="005A0BF9">
        <w:rPr>
          <w:rFonts w:ascii="Arial" w:hAnsi="Arial" w:cs="Arial"/>
          <w:b/>
          <w:bCs/>
          <w:sz w:val="22"/>
          <w:szCs w:val="22"/>
        </w:rPr>
        <w:t>Person-Centred</w:t>
      </w:r>
      <w:r w:rsidRPr="005A0BF9">
        <w:rPr>
          <w:rFonts w:ascii="Arial" w:hAnsi="Arial" w:cs="Arial"/>
          <w:b/>
          <w:bCs/>
          <w:sz w:val="22"/>
          <w:szCs w:val="22"/>
        </w:rPr>
        <w:t xml:space="preserve"> Care</w:t>
      </w:r>
    </w:p>
    <w:p w14:paraId="4A64FE11" w14:textId="4C13F33A" w:rsidR="005A0BF9" w:rsidRPr="005A0BF9" w:rsidRDefault="005A0BF9" w:rsidP="00E66B50">
      <w:pPr>
        <w:spacing w:line="360" w:lineRule="auto"/>
        <w:jc w:val="both"/>
        <w:rPr>
          <w:rFonts w:ascii="Arial" w:hAnsi="Arial" w:cs="Arial"/>
          <w:sz w:val="22"/>
          <w:szCs w:val="22"/>
        </w:rPr>
      </w:pPr>
      <w:r w:rsidRPr="005A0BF9">
        <w:rPr>
          <w:rFonts w:ascii="Arial" w:hAnsi="Arial" w:cs="Arial"/>
          <w:sz w:val="22"/>
          <w:szCs w:val="22"/>
        </w:rPr>
        <w:t>Person</w:t>
      </w:r>
      <w:r w:rsidR="00691E9C">
        <w:rPr>
          <w:rFonts w:ascii="Arial" w:hAnsi="Arial" w:cs="Arial"/>
          <w:sz w:val="22"/>
          <w:szCs w:val="22"/>
        </w:rPr>
        <w:t>-</w:t>
      </w:r>
      <w:r w:rsidRPr="005A0BF9">
        <w:rPr>
          <w:rFonts w:ascii="Arial" w:hAnsi="Arial" w:cs="Arial"/>
          <w:sz w:val="22"/>
          <w:szCs w:val="22"/>
        </w:rPr>
        <w:t>centred care (PCC) is an approach that requires healthcare professionals to design and deliver care based on an individual’s expressed preferences</w:t>
      </w:r>
      <w:r w:rsidR="00422698">
        <w:rPr>
          <w:rFonts w:ascii="Arial" w:hAnsi="Arial" w:cs="Arial"/>
          <w:sz w:val="22"/>
          <w:szCs w:val="22"/>
        </w:rPr>
        <w:t xml:space="preserve"> (</w:t>
      </w:r>
      <w:r w:rsidR="00422698" w:rsidRPr="00691E9C">
        <w:rPr>
          <w:rFonts w:ascii="Arial" w:hAnsi="Arial" w:cs="Arial"/>
          <w:sz w:val="22"/>
          <w:szCs w:val="22"/>
        </w:rPr>
        <w:t>Corbett,</w:t>
      </w:r>
      <w:r w:rsidR="00422698">
        <w:rPr>
          <w:rFonts w:ascii="Arial" w:hAnsi="Arial" w:cs="Arial"/>
          <w:sz w:val="22"/>
          <w:szCs w:val="22"/>
        </w:rPr>
        <w:t xml:space="preserve"> 2023)</w:t>
      </w:r>
      <w:r w:rsidRPr="005A0BF9">
        <w:rPr>
          <w:rFonts w:ascii="Arial" w:hAnsi="Arial" w:cs="Arial"/>
          <w:sz w:val="22"/>
          <w:szCs w:val="22"/>
        </w:rPr>
        <w:t>. It involves shared decision making, where individuals are given clear information about their condition and are supported to make informed choices about their treatment. The National Health Service defines this approach through practices such as personalised care planning, respect for patient autonomy, and coordination of services around the individual rather than the system (</w:t>
      </w:r>
      <w:r w:rsidR="00EA4C2F" w:rsidRPr="00EA4C2F">
        <w:rPr>
          <w:rFonts w:ascii="Arial" w:hAnsi="Arial" w:cs="Arial"/>
          <w:sz w:val="22"/>
          <w:szCs w:val="22"/>
        </w:rPr>
        <w:t>Byrne, Baldwin and Harvey,</w:t>
      </w:r>
      <w:r w:rsidR="00EA4C2F">
        <w:rPr>
          <w:rFonts w:ascii="Arial" w:hAnsi="Arial" w:cs="Arial"/>
          <w:sz w:val="22"/>
          <w:szCs w:val="22"/>
        </w:rPr>
        <w:t xml:space="preserve"> 2020</w:t>
      </w:r>
      <w:r w:rsidRPr="005A0BF9">
        <w:rPr>
          <w:rFonts w:ascii="Arial" w:hAnsi="Arial" w:cs="Arial"/>
          <w:sz w:val="22"/>
          <w:szCs w:val="22"/>
        </w:rPr>
        <w:t xml:space="preserve">). In practice, this may involve adapting treatment plans to </w:t>
      </w:r>
      <w:r w:rsidRPr="005A0BF9">
        <w:rPr>
          <w:rFonts w:ascii="Arial" w:hAnsi="Arial" w:cs="Arial"/>
          <w:sz w:val="22"/>
          <w:szCs w:val="22"/>
        </w:rPr>
        <w:lastRenderedPageBreak/>
        <w:t xml:space="preserve">fit a patient’s daily routine, cultural beliefs, or </w:t>
      </w:r>
      <w:r w:rsidR="00EA4C2F" w:rsidRPr="005A0BF9">
        <w:rPr>
          <w:rFonts w:ascii="Arial" w:hAnsi="Arial" w:cs="Arial"/>
          <w:sz w:val="22"/>
          <w:szCs w:val="22"/>
        </w:rPr>
        <w:t>long-term</w:t>
      </w:r>
      <w:r w:rsidRPr="005A0BF9">
        <w:rPr>
          <w:rFonts w:ascii="Arial" w:hAnsi="Arial" w:cs="Arial"/>
          <w:sz w:val="22"/>
          <w:szCs w:val="22"/>
        </w:rPr>
        <w:t xml:space="preserve"> goals, rather than expecting the patient to adjust to standard service structures.</w:t>
      </w:r>
    </w:p>
    <w:p w14:paraId="1F73B5D6" w14:textId="2292694F" w:rsidR="005A0BF9" w:rsidRPr="005A0BF9" w:rsidRDefault="005A0BF9" w:rsidP="00E66B50">
      <w:pPr>
        <w:spacing w:line="360" w:lineRule="auto"/>
        <w:jc w:val="both"/>
        <w:rPr>
          <w:rFonts w:ascii="Arial" w:hAnsi="Arial" w:cs="Arial"/>
          <w:sz w:val="22"/>
          <w:szCs w:val="22"/>
        </w:rPr>
      </w:pPr>
      <w:r w:rsidRPr="005A0BF9">
        <w:rPr>
          <w:rFonts w:ascii="Arial" w:hAnsi="Arial" w:cs="Arial"/>
          <w:sz w:val="22"/>
          <w:szCs w:val="22"/>
        </w:rPr>
        <w:t>A key benefit of PCC is its impact on treatment adherence and health outcomes. When individuals understand and agree with their care plans, they are more likely to follow prescribed treatments, particularly in long term conditions such as diabetes or hypertension (</w:t>
      </w:r>
      <w:r w:rsidR="00EA4C2F">
        <w:rPr>
          <w:rFonts w:ascii="Arial" w:hAnsi="Arial" w:cs="Arial"/>
          <w:sz w:val="22"/>
          <w:szCs w:val="22"/>
        </w:rPr>
        <w:t>Smith</w:t>
      </w:r>
      <w:r w:rsidRPr="005A0BF9">
        <w:rPr>
          <w:rFonts w:ascii="Arial" w:hAnsi="Arial" w:cs="Arial"/>
          <w:sz w:val="22"/>
          <w:szCs w:val="22"/>
        </w:rPr>
        <w:t xml:space="preserve"> et al., 201</w:t>
      </w:r>
      <w:r w:rsidR="00EA4C2F">
        <w:rPr>
          <w:rFonts w:ascii="Arial" w:hAnsi="Arial" w:cs="Arial"/>
          <w:sz w:val="22"/>
          <w:szCs w:val="22"/>
        </w:rPr>
        <w:t>9</w:t>
      </w:r>
      <w:r w:rsidRPr="005A0BF9">
        <w:rPr>
          <w:rFonts w:ascii="Arial" w:hAnsi="Arial" w:cs="Arial"/>
          <w:sz w:val="22"/>
          <w:szCs w:val="22"/>
        </w:rPr>
        <w:t xml:space="preserve">). PCC also reduces the likelihood of inappropriate or unwanted interventions, as decisions are made collaboratively rather than imposed. This can improve resource use by avoiding repeated consultations or hospital admissions caused by </w:t>
      </w:r>
      <w:r w:rsidR="00EA4C2F" w:rsidRPr="005A0BF9">
        <w:rPr>
          <w:rFonts w:ascii="Arial" w:hAnsi="Arial" w:cs="Arial"/>
          <w:sz w:val="22"/>
          <w:szCs w:val="22"/>
        </w:rPr>
        <w:t>non-adherence</w:t>
      </w:r>
      <w:r w:rsidRPr="005A0BF9">
        <w:rPr>
          <w:rFonts w:ascii="Arial" w:hAnsi="Arial" w:cs="Arial"/>
          <w:sz w:val="22"/>
          <w:szCs w:val="22"/>
        </w:rPr>
        <w:t>. In addition, PCC strengthens communication by encouraging open dialogue, which can help identify issues such as medication side effects or social barriers to care that may otherwise remain unaddressed (</w:t>
      </w:r>
      <w:r w:rsidR="00EA4C2F">
        <w:rPr>
          <w:rFonts w:ascii="Arial" w:hAnsi="Arial" w:cs="Arial"/>
          <w:sz w:val="22"/>
          <w:szCs w:val="22"/>
        </w:rPr>
        <w:t>Smith</w:t>
      </w:r>
      <w:r w:rsidRPr="005A0BF9">
        <w:rPr>
          <w:rFonts w:ascii="Arial" w:hAnsi="Arial" w:cs="Arial"/>
          <w:sz w:val="22"/>
          <w:szCs w:val="22"/>
        </w:rPr>
        <w:t xml:space="preserve"> et al., 201</w:t>
      </w:r>
      <w:r w:rsidR="00EA4C2F">
        <w:rPr>
          <w:rFonts w:ascii="Arial" w:hAnsi="Arial" w:cs="Arial"/>
          <w:sz w:val="22"/>
          <w:szCs w:val="22"/>
        </w:rPr>
        <w:t>9</w:t>
      </w:r>
      <w:r w:rsidRPr="005A0BF9">
        <w:rPr>
          <w:rFonts w:ascii="Arial" w:hAnsi="Arial" w:cs="Arial"/>
          <w:sz w:val="22"/>
          <w:szCs w:val="22"/>
        </w:rPr>
        <w:t>).</w:t>
      </w:r>
    </w:p>
    <w:p w14:paraId="35138D30" w14:textId="142F2231" w:rsidR="005A0BF9" w:rsidRPr="005A0BF9" w:rsidRDefault="005A0BF9" w:rsidP="00E66B50">
      <w:pPr>
        <w:spacing w:line="360" w:lineRule="auto"/>
        <w:jc w:val="both"/>
        <w:rPr>
          <w:rFonts w:ascii="Arial" w:hAnsi="Arial" w:cs="Arial"/>
          <w:sz w:val="22"/>
          <w:szCs w:val="22"/>
        </w:rPr>
      </w:pPr>
      <w:r w:rsidRPr="005A0BF9">
        <w:rPr>
          <w:rFonts w:ascii="Arial" w:hAnsi="Arial" w:cs="Arial"/>
          <w:sz w:val="22"/>
          <w:szCs w:val="22"/>
        </w:rPr>
        <w:t>However, implementing PCC consistently presents practical challenges. Time limitations during consultations can restrict meaningful discussions, especially in high demand settings such as GP practices</w:t>
      </w:r>
      <w:r w:rsidR="00EA4C2F">
        <w:rPr>
          <w:rFonts w:ascii="Arial" w:hAnsi="Arial" w:cs="Arial"/>
          <w:sz w:val="22"/>
          <w:szCs w:val="22"/>
        </w:rPr>
        <w:t xml:space="preserve"> (</w:t>
      </w:r>
      <w:r w:rsidR="00EA4C2F" w:rsidRPr="00EA4C2F">
        <w:rPr>
          <w:rFonts w:ascii="Arial" w:hAnsi="Arial" w:cs="Arial"/>
          <w:sz w:val="22"/>
          <w:szCs w:val="22"/>
        </w:rPr>
        <w:t>Kayes and Papadimitriou,</w:t>
      </w:r>
      <w:r w:rsidR="00EA4C2F">
        <w:rPr>
          <w:rFonts w:ascii="Arial" w:hAnsi="Arial" w:cs="Arial"/>
          <w:sz w:val="22"/>
          <w:szCs w:val="22"/>
        </w:rPr>
        <w:t xml:space="preserve"> 2023)</w:t>
      </w:r>
      <w:r w:rsidRPr="005A0BF9">
        <w:rPr>
          <w:rFonts w:ascii="Arial" w:hAnsi="Arial" w:cs="Arial"/>
          <w:sz w:val="22"/>
          <w:szCs w:val="22"/>
        </w:rPr>
        <w:t>. Workforce pressures and staff shortages further reduce the capacity for personalised engagement. There are also situations where patient preferences may conflict with clinical recommendations, requiring professionals to balance respect for autonomy with their duty of care</w:t>
      </w:r>
      <w:r w:rsidR="00EA4C2F">
        <w:rPr>
          <w:rFonts w:ascii="Arial" w:hAnsi="Arial" w:cs="Arial"/>
          <w:sz w:val="22"/>
          <w:szCs w:val="22"/>
        </w:rPr>
        <w:t xml:space="preserve"> (North, 2020)</w:t>
      </w:r>
      <w:r w:rsidRPr="005A0BF9">
        <w:rPr>
          <w:rFonts w:ascii="Arial" w:hAnsi="Arial" w:cs="Arial"/>
          <w:sz w:val="22"/>
          <w:szCs w:val="22"/>
        </w:rPr>
        <w:t xml:space="preserve">. </w:t>
      </w:r>
      <w:r w:rsidR="00EA4C2F" w:rsidRPr="00EA4C2F">
        <w:rPr>
          <w:rFonts w:ascii="Arial" w:hAnsi="Arial" w:cs="Arial"/>
          <w:sz w:val="22"/>
          <w:szCs w:val="22"/>
        </w:rPr>
        <w:t>PCC relies on patients being able to understand health information and engage in care decisions. For example, individuals with limited literacy, cognitive impairments, or non-English speakers may struggle to interpret medical advice, complete care plans, or participate meaningfully in shared decision making (</w:t>
      </w:r>
      <w:r w:rsidR="00B964BC">
        <w:rPr>
          <w:rFonts w:ascii="Arial" w:hAnsi="Arial" w:cs="Arial"/>
          <w:sz w:val="22"/>
          <w:szCs w:val="22"/>
        </w:rPr>
        <w:t>Grealish et al.</w:t>
      </w:r>
      <w:r w:rsidR="00EA4C2F" w:rsidRPr="00EA4C2F">
        <w:rPr>
          <w:rFonts w:ascii="Arial" w:hAnsi="Arial" w:cs="Arial"/>
          <w:sz w:val="22"/>
          <w:szCs w:val="22"/>
        </w:rPr>
        <w:t>, 201</w:t>
      </w:r>
      <w:r w:rsidR="00B964BC">
        <w:rPr>
          <w:rFonts w:ascii="Arial" w:hAnsi="Arial" w:cs="Arial"/>
          <w:sz w:val="22"/>
          <w:szCs w:val="22"/>
        </w:rPr>
        <w:t>9</w:t>
      </w:r>
      <w:r w:rsidR="00EA4C2F" w:rsidRPr="00EA4C2F">
        <w:rPr>
          <w:rFonts w:ascii="Arial" w:hAnsi="Arial" w:cs="Arial"/>
          <w:sz w:val="22"/>
          <w:szCs w:val="22"/>
        </w:rPr>
        <w:t>)</w:t>
      </w:r>
      <w:r w:rsidR="00EA4C2F">
        <w:rPr>
          <w:rFonts w:ascii="Arial" w:hAnsi="Arial" w:cs="Arial"/>
          <w:sz w:val="22"/>
          <w:szCs w:val="22"/>
        </w:rPr>
        <w:t>.</w:t>
      </w:r>
      <w:r w:rsidRPr="005A0BF9">
        <w:rPr>
          <w:rFonts w:ascii="Arial" w:hAnsi="Arial" w:cs="Arial"/>
          <w:sz w:val="22"/>
          <w:szCs w:val="22"/>
        </w:rPr>
        <w:t xml:space="preserve"> These factors demonstrate that while PCC can improve care quality, its delivery is shaped by structural and organisational constraints within the healthcare system.</w:t>
      </w:r>
    </w:p>
    <w:p w14:paraId="797DD8FA"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t>Theory Underpinning Person Centred Care</w:t>
      </w:r>
    </w:p>
    <w:p w14:paraId="6BF9D924" w14:textId="1131D7D6"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 xml:space="preserve">A key model underpinning person-centred care (PCC) is the </w:t>
      </w:r>
      <w:r w:rsidR="00B964BC" w:rsidRPr="00E66B50">
        <w:rPr>
          <w:rFonts w:ascii="Arial" w:hAnsi="Arial" w:cs="Arial"/>
          <w:sz w:val="22"/>
          <w:szCs w:val="22"/>
        </w:rPr>
        <w:t>person-centred</w:t>
      </w:r>
      <w:r w:rsidRPr="00E66B50">
        <w:rPr>
          <w:rFonts w:ascii="Arial" w:hAnsi="Arial" w:cs="Arial"/>
          <w:sz w:val="22"/>
          <w:szCs w:val="22"/>
        </w:rPr>
        <w:t xml:space="preserve"> nursing framework developed by Brendan McCormack and Tanya McCance</w:t>
      </w:r>
      <w:r w:rsidR="00B964BC">
        <w:rPr>
          <w:rFonts w:ascii="Arial" w:hAnsi="Arial" w:cs="Arial"/>
          <w:sz w:val="22"/>
          <w:szCs w:val="22"/>
        </w:rPr>
        <w:t xml:space="preserve"> (</w:t>
      </w:r>
      <w:r w:rsidR="00B964BC" w:rsidRPr="00E66B50">
        <w:rPr>
          <w:rFonts w:ascii="Arial" w:hAnsi="Arial" w:cs="Arial"/>
          <w:sz w:val="22"/>
          <w:szCs w:val="22"/>
        </w:rPr>
        <w:t>McCormack and McCance, 20</w:t>
      </w:r>
      <w:r w:rsidR="00B964BC">
        <w:rPr>
          <w:rFonts w:ascii="Arial" w:hAnsi="Arial" w:cs="Arial"/>
          <w:sz w:val="22"/>
          <w:szCs w:val="22"/>
        </w:rPr>
        <w:t>21)</w:t>
      </w:r>
      <w:r w:rsidRPr="00E66B50">
        <w:rPr>
          <w:rFonts w:ascii="Arial" w:hAnsi="Arial" w:cs="Arial"/>
          <w:sz w:val="22"/>
          <w:szCs w:val="22"/>
        </w:rPr>
        <w:t>. This model moves beyond general principles and provides a structured explanation of how PCC is implemented in practice. It identifies four interrelated components: prerequisites (staff attributes such as professional competence and interpersonal skills), the care environment (including organisational culture and staffing levels), person centred processes (such as shared decision making and active engagement), and expected outcomes (including patient satisfaction and involvement in care) (McCormack and McCance, 20</w:t>
      </w:r>
      <w:r w:rsidR="00B964BC">
        <w:rPr>
          <w:rFonts w:ascii="Arial" w:hAnsi="Arial" w:cs="Arial"/>
          <w:sz w:val="22"/>
          <w:szCs w:val="22"/>
        </w:rPr>
        <w:t>21</w:t>
      </w:r>
      <w:r w:rsidRPr="00E66B50">
        <w:rPr>
          <w:rFonts w:ascii="Arial" w:hAnsi="Arial" w:cs="Arial"/>
          <w:sz w:val="22"/>
          <w:szCs w:val="22"/>
        </w:rPr>
        <w:t>). Unlike broader theories, this framework explicitly links staff behaviour and organisational systems to patient experience, making it directly applicable to healthcare settings.</w:t>
      </w:r>
    </w:p>
    <w:p w14:paraId="6B0C30B0" w14:textId="34871B33"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lastRenderedPageBreak/>
        <w:t>A major strength of this model is that it recognises PCC as dependent on both individual practitioners and organisational conditions. For example, it highlights that effective communication and shared decision making cannot occur if staff are under time pressure or working in unsupportive environments. This is supported by evidence from The King’s Fund, which shows that workforce shortages and high service demand in the UK limit opportunities for meaningful patient engagement (</w:t>
      </w:r>
      <w:r w:rsidR="00B964BC" w:rsidRPr="00B964BC">
        <w:rPr>
          <w:rFonts w:ascii="Arial" w:hAnsi="Arial" w:cs="Arial"/>
          <w:sz w:val="22"/>
          <w:szCs w:val="22"/>
        </w:rPr>
        <w:t>O'Donnell</w:t>
      </w:r>
      <w:r w:rsidRPr="00E66B50">
        <w:rPr>
          <w:rFonts w:ascii="Arial" w:hAnsi="Arial" w:cs="Arial"/>
          <w:sz w:val="22"/>
          <w:szCs w:val="22"/>
        </w:rPr>
        <w:t xml:space="preserve"> et al., 20</w:t>
      </w:r>
      <w:r w:rsidR="00B964BC">
        <w:rPr>
          <w:rFonts w:ascii="Arial" w:hAnsi="Arial" w:cs="Arial"/>
          <w:sz w:val="22"/>
          <w:szCs w:val="22"/>
        </w:rPr>
        <w:t>20</w:t>
      </w:r>
      <w:r w:rsidRPr="00E66B50">
        <w:rPr>
          <w:rFonts w:ascii="Arial" w:hAnsi="Arial" w:cs="Arial"/>
          <w:sz w:val="22"/>
          <w:szCs w:val="22"/>
        </w:rPr>
        <w:t>). The model is also practical because it identifies measurable outcomes, such as patient involvement and quality of care, allowing services to evaluate whether PCC is being achieved.</w:t>
      </w:r>
    </w:p>
    <w:p w14:paraId="4DB4BE75" w14:textId="6820D24E" w:rsidR="00E66B50" w:rsidRPr="00E66B50" w:rsidRDefault="00B964BC" w:rsidP="00E66B50">
      <w:pPr>
        <w:spacing w:line="360" w:lineRule="auto"/>
        <w:jc w:val="both"/>
        <w:rPr>
          <w:rFonts w:ascii="Arial" w:hAnsi="Arial" w:cs="Arial"/>
          <w:sz w:val="22"/>
          <w:szCs w:val="22"/>
        </w:rPr>
      </w:pPr>
      <w:r w:rsidRPr="00B964BC">
        <w:rPr>
          <w:rFonts w:ascii="Arial" w:hAnsi="Arial" w:cs="Arial"/>
          <w:sz w:val="22"/>
          <w:szCs w:val="22"/>
        </w:rPr>
        <w:t>However, the framework has limitations. It assumes that healthcare organisations can provide supportive environments, but in practice, many NHS trusts face chronic staffing shortages and high patient volumes, which limit time for meaningful patient engagement or multidisciplinary collaboration (Buchan et al., 2019).</w:t>
      </w:r>
      <w:r>
        <w:rPr>
          <w:rFonts w:ascii="Arial" w:hAnsi="Arial" w:cs="Arial"/>
          <w:sz w:val="22"/>
          <w:szCs w:val="22"/>
        </w:rPr>
        <w:t xml:space="preserve"> </w:t>
      </w:r>
      <w:r w:rsidR="00E66B50" w:rsidRPr="00E66B50">
        <w:rPr>
          <w:rFonts w:ascii="Arial" w:hAnsi="Arial" w:cs="Arial"/>
          <w:sz w:val="22"/>
          <w:szCs w:val="22"/>
        </w:rPr>
        <w:t>In addition, while the model emphasises shared decision making, it does not fully address situations where patients are unable or unwilling to participate, such as in cases of cognitive impairment or acute illness. There is also limited guidance on resolving conflicts between patient preferences and clinical judgement, which remains a common issue in practice (</w:t>
      </w:r>
      <w:r w:rsidR="00293E7F">
        <w:rPr>
          <w:rFonts w:ascii="Arial" w:hAnsi="Arial" w:cs="Arial"/>
          <w:sz w:val="22"/>
          <w:szCs w:val="22"/>
        </w:rPr>
        <w:t>Cave</w:t>
      </w:r>
      <w:r w:rsidR="00E66B50" w:rsidRPr="00E66B50">
        <w:rPr>
          <w:rFonts w:ascii="Arial" w:hAnsi="Arial" w:cs="Arial"/>
          <w:sz w:val="22"/>
          <w:szCs w:val="22"/>
        </w:rPr>
        <w:t>, 20</w:t>
      </w:r>
      <w:r w:rsidR="00293E7F">
        <w:rPr>
          <w:rFonts w:ascii="Arial" w:hAnsi="Arial" w:cs="Arial"/>
          <w:sz w:val="22"/>
          <w:szCs w:val="22"/>
        </w:rPr>
        <w:t>20</w:t>
      </w:r>
      <w:r w:rsidR="00E66B50" w:rsidRPr="00E66B50">
        <w:rPr>
          <w:rFonts w:ascii="Arial" w:hAnsi="Arial" w:cs="Arial"/>
          <w:sz w:val="22"/>
          <w:szCs w:val="22"/>
        </w:rPr>
        <w:t>).</w:t>
      </w:r>
    </w:p>
    <w:p w14:paraId="29FB6559"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In practice, this model is reflected in initiatives such as personalised care planning and multidisciplinary team discussions, where professionals are expected to adapt care to individual needs. However, its effectiveness depends on whether healthcare systems can provide the time, staffing, and organisational support required to translate these principles into consistent practice.</w:t>
      </w:r>
    </w:p>
    <w:p w14:paraId="2467974E"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t>Ethical Fundamentals in Health and Social Care</w:t>
      </w:r>
    </w:p>
    <w:p w14:paraId="352445C8" w14:textId="4449905A"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 xml:space="preserve">Ethical principles are fundamental to delivering high-quality health and social care, particularly within the framework of </w:t>
      </w:r>
      <w:r w:rsidR="00293E7F" w:rsidRPr="00E66B50">
        <w:rPr>
          <w:rFonts w:ascii="Arial" w:hAnsi="Arial" w:cs="Arial"/>
          <w:sz w:val="22"/>
          <w:szCs w:val="22"/>
        </w:rPr>
        <w:t>person-centred</w:t>
      </w:r>
      <w:r w:rsidRPr="00E66B50">
        <w:rPr>
          <w:rFonts w:ascii="Arial" w:hAnsi="Arial" w:cs="Arial"/>
          <w:sz w:val="22"/>
          <w:szCs w:val="22"/>
        </w:rPr>
        <w:t xml:space="preserve"> care (PCC). Four core principles guide professional practice: autonomy, beneficence, </w:t>
      </w:r>
      <w:r w:rsidR="00293E7F" w:rsidRPr="00E66B50">
        <w:rPr>
          <w:rFonts w:ascii="Arial" w:hAnsi="Arial" w:cs="Arial"/>
          <w:sz w:val="22"/>
          <w:szCs w:val="22"/>
        </w:rPr>
        <w:t>non-maleficence</w:t>
      </w:r>
      <w:r w:rsidRPr="00E66B50">
        <w:rPr>
          <w:rFonts w:ascii="Arial" w:hAnsi="Arial" w:cs="Arial"/>
          <w:sz w:val="22"/>
          <w:szCs w:val="22"/>
        </w:rPr>
        <w:t>, and justice (Beauchamp and Childress, 2019). Autonomy refers to respecting an individual’s right to make informed decisions about their care, including treatment options, lifestyle choices, and personal goals</w:t>
      </w:r>
      <w:r w:rsidR="00293E7F">
        <w:rPr>
          <w:rFonts w:ascii="Arial" w:hAnsi="Arial" w:cs="Arial"/>
          <w:sz w:val="22"/>
          <w:szCs w:val="22"/>
        </w:rPr>
        <w:t xml:space="preserve"> (</w:t>
      </w:r>
      <w:r w:rsidR="00293E7F" w:rsidRPr="00293E7F">
        <w:rPr>
          <w:rFonts w:ascii="Arial" w:hAnsi="Arial" w:cs="Arial"/>
          <w:sz w:val="22"/>
          <w:szCs w:val="22"/>
        </w:rPr>
        <w:t>Moilanen</w:t>
      </w:r>
      <w:r w:rsidR="00293E7F">
        <w:rPr>
          <w:rFonts w:ascii="Arial" w:hAnsi="Arial" w:cs="Arial"/>
          <w:sz w:val="22"/>
          <w:szCs w:val="22"/>
        </w:rPr>
        <w:t xml:space="preserve"> et al., 2021)</w:t>
      </w:r>
      <w:r w:rsidRPr="00E66B50">
        <w:rPr>
          <w:rFonts w:ascii="Arial" w:hAnsi="Arial" w:cs="Arial"/>
          <w:sz w:val="22"/>
          <w:szCs w:val="22"/>
        </w:rPr>
        <w:t>. In PCC, autonomy is operationalised through shared decision making, ensuring patients are provided with clear information and supported to participate actively in planning their care (McCormack and McCance, 20</w:t>
      </w:r>
      <w:r w:rsidR="00293E7F">
        <w:rPr>
          <w:rFonts w:ascii="Arial" w:hAnsi="Arial" w:cs="Arial"/>
          <w:sz w:val="22"/>
          <w:szCs w:val="22"/>
        </w:rPr>
        <w:t>21</w:t>
      </w:r>
      <w:r w:rsidRPr="00E66B50">
        <w:rPr>
          <w:rFonts w:ascii="Arial" w:hAnsi="Arial" w:cs="Arial"/>
          <w:sz w:val="22"/>
          <w:szCs w:val="22"/>
        </w:rPr>
        <w:t>). For example, a patient with a chronic condition may be offered multiple medication regimens, with discussion of side effects and lifestyle implications, allowing them to choose the option that aligns with their preferences.</w:t>
      </w:r>
    </w:p>
    <w:p w14:paraId="4B95D735" w14:textId="0B37494E"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Beneficence involves acting in the best interests of the patient to promote wellbeing</w:t>
      </w:r>
      <w:r w:rsidR="00EA1ABA">
        <w:rPr>
          <w:rFonts w:ascii="Arial" w:hAnsi="Arial" w:cs="Arial"/>
          <w:sz w:val="22"/>
          <w:szCs w:val="22"/>
        </w:rPr>
        <w:t xml:space="preserve"> (</w:t>
      </w:r>
      <w:proofErr w:type="gramStart"/>
      <w:r w:rsidR="00EA1ABA" w:rsidRPr="00EA1ABA">
        <w:rPr>
          <w:rFonts w:ascii="Arial" w:hAnsi="Arial" w:cs="Arial"/>
          <w:sz w:val="22"/>
          <w:szCs w:val="22"/>
        </w:rPr>
        <w:t>Louw,  Marcus</w:t>
      </w:r>
      <w:proofErr w:type="gramEnd"/>
      <w:r w:rsidR="00EA1ABA" w:rsidRPr="00EA1ABA">
        <w:rPr>
          <w:rFonts w:ascii="Arial" w:hAnsi="Arial" w:cs="Arial"/>
          <w:sz w:val="22"/>
          <w:szCs w:val="22"/>
        </w:rPr>
        <w:t xml:space="preserve"> and Hugo,</w:t>
      </w:r>
      <w:r w:rsidR="00EA1ABA">
        <w:rPr>
          <w:rFonts w:ascii="Arial" w:hAnsi="Arial" w:cs="Arial"/>
          <w:sz w:val="22"/>
          <w:szCs w:val="22"/>
        </w:rPr>
        <w:t xml:space="preserve"> 2017)</w:t>
      </w:r>
      <w:r w:rsidRPr="00E66B50">
        <w:rPr>
          <w:rFonts w:ascii="Arial" w:hAnsi="Arial" w:cs="Arial"/>
          <w:sz w:val="22"/>
          <w:szCs w:val="22"/>
        </w:rPr>
        <w:t xml:space="preserve">. In PCC, this extends beyond clinical interventions to include emotional and social support. Healthcare professionals must balance clinical effectiveness </w:t>
      </w:r>
      <w:r w:rsidRPr="00E66B50">
        <w:rPr>
          <w:rFonts w:ascii="Arial" w:hAnsi="Arial" w:cs="Arial"/>
          <w:sz w:val="22"/>
          <w:szCs w:val="22"/>
        </w:rPr>
        <w:lastRenderedPageBreak/>
        <w:t>with strategies that improve quality of life, such as integrating social care services or facilitating family involvement (Coulter et al., 2015). Non maleficence, the principle of “do no harm,” requires practitioners to avoid interventions that could cause physical, emotional, or psychological harm</w:t>
      </w:r>
      <w:r w:rsidR="00EA1ABA">
        <w:rPr>
          <w:rFonts w:ascii="Arial" w:hAnsi="Arial" w:cs="Arial"/>
          <w:sz w:val="22"/>
          <w:szCs w:val="22"/>
        </w:rPr>
        <w:t xml:space="preserve"> (</w:t>
      </w:r>
      <w:proofErr w:type="spellStart"/>
      <w:r w:rsidR="00EA1ABA" w:rsidRPr="00EA1ABA">
        <w:rPr>
          <w:rFonts w:ascii="Arial" w:hAnsi="Arial" w:cs="Arial"/>
          <w:sz w:val="22"/>
          <w:szCs w:val="22"/>
        </w:rPr>
        <w:t>Bifarin</w:t>
      </w:r>
      <w:proofErr w:type="spellEnd"/>
      <w:r w:rsidR="00EA1ABA" w:rsidRPr="00EA1ABA">
        <w:rPr>
          <w:rFonts w:ascii="Arial" w:hAnsi="Arial" w:cs="Arial"/>
          <w:sz w:val="22"/>
          <w:szCs w:val="22"/>
        </w:rPr>
        <w:t xml:space="preserve"> and Stonehouse,</w:t>
      </w:r>
      <w:r w:rsidR="00EA1ABA">
        <w:rPr>
          <w:rFonts w:ascii="Arial" w:hAnsi="Arial" w:cs="Arial"/>
          <w:sz w:val="22"/>
          <w:szCs w:val="22"/>
        </w:rPr>
        <w:t xml:space="preserve"> 2022)</w:t>
      </w:r>
      <w:r w:rsidRPr="00E66B50">
        <w:rPr>
          <w:rFonts w:ascii="Arial" w:hAnsi="Arial" w:cs="Arial"/>
          <w:sz w:val="22"/>
          <w:szCs w:val="22"/>
        </w:rPr>
        <w:t>. Within PCC, this is particularly important when negotiating treatment decisions that may carry risks; professionals must ensure patients understand potential harms and benefits to make informed choices.</w:t>
      </w:r>
    </w:p>
    <w:p w14:paraId="4E6DE604" w14:textId="1E270A19"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Justice relates to fairness in access and delivery of care, ensuring that services are provided equitably regardless of socioeconomic status, ethnicity, or health condition. Applying justice in PCC involves recognising individual circumstances, such as providing additional support for those with disabilities or communication challenges, to ensure they can participate fully in decisions about their care (</w:t>
      </w:r>
      <w:proofErr w:type="spellStart"/>
      <w:r w:rsidR="00EA1ABA" w:rsidRPr="00EA1ABA">
        <w:rPr>
          <w:rFonts w:ascii="Arial" w:hAnsi="Arial" w:cs="Arial"/>
          <w:sz w:val="22"/>
          <w:szCs w:val="22"/>
        </w:rPr>
        <w:t>Bifarin</w:t>
      </w:r>
      <w:proofErr w:type="spellEnd"/>
      <w:r w:rsidR="00EA1ABA" w:rsidRPr="00EA1ABA">
        <w:rPr>
          <w:rFonts w:ascii="Arial" w:hAnsi="Arial" w:cs="Arial"/>
          <w:sz w:val="22"/>
          <w:szCs w:val="22"/>
        </w:rPr>
        <w:t xml:space="preserve"> and Stonehouse,</w:t>
      </w:r>
      <w:r w:rsidR="00EA1ABA">
        <w:rPr>
          <w:rFonts w:ascii="Arial" w:hAnsi="Arial" w:cs="Arial"/>
          <w:sz w:val="22"/>
          <w:szCs w:val="22"/>
        </w:rPr>
        <w:t xml:space="preserve"> 2022</w:t>
      </w:r>
      <w:r w:rsidRPr="00E66B50">
        <w:rPr>
          <w:rFonts w:ascii="Arial" w:hAnsi="Arial" w:cs="Arial"/>
          <w:sz w:val="22"/>
          <w:szCs w:val="22"/>
        </w:rPr>
        <w:t>).</w:t>
      </w:r>
    </w:p>
    <w:p w14:paraId="691E1885"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Together, these ethical principles underpin PCC by guiding professionals to respect individuals’ rights, promote wellbeing, prevent harm, and deliver fair care. Their application ensures that care is not only clinically effective but also morally and socially responsible, supporting meaningful engagement between patients and health professionals.</w:t>
      </w:r>
    </w:p>
    <w:p w14:paraId="21F2464B"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t>Evaluation of Partnership Working</w:t>
      </w:r>
    </w:p>
    <w:p w14:paraId="667F671D" w14:textId="30D479B4"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Partnership working in health and social care is the collaborative approach where multiple stakeholders</w:t>
      </w:r>
      <w:r w:rsidR="00EA1ABA">
        <w:rPr>
          <w:rFonts w:ascii="Arial" w:hAnsi="Arial" w:cs="Arial"/>
          <w:sz w:val="22"/>
          <w:szCs w:val="22"/>
        </w:rPr>
        <w:t xml:space="preserve"> such as </w:t>
      </w:r>
      <w:r w:rsidRPr="00E66B50">
        <w:rPr>
          <w:rFonts w:ascii="Arial" w:hAnsi="Arial" w:cs="Arial"/>
          <w:sz w:val="22"/>
          <w:szCs w:val="22"/>
        </w:rPr>
        <w:t>professionals, organisations, patients, and their families</w:t>
      </w:r>
      <w:r w:rsidR="00EA1ABA">
        <w:rPr>
          <w:rFonts w:ascii="Arial" w:hAnsi="Arial" w:cs="Arial"/>
          <w:sz w:val="22"/>
          <w:szCs w:val="22"/>
        </w:rPr>
        <w:t xml:space="preserve"> </w:t>
      </w:r>
      <w:r w:rsidRPr="00E66B50">
        <w:rPr>
          <w:rFonts w:ascii="Arial" w:hAnsi="Arial" w:cs="Arial"/>
          <w:sz w:val="22"/>
          <w:szCs w:val="22"/>
        </w:rPr>
        <w:t>work together to plan, deliver, and evaluate care</w:t>
      </w:r>
      <w:r w:rsidR="00EA1ABA">
        <w:rPr>
          <w:rFonts w:ascii="Arial" w:hAnsi="Arial" w:cs="Arial"/>
          <w:sz w:val="22"/>
          <w:szCs w:val="22"/>
        </w:rPr>
        <w:t xml:space="preserve"> (</w:t>
      </w:r>
      <w:proofErr w:type="spellStart"/>
      <w:r w:rsidR="00EA1ABA">
        <w:rPr>
          <w:rFonts w:ascii="Arial" w:hAnsi="Arial" w:cs="Arial"/>
          <w:sz w:val="22"/>
          <w:szCs w:val="22"/>
        </w:rPr>
        <w:t>Ocloo</w:t>
      </w:r>
      <w:proofErr w:type="spellEnd"/>
      <w:r w:rsidR="00EA1ABA">
        <w:rPr>
          <w:rFonts w:ascii="Arial" w:hAnsi="Arial" w:cs="Arial"/>
          <w:sz w:val="22"/>
          <w:szCs w:val="22"/>
        </w:rPr>
        <w:t xml:space="preserve"> et al., 2021)</w:t>
      </w:r>
      <w:r w:rsidRPr="00E66B50">
        <w:rPr>
          <w:rFonts w:ascii="Arial" w:hAnsi="Arial" w:cs="Arial"/>
          <w:sz w:val="22"/>
          <w:szCs w:val="22"/>
        </w:rPr>
        <w:t>. It involves sharing responsibility, information, and decision-making to ensure that services are coordinated and meet the individual’s holistic needs (</w:t>
      </w:r>
      <w:r w:rsidR="00EA1ABA">
        <w:rPr>
          <w:rFonts w:ascii="Arial" w:hAnsi="Arial" w:cs="Arial"/>
          <w:sz w:val="22"/>
          <w:szCs w:val="22"/>
        </w:rPr>
        <w:t>Curreri</w:t>
      </w:r>
      <w:r w:rsidRPr="00E66B50">
        <w:rPr>
          <w:rFonts w:ascii="Arial" w:hAnsi="Arial" w:cs="Arial"/>
          <w:sz w:val="22"/>
          <w:szCs w:val="22"/>
        </w:rPr>
        <w:t>, 201</w:t>
      </w:r>
      <w:r w:rsidR="00EA1ABA">
        <w:rPr>
          <w:rFonts w:ascii="Arial" w:hAnsi="Arial" w:cs="Arial"/>
          <w:sz w:val="22"/>
          <w:szCs w:val="22"/>
        </w:rPr>
        <w:t>9</w:t>
      </w:r>
      <w:r w:rsidRPr="00E66B50">
        <w:rPr>
          <w:rFonts w:ascii="Arial" w:hAnsi="Arial" w:cs="Arial"/>
          <w:sz w:val="22"/>
          <w:szCs w:val="22"/>
        </w:rPr>
        <w:t>). Unlike isolated professional practice, partnership working recognises that complex health and social care needs often cannot be addressed effectively by a single organisation or practitioner, making collaboration essential for high-quality care.</w:t>
      </w:r>
    </w:p>
    <w:p w14:paraId="40A3A265" w14:textId="35663F2A"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The importance of partnership working lies in its ability to improve care coordination, reduce service duplication, and ensure that care is comprehensive. For example, in managing long-term conditions such as diabetes or dementia, coordination between healthcare providers, social care teams, and family members ensures that interventions are consistent, personalised, and responsive to changing needs (</w:t>
      </w:r>
      <w:proofErr w:type="spellStart"/>
      <w:r w:rsidR="00EA1ABA">
        <w:rPr>
          <w:rFonts w:ascii="Arial" w:hAnsi="Arial" w:cs="Arial"/>
          <w:sz w:val="22"/>
          <w:szCs w:val="22"/>
        </w:rPr>
        <w:t>Ocloo</w:t>
      </w:r>
      <w:proofErr w:type="spellEnd"/>
      <w:r w:rsidRPr="00E66B50">
        <w:rPr>
          <w:rFonts w:ascii="Arial" w:hAnsi="Arial" w:cs="Arial"/>
          <w:sz w:val="22"/>
          <w:szCs w:val="22"/>
        </w:rPr>
        <w:t xml:space="preserve"> et al., 20</w:t>
      </w:r>
      <w:r w:rsidR="00EA1ABA">
        <w:rPr>
          <w:rFonts w:ascii="Arial" w:hAnsi="Arial" w:cs="Arial"/>
          <w:sz w:val="22"/>
          <w:szCs w:val="22"/>
        </w:rPr>
        <w:t>21</w:t>
      </w:r>
      <w:r w:rsidRPr="00E66B50">
        <w:rPr>
          <w:rFonts w:ascii="Arial" w:hAnsi="Arial" w:cs="Arial"/>
          <w:sz w:val="22"/>
          <w:szCs w:val="22"/>
        </w:rPr>
        <w:t>). Partnership working also enhances resource efficiency by pooling expertise and information across organisations, which can reduce delays, prevent errors, and optimise outcomes for patients.</w:t>
      </w:r>
    </w:p>
    <w:p w14:paraId="6099D4E1" w14:textId="239ED906"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 xml:space="preserve">Despite these benefits, partnership working presents several challenges in practice. Communication barriers are a common issue, arising from differences in professional jargon, organisational systems, and information-sharing protocols. Miscommunication can lead to </w:t>
      </w:r>
      <w:r w:rsidRPr="00E66B50">
        <w:rPr>
          <w:rFonts w:ascii="Arial" w:hAnsi="Arial" w:cs="Arial"/>
          <w:sz w:val="22"/>
          <w:szCs w:val="22"/>
        </w:rPr>
        <w:lastRenderedPageBreak/>
        <w:t>fragmented care or duplication of interventions, undermining the purpose of collaboration (</w:t>
      </w:r>
      <w:r w:rsidR="00EA1ABA">
        <w:rPr>
          <w:rFonts w:ascii="Arial" w:hAnsi="Arial" w:cs="Arial"/>
          <w:sz w:val="22"/>
          <w:szCs w:val="22"/>
        </w:rPr>
        <w:t>Duran</w:t>
      </w:r>
      <w:r w:rsidRPr="00E66B50">
        <w:rPr>
          <w:rFonts w:ascii="Arial" w:hAnsi="Arial" w:cs="Arial"/>
          <w:sz w:val="22"/>
          <w:szCs w:val="22"/>
        </w:rPr>
        <w:t>, 20</w:t>
      </w:r>
      <w:r w:rsidR="00EA1ABA">
        <w:rPr>
          <w:rFonts w:ascii="Arial" w:hAnsi="Arial" w:cs="Arial"/>
          <w:sz w:val="22"/>
          <w:szCs w:val="22"/>
        </w:rPr>
        <w:t>25</w:t>
      </w:r>
      <w:r w:rsidRPr="00E66B50">
        <w:rPr>
          <w:rFonts w:ascii="Arial" w:hAnsi="Arial" w:cs="Arial"/>
          <w:sz w:val="22"/>
          <w:szCs w:val="22"/>
        </w:rPr>
        <w:t xml:space="preserve">). </w:t>
      </w:r>
      <w:r w:rsidR="009856F8" w:rsidRPr="009856F8">
        <w:rPr>
          <w:rFonts w:ascii="Arial" w:hAnsi="Arial" w:cs="Arial"/>
          <w:sz w:val="22"/>
          <w:szCs w:val="22"/>
        </w:rPr>
        <w:t>Role conflict occurs in partnership working when unclear responsibilities cause duplicated tasks or neglected care, leading to staff tension, delayed interventions, and poorer patient outcomes (</w:t>
      </w:r>
      <w:r w:rsidR="009856F8">
        <w:rPr>
          <w:rFonts w:ascii="Arial" w:hAnsi="Arial" w:cs="Arial"/>
          <w:sz w:val="22"/>
          <w:szCs w:val="22"/>
        </w:rPr>
        <w:t>Glasby</w:t>
      </w:r>
      <w:r w:rsidR="009856F8" w:rsidRPr="009856F8">
        <w:rPr>
          <w:rFonts w:ascii="Arial" w:hAnsi="Arial" w:cs="Arial"/>
          <w:sz w:val="22"/>
          <w:szCs w:val="22"/>
        </w:rPr>
        <w:t>, 2017)</w:t>
      </w:r>
      <w:r w:rsidRPr="00E66B50">
        <w:rPr>
          <w:rFonts w:ascii="Arial" w:hAnsi="Arial" w:cs="Arial"/>
          <w:sz w:val="22"/>
          <w:szCs w:val="22"/>
        </w:rPr>
        <w:t>. Power imbalances between organisations or professionals may also hinder effective decision-making, particularly when hierarchical structures limit shared responsibility (G</w:t>
      </w:r>
      <w:r w:rsidR="009856F8">
        <w:rPr>
          <w:rFonts w:ascii="Arial" w:hAnsi="Arial" w:cs="Arial"/>
          <w:sz w:val="22"/>
          <w:szCs w:val="22"/>
        </w:rPr>
        <w:t>lasby</w:t>
      </w:r>
      <w:r w:rsidRPr="00E66B50">
        <w:rPr>
          <w:rFonts w:ascii="Arial" w:hAnsi="Arial" w:cs="Arial"/>
          <w:sz w:val="22"/>
          <w:szCs w:val="22"/>
        </w:rPr>
        <w:t>, 201</w:t>
      </w:r>
      <w:r w:rsidR="009856F8">
        <w:rPr>
          <w:rFonts w:ascii="Arial" w:hAnsi="Arial" w:cs="Arial"/>
          <w:sz w:val="22"/>
          <w:szCs w:val="22"/>
        </w:rPr>
        <w:t>7</w:t>
      </w:r>
      <w:r w:rsidRPr="00E66B50">
        <w:rPr>
          <w:rFonts w:ascii="Arial" w:hAnsi="Arial" w:cs="Arial"/>
          <w:sz w:val="22"/>
          <w:szCs w:val="22"/>
        </w:rPr>
        <w:t>). Additionally, partnership working requires time, resources, and ongoing commitment, which can be difficult to sustain in high-pressure environments such as the National Health Service.</w:t>
      </w:r>
    </w:p>
    <w:p w14:paraId="0888B3ED"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Overall, while partnership working is fundamental to delivering person centred, coordinated care, its effectiveness depends on clear communication, defined roles, and organisational support. Addressing these challenges is essential to ensure that partnerships deliver tangible improvements in patient outcomes and service efficiency.</w:t>
      </w:r>
    </w:p>
    <w:p w14:paraId="4002CB12"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t>Application of Partnership Working in Practice</w:t>
      </w:r>
    </w:p>
    <w:p w14:paraId="46354469" w14:textId="37ACD246"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 xml:space="preserve">In the context of NHS primary care, partnership working is a critical component of delivering coordinated and </w:t>
      </w:r>
      <w:r w:rsidR="009856F8" w:rsidRPr="00E66B50">
        <w:rPr>
          <w:rFonts w:ascii="Arial" w:hAnsi="Arial" w:cs="Arial"/>
          <w:sz w:val="22"/>
          <w:szCs w:val="22"/>
        </w:rPr>
        <w:t>person-centred</w:t>
      </w:r>
      <w:r w:rsidRPr="00E66B50">
        <w:rPr>
          <w:rFonts w:ascii="Arial" w:hAnsi="Arial" w:cs="Arial"/>
          <w:sz w:val="22"/>
          <w:szCs w:val="22"/>
        </w:rPr>
        <w:t xml:space="preserve"> care. Primary care teams frequently manage patients with complex health needs, requiring collaboration between general practitioners (GPs), nurses, social workers, mental health specialists, and community services. By integrating these services, patients receive care that addresses both clinical and social determinants of health, reducing the risk of fragmented or duplicated interventions (Curry et al., 20</w:t>
      </w:r>
      <w:r w:rsidR="009856F8">
        <w:rPr>
          <w:rFonts w:ascii="Arial" w:hAnsi="Arial" w:cs="Arial"/>
          <w:sz w:val="22"/>
          <w:szCs w:val="22"/>
        </w:rPr>
        <w:t>22</w:t>
      </w:r>
      <w:r w:rsidRPr="00E66B50">
        <w:rPr>
          <w:rFonts w:ascii="Arial" w:hAnsi="Arial" w:cs="Arial"/>
          <w:sz w:val="22"/>
          <w:szCs w:val="22"/>
        </w:rPr>
        <w:t>).</w:t>
      </w:r>
    </w:p>
    <w:p w14:paraId="048E45F1"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A practical example is the management of older adults with multiple long-term conditions. In many GP practices, multidisciplinary team meetings are held weekly to review patient cases. During these meetings, GPs, district nurses, physiotherapists, and social care coordinators share information on treatment plans, social support needs, and potential risks. This collaboration allows the team to create a personalised care plan, ensuring that the patient’s preferences, lifestyle, and home circumstances are considered. For instance, a patient with diabetes and limited mobility may receive coordinated support that includes medication management, nutritional guidance, physiotherapy, and home care visits—all planned and communicated collaboratively among the team.</w:t>
      </w:r>
    </w:p>
    <w:p w14:paraId="611DE133" w14:textId="56E0FFE4"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Another example is the integration of mental health services into primary care. Patients experiencing depression or anxiety are referred to community mental health teams, while their GP continues to monitor physical health. Effective communication between mental health specialists and primary care staff ensures continuity of care and allows interventions to be adjusted based on patient progress</w:t>
      </w:r>
      <w:r w:rsidR="009856F8">
        <w:rPr>
          <w:rFonts w:ascii="Arial" w:hAnsi="Arial" w:cs="Arial"/>
          <w:sz w:val="22"/>
          <w:szCs w:val="22"/>
        </w:rPr>
        <w:t xml:space="preserve"> (Khatri et al., 2023)</w:t>
      </w:r>
      <w:r w:rsidRPr="00E66B50">
        <w:rPr>
          <w:rFonts w:ascii="Arial" w:hAnsi="Arial" w:cs="Arial"/>
          <w:sz w:val="22"/>
          <w:szCs w:val="22"/>
        </w:rPr>
        <w:t>.</w:t>
      </w:r>
    </w:p>
    <w:p w14:paraId="525559A3"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lastRenderedPageBreak/>
        <w:t xml:space="preserve">However, these collaborative approaches rely on clear communication, defined roles, and shared digital systems to record patient information. When these elements function effectively, partnership working improves care coordination, enhances patient satisfaction, and reduces unnecessary hospital admissions. It demonstrates that PCC is not only a theoretical </w:t>
      </w:r>
      <w:proofErr w:type="gramStart"/>
      <w:r w:rsidRPr="00E66B50">
        <w:rPr>
          <w:rFonts w:ascii="Arial" w:hAnsi="Arial" w:cs="Arial"/>
          <w:sz w:val="22"/>
          <w:szCs w:val="22"/>
        </w:rPr>
        <w:t>concept</w:t>
      </w:r>
      <w:proofErr w:type="gramEnd"/>
      <w:r w:rsidRPr="00E66B50">
        <w:rPr>
          <w:rFonts w:ascii="Arial" w:hAnsi="Arial" w:cs="Arial"/>
          <w:sz w:val="22"/>
          <w:szCs w:val="22"/>
        </w:rPr>
        <w:t xml:space="preserve"> but a practical approach achieved through structured, multi-professional collaboration.</w:t>
      </w:r>
    </w:p>
    <w:p w14:paraId="228DF135"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t>Policy and Legislation</w:t>
      </w:r>
    </w:p>
    <w:p w14:paraId="3A6B46B6" w14:textId="3BC8F091"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 xml:space="preserve">UK policies provide the legal and strategic framework that supports the implementation of </w:t>
      </w:r>
      <w:r w:rsidR="009856F8" w:rsidRPr="00E66B50">
        <w:rPr>
          <w:rFonts w:ascii="Arial" w:hAnsi="Arial" w:cs="Arial"/>
          <w:sz w:val="22"/>
          <w:szCs w:val="22"/>
        </w:rPr>
        <w:t>person-centred</w:t>
      </w:r>
      <w:r w:rsidRPr="00E66B50">
        <w:rPr>
          <w:rFonts w:ascii="Arial" w:hAnsi="Arial" w:cs="Arial"/>
          <w:sz w:val="22"/>
          <w:szCs w:val="22"/>
        </w:rPr>
        <w:t xml:space="preserve"> care (PCC) and partnership working. The Care Act 2014 emphasises the integration of health and social care services to promote wellbeing, independence, and choice for individuals</w:t>
      </w:r>
      <w:r w:rsidR="009856F8">
        <w:rPr>
          <w:rFonts w:ascii="Arial" w:hAnsi="Arial" w:cs="Arial"/>
          <w:sz w:val="22"/>
          <w:szCs w:val="22"/>
        </w:rPr>
        <w:t xml:space="preserve"> (Tew et al., 2019)</w:t>
      </w:r>
      <w:r w:rsidRPr="00E66B50">
        <w:rPr>
          <w:rFonts w:ascii="Arial" w:hAnsi="Arial" w:cs="Arial"/>
          <w:sz w:val="22"/>
          <w:szCs w:val="22"/>
        </w:rPr>
        <w:t>. It places a statutory duty on local authorities to assess needs, involve service users in care planning, and coordinate services across agencies. This legislation directly supports PCC by mandating that care is tailored to individual preferences and circumstances, and it reinforces partnership working by requiring collaboration between health, social care, and third-sector organisations.</w:t>
      </w:r>
    </w:p>
    <w:p w14:paraId="40848065" w14:textId="789577EE"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The NHS Long Term Plan further embeds PCC and partnership working within healthcare strategy. It prioritises personalised care, integrated care systems, and multidisciplinary teams to address both physical and mental health needs</w:t>
      </w:r>
      <w:r w:rsidR="009856F8">
        <w:rPr>
          <w:rFonts w:ascii="Arial" w:hAnsi="Arial" w:cs="Arial"/>
          <w:sz w:val="22"/>
          <w:szCs w:val="22"/>
        </w:rPr>
        <w:t xml:space="preserve"> (</w:t>
      </w:r>
      <w:proofErr w:type="spellStart"/>
      <w:r w:rsidR="009856F8" w:rsidRPr="009856F8">
        <w:rPr>
          <w:rFonts w:ascii="Arial" w:hAnsi="Arial" w:cs="Arial"/>
          <w:sz w:val="22"/>
          <w:szCs w:val="22"/>
        </w:rPr>
        <w:t>Alderwick</w:t>
      </w:r>
      <w:proofErr w:type="spellEnd"/>
      <w:r w:rsidR="009856F8" w:rsidRPr="009856F8">
        <w:rPr>
          <w:rFonts w:ascii="Arial" w:hAnsi="Arial" w:cs="Arial"/>
          <w:sz w:val="22"/>
          <w:szCs w:val="22"/>
        </w:rPr>
        <w:t xml:space="preserve"> and Dixon,</w:t>
      </w:r>
      <w:r w:rsidR="009856F8">
        <w:rPr>
          <w:rFonts w:ascii="Arial" w:hAnsi="Arial" w:cs="Arial"/>
          <w:sz w:val="22"/>
          <w:szCs w:val="22"/>
        </w:rPr>
        <w:t xml:space="preserve"> 2019)</w:t>
      </w:r>
      <w:r w:rsidRPr="00E66B50">
        <w:rPr>
          <w:rFonts w:ascii="Arial" w:hAnsi="Arial" w:cs="Arial"/>
          <w:sz w:val="22"/>
          <w:szCs w:val="22"/>
        </w:rPr>
        <w:t xml:space="preserve">. The plan includes initiatives such as personalised care budgets, care planning, and digital tools to improve communication and coordination between professionals and patients </w:t>
      </w:r>
      <w:r w:rsidR="009856F8">
        <w:rPr>
          <w:rFonts w:ascii="Arial" w:hAnsi="Arial" w:cs="Arial"/>
          <w:sz w:val="22"/>
          <w:szCs w:val="22"/>
        </w:rPr>
        <w:t>(</w:t>
      </w:r>
      <w:proofErr w:type="spellStart"/>
      <w:r w:rsidR="009856F8" w:rsidRPr="009856F8">
        <w:rPr>
          <w:rFonts w:ascii="Arial" w:hAnsi="Arial" w:cs="Arial"/>
          <w:sz w:val="22"/>
          <w:szCs w:val="22"/>
        </w:rPr>
        <w:t>Alderwick</w:t>
      </w:r>
      <w:proofErr w:type="spellEnd"/>
      <w:r w:rsidR="009856F8" w:rsidRPr="009856F8">
        <w:rPr>
          <w:rFonts w:ascii="Arial" w:hAnsi="Arial" w:cs="Arial"/>
          <w:sz w:val="22"/>
          <w:szCs w:val="22"/>
        </w:rPr>
        <w:t xml:space="preserve"> and Dixon,</w:t>
      </w:r>
      <w:r w:rsidR="009856F8">
        <w:rPr>
          <w:rFonts w:ascii="Arial" w:hAnsi="Arial" w:cs="Arial"/>
          <w:sz w:val="22"/>
          <w:szCs w:val="22"/>
        </w:rPr>
        <w:t xml:space="preserve"> 2019)</w:t>
      </w:r>
      <w:r w:rsidRPr="00E66B50">
        <w:rPr>
          <w:rFonts w:ascii="Arial" w:hAnsi="Arial" w:cs="Arial"/>
          <w:sz w:val="22"/>
          <w:szCs w:val="22"/>
        </w:rPr>
        <w:t>. These measures operationalise PCC by giving patients greater control over their care and by supporting teams to work collaboratively across organisational boundaries.</w:t>
      </w:r>
    </w:p>
    <w:p w14:paraId="363E7916" w14:textId="1E762461"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While these policies have advanced PCC and partnership working, implementation challenges remain. The Care Act 2014 relies on local authorities having adequate resources and staffing to carry out assessments and coordinate services effectively. In practice, workforce shortages, funding constraints, and high service demand can limit the ability to fully realise these statutory requirements (Glasby, 201</w:t>
      </w:r>
      <w:r w:rsidR="009856F8">
        <w:rPr>
          <w:rFonts w:ascii="Arial" w:hAnsi="Arial" w:cs="Arial"/>
          <w:sz w:val="22"/>
          <w:szCs w:val="22"/>
        </w:rPr>
        <w:t>7</w:t>
      </w:r>
      <w:r w:rsidRPr="00E66B50">
        <w:rPr>
          <w:rFonts w:ascii="Arial" w:hAnsi="Arial" w:cs="Arial"/>
          <w:sz w:val="22"/>
          <w:szCs w:val="22"/>
        </w:rPr>
        <w:t>). Similarly, the NHS Long Term Plan outlines ambitious targets for personalised and integrated care, but disparities in local infrastructure, digital systems, and organisational culture can hinder consistent delivery. Evaluations have highlighted that while policies create a framework for collaboration, the quality of PCC and partnership working remains variable, with gaps particularly evident in under-resourced areas and in coordination between health and social care (Curry et al., 20</w:t>
      </w:r>
      <w:r w:rsidR="00E93BE8">
        <w:rPr>
          <w:rFonts w:ascii="Arial" w:hAnsi="Arial" w:cs="Arial"/>
          <w:sz w:val="22"/>
          <w:szCs w:val="22"/>
        </w:rPr>
        <w:t>22</w:t>
      </w:r>
      <w:r w:rsidRPr="00E66B50">
        <w:rPr>
          <w:rFonts w:ascii="Arial" w:hAnsi="Arial" w:cs="Arial"/>
          <w:sz w:val="22"/>
          <w:szCs w:val="22"/>
        </w:rPr>
        <w:t>).</w:t>
      </w:r>
    </w:p>
    <w:p w14:paraId="15B80508"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In conclusion, UK policy and legislation provide essential support for PCC and partnership working, but their impact is dependent on adequate resources, workforce capacity, and organisational commitment. Effective implementation requires not only statutory compliance but also cultural and structural adaptation within healthcare organisations.</w:t>
      </w:r>
    </w:p>
    <w:p w14:paraId="128D9617"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lastRenderedPageBreak/>
        <w:t>Recommendations</w:t>
      </w:r>
    </w:p>
    <w:p w14:paraId="5A8A7BDE" w14:textId="60381619"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 xml:space="preserve">To strengthen the delivery of </w:t>
      </w:r>
      <w:r w:rsidR="00E93BE8" w:rsidRPr="00E66B50">
        <w:rPr>
          <w:rFonts w:ascii="Arial" w:hAnsi="Arial" w:cs="Arial"/>
          <w:sz w:val="22"/>
          <w:szCs w:val="22"/>
        </w:rPr>
        <w:t>person-centred</w:t>
      </w:r>
      <w:r w:rsidRPr="00E66B50">
        <w:rPr>
          <w:rFonts w:ascii="Arial" w:hAnsi="Arial" w:cs="Arial"/>
          <w:sz w:val="22"/>
          <w:szCs w:val="22"/>
        </w:rPr>
        <w:t xml:space="preserve"> care (PCC) and partnership working in the UK, several practical measures are needed. First, targeted training for healthcare professionals should focus on communication skills, shared decision making, and understanding patient preferences. This would ensure that staff have the capability to engage effectively with individuals and families (McCormack and McCance, 20</w:t>
      </w:r>
      <w:r w:rsidR="00E93BE8">
        <w:rPr>
          <w:rFonts w:ascii="Arial" w:hAnsi="Arial" w:cs="Arial"/>
          <w:sz w:val="22"/>
          <w:szCs w:val="22"/>
        </w:rPr>
        <w:t>21</w:t>
      </w:r>
      <w:r w:rsidRPr="00E66B50">
        <w:rPr>
          <w:rFonts w:ascii="Arial" w:hAnsi="Arial" w:cs="Arial"/>
          <w:sz w:val="22"/>
          <w:szCs w:val="22"/>
        </w:rPr>
        <w:t>). Second, investment in workforce and resources is critical; sufficient staffing levels and manageable caseloads allow professionals the time to implement PCC and participate in multidisciplinary collaboration (C</w:t>
      </w:r>
      <w:r w:rsidR="00E93BE8">
        <w:rPr>
          <w:rFonts w:ascii="Arial" w:hAnsi="Arial" w:cs="Arial"/>
          <w:sz w:val="22"/>
          <w:szCs w:val="22"/>
        </w:rPr>
        <w:t>urreri</w:t>
      </w:r>
      <w:r w:rsidRPr="00E66B50">
        <w:rPr>
          <w:rFonts w:ascii="Arial" w:hAnsi="Arial" w:cs="Arial"/>
          <w:sz w:val="22"/>
          <w:szCs w:val="22"/>
        </w:rPr>
        <w:t>, 201</w:t>
      </w:r>
      <w:r w:rsidR="00E93BE8">
        <w:rPr>
          <w:rFonts w:ascii="Arial" w:hAnsi="Arial" w:cs="Arial"/>
          <w:sz w:val="22"/>
          <w:szCs w:val="22"/>
        </w:rPr>
        <w:t>9</w:t>
      </w:r>
      <w:r w:rsidRPr="00E66B50">
        <w:rPr>
          <w:rFonts w:ascii="Arial" w:hAnsi="Arial" w:cs="Arial"/>
          <w:sz w:val="22"/>
          <w:szCs w:val="22"/>
        </w:rPr>
        <w:t>). Third, improving communication systems, including interoperable digital records and secure information-sharing platforms, can reduce miscommunication and support continuity of care across organisations. Finally, embedding regular audits and feedback mechanisms can help organisations identify gaps in PCC and partnership working and develop strategies for continuous improvement (Glasby, 201</w:t>
      </w:r>
      <w:r w:rsidR="00E93BE8">
        <w:rPr>
          <w:rFonts w:ascii="Arial" w:hAnsi="Arial" w:cs="Arial"/>
          <w:sz w:val="22"/>
          <w:szCs w:val="22"/>
        </w:rPr>
        <w:t>7</w:t>
      </w:r>
      <w:r w:rsidRPr="00E66B50">
        <w:rPr>
          <w:rFonts w:ascii="Arial" w:hAnsi="Arial" w:cs="Arial"/>
          <w:sz w:val="22"/>
          <w:szCs w:val="22"/>
        </w:rPr>
        <w:t>). By implementing these measures, healthcare services can create conditions that make person centred and collaborative care more consistent and sustainable.</w:t>
      </w:r>
    </w:p>
    <w:p w14:paraId="0DBEC9AB" w14:textId="77777777" w:rsidR="00E66B50" w:rsidRPr="00E66B50" w:rsidRDefault="00E66B50" w:rsidP="00E66B50">
      <w:pPr>
        <w:spacing w:line="360" w:lineRule="auto"/>
        <w:jc w:val="both"/>
        <w:rPr>
          <w:rFonts w:ascii="Arial" w:hAnsi="Arial" w:cs="Arial"/>
          <w:b/>
          <w:bCs/>
          <w:sz w:val="22"/>
          <w:szCs w:val="22"/>
        </w:rPr>
      </w:pPr>
      <w:r w:rsidRPr="00E66B50">
        <w:rPr>
          <w:rFonts w:ascii="Arial" w:hAnsi="Arial" w:cs="Arial"/>
          <w:b/>
          <w:bCs/>
          <w:sz w:val="22"/>
          <w:szCs w:val="22"/>
        </w:rPr>
        <w:t>Conclusion</w:t>
      </w:r>
    </w:p>
    <w:p w14:paraId="6B4B6CAD" w14:textId="77777777" w:rsidR="00E66B50" w:rsidRPr="00E66B50" w:rsidRDefault="00E66B50" w:rsidP="00E66B50">
      <w:pPr>
        <w:spacing w:line="360" w:lineRule="auto"/>
        <w:jc w:val="both"/>
        <w:rPr>
          <w:rFonts w:ascii="Arial" w:hAnsi="Arial" w:cs="Arial"/>
          <w:sz w:val="22"/>
          <w:szCs w:val="22"/>
        </w:rPr>
      </w:pPr>
      <w:r w:rsidRPr="00E66B50">
        <w:rPr>
          <w:rFonts w:ascii="Arial" w:hAnsi="Arial" w:cs="Arial"/>
          <w:sz w:val="22"/>
          <w:szCs w:val="22"/>
        </w:rPr>
        <w:t>Person centred care and partnership working are central to delivering effective, safe, and responsive health and social care in the UK. PCC ensures that care is tailored to individual needs, involving patients in decisions and respecting their values, while partnership working enables collaboration across professionals and organisations to address complex care needs. Theoretical models, such as the McCormack and McCance person centred nursing framework, provide practical guidance for implementing these approaches, while ethical principles ensure care is delivered with respect, fairness, and safety. UK policies, including the Care Act 2014 and the NHS Long Term Plan, provide essential statutory and strategic support, though their effectiveness is dependent on organisational resources and workforce capacity. Implementing targeted training, improving communication systems, and supporting multidisciplinary collaboration are key strategies for enhancing PCC and partnership working. Overall, when effectively applied, these approaches improve patient outcomes, enhance satisfaction, and contribute to more integrated and equitable health and social care services.</w:t>
      </w:r>
    </w:p>
    <w:p w14:paraId="030D904C" w14:textId="77777777" w:rsidR="005A0BF9" w:rsidRDefault="005A0BF9" w:rsidP="00E66B50">
      <w:pPr>
        <w:spacing w:line="360" w:lineRule="auto"/>
        <w:jc w:val="both"/>
        <w:rPr>
          <w:rFonts w:ascii="Arial" w:hAnsi="Arial" w:cs="Arial"/>
          <w:sz w:val="22"/>
          <w:szCs w:val="22"/>
        </w:rPr>
      </w:pPr>
    </w:p>
    <w:p w14:paraId="364BA592" w14:textId="77777777" w:rsidR="00E93BE8" w:rsidRDefault="00E93BE8" w:rsidP="00E66B50">
      <w:pPr>
        <w:spacing w:line="360" w:lineRule="auto"/>
        <w:jc w:val="both"/>
        <w:rPr>
          <w:rFonts w:ascii="Arial" w:hAnsi="Arial" w:cs="Arial"/>
          <w:sz w:val="22"/>
          <w:szCs w:val="22"/>
        </w:rPr>
      </w:pPr>
    </w:p>
    <w:p w14:paraId="33C306BB" w14:textId="77777777" w:rsidR="00E93BE8" w:rsidRDefault="00E93BE8" w:rsidP="00E66B50">
      <w:pPr>
        <w:spacing w:line="360" w:lineRule="auto"/>
        <w:jc w:val="both"/>
        <w:rPr>
          <w:rFonts w:ascii="Arial" w:hAnsi="Arial" w:cs="Arial"/>
          <w:sz w:val="22"/>
          <w:szCs w:val="22"/>
        </w:rPr>
      </w:pPr>
    </w:p>
    <w:p w14:paraId="215271A2" w14:textId="77777777" w:rsidR="00E93BE8" w:rsidRDefault="00E93BE8" w:rsidP="00E66B50">
      <w:pPr>
        <w:spacing w:line="360" w:lineRule="auto"/>
        <w:jc w:val="both"/>
        <w:rPr>
          <w:rFonts w:ascii="Arial" w:hAnsi="Arial" w:cs="Arial"/>
          <w:sz w:val="22"/>
          <w:szCs w:val="22"/>
        </w:rPr>
      </w:pPr>
    </w:p>
    <w:p w14:paraId="4D52B617" w14:textId="77777777" w:rsidR="00E93BE8" w:rsidRDefault="00E93BE8" w:rsidP="00E66B50">
      <w:pPr>
        <w:spacing w:line="360" w:lineRule="auto"/>
        <w:jc w:val="both"/>
        <w:rPr>
          <w:rFonts w:ascii="Arial" w:hAnsi="Arial" w:cs="Arial"/>
          <w:sz w:val="22"/>
          <w:szCs w:val="22"/>
        </w:rPr>
      </w:pPr>
    </w:p>
    <w:p w14:paraId="6A8E5DBB" w14:textId="77777777" w:rsidR="00E93BE8" w:rsidRDefault="00E93BE8" w:rsidP="00E66B50">
      <w:pPr>
        <w:spacing w:line="360" w:lineRule="auto"/>
        <w:jc w:val="both"/>
        <w:rPr>
          <w:rFonts w:ascii="Arial" w:hAnsi="Arial" w:cs="Arial"/>
          <w:sz w:val="22"/>
          <w:szCs w:val="22"/>
        </w:rPr>
      </w:pPr>
    </w:p>
    <w:p w14:paraId="36954BAA" w14:textId="77777777" w:rsidR="00E93BE8" w:rsidRDefault="00E93BE8" w:rsidP="00E66B50">
      <w:pPr>
        <w:spacing w:line="360" w:lineRule="auto"/>
        <w:jc w:val="both"/>
        <w:rPr>
          <w:rFonts w:ascii="Arial" w:hAnsi="Arial" w:cs="Arial"/>
          <w:sz w:val="22"/>
          <w:szCs w:val="22"/>
        </w:rPr>
      </w:pPr>
    </w:p>
    <w:p w14:paraId="3035520D" w14:textId="77777777" w:rsidR="00E93BE8" w:rsidRDefault="00E93BE8" w:rsidP="00E66B50">
      <w:pPr>
        <w:spacing w:line="360" w:lineRule="auto"/>
        <w:jc w:val="both"/>
        <w:rPr>
          <w:rFonts w:ascii="Arial" w:hAnsi="Arial" w:cs="Arial"/>
          <w:sz w:val="22"/>
          <w:szCs w:val="22"/>
        </w:rPr>
      </w:pPr>
    </w:p>
    <w:p w14:paraId="032152CE" w14:textId="77777777" w:rsidR="00E93BE8" w:rsidRDefault="00E93BE8" w:rsidP="00E66B50">
      <w:pPr>
        <w:spacing w:line="360" w:lineRule="auto"/>
        <w:jc w:val="both"/>
        <w:rPr>
          <w:rFonts w:ascii="Arial" w:hAnsi="Arial" w:cs="Arial"/>
          <w:sz w:val="22"/>
          <w:szCs w:val="22"/>
        </w:rPr>
      </w:pPr>
    </w:p>
    <w:p w14:paraId="2D944304" w14:textId="77777777" w:rsidR="00E93BE8" w:rsidRDefault="00E93BE8" w:rsidP="00E66B50">
      <w:pPr>
        <w:spacing w:line="360" w:lineRule="auto"/>
        <w:jc w:val="both"/>
        <w:rPr>
          <w:rFonts w:ascii="Arial" w:hAnsi="Arial" w:cs="Arial"/>
          <w:sz w:val="22"/>
          <w:szCs w:val="22"/>
        </w:rPr>
      </w:pPr>
    </w:p>
    <w:p w14:paraId="505A78E8" w14:textId="77777777" w:rsidR="00E93BE8" w:rsidRDefault="00E93BE8" w:rsidP="00E66B50">
      <w:pPr>
        <w:spacing w:line="360" w:lineRule="auto"/>
        <w:jc w:val="both"/>
        <w:rPr>
          <w:rFonts w:ascii="Arial" w:hAnsi="Arial" w:cs="Arial"/>
          <w:sz w:val="22"/>
          <w:szCs w:val="22"/>
        </w:rPr>
      </w:pPr>
    </w:p>
    <w:p w14:paraId="784F3F76" w14:textId="78E444D9" w:rsidR="00E93BE8" w:rsidRPr="00E93BE8" w:rsidRDefault="00E93BE8" w:rsidP="00E66B50">
      <w:pPr>
        <w:spacing w:line="360" w:lineRule="auto"/>
        <w:jc w:val="both"/>
        <w:rPr>
          <w:rFonts w:ascii="Arial" w:hAnsi="Arial" w:cs="Arial"/>
          <w:b/>
          <w:bCs/>
          <w:sz w:val="22"/>
          <w:szCs w:val="22"/>
        </w:rPr>
      </w:pPr>
      <w:r w:rsidRPr="00E93BE8">
        <w:rPr>
          <w:rFonts w:ascii="Arial" w:hAnsi="Arial" w:cs="Arial"/>
          <w:b/>
          <w:bCs/>
          <w:sz w:val="22"/>
          <w:szCs w:val="22"/>
        </w:rPr>
        <w:t xml:space="preserve">References: </w:t>
      </w:r>
    </w:p>
    <w:p w14:paraId="610AF7C5" w14:textId="77777777" w:rsidR="00E93BE8" w:rsidRPr="00E93BE8" w:rsidRDefault="00E93BE8" w:rsidP="00E93BE8">
      <w:pPr>
        <w:spacing w:line="360" w:lineRule="auto"/>
        <w:jc w:val="both"/>
        <w:rPr>
          <w:rFonts w:ascii="Arial" w:hAnsi="Arial" w:cs="Arial"/>
          <w:sz w:val="22"/>
          <w:szCs w:val="22"/>
        </w:rPr>
      </w:pPr>
      <w:proofErr w:type="spellStart"/>
      <w:r w:rsidRPr="00E93BE8">
        <w:rPr>
          <w:rFonts w:ascii="Arial" w:hAnsi="Arial" w:cs="Arial"/>
          <w:sz w:val="22"/>
          <w:szCs w:val="22"/>
        </w:rPr>
        <w:t>Alderwick</w:t>
      </w:r>
      <w:proofErr w:type="spellEnd"/>
      <w:r w:rsidRPr="00E93BE8">
        <w:rPr>
          <w:rFonts w:ascii="Arial" w:hAnsi="Arial" w:cs="Arial"/>
          <w:sz w:val="22"/>
          <w:szCs w:val="22"/>
        </w:rPr>
        <w:t>, H. and Dixon, J. 2019 ‘The NHS long term plan’ </w:t>
      </w:r>
      <w:proofErr w:type="spellStart"/>
      <w:r w:rsidRPr="00E93BE8">
        <w:rPr>
          <w:rFonts w:ascii="Arial" w:hAnsi="Arial" w:cs="Arial"/>
          <w:i/>
          <w:iCs/>
          <w:sz w:val="22"/>
          <w:szCs w:val="22"/>
        </w:rPr>
        <w:t>bmj</w:t>
      </w:r>
      <w:proofErr w:type="spellEnd"/>
      <w:r w:rsidRPr="00E93BE8">
        <w:rPr>
          <w:rFonts w:ascii="Arial" w:hAnsi="Arial" w:cs="Arial"/>
          <w:sz w:val="22"/>
          <w:szCs w:val="22"/>
        </w:rPr>
        <w:t>, </w:t>
      </w:r>
      <w:r w:rsidRPr="00E93BE8">
        <w:rPr>
          <w:rFonts w:ascii="Arial" w:hAnsi="Arial" w:cs="Arial"/>
          <w:i/>
          <w:iCs/>
          <w:sz w:val="22"/>
          <w:szCs w:val="22"/>
        </w:rPr>
        <w:t>364</w:t>
      </w:r>
      <w:r w:rsidRPr="00E93BE8">
        <w:rPr>
          <w:rFonts w:ascii="Arial" w:hAnsi="Arial" w:cs="Arial"/>
          <w:sz w:val="22"/>
          <w:szCs w:val="22"/>
        </w:rPr>
        <w:t>.</w:t>
      </w:r>
    </w:p>
    <w:p w14:paraId="7CD01A41"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Beauchamp, T. and Childress, J. 2019 ‘Principles of biomedical ethics: marking its fortieth anniversary’ </w:t>
      </w:r>
      <w:r w:rsidRPr="00E93BE8">
        <w:rPr>
          <w:rFonts w:ascii="Arial" w:hAnsi="Arial" w:cs="Arial"/>
          <w:i/>
          <w:iCs/>
          <w:sz w:val="22"/>
          <w:szCs w:val="22"/>
        </w:rPr>
        <w:t>The American Journal of Bioethics</w:t>
      </w:r>
      <w:r w:rsidRPr="00E93BE8">
        <w:rPr>
          <w:rFonts w:ascii="Arial" w:hAnsi="Arial" w:cs="Arial"/>
          <w:sz w:val="22"/>
          <w:szCs w:val="22"/>
        </w:rPr>
        <w:t>, </w:t>
      </w:r>
      <w:r w:rsidRPr="00E93BE8">
        <w:rPr>
          <w:rFonts w:ascii="Arial" w:hAnsi="Arial" w:cs="Arial"/>
          <w:i/>
          <w:iCs/>
          <w:sz w:val="22"/>
          <w:szCs w:val="22"/>
        </w:rPr>
        <w:t>19</w:t>
      </w:r>
      <w:r w:rsidRPr="00E93BE8">
        <w:rPr>
          <w:rFonts w:ascii="Arial" w:hAnsi="Arial" w:cs="Arial"/>
          <w:sz w:val="22"/>
          <w:szCs w:val="22"/>
        </w:rPr>
        <w:t>(11), pp.9-12.</w:t>
      </w:r>
    </w:p>
    <w:p w14:paraId="568C19B6" w14:textId="77777777" w:rsidR="00E93BE8" w:rsidRPr="00E93BE8" w:rsidRDefault="00E93BE8" w:rsidP="00E93BE8">
      <w:pPr>
        <w:spacing w:line="360" w:lineRule="auto"/>
        <w:jc w:val="both"/>
        <w:rPr>
          <w:rFonts w:ascii="Arial" w:hAnsi="Arial" w:cs="Arial"/>
          <w:sz w:val="22"/>
          <w:szCs w:val="22"/>
        </w:rPr>
      </w:pPr>
      <w:proofErr w:type="spellStart"/>
      <w:r w:rsidRPr="00E93BE8">
        <w:rPr>
          <w:rFonts w:ascii="Arial" w:hAnsi="Arial" w:cs="Arial"/>
          <w:sz w:val="22"/>
          <w:szCs w:val="22"/>
        </w:rPr>
        <w:t>Bifarin</w:t>
      </w:r>
      <w:proofErr w:type="spellEnd"/>
      <w:r w:rsidRPr="00E93BE8">
        <w:rPr>
          <w:rFonts w:ascii="Arial" w:hAnsi="Arial" w:cs="Arial"/>
          <w:sz w:val="22"/>
          <w:szCs w:val="22"/>
        </w:rPr>
        <w:t>, O. and Stonehouse, D. (2022) ‘Beneficence and non-maleficence: collaborative practice and harm mitigation’ </w:t>
      </w:r>
      <w:r w:rsidRPr="00E93BE8">
        <w:rPr>
          <w:rFonts w:ascii="Arial" w:hAnsi="Arial" w:cs="Arial"/>
          <w:i/>
          <w:iCs/>
          <w:sz w:val="22"/>
          <w:szCs w:val="22"/>
        </w:rPr>
        <w:t>British Journal of Healthcare Assistants</w:t>
      </w:r>
      <w:r w:rsidRPr="00E93BE8">
        <w:rPr>
          <w:rFonts w:ascii="Arial" w:hAnsi="Arial" w:cs="Arial"/>
          <w:sz w:val="22"/>
          <w:szCs w:val="22"/>
        </w:rPr>
        <w:t>, </w:t>
      </w:r>
      <w:r w:rsidRPr="00E93BE8">
        <w:rPr>
          <w:rFonts w:ascii="Arial" w:hAnsi="Arial" w:cs="Arial"/>
          <w:i/>
          <w:iCs/>
          <w:sz w:val="22"/>
          <w:szCs w:val="22"/>
        </w:rPr>
        <w:t>16</w:t>
      </w:r>
      <w:r w:rsidRPr="00E93BE8">
        <w:rPr>
          <w:rFonts w:ascii="Arial" w:hAnsi="Arial" w:cs="Arial"/>
          <w:sz w:val="22"/>
          <w:szCs w:val="22"/>
        </w:rPr>
        <w:t>(2), pp.70-74.</w:t>
      </w:r>
    </w:p>
    <w:p w14:paraId="57C33CBF"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Buchan, J., Charlesworth, A., </w:t>
      </w:r>
      <w:proofErr w:type="spellStart"/>
      <w:r w:rsidRPr="00E93BE8">
        <w:rPr>
          <w:rFonts w:ascii="Arial" w:hAnsi="Arial" w:cs="Arial"/>
          <w:sz w:val="22"/>
          <w:szCs w:val="22"/>
        </w:rPr>
        <w:t>Gershlick</w:t>
      </w:r>
      <w:proofErr w:type="spellEnd"/>
      <w:r w:rsidRPr="00E93BE8">
        <w:rPr>
          <w:rFonts w:ascii="Arial" w:hAnsi="Arial" w:cs="Arial"/>
          <w:sz w:val="22"/>
          <w:szCs w:val="22"/>
        </w:rPr>
        <w:t>, B. and Seccombe, I. 2019 ‘A critical moment: NHS staffing trends, retention and attrition’ </w:t>
      </w:r>
      <w:r w:rsidRPr="00E93BE8">
        <w:rPr>
          <w:rFonts w:ascii="Arial" w:hAnsi="Arial" w:cs="Arial"/>
          <w:i/>
          <w:iCs/>
          <w:sz w:val="22"/>
          <w:szCs w:val="22"/>
        </w:rPr>
        <w:t>London: Health Foundation</w:t>
      </w:r>
      <w:r w:rsidRPr="00E93BE8">
        <w:rPr>
          <w:rFonts w:ascii="Arial" w:hAnsi="Arial" w:cs="Arial"/>
          <w:sz w:val="22"/>
          <w:szCs w:val="22"/>
        </w:rPr>
        <w:t>.</w:t>
      </w:r>
    </w:p>
    <w:p w14:paraId="77FE5F39"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Byrne, A.L., Baldwin, A. and Harvey, C. (2020) ‘Whose centre is it anyway? Defining person-centred care in nursing: An integrative review’ </w:t>
      </w:r>
      <w:proofErr w:type="spellStart"/>
      <w:r w:rsidRPr="00E93BE8">
        <w:rPr>
          <w:rFonts w:ascii="Arial" w:hAnsi="Arial" w:cs="Arial"/>
          <w:i/>
          <w:iCs/>
          <w:sz w:val="22"/>
          <w:szCs w:val="22"/>
        </w:rPr>
        <w:t>PloS</w:t>
      </w:r>
      <w:proofErr w:type="spellEnd"/>
      <w:r w:rsidRPr="00E93BE8">
        <w:rPr>
          <w:rFonts w:ascii="Arial" w:hAnsi="Arial" w:cs="Arial"/>
          <w:i/>
          <w:iCs/>
          <w:sz w:val="22"/>
          <w:szCs w:val="22"/>
        </w:rPr>
        <w:t xml:space="preserve"> one</w:t>
      </w:r>
      <w:r w:rsidRPr="00E93BE8">
        <w:rPr>
          <w:rFonts w:ascii="Arial" w:hAnsi="Arial" w:cs="Arial"/>
          <w:sz w:val="22"/>
          <w:szCs w:val="22"/>
        </w:rPr>
        <w:t>, </w:t>
      </w:r>
      <w:r w:rsidRPr="00E93BE8">
        <w:rPr>
          <w:rFonts w:ascii="Arial" w:hAnsi="Arial" w:cs="Arial"/>
          <w:i/>
          <w:iCs/>
          <w:sz w:val="22"/>
          <w:szCs w:val="22"/>
        </w:rPr>
        <w:t>15</w:t>
      </w:r>
      <w:r w:rsidRPr="00E93BE8">
        <w:rPr>
          <w:rFonts w:ascii="Arial" w:hAnsi="Arial" w:cs="Arial"/>
          <w:sz w:val="22"/>
          <w:szCs w:val="22"/>
        </w:rPr>
        <w:t>(3), p.e0229923.</w:t>
      </w:r>
    </w:p>
    <w:p w14:paraId="749806DD"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Cave, E. (2020) ‘Selecting treatment options and choosing between them: delineating patient and professional autonomy in shared decision-making’ </w:t>
      </w:r>
      <w:r w:rsidRPr="00E93BE8">
        <w:rPr>
          <w:rFonts w:ascii="Arial" w:hAnsi="Arial" w:cs="Arial"/>
          <w:i/>
          <w:iCs/>
          <w:sz w:val="22"/>
          <w:szCs w:val="22"/>
        </w:rPr>
        <w:t>Health care analysis</w:t>
      </w:r>
      <w:r w:rsidRPr="00E93BE8">
        <w:rPr>
          <w:rFonts w:ascii="Arial" w:hAnsi="Arial" w:cs="Arial"/>
          <w:sz w:val="22"/>
          <w:szCs w:val="22"/>
        </w:rPr>
        <w:t>, </w:t>
      </w:r>
      <w:r w:rsidRPr="00E93BE8">
        <w:rPr>
          <w:rFonts w:ascii="Arial" w:hAnsi="Arial" w:cs="Arial"/>
          <w:i/>
          <w:iCs/>
          <w:sz w:val="22"/>
          <w:szCs w:val="22"/>
        </w:rPr>
        <w:t>28</w:t>
      </w:r>
      <w:r w:rsidRPr="00E93BE8">
        <w:rPr>
          <w:rFonts w:ascii="Arial" w:hAnsi="Arial" w:cs="Arial"/>
          <w:sz w:val="22"/>
          <w:szCs w:val="22"/>
        </w:rPr>
        <w:t>(1), pp.4-24.</w:t>
      </w:r>
    </w:p>
    <w:p w14:paraId="074C418D"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Corbett, T. (2023) ‘Person-centred care: A paramount concept in health and social care’ In </w:t>
      </w:r>
      <w:r w:rsidRPr="00E93BE8">
        <w:rPr>
          <w:rFonts w:ascii="Arial" w:hAnsi="Arial" w:cs="Arial"/>
          <w:i/>
          <w:iCs/>
          <w:sz w:val="22"/>
          <w:szCs w:val="22"/>
        </w:rPr>
        <w:t>Foundations for 21st-Century Health and Social Care</w:t>
      </w:r>
      <w:r w:rsidRPr="00E93BE8">
        <w:rPr>
          <w:rFonts w:ascii="Arial" w:hAnsi="Arial" w:cs="Arial"/>
          <w:sz w:val="22"/>
          <w:szCs w:val="22"/>
        </w:rPr>
        <w:t> (pp. 156-174). Routledge.</w:t>
      </w:r>
    </w:p>
    <w:p w14:paraId="137B7C0B"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Curreri, N.A. 2019 ‘Partnership Working in Health and Social Care: 2014, Jon Glasby and Helen Dickinson, Publisher: Policy Press’ </w:t>
      </w:r>
      <w:r w:rsidRPr="00E93BE8">
        <w:rPr>
          <w:rFonts w:ascii="Arial" w:hAnsi="Arial" w:cs="Arial"/>
          <w:i/>
          <w:iCs/>
          <w:sz w:val="22"/>
          <w:szCs w:val="22"/>
        </w:rPr>
        <w:t>International Journal of Integrated Care</w:t>
      </w:r>
      <w:r w:rsidRPr="00E93BE8">
        <w:rPr>
          <w:rFonts w:ascii="Arial" w:hAnsi="Arial" w:cs="Arial"/>
          <w:sz w:val="22"/>
          <w:szCs w:val="22"/>
        </w:rPr>
        <w:t>, </w:t>
      </w:r>
      <w:r w:rsidRPr="00E93BE8">
        <w:rPr>
          <w:rFonts w:ascii="Arial" w:hAnsi="Arial" w:cs="Arial"/>
          <w:i/>
          <w:iCs/>
          <w:sz w:val="22"/>
          <w:szCs w:val="22"/>
        </w:rPr>
        <w:t>19</w:t>
      </w:r>
      <w:r w:rsidRPr="00E93BE8">
        <w:rPr>
          <w:rFonts w:ascii="Arial" w:hAnsi="Arial" w:cs="Arial"/>
          <w:sz w:val="22"/>
          <w:szCs w:val="22"/>
        </w:rPr>
        <w:t>(2), p.12.</w:t>
      </w:r>
    </w:p>
    <w:p w14:paraId="03525FDB"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Curry, L., Cherlin, E., </w:t>
      </w:r>
      <w:proofErr w:type="spellStart"/>
      <w:r w:rsidRPr="00E93BE8">
        <w:rPr>
          <w:rFonts w:ascii="Arial" w:hAnsi="Arial" w:cs="Arial"/>
          <w:sz w:val="22"/>
          <w:szCs w:val="22"/>
        </w:rPr>
        <w:t>Ayedun</w:t>
      </w:r>
      <w:proofErr w:type="spellEnd"/>
      <w:r w:rsidRPr="00E93BE8">
        <w:rPr>
          <w:rFonts w:ascii="Arial" w:hAnsi="Arial" w:cs="Arial"/>
          <w:sz w:val="22"/>
          <w:szCs w:val="22"/>
        </w:rPr>
        <w:t>, A., Rubeo, C., Straker, J., Wilson, T.L. and Brewster, A. (2022) ‘How do area agencies on aging build partnerships with health care organizations?’ </w:t>
      </w:r>
      <w:r w:rsidRPr="00E93BE8">
        <w:rPr>
          <w:rFonts w:ascii="Arial" w:hAnsi="Arial" w:cs="Arial"/>
          <w:i/>
          <w:iCs/>
          <w:sz w:val="22"/>
          <w:szCs w:val="22"/>
        </w:rPr>
        <w:t>The Gerontologist</w:t>
      </w:r>
      <w:r w:rsidRPr="00E93BE8">
        <w:rPr>
          <w:rFonts w:ascii="Arial" w:hAnsi="Arial" w:cs="Arial"/>
          <w:sz w:val="22"/>
          <w:szCs w:val="22"/>
        </w:rPr>
        <w:t>, </w:t>
      </w:r>
      <w:r w:rsidRPr="00E93BE8">
        <w:rPr>
          <w:rFonts w:ascii="Arial" w:hAnsi="Arial" w:cs="Arial"/>
          <w:i/>
          <w:iCs/>
          <w:sz w:val="22"/>
          <w:szCs w:val="22"/>
        </w:rPr>
        <w:t>62</w:t>
      </w:r>
      <w:r w:rsidRPr="00E93BE8">
        <w:rPr>
          <w:rFonts w:ascii="Arial" w:hAnsi="Arial" w:cs="Arial"/>
          <w:sz w:val="22"/>
          <w:szCs w:val="22"/>
        </w:rPr>
        <w:t>(10), pp.1409-1419.</w:t>
      </w:r>
    </w:p>
    <w:p w14:paraId="0A340E55"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Duran, I. (2025) ‘Multidisciplinary Collaboration and Collaboration Overload in Healthcare Services: Literature Review and Institutional Implications. Research on Education and Psychology’ (Advanced Online Publication), pp.540-555.</w:t>
      </w:r>
    </w:p>
    <w:p w14:paraId="0A168815"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lastRenderedPageBreak/>
        <w:t xml:space="preserve">Edgar, D., Wilson, V. and Moroney, T. 2020 ‘Which is it, person-centred culture, practice or care? </w:t>
      </w:r>
      <w:proofErr w:type="gramStart"/>
      <w:r w:rsidRPr="00E93BE8">
        <w:rPr>
          <w:rFonts w:ascii="Arial" w:hAnsi="Arial" w:cs="Arial"/>
          <w:sz w:val="22"/>
          <w:szCs w:val="22"/>
        </w:rPr>
        <w:t>It</w:t>
      </w:r>
      <w:proofErr w:type="gramEnd"/>
      <w:r w:rsidRPr="00E93BE8">
        <w:rPr>
          <w:rFonts w:ascii="Arial" w:hAnsi="Arial" w:cs="Arial"/>
          <w:sz w:val="22"/>
          <w:szCs w:val="22"/>
        </w:rPr>
        <w:t xml:space="preserve"> matters’ </w:t>
      </w:r>
      <w:r w:rsidRPr="00E93BE8">
        <w:rPr>
          <w:rFonts w:ascii="Arial" w:hAnsi="Arial" w:cs="Arial"/>
          <w:i/>
          <w:iCs/>
          <w:sz w:val="22"/>
          <w:szCs w:val="22"/>
        </w:rPr>
        <w:t>International Practice Development Journal</w:t>
      </w:r>
      <w:r w:rsidRPr="00E93BE8">
        <w:rPr>
          <w:rFonts w:ascii="Arial" w:hAnsi="Arial" w:cs="Arial"/>
          <w:sz w:val="22"/>
          <w:szCs w:val="22"/>
        </w:rPr>
        <w:t>, </w:t>
      </w:r>
      <w:r w:rsidRPr="00E93BE8">
        <w:rPr>
          <w:rFonts w:ascii="Arial" w:hAnsi="Arial" w:cs="Arial"/>
          <w:i/>
          <w:iCs/>
          <w:sz w:val="22"/>
          <w:szCs w:val="22"/>
        </w:rPr>
        <w:t>10</w:t>
      </w:r>
      <w:r w:rsidRPr="00E93BE8">
        <w:rPr>
          <w:rFonts w:ascii="Arial" w:hAnsi="Arial" w:cs="Arial"/>
          <w:sz w:val="22"/>
          <w:szCs w:val="22"/>
        </w:rPr>
        <w:t>(1).</w:t>
      </w:r>
    </w:p>
    <w:p w14:paraId="1D6F56C1"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Glasby, J. 2017 </w:t>
      </w:r>
      <w:r w:rsidRPr="00E93BE8">
        <w:rPr>
          <w:rFonts w:ascii="Arial" w:hAnsi="Arial" w:cs="Arial"/>
          <w:i/>
          <w:iCs/>
          <w:sz w:val="22"/>
          <w:szCs w:val="22"/>
        </w:rPr>
        <w:t>Partnership working in health and social care</w:t>
      </w:r>
      <w:r w:rsidRPr="00E93BE8">
        <w:rPr>
          <w:rFonts w:ascii="Arial" w:hAnsi="Arial" w:cs="Arial"/>
          <w:sz w:val="22"/>
          <w:szCs w:val="22"/>
        </w:rPr>
        <w:t> (pp. 71-94). Policy Press.</w:t>
      </w:r>
    </w:p>
    <w:p w14:paraId="535FD91F"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Grealish, L., Simpson, T., Soltau, D. and Edvardsson, D. (2019) ‘Assessing and providing person-centred care of older people with cognitive impairment in acute settings: threats, variability, and challenges’ </w:t>
      </w:r>
      <w:r w:rsidRPr="00E93BE8">
        <w:rPr>
          <w:rFonts w:ascii="Arial" w:hAnsi="Arial" w:cs="Arial"/>
          <w:i/>
          <w:iCs/>
          <w:sz w:val="22"/>
          <w:szCs w:val="22"/>
        </w:rPr>
        <w:t>Collegian</w:t>
      </w:r>
      <w:r w:rsidRPr="00E93BE8">
        <w:rPr>
          <w:rFonts w:ascii="Arial" w:hAnsi="Arial" w:cs="Arial"/>
          <w:sz w:val="22"/>
          <w:szCs w:val="22"/>
        </w:rPr>
        <w:t>, </w:t>
      </w:r>
      <w:r w:rsidRPr="00E93BE8">
        <w:rPr>
          <w:rFonts w:ascii="Arial" w:hAnsi="Arial" w:cs="Arial"/>
          <w:i/>
          <w:iCs/>
          <w:sz w:val="22"/>
          <w:szCs w:val="22"/>
        </w:rPr>
        <w:t>26</w:t>
      </w:r>
      <w:r w:rsidRPr="00E93BE8">
        <w:rPr>
          <w:rFonts w:ascii="Arial" w:hAnsi="Arial" w:cs="Arial"/>
          <w:sz w:val="22"/>
          <w:szCs w:val="22"/>
        </w:rPr>
        <w:t>(1), pp.75-79.</w:t>
      </w:r>
    </w:p>
    <w:p w14:paraId="1F195740"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Guthrie, L. and Reid, B. 2022 ‘Using the care processes construct of McCormack and McCance's person-centred framework to critically analyse nursing care delivered: a case study’ </w:t>
      </w:r>
      <w:r w:rsidRPr="00E93BE8">
        <w:rPr>
          <w:rFonts w:ascii="Arial" w:hAnsi="Arial" w:cs="Arial"/>
          <w:i/>
          <w:iCs/>
          <w:sz w:val="22"/>
          <w:szCs w:val="22"/>
        </w:rPr>
        <w:t>Nursing and Residential Care</w:t>
      </w:r>
      <w:r w:rsidRPr="00E93BE8">
        <w:rPr>
          <w:rFonts w:ascii="Arial" w:hAnsi="Arial" w:cs="Arial"/>
          <w:sz w:val="22"/>
          <w:szCs w:val="22"/>
        </w:rPr>
        <w:t>, </w:t>
      </w:r>
      <w:r w:rsidRPr="00E93BE8">
        <w:rPr>
          <w:rFonts w:ascii="Arial" w:hAnsi="Arial" w:cs="Arial"/>
          <w:i/>
          <w:iCs/>
          <w:sz w:val="22"/>
          <w:szCs w:val="22"/>
        </w:rPr>
        <w:t>24</w:t>
      </w:r>
      <w:r w:rsidRPr="00E93BE8">
        <w:rPr>
          <w:rFonts w:ascii="Arial" w:hAnsi="Arial" w:cs="Arial"/>
          <w:sz w:val="22"/>
          <w:szCs w:val="22"/>
        </w:rPr>
        <w:t>(12), pp.1-7.</w:t>
      </w:r>
    </w:p>
    <w:p w14:paraId="2A34F5B0"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Kayes, N.M. and Papadimitriou, C. (2023) ‘Reflecting on challenges and opportunities for the practice of person-centred rehabilitation’ </w:t>
      </w:r>
      <w:r w:rsidRPr="00E93BE8">
        <w:rPr>
          <w:rFonts w:ascii="Arial" w:hAnsi="Arial" w:cs="Arial"/>
          <w:i/>
          <w:iCs/>
          <w:sz w:val="22"/>
          <w:szCs w:val="22"/>
        </w:rPr>
        <w:t>Clinical rehabilitation</w:t>
      </w:r>
      <w:r w:rsidRPr="00E93BE8">
        <w:rPr>
          <w:rFonts w:ascii="Arial" w:hAnsi="Arial" w:cs="Arial"/>
          <w:sz w:val="22"/>
          <w:szCs w:val="22"/>
        </w:rPr>
        <w:t>, </w:t>
      </w:r>
      <w:r w:rsidRPr="00E93BE8">
        <w:rPr>
          <w:rFonts w:ascii="Arial" w:hAnsi="Arial" w:cs="Arial"/>
          <w:i/>
          <w:iCs/>
          <w:sz w:val="22"/>
          <w:szCs w:val="22"/>
        </w:rPr>
        <w:t>37</w:t>
      </w:r>
      <w:r w:rsidRPr="00E93BE8">
        <w:rPr>
          <w:rFonts w:ascii="Arial" w:hAnsi="Arial" w:cs="Arial"/>
          <w:sz w:val="22"/>
          <w:szCs w:val="22"/>
        </w:rPr>
        <w:t>(8), pp.1026-1040.</w:t>
      </w:r>
    </w:p>
    <w:p w14:paraId="4CC226B2"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Khatri, R., </w:t>
      </w:r>
      <w:proofErr w:type="spellStart"/>
      <w:r w:rsidRPr="00E93BE8">
        <w:rPr>
          <w:rFonts w:ascii="Arial" w:hAnsi="Arial" w:cs="Arial"/>
          <w:sz w:val="22"/>
          <w:szCs w:val="22"/>
        </w:rPr>
        <w:t>Endalamaw</w:t>
      </w:r>
      <w:proofErr w:type="spellEnd"/>
      <w:r w:rsidRPr="00E93BE8">
        <w:rPr>
          <w:rFonts w:ascii="Arial" w:hAnsi="Arial" w:cs="Arial"/>
          <w:sz w:val="22"/>
          <w:szCs w:val="22"/>
        </w:rPr>
        <w:t xml:space="preserve">, A., </w:t>
      </w:r>
      <w:proofErr w:type="spellStart"/>
      <w:r w:rsidRPr="00E93BE8">
        <w:rPr>
          <w:rFonts w:ascii="Arial" w:hAnsi="Arial" w:cs="Arial"/>
          <w:sz w:val="22"/>
          <w:szCs w:val="22"/>
        </w:rPr>
        <w:t>Erku</w:t>
      </w:r>
      <w:proofErr w:type="spellEnd"/>
      <w:r w:rsidRPr="00E93BE8">
        <w:rPr>
          <w:rFonts w:ascii="Arial" w:hAnsi="Arial" w:cs="Arial"/>
          <w:sz w:val="22"/>
          <w:szCs w:val="22"/>
        </w:rPr>
        <w:t xml:space="preserve">, D., </w:t>
      </w:r>
      <w:proofErr w:type="spellStart"/>
      <w:r w:rsidRPr="00E93BE8">
        <w:rPr>
          <w:rFonts w:ascii="Arial" w:hAnsi="Arial" w:cs="Arial"/>
          <w:sz w:val="22"/>
          <w:szCs w:val="22"/>
        </w:rPr>
        <w:t>Wolka</w:t>
      </w:r>
      <w:proofErr w:type="spellEnd"/>
      <w:r w:rsidRPr="00E93BE8">
        <w:rPr>
          <w:rFonts w:ascii="Arial" w:hAnsi="Arial" w:cs="Arial"/>
          <w:sz w:val="22"/>
          <w:szCs w:val="22"/>
        </w:rPr>
        <w:t>, E., Nigatu, F., Zewdie, A. and Assefa, Y. (2023) ‘Continuity and care coordination of primary health care: a scoping review’ </w:t>
      </w:r>
      <w:r w:rsidRPr="00E93BE8">
        <w:rPr>
          <w:rFonts w:ascii="Arial" w:hAnsi="Arial" w:cs="Arial"/>
          <w:i/>
          <w:iCs/>
          <w:sz w:val="22"/>
          <w:szCs w:val="22"/>
        </w:rPr>
        <w:t>BMC Health Services Research</w:t>
      </w:r>
      <w:r w:rsidRPr="00E93BE8">
        <w:rPr>
          <w:rFonts w:ascii="Arial" w:hAnsi="Arial" w:cs="Arial"/>
          <w:sz w:val="22"/>
          <w:szCs w:val="22"/>
        </w:rPr>
        <w:t>, </w:t>
      </w:r>
      <w:r w:rsidRPr="00E93BE8">
        <w:rPr>
          <w:rFonts w:ascii="Arial" w:hAnsi="Arial" w:cs="Arial"/>
          <w:i/>
          <w:iCs/>
          <w:sz w:val="22"/>
          <w:szCs w:val="22"/>
        </w:rPr>
        <w:t>23</w:t>
      </w:r>
      <w:r w:rsidRPr="00E93BE8">
        <w:rPr>
          <w:rFonts w:ascii="Arial" w:hAnsi="Arial" w:cs="Arial"/>
          <w:sz w:val="22"/>
          <w:szCs w:val="22"/>
        </w:rPr>
        <w:t>(1), p.750.</w:t>
      </w:r>
    </w:p>
    <w:p w14:paraId="4F5358A0"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Louw, J.M., Marcus, T.S. and Hugo, J.F. (2017) ‘Patient-or person-centred practice in </w:t>
      </w:r>
      <w:proofErr w:type="gramStart"/>
      <w:r w:rsidRPr="00E93BE8">
        <w:rPr>
          <w:rFonts w:ascii="Arial" w:hAnsi="Arial" w:cs="Arial"/>
          <w:sz w:val="22"/>
          <w:szCs w:val="22"/>
        </w:rPr>
        <w:t>medicine?-</w:t>
      </w:r>
      <w:proofErr w:type="gramEnd"/>
      <w:r w:rsidRPr="00E93BE8">
        <w:rPr>
          <w:rFonts w:ascii="Arial" w:hAnsi="Arial" w:cs="Arial"/>
          <w:sz w:val="22"/>
          <w:szCs w:val="22"/>
        </w:rPr>
        <w:t>A review of concepts’ </w:t>
      </w:r>
      <w:r w:rsidRPr="00E93BE8">
        <w:rPr>
          <w:rFonts w:ascii="Arial" w:hAnsi="Arial" w:cs="Arial"/>
          <w:i/>
          <w:iCs/>
          <w:sz w:val="22"/>
          <w:szCs w:val="22"/>
        </w:rPr>
        <w:t>African journal of primary health care &amp; family medicine</w:t>
      </w:r>
      <w:r w:rsidRPr="00E93BE8">
        <w:rPr>
          <w:rFonts w:ascii="Arial" w:hAnsi="Arial" w:cs="Arial"/>
          <w:sz w:val="22"/>
          <w:szCs w:val="22"/>
        </w:rPr>
        <w:t>, </w:t>
      </w:r>
      <w:r w:rsidRPr="00E93BE8">
        <w:rPr>
          <w:rFonts w:ascii="Arial" w:hAnsi="Arial" w:cs="Arial"/>
          <w:i/>
          <w:iCs/>
          <w:sz w:val="22"/>
          <w:szCs w:val="22"/>
        </w:rPr>
        <w:t>9</w:t>
      </w:r>
      <w:r w:rsidRPr="00E93BE8">
        <w:rPr>
          <w:rFonts w:ascii="Arial" w:hAnsi="Arial" w:cs="Arial"/>
          <w:sz w:val="22"/>
          <w:szCs w:val="22"/>
        </w:rPr>
        <w:t>(1), pp.1-7.</w:t>
      </w:r>
    </w:p>
    <w:p w14:paraId="4B7BC36C"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McCormack, B. and McCance, T. 2021 ‘The person-centred nursing framework’ In </w:t>
      </w:r>
      <w:r w:rsidRPr="00E93BE8">
        <w:rPr>
          <w:rFonts w:ascii="Arial" w:hAnsi="Arial" w:cs="Arial"/>
          <w:i/>
          <w:iCs/>
          <w:sz w:val="22"/>
          <w:szCs w:val="22"/>
        </w:rPr>
        <w:t>Person-centred nursing research: Methodology, methods and outcomes</w:t>
      </w:r>
      <w:r w:rsidRPr="00E93BE8">
        <w:rPr>
          <w:rFonts w:ascii="Arial" w:hAnsi="Arial" w:cs="Arial"/>
          <w:sz w:val="22"/>
          <w:szCs w:val="22"/>
        </w:rPr>
        <w:t> (pp. 13-27). Cham: Springer International Publishing.</w:t>
      </w:r>
    </w:p>
    <w:p w14:paraId="6604E325"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Moilanen, T., Kangasniemi, M., </w:t>
      </w:r>
      <w:proofErr w:type="spellStart"/>
      <w:r w:rsidRPr="00E93BE8">
        <w:rPr>
          <w:rFonts w:ascii="Arial" w:hAnsi="Arial" w:cs="Arial"/>
          <w:sz w:val="22"/>
          <w:szCs w:val="22"/>
        </w:rPr>
        <w:t>Papinaho</w:t>
      </w:r>
      <w:proofErr w:type="spellEnd"/>
      <w:r w:rsidRPr="00E93BE8">
        <w:rPr>
          <w:rFonts w:ascii="Arial" w:hAnsi="Arial" w:cs="Arial"/>
          <w:sz w:val="22"/>
          <w:szCs w:val="22"/>
        </w:rPr>
        <w:t xml:space="preserve">, O., </w:t>
      </w:r>
      <w:proofErr w:type="spellStart"/>
      <w:r w:rsidRPr="00E93BE8">
        <w:rPr>
          <w:rFonts w:ascii="Arial" w:hAnsi="Arial" w:cs="Arial"/>
          <w:sz w:val="22"/>
          <w:szCs w:val="22"/>
        </w:rPr>
        <w:t>Mynttinen</w:t>
      </w:r>
      <w:proofErr w:type="spellEnd"/>
      <w:r w:rsidRPr="00E93BE8">
        <w:rPr>
          <w:rFonts w:ascii="Arial" w:hAnsi="Arial" w:cs="Arial"/>
          <w:sz w:val="22"/>
          <w:szCs w:val="22"/>
        </w:rPr>
        <w:t>, M., Siipi, H., Suominen, S. and Suhonen, R. (2021) ‘Older people’s perceived autonomy in residential care: An integrative review’ </w:t>
      </w:r>
      <w:r w:rsidRPr="00E93BE8">
        <w:rPr>
          <w:rFonts w:ascii="Arial" w:hAnsi="Arial" w:cs="Arial"/>
          <w:i/>
          <w:iCs/>
          <w:sz w:val="22"/>
          <w:szCs w:val="22"/>
        </w:rPr>
        <w:t>Nursing ethics</w:t>
      </w:r>
      <w:r w:rsidRPr="00E93BE8">
        <w:rPr>
          <w:rFonts w:ascii="Arial" w:hAnsi="Arial" w:cs="Arial"/>
          <w:sz w:val="22"/>
          <w:szCs w:val="22"/>
        </w:rPr>
        <w:t>, </w:t>
      </w:r>
      <w:r w:rsidRPr="00E93BE8">
        <w:rPr>
          <w:rFonts w:ascii="Arial" w:hAnsi="Arial" w:cs="Arial"/>
          <w:i/>
          <w:iCs/>
          <w:sz w:val="22"/>
          <w:szCs w:val="22"/>
        </w:rPr>
        <w:t>28</w:t>
      </w:r>
      <w:r w:rsidRPr="00E93BE8">
        <w:rPr>
          <w:rFonts w:ascii="Arial" w:hAnsi="Arial" w:cs="Arial"/>
          <w:sz w:val="22"/>
          <w:szCs w:val="22"/>
        </w:rPr>
        <w:t>(3), pp.414-434.</w:t>
      </w:r>
    </w:p>
    <w:p w14:paraId="648AE545"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North, J. 2020 </w:t>
      </w:r>
      <w:r w:rsidRPr="00E93BE8">
        <w:rPr>
          <w:rFonts w:ascii="Arial" w:hAnsi="Arial" w:cs="Arial"/>
          <w:i/>
          <w:iCs/>
          <w:sz w:val="22"/>
          <w:szCs w:val="22"/>
        </w:rPr>
        <w:t>Achieving person-centred health systems: evidence, strategies and challenges</w:t>
      </w:r>
      <w:r w:rsidRPr="00E93BE8">
        <w:rPr>
          <w:rFonts w:ascii="Arial" w:hAnsi="Arial" w:cs="Arial"/>
          <w:sz w:val="22"/>
          <w:szCs w:val="22"/>
        </w:rPr>
        <w:t>. Cambridge University Press.</w:t>
      </w:r>
    </w:p>
    <w:p w14:paraId="3F8A784F" w14:textId="77777777" w:rsidR="00E93BE8" w:rsidRPr="00E93BE8" w:rsidRDefault="00E93BE8" w:rsidP="00E93BE8">
      <w:pPr>
        <w:spacing w:line="360" w:lineRule="auto"/>
        <w:jc w:val="both"/>
        <w:rPr>
          <w:rFonts w:ascii="Arial" w:hAnsi="Arial" w:cs="Arial"/>
          <w:sz w:val="22"/>
          <w:szCs w:val="22"/>
        </w:rPr>
      </w:pPr>
      <w:proofErr w:type="spellStart"/>
      <w:r w:rsidRPr="00E93BE8">
        <w:rPr>
          <w:rFonts w:ascii="Arial" w:hAnsi="Arial" w:cs="Arial"/>
          <w:sz w:val="22"/>
          <w:szCs w:val="22"/>
        </w:rPr>
        <w:t>Ocloo</w:t>
      </w:r>
      <w:proofErr w:type="spellEnd"/>
      <w:r w:rsidRPr="00E93BE8">
        <w:rPr>
          <w:rFonts w:ascii="Arial" w:hAnsi="Arial" w:cs="Arial"/>
          <w:sz w:val="22"/>
          <w:szCs w:val="22"/>
        </w:rPr>
        <w:t>, J., Garfield, S., Franklin, B.D. and Dawson, S. (2021) ‘Exploring the theory, barriers and enablers for patient and public involvement across health, social care and patient safety: a systematic review of reviews’ </w:t>
      </w:r>
      <w:r w:rsidRPr="00E93BE8">
        <w:rPr>
          <w:rFonts w:ascii="Arial" w:hAnsi="Arial" w:cs="Arial"/>
          <w:i/>
          <w:iCs/>
          <w:sz w:val="22"/>
          <w:szCs w:val="22"/>
        </w:rPr>
        <w:t>Health research policy and systems</w:t>
      </w:r>
      <w:r w:rsidRPr="00E93BE8">
        <w:rPr>
          <w:rFonts w:ascii="Arial" w:hAnsi="Arial" w:cs="Arial"/>
          <w:sz w:val="22"/>
          <w:szCs w:val="22"/>
        </w:rPr>
        <w:t>, </w:t>
      </w:r>
      <w:r w:rsidRPr="00E93BE8">
        <w:rPr>
          <w:rFonts w:ascii="Arial" w:hAnsi="Arial" w:cs="Arial"/>
          <w:i/>
          <w:iCs/>
          <w:sz w:val="22"/>
          <w:szCs w:val="22"/>
        </w:rPr>
        <w:t>19</w:t>
      </w:r>
      <w:r w:rsidRPr="00E93BE8">
        <w:rPr>
          <w:rFonts w:ascii="Arial" w:hAnsi="Arial" w:cs="Arial"/>
          <w:sz w:val="22"/>
          <w:szCs w:val="22"/>
        </w:rPr>
        <w:t>(1), p.8.</w:t>
      </w:r>
    </w:p>
    <w:p w14:paraId="3E364C49"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O'Donnell, D., McCormack, B., McCance, T. and </w:t>
      </w:r>
      <w:proofErr w:type="spellStart"/>
      <w:r w:rsidRPr="00E93BE8">
        <w:rPr>
          <w:rFonts w:ascii="Arial" w:hAnsi="Arial" w:cs="Arial"/>
          <w:sz w:val="22"/>
          <w:szCs w:val="22"/>
        </w:rPr>
        <w:t>McIlfatrick</w:t>
      </w:r>
      <w:proofErr w:type="spellEnd"/>
      <w:r w:rsidRPr="00E93BE8">
        <w:rPr>
          <w:rFonts w:ascii="Arial" w:hAnsi="Arial" w:cs="Arial"/>
          <w:sz w:val="22"/>
          <w:szCs w:val="22"/>
        </w:rPr>
        <w:t>, S. 2020 ‘A meta-synthesis of person-centredness in nursing curricula. </w:t>
      </w:r>
      <w:r w:rsidRPr="00E93BE8">
        <w:rPr>
          <w:rFonts w:ascii="Arial" w:hAnsi="Arial" w:cs="Arial"/>
          <w:i/>
          <w:iCs/>
          <w:sz w:val="22"/>
          <w:szCs w:val="22"/>
        </w:rPr>
        <w:t>International practice development journal</w:t>
      </w:r>
      <w:r w:rsidRPr="00E93BE8">
        <w:rPr>
          <w:rFonts w:ascii="Arial" w:hAnsi="Arial" w:cs="Arial"/>
          <w:sz w:val="22"/>
          <w:szCs w:val="22"/>
        </w:rPr>
        <w:t>, </w:t>
      </w:r>
      <w:r w:rsidRPr="00E93BE8">
        <w:rPr>
          <w:rFonts w:ascii="Arial" w:hAnsi="Arial" w:cs="Arial"/>
          <w:i/>
          <w:iCs/>
          <w:sz w:val="22"/>
          <w:szCs w:val="22"/>
        </w:rPr>
        <w:t>10</w:t>
      </w:r>
      <w:r w:rsidRPr="00E93BE8">
        <w:rPr>
          <w:rFonts w:ascii="Arial" w:hAnsi="Arial" w:cs="Arial"/>
          <w:sz w:val="22"/>
          <w:szCs w:val="22"/>
        </w:rPr>
        <w:t>.</w:t>
      </w:r>
    </w:p>
    <w:p w14:paraId="44196157"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lastRenderedPageBreak/>
        <w:t>Smith, H., Miller, K., Barnett, N., Oboh, L., Jones, E., Darcy, C., McKee, H., Agnew, J. and Crawford, P. 2019 ‘Person-centred care including deprescribing for older people’ </w:t>
      </w:r>
      <w:r w:rsidRPr="00E93BE8">
        <w:rPr>
          <w:rFonts w:ascii="Arial" w:hAnsi="Arial" w:cs="Arial"/>
          <w:i/>
          <w:iCs/>
          <w:sz w:val="22"/>
          <w:szCs w:val="22"/>
        </w:rPr>
        <w:t>Pharmacy</w:t>
      </w:r>
      <w:r w:rsidRPr="00E93BE8">
        <w:rPr>
          <w:rFonts w:ascii="Arial" w:hAnsi="Arial" w:cs="Arial"/>
          <w:sz w:val="22"/>
          <w:szCs w:val="22"/>
        </w:rPr>
        <w:t>, </w:t>
      </w:r>
      <w:r w:rsidRPr="00E93BE8">
        <w:rPr>
          <w:rFonts w:ascii="Arial" w:hAnsi="Arial" w:cs="Arial"/>
          <w:i/>
          <w:iCs/>
          <w:sz w:val="22"/>
          <w:szCs w:val="22"/>
        </w:rPr>
        <w:t>7</w:t>
      </w:r>
      <w:r w:rsidRPr="00E93BE8">
        <w:rPr>
          <w:rFonts w:ascii="Arial" w:hAnsi="Arial" w:cs="Arial"/>
          <w:sz w:val="22"/>
          <w:szCs w:val="22"/>
        </w:rPr>
        <w:t>(3), p.101.</w:t>
      </w:r>
    </w:p>
    <w:p w14:paraId="1CB811C3"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Smith, M.V., Adams, D., Carr, C. and Mengoni, S.E. (2019) ‘Do people with intellectual disabilities understand their prescription medication? A scoping review’ </w:t>
      </w:r>
      <w:r w:rsidRPr="00E93BE8">
        <w:rPr>
          <w:rFonts w:ascii="Arial" w:hAnsi="Arial" w:cs="Arial"/>
          <w:i/>
          <w:iCs/>
          <w:sz w:val="22"/>
          <w:szCs w:val="22"/>
        </w:rPr>
        <w:t>Journal of Applied Research in Intellectual Disabilities</w:t>
      </w:r>
      <w:r w:rsidRPr="00E93BE8">
        <w:rPr>
          <w:rFonts w:ascii="Arial" w:hAnsi="Arial" w:cs="Arial"/>
          <w:sz w:val="22"/>
          <w:szCs w:val="22"/>
        </w:rPr>
        <w:t>, </w:t>
      </w:r>
      <w:r w:rsidRPr="00E93BE8">
        <w:rPr>
          <w:rFonts w:ascii="Arial" w:hAnsi="Arial" w:cs="Arial"/>
          <w:i/>
          <w:iCs/>
          <w:sz w:val="22"/>
          <w:szCs w:val="22"/>
        </w:rPr>
        <w:t>32</w:t>
      </w:r>
      <w:r w:rsidRPr="00E93BE8">
        <w:rPr>
          <w:rFonts w:ascii="Arial" w:hAnsi="Arial" w:cs="Arial"/>
          <w:sz w:val="22"/>
          <w:szCs w:val="22"/>
        </w:rPr>
        <w:t>(6), pp.1375-1388.</w:t>
      </w:r>
    </w:p>
    <w:p w14:paraId="5C8E206F" w14:textId="77777777" w:rsidR="00E93BE8" w:rsidRPr="00E93BE8" w:rsidRDefault="00E93BE8" w:rsidP="00E93BE8">
      <w:pPr>
        <w:spacing w:line="360" w:lineRule="auto"/>
        <w:jc w:val="both"/>
        <w:rPr>
          <w:rFonts w:ascii="Arial" w:hAnsi="Arial" w:cs="Arial"/>
          <w:sz w:val="22"/>
          <w:szCs w:val="22"/>
        </w:rPr>
      </w:pPr>
      <w:r w:rsidRPr="00E93BE8">
        <w:rPr>
          <w:rFonts w:ascii="Arial" w:hAnsi="Arial" w:cs="Arial"/>
          <w:sz w:val="22"/>
          <w:szCs w:val="22"/>
        </w:rPr>
        <w:t xml:space="preserve">Tew, J., Duggal, S., Carr, S., Ercolani, M., Glasby, J., Kinghorn, P., Miller, R., </w:t>
      </w:r>
      <w:proofErr w:type="spellStart"/>
      <w:r w:rsidRPr="00E93BE8">
        <w:rPr>
          <w:rFonts w:ascii="Arial" w:hAnsi="Arial" w:cs="Arial"/>
          <w:sz w:val="22"/>
          <w:szCs w:val="22"/>
        </w:rPr>
        <w:t>Newbigging</w:t>
      </w:r>
      <w:proofErr w:type="spellEnd"/>
      <w:r w:rsidRPr="00E93BE8">
        <w:rPr>
          <w:rFonts w:ascii="Arial" w:hAnsi="Arial" w:cs="Arial"/>
          <w:sz w:val="22"/>
          <w:szCs w:val="22"/>
        </w:rPr>
        <w:t xml:space="preserve">, K., Tanner, D. and </w:t>
      </w:r>
      <w:proofErr w:type="spellStart"/>
      <w:r w:rsidRPr="00E93BE8">
        <w:rPr>
          <w:rFonts w:ascii="Arial" w:hAnsi="Arial" w:cs="Arial"/>
          <w:sz w:val="22"/>
          <w:szCs w:val="22"/>
        </w:rPr>
        <w:t>Afentou</w:t>
      </w:r>
      <w:proofErr w:type="spellEnd"/>
      <w:r w:rsidRPr="00E93BE8">
        <w:rPr>
          <w:rFonts w:ascii="Arial" w:hAnsi="Arial" w:cs="Arial"/>
          <w:sz w:val="22"/>
          <w:szCs w:val="22"/>
        </w:rPr>
        <w:t>, N. 2019 ‘Implementing the Care Act 2014: Building social resources to prevent, reduce or delay needs for care and support in adult social care in England’ </w:t>
      </w:r>
      <w:r w:rsidRPr="00E93BE8">
        <w:rPr>
          <w:rFonts w:ascii="Arial" w:hAnsi="Arial" w:cs="Arial"/>
          <w:i/>
          <w:iCs/>
          <w:sz w:val="22"/>
          <w:szCs w:val="22"/>
        </w:rPr>
        <w:t>Department of Social Work and Social Care</w:t>
      </w:r>
      <w:r w:rsidRPr="00E93BE8">
        <w:rPr>
          <w:rFonts w:ascii="Arial" w:hAnsi="Arial" w:cs="Arial"/>
          <w:sz w:val="22"/>
          <w:szCs w:val="22"/>
        </w:rPr>
        <w:t>.</w:t>
      </w:r>
    </w:p>
    <w:p w14:paraId="69C00038" w14:textId="77777777" w:rsidR="00E93BE8" w:rsidRPr="005A0BF9" w:rsidRDefault="00E93BE8" w:rsidP="00E66B50">
      <w:pPr>
        <w:spacing w:line="360" w:lineRule="auto"/>
        <w:jc w:val="both"/>
        <w:rPr>
          <w:rFonts w:ascii="Arial" w:hAnsi="Arial" w:cs="Arial"/>
          <w:sz w:val="22"/>
          <w:szCs w:val="22"/>
        </w:rPr>
      </w:pPr>
    </w:p>
    <w:sectPr w:rsidR="00E93BE8" w:rsidRPr="005A0B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BF9"/>
    <w:rsid w:val="00293E7F"/>
    <w:rsid w:val="003A107D"/>
    <w:rsid w:val="00422698"/>
    <w:rsid w:val="005812C7"/>
    <w:rsid w:val="005A0BF9"/>
    <w:rsid w:val="00691E9C"/>
    <w:rsid w:val="009856F8"/>
    <w:rsid w:val="00A25322"/>
    <w:rsid w:val="00B75405"/>
    <w:rsid w:val="00B964BC"/>
    <w:rsid w:val="00CE326E"/>
    <w:rsid w:val="00D27A58"/>
    <w:rsid w:val="00D61D7D"/>
    <w:rsid w:val="00E66B50"/>
    <w:rsid w:val="00E93BE8"/>
    <w:rsid w:val="00EA1ABA"/>
    <w:rsid w:val="00EA4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71980"/>
  <w15:chartTrackingRefBased/>
  <w15:docId w15:val="{EA0BE339-6A3C-497D-A7B2-EDD47C84A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B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0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0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0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0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0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0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0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0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B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0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0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0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0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0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0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0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0BF9"/>
    <w:rPr>
      <w:rFonts w:eastAsiaTheme="majorEastAsia" w:cstheme="majorBidi"/>
      <w:color w:val="272727" w:themeColor="text1" w:themeTint="D8"/>
    </w:rPr>
  </w:style>
  <w:style w:type="paragraph" w:styleId="Title">
    <w:name w:val="Title"/>
    <w:basedOn w:val="Normal"/>
    <w:next w:val="Normal"/>
    <w:link w:val="TitleChar"/>
    <w:uiPriority w:val="10"/>
    <w:qFormat/>
    <w:rsid w:val="005A0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0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0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0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0BF9"/>
    <w:pPr>
      <w:spacing w:before="160"/>
      <w:jc w:val="center"/>
    </w:pPr>
    <w:rPr>
      <w:i/>
      <w:iCs/>
      <w:color w:val="404040" w:themeColor="text1" w:themeTint="BF"/>
    </w:rPr>
  </w:style>
  <w:style w:type="character" w:customStyle="1" w:styleId="QuoteChar">
    <w:name w:val="Quote Char"/>
    <w:basedOn w:val="DefaultParagraphFont"/>
    <w:link w:val="Quote"/>
    <w:uiPriority w:val="29"/>
    <w:rsid w:val="005A0BF9"/>
    <w:rPr>
      <w:i/>
      <w:iCs/>
      <w:color w:val="404040" w:themeColor="text1" w:themeTint="BF"/>
    </w:rPr>
  </w:style>
  <w:style w:type="paragraph" w:styleId="ListParagraph">
    <w:name w:val="List Paragraph"/>
    <w:basedOn w:val="Normal"/>
    <w:uiPriority w:val="34"/>
    <w:qFormat/>
    <w:rsid w:val="005A0BF9"/>
    <w:pPr>
      <w:ind w:left="720"/>
      <w:contextualSpacing/>
    </w:pPr>
  </w:style>
  <w:style w:type="character" w:styleId="IntenseEmphasis">
    <w:name w:val="Intense Emphasis"/>
    <w:basedOn w:val="DefaultParagraphFont"/>
    <w:uiPriority w:val="21"/>
    <w:qFormat/>
    <w:rsid w:val="005A0BF9"/>
    <w:rPr>
      <w:i/>
      <w:iCs/>
      <w:color w:val="0F4761" w:themeColor="accent1" w:themeShade="BF"/>
    </w:rPr>
  </w:style>
  <w:style w:type="paragraph" w:styleId="IntenseQuote">
    <w:name w:val="Intense Quote"/>
    <w:basedOn w:val="Normal"/>
    <w:next w:val="Normal"/>
    <w:link w:val="IntenseQuoteChar"/>
    <w:uiPriority w:val="30"/>
    <w:qFormat/>
    <w:rsid w:val="005A0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0BF9"/>
    <w:rPr>
      <w:i/>
      <w:iCs/>
      <w:color w:val="0F4761" w:themeColor="accent1" w:themeShade="BF"/>
    </w:rPr>
  </w:style>
  <w:style w:type="character" w:styleId="IntenseReference">
    <w:name w:val="Intense Reference"/>
    <w:basedOn w:val="DefaultParagraphFont"/>
    <w:uiPriority w:val="32"/>
    <w:qFormat/>
    <w:rsid w:val="005A0BF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3801</Words>
  <Characters>21666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LINDA TEKYI</cp:lastModifiedBy>
  <cp:revision>2</cp:revision>
  <dcterms:created xsi:type="dcterms:W3CDTF">2026-03-28T04:25:00Z</dcterms:created>
  <dcterms:modified xsi:type="dcterms:W3CDTF">2026-03-28T04:25:00Z</dcterms:modified>
</cp:coreProperties>
</file>