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4535FF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3839C2">
        <w:rPr>
          <w:rFonts w:ascii="Arial" w:hAnsi="Arial" w:cs="Arial"/>
          <w:sz w:val="28"/>
          <w:szCs w:val="28"/>
        </w:rPr>
        <w:t>Andreea</w:t>
      </w:r>
      <w:proofErr w:type="spellEnd"/>
      <w:r w:rsidR="003839C2">
        <w:rPr>
          <w:rFonts w:ascii="Arial" w:hAnsi="Arial" w:cs="Arial"/>
          <w:sz w:val="28"/>
          <w:szCs w:val="28"/>
        </w:rPr>
        <w:t xml:space="preserve"> Rebeca </w:t>
      </w:r>
      <w:proofErr w:type="spellStart"/>
      <w:r w:rsidR="003839C2">
        <w:rPr>
          <w:rFonts w:ascii="Arial" w:hAnsi="Arial" w:cs="Arial"/>
          <w:sz w:val="28"/>
          <w:szCs w:val="28"/>
        </w:rPr>
        <w:t>Ardelean</w:t>
      </w:r>
      <w:proofErr w:type="spellEnd"/>
    </w:p>
    <w:p w14:paraId="476C763A" w14:textId="4AB6947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033719">
        <w:rPr>
          <w:rFonts w:ascii="Arial" w:hAnsi="Arial" w:cs="Arial"/>
          <w:sz w:val="28"/>
          <w:szCs w:val="28"/>
          <w:lang w:val="nl-NL"/>
        </w:rPr>
        <w:t>2508016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9C7ED0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5F2EF6">
        <w:rPr>
          <w:rStyle w:val="Strong"/>
          <w:rFonts w:ascii="Segoe UI" w:eastAsia="Times New Roman" w:hAnsi="Segoe UI" w:cs="Segoe UI"/>
          <w:color w:val="1D2125"/>
          <w:sz w:val="23"/>
          <w:szCs w:val="23"/>
          <w:shd w:val="clear" w:color="auto" w:fill="FFFFFF"/>
        </w:rPr>
        <w:t xml:space="preserve">Introduction to Health and Social Care </w:t>
      </w:r>
    </w:p>
    <w:p w14:paraId="0009AFB0" w14:textId="1779EED6"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C62B3A" w:rsidRPr="00C62B3A">
        <w:rPr>
          <w:rStyle w:val="Strong"/>
          <w:rFonts w:ascii="Segoe UI" w:eastAsia="Times New Roman" w:hAnsi="Segoe UI" w:cs="Segoe UI"/>
          <w:color w:val="1D2125"/>
          <w:sz w:val="23"/>
          <w:szCs w:val="23"/>
          <w:shd w:val="clear" w:color="auto" w:fill="FFFFFF"/>
        </w:rPr>
        <w:t xml:space="preserve"> </w:t>
      </w:r>
      <w:r w:rsidR="00C62B3A">
        <w:rPr>
          <w:rStyle w:val="Strong"/>
          <w:rFonts w:ascii="Segoe UI" w:eastAsia="Times New Roman" w:hAnsi="Segoe UI" w:cs="Segoe UI"/>
          <w:color w:val="1D2125"/>
          <w:sz w:val="23"/>
          <w:szCs w:val="23"/>
          <w:shd w:val="clear" w:color="auto" w:fill="FFFFFF"/>
        </w:rPr>
        <w:t>LCHS4003</w:t>
      </w:r>
    </w:p>
    <w:p w14:paraId="410C101D" w14:textId="5A62FAE1" w:rsidR="00925D5E" w:rsidRPr="00FB5DAC" w:rsidRDefault="00833470">
      <w:pPr>
        <w:rPr>
          <w:sz w:val="16"/>
          <w:szCs w:val="16"/>
        </w:rPr>
        <w:sectPr w:rsidR="00925D5E" w:rsidRPr="00FB5DAC">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00BA5834">
        <w:rPr>
          <w:rFonts w:ascii="Arial" w:hAnsi="Arial" w:cs="Arial"/>
          <w:b/>
          <w:bCs/>
          <w:sz w:val="28"/>
          <w:szCs w:val="28"/>
        </w:rPr>
        <w:t>:</w:t>
      </w:r>
      <w:r w:rsidRPr="00BA5834">
        <w:rPr>
          <w:b/>
          <w:bCs/>
        </w:rPr>
        <w:t xml:space="preserve"> </w:t>
      </w:r>
      <w:r w:rsidR="00A21A2E" w:rsidRPr="00BA5834">
        <w:rPr>
          <w:b/>
          <w:bCs/>
        </w:rPr>
        <w:t xml:space="preserve">Shepherd </w:t>
      </w:r>
      <w:r w:rsidR="00A91191" w:rsidRPr="00BA5834">
        <w:rPr>
          <w:b/>
          <w:bCs/>
        </w:rPr>
        <w:t>Zico</w:t>
      </w:r>
      <w:bookmarkEnd w:id="0"/>
    </w:p>
    <w:p w14:paraId="7003155F" w14:textId="14848068" w:rsidR="008000DE" w:rsidRDefault="008000DE"/>
    <w:p w14:paraId="5AFFC33B" w14:textId="44A6A7D6" w:rsidR="003A000F" w:rsidRPr="00B62854" w:rsidRDefault="006F20A2">
      <w:pPr>
        <w:rPr>
          <w:rFonts w:ascii="Arial" w:hAnsi="Arial" w:cs="Arial"/>
          <w:sz w:val="16"/>
          <w:szCs w:val="16"/>
        </w:rPr>
        <w:sectPr w:rsidR="003A000F" w:rsidRPr="00B62854" w:rsidSect="003A000F">
          <w:pgSz w:w="16838" w:h="11906" w:orient="landscape"/>
          <w:pgMar w:top="1440" w:right="1440" w:bottom="1440" w:left="1440" w:header="708" w:footer="708" w:gutter="0"/>
          <w:cols w:space="708"/>
          <w:docGrid w:linePitch="360"/>
        </w:sectPr>
      </w:pPr>
      <w:r>
        <w:t xml:space="preserve"> </w:t>
      </w:r>
      <w:r w:rsidR="00F70DED">
        <w:rPr>
          <w:rFonts w:ascii="Arial" w:hAnsi="Arial" w:cs="Arial"/>
          <w:noProof/>
          <w:sz w:val="16"/>
          <w:szCs w:val="16"/>
        </w:rPr>
        <mc:AlternateContent>
          <mc:Choice Requires="wps">
            <w:drawing>
              <wp:anchor distT="45720" distB="45720" distL="114300" distR="114300" simplePos="0" relativeHeight="251683840" behindDoc="0" locked="0" layoutInCell="1" allowOverlap="1" wp14:anchorId="02C513BF" wp14:editId="4C5B0FC0">
                <wp:simplePos x="0" y="0"/>
                <wp:positionH relativeFrom="column">
                  <wp:posOffset>-424180</wp:posOffset>
                </wp:positionH>
                <wp:positionV relativeFrom="paragraph">
                  <wp:posOffset>0</wp:posOffset>
                </wp:positionV>
                <wp:extent cx="6744970" cy="715010"/>
                <wp:effectExtent l="0" t="0" r="17780" b="27940"/>
                <wp:wrapSquare wrapText="bothSides"/>
                <wp:docPr id="1092756047" name="Text Box 1"/>
                <wp:cNvGraphicFramePr/>
                <a:graphic xmlns:a="http://schemas.openxmlformats.org/drawingml/2006/main">
                  <a:graphicData uri="http://schemas.microsoft.com/office/word/2010/wordprocessingShape">
                    <wps:wsp>
                      <wps:cNvSpPr txBox="1"/>
                      <wps:spPr>
                        <a:xfrm>
                          <a:off x="0" y="0"/>
                          <a:ext cx="6744970" cy="715010"/>
                        </a:xfrm>
                        <a:prstGeom prst="rect">
                          <a:avLst/>
                        </a:prstGeom>
                        <a:solidFill>
                          <a:prstClr val="white"/>
                        </a:solidFill>
                        <a:ln w="6350">
                          <a:solidFill>
                            <a:prstClr val="black"/>
                          </a:solidFill>
                        </a:ln>
                      </wps:spPr>
                      <wps:txbx>
                        <w:txbxContent>
                          <w:p w14:paraId="00B6E66C" w14:textId="4A437A5C" w:rsidR="00F70DED" w:rsidRPr="006A0C74" w:rsidRDefault="00CD7673" w:rsidP="004A48D1">
                            <w:pPr>
                              <w:rPr>
                                <w:sz w:val="16"/>
                                <w:szCs w:val="16"/>
                              </w:rPr>
                            </w:pPr>
                            <w:r>
                              <w:t xml:space="preserve">COMMUNITY </w:t>
                            </w:r>
                            <w:r w:rsidR="004A310C">
                              <w:t xml:space="preserve">DISABILITIES </w:t>
                            </w:r>
                            <w:r w:rsidR="0042331A">
                              <w:t xml:space="preserve">                                                                                                                                                                     ANDREEA REBECA ARDELEAN</w:t>
                            </w:r>
                            <w:r w:rsidR="001907E8">
                              <w:t xml:space="preserve">          STUDENT ID </w:t>
                            </w:r>
                            <w:r w:rsidR="00252522">
                              <w:t>:</w:t>
                            </w:r>
                            <w:r w:rsidR="001907E8">
                              <w:t>25</w:t>
                            </w:r>
                            <w:r w:rsidR="00252522">
                              <w:t>08016        STUDENT EMAIL:</w:t>
                            </w:r>
                            <w:r w:rsidR="00C12E10">
                              <w:t>2508016@student.uwtsd.ac.uk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C513BF" id="_x0000_t202" coordsize="21600,21600" o:spt="202" path="m,l,21600r21600,l21600,xe">
                <v:stroke joinstyle="miter"/>
                <v:path gradientshapeok="t" o:connecttype="rect"/>
              </v:shapetype>
              <v:shape id="Text Box 1" o:spid="_x0000_s1026" type="#_x0000_t202" style="position:absolute;margin-left:-33.4pt;margin-top:0;width:531.1pt;height:56.3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" strokeweight=".5pt">
                <v:textbox>
                  <w:txbxContent>
                    <w:p w14:paraId="00B6E66C" w14:textId="4A437A5C" w:rsidR="00F70DED" w:rsidRPr="006A0C74" w:rsidRDefault="00CD7673" w:rsidP="004A48D1">
                      <w:pPr>
                        <w:rPr>
                          <w:sz w:val="16"/>
                          <w:szCs w:val="16"/>
                        </w:rPr>
                      </w:pPr>
                      <w:r>
                        <w:t xml:space="preserve">COMMUNITY </w:t>
                      </w:r>
                      <w:r w:rsidR="004A310C">
                        <w:t xml:space="preserve">DISABILITIES </w:t>
                      </w:r>
                      <w:r w:rsidR="0042331A">
                        <w:t xml:space="preserve">                                                                                                                                                                     ANDREEA REBECA ARDELEAN</w:t>
                      </w:r>
                      <w:r w:rsidR="001907E8">
                        <w:t xml:space="preserve">          STUDENT ID </w:t>
                      </w:r>
                      <w:r w:rsidR="00252522">
                        <w:t>:</w:t>
                      </w:r>
                      <w:r w:rsidR="001907E8">
                        <w:t>25</w:t>
                      </w:r>
                      <w:r w:rsidR="00252522">
                        <w:t>08016        STUDENT EMAIL:</w:t>
                      </w:r>
                      <w:r w:rsidR="00C12E10">
                        <w:t>2508016@student.uwtsd.ac.uk</w:t>
                      </w:r>
                    </w:p>
                  </w:txbxContent>
                </v:textbox>
                <w10:wrap type="square"/>
              </v:shape>
            </w:pict>
          </mc:Fallback>
        </mc:AlternateContent>
      </w:r>
      <w:r w:rsidR="00534C7C">
        <w:rPr>
          <w:rFonts w:ascii="Arial" w:hAnsi="Arial" w:cs="Arial"/>
          <w:noProof/>
          <w:sz w:val="16"/>
          <w:szCs w:val="16"/>
        </w:rPr>
        <w:drawing>
          <wp:anchor distT="0" distB="0" distL="114300" distR="114300" simplePos="0" relativeHeight="251682816" behindDoc="0" locked="0" layoutInCell="1" allowOverlap="1" wp14:anchorId="0B738F43" wp14:editId="0F23D6CB">
            <wp:simplePos x="0" y="0"/>
            <wp:positionH relativeFrom="column">
              <wp:posOffset>2815590</wp:posOffset>
            </wp:positionH>
            <wp:positionV relativeFrom="paragraph">
              <wp:posOffset>2240280</wp:posOffset>
            </wp:positionV>
            <wp:extent cx="3542665" cy="1506855"/>
            <wp:effectExtent l="0" t="0" r="635" b="0"/>
            <wp:wrapTopAndBottom/>
            <wp:docPr id="14022694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269419" name="Picture 140226941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42665" cy="1506855"/>
                    </a:xfrm>
                    <a:prstGeom prst="rect">
                      <a:avLst/>
                    </a:prstGeom>
                  </pic:spPr>
                </pic:pic>
              </a:graphicData>
            </a:graphic>
            <wp14:sizeRelH relativeFrom="margin">
              <wp14:pctWidth>0</wp14:pctWidth>
            </wp14:sizeRelH>
            <wp14:sizeRelV relativeFrom="margin">
              <wp14:pctHeight>0</wp14:pctHeight>
            </wp14:sizeRelV>
          </wp:anchor>
        </w:drawing>
      </w:r>
      <w:r w:rsidR="006400A0">
        <w:rPr>
          <w:rFonts w:ascii="Arial" w:hAnsi="Arial" w:cs="Arial"/>
          <w:noProof/>
          <w:sz w:val="16"/>
          <w:szCs w:val="16"/>
        </w:rPr>
        <mc:AlternateContent>
          <mc:Choice Requires="wps">
            <w:drawing>
              <wp:anchor distT="45720" distB="45720" distL="114300" distR="114300" simplePos="0" relativeHeight="251681792" behindDoc="0" locked="0" layoutInCell="1" allowOverlap="1" wp14:anchorId="12B2887D" wp14:editId="7607FAA2">
                <wp:simplePos x="0" y="0"/>
                <wp:positionH relativeFrom="column">
                  <wp:posOffset>2817495</wp:posOffset>
                </wp:positionH>
                <wp:positionV relativeFrom="paragraph">
                  <wp:posOffset>3747135</wp:posOffset>
                </wp:positionV>
                <wp:extent cx="3544570" cy="1958340"/>
                <wp:effectExtent l="0" t="0" r="17780" b="22860"/>
                <wp:wrapSquare wrapText="bothSides"/>
                <wp:docPr id="1267857471" name="Text Box 4"/>
                <wp:cNvGraphicFramePr/>
                <a:graphic xmlns:a="http://schemas.openxmlformats.org/drawingml/2006/main">
                  <a:graphicData uri="http://schemas.microsoft.com/office/word/2010/wordprocessingShape">
                    <wps:wsp>
                      <wps:cNvSpPr txBox="1"/>
                      <wps:spPr>
                        <a:xfrm>
                          <a:off x="0" y="0"/>
                          <a:ext cx="3544570" cy="1958340"/>
                        </a:xfrm>
                        <a:prstGeom prst="rect">
                          <a:avLst/>
                        </a:prstGeom>
                        <a:solidFill>
                          <a:prstClr val="white"/>
                        </a:solidFill>
                        <a:ln w="6350">
                          <a:solidFill>
                            <a:prstClr val="black"/>
                          </a:solidFill>
                        </a:ln>
                      </wps:spPr>
                      <wps:txbx>
                        <w:txbxContent>
                          <w:p w14:paraId="6DD84966" w14:textId="45128651" w:rsidR="00D47D19" w:rsidRDefault="00A377A2">
                            <w:r>
                              <w:rPr>
                                <w:rFonts w:ascii="Arial" w:eastAsia="Times New Roman" w:hAnsi="Arial" w:cs="Arial"/>
                                <w:color w:val="000000"/>
                                <w:sz w:val="19"/>
                                <w:szCs w:val="19"/>
                                <w:shd w:val="clear" w:color="auto" w:fill="FFFFFF"/>
                              </w:rPr>
                              <w:t>Challenges Faced</w:t>
                            </w:r>
                            <w:r>
                              <w:rPr>
                                <w:rFonts w:ascii="Arial" w:eastAsia="Times New Roman" w:hAnsi="Arial" w:cs="Arial"/>
                                <w:color w:val="000000"/>
                                <w:sz w:val="19"/>
                                <w:szCs w:val="19"/>
                              </w:rPr>
                              <w:br/>
                            </w:r>
                            <w:r>
                              <w:rPr>
                                <w:rFonts w:ascii="Arial" w:eastAsia="Times New Roman" w:hAnsi="Arial" w:cs="Arial"/>
                                <w:color w:val="000000"/>
                                <w:sz w:val="19"/>
                                <w:szCs w:val="19"/>
                              </w:rPr>
                              <w:br/>
                            </w:r>
                            <w:r>
                              <w:rPr>
                                <w:rFonts w:ascii="Arial" w:eastAsia="Times New Roman" w:hAnsi="Arial" w:cs="Arial"/>
                                <w:color w:val="000000"/>
                                <w:sz w:val="19"/>
                                <w:szCs w:val="19"/>
                                <w:shd w:val="clear" w:color="auto" w:fill="FFFFFF"/>
                              </w:rPr>
                              <w:t>1. Workforce Shortages: There is a global crisis in the recruitment and retention of skilled support workers, often due to low wages and high-stress environments, leading to inconsistent care.</w:t>
                            </w:r>
                            <w:r>
                              <w:rPr>
                                <w:rFonts w:ascii="Arial" w:eastAsia="Times New Roman" w:hAnsi="Arial" w:cs="Arial"/>
                                <w:color w:val="000000"/>
                                <w:sz w:val="19"/>
                                <w:szCs w:val="19"/>
                              </w:rPr>
                              <w:br/>
                            </w:r>
                            <w:r>
                              <w:rPr>
                                <w:rFonts w:ascii="Arial" w:eastAsia="Times New Roman" w:hAnsi="Arial" w:cs="Arial"/>
                                <w:color w:val="000000"/>
                                <w:sz w:val="19"/>
                                <w:szCs w:val="19"/>
                              </w:rPr>
                              <w:br/>
                            </w:r>
                            <w:r>
                              <w:rPr>
                                <w:rFonts w:ascii="Arial" w:eastAsia="Times New Roman" w:hAnsi="Arial" w:cs="Arial"/>
                                <w:color w:val="000000"/>
                                <w:sz w:val="19"/>
                                <w:szCs w:val="19"/>
                                <w:shd w:val="clear" w:color="auto" w:fill="FFFFFF"/>
                              </w:rPr>
                              <w:t>2. Funding Gaps &amp; Bureaucracy: Many service users face long waiting lists or complex bureaucratic hurdles to access adequate funding, resulting in "under-servicing" where individuals receive only basic care rather than true community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B2887D" id="_x0000_t202" coordsize="21600,21600" o:spt="202" path="m,l,21600r21600,l21600,xe">
                <v:stroke joinstyle="miter"/>
                <v:path gradientshapeok="t" o:connecttype="rect"/>
              </v:shapetype>
              <v:shape id="Text Box 4" o:spid="_x0000_s1026" type="#_x0000_t202" style="position:absolute;margin-left:221.85pt;margin-top:295.05pt;width:279.1pt;height:154.2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" strokeweight=".5pt">
                <v:textbox>
                  <w:txbxContent>
                    <w:p w14:paraId="6DD84966" w14:textId="45128651" w:rsidR="00D47D19" w:rsidRDefault="00A377A2">
                      <w:r>
                        <w:rPr>
                          <w:rFonts w:ascii="Arial" w:eastAsia="Times New Roman" w:hAnsi="Arial" w:cs="Arial"/>
                          <w:color w:val="000000"/>
                          <w:sz w:val="19"/>
                          <w:szCs w:val="19"/>
                          <w:shd w:val="clear" w:color="auto" w:fill="FFFFFF"/>
                        </w:rPr>
                        <w:t>Challenges Faced</w:t>
                      </w:r>
                      <w:r>
                        <w:rPr>
                          <w:rFonts w:ascii="Arial" w:eastAsia="Times New Roman" w:hAnsi="Arial" w:cs="Arial"/>
                          <w:color w:val="000000"/>
                          <w:sz w:val="19"/>
                          <w:szCs w:val="19"/>
                        </w:rPr>
                        <w:br/>
                      </w:r>
                      <w:r>
                        <w:rPr>
                          <w:rFonts w:ascii="Arial" w:eastAsia="Times New Roman" w:hAnsi="Arial" w:cs="Arial"/>
                          <w:color w:val="000000"/>
                          <w:sz w:val="19"/>
                          <w:szCs w:val="19"/>
                        </w:rPr>
                        <w:br/>
                      </w:r>
                      <w:r>
                        <w:rPr>
                          <w:rFonts w:ascii="Arial" w:eastAsia="Times New Roman" w:hAnsi="Arial" w:cs="Arial"/>
                          <w:color w:val="000000"/>
                          <w:sz w:val="19"/>
                          <w:szCs w:val="19"/>
                          <w:shd w:val="clear" w:color="auto" w:fill="FFFFFF"/>
                        </w:rPr>
                        <w:t>1. Workforce Shortages: There is a global crisis in the recruitment and retention of skilled support workers, often due to low wages and high-stress environments, leading to inconsistent care.</w:t>
                      </w:r>
                      <w:r>
                        <w:rPr>
                          <w:rFonts w:ascii="Arial" w:eastAsia="Times New Roman" w:hAnsi="Arial" w:cs="Arial"/>
                          <w:color w:val="000000"/>
                          <w:sz w:val="19"/>
                          <w:szCs w:val="19"/>
                        </w:rPr>
                        <w:br/>
                      </w:r>
                      <w:r>
                        <w:rPr>
                          <w:rFonts w:ascii="Arial" w:eastAsia="Times New Roman" w:hAnsi="Arial" w:cs="Arial"/>
                          <w:color w:val="000000"/>
                          <w:sz w:val="19"/>
                          <w:szCs w:val="19"/>
                        </w:rPr>
                        <w:br/>
                      </w:r>
                      <w:r>
                        <w:rPr>
                          <w:rFonts w:ascii="Arial" w:eastAsia="Times New Roman" w:hAnsi="Arial" w:cs="Arial"/>
                          <w:color w:val="000000"/>
                          <w:sz w:val="19"/>
                          <w:szCs w:val="19"/>
                          <w:shd w:val="clear" w:color="auto" w:fill="FFFFFF"/>
                        </w:rPr>
                        <w:t>2. Funding Gaps &amp; Bureaucracy: Many service users face long waiting lists or complex bureaucratic hurdles to access adequate funding, resulting in "under-servicing" where individuals receive only basic care rather than true community integration.</w:t>
                      </w:r>
                    </w:p>
                  </w:txbxContent>
                </v:textbox>
                <w10:wrap type="square"/>
              </v:shape>
            </w:pict>
          </mc:Fallback>
        </mc:AlternateContent>
      </w:r>
      <w:r w:rsidR="008475EC">
        <w:rPr>
          <w:rFonts w:ascii="Arial" w:hAnsi="Arial" w:cs="Arial"/>
          <w:noProof/>
          <w:sz w:val="16"/>
          <w:szCs w:val="16"/>
        </w:rPr>
        <mc:AlternateContent>
          <mc:Choice Requires="wps">
            <w:drawing>
              <wp:anchor distT="45720" distB="45720" distL="114300" distR="114300" simplePos="0" relativeHeight="251679744" behindDoc="0" locked="0" layoutInCell="1" allowOverlap="1" wp14:anchorId="77F55454" wp14:editId="7D900C61">
                <wp:simplePos x="0" y="0"/>
                <wp:positionH relativeFrom="column">
                  <wp:posOffset>2818130</wp:posOffset>
                </wp:positionH>
                <wp:positionV relativeFrom="paragraph">
                  <wp:posOffset>782320</wp:posOffset>
                </wp:positionV>
                <wp:extent cx="3545205" cy="1270000"/>
                <wp:effectExtent l="0" t="0" r="17145" b="18415"/>
                <wp:wrapSquare wrapText="bothSides"/>
                <wp:docPr id="818182499" name="Text Box 2"/>
                <wp:cNvGraphicFramePr/>
                <a:graphic xmlns:a="http://schemas.openxmlformats.org/drawingml/2006/main">
                  <a:graphicData uri="http://schemas.microsoft.com/office/word/2010/wordprocessingShape">
                    <wps:wsp>
                      <wps:cNvSpPr txBox="1"/>
                      <wps:spPr>
                        <a:xfrm>
                          <a:off x="0" y="0"/>
                          <a:ext cx="3545205" cy="1270000"/>
                        </a:xfrm>
                        <a:prstGeom prst="rect">
                          <a:avLst/>
                        </a:prstGeom>
                        <a:solidFill>
                          <a:prstClr val="white"/>
                        </a:solidFill>
                        <a:ln w="6350">
                          <a:solidFill>
                            <a:prstClr val="black"/>
                          </a:solidFill>
                        </a:ln>
                      </wps:spPr>
                      <wps:txbx>
                        <w:txbxContent>
                          <w:p w14:paraId="37C2D464" w14:textId="0639E8AB" w:rsidR="006814A6" w:rsidRPr="00CD6A34" w:rsidRDefault="00071E05">
                            <w:pPr>
                              <w:rPr>
                                <w:sz w:val="16"/>
                                <w:szCs w:val="16"/>
                              </w:rPr>
                            </w:pPr>
                            <w:r>
                              <w:rPr>
                                <w:rFonts w:ascii="Arial" w:eastAsia="Times New Roman" w:hAnsi="Arial" w:cs="Arial"/>
                                <w:color w:val="000000"/>
                                <w:sz w:val="16"/>
                                <w:szCs w:val="16"/>
                                <w:shd w:val="clear" w:color="auto" w:fill="FFFFFF"/>
                              </w:rPr>
                              <w:t xml:space="preserve">HISTORY                                                                                              </w:t>
                            </w:r>
                            <w:r w:rsidR="00E4339B" w:rsidRPr="00CD6A34">
                              <w:rPr>
                                <w:rFonts w:ascii="Arial" w:eastAsia="Times New Roman" w:hAnsi="Arial" w:cs="Arial"/>
                                <w:color w:val="000000"/>
                                <w:sz w:val="16"/>
                                <w:szCs w:val="16"/>
                                <w:shd w:val="clear" w:color="auto" w:fill="FFFFFF"/>
                              </w:rPr>
                              <w:t>Historically, people with disabilities were often segregated in large, state-run institutions or asylums, providing minimal personal freedom. The Deinstitutionalization Movement of the 1960s and 70s marked a major shift toward community-based care. This was driven by human rights advocacy and the "Social Model of Disability," which argues that disability is caused by societal barriers rather than individual impairments. Legislative milestones, such as the Americans with Disabilities Act (1990) and the UK Equality Act (2010), solidified the legal right to community integration.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7F55454" id="Text Box 2" o:spid="_x0000_s1027" type="#_x0000_t202" style="position:absolute;margin-left:221.9pt;margin-top:61.6pt;width:279.15pt;height:100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" strokeweight=".5pt">
                <v:textbox style="mso-fit-shape-to-text:t">
                  <w:txbxContent>
                    <w:p w14:paraId="37C2D464" w14:textId="0639E8AB" w:rsidR="006814A6" w:rsidRPr="00CD6A34" w:rsidRDefault="00071E05">
                      <w:pPr>
                        <w:rPr>
                          <w:sz w:val="16"/>
                          <w:szCs w:val="16"/>
                        </w:rPr>
                      </w:pPr>
                      <w:r>
                        <w:rPr>
                          <w:rFonts w:ascii="Arial" w:eastAsia="Times New Roman" w:hAnsi="Arial" w:cs="Arial"/>
                          <w:color w:val="000000"/>
                          <w:sz w:val="16"/>
                          <w:szCs w:val="16"/>
                          <w:shd w:val="clear" w:color="auto" w:fill="FFFFFF"/>
                        </w:rPr>
                        <w:t xml:space="preserve">HISTORY                                                                                              </w:t>
                      </w:r>
                      <w:r w:rsidR="00E4339B" w:rsidRPr="00CD6A34">
                        <w:rPr>
                          <w:rFonts w:ascii="Arial" w:eastAsia="Times New Roman" w:hAnsi="Arial" w:cs="Arial"/>
                          <w:color w:val="000000"/>
                          <w:sz w:val="16"/>
                          <w:szCs w:val="16"/>
                          <w:shd w:val="clear" w:color="auto" w:fill="FFFFFF"/>
                        </w:rPr>
                        <w:t>Historically, people with disabilities were often segregated in large, state-run institutions or asylums, providing minimal personal freedom. The Deinstitutionalization Movement of the 1960s and 70s marked a major shift toward community-based care. This was driven by human rights advocacy and the "Social Model of Disability," which argues that disability is caused by societal barriers rather than individual impairments. Legislative milestones, such as the Americans with Disabilities Act (1990) and the UK Equality Act (2010), solidified the legal right to community integration.</w:t>
                      </w:r>
                    </w:p>
                  </w:txbxContent>
                </v:textbox>
                <w10:wrap type="square"/>
              </v:shape>
            </w:pict>
          </mc:Fallback>
        </mc:AlternateContent>
      </w:r>
      <w:r w:rsidR="00234B02">
        <w:rPr>
          <w:rFonts w:ascii="Arial" w:hAnsi="Arial" w:cs="Arial"/>
          <w:noProof/>
          <w:sz w:val="16"/>
          <w:szCs w:val="16"/>
        </w:rPr>
        <mc:AlternateContent>
          <mc:Choice Requires="wps">
            <w:drawing>
              <wp:anchor distT="45720" distB="45720" distL="114300" distR="114300" simplePos="0" relativeHeight="251678720" behindDoc="0" locked="0" layoutInCell="1" allowOverlap="1" wp14:anchorId="303F8CD5" wp14:editId="028406E8">
                <wp:simplePos x="0" y="0"/>
                <wp:positionH relativeFrom="column">
                  <wp:posOffset>-726440</wp:posOffset>
                </wp:positionH>
                <wp:positionV relativeFrom="paragraph">
                  <wp:posOffset>2161540</wp:posOffset>
                </wp:positionV>
                <wp:extent cx="3545205" cy="1270000"/>
                <wp:effectExtent l="0" t="0" r="17145" b="16510"/>
                <wp:wrapSquare wrapText="bothSides"/>
                <wp:docPr id="1452696832" name="Text Box 1"/>
                <wp:cNvGraphicFramePr/>
                <a:graphic xmlns:a="http://schemas.openxmlformats.org/drawingml/2006/main">
                  <a:graphicData uri="http://schemas.microsoft.com/office/word/2010/wordprocessingShape">
                    <wps:wsp>
                      <wps:cNvSpPr txBox="1"/>
                      <wps:spPr>
                        <a:xfrm>
                          <a:off x="0" y="0"/>
                          <a:ext cx="3545205" cy="1270000"/>
                        </a:xfrm>
                        <a:prstGeom prst="rect">
                          <a:avLst/>
                        </a:prstGeom>
                        <a:solidFill>
                          <a:prstClr val="white"/>
                        </a:solidFill>
                        <a:ln w="6350">
                          <a:solidFill>
                            <a:prstClr val="black"/>
                          </a:solidFill>
                        </a:ln>
                      </wps:spPr>
                      <wps:txbx>
                        <w:txbxContent>
                          <w:p w14:paraId="5E73430D" w14:textId="3DABBCFF" w:rsidR="00F64678" w:rsidRPr="006814A6" w:rsidRDefault="000961B8">
                            <w:pPr>
                              <w:rPr>
                                <w:sz w:val="16"/>
                                <w:szCs w:val="16"/>
                              </w:rPr>
                            </w:pPr>
                            <w:r>
                              <w:rPr>
                                <w:rFonts w:ascii="Arial" w:eastAsia="Times New Roman" w:hAnsi="Arial" w:cs="Arial"/>
                                <w:color w:val="000000"/>
                                <w:sz w:val="16"/>
                                <w:szCs w:val="16"/>
                                <w:shd w:val="clear" w:color="auto" w:fill="FFFFFF"/>
                              </w:rPr>
                              <w:t xml:space="preserve">SERVICE EXPLANATION                                                            </w:t>
                            </w:r>
                            <w:r w:rsidR="00CB0049" w:rsidRPr="006814A6">
                              <w:rPr>
                                <w:rFonts w:ascii="Arial" w:eastAsia="Times New Roman" w:hAnsi="Arial" w:cs="Arial"/>
                                <w:color w:val="000000"/>
                                <w:sz w:val="16"/>
                                <w:szCs w:val="16"/>
                                <w:shd w:val="clear" w:color="auto" w:fill="FFFFFF"/>
                              </w:rPr>
                              <w:t>Community Disability Services refer to a range of non-institutional supports designed to help individuals with disabilities live independently and participate fully in their local communities. Unlike clinical or hospital-based care, these services focus on social inclusion and personal autonomy. Key components include:</w:t>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shd w:val="clear" w:color="auto" w:fill="FFFFFF"/>
                              </w:rPr>
                              <w:t>• Supported Living: Assistance with daily tasks like cooking, cleaning, and personal care within one’s own home.</w:t>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shd w:val="clear" w:color="auto" w:fill="FFFFFF"/>
                              </w:rPr>
                              <w:t>• Social &amp; Vocational Support: Programs that facilitate community engagement, skill-building, and employment opportunities.</w:t>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shd w:val="clear" w:color="auto" w:fill="FFFFFF"/>
                              </w:rPr>
                              <w:t>• Advocacy &amp; Peer Support: Helping individuals navigate their rights and connect with others who have similar lived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03F8CD5" id="Text Box 1" o:spid="_x0000_s1028" type="#_x0000_t202" style="position:absolute;margin-left:-57.2pt;margin-top:170.2pt;width:279.15pt;height:100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" strokeweight=".5pt">
                <v:textbox style="mso-fit-shape-to-text:t">
                  <w:txbxContent>
                    <w:p w14:paraId="5E73430D" w14:textId="3DABBCFF" w:rsidR="00F64678" w:rsidRPr="006814A6" w:rsidRDefault="000961B8">
                      <w:pPr>
                        <w:rPr>
                          <w:sz w:val="16"/>
                          <w:szCs w:val="16"/>
                        </w:rPr>
                      </w:pPr>
                      <w:r>
                        <w:rPr>
                          <w:rFonts w:ascii="Arial" w:eastAsia="Times New Roman" w:hAnsi="Arial" w:cs="Arial"/>
                          <w:color w:val="000000"/>
                          <w:sz w:val="16"/>
                          <w:szCs w:val="16"/>
                          <w:shd w:val="clear" w:color="auto" w:fill="FFFFFF"/>
                        </w:rPr>
                        <w:t xml:space="preserve">SERVICE EXPLANATION                                                            </w:t>
                      </w:r>
                      <w:r w:rsidR="00CB0049" w:rsidRPr="006814A6">
                        <w:rPr>
                          <w:rFonts w:ascii="Arial" w:eastAsia="Times New Roman" w:hAnsi="Arial" w:cs="Arial"/>
                          <w:color w:val="000000"/>
                          <w:sz w:val="16"/>
                          <w:szCs w:val="16"/>
                          <w:shd w:val="clear" w:color="auto" w:fill="FFFFFF"/>
                        </w:rPr>
                        <w:t>Community Disability Services refer to a range of non-institutional supports designed to help individuals with disabilities live independently and participate fully in their local communities. Unlike clinical or hospital-based care, these services focus on social inclusion and personal autonomy. Key components include:</w:t>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shd w:val="clear" w:color="auto" w:fill="FFFFFF"/>
                        </w:rPr>
                        <w:t>• Supported Living: Assistance with daily tasks like cooking, cleaning, and personal care within one’s own home.</w:t>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shd w:val="clear" w:color="auto" w:fill="FFFFFF"/>
                        </w:rPr>
                        <w:t>• Social &amp; Vocational Support: Programs that facilitate community engagement, skill-building, and employment opportunities.</w:t>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rPr>
                        <w:br/>
                      </w:r>
                      <w:r w:rsidR="00CB0049" w:rsidRPr="006814A6">
                        <w:rPr>
                          <w:rFonts w:ascii="Arial" w:eastAsia="Times New Roman" w:hAnsi="Arial" w:cs="Arial"/>
                          <w:color w:val="000000"/>
                          <w:sz w:val="16"/>
                          <w:szCs w:val="16"/>
                          <w:shd w:val="clear" w:color="auto" w:fill="FFFFFF"/>
                        </w:rPr>
                        <w:t>• Advocacy &amp; Peer Support: Helping individuals navigate their rights and connect with others who have similar lived experiences.</w:t>
                      </w:r>
                    </w:p>
                  </w:txbxContent>
                </v:textbox>
                <w10:wrap type="square"/>
              </v:shape>
            </w:pict>
          </mc:Fallback>
        </mc:AlternateContent>
      </w:r>
      <w:r w:rsidR="000B03FC">
        <w:rPr>
          <w:rFonts w:ascii="Arial" w:hAnsi="Arial" w:cs="Arial"/>
          <w:noProof/>
          <w:sz w:val="16"/>
          <w:szCs w:val="16"/>
        </w:rPr>
        <mc:AlternateContent>
          <mc:Choice Requires="wps">
            <w:drawing>
              <wp:anchor distT="45720" distB="45720" distL="114300" distR="114300" simplePos="0" relativeHeight="251680768" behindDoc="0" locked="0" layoutInCell="1" allowOverlap="1" wp14:anchorId="73F2A825" wp14:editId="3F2EA617">
                <wp:simplePos x="0" y="0"/>
                <wp:positionH relativeFrom="column">
                  <wp:posOffset>6360795</wp:posOffset>
                </wp:positionH>
                <wp:positionV relativeFrom="paragraph">
                  <wp:posOffset>2160905</wp:posOffset>
                </wp:positionV>
                <wp:extent cx="3380105" cy="2133600"/>
                <wp:effectExtent l="0" t="0" r="10795" b="19050"/>
                <wp:wrapSquare wrapText="bothSides"/>
                <wp:docPr id="1272595890" name="Text Box 3"/>
                <wp:cNvGraphicFramePr/>
                <a:graphic xmlns:a="http://schemas.openxmlformats.org/drawingml/2006/main">
                  <a:graphicData uri="http://schemas.microsoft.com/office/word/2010/wordprocessingShape">
                    <wps:wsp>
                      <wps:cNvSpPr txBox="1"/>
                      <wps:spPr>
                        <a:xfrm>
                          <a:off x="0" y="0"/>
                          <a:ext cx="3380105" cy="2133600"/>
                        </a:xfrm>
                        <a:prstGeom prst="rect">
                          <a:avLst/>
                        </a:prstGeom>
                        <a:solidFill>
                          <a:prstClr val="white"/>
                        </a:solidFill>
                        <a:ln w="6350">
                          <a:solidFill>
                            <a:prstClr val="black"/>
                          </a:solidFill>
                        </a:ln>
                      </wps:spPr>
                      <wps:txbx>
                        <w:txbxContent>
                          <w:p w14:paraId="24C60528" w14:textId="38097B83" w:rsidR="000B03FC" w:rsidRPr="009809AC" w:rsidRDefault="002C0468">
                            <w:pPr>
                              <w:rPr>
                                <w:sz w:val="16"/>
                                <w:szCs w:val="16"/>
                              </w:rPr>
                            </w:pPr>
                            <w:r w:rsidRPr="009809AC">
                              <w:rPr>
                                <w:rFonts w:ascii="Arial" w:eastAsia="Times New Roman" w:hAnsi="Arial" w:cs="Arial"/>
                                <w:color w:val="000000"/>
                                <w:sz w:val="16"/>
                                <w:szCs w:val="16"/>
                                <w:shd w:val="clear" w:color="auto" w:fill="FFFFFF"/>
                              </w:rPr>
                              <w:t>Current Functioning</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Today, these services operate under a Person-</w:t>
                            </w:r>
                            <w:proofErr w:type="spellStart"/>
                            <w:r w:rsidRPr="009809AC">
                              <w:rPr>
                                <w:rFonts w:ascii="Arial" w:eastAsia="Times New Roman" w:hAnsi="Arial" w:cs="Arial"/>
                                <w:color w:val="000000"/>
                                <w:sz w:val="16"/>
                                <w:szCs w:val="16"/>
                                <w:shd w:val="clear" w:color="auto" w:fill="FFFFFF"/>
                              </w:rPr>
                              <w:t>Centered</w:t>
                            </w:r>
                            <w:proofErr w:type="spellEnd"/>
                            <w:r w:rsidRPr="009809AC">
                              <w:rPr>
                                <w:rFonts w:ascii="Arial" w:eastAsia="Times New Roman" w:hAnsi="Arial" w:cs="Arial"/>
                                <w:color w:val="000000"/>
                                <w:sz w:val="16"/>
                                <w:szCs w:val="16"/>
                                <w:shd w:val="clear" w:color="auto" w:fill="FFFFFF"/>
                              </w:rPr>
                              <w:t xml:space="preserve"> Approach, meaning the individual leads the decision-making process regarding their care.</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 Funding: Services are typically funded through government schemes (like the NDIS in Australia or Medicaid waivers in the US) or local authority budgets.</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 Delivery: A mix of government agencies, non-profit organizations, and private providers deliver the support.</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 Technology: There is an increasing reliance on assistive technology and "Smart Home" solutions to reduce the need for constant physical supervision while maintaining safety.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F2A825" id="Text Box 3" o:spid="_x0000_s1029" type="#_x0000_t202" style="position:absolute;margin-left:500.85pt;margin-top:170.15pt;width:266.15pt;height:168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" strokeweight=".5pt">
                <v:textbox>
                  <w:txbxContent>
                    <w:p w14:paraId="24C60528" w14:textId="38097B83" w:rsidR="000B03FC" w:rsidRPr="009809AC" w:rsidRDefault="002C0468">
                      <w:pPr>
                        <w:rPr>
                          <w:sz w:val="16"/>
                          <w:szCs w:val="16"/>
                        </w:rPr>
                      </w:pPr>
                      <w:r w:rsidRPr="009809AC">
                        <w:rPr>
                          <w:rFonts w:ascii="Arial" w:eastAsia="Times New Roman" w:hAnsi="Arial" w:cs="Arial"/>
                          <w:color w:val="000000"/>
                          <w:sz w:val="16"/>
                          <w:szCs w:val="16"/>
                          <w:shd w:val="clear" w:color="auto" w:fill="FFFFFF"/>
                        </w:rPr>
                        <w:t>Current Functioning</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Today, these services operate under a Person-</w:t>
                      </w:r>
                      <w:proofErr w:type="spellStart"/>
                      <w:r w:rsidRPr="009809AC">
                        <w:rPr>
                          <w:rFonts w:ascii="Arial" w:eastAsia="Times New Roman" w:hAnsi="Arial" w:cs="Arial"/>
                          <w:color w:val="000000"/>
                          <w:sz w:val="16"/>
                          <w:szCs w:val="16"/>
                          <w:shd w:val="clear" w:color="auto" w:fill="FFFFFF"/>
                        </w:rPr>
                        <w:t>Centered</w:t>
                      </w:r>
                      <w:proofErr w:type="spellEnd"/>
                      <w:r w:rsidRPr="009809AC">
                        <w:rPr>
                          <w:rFonts w:ascii="Arial" w:eastAsia="Times New Roman" w:hAnsi="Arial" w:cs="Arial"/>
                          <w:color w:val="000000"/>
                          <w:sz w:val="16"/>
                          <w:szCs w:val="16"/>
                          <w:shd w:val="clear" w:color="auto" w:fill="FFFFFF"/>
                        </w:rPr>
                        <w:t xml:space="preserve"> Approach, meaning the individual leads the decision-making process regarding their care.</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 Funding: Services are typically funded through government schemes (like the NDIS in Australia or Medicaid waivers in the US) or local authority budgets.</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 Delivery: A mix of government agencies, non-profit organizations, and private providers deliver the support.</w:t>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rPr>
                        <w:br/>
                      </w:r>
                      <w:r w:rsidRPr="009809AC">
                        <w:rPr>
                          <w:rFonts w:ascii="Arial" w:eastAsia="Times New Roman" w:hAnsi="Arial" w:cs="Arial"/>
                          <w:color w:val="000000"/>
                          <w:sz w:val="16"/>
                          <w:szCs w:val="16"/>
                          <w:shd w:val="clear" w:color="auto" w:fill="FFFFFF"/>
                        </w:rPr>
                        <w:t>• Technology: There is an increasing reliance on assistive technology and "Smart Home" solutions to reduce the need for constant physical supervision while maintaining safety.</w:t>
                      </w:r>
                    </w:p>
                  </w:txbxContent>
                </v:textbox>
                <w10:wrap type="square"/>
              </v:shape>
            </w:pict>
          </mc:Fallback>
        </mc:AlternateContent>
      </w:r>
    </w:p>
    <w:p w14:paraId="7C47DD46" w14:textId="77777777" w:rsidR="0023222B" w:rsidRPr="001B476B" w:rsidRDefault="0023222B" w:rsidP="00F86A6F">
      <w:pPr>
        <w:shd w:val="clear" w:color="auto" w:fill="FFFFFF"/>
        <w:rPr>
          <w:rFonts w:ascii="Arial" w:eastAsia="Times New Roman" w:hAnsi="Arial" w:cs="Arial"/>
          <w:color w:val="000000"/>
          <w:sz w:val="20"/>
          <w:szCs w:val="20"/>
        </w:rPr>
      </w:pPr>
      <w:r w:rsidRPr="001B476B">
        <w:rPr>
          <w:rFonts w:ascii="Arial" w:eastAsia="Times New Roman" w:hAnsi="Arial" w:cs="Arial"/>
          <w:color w:val="000000"/>
          <w:sz w:val="20"/>
          <w:szCs w:val="20"/>
        </w:rPr>
        <w:lastRenderedPageBreak/>
        <w:t>The Modern Function and Impact of Ambulance Services</w:t>
      </w:r>
      <w:r w:rsidRPr="001B476B">
        <w:rPr>
          <w:rFonts w:ascii="Arial" w:eastAsia="Times New Roman" w:hAnsi="Arial" w:cs="Arial"/>
          <w:color w:val="000000"/>
          <w:sz w:val="20"/>
          <w:szCs w:val="20"/>
        </w:rPr>
        <w:br/>
      </w:r>
      <w:r w:rsidRPr="001B476B">
        <w:rPr>
          <w:rFonts w:ascii="Arial" w:eastAsia="Times New Roman" w:hAnsi="Arial" w:cs="Arial"/>
          <w:color w:val="000000"/>
          <w:sz w:val="20"/>
          <w:szCs w:val="20"/>
        </w:rPr>
        <w:br/>
        <w:t>Ambulance services represent a critical pillar of contemporary healthcare, functioning as the primary interface between the community and emergency medical intervention. While often perceived simply as a means of transport, the modern service has evolved into a sophisticated mobile clinical provider. This evaluation explores how the service functions in the current landscape and its profound significance in enhancing the quality of life for service users.</w:t>
      </w:r>
      <w:r w:rsidRPr="001B476B">
        <w:rPr>
          <w:rFonts w:ascii="Arial" w:eastAsia="Times New Roman" w:hAnsi="Arial" w:cs="Arial"/>
          <w:color w:val="000000"/>
          <w:sz w:val="20"/>
          <w:szCs w:val="20"/>
        </w:rPr>
        <w:br/>
      </w:r>
      <w:r w:rsidRPr="001B476B">
        <w:rPr>
          <w:rFonts w:ascii="Arial" w:eastAsia="Times New Roman" w:hAnsi="Arial" w:cs="Arial"/>
          <w:color w:val="000000"/>
          <w:sz w:val="20"/>
          <w:szCs w:val="20"/>
        </w:rPr>
        <w:br/>
        <w:t>Current Functioning of the Service</w:t>
      </w:r>
      <w:r w:rsidRPr="001B476B">
        <w:rPr>
          <w:rFonts w:ascii="Arial" w:eastAsia="Times New Roman" w:hAnsi="Arial" w:cs="Arial"/>
          <w:color w:val="000000"/>
          <w:sz w:val="20"/>
          <w:szCs w:val="20"/>
        </w:rPr>
        <w:br/>
        <w:t xml:space="preserve">In the modern healthcare era, ambulance services operate as a highly integrated component of the Emergency Medical Services (EMS) network. They are no longer "scoop and run" units; instead, they serve as mobile treatment </w:t>
      </w:r>
      <w:proofErr w:type="spellStart"/>
      <w:r w:rsidRPr="001B476B">
        <w:rPr>
          <w:rFonts w:ascii="Arial" w:eastAsia="Times New Roman" w:hAnsi="Arial" w:cs="Arial"/>
          <w:color w:val="000000"/>
          <w:sz w:val="20"/>
          <w:szCs w:val="20"/>
        </w:rPr>
        <w:t>centers</w:t>
      </w:r>
      <w:proofErr w:type="spellEnd"/>
      <w:r w:rsidRPr="001B476B">
        <w:rPr>
          <w:rFonts w:ascii="Arial" w:eastAsia="Times New Roman" w:hAnsi="Arial" w:cs="Arial"/>
          <w:color w:val="000000"/>
          <w:sz w:val="20"/>
          <w:szCs w:val="20"/>
        </w:rPr>
        <w:t xml:space="preserve"> staffed by highly skilled paramedics and emergency medical technicians (EMTs). As noted by </w:t>
      </w:r>
      <w:proofErr w:type="spellStart"/>
      <w:r w:rsidRPr="001B476B">
        <w:rPr>
          <w:rFonts w:ascii="Arial" w:eastAsia="Times New Roman" w:hAnsi="Arial" w:cs="Arial"/>
          <w:color w:val="000000"/>
          <w:sz w:val="20"/>
          <w:szCs w:val="20"/>
        </w:rPr>
        <w:t>Blaber</w:t>
      </w:r>
      <w:proofErr w:type="spellEnd"/>
      <w:r w:rsidRPr="001B476B">
        <w:rPr>
          <w:rFonts w:ascii="Arial" w:eastAsia="Times New Roman" w:hAnsi="Arial" w:cs="Arial"/>
          <w:color w:val="000000"/>
          <w:sz w:val="20"/>
          <w:szCs w:val="20"/>
        </w:rPr>
        <w:t xml:space="preserve"> (2014), these professionals are trained to perform advanced clinical interventions, including cardiac monitoring, drug administration, and advanced airway management, which were previously only available within a hospital setting.</w:t>
      </w:r>
      <w:r w:rsidRPr="001B476B">
        <w:rPr>
          <w:rFonts w:ascii="Arial" w:eastAsia="Times New Roman" w:hAnsi="Arial" w:cs="Arial"/>
          <w:color w:val="000000"/>
          <w:sz w:val="20"/>
          <w:szCs w:val="20"/>
        </w:rPr>
        <w:br/>
      </w:r>
      <w:r w:rsidRPr="001B476B">
        <w:rPr>
          <w:rFonts w:ascii="Arial" w:eastAsia="Times New Roman" w:hAnsi="Arial" w:cs="Arial"/>
          <w:color w:val="000000"/>
          <w:sz w:val="20"/>
          <w:szCs w:val="20"/>
        </w:rPr>
        <w:br/>
        <w:t xml:space="preserve">A key feature of current functioning is the "see and treat" or "see and refer" model. Rather than transporting every patient to an Emergency Department (ED), paramedics utilize advanced clinical decision-making to treat patients at the scene or refer them to more appropriate community-based pathways, such as General Practitioners (GPs), urgent care </w:t>
      </w:r>
      <w:proofErr w:type="spellStart"/>
      <w:r w:rsidRPr="001B476B">
        <w:rPr>
          <w:rFonts w:ascii="Arial" w:eastAsia="Times New Roman" w:hAnsi="Arial" w:cs="Arial"/>
          <w:color w:val="000000"/>
          <w:sz w:val="20"/>
          <w:szCs w:val="20"/>
        </w:rPr>
        <w:t>centers</w:t>
      </w:r>
      <w:proofErr w:type="spellEnd"/>
      <w:r w:rsidRPr="001B476B">
        <w:rPr>
          <w:rFonts w:ascii="Arial" w:eastAsia="Times New Roman" w:hAnsi="Arial" w:cs="Arial"/>
          <w:color w:val="000000"/>
          <w:sz w:val="20"/>
          <w:szCs w:val="20"/>
        </w:rPr>
        <w:t xml:space="preserve">, or mental health crisis teams (NHS England, 2023). This strategy is essential for managing the increasing pressure on hospital resources and ensuring that emergency beds are reserved for the most critically ill. Furthermore, ambulances are now equipped with advanced telemetry systems that allow crews to transmit diagnostic data, such as 12-lead ECGs, directly to specialist heart or stroke </w:t>
      </w:r>
      <w:proofErr w:type="spellStart"/>
      <w:r w:rsidRPr="001B476B">
        <w:rPr>
          <w:rFonts w:ascii="Arial" w:eastAsia="Times New Roman" w:hAnsi="Arial" w:cs="Arial"/>
          <w:color w:val="000000"/>
          <w:sz w:val="20"/>
          <w:szCs w:val="20"/>
        </w:rPr>
        <w:t>centers</w:t>
      </w:r>
      <w:proofErr w:type="spellEnd"/>
      <w:r w:rsidRPr="001B476B">
        <w:rPr>
          <w:rFonts w:ascii="Arial" w:eastAsia="Times New Roman" w:hAnsi="Arial" w:cs="Arial"/>
          <w:color w:val="000000"/>
          <w:sz w:val="20"/>
          <w:szCs w:val="20"/>
        </w:rPr>
        <w:t>, enabling hospital teams to prepare for surgery before the patient even arrives.</w:t>
      </w:r>
      <w:r w:rsidRPr="001B476B">
        <w:rPr>
          <w:rFonts w:ascii="Arial" w:eastAsia="Times New Roman" w:hAnsi="Arial" w:cs="Arial"/>
          <w:color w:val="000000"/>
          <w:sz w:val="20"/>
          <w:szCs w:val="20"/>
        </w:rPr>
        <w:br/>
      </w:r>
      <w:r w:rsidRPr="001B476B">
        <w:rPr>
          <w:rFonts w:ascii="Arial" w:eastAsia="Times New Roman" w:hAnsi="Arial" w:cs="Arial"/>
          <w:color w:val="000000"/>
          <w:sz w:val="20"/>
          <w:szCs w:val="20"/>
        </w:rPr>
        <w:br/>
        <w:t>Significance in Enhancing Quality of Life</w:t>
      </w:r>
      <w:r w:rsidRPr="001B476B">
        <w:rPr>
          <w:rFonts w:ascii="Arial" w:eastAsia="Times New Roman" w:hAnsi="Arial" w:cs="Arial"/>
          <w:color w:val="000000"/>
          <w:sz w:val="20"/>
          <w:szCs w:val="20"/>
        </w:rPr>
        <w:br/>
        <w:t xml:space="preserve">The significance of ambulance services in enhancing the quality of life for service users is most evident in the management of time-critical conditions. For patients experiencing a stroke, myocardial infarction (heart attack), or major trauma, the quality of pre-hospital care is the primary determinant of long-term disability or survival. Research by </w:t>
      </w:r>
      <w:proofErr w:type="spellStart"/>
      <w:r w:rsidRPr="001B476B">
        <w:rPr>
          <w:rFonts w:ascii="Arial" w:eastAsia="Times New Roman" w:hAnsi="Arial" w:cs="Arial"/>
          <w:color w:val="000000"/>
          <w:sz w:val="20"/>
          <w:szCs w:val="20"/>
        </w:rPr>
        <w:t>Sanghavi</w:t>
      </w:r>
      <w:proofErr w:type="spellEnd"/>
      <w:r w:rsidRPr="001B476B">
        <w:rPr>
          <w:rFonts w:ascii="Arial" w:eastAsia="Times New Roman" w:hAnsi="Arial" w:cs="Arial"/>
          <w:color w:val="000000"/>
          <w:sz w:val="20"/>
          <w:szCs w:val="20"/>
        </w:rPr>
        <w:t xml:space="preserve"> et al. (2015) emphasizes that providing immediate stabilization and starting life-saving treatments within the "golden hour" significantly reduces long-term morbidity. This allows patients to recover more fully and return to their normal lives, rather than suffering from permanent neurological or physical impairment.</w:t>
      </w:r>
      <w:r w:rsidRPr="001B476B">
        <w:rPr>
          <w:rFonts w:ascii="Arial" w:eastAsia="Times New Roman" w:hAnsi="Arial" w:cs="Arial"/>
          <w:color w:val="000000"/>
          <w:sz w:val="20"/>
          <w:szCs w:val="20"/>
        </w:rPr>
        <w:br/>
      </w:r>
      <w:r w:rsidRPr="001B476B">
        <w:rPr>
          <w:rFonts w:ascii="Arial" w:eastAsia="Times New Roman" w:hAnsi="Arial" w:cs="Arial"/>
          <w:color w:val="000000"/>
          <w:sz w:val="20"/>
          <w:szCs w:val="20"/>
        </w:rPr>
        <w:br/>
        <w:t>Beyond life-saving interventions, the service plays a vital role in providing a safety net for vulnerable populations. For elderly individuals or those living with chronic conditions in rural areas, the ambulance service is often the only accessible point of entry into the healthcare system during a crisis. The psychological reassurance provided by a rapid, professional response reduces acute anxiety for both the patient and their family members. Moreover, the service’s involvement in non-emergency patient transport ensures that individuals with limited mobility can attend life-sustaining treatments like dialysis or chemotherapy, which directly supports their ongoing wellbeing and dignity (Association of Ambulance Chief Executives, 2022).</w:t>
      </w:r>
      <w:r w:rsidRPr="001B476B">
        <w:rPr>
          <w:rFonts w:ascii="Arial" w:eastAsia="Times New Roman" w:hAnsi="Arial" w:cs="Arial"/>
          <w:color w:val="000000"/>
          <w:sz w:val="20"/>
          <w:szCs w:val="20"/>
        </w:rPr>
        <w:br/>
      </w:r>
      <w:r w:rsidRPr="001B476B">
        <w:rPr>
          <w:rFonts w:ascii="Arial" w:eastAsia="Times New Roman" w:hAnsi="Arial" w:cs="Arial"/>
          <w:color w:val="000000"/>
          <w:sz w:val="20"/>
          <w:szCs w:val="20"/>
        </w:rPr>
        <w:br/>
        <w:t>Conclusion</w:t>
      </w:r>
      <w:r w:rsidRPr="001B476B">
        <w:rPr>
          <w:rFonts w:ascii="Arial" w:eastAsia="Times New Roman" w:hAnsi="Arial" w:cs="Arial"/>
          <w:color w:val="000000"/>
          <w:sz w:val="20"/>
          <w:szCs w:val="20"/>
        </w:rPr>
        <w:br/>
        <w:t>Ambulance services have transitioned into a high-tech extension of the hospital, providing sophisticated clinical care at the point of need. By utilizing advanced diagnostics and integrated referral pathways, they ensure that patients receive the right care in the right place. Their ability to deliver immediate, high-quality medical intervention not only saves lives but also preserves the long-term health and independence of the individuals they serve, making them an indispensable asset to the modern healthcare system.</w:t>
      </w:r>
    </w:p>
    <w:p w14:paraId="20F1A3B3" w14:textId="0D85E3E7" w:rsidR="003A000F" w:rsidRPr="002A6A1F" w:rsidRDefault="003A000F" w:rsidP="002A6A1F">
      <w:pPr>
        <w:shd w:val="clear" w:color="auto" w:fill="FFFFFF"/>
        <w:rPr>
          <w:rFonts w:ascii="Arial" w:eastAsia="Times New Roman" w:hAnsi="Arial" w:cs="Arial"/>
          <w:color w:val="000000"/>
          <w:sz w:val="19"/>
          <w:szCs w:val="19"/>
        </w:rPr>
        <w:sectPr w:rsidR="003A000F" w:rsidRPr="002A6A1F" w:rsidSect="003A000F">
          <w:pgSz w:w="11906" w:h="16838"/>
          <w:pgMar w:top="1440" w:right="1440" w:bottom="1440" w:left="1440" w:header="708" w:footer="708" w:gutter="0"/>
          <w:cols w:space="708"/>
          <w:docGrid w:linePitch="360"/>
        </w:sectPr>
      </w:pPr>
    </w:p>
    <w:p w14:paraId="37FB22EF" w14:textId="381E1C82" w:rsidR="00A14081" w:rsidRDefault="00A97EF4">
      <w:pPr>
        <w:shd w:val="clear" w:color="auto" w:fill="FFFFFF"/>
        <w:rPr>
          <w:rFonts w:ascii="Arial" w:eastAsia="Times New Roman" w:hAnsi="Arial" w:cs="Arial"/>
          <w:color w:val="000000"/>
          <w:sz w:val="19"/>
          <w:szCs w:val="19"/>
        </w:rPr>
      </w:pPr>
      <w:r>
        <w:rPr>
          <w:rFonts w:ascii="Arial" w:eastAsia="Times New Roman" w:hAnsi="Arial" w:cs="Arial"/>
          <w:color w:val="000000"/>
          <w:sz w:val="19"/>
          <w:szCs w:val="19"/>
        </w:rPr>
        <w:lastRenderedPageBreak/>
        <w:t>References Element 1</w:t>
      </w:r>
    </w:p>
    <w:p w14:paraId="38780ABC" w14:textId="77777777" w:rsidR="00A14081" w:rsidRDefault="00A14081">
      <w:pPr>
        <w:shd w:val="clear" w:color="auto" w:fill="FFFFFF"/>
        <w:rPr>
          <w:rFonts w:ascii="Arial" w:eastAsia="Times New Roman" w:hAnsi="Arial" w:cs="Arial"/>
          <w:color w:val="000000"/>
          <w:sz w:val="19"/>
          <w:szCs w:val="19"/>
        </w:rPr>
      </w:pPr>
      <w:r>
        <w:rPr>
          <w:rFonts w:ascii="Arial" w:eastAsia="Times New Roman" w:hAnsi="Arial" w:cs="Arial"/>
          <w:color w:val="000000"/>
          <w:sz w:val="19"/>
          <w:szCs w:val="19"/>
        </w:rPr>
        <w:t>Care Act 2014, c. 23. Available at: </w:t>
      </w:r>
      <w:hyperlink r:id="rId12" w:tgtFrame="_blank" w:history="1">
        <w:r>
          <w:rPr>
            <w:rStyle w:val="Hyperlink"/>
            <w:rFonts w:ascii="Arial" w:eastAsia="Times New Roman" w:hAnsi="Arial" w:cs="Arial"/>
            <w:color w:val="A8C7FA"/>
            <w:sz w:val="19"/>
            <w:szCs w:val="19"/>
            <w:u w:val="none"/>
          </w:rPr>
          <w:t>https://www.legislation.gov.uk/ukpga/2014/23/contents</w:t>
        </w:r>
      </w:hyperlink>
      <w:r>
        <w:rPr>
          <w:rFonts w:ascii="Arial" w:eastAsia="Times New Roman" w:hAnsi="Arial" w:cs="Arial"/>
          <w:color w:val="000000"/>
          <w:sz w:val="19"/>
          <w:szCs w:val="19"/>
        </w:rPr>
        <w:t> (Accessed: 22 March 2026).</w:t>
      </w:r>
      <w:r>
        <w:rPr>
          <w:rFonts w:ascii="Arial" w:eastAsia="Times New Roman" w:hAnsi="Arial" w:cs="Arial"/>
          <w:color w:val="000000"/>
          <w:sz w:val="19"/>
          <w:szCs w:val="19"/>
        </w:rPr>
        <w:br/>
      </w:r>
      <w:r>
        <w:rPr>
          <w:rFonts w:ascii="Arial" w:eastAsia="Times New Roman" w:hAnsi="Arial" w:cs="Arial"/>
          <w:color w:val="000000"/>
          <w:sz w:val="19"/>
          <w:szCs w:val="19"/>
        </w:rPr>
        <w:br/>
        <w:t>Department of Health and Social Care (2021) Build back better: our plan for health and social care. London: HM Government. Available at: </w:t>
      </w:r>
      <w:hyperlink r:id="rId13" w:tgtFrame="_blank" w:history="1">
        <w:r>
          <w:rPr>
            <w:rStyle w:val="Hyperlink"/>
            <w:rFonts w:ascii="Arial" w:eastAsia="Times New Roman" w:hAnsi="Arial" w:cs="Arial"/>
            <w:color w:val="A8C7FA"/>
            <w:sz w:val="19"/>
            <w:szCs w:val="19"/>
            <w:u w:val="none"/>
          </w:rPr>
          <w:t>https://www.gov.uk</w:t>
        </w:r>
      </w:hyperlink>
      <w:r>
        <w:rPr>
          <w:rFonts w:ascii="Arial" w:eastAsia="Times New Roman" w:hAnsi="Arial" w:cs="Arial"/>
          <w:color w:val="000000"/>
          <w:sz w:val="19"/>
          <w:szCs w:val="19"/>
        </w:rPr>
        <w:t> (Accessed: 22 March 2026).</w:t>
      </w:r>
      <w:r>
        <w:rPr>
          <w:rFonts w:ascii="Arial" w:eastAsia="Times New Roman" w:hAnsi="Arial" w:cs="Arial"/>
          <w:color w:val="000000"/>
          <w:sz w:val="19"/>
          <w:szCs w:val="19"/>
        </w:rPr>
        <w:br/>
      </w:r>
      <w:r>
        <w:rPr>
          <w:rFonts w:ascii="Arial" w:eastAsia="Times New Roman" w:hAnsi="Arial" w:cs="Arial"/>
          <w:color w:val="000000"/>
          <w:sz w:val="19"/>
          <w:szCs w:val="19"/>
        </w:rPr>
        <w:br/>
        <w:t>Equality Act 2010, c. 15. Available at: </w:t>
      </w:r>
      <w:hyperlink r:id="rId14" w:tgtFrame="_blank" w:history="1">
        <w:r>
          <w:rPr>
            <w:rStyle w:val="Hyperlink"/>
            <w:rFonts w:ascii="Arial" w:eastAsia="Times New Roman" w:hAnsi="Arial" w:cs="Arial"/>
            <w:color w:val="A8C7FA"/>
            <w:sz w:val="19"/>
            <w:szCs w:val="19"/>
            <w:u w:val="none"/>
          </w:rPr>
          <w:t>https://www.legislation.gov.uk/ukpga/2010/15/contents</w:t>
        </w:r>
      </w:hyperlink>
      <w:r>
        <w:rPr>
          <w:rFonts w:ascii="Arial" w:eastAsia="Times New Roman" w:hAnsi="Arial" w:cs="Arial"/>
          <w:color w:val="000000"/>
          <w:sz w:val="19"/>
          <w:szCs w:val="19"/>
        </w:rPr>
        <w:t> (Accessed: 22 March 2026).</w:t>
      </w:r>
      <w:r>
        <w:rPr>
          <w:rFonts w:ascii="Arial" w:eastAsia="Times New Roman" w:hAnsi="Arial" w:cs="Arial"/>
          <w:color w:val="000000"/>
          <w:sz w:val="19"/>
          <w:szCs w:val="19"/>
        </w:rPr>
        <w:br/>
      </w:r>
      <w:r>
        <w:rPr>
          <w:rFonts w:ascii="Arial" w:eastAsia="Times New Roman" w:hAnsi="Arial" w:cs="Arial"/>
          <w:color w:val="000000"/>
          <w:sz w:val="19"/>
          <w:szCs w:val="19"/>
        </w:rPr>
        <w:br/>
        <w:t xml:space="preserve">Oliver, M. (2013) ‘The social model of disability: thirty years on’, Disability &amp; Society, 28(7), pp. 1024–1026. </w:t>
      </w:r>
      <w:proofErr w:type="spellStart"/>
      <w:r>
        <w:rPr>
          <w:rFonts w:ascii="Arial" w:eastAsia="Times New Roman" w:hAnsi="Arial" w:cs="Arial"/>
          <w:color w:val="000000"/>
          <w:sz w:val="19"/>
          <w:szCs w:val="19"/>
        </w:rPr>
        <w:t>doi</w:t>
      </w:r>
      <w:proofErr w:type="spellEnd"/>
      <w:r>
        <w:rPr>
          <w:rFonts w:ascii="Arial" w:eastAsia="Times New Roman" w:hAnsi="Arial" w:cs="Arial"/>
          <w:color w:val="000000"/>
          <w:sz w:val="19"/>
          <w:szCs w:val="19"/>
        </w:rPr>
        <w:t>: 10.1080/09687599.2013.818773.</w:t>
      </w:r>
      <w:r>
        <w:rPr>
          <w:rFonts w:ascii="Arial" w:eastAsia="Times New Roman" w:hAnsi="Arial" w:cs="Arial"/>
          <w:color w:val="000000"/>
          <w:sz w:val="19"/>
          <w:szCs w:val="19"/>
        </w:rPr>
        <w:br/>
      </w:r>
      <w:r>
        <w:rPr>
          <w:rFonts w:ascii="Arial" w:eastAsia="Times New Roman" w:hAnsi="Arial" w:cs="Arial"/>
          <w:color w:val="000000"/>
          <w:sz w:val="19"/>
          <w:szCs w:val="19"/>
        </w:rPr>
        <w:br/>
        <w:t>Skills for Care (2023) The state of the adult social care sector and workforce in England. Leeds: Skills for Care. Available at: </w:t>
      </w:r>
      <w:hyperlink r:id="rId15" w:tgtFrame="_blank" w:history="1">
        <w:r>
          <w:rPr>
            <w:rStyle w:val="Hyperlink"/>
            <w:rFonts w:ascii="Arial" w:eastAsia="Times New Roman" w:hAnsi="Arial" w:cs="Arial"/>
            <w:color w:val="A8C7FA"/>
            <w:sz w:val="19"/>
            <w:szCs w:val="19"/>
            <w:u w:val="none"/>
          </w:rPr>
          <w:t>https://www.skillsforcare.org.uk</w:t>
        </w:r>
      </w:hyperlink>
      <w:r>
        <w:rPr>
          <w:rFonts w:ascii="Arial" w:eastAsia="Times New Roman" w:hAnsi="Arial" w:cs="Arial"/>
          <w:color w:val="000000"/>
          <w:sz w:val="19"/>
          <w:szCs w:val="19"/>
        </w:rPr>
        <w:t> (Accessed: 22 March 2026).</w:t>
      </w:r>
      <w:r>
        <w:rPr>
          <w:rFonts w:ascii="Arial" w:eastAsia="Times New Roman" w:hAnsi="Arial" w:cs="Arial"/>
          <w:color w:val="000000"/>
          <w:sz w:val="19"/>
          <w:szCs w:val="19"/>
        </w:rPr>
        <w:br/>
      </w:r>
      <w:r>
        <w:rPr>
          <w:rFonts w:ascii="Arial" w:eastAsia="Times New Roman" w:hAnsi="Arial" w:cs="Arial"/>
          <w:color w:val="000000"/>
          <w:sz w:val="19"/>
          <w:szCs w:val="19"/>
        </w:rPr>
        <w:br/>
        <w:t>Thompson, S. (2020) Person-centred practice in health and social care. London: Sage Publications.</w:t>
      </w:r>
    </w:p>
    <w:p w14:paraId="3AAFA2CE" w14:textId="77777777" w:rsidR="006B2086" w:rsidRDefault="006B2086">
      <w:pPr>
        <w:shd w:val="clear" w:color="auto" w:fill="FFFFFF"/>
        <w:rPr>
          <w:rFonts w:ascii="Arial" w:eastAsia="Times New Roman" w:hAnsi="Arial" w:cs="Arial"/>
          <w:color w:val="000000"/>
          <w:sz w:val="19"/>
          <w:szCs w:val="19"/>
        </w:rPr>
      </w:pPr>
    </w:p>
    <w:p w14:paraId="27EBF8A3" w14:textId="7AF3EEB1" w:rsidR="00EF3E35" w:rsidRPr="006B2086" w:rsidRDefault="00220924">
      <w:pPr>
        <w:rPr>
          <w:rFonts w:ascii="Arial" w:hAnsi="Arial" w:cs="Arial"/>
          <w:b/>
          <w:bCs/>
          <w:sz w:val="28"/>
          <w:szCs w:val="28"/>
        </w:rPr>
      </w:pPr>
      <w:r>
        <w:rPr>
          <w:rFonts w:ascii="Arial" w:hAnsi="Arial" w:cs="Arial"/>
          <w:b/>
          <w:bCs/>
          <w:sz w:val="28"/>
          <w:szCs w:val="28"/>
        </w:rPr>
        <w:t xml:space="preserve"> </w:t>
      </w:r>
    </w:p>
    <w:p w14:paraId="150E9E72" w14:textId="77777777" w:rsidR="00EF3E35" w:rsidRDefault="00EF3E35"/>
    <w:p w14:paraId="14ED9CB8" w14:textId="77777777" w:rsidR="00EF3E35" w:rsidRDefault="00EF3E35"/>
    <w:p w14:paraId="24E6263F" w14:textId="77777777" w:rsidR="005A72EA" w:rsidRDefault="005A72EA">
      <w:pPr>
        <w:shd w:val="clear" w:color="auto" w:fill="FFFFFF"/>
        <w:rPr>
          <w:rFonts w:ascii="Arial" w:eastAsia="Times New Roman" w:hAnsi="Arial" w:cs="Arial"/>
          <w:color w:val="000000"/>
          <w:sz w:val="19"/>
          <w:szCs w:val="19"/>
        </w:rPr>
      </w:pPr>
    </w:p>
    <w:p w14:paraId="2C55FA02" w14:textId="2339C980" w:rsidR="005A72EA" w:rsidRDefault="003027D7">
      <w:pPr>
        <w:shd w:val="clear" w:color="auto" w:fill="FFFFFF"/>
        <w:rPr>
          <w:rFonts w:ascii="Arial" w:eastAsia="Times New Roman" w:hAnsi="Arial" w:cs="Arial"/>
          <w:color w:val="000000"/>
          <w:sz w:val="19"/>
          <w:szCs w:val="19"/>
        </w:rPr>
      </w:pPr>
      <w:r>
        <w:rPr>
          <w:rFonts w:ascii="Arial" w:eastAsia="Times New Roman" w:hAnsi="Arial" w:cs="Arial"/>
          <w:color w:val="000000"/>
          <w:sz w:val="19"/>
          <w:szCs w:val="19"/>
        </w:rPr>
        <w:t xml:space="preserve">References </w:t>
      </w:r>
      <w:r w:rsidR="00220924">
        <w:rPr>
          <w:rFonts w:ascii="Arial" w:eastAsia="Times New Roman" w:hAnsi="Arial" w:cs="Arial"/>
          <w:color w:val="000000"/>
          <w:sz w:val="19"/>
          <w:szCs w:val="19"/>
        </w:rPr>
        <w:t>Element 2</w:t>
      </w:r>
      <w:r w:rsidR="005A72EA">
        <w:rPr>
          <w:rFonts w:ascii="Arial" w:eastAsia="Times New Roman" w:hAnsi="Arial" w:cs="Arial"/>
          <w:color w:val="000000"/>
          <w:sz w:val="19"/>
          <w:szCs w:val="19"/>
        </w:rPr>
        <w:br/>
      </w:r>
      <w:r w:rsidR="005A72EA">
        <w:rPr>
          <w:rFonts w:ascii="Arial" w:eastAsia="Times New Roman" w:hAnsi="Arial" w:cs="Arial"/>
          <w:color w:val="000000"/>
          <w:sz w:val="19"/>
          <w:szCs w:val="19"/>
        </w:rPr>
        <w:br/>
        <w:t>• Association of Ambulance Chief Executives (AACE) (2022) The vision for the ambulance service: 2022 and beyond. Available at: </w:t>
      </w:r>
      <w:hyperlink r:id="rId16" w:tgtFrame="_blank" w:history="1">
        <w:r w:rsidR="005A72EA">
          <w:rPr>
            <w:rStyle w:val="Hyperlink"/>
            <w:rFonts w:ascii="Arial" w:eastAsia="Times New Roman" w:hAnsi="Arial" w:cs="Arial"/>
            <w:color w:val="A8C7FA"/>
            <w:sz w:val="19"/>
            <w:szCs w:val="19"/>
            <w:u w:val="none"/>
          </w:rPr>
          <w:t>https://aace.org.uk</w:t>
        </w:r>
      </w:hyperlink>
      <w:r w:rsidR="005A72EA">
        <w:rPr>
          <w:rFonts w:ascii="Arial" w:eastAsia="Times New Roman" w:hAnsi="Arial" w:cs="Arial"/>
          <w:color w:val="000000"/>
          <w:sz w:val="19"/>
          <w:szCs w:val="19"/>
        </w:rPr>
        <w:t> (Accessed: 22 March 2026).</w:t>
      </w:r>
      <w:r w:rsidR="005A72EA">
        <w:rPr>
          <w:rFonts w:ascii="Arial" w:eastAsia="Times New Roman" w:hAnsi="Arial" w:cs="Arial"/>
          <w:color w:val="000000"/>
          <w:sz w:val="19"/>
          <w:szCs w:val="19"/>
        </w:rPr>
        <w:br/>
      </w:r>
      <w:r w:rsidR="005A72EA">
        <w:rPr>
          <w:rFonts w:ascii="Arial" w:eastAsia="Times New Roman" w:hAnsi="Arial" w:cs="Arial"/>
          <w:color w:val="000000"/>
          <w:sz w:val="19"/>
          <w:szCs w:val="19"/>
        </w:rPr>
        <w:br/>
        <w:t xml:space="preserve">• </w:t>
      </w:r>
      <w:proofErr w:type="spellStart"/>
      <w:r w:rsidR="005A72EA">
        <w:rPr>
          <w:rFonts w:ascii="Arial" w:eastAsia="Times New Roman" w:hAnsi="Arial" w:cs="Arial"/>
          <w:color w:val="000000"/>
          <w:sz w:val="19"/>
          <w:szCs w:val="19"/>
        </w:rPr>
        <w:t>Blaber</w:t>
      </w:r>
      <w:proofErr w:type="spellEnd"/>
      <w:r w:rsidR="005A72EA">
        <w:rPr>
          <w:rFonts w:ascii="Arial" w:eastAsia="Times New Roman" w:hAnsi="Arial" w:cs="Arial"/>
          <w:color w:val="000000"/>
          <w:sz w:val="19"/>
          <w:szCs w:val="19"/>
        </w:rPr>
        <w:t xml:space="preserve">, A.Y. (2014) Foundations for Paramedic Practice: A Theoretical Perspective. 2nd </w:t>
      </w:r>
      <w:proofErr w:type="spellStart"/>
      <w:r w:rsidR="005A72EA">
        <w:rPr>
          <w:rFonts w:ascii="Arial" w:eastAsia="Times New Roman" w:hAnsi="Arial" w:cs="Arial"/>
          <w:color w:val="000000"/>
          <w:sz w:val="19"/>
          <w:szCs w:val="19"/>
        </w:rPr>
        <w:t>edn</w:t>
      </w:r>
      <w:proofErr w:type="spellEnd"/>
      <w:r w:rsidR="005A72EA">
        <w:rPr>
          <w:rFonts w:ascii="Arial" w:eastAsia="Times New Roman" w:hAnsi="Arial" w:cs="Arial"/>
          <w:color w:val="000000"/>
          <w:sz w:val="19"/>
          <w:szCs w:val="19"/>
        </w:rPr>
        <w:t>. Maidenhead: Open University Press.</w:t>
      </w:r>
      <w:r w:rsidR="005A72EA">
        <w:rPr>
          <w:rFonts w:ascii="Arial" w:eastAsia="Times New Roman" w:hAnsi="Arial" w:cs="Arial"/>
          <w:color w:val="000000"/>
          <w:sz w:val="19"/>
          <w:szCs w:val="19"/>
        </w:rPr>
        <w:br/>
      </w:r>
      <w:r w:rsidR="005A72EA">
        <w:rPr>
          <w:rFonts w:ascii="Arial" w:eastAsia="Times New Roman" w:hAnsi="Arial" w:cs="Arial"/>
          <w:color w:val="000000"/>
          <w:sz w:val="19"/>
          <w:szCs w:val="19"/>
        </w:rPr>
        <w:br/>
        <w:t>• NHS England (2023) Delivery plan for recovering urgent and emergency care services. London: NHS England.</w:t>
      </w:r>
      <w:r w:rsidR="005A72EA">
        <w:rPr>
          <w:rFonts w:ascii="Arial" w:eastAsia="Times New Roman" w:hAnsi="Arial" w:cs="Arial"/>
          <w:color w:val="000000"/>
          <w:sz w:val="19"/>
          <w:szCs w:val="19"/>
        </w:rPr>
        <w:br/>
      </w:r>
      <w:r w:rsidR="005A72EA">
        <w:rPr>
          <w:rFonts w:ascii="Arial" w:eastAsia="Times New Roman" w:hAnsi="Arial" w:cs="Arial"/>
          <w:color w:val="000000"/>
          <w:sz w:val="19"/>
          <w:szCs w:val="19"/>
        </w:rPr>
        <w:br/>
        <w:t xml:space="preserve">• </w:t>
      </w:r>
      <w:proofErr w:type="spellStart"/>
      <w:r w:rsidR="005A72EA">
        <w:rPr>
          <w:rFonts w:ascii="Arial" w:eastAsia="Times New Roman" w:hAnsi="Arial" w:cs="Arial"/>
          <w:color w:val="000000"/>
          <w:sz w:val="19"/>
          <w:szCs w:val="19"/>
        </w:rPr>
        <w:t>Sanghavi</w:t>
      </w:r>
      <w:proofErr w:type="spellEnd"/>
      <w:r w:rsidR="005A72EA">
        <w:rPr>
          <w:rFonts w:ascii="Arial" w:eastAsia="Times New Roman" w:hAnsi="Arial" w:cs="Arial"/>
          <w:color w:val="000000"/>
          <w:sz w:val="19"/>
          <w:szCs w:val="19"/>
        </w:rPr>
        <w:t xml:space="preserve">, P., Jena, A.B., Newhouse, J.P. and </w:t>
      </w:r>
      <w:proofErr w:type="spellStart"/>
      <w:r w:rsidR="005A72EA">
        <w:rPr>
          <w:rFonts w:ascii="Arial" w:eastAsia="Times New Roman" w:hAnsi="Arial" w:cs="Arial"/>
          <w:color w:val="000000"/>
          <w:sz w:val="19"/>
          <w:szCs w:val="19"/>
        </w:rPr>
        <w:t>Zaslavsky</w:t>
      </w:r>
      <w:proofErr w:type="spellEnd"/>
      <w:r w:rsidR="005A72EA">
        <w:rPr>
          <w:rFonts w:ascii="Arial" w:eastAsia="Times New Roman" w:hAnsi="Arial" w:cs="Arial"/>
          <w:color w:val="000000"/>
          <w:sz w:val="19"/>
          <w:szCs w:val="19"/>
        </w:rPr>
        <w:t>, A.M. (2015) ‘Outcomes after out-of-hospital cardiac arrest treated by basic vs advanced life support’, JAMA Internal Medicine, 175(2), pp. 196-204.</w:t>
      </w:r>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3B3E2" w14:textId="77777777" w:rsidR="00D255EF" w:rsidRDefault="00D255EF" w:rsidP="00BE6BE0">
      <w:pPr>
        <w:spacing w:after="0" w:line="240" w:lineRule="auto"/>
      </w:pPr>
      <w:r>
        <w:separator/>
      </w:r>
    </w:p>
  </w:endnote>
  <w:endnote w:type="continuationSeparator" w:id="0">
    <w:p w14:paraId="188094E5" w14:textId="77777777" w:rsidR="00D255EF" w:rsidRDefault="00D255E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3F8C4729" w:rsidR="009E257B" w:rsidRPr="00AE0A83" w:rsidRDefault="009E257B">
    <w:pPr>
      <w:pStyle w:val="Footer"/>
      <w:jc w:val="right"/>
      <w:rPr>
        <w:sz w:val="16"/>
        <w:szCs w:val="16"/>
      </w:rPr>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A205B" w14:textId="77777777" w:rsidR="00D255EF" w:rsidRDefault="00D255EF" w:rsidP="00BE6BE0">
      <w:pPr>
        <w:spacing w:after="0" w:line="240" w:lineRule="auto"/>
      </w:pPr>
      <w:r>
        <w:separator/>
      </w:r>
    </w:p>
  </w:footnote>
  <w:footnote w:type="continuationSeparator" w:id="0">
    <w:p w14:paraId="01DF6F36" w14:textId="77777777" w:rsidR="00D255EF" w:rsidRDefault="00D255E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E5D472B" w:rsidR="00BE6BE0" w:rsidRDefault="001A1466" w:rsidP="00BE6BE0">
    <w:pPr>
      <w:pStyle w:val="Header"/>
      <w:ind w:left="11520"/>
    </w:pPr>
    <w:r w:rsidRPr="00074402">
      <w:rPr>
        <w:rFonts w:ascii="Arial" w:hAnsi="Arial" w:cs="Arial"/>
        <w:noProof/>
        <w:szCs w:val="24"/>
      </w:rPr>
      <w:drawing>
        <wp:anchor distT="0" distB="0" distL="114300" distR="114300" simplePos="0" relativeHeight="251659264" behindDoc="0" locked="0" layoutInCell="1" allowOverlap="1" wp14:anchorId="2B80066D" wp14:editId="69F9CC7E">
          <wp:simplePos x="0" y="0"/>
          <wp:positionH relativeFrom="column">
            <wp:posOffset>6475730</wp:posOffset>
          </wp:positionH>
          <wp:positionV relativeFrom="paragraph">
            <wp:posOffset>499745</wp:posOffset>
          </wp:positionV>
          <wp:extent cx="3182620" cy="2049145"/>
          <wp:effectExtent l="0" t="0" r="0" b="0"/>
          <wp:wrapSquare wrapText="bothSides"/>
          <wp:docPr id="1239146371" name="Picture 123914637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3182620" cy="204914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1D15"/>
    <w:rsid w:val="00033719"/>
    <w:rsid w:val="00035415"/>
    <w:rsid w:val="000464A0"/>
    <w:rsid w:val="00046EB1"/>
    <w:rsid w:val="00056AEB"/>
    <w:rsid w:val="00056EB1"/>
    <w:rsid w:val="00071E05"/>
    <w:rsid w:val="0007594E"/>
    <w:rsid w:val="0009049D"/>
    <w:rsid w:val="000961B8"/>
    <w:rsid w:val="000B03FC"/>
    <w:rsid w:val="000F1A10"/>
    <w:rsid w:val="000F7BD2"/>
    <w:rsid w:val="000F7F84"/>
    <w:rsid w:val="001002D7"/>
    <w:rsid w:val="00112FD7"/>
    <w:rsid w:val="00123853"/>
    <w:rsid w:val="001427B5"/>
    <w:rsid w:val="00176C49"/>
    <w:rsid w:val="001854EA"/>
    <w:rsid w:val="001907E8"/>
    <w:rsid w:val="001956F2"/>
    <w:rsid w:val="001A1466"/>
    <w:rsid w:val="001A25CA"/>
    <w:rsid w:val="001B476B"/>
    <w:rsid w:val="001C08FE"/>
    <w:rsid w:val="001C4564"/>
    <w:rsid w:val="00220924"/>
    <w:rsid w:val="002312CD"/>
    <w:rsid w:val="0023222B"/>
    <w:rsid w:val="00234B02"/>
    <w:rsid w:val="002520F3"/>
    <w:rsid w:val="00252522"/>
    <w:rsid w:val="002525D3"/>
    <w:rsid w:val="0026053D"/>
    <w:rsid w:val="0026256B"/>
    <w:rsid w:val="00276497"/>
    <w:rsid w:val="002767BF"/>
    <w:rsid w:val="00282D20"/>
    <w:rsid w:val="002A6A1F"/>
    <w:rsid w:val="002A7FCF"/>
    <w:rsid w:val="002B6F57"/>
    <w:rsid w:val="002C0468"/>
    <w:rsid w:val="002E12C0"/>
    <w:rsid w:val="002E35DE"/>
    <w:rsid w:val="003027D7"/>
    <w:rsid w:val="0031386D"/>
    <w:rsid w:val="003219B6"/>
    <w:rsid w:val="003306ED"/>
    <w:rsid w:val="0033320E"/>
    <w:rsid w:val="00370310"/>
    <w:rsid w:val="003839C2"/>
    <w:rsid w:val="003A000F"/>
    <w:rsid w:val="003C7D53"/>
    <w:rsid w:val="003F0D90"/>
    <w:rsid w:val="003F1948"/>
    <w:rsid w:val="0042331A"/>
    <w:rsid w:val="00437B34"/>
    <w:rsid w:val="00467B5E"/>
    <w:rsid w:val="00493D8B"/>
    <w:rsid w:val="0049599C"/>
    <w:rsid w:val="004A2979"/>
    <w:rsid w:val="004A310C"/>
    <w:rsid w:val="004A48D1"/>
    <w:rsid w:val="004B7627"/>
    <w:rsid w:val="004C32B6"/>
    <w:rsid w:val="004D711B"/>
    <w:rsid w:val="004E57E3"/>
    <w:rsid w:val="00525F2E"/>
    <w:rsid w:val="00534C7C"/>
    <w:rsid w:val="00593FBC"/>
    <w:rsid w:val="00594443"/>
    <w:rsid w:val="005A2BE7"/>
    <w:rsid w:val="005A331A"/>
    <w:rsid w:val="005A72EA"/>
    <w:rsid w:val="005C3A38"/>
    <w:rsid w:val="005E0EE1"/>
    <w:rsid w:val="005E4E6F"/>
    <w:rsid w:val="005E5576"/>
    <w:rsid w:val="005F2EF6"/>
    <w:rsid w:val="006304C0"/>
    <w:rsid w:val="00634379"/>
    <w:rsid w:val="00636758"/>
    <w:rsid w:val="006400A0"/>
    <w:rsid w:val="00644E35"/>
    <w:rsid w:val="006538A9"/>
    <w:rsid w:val="006814A6"/>
    <w:rsid w:val="006A0C74"/>
    <w:rsid w:val="006A5FA9"/>
    <w:rsid w:val="006A6816"/>
    <w:rsid w:val="006B2086"/>
    <w:rsid w:val="006E3B10"/>
    <w:rsid w:val="006F20A2"/>
    <w:rsid w:val="007156F5"/>
    <w:rsid w:val="00742613"/>
    <w:rsid w:val="007729C3"/>
    <w:rsid w:val="0077666F"/>
    <w:rsid w:val="007C75A4"/>
    <w:rsid w:val="007D7ABB"/>
    <w:rsid w:val="008000DE"/>
    <w:rsid w:val="00804A7F"/>
    <w:rsid w:val="00804F99"/>
    <w:rsid w:val="00833470"/>
    <w:rsid w:val="008402A8"/>
    <w:rsid w:val="00842545"/>
    <w:rsid w:val="008475EC"/>
    <w:rsid w:val="00884068"/>
    <w:rsid w:val="008F21AA"/>
    <w:rsid w:val="00915565"/>
    <w:rsid w:val="00922296"/>
    <w:rsid w:val="00925D5E"/>
    <w:rsid w:val="00950D94"/>
    <w:rsid w:val="00956965"/>
    <w:rsid w:val="00957A9B"/>
    <w:rsid w:val="00976601"/>
    <w:rsid w:val="009809AC"/>
    <w:rsid w:val="009A43C1"/>
    <w:rsid w:val="009D0FE0"/>
    <w:rsid w:val="009E257B"/>
    <w:rsid w:val="00A14081"/>
    <w:rsid w:val="00A15C16"/>
    <w:rsid w:val="00A21A2E"/>
    <w:rsid w:val="00A32030"/>
    <w:rsid w:val="00A377A2"/>
    <w:rsid w:val="00A511C0"/>
    <w:rsid w:val="00A5536D"/>
    <w:rsid w:val="00A56C6E"/>
    <w:rsid w:val="00A6165E"/>
    <w:rsid w:val="00A82690"/>
    <w:rsid w:val="00A91191"/>
    <w:rsid w:val="00A97EF4"/>
    <w:rsid w:val="00AE0A83"/>
    <w:rsid w:val="00B22E61"/>
    <w:rsid w:val="00B30970"/>
    <w:rsid w:val="00B32FF1"/>
    <w:rsid w:val="00B5226D"/>
    <w:rsid w:val="00B56739"/>
    <w:rsid w:val="00B56F7B"/>
    <w:rsid w:val="00B62854"/>
    <w:rsid w:val="00B642EF"/>
    <w:rsid w:val="00B67F8C"/>
    <w:rsid w:val="00BA156C"/>
    <w:rsid w:val="00BA5834"/>
    <w:rsid w:val="00BB7382"/>
    <w:rsid w:val="00BC238C"/>
    <w:rsid w:val="00BD56E9"/>
    <w:rsid w:val="00BE6BE0"/>
    <w:rsid w:val="00C12E10"/>
    <w:rsid w:val="00C15944"/>
    <w:rsid w:val="00C62B3A"/>
    <w:rsid w:val="00C747D0"/>
    <w:rsid w:val="00C83A82"/>
    <w:rsid w:val="00C953BB"/>
    <w:rsid w:val="00CB0049"/>
    <w:rsid w:val="00CB0C84"/>
    <w:rsid w:val="00CB2C89"/>
    <w:rsid w:val="00CC44B1"/>
    <w:rsid w:val="00CD5BF7"/>
    <w:rsid w:val="00CD6A34"/>
    <w:rsid w:val="00CD7673"/>
    <w:rsid w:val="00D12DBE"/>
    <w:rsid w:val="00D255EF"/>
    <w:rsid w:val="00D349E6"/>
    <w:rsid w:val="00D47D19"/>
    <w:rsid w:val="00D9163B"/>
    <w:rsid w:val="00DA04AF"/>
    <w:rsid w:val="00DC65D7"/>
    <w:rsid w:val="00DD11F0"/>
    <w:rsid w:val="00DD307D"/>
    <w:rsid w:val="00DE18D4"/>
    <w:rsid w:val="00E10084"/>
    <w:rsid w:val="00E23761"/>
    <w:rsid w:val="00E41CA7"/>
    <w:rsid w:val="00E4339B"/>
    <w:rsid w:val="00E62C94"/>
    <w:rsid w:val="00E756C3"/>
    <w:rsid w:val="00EA5CEA"/>
    <w:rsid w:val="00ED0D33"/>
    <w:rsid w:val="00ED6036"/>
    <w:rsid w:val="00EF3E35"/>
    <w:rsid w:val="00F16ABA"/>
    <w:rsid w:val="00F177E2"/>
    <w:rsid w:val="00F24277"/>
    <w:rsid w:val="00F36D02"/>
    <w:rsid w:val="00F4476B"/>
    <w:rsid w:val="00F64678"/>
    <w:rsid w:val="00F64FBC"/>
    <w:rsid w:val="00F70DED"/>
    <w:rsid w:val="00F91723"/>
    <w:rsid w:val="00FA7EE4"/>
    <w:rsid w:val="00FB5DAC"/>
    <w:rsid w:val="00FC0C8C"/>
    <w:rsid w:val="00FC228E"/>
    <w:rsid w:val="00FC271A"/>
    <w:rsid w:val="00FD0F43"/>
    <w:rsid w:val="00FF3A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table" w:styleId="TableGrid">
    <w:name w:val="Table Grid"/>
    <w:basedOn w:val="TableNormal"/>
    <w:uiPriority w:val="39"/>
    <w:rsid w:val="00742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F2EF6"/>
    <w:rPr>
      <w:b/>
      <w:bCs/>
    </w:rPr>
  </w:style>
  <w:style w:type="character" w:styleId="Hyperlink">
    <w:name w:val="Hyperlink"/>
    <w:basedOn w:val="DefaultParagraphFont"/>
    <w:uiPriority w:val="99"/>
    <w:semiHidden/>
    <w:unhideWhenUsed/>
    <w:rsid w:val="005A72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13" Type="http://schemas.openxmlformats.org/officeDocument/2006/relationships/hyperlink" Target="https://www.gov.uk/"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legislation.gov.uk/ukpga/2014/23/content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aace.org.uk/"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2.jpeg" /><Relationship Id="rId5" Type="http://schemas.openxmlformats.org/officeDocument/2006/relationships/footnotes" Target="footnotes.xml" /><Relationship Id="rId15" Type="http://schemas.openxmlformats.org/officeDocument/2006/relationships/hyperlink" Target="https://www.skillsforcare.org.uk/" TargetMode="Externa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 Id="rId14" Type="http://schemas.openxmlformats.org/officeDocument/2006/relationships/hyperlink" Target="https://www.legislation.gov.uk/ukpga/2010/15/contents" TargetMode="External" /></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 /><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893</Words>
  <Characters>5094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Andreea-Rebeca Ardelean (2508016)</cp:lastModifiedBy>
  <cp:revision>2</cp:revision>
  <dcterms:created xsi:type="dcterms:W3CDTF">2026-03-23T10:44:00Z</dcterms:created>
  <dcterms:modified xsi:type="dcterms:W3CDTF">2026-03-23T10:44:00Z</dcterms:modified>
</cp:coreProperties>
</file>