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B4089" w14:textId="590552E2" w:rsidR="00222E71" w:rsidRDefault="00222E71">
      <w:pPr>
        <w:rPr>
          <w:b/>
          <w:bCs/>
        </w:rPr>
      </w:pPr>
      <w:r>
        <w:rPr>
          <w:b/>
          <w:bCs/>
        </w:rPr>
        <w:t>Name</w:t>
      </w:r>
      <w:r w:rsidR="00CC73D3">
        <w:rPr>
          <w:b/>
          <w:bCs/>
        </w:rPr>
        <w:t xml:space="preserve"> </w:t>
      </w:r>
      <w:r w:rsidR="00CC73D3" w:rsidRPr="001C07E8">
        <w:t>Zara</w:t>
      </w:r>
      <w:r w:rsidR="001C07E8">
        <w:t xml:space="preserve"> Westlake</w:t>
      </w:r>
    </w:p>
    <w:p w14:paraId="4D705003" w14:textId="14671A88" w:rsidR="0094393B" w:rsidRDefault="0094393B">
      <w:pPr>
        <w:rPr>
          <w:b/>
          <w:bCs/>
        </w:rPr>
      </w:pPr>
      <w:r>
        <w:rPr>
          <w:b/>
          <w:bCs/>
        </w:rPr>
        <w:t>Student Number</w:t>
      </w:r>
      <w:r w:rsidR="00DE6407">
        <w:rPr>
          <w:b/>
          <w:bCs/>
        </w:rPr>
        <w:t xml:space="preserve"> </w:t>
      </w:r>
      <w:r w:rsidR="005C41C4" w:rsidRPr="005C41C4">
        <w:t>2515974</w:t>
      </w:r>
    </w:p>
    <w:p w14:paraId="04D8A462" w14:textId="311B215A" w:rsidR="0094393B" w:rsidRDefault="0094393B">
      <w:pPr>
        <w:rPr>
          <w:b/>
          <w:bCs/>
        </w:rPr>
      </w:pPr>
      <w:r>
        <w:rPr>
          <w:b/>
          <w:bCs/>
        </w:rPr>
        <w:t>CIPD Number</w:t>
      </w:r>
      <w:r w:rsidR="001C07E8">
        <w:rPr>
          <w:b/>
          <w:bCs/>
        </w:rPr>
        <w:t xml:space="preserve"> </w:t>
      </w:r>
      <w:r w:rsidR="001C07E8" w:rsidRPr="001C07E8">
        <w:t>919556</w:t>
      </w:r>
    </w:p>
    <w:p w14:paraId="62E96F28" w14:textId="7ED3390E" w:rsidR="0094393B" w:rsidRPr="00A72F6B" w:rsidRDefault="0094393B">
      <w:r>
        <w:rPr>
          <w:b/>
          <w:bCs/>
        </w:rPr>
        <w:t>Course Module</w:t>
      </w:r>
      <w:r w:rsidR="00A72F6B">
        <w:rPr>
          <w:b/>
          <w:bCs/>
        </w:rPr>
        <w:t xml:space="preserve"> </w:t>
      </w:r>
      <w:r w:rsidR="00A72F6B" w:rsidRPr="00A72F6B">
        <w:t>Organisational performance and culture in practice</w:t>
      </w:r>
    </w:p>
    <w:p w14:paraId="1E5BF628" w14:textId="4D02FCA1" w:rsidR="0094393B" w:rsidRDefault="0094393B" w:rsidP="00DE6407">
      <w:pPr>
        <w:pStyle w:val="Header"/>
        <w:rPr>
          <w:b/>
          <w:bCs/>
        </w:rPr>
      </w:pPr>
      <w:r>
        <w:rPr>
          <w:b/>
          <w:bCs/>
        </w:rPr>
        <w:t>Course Code</w:t>
      </w:r>
      <w:r w:rsidR="00DE6407">
        <w:rPr>
          <w:b/>
          <w:bCs/>
        </w:rPr>
        <w:t xml:space="preserve"> </w:t>
      </w:r>
      <w:r w:rsidR="00DE6407" w:rsidRPr="00A72F6B">
        <w:t>5CO01</w:t>
      </w:r>
      <w:r w:rsidR="00DE6407">
        <w:rPr>
          <w:b/>
          <w:bCs/>
        </w:rPr>
        <w:t xml:space="preserve"> </w:t>
      </w:r>
    </w:p>
    <w:p w14:paraId="07ABDD7F" w14:textId="77777777" w:rsidR="00DE6407" w:rsidRDefault="00DE6407" w:rsidP="00DE6407">
      <w:pPr>
        <w:pStyle w:val="Header"/>
        <w:rPr>
          <w:b/>
          <w:bCs/>
        </w:rPr>
      </w:pPr>
    </w:p>
    <w:p w14:paraId="56B38BAE" w14:textId="3DFE7E58" w:rsidR="0094393B" w:rsidRDefault="0094393B">
      <w:pPr>
        <w:rPr>
          <w:b/>
          <w:bCs/>
        </w:rPr>
      </w:pPr>
      <w:r>
        <w:rPr>
          <w:b/>
          <w:bCs/>
        </w:rPr>
        <w:t>Course Lecturer</w:t>
      </w:r>
      <w:r w:rsidR="005448F8">
        <w:rPr>
          <w:b/>
          <w:bCs/>
        </w:rPr>
        <w:t xml:space="preserve"> </w:t>
      </w:r>
      <w:r w:rsidR="005448F8" w:rsidRPr="005448F8">
        <w:t>Rhiannon Akers</w:t>
      </w:r>
    </w:p>
    <w:p w14:paraId="06D1E38B" w14:textId="77777777" w:rsidR="0094393B" w:rsidRDefault="0094393B">
      <w:pPr>
        <w:rPr>
          <w:b/>
          <w:bCs/>
        </w:rPr>
      </w:pPr>
    </w:p>
    <w:p w14:paraId="47B09C9A" w14:textId="5DCFFF57" w:rsidR="00646468" w:rsidRDefault="002309A1" w:rsidP="00421F90">
      <w:pPr>
        <w:rPr>
          <w:color w:val="000000" w:themeColor="text1"/>
        </w:rPr>
      </w:pPr>
      <w:r w:rsidRPr="00222E71">
        <w:br w:type="page"/>
      </w:r>
    </w:p>
    <w:p w14:paraId="3CBAFD4B" w14:textId="77777777" w:rsidR="00421F90" w:rsidRDefault="00421F90" w:rsidP="00421F90">
      <w:r w:rsidRPr="00F132B9">
        <w:rPr>
          <w:b/>
          <w:bCs/>
        </w:rPr>
        <w:lastRenderedPageBreak/>
        <w:t>AC 1.1</w:t>
      </w:r>
      <w:r>
        <w:t xml:space="preserve"> </w:t>
      </w:r>
      <w:proofErr w:type="spellStart"/>
      <w:r>
        <w:t>Calmere</w:t>
      </w:r>
      <w:proofErr w:type="spellEnd"/>
      <w:r>
        <w:t xml:space="preserve"> House operated under a flat organisational structure that evolved organically during Kirsten’s ownership. This approach suited a small, values-driven care home, enabling them to adapt to changing needs (Taylor and Woodhams, 2022, p.56). Employee engagement, collaboration and decision-making were promoted under Kirstens ownership. It was Kirsten’s consultative style, which was reflected in participative management, encouraging employees to voice opinions and contribute to decisions, enhancing autonomy and meaningfulness at the workplace (Zhou, Sacramento &amp; </w:t>
      </w:r>
      <w:proofErr w:type="spellStart"/>
      <w:r>
        <w:t>Martinaityte</w:t>
      </w:r>
      <w:proofErr w:type="spellEnd"/>
      <w:r>
        <w:t xml:space="preserve">, 2023). Regular staff meetings and check-ins created belonging and psychological safety which is linked to higher commitment and performance in care settings (Zhou et al., 2023). The flat structure also supported agility and responsiveness, vital in a care setting where residents’ individual needs are paramount (Taylor and Woodhams, 2022, p.56). Informal policies allowed for flexibility, and sharing </w:t>
      </w:r>
      <w:proofErr w:type="spellStart"/>
      <w:r>
        <w:t>Calmere</w:t>
      </w:r>
      <w:proofErr w:type="spellEnd"/>
      <w:r>
        <w:t xml:space="preserve"> House’s history during onboarding reinforced identity and culture. As Waite (2022) notes, a positive workplace culture begins with core values when genuinely promoted and lived.</w:t>
      </w:r>
    </w:p>
    <w:p w14:paraId="6C93E961" w14:textId="77777777" w:rsidR="00421F90" w:rsidRDefault="00421F90" w:rsidP="00421F90">
      <w:r>
        <w:t xml:space="preserve">In contrast, under Chaffinch Group’s ownership, </w:t>
      </w:r>
      <w:proofErr w:type="spellStart"/>
      <w:r>
        <w:t>Calmere</w:t>
      </w:r>
      <w:proofErr w:type="spellEnd"/>
      <w:r>
        <w:t xml:space="preserve"> House adopted a hierarchical, bureaucratic structure typical of large businesses. While structures like these can be advantageous for large business to help with standardisation and scalability, its implementation resulted in problems for the business (Weber, 1947, p.330). Kath’s autocratic leadership and top-down communication led to disengagement, increased staff turnover and reduced morale. Employees felt disconnected from the business goals, reflecting poor alignment with Herzberg’s motivation hygiene theory, which emphasises the importance of recognition and involvement (Herzberg, Mausner and Snyderman, 1959, pp.141–147). The bureaucratic structure also impacted the residents’ experience by having standard refurbishment removed the personal touches and undermined person-centred care. The lack of employee voice and strict procedures eroded the strong culture, causing dissatisfaction among residents and staff (Backhouse et al., 2023).</w:t>
      </w:r>
    </w:p>
    <w:p w14:paraId="016D24DB" w14:textId="77777777" w:rsidR="00421F90" w:rsidRDefault="00421F90" w:rsidP="00421F90">
      <w:r>
        <w:t xml:space="preserve">While hierarchical structures may suit managing multiple sites, they require adaptive leadership and cultural sensitivity when integrating smaller, community-based organisations. Chaffinch Group’s failure to manage this transition highlights the importance of organisational fit and change management (Azevedo and </w:t>
      </w:r>
      <w:proofErr w:type="spellStart"/>
      <w:r>
        <w:t>Jugdev</w:t>
      </w:r>
      <w:proofErr w:type="spellEnd"/>
      <w:r>
        <w:t xml:space="preserve">, 2022; CIPD, 2024). Azevedo and </w:t>
      </w:r>
      <w:proofErr w:type="spellStart"/>
      <w:r>
        <w:t>Jugdev</w:t>
      </w:r>
      <w:proofErr w:type="spellEnd"/>
      <w:r>
        <w:t xml:space="preserve"> (2022) stress that cultural intelligence and adaptive leadership as critical for successful integration, while CIPD (2024) offers practical guidance on managing change and aligning organisational culture.</w:t>
      </w:r>
    </w:p>
    <w:p w14:paraId="532B875A" w14:textId="77777777" w:rsidR="00421F90" w:rsidRDefault="00421F90" w:rsidP="00421F90">
      <w:r>
        <w:t xml:space="preserve">The flat structure under Kirsten was suited and appropriate for </w:t>
      </w:r>
      <w:proofErr w:type="spellStart"/>
      <w:r>
        <w:t>Calmere</w:t>
      </w:r>
      <w:proofErr w:type="spellEnd"/>
      <w:r>
        <w:t xml:space="preserve"> House’s size, ethos and culture. The hierarchical structure under Chaffinch Group, although suitable for large-scale operations, proved unsuitable in its current form due to poor cultural integration and a lack of employee engagement. </w:t>
      </w:r>
    </w:p>
    <w:p w14:paraId="47F45E77" w14:textId="77777777" w:rsidR="00421F90" w:rsidRDefault="00421F90" w:rsidP="00421F90">
      <w:r w:rsidRPr="00F132B9">
        <w:rPr>
          <w:b/>
          <w:bCs/>
        </w:rPr>
        <w:lastRenderedPageBreak/>
        <w:t>AC 1.2</w:t>
      </w:r>
      <w:r>
        <w:t xml:space="preserve"> A rational approach to forming a strategy, as explained through the design lens, is a systematic, evidence-based process which views developing a strategy as a logical sequence of analysis and evaluation. It assumes that systematic analysis is key, and that analysis precedes action, and objectives should be clear (Johnson, Scholes and Whittington, 2019, p.184-187).</w:t>
      </w:r>
    </w:p>
    <w:p w14:paraId="04D8C736" w14:textId="77777777" w:rsidR="00421F90" w:rsidRDefault="00421F90" w:rsidP="00421F90">
      <w:r>
        <w:t xml:space="preserve">Chaffinch Group’s main customers are residents who require respite or long-term care, and their families who also influence decision making. Secondary customers include the local authorities and healthcare professionals who refer clients to </w:t>
      </w:r>
      <w:proofErr w:type="spellStart"/>
      <w:r>
        <w:t>Calmere</w:t>
      </w:r>
      <w:proofErr w:type="spellEnd"/>
      <w:r>
        <w:t xml:space="preserve"> House. Meeting the needs of all these stakeholders is essential for maintaining occupancy rates and reputation. Historically, </w:t>
      </w:r>
      <w:proofErr w:type="spellStart"/>
      <w:r>
        <w:t>Calmere</w:t>
      </w:r>
      <w:proofErr w:type="spellEnd"/>
      <w:r>
        <w:t xml:space="preserve"> House was different from others through a personalised approach to care, residents had their own choice in room decor, and personalisation which were lost after the acquisition. This has led to dissatisfaction, and a decline in occupancy rates.</w:t>
      </w:r>
    </w:p>
    <w:p w14:paraId="0B5F1D24" w14:textId="77777777" w:rsidR="00421F90" w:rsidRDefault="00421F90" w:rsidP="00421F90">
      <w:r>
        <w:t>To address this, Chaffinch could apply a rational approach by conducting a PESTLE analysis to identify external pressures such as rising costs, demographic changes, and regulatory requirements (Appendix 1). Alongside this, a SWOT analysis would highlight internal strengths (financial resources, refurbishment capability), weaknesses (high staff turnover, loss of personalised care), opportunities (growing demand for quality care), and threats (competitors attracting residents) (Chakrabarty, 2024, pp.5–8). Using both frameworks together would offer a holistic viewpoint, validate decisions, and reduce risk (Research Optimus, 2021).</w:t>
      </w:r>
    </w:p>
    <w:p w14:paraId="5AED9C3C" w14:textId="77777777" w:rsidR="00421F90" w:rsidRDefault="00421F90" w:rsidP="00421F90">
      <w:r>
        <w:t>A rational approach supports vertical integration by aligning corporate objectives with operational plans. This ensures horizontal integration through coordinated strategies across functions such as HR, operations, and care delivery. Furthermore, this approach encourages data driven decisions, stakeholder consultation, and scenario planning. This therefore ensures strategies are transparent and aligned with customer expectations. By acting on analysis, rather than intuition, Chaffinch could then rebuild trust, enhance the quality of service, and achieve financial sustainability while differentiating through personalised care.</w:t>
      </w:r>
    </w:p>
    <w:p w14:paraId="688F7F70" w14:textId="77777777" w:rsidR="00421F90" w:rsidRDefault="00421F90" w:rsidP="00421F90">
      <w:r w:rsidRPr="00F132B9">
        <w:rPr>
          <w:b/>
          <w:bCs/>
        </w:rPr>
        <w:t>AC 1.3</w:t>
      </w:r>
      <w:r>
        <w:t xml:space="preserve"> An external factor that would negatively impact the residential care industry is the ongoing workforce shortage. The sector faces a huge recruitment and retention challenge, with vacancy rates at 8.3% which is three times higher than the wider economy. Around 131,000 posts which are not filled daily (Skills for Care, 2024, p. 46). High turnover, currently at around 24%, adds further instability, and reliance on international recruitment creates vulnerability due to immigration policy changes. These shortages increase operational costs, reduce continuity of care, and compromise financial sustainability, as providers often depend on expensive agency staff to maintain satisfactory staffing levels (Skills for Care, 2024, p. 46). The situation is made worse by a rising demand for services and regulatory requirements for safe staff ratios, which </w:t>
      </w:r>
      <w:r>
        <w:lastRenderedPageBreak/>
        <w:t>leaves for little flexibility. Skills for Care estimates that 540,000 additional posts will be needed by 2040 to meet future demand, highlighting the scale of the challenge (Skills for Care, 2024, p. 46).</w:t>
      </w:r>
    </w:p>
    <w:p w14:paraId="6418DD21" w14:textId="77777777" w:rsidR="00421F90" w:rsidRDefault="00421F90" w:rsidP="00421F90">
      <w:r>
        <w:t>One external factor which is having a positive impact on the residential care industry is an ageing population in the UK. This is creating a positive impact by driving demand for residential care services. According to the Office for National Statistics (ONS), the number of people aged 85 and over is projected to almost double from 1.7 million in 2022 to 3.3 million by 2047, while those aged 65+ will increase by nearly 32% by 2043 (ONS, 2025). This demographic shift is attracting investment and encouraging innovation, with providers introducing luxury care homes and services, enhanced by technology such as telemedicine (remote diagnosis) and AI monitoring to meet evolving expectations (CBRE, 2024). The trend supports market growth and consolidation, offering opportunities for care providers to improve occupancy rates and diversify offerings despite rising costs (BTG Advisory, 2025; Carehome.co.uk, 2025; IBISWorld, 2025). This growth brings challenges around infrastructure and workforce capacity. This represents long-term opportunity for organisations to adapt their services to meet the needs of an older population.</w:t>
      </w:r>
    </w:p>
    <w:p w14:paraId="28E814FB" w14:textId="77777777" w:rsidR="00421F90" w:rsidRDefault="00421F90" w:rsidP="00421F90">
      <w:r w:rsidRPr="00F132B9">
        <w:rPr>
          <w:b/>
          <w:bCs/>
        </w:rPr>
        <w:t>AC 1.4</w:t>
      </w:r>
      <w:r>
        <w:t xml:space="preserve"> Under Kirsten’s ownership, </w:t>
      </w:r>
      <w:proofErr w:type="spellStart"/>
      <w:r>
        <w:t>Calmere</w:t>
      </w:r>
      <w:proofErr w:type="spellEnd"/>
      <w:r>
        <w:t xml:space="preserve"> House operated with a lack of investment in technology, relying on manual processes and informal communication. While this suited a small, family-run care home, it created challenges during the transition to Chaffinch Group’s more structured approach. The absence of digital systems would have hindered operational efficiency and contributed to confusion for the new manager, as processes lacked clarity and consistency.</w:t>
      </w:r>
    </w:p>
    <w:p w14:paraId="6A799A6D" w14:textId="77777777" w:rsidR="00421F90" w:rsidRDefault="00421F90" w:rsidP="00421F90">
      <w:r>
        <w:t xml:space="preserve">Introducing technological enhancements to </w:t>
      </w:r>
      <w:proofErr w:type="spellStart"/>
      <w:r>
        <w:t>Calmere</w:t>
      </w:r>
      <w:proofErr w:type="spellEnd"/>
      <w:r>
        <w:t xml:space="preserve"> House can help to transform both patient care and employee experience. Digital care planning and electronic record systems would enable accurate, real-time documentation of patient information, improve medication safety and reduce errors during handovers. App-based platforms and handheld devices could allow staff to update care notes instantly, reducing time spent on paperwork and enabling more interaction with residents. This aligns with evidence that digitisation enhances efficiency and patient outcomes in care settings (Conner and Clawson, 2004, p.112).</w:t>
      </w:r>
    </w:p>
    <w:p w14:paraId="56263F1B" w14:textId="77777777" w:rsidR="00421F90" w:rsidRDefault="00421F90" w:rsidP="00421F90">
      <w:r>
        <w:t>Medicine management could be further supported through digital dashboards, alerts, and automated inventory systems, creating audit trails and reducing risks of missed doses. Wearable devices and sensors offer additional benefits, such as monitoring residents’ health status, detecting falls, and alerting staff to emergencies. For residents with dementia, location tracking can prevent harm by notifying staff if individuals enter restricted areas. These innovations would help improve safety and quality of care while supporting compliance with regulatory standards.</w:t>
      </w:r>
    </w:p>
    <w:p w14:paraId="144FE426" w14:textId="77777777" w:rsidR="00421F90" w:rsidRDefault="00421F90" w:rsidP="00421F90">
      <w:r>
        <w:lastRenderedPageBreak/>
        <w:t>From a HR perspective, technology can streamline workforce management through digital rota systems, absence tracking, and payroll integration. Employees could access online training modules and compliance updates, supporting continuous professional development and competence. In addition to this, engagement tools such as feedback platforms and job satisfaction surveys can help managers monitor morale and retention, addressing issues highlighted in the case study where staff felt undervalued after the acquisition (CIPD, 2024, p.18).</w:t>
      </w:r>
    </w:p>
    <w:p w14:paraId="57F04A83" w14:textId="77777777" w:rsidR="00421F90" w:rsidRDefault="00421F90" w:rsidP="00421F90">
      <w:r>
        <w:t>Enhanced communication systems, including video calling for family interactions and digital scheduling for GP appointments, would improve resident experience and operational coordination. However, successful implementation requires investment in training and change management to overcome resistance and ensure adoption (Cameron and Green, 2019, p.276).</w:t>
      </w:r>
    </w:p>
    <w:p w14:paraId="38677315" w14:textId="77777777" w:rsidR="00421F90" w:rsidRDefault="00421F90" w:rsidP="00421F90">
      <w:r>
        <w:t xml:space="preserve">Overall, technology offers significant opportunities to improve care standards, staff efficiency, and organisational performance at </w:t>
      </w:r>
      <w:proofErr w:type="spellStart"/>
      <w:r>
        <w:t>Calmere</w:t>
      </w:r>
      <w:proofErr w:type="spellEnd"/>
      <w:r>
        <w:t xml:space="preserve"> House. By integrating digital solutions thoughtfully, Chaffinch Group can enhance patient safety, employee engagement, and profitability, ensuring long-term sustainability.</w:t>
      </w:r>
    </w:p>
    <w:p w14:paraId="73B6D141" w14:textId="35A54CE5" w:rsidR="00421F90" w:rsidRDefault="00421F90" w:rsidP="00421F90">
      <w:r w:rsidRPr="00F132B9">
        <w:rPr>
          <w:b/>
          <w:bCs/>
          <w:noProof/>
        </w:rPr>
        <w:drawing>
          <wp:anchor distT="0" distB="0" distL="114300" distR="114300" simplePos="0" relativeHeight="251657216" behindDoc="0" locked="0" layoutInCell="1" allowOverlap="1" wp14:anchorId="223AFF80" wp14:editId="4C688413">
            <wp:simplePos x="0" y="0"/>
            <wp:positionH relativeFrom="column">
              <wp:posOffset>1256306</wp:posOffset>
            </wp:positionH>
            <wp:positionV relativeFrom="paragraph">
              <wp:posOffset>2043237</wp:posOffset>
            </wp:positionV>
            <wp:extent cx="2917825" cy="1823085"/>
            <wp:effectExtent l="0" t="0" r="0" b="5715"/>
            <wp:wrapSquare wrapText="bothSides"/>
            <wp:docPr id="650159609" name="Picture 1" descr="A pyramid of values and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59609" name="Picture 1" descr="A pyramid of values and value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917825" cy="1823085"/>
                    </a:xfrm>
                    <a:prstGeom prst="rect">
                      <a:avLst/>
                    </a:prstGeom>
                  </pic:spPr>
                </pic:pic>
              </a:graphicData>
            </a:graphic>
            <wp14:sizeRelH relativeFrom="page">
              <wp14:pctWidth>0</wp14:pctWidth>
            </wp14:sizeRelH>
            <wp14:sizeRelV relativeFrom="page">
              <wp14:pctHeight>0</wp14:pctHeight>
            </wp14:sizeRelV>
          </wp:anchor>
        </w:drawing>
      </w:r>
      <w:r w:rsidRPr="00F132B9">
        <w:rPr>
          <w:b/>
          <w:bCs/>
        </w:rPr>
        <w:t>AC 2.1</w:t>
      </w:r>
      <w:r>
        <w:t xml:space="preserve"> The Problems at </w:t>
      </w:r>
      <w:proofErr w:type="spellStart"/>
      <w:r>
        <w:t>Calmere</w:t>
      </w:r>
      <w:proofErr w:type="spellEnd"/>
      <w:r>
        <w:t xml:space="preserve"> House after the takeover can be explained by changes in culture, management style, and motivation. According to Schein’s model, culture has three levels: artifacts, values, and underlying assumptions. Chaffinch Group changed visible artifacts such as reporting lines and procedures but did not align the deeper values and assumptions. This misalignment often causes confusion and resistance because staff feel the organisation’s actions do not match its stated values (Schein, 2010, p.23).</w:t>
      </w:r>
      <w:r w:rsidR="00F132B9">
        <w:t xml:space="preserve"> </w:t>
      </w:r>
      <w:r>
        <w:br/>
      </w:r>
      <w:r>
        <w:br/>
      </w:r>
      <w:r w:rsidRPr="00D6049D">
        <w:rPr>
          <w:i/>
          <w:iCs/>
        </w:rPr>
        <w:t>Schein’s Model</w:t>
      </w:r>
      <w:r>
        <w:br/>
      </w:r>
      <w:r>
        <w:br/>
      </w:r>
      <w:r>
        <w:br/>
      </w:r>
    </w:p>
    <w:p w14:paraId="4786A8A4" w14:textId="77777777" w:rsidR="00421F90" w:rsidRDefault="00421F90" w:rsidP="00421F90">
      <w:r>
        <w:br/>
      </w:r>
      <w:r>
        <w:br/>
      </w:r>
      <w:r>
        <w:br/>
      </w:r>
      <w:r>
        <w:br/>
      </w:r>
      <w:r>
        <w:br/>
      </w:r>
      <w:r>
        <w:br/>
      </w:r>
      <w:r>
        <w:br/>
      </w:r>
    </w:p>
    <w:p w14:paraId="14008980" w14:textId="77777777" w:rsidR="00421F90" w:rsidRDefault="00421F90" w:rsidP="00421F90"/>
    <w:p w14:paraId="73A7B8E1" w14:textId="77777777" w:rsidR="00421F90" w:rsidRDefault="00421F90" w:rsidP="00421F90"/>
    <w:p w14:paraId="046C9796" w14:textId="77777777" w:rsidR="00421F90" w:rsidRDefault="00421F90" w:rsidP="00421F90"/>
    <w:p w14:paraId="5500151B" w14:textId="77777777" w:rsidR="00421F90" w:rsidRDefault="00421F90" w:rsidP="00421F90">
      <w:r>
        <w:t xml:space="preserve">The culture type also shifted. Under Kirsten, the home had more of a task/person culture, where teamwork and relationships were important. Chaffinch Group introduced a role, power culture, which was heavily focused on rules and hierarchy. This </w:t>
      </w:r>
      <w:r>
        <w:lastRenderedPageBreak/>
        <w:t>change reduced autonomy and slowed decision-making, which can lower morale and increase turnover (Handy, 1993, pp. 76–78).</w:t>
      </w:r>
    </w:p>
    <w:p w14:paraId="7F368ED0" w14:textId="77777777" w:rsidR="00421F90" w:rsidRDefault="00421F90" w:rsidP="00421F90">
      <w:r>
        <w:t>The management style changed too, McGregor’s Theory X and Theory Y explains that Theory X assumes people dislike work and need control often an authoritarian approach, while Theory Y being a more participative approach assumes people want responsibility. Kirsten’s approach was closer to Theory Y, but Chaffinch adopted a Theory X style, which limits involvement and reduces motivation and would explain why effort fell and resistance grew among staff members (McGregor, 1960, pp. 33–34).</w:t>
      </w:r>
    </w:p>
    <w:p w14:paraId="6B11B1E1" w14:textId="77777777" w:rsidR="00421F90" w:rsidRDefault="00421F90" w:rsidP="00421F90">
      <w:r>
        <w:t>From a motivation perspective Herzberg’s Two-Factor Theory says hygiene factors (like policies, supervision and job security prevent dissatisfaction, while motivators (like recognition and responsibility, drive engagement. After the takeover, hygiene factors declined and motivators disappeared, these two combined lead to low morale and higher turnover (Herzberg et al., 1959, pp. 113–115). Similarly, Vroom’s Expectancy Theory shows that if employees feel effort will not lead to fair rewards for the work they do, motivation levels will decline. (Vroom, 1964, pp. 29–31).</w:t>
      </w:r>
    </w:p>
    <w:p w14:paraId="20E1E95F" w14:textId="490F07C4" w:rsidR="00421F90" w:rsidRDefault="00421F90" w:rsidP="00421F90">
      <w:r>
        <w:t>Finally, the change process was poorly managed. Lewin’s Force-Field Model shows that restraining forces (fear, loss of culture, poor communication) were not reduced, so the change never fully “unfroze” before new ways of working were imposed. (Lewin, 1951, as cited in Cameron &amp; Green, 2019, p.115). Staff reactions follow the change curve shock, denial, frustration, depression because there was little support or consultation (Cameron &amp; Green, 2019, pp. 276–278). (Appendix</w:t>
      </w:r>
      <w:r w:rsidR="00972531">
        <w:t xml:space="preserve"> 3</w:t>
      </w:r>
      <w:r>
        <w:t>)</w:t>
      </w:r>
      <w:r>
        <w:br/>
      </w:r>
      <w:r>
        <w:br/>
      </w:r>
      <w:r w:rsidRPr="008A4D46">
        <w:rPr>
          <w:i/>
          <w:iCs/>
        </w:rPr>
        <w:t xml:space="preserve">Lewins </w:t>
      </w:r>
      <w:r w:rsidR="00D6049D" w:rsidRPr="008A4D46">
        <w:rPr>
          <w:i/>
          <w:iCs/>
        </w:rPr>
        <w:t>Three Step Chan</w:t>
      </w:r>
      <w:r w:rsidR="008A4D46" w:rsidRPr="008A4D46">
        <w:rPr>
          <w:i/>
          <w:iCs/>
        </w:rPr>
        <w:t>ge Model</w:t>
      </w:r>
      <w:r>
        <w:br/>
      </w:r>
      <w:r w:rsidRPr="002C1A25">
        <w:rPr>
          <w:noProof/>
        </w:rPr>
        <w:drawing>
          <wp:inline distT="0" distB="0" distL="0" distR="0" wp14:anchorId="609FBE0B" wp14:editId="6B4A9079">
            <wp:extent cx="5725324" cy="2000529"/>
            <wp:effectExtent l="0" t="0" r="8890" b="0"/>
            <wp:docPr id="724370385" name="Picture 1" descr="A diagram of different colored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70385" name="Picture 1" descr="A diagram of different colored shapes&#10;&#10;AI-generated content may be incorrect."/>
                    <pic:cNvPicPr/>
                  </pic:nvPicPr>
                  <pic:blipFill>
                    <a:blip r:embed="rId7"/>
                    <a:stretch>
                      <a:fillRect/>
                    </a:stretch>
                  </pic:blipFill>
                  <pic:spPr>
                    <a:xfrm>
                      <a:off x="0" y="0"/>
                      <a:ext cx="5725324" cy="2000529"/>
                    </a:xfrm>
                    <a:prstGeom prst="rect">
                      <a:avLst/>
                    </a:prstGeom>
                  </pic:spPr>
                </pic:pic>
              </a:graphicData>
            </a:graphic>
          </wp:inline>
        </w:drawing>
      </w:r>
      <w:r>
        <w:br/>
      </w:r>
    </w:p>
    <w:p w14:paraId="15C292E4" w14:textId="77777777" w:rsidR="00421F90" w:rsidRDefault="00421F90" w:rsidP="00421F90">
      <w:r>
        <w:t>Overall, problems arose because Chaffinch changed structures without managing culture, they adopted a controlling style, removed important motivators, and ignored the human side of change. These theories explain why morale fell, resistance grew, and turnover increased.</w:t>
      </w:r>
    </w:p>
    <w:p w14:paraId="648A0334" w14:textId="77777777" w:rsidR="00421F90" w:rsidRDefault="00421F90" w:rsidP="00421F90">
      <w:r w:rsidRPr="008A4D46">
        <w:rPr>
          <w:b/>
          <w:bCs/>
        </w:rPr>
        <w:lastRenderedPageBreak/>
        <w:t>AC 2.2</w:t>
      </w:r>
      <w:r>
        <w:t xml:space="preserve"> Before the acquisition, </w:t>
      </w:r>
      <w:proofErr w:type="spellStart"/>
      <w:r>
        <w:t>Calmere</w:t>
      </w:r>
      <w:proofErr w:type="spellEnd"/>
      <w:r>
        <w:t xml:space="preserve"> House operated under a flat structure where employees were actively involved in the selection of new hires. This collaborative approach reinforced a sense of autonomy and belonging, contributing to a strong, family feeling culture. Staff participation in decision making enhanced trust and engagement, aligning with collectivist values and low power distance dynamics (Henderson, 2017, p.129). Such involvement supported psychological safety and accountability, fostering positive behaviours and cohesion.</w:t>
      </w:r>
    </w:p>
    <w:p w14:paraId="1DA9BB95" w14:textId="77777777" w:rsidR="00421F90" w:rsidRDefault="00421F90" w:rsidP="00421F90">
      <w:r>
        <w:t>Following Chaffinch Group’s takeover, employee voice in recruitment was removed, and decisions became centralised under a bureaucratic hierarchy. This shift represents a significant cultural change, reducing openness and trust. Employees now feel excluded from processes they previously viewed as integral, leading to perceptions of disrespect and diminished value (Boxall and Purcell, 2022, p.278). Cartwright and Cooper (1992) suggest that such loss of involvement can evoke feelings akin to bereavement, as employees mourn the disappearance of familiar practices and relationships.</w:t>
      </w:r>
    </w:p>
    <w:p w14:paraId="138E06DE" w14:textId="77777777" w:rsidR="00421F90" w:rsidRDefault="00421F90" w:rsidP="00421F90">
      <w:r>
        <w:t xml:space="preserve">The change in power dynamics has increased the power-distance dimension, creating a more individualistic culture where authority is concentrated at the top (Henderson, 2017, p.129). Staff who once operated in a collectivist environment now experience limited influence, which can destabilise cultural norms and reduce motivation. (Buchanan and Badham, 2002, p.207) warn that when employee voice mechanisms are removed, resentment and gossip may emerge, fostering toxic subcultures and undermining collaboration. This is evident at </w:t>
      </w:r>
      <w:proofErr w:type="spellStart"/>
      <w:r>
        <w:t>Calmere</w:t>
      </w:r>
      <w:proofErr w:type="spellEnd"/>
      <w:r>
        <w:t xml:space="preserve"> House, where informal groups may form to express dissatisfaction, further eroding morale.</w:t>
      </w:r>
    </w:p>
    <w:p w14:paraId="4AAA2DEB" w14:textId="77777777" w:rsidR="00421F90" w:rsidRDefault="00421F90" w:rsidP="00421F90">
      <w:r>
        <w:t>The adoption of Weber’s bureaucratic model reinforces control through formal processes and rigid communication channels (Rees and French, 2023, p.260). While this structure offers consistency and compliance benefits, it has weakened employee engagement and accountability. The absence of participative practices has negatively impacted behaviours, reducing willingness to speak up and limiting innovation.</w:t>
      </w:r>
      <w:r>
        <w:br/>
      </w:r>
      <w:r>
        <w:br/>
      </w:r>
    </w:p>
    <w:p w14:paraId="7DB05DD8" w14:textId="77777777" w:rsidR="00421F90" w:rsidRDefault="00421F90" w:rsidP="00421F90">
      <w:r>
        <w:lastRenderedPageBreak/>
        <w:t xml:space="preserve">Max </w:t>
      </w:r>
      <w:proofErr w:type="spellStart"/>
      <w:r>
        <w:t>Webers’</w:t>
      </w:r>
      <w:proofErr w:type="spellEnd"/>
      <w:r>
        <w:t xml:space="preserve"> Bureaucratic Model</w:t>
      </w:r>
      <w:r>
        <w:br/>
      </w:r>
      <w:r w:rsidRPr="007B7F29">
        <w:rPr>
          <w:noProof/>
        </w:rPr>
        <w:drawing>
          <wp:inline distT="0" distB="0" distL="0" distR="0" wp14:anchorId="2695620D" wp14:editId="4BDF5C5F">
            <wp:extent cx="2735249" cy="2571022"/>
            <wp:effectExtent l="0" t="0" r="8255" b="1270"/>
            <wp:docPr id="716089903"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089903" name="Picture 1" descr="A diagram of a structure&#10;&#10;AI-generated content may be incorrect."/>
                    <pic:cNvPicPr/>
                  </pic:nvPicPr>
                  <pic:blipFill>
                    <a:blip r:embed="rId8"/>
                    <a:stretch>
                      <a:fillRect/>
                    </a:stretch>
                  </pic:blipFill>
                  <pic:spPr>
                    <a:xfrm>
                      <a:off x="0" y="0"/>
                      <a:ext cx="2748354" cy="2583341"/>
                    </a:xfrm>
                    <a:prstGeom prst="rect">
                      <a:avLst/>
                    </a:prstGeom>
                  </pic:spPr>
                </pic:pic>
              </a:graphicData>
            </a:graphic>
          </wp:inline>
        </w:drawing>
      </w:r>
      <w:r>
        <w:br/>
      </w:r>
    </w:p>
    <w:p w14:paraId="720D20A0" w14:textId="77777777" w:rsidR="00421F90" w:rsidRDefault="00421F90" w:rsidP="00421F90">
      <w:r>
        <w:t>Although standardisation may improve efficiency and legal compliance, the cultural cost is significant. People practice professionals could mitigate these effects by introducing alternative voice mechanisms, such as staff forums or feedback platforms, and by promoting inclusive policies to rebuild trust and engagement.</w:t>
      </w:r>
    </w:p>
    <w:p w14:paraId="7CA98F62" w14:textId="4027A8D4" w:rsidR="00421F90" w:rsidRDefault="00421F90" w:rsidP="00421F90">
      <w:r w:rsidRPr="008A4D46">
        <w:rPr>
          <w:b/>
          <w:bCs/>
        </w:rPr>
        <w:t>AC 2.3</w:t>
      </w:r>
      <w:r>
        <w:t xml:space="preserve"> The transition from a small, owner-managed care home to part of a large organisation was poorly managed, resulting in employee disengagement, high turnover, and resident dissatisfaction. Chaffinch Group enforced its organisational strategy immediately after acquisition, with limited communication and no structured handover, creating a sense of uncertainty and resistance among staff (Lynch, 2023, p.351). Applying a structured change management approach, such as Kotter’s 8-Step Model, would have provided a proactive and planned process to manage this transition effectively.</w:t>
      </w:r>
      <w:r w:rsidR="00797D50">
        <w:t xml:space="preserve"> (Appendix 2)</w:t>
      </w:r>
    </w:p>
    <w:p w14:paraId="0FEEAD26" w14:textId="77777777" w:rsidR="00421F90" w:rsidRDefault="00421F90" w:rsidP="00421F90">
      <w:r>
        <w:t>The first step should have been creating a sense of urgency by clearly explaining financial pressures and the benefits of joining a larger organisation. While Kirsten communicated the sale, the lack of detail left employees with unanswered questions. Involving Kirsten and key staff in a guiding coalition would have leveraged trust and credibility, ensuring smoother integration (Cameron and Green, 2019, pp.285–309). A clear vision that balanced modernisation with personalised care should have been developed and communicated through two-way channels such as meetings and Q&amp;A sessions, rather than impersonal emails (</w:t>
      </w:r>
      <w:proofErr w:type="spellStart"/>
      <w:r>
        <w:t>Karanges</w:t>
      </w:r>
      <w:proofErr w:type="spellEnd"/>
      <w:r>
        <w:t xml:space="preserve"> et al., 2015).</w:t>
      </w:r>
    </w:p>
    <w:p w14:paraId="527538BC" w14:textId="77777777" w:rsidR="00421F90" w:rsidRDefault="00421F90" w:rsidP="00421F90">
      <w:r>
        <w:t xml:space="preserve">Empowering employees to act on the vision was critical. Instead of imposing rigid policies and autocratic leadership, Chaffinch could have allowed flexibility to retain </w:t>
      </w:r>
      <w:proofErr w:type="spellStart"/>
      <w:r>
        <w:t>Calmere</w:t>
      </w:r>
      <w:proofErr w:type="spellEnd"/>
      <w:r>
        <w:t xml:space="preserve"> House’s ethos of resident choice and employee voice. Change teams could have supported implementation, removed cultural barriers, and celebrated short-term wins, such as refurbishing rooms while maintaining residents’ ability to personalise </w:t>
      </w:r>
      <w:r>
        <w:lastRenderedPageBreak/>
        <w:t xml:space="preserve">décor. These early successes would have built momentum and reduced resistance (Boxall and Purcell, 2022, p.277). Over time, embedding changes into organisational culture required respecting </w:t>
      </w:r>
      <w:proofErr w:type="spellStart"/>
      <w:r>
        <w:t>Calmere</w:t>
      </w:r>
      <w:proofErr w:type="spellEnd"/>
      <w:r>
        <w:t xml:space="preserve"> House’s strong traditions of collaboration and resident-focused care. Recognition programs and participative decision-making could have anchored these values within the new structure, ensuring a sustainable future (Cameron and Green, 2019, p.313).</w:t>
      </w:r>
    </w:p>
    <w:p w14:paraId="2F6E7CEB" w14:textId="24CAB23A" w:rsidR="00421F90" w:rsidRPr="00421F90" w:rsidRDefault="00421F90" w:rsidP="00D42EDF">
      <w:r>
        <w:t>Maintaining Kirsten’s involvement during the transition would have reassured staff and facilitated cultural integration. Strong communication channels, onboarding, and clarity on new contracts would have aligned expectations and supported wellbeing (</w:t>
      </w:r>
      <w:proofErr w:type="spellStart"/>
      <w:r>
        <w:t>Karanges</w:t>
      </w:r>
      <w:proofErr w:type="spellEnd"/>
      <w:r>
        <w:t xml:space="preserve"> et al., 2015). Alternative approaches such as Lewin’s three-step model or ADKAR could also have been applied; however, Kotter’s model is particularly suited to large-scale cultural and structural change. By following a structured approach, Chaffinch Group could have minimised resistance, </w:t>
      </w:r>
      <w:proofErr w:type="gramStart"/>
      <w:r>
        <w:t>maintained</w:t>
      </w:r>
      <w:proofErr w:type="gramEnd"/>
      <w:r>
        <w:t xml:space="preserve"> engagement, and preserved the home’s reputation while achieving operational goals.</w:t>
      </w:r>
    </w:p>
    <w:p w14:paraId="20785375" w14:textId="6DB40D48" w:rsidR="00D42EDF" w:rsidRPr="00EB3C20" w:rsidRDefault="000D22B3" w:rsidP="00D42EDF">
      <w:r w:rsidRPr="00EB3C20">
        <w:rPr>
          <w:b/>
          <w:bCs/>
        </w:rPr>
        <w:t>AC</w:t>
      </w:r>
      <w:r w:rsidR="00D42EDF" w:rsidRPr="00EB3C20">
        <w:rPr>
          <w:b/>
          <w:bCs/>
        </w:rPr>
        <w:t xml:space="preserve"> 2.4</w:t>
      </w:r>
      <w:r w:rsidR="00D42EDF" w:rsidRPr="00EB3C20">
        <w:t xml:space="preserve"> </w:t>
      </w:r>
      <w:r w:rsidR="00D42EDF" w:rsidRPr="00EB3C20">
        <w:t xml:space="preserve">The experience of change for employees at </w:t>
      </w:r>
      <w:proofErr w:type="spellStart"/>
      <w:r w:rsidR="00D42EDF" w:rsidRPr="00EB3C20">
        <w:t>Calmere</w:t>
      </w:r>
      <w:proofErr w:type="spellEnd"/>
      <w:r w:rsidR="00D42EDF" w:rsidRPr="00EB3C20">
        <w:t xml:space="preserve"> House following the takeover by Chaffinch Group can be understood through the Kubler-Ross Change Curve, which illustrates emotional responses to significant change. This model, adapted from grief theory, includes stages of shock, denial, frustration, depression, experiment, decision, and integration (Cameron &amp; Green, 2019, pp. 276–278).</w:t>
      </w:r>
    </w:p>
    <w:p w14:paraId="43268034" w14:textId="34C9DD2F" w:rsidR="00D42EDF" w:rsidRPr="00EB3C20" w:rsidRDefault="00D42EDF" w:rsidP="00D42EDF">
      <w:r w:rsidRPr="00EB3C20">
        <w:t xml:space="preserve">Initially, employees experienced shock when Kirsten </w:t>
      </w:r>
      <w:r w:rsidR="001B6411" w:rsidRPr="00EB3C20">
        <w:t xml:space="preserve">informed </w:t>
      </w:r>
      <w:r w:rsidR="000750FA" w:rsidRPr="00EB3C20">
        <w:t>them</w:t>
      </w:r>
      <w:r w:rsidR="00454044" w:rsidRPr="00EB3C20">
        <w:t xml:space="preserve"> that</w:t>
      </w:r>
      <w:r w:rsidR="001B6411" w:rsidRPr="00EB3C20">
        <w:t xml:space="preserve"> she </w:t>
      </w:r>
      <w:r w:rsidRPr="00EB3C20">
        <w:t>was selling the family</w:t>
      </w:r>
      <w:r w:rsidR="00454044" w:rsidRPr="00EB3C20">
        <w:t xml:space="preserve"> </w:t>
      </w:r>
      <w:r w:rsidRPr="00EB3C20">
        <w:t xml:space="preserve">run </w:t>
      </w:r>
      <w:r w:rsidR="00454044" w:rsidRPr="00EB3C20">
        <w:t xml:space="preserve">care </w:t>
      </w:r>
      <w:r w:rsidRPr="00EB3C20">
        <w:t>home. Staff</w:t>
      </w:r>
      <w:r w:rsidR="00937D48" w:rsidRPr="00EB3C20">
        <w:t xml:space="preserve"> members</w:t>
      </w:r>
      <w:r w:rsidRPr="00EB3C20">
        <w:t xml:space="preserve"> had </w:t>
      </w:r>
      <w:r w:rsidR="00884E2C" w:rsidRPr="00EB3C20">
        <w:t xml:space="preserve">a </w:t>
      </w:r>
      <w:r w:rsidRPr="00EB3C20">
        <w:t>strong attachment to the previous culture of trust and involvement, so the announcement created</w:t>
      </w:r>
      <w:r w:rsidR="00937D48" w:rsidRPr="00EB3C20">
        <w:t xml:space="preserve"> a sense of</w:t>
      </w:r>
      <w:r w:rsidRPr="00EB3C20">
        <w:t xml:space="preserve"> uncertainty and anxiety. Many then moved into denial, hoping the new ownership would maintain existing practices. This is reflected in the case study where employees believed their roles would remain unchanged despite early signs of structural changes.</w:t>
      </w:r>
    </w:p>
    <w:p w14:paraId="3711166B" w14:textId="2707E682" w:rsidR="00D42EDF" w:rsidRPr="00EB3C20" w:rsidRDefault="00D42EDF" w:rsidP="00D42EDF">
      <w:r w:rsidRPr="00EB3C20">
        <w:t xml:space="preserve">As Chaffinch introduced bureaucratic processes and removed employee voice, staff </w:t>
      </w:r>
      <w:proofErr w:type="gramStart"/>
      <w:r w:rsidRPr="00EB3C20">
        <w:t>entered</w:t>
      </w:r>
      <w:r w:rsidR="002F236A" w:rsidRPr="00EB3C20">
        <w:t xml:space="preserve"> into</w:t>
      </w:r>
      <w:proofErr w:type="gramEnd"/>
      <w:r w:rsidRPr="00EB3C20">
        <w:t xml:space="preserve"> frustration</w:t>
      </w:r>
      <w:r w:rsidR="002F236A" w:rsidRPr="00EB3C20">
        <w:t xml:space="preserve"> phase</w:t>
      </w:r>
      <w:r w:rsidRPr="00EB3C20">
        <w:t xml:space="preserve">. The loss of autonomy and consultative management led to feelings of powerlessness and resentment, evidenced by rising sickness absence and informal complaints. For some, this progressed into depression, marked by </w:t>
      </w:r>
      <w:r w:rsidR="004D24E2" w:rsidRPr="00EB3C20">
        <w:t xml:space="preserve">the </w:t>
      </w:r>
      <w:r w:rsidRPr="00EB3C20">
        <w:t>low morale and disengagement. The case</w:t>
      </w:r>
      <w:r w:rsidR="004D24E2" w:rsidRPr="00EB3C20">
        <w:t xml:space="preserve"> study</w:t>
      </w:r>
      <w:r w:rsidRPr="00EB3C20">
        <w:t xml:space="preserve"> highlights increased turnover and reliance on agency staff, which often occurs when employees feel disconnected and undervalued.</w:t>
      </w:r>
    </w:p>
    <w:p w14:paraId="2595E44F" w14:textId="68567FBC" w:rsidR="00D42EDF" w:rsidRPr="00EB3C20" w:rsidRDefault="00D42EDF" w:rsidP="00D42EDF">
      <w:r w:rsidRPr="00EB3C20">
        <w:t>Over time, a few employees began to experiment, trying to adapt to new reporting lines and procedures. However, without adequate support or communication, progress was slow. Those who perceived benefits or stability moved into decision, choosing either to accept the changes or leave the organisation</w:t>
      </w:r>
      <w:r w:rsidR="008F3BBB" w:rsidRPr="00EB3C20">
        <w:t xml:space="preserve"> entirely</w:t>
      </w:r>
      <w:r w:rsidRPr="00EB3C20">
        <w:t>. The case</w:t>
      </w:r>
      <w:r w:rsidR="008F3BBB" w:rsidRPr="00EB3C20">
        <w:t xml:space="preserve"> stu</w:t>
      </w:r>
      <w:r w:rsidR="005F0785" w:rsidRPr="00EB3C20">
        <w:t>dy</w:t>
      </w:r>
      <w:r w:rsidRPr="00EB3C20">
        <w:t xml:space="preserve"> notes that several staff resigned, showing that for some, the decision stage resulted in exit rather than integration</w:t>
      </w:r>
      <w:r w:rsidR="005F0785" w:rsidRPr="00EB3C20">
        <w:t xml:space="preserve"> into Chaffinch Group.</w:t>
      </w:r>
    </w:p>
    <w:p w14:paraId="02647196" w14:textId="194C1AD2" w:rsidR="00D42EDF" w:rsidRPr="00EB3C20" w:rsidRDefault="00D42EDF" w:rsidP="00D42EDF">
      <w:r w:rsidRPr="00EB3C20">
        <w:lastRenderedPageBreak/>
        <w:t>Finally, integration</w:t>
      </w:r>
      <w:r w:rsidR="005F0785" w:rsidRPr="00EB3C20">
        <w:t xml:space="preserve"> </w:t>
      </w:r>
      <w:r w:rsidRPr="00EB3C20">
        <w:t>where employees fully accept and embrace the new culture</w:t>
      </w:r>
      <w:r w:rsidR="00037255" w:rsidRPr="00EB3C20">
        <w:t xml:space="preserve"> </w:t>
      </w:r>
      <w:r w:rsidRPr="00EB3C20">
        <w:t>was limited. The lack of a structured transition and poor communication meant many never reached this stage, leaving the organisation vulnerable to ongoing instability.</w:t>
      </w:r>
    </w:p>
    <w:p w14:paraId="00C408B3" w14:textId="5F628C6F" w:rsidR="000D22B3" w:rsidRPr="00EB3C20" w:rsidRDefault="00D42EDF" w:rsidP="00D42EDF">
      <w:r w:rsidRPr="00EB3C20">
        <w:t xml:space="preserve">The Kubler-Ross model demonstrates that employee reactions to change are emotional and non-linear. At </w:t>
      </w:r>
      <w:proofErr w:type="spellStart"/>
      <w:r w:rsidRPr="00EB3C20">
        <w:t>Calmere</w:t>
      </w:r>
      <w:proofErr w:type="spellEnd"/>
      <w:r w:rsidRPr="00EB3C20">
        <w:t xml:space="preserve"> House, insufficient consultation and wellbeing support prolonged </w:t>
      </w:r>
      <w:r w:rsidR="009C3332" w:rsidRPr="00EB3C20">
        <w:t xml:space="preserve">the </w:t>
      </w:r>
      <w:r w:rsidRPr="00EB3C20">
        <w:t>negative stages, leading to resistance, absenteeism, and attrition. CIPD research emphasises that effective change management requires clear communication, involvement, and wellbeing support to help employees move through these stages successfully (CIPD, 2024, pp. 14–16).</w:t>
      </w:r>
    </w:p>
    <w:p w14:paraId="3DF45C72" w14:textId="0D344B91" w:rsidR="00EB018E" w:rsidRDefault="00646AE9" w:rsidP="00EB018E">
      <w:r w:rsidRPr="005416E4">
        <w:rPr>
          <w:b/>
          <w:bCs/>
        </w:rPr>
        <w:t>AC 2.5</w:t>
      </w:r>
      <w:r w:rsidR="005416E4" w:rsidRPr="005416E4">
        <w:rPr>
          <w:b/>
          <w:bCs/>
          <w:i/>
          <w:iCs/>
        </w:rPr>
        <w:t xml:space="preserve"> </w:t>
      </w:r>
      <w:r w:rsidR="00EB018E">
        <w:t xml:space="preserve">Employee wellbeing at </w:t>
      </w:r>
      <w:proofErr w:type="spellStart"/>
      <w:r w:rsidR="00EB018E">
        <w:t>Calmere</w:t>
      </w:r>
      <w:proofErr w:type="spellEnd"/>
      <w:r w:rsidR="00EB018E">
        <w:t xml:space="preserve"> House has been </w:t>
      </w:r>
      <w:r w:rsidR="00520934">
        <w:t xml:space="preserve">impacted greatly by the </w:t>
      </w:r>
      <w:r w:rsidR="00EB018E">
        <w:t>acquisition by Chaffinch Group. One major factor</w:t>
      </w:r>
      <w:r w:rsidR="00F11548">
        <w:t xml:space="preserve"> </w:t>
      </w:r>
      <w:r w:rsidR="005353ED">
        <w:t>which is affecting employee wellbeing</w:t>
      </w:r>
      <w:r w:rsidR="00EB018E">
        <w:t xml:space="preserve"> is the loss of employee voice and autonomy. Under Kirsten’s ownership, employees were highly engaged through</w:t>
      </w:r>
      <w:r w:rsidR="005353ED">
        <w:t xml:space="preserve"> a</w:t>
      </w:r>
      <w:r w:rsidR="00EB018E">
        <w:t xml:space="preserve"> consultative</w:t>
      </w:r>
      <w:r w:rsidR="005353ED">
        <w:t xml:space="preserve"> approach to</w:t>
      </w:r>
      <w:r w:rsidR="00EB018E">
        <w:t xml:space="preserve"> management, regular meetings, and involvement in decision-making, </w:t>
      </w:r>
      <w:r w:rsidR="005353ED">
        <w:t>all of which</w:t>
      </w:r>
      <w:r w:rsidR="00EB018E">
        <w:t xml:space="preserve"> fostered psychological safety and a strong sense of purpose. After the takeover, Chaffinch introduced a bureaucratic structure and autocratic leadership style, removing </w:t>
      </w:r>
      <w:r w:rsidR="000B5ACE">
        <w:t xml:space="preserve">the </w:t>
      </w:r>
      <w:r w:rsidR="00EB018E">
        <w:t xml:space="preserve">opportunities for </w:t>
      </w:r>
      <w:r w:rsidR="000B5ACE">
        <w:t xml:space="preserve">employee </w:t>
      </w:r>
      <w:r w:rsidR="00EB018E">
        <w:t>input and reducing transparency. Employees now feel undervalued and disconnected from organisational goals, undermining the psychological contract and intrinsic motivation (Boxall &amp; Purcell, 2022, p. 207). Research indicates that lack of voice can lead to diminished job satisfaction, lower engagement, and increased turnover (</w:t>
      </w:r>
      <w:proofErr w:type="spellStart"/>
      <w:r w:rsidR="00EB018E">
        <w:t>Karanges</w:t>
      </w:r>
      <w:proofErr w:type="spellEnd"/>
      <w:r w:rsidR="00EB018E">
        <w:t xml:space="preserve"> et al., 2015, p. 130). Reinstating </w:t>
      </w:r>
      <w:r w:rsidR="00A609EB">
        <w:t>methods in which</w:t>
      </w:r>
      <w:r w:rsidR="00EB018E">
        <w:t xml:space="preserve"> employee voice</w:t>
      </w:r>
      <w:r w:rsidR="00A609EB">
        <w:t xml:space="preserve"> can be heard</w:t>
      </w:r>
      <w:r w:rsidR="00EB018E">
        <w:t xml:space="preserve"> is therefore critical to rebuilding trust and commitment, which directly influences retention and </w:t>
      </w:r>
      <w:r w:rsidR="00A609EB">
        <w:t xml:space="preserve">the </w:t>
      </w:r>
      <w:r w:rsidR="00EB018E">
        <w:t>service quality.</w:t>
      </w:r>
    </w:p>
    <w:p w14:paraId="628B4CDD" w14:textId="13DEA6D5" w:rsidR="00EB018E" w:rsidRDefault="00EB018E" w:rsidP="00EB018E">
      <w:r>
        <w:t>Another significant factor is increased workload and stress. The case study highlights rising sickness absence and longer working hours as employees cover gaps caused by high turnover and reliance on agency staff. This creates physical and mental strain, reducing resilience and increasing the risk of burnout. Poor work</w:t>
      </w:r>
      <w:r w:rsidR="00A609EB">
        <w:t xml:space="preserve"> </w:t>
      </w:r>
      <w:r>
        <w:t>life balance negatively affects health, relationships, and overall wellbeing (CIPD, 2024, p. 12). From an organisational perspective, stress-related absence and reduced capability lead to inefficiency, higher costs, and reputational damage. Expectancy theory suggests that when effort does not lead to fair rewards or recognition, motivation declines, further exacerbating performance issues (Vroom, 1964, p. 30). Managing workload through adequate staffing, fair scheduling, and wellbeing initiatives is essential for sustaining productivity and care standards.</w:t>
      </w:r>
    </w:p>
    <w:p w14:paraId="3D128E79" w14:textId="1510B71E" w:rsidR="00EB018E" w:rsidRPr="00EB018E" w:rsidRDefault="00EB018E" w:rsidP="00EB018E">
      <w:r>
        <w:t xml:space="preserve">Employee wellbeing underpins organisational success, influencing engagement, resilience, and overall performance. Failure to address these issues risks further turnover, absenteeism, and strained workplace relationships, increasing potential for conflict and stress (Cameron &amp; Green, 2019, p. 118). Proactive measures such as restoring employee voice, offering mental health support, and implementing workload </w:t>
      </w:r>
      <w:r>
        <w:lastRenderedPageBreak/>
        <w:t>management strategies would help rebuild trust, improve morale, and enhance care quality.</w:t>
      </w:r>
    </w:p>
    <w:p w14:paraId="618D501C" w14:textId="5645E932" w:rsidR="00DB1616" w:rsidRPr="00DB1616" w:rsidRDefault="00CF60B6" w:rsidP="00DB1616">
      <w:r w:rsidRPr="00CF60B6">
        <w:rPr>
          <w:b/>
          <w:bCs/>
        </w:rPr>
        <w:t>AC 3.1</w:t>
      </w:r>
      <w:r w:rsidR="00716F3A">
        <w:rPr>
          <w:b/>
          <w:bCs/>
        </w:rPr>
        <w:t xml:space="preserve"> </w:t>
      </w:r>
      <w:r w:rsidR="00DB1616" w:rsidRPr="00DB1616">
        <w:t xml:space="preserve">The retention stage of the employee lifecycle focuses on maintaining engagement, motivation, and commitment after onboarding, through initiatives such as career development, recognition, and wellbeing support. At </w:t>
      </w:r>
      <w:proofErr w:type="spellStart"/>
      <w:r w:rsidR="00DB1616" w:rsidRPr="00DB1616">
        <w:t>Calmere</w:t>
      </w:r>
      <w:proofErr w:type="spellEnd"/>
      <w:r w:rsidR="00DB1616" w:rsidRPr="00DB1616">
        <w:t xml:space="preserve"> House, retention has become a critical issue following the acquisition by Chaffinch Group, as employee turnover and sickness absence have increased significantly. This highlights the importance of coordinated efforts by people practice roles to address underlying causes and restore stability.</w:t>
      </w:r>
      <w:r w:rsidR="00FC041E">
        <w:t xml:space="preserve"> (Appendix 4)</w:t>
      </w:r>
    </w:p>
    <w:p w14:paraId="05473F28" w14:textId="77777777" w:rsidR="00DB1616" w:rsidRPr="00DB1616" w:rsidRDefault="00DB1616" w:rsidP="00DB1616">
      <w:r w:rsidRPr="00DB1616">
        <w:t>The people manager plays a strategic role in retention by designing and implementing policies that promote engagement and wellbeing. For example, they could introduce flexible working arrangements, recognition schemes, and career development pathways to rebuild trust and motivation. In the case study, the loss of employee voice and autonomy under Chaffinch’s bureaucratic structure has damaged morale. The people manager could address this by reinstating consultative forums and ensuring transparent communication, aligning with research that links employee involvement to higher engagement and retention (Boxall &amp; Purcell, 2022, p. 207). They also have responsibility for monitoring turnover data and implementing initiatives such as wellbeing programs and succession planning to maintain organisational resilience.</w:t>
      </w:r>
    </w:p>
    <w:p w14:paraId="194E941C" w14:textId="77777777" w:rsidR="00DB1616" w:rsidRPr="00DB1616" w:rsidRDefault="00DB1616" w:rsidP="00DB1616">
      <w:r w:rsidRPr="00DB1616">
        <w:t xml:space="preserve">The recruitment advisor contributes to retention by ensuring cultural fit during hiring and supporting onboarding processes. At </w:t>
      </w:r>
      <w:proofErr w:type="spellStart"/>
      <w:r w:rsidRPr="00DB1616">
        <w:t>Calmere</w:t>
      </w:r>
      <w:proofErr w:type="spellEnd"/>
      <w:r w:rsidRPr="00DB1616">
        <w:t xml:space="preserve"> House, reliance on agency workers without thorough assessment has weakened team cohesion and increased stress for permanent staff. The recruitment advisor could implement robust selection criteria and structured onboarding to integrate new hires effectively, reducing turnover and improving team stability. They can also collaborate with the people manager to ensure recruitment strategies align with long-term retention goals, such as targeting candidates who share the organisation’s values and commitment to personalised care (CIPD, 2024, p. 12).</w:t>
      </w:r>
    </w:p>
    <w:p w14:paraId="7694C0F3" w14:textId="77777777" w:rsidR="00DB1616" w:rsidRPr="00DB1616" w:rsidRDefault="00DB1616" w:rsidP="00DB1616">
      <w:r w:rsidRPr="00DB1616">
        <w:t xml:space="preserve">The employment relations case advisor supports retention by managing conflict, grievances, and disciplinary issues fairly and consistently. Rising dissatisfaction and stress at </w:t>
      </w:r>
      <w:proofErr w:type="spellStart"/>
      <w:r w:rsidRPr="00DB1616">
        <w:t>Calmere</w:t>
      </w:r>
      <w:proofErr w:type="spellEnd"/>
      <w:r w:rsidRPr="00DB1616">
        <w:t xml:space="preserve"> House increase the risk of disputes and absenteeism. By providing early intervention and promoting positive employee relations, this role helps maintain trust and psychological safety, which are essential for retention. Effective case management also ensures compliance and reduces reputational risk for the organisation (Cameron &amp; Green, 2019, p. 118). Additionally, they can advise managers on handling sensitive issues such as workload concerns and wellbeing, preventing escalation and fostering a supportive environment.</w:t>
      </w:r>
    </w:p>
    <w:p w14:paraId="3862855C" w14:textId="43BB0EC2" w:rsidR="005535D1" w:rsidRDefault="00DB1616" w:rsidP="00DB1616">
      <w:r w:rsidRPr="00DB1616">
        <w:lastRenderedPageBreak/>
        <w:t xml:space="preserve">Retention strategies must be holistic, combining proactive engagement initiatives with responsive support mechanisms. Failure to address these issues at </w:t>
      </w:r>
      <w:proofErr w:type="spellStart"/>
      <w:r w:rsidRPr="00DB1616">
        <w:t>Calmere</w:t>
      </w:r>
      <w:proofErr w:type="spellEnd"/>
      <w:r w:rsidRPr="00DB1616">
        <w:t xml:space="preserve"> House risks further turnover, reduced care quality, and financial losses. Coordinated efforts by people managers, recruitment advisors, and employment relations specialists can restore stability, enhance wellbeing, and align employee experience with organisational goals (</w:t>
      </w:r>
      <w:proofErr w:type="spellStart"/>
      <w:r w:rsidRPr="00DB1616">
        <w:t>Karanges</w:t>
      </w:r>
      <w:proofErr w:type="spellEnd"/>
      <w:r w:rsidRPr="00DB1616">
        <w:t xml:space="preserve"> et al., 2015, p. 130).</w:t>
      </w:r>
    </w:p>
    <w:p w14:paraId="289224C4" w14:textId="4720DCDA" w:rsidR="00D427F9" w:rsidRPr="00D427F9" w:rsidRDefault="00D427F9" w:rsidP="00D427F9">
      <w:r w:rsidRPr="00D427F9">
        <w:rPr>
          <w:b/>
          <w:bCs/>
        </w:rPr>
        <w:t>AC 3.2</w:t>
      </w:r>
      <w:r>
        <w:rPr>
          <w:b/>
          <w:bCs/>
        </w:rPr>
        <w:t xml:space="preserve"> </w:t>
      </w:r>
      <w:r w:rsidRPr="00D427F9">
        <w:t>In order t</w:t>
      </w:r>
      <w:r w:rsidRPr="00D427F9">
        <w:t xml:space="preserve">o achieve full occupancy within six months, Chaffinch Group must align its people practices with business strategy through vertical and horizontal integration. Vertical integration ensures that people </w:t>
      </w:r>
      <w:r w:rsidR="001B3CFA" w:rsidRPr="00D427F9">
        <w:t>practice</w:t>
      </w:r>
      <w:r w:rsidRPr="00D427F9">
        <w:t xml:space="preserve"> directly support the corporate goal of filling rooms</w:t>
      </w:r>
      <w:r w:rsidR="004B0A3F">
        <w:t xml:space="preserve"> in the care home</w:t>
      </w:r>
      <w:r w:rsidRPr="00D427F9">
        <w:t>, while horizontal integration promotes consistency across HR functions such as resourcing, reward, learning, and employee relations (CIPD, 2024, pp. 10–12).</w:t>
      </w:r>
    </w:p>
    <w:p w14:paraId="09994674" w14:textId="32B4954F" w:rsidR="00D427F9" w:rsidRPr="00D427F9" w:rsidRDefault="00D427F9" w:rsidP="00D427F9">
      <w:r w:rsidRPr="00D427F9">
        <w:t xml:space="preserve">A robust resourcing strategy is </w:t>
      </w:r>
      <w:r w:rsidR="00D971E4" w:rsidRPr="00D427F9">
        <w:t>critical,</w:t>
      </w:r>
      <w:r w:rsidR="00D128CD">
        <w:t xml:space="preserve"> and r</w:t>
      </w:r>
      <w:r w:rsidRPr="00D427F9">
        <w:t xml:space="preserve">ecruitment advisors should implement targeted campaigns to attract skilled care staff, using realistic job </w:t>
      </w:r>
      <w:r w:rsidR="00D971E4">
        <w:t xml:space="preserve">adverts </w:t>
      </w:r>
      <w:r w:rsidRPr="00D427F9">
        <w:t xml:space="preserve">and employer branding to rebuild trust after recent turnover. This </w:t>
      </w:r>
      <w:r w:rsidR="00D971E4">
        <w:t xml:space="preserve">would </w:t>
      </w:r>
      <w:r w:rsidRPr="00D427F9">
        <w:t>addres</w:t>
      </w:r>
      <w:r w:rsidR="00D971E4">
        <w:t>s</w:t>
      </w:r>
      <w:r w:rsidRPr="00D427F9">
        <w:t xml:space="preserve"> operational gaps that currently limit capacity. Internal mobility and succession planning can also ensure continuity of care and reduce</w:t>
      </w:r>
      <w:r w:rsidR="00517AF5">
        <w:t xml:space="preserve"> the</w:t>
      </w:r>
      <w:r w:rsidRPr="00D427F9">
        <w:t xml:space="preserve"> reliance on agency staff, which has weakened team </w:t>
      </w:r>
      <w:r w:rsidR="00BE44EC">
        <w:t>togetherness</w:t>
      </w:r>
      <w:r w:rsidR="00E6036B">
        <w:t>.</w:t>
      </w:r>
      <w:r w:rsidR="00517AF5">
        <w:t xml:space="preserve"> </w:t>
      </w:r>
      <w:proofErr w:type="gramStart"/>
      <w:r w:rsidRPr="00D427F9">
        <w:t>(</w:t>
      </w:r>
      <w:proofErr w:type="gramEnd"/>
      <w:r w:rsidRPr="00D427F9">
        <w:t>Boxall &amp; Purcell, 2022, pp. 205–210).</w:t>
      </w:r>
    </w:p>
    <w:p w14:paraId="58307C0C" w14:textId="56133386" w:rsidR="00D427F9" w:rsidRPr="00D427F9" w:rsidRDefault="00D427F9" w:rsidP="00D427F9">
      <w:r w:rsidRPr="00D427F9">
        <w:t>Learning and development specialists can</w:t>
      </w:r>
      <w:r w:rsidR="000D4078">
        <w:t xml:space="preserve"> help</w:t>
      </w:r>
      <w:r w:rsidR="00097A4B">
        <w:t xml:space="preserve"> to</w:t>
      </w:r>
      <w:r w:rsidRPr="00D427F9">
        <w:t xml:space="preserve"> design induction and training programmes focused on person</w:t>
      </w:r>
      <w:r w:rsidR="00517AF5">
        <w:t xml:space="preserve"> </w:t>
      </w:r>
      <w:r w:rsidRPr="00D427F9">
        <w:t>centred care and compliance. Upskilling staff in dementia care and safeguarding enhances service quality, which is essential for attracting residents and meeting regulatory standards. Development opportunities also improve engagement and retention, reducing disruption caused by</w:t>
      </w:r>
      <w:r w:rsidR="00D65E44">
        <w:t xml:space="preserve"> a</w:t>
      </w:r>
      <w:r w:rsidRPr="00D427F9">
        <w:t xml:space="preserve"> high turnover</w:t>
      </w:r>
      <w:r w:rsidR="00D65E44">
        <w:t xml:space="preserve"> of staff.</w:t>
      </w:r>
      <w:r w:rsidRPr="00D427F9">
        <w:t xml:space="preserve"> (Cameron &amp; Green, 2019, pp. 276–278).</w:t>
      </w:r>
    </w:p>
    <w:p w14:paraId="5713C322" w14:textId="77777777" w:rsidR="00D427F9" w:rsidRPr="00D427F9" w:rsidRDefault="00D427F9" w:rsidP="00D427F9">
      <w:r w:rsidRPr="00D427F9">
        <w:t>Introducing competitive pay structures and recognition schemes can motivate staff and reinforce commitment. Herzberg’s Two-Factor Theory highlights that improving hygiene factors such as pay and conditions, alongside motivators like recognition and responsibility, boosts morale and performance, which directly impacts occupancy rates (Herzberg et al., 1959, pp. 113–115).</w:t>
      </w:r>
    </w:p>
    <w:p w14:paraId="2C31C2F9" w14:textId="1155FF5A" w:rsidR="00D427F9" w:rsidRPr="00D427F9" w:rsidRDefault="00D427F9" w:rsidP="00D427F9">
      <w:r w:rsidRPr="00D427F9">
        <w:t>Positive employee relations are vital for stability. People managers and ER advisors should implement consultative forums and wellbeing initiatives to rebuild trust and psychological safety. CIPD research stresses that engagement and wellbeing correlate strongly with service quality and customer satisfaction, both key drivers of occupancy</w:t>
      </w:r>
      <w:r w:rsidR="00E303C2">
        <w:t xml:space="preserve"> levels. </w:t>
      </w:r>
      <w:proofErr w:type="gramStart"/>
      <w:r w:rsidRPr="00D427F9">
        <w:t>(</w:t>
      </w:r>
      <w:proofErr w:type="gramEnd"/>
      <w:r w:rsidRPr="00D427F9">
        <w:t>CIPD, 2024, pp. 14–16).</w:t>
      </w:r>
    </w:p>
    <w:p w14:paraId="2C74FA30" w14:textId="32022DA7" w:rsidR="00502AC8" w:rsidRPr="00D427F9" w:rsidRDefault="00D427F9" w:rsidP="00D427F9">
      <w:r w:rsidRPr="00D427F9">
        <w:t xml:space="preserve">By integrating these practices vertically with strategic objectives and horizontally across HR functions, Chaffinch can create a high-performing workforce that delivers </w:t>
      </w:r>
      <w:r w:rsidR="00E303C2">
        <w:t xml:space="preserve">a </w:t>
      </w:r>
      <w:r w:rsidRPr="00D427F9">
        <w:t>consistent</w:t>
      </w:r>
      <w:r w:rsidR="00E303C2">
        <w:t xml:space="preserve"> level of</w:t>
      </w:r>
      <w:r w:rsidRPr="00D427F9">
        <w:t xml:space="preserve"> quality care. This </w:t>
      </w:r>
      <w:r w:rsidR="00E303C2">
        <w:t>should</w:t>
      </w:r>
      <w:r w:rsidRPr="00D427F9">
        <w:t xml:space="preserve"> strengthen </w:t>
      </w:r>
      <w:r w:rsidR="00E303C2">
        <w:t xml:space="preserve">its </w:t>
      </w:r>
      <w:r w:rsidRPr="00D427F9">
        <w:t>reputation, attract new residents, and achieve the goal of 100% occupancy within six months.</w:t>
      </w:r>
    </w:p>
    <w:p w14:paraId="275C42D3" w14:textId="7A5409EE" w:rsidR="001663B1" w:rsidRPr="001663B1" w:rsidRDefault="001663B1" w:rsidP="001663B1">
      <w:r w:rsidRPr="001663B1">
        <w:rPr>
          <w:b/>
          <w:bCs/>
        </w:rPr>
        <w:lastRenderedPageBreak/>
        <w:t>AC 3.3</w:t>
      </w:r>
      <w:r>
        <w:rPr>
          <w:b/>
          <w:bCs/>
        </w:rPr>
        <w:t xml:space="preserve"> </w:t>
      </w:r>
      <w:r w:rsidRPr="001663B1">
        <w:t xml:space="preserve">To </w:t>
      </w:r>
      <w:r>
        <w:t xml:space="preserve">be able to </w:t>
      </w:r>
      <w:r w:rsidRPr="001663B1">
        <w:t xml:space="preserve">understand why turnover has increased at </w:t>
      </w:r>
      <w:proofErr w:type="spellStart"/>
      <w:r w:rsidRPr="001663B1">
        <w:t>Calmere</w:t>
      </w:r>
      <w:proofErr w:type="spellEnd"/>
      <w:r w:rsidRPr="001663B1">
        <w:t xml:space="preserve"> House, Kath should use a combination of consultation and engagement methods that encourage open dialogue</w:t>
      </w:r>
      <w:r w:rsidR="00207894">
        <w:t xml:space="preserve"> with staff members</w:t>
      </w:r>
      <w:r w:rsidRPr="001663B1">
        <w:t xml:space="preserve"> and </w:t>
      </w:r>
      <w:r w:rsidR="00207894">
        <w:t xml:space="preserve">to build </w:t>
      </w:r>
      <w:r w:rsidRPr="001663B1">
        <w:t>trust. Effective consultation</w:t>
      </w:r>
      <w:r w:rsidR="00D43605">
        <w:t xml:space="preserve"> would</w:t>
      </w:r>
      <w:r w:rsidRPr="001663B1">
        <w:t xml:space="preserve"> begin with stakeholder analysis to</w:t>
      </w:r>
      <w:r w:rsidR="00D43605">
        <w:t xml:space="preserve"> be able to</w:t>
      </w:r>
      <w:r w:rsidRPr="001663B1">
        <w:t xml:space="preserve"> identify key groups, such as care staff, supervisors, and agency workers, and understand their concerns. This ensures that engagement activities are inclusive and targeted (CIPD, 2024, pp. 12–14).</w:t>
      </w:r>
    </w:p>
    <w:p w14:paraId="197C4EC1" w14:textId="77777777" w:rsidR="001663B1" w:rsidRPr="001663B1" w:rsidRDefault="001663B1" w:rsidP="001663B1">
      <w:r w:rsidRPr="001663B1">
        <w:t>One approach is to conduct focus groups, which allow employees to share experiences in a collaborative setting. These sessions can explore issues such as workload, loss of autonomy, and wellbeing, which the case study highlights as major concerns. Focus groups provide rich qualitative data but require skilled facilitation to avoid dominant voices and ensure confidentiality.</w:t>
      </w:r>
    </w:p>
    <w:p w14:paraId="50E5FB22" w14:textId="601C90CC" w:rsidR="001663B1" w:rsidRPr="001663B1" w:rsidRDefault="001663B1" w:rsidP="001663B1">
      <w:r w:rsidRPr="001663B1">
        <w:t xml:space="preserve">Employee surveys offer an alternative </w:t>
      </w:r>
      <w:r w:rsidR="000B255F">
        <w:t>which would</w:t>
      </w:r>
      <w:r w:rsidRPr="001663B1">
        <w:t xml:space="preserve"> enable anonymity, encouraging honest feedback on sensitive topics like management style and job satisfaction. Surveys can include both closed questions for measurable trends and open questions for detailed insights. However, they may lack depth compared to </w:t>
      </w:r>
      <w:proofErr w:type="gramStart"/>
      <w:r w:rsidRPr="001663B1">
        <w:t>face</w:t>
      </w:r>
      <w:r w:rsidR="00F20B80">
        <w:t xml:space="preserve"> </w:t>
      </w:r>
      <w:r w:rsidRPr="001663B1">
        <w:t>to</w:t>
      </w:r>
      <w:r w:rsidR="00F20B80">
        <w:t xml:space="preserve"> </w:t>
      </w:r>
      <w:r w:rsidRPr="001663B1">
        <w:t>face</w:t>
      </w:r>
      <w:proofErr w:type="gramEnd"/>
      <w:r w:rsidRPr="001663B1">
        <w:t xml:space="preserve"> methods.</w:t>
      </w:r>
    </w:p>
    <w:p w14:paraId="21E029F6" w14:textId="156E4759" w:rsidR="001663B1" w:rsidRPr="001663B1" w:rsidRDefault="001663B1" w:rsidP="001663B1">
      <w:r w:rsidRPr="001663B1">
        <w:t>One</w:t>
      </w:r>
      <w:r w:rsidR="00DA7051">
        <w:t xml:space="preserve"> </w:t>
      </w:r>
      <w:r w:rsidRPr="001663B1">
        <w:t>to</w:t>
      </w:r>
      <w:r w:rsidR="00DA7051">
        <w:t xml:space="preserve"> </w:t>
      </w:r>
      <w:r w:rsidRPr="001663B1">
        <w:t xml:space="preserve">one </w:t>
      </w:r>
      <w:proofErr w:type="gramStart"/>
      <w:r w:rsidRPr="001663B1">
        <w:t>interviews</w:t>
      </w:r>
      <w:proofErr w:type="gramEnd"/>
      <w:r w:rsidRPr="001663B1">
        <w:t xml:space="preserve"> with a sample of staff can provide deeper understanding of individual experiences, particularly for those who have resigned or are considering leaving. </w:t>
      </w:r>
      <w:r w:rsidR="00DA7051">
        <w:t>Meanwhile e</w:t>
      </w:r>
      <w:r w:rsidRPr="001663B1">
        <w:t>xit interviews are also valuable for identifying patterns in reasons for leaving, such as pay, workload, or cultural misalignment (Boxall &amp; Purcell, 2022, pp. 205–210).</w:t>
      </w:r>
    </w:p>
    <w:p w14:paraId="2FB67758" w14:textId="77777777" w:rsidR="001663B1" w:rsidRPr="001663B1" w:rsidRDefault="001663B1" w:rsidP="001663B1">
      <w:r w:rsidRPr="001663B1">
        <w:t>Regular team meetings and consultative forums can help rebuild trust and demonstrate that management values employee voice. These should be supported by transparent communication about how feedback will inform action plans. CIPD research stresses that ongoing dialogue and visible follow-up are critical for engagement and retention (CIPD, 2024, pp. 14–16).</w:t>
      </w:r>
    </w:p>
    <w:p w14:paraId="060D2E8F" w14:textId="77777777" w:rsidR="001663B1" w:rsidRPr="001663B1" w:rsidRDefault="001663B1" w:rsidP="001663B1">
      <w:r w:rsidRPr="001663B1">
        <w:t>Finally, Kath should implement monitoring and evaluation processes to track progress, such as analysing turnover data before and after interventions. Combining quantitative and qualitative insights ensures a comprehensive understanding of the issues and supports evidence-based decision-making.</w:t>
      </w:r>
    </w:p>
    <w:p w14:paraId="232F73EC" w14:textId="2A04D9E3" w:rsidR="00173F31" w:rsidRPr="001663B1" w:rsidRDefault="001663B1" w:rsidP="001663B1">
      <w:r w:rsidRPr="001663B1">
        <w:t>By using a mix of methods</w:t>
      </w:r>
      <w:r w:rsidR="007D1937">
        <w:t xml:space="preserve"> </w:t>
      </w:r>
      <w:r w:rsidRPr="001663B1">
        <w:t>focus groups, surveys, interviews, and forums</w:t>
      </w:r>
      <w:r w:rsidR="007D1937">
        <w:t xml:space="preserve">, </w:t>
      </w:r>
      <w:r w:rsidRPr="001663B1">
        <w:t>Kath can create an open, inclusive process that identifies root causes of turnover and informs strategies to improve retention and morale.</w:t>
      </w:r>
    </w:p>
    <w:p w14:paraId="136D2A77" w14:textId="77777777" w:rsidR="00173F31" w:rsidRDefault="00173F31" w:rsidP="005535D1">
      <w:pPr>
        <w:rPr>
          <w:i/>
          <w:iCs/>
          <w:color w:val="FF0000"/>
        </w:rPr>
      </w:pPr>
    </w:p>
    <w:p w14:paraId="6D23E90B" w14:textId="77777777" w:rsidR="007878AF" w:rsidRDefault="007878AF" w:rsidP="00B91CE1">
      <w:r>
        <w:br/>
      </w:r>
    </w:p>
    <w:p w14:paraId="262DC1B1" w14:textId="77777777" w:rsidR="007878AF" w:rsidRDefault="007878AF">
      <w:r>
        <w:br w:type="page"/>
      </w:r>
    </w:p>
    <w:p w14:paraId="704056B9" w14:textId="15B04402" w:rsidR="00B91CE1" w:rsidRPr="00605CC7" w:rsidRDefault="00B91CE1" w:rsidP="00B91CE1">
      <w:pPr>
        <w:rPr>
          <w:b/>
          <w:bCs/>
        </w:rPr>
      </w:pPr>
      <w:r w:rsidRPr="00605CC7">
        <w:rPr>
          <w:b/>
          <w:bCs/>
        </w:rPr>
        <w:lastRenderedPageBreak/>
        <w:t>Appendix 1</w:t>
      </w:r>
    </w:p>
    <w:p w14:paraId="6F4BF11D" w14:textId="77777777" w:rsidR="00B91CE1" w:rsidRDefault="00B91CE1" w:rsidP="00B91CE1">
      <w:r w:rsidRPr="00AC2EF3">
        <w:rPr>
          <w:noProof/>
        </w:rPr>
        <w:drawing>
          <wp:inline distT="0" distB="0" distL="0" distR="0" wp14:anchorId="4F6DD3C1" wp14:editId="43617472">
            <wp:extent cx="6012381" cy="1304925"/>
            <wp:effectExtent l="0" t="0" r="7620" b="0"/>
            <wp:docPr id="1843865849" name="Picture 1" descr="A close-up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65849" name="Picture 1" descr="A close-up of a white box&#10;&#10;AI-generated content may be incorrect."/>
                    <pic:cNvPicPr/>
                  </pic:nvPicPr>
                  <pic:blipFill>
                    <a:blip r:embed="rId9"/>
                    <a:stretch>
                      <a:fillRect/>
                    </a:stretch>
                  </pic:blipFill>
                  <pic:spPr>
                    <a:xfrm>
                      <a:off x="0" y="0"/>
                      <a:ext cx="6077502" cy="1319059"/>
                    </a:xfrm>
                    <a:prstGeom prst="rect">
                      <a:avLst/>
                    </a:prstGeom>
                  </pic:spPr>
                </pic:pic>
              </a:graphicData>
            </a:graphic>
          </wp:inline>
        </w:drawing>
      </w:r>
    </w:p>
    <w:p w14:paraId="7A9D438E" w14:textId="0B7F92D6" w:rsidR="0024795C" w:rsidRPr="008A4D46" w:rsidRDefault="0024795C" w:rsidP="005535D1">
      <w:pPr>
        <w:rPr>
          <w:b/>
          <w:bCs/>
        </w:rPr>
      </w:pPr>
      <w:r w:rsidRPr="008A4D46">
        <w:rPr>
          <w:b/>
          <w:bCs/>
        </w:rPr>
        <w:t xml:space="preserve">Appendix </w:t>
      </w:r>
      <w:r w:rsidR="008A4D46" w:rsidRPr="008A4D46">
        <w:rPr>
          <w:b/>
          <w:bCs/>
        </w:rPr>
        <w:t>2</w:t>
      </w:r>
    </w:p>
    <w:p w14:paraId="678FDA5B" w14:textId="05B4F082" w:rsidR="0024795C" w:rsidRDefault="00E504C5" w:rsidP="005535D1">
      <w:pPr>
        <w:rPr>
          <w:b/>
          <w:bCs/>
          <w:color w:val="FF0000"/>
        </w:rPr>
      </w:pPr>
      <w:r>
        <w:rPr>
          <w:b/>
          <w:bCs/>
          <w:noProof/>
          <w:color w:val="FF0000"/>
        </w:rPr>
        <w:drawing>
          <wp:inline distT="0" distB="0" distL="0" distR="0" wp14:anchorId="7763C342" wp14:editId="364EBCFC">
            <wp:extent cx="3133725" cy="2658110"/>
            <wp:effectExtent l="0" t="0" r="9525" b="8890"/>
            <wp:docPr id="619449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3725" cy="2658110"/>
                    </a:xfrm>
                    <a:prstGeom prst="rect">
                      <a:avLst/>
                    </a:prstGeom>
                    <a:noFill/>
                  </pic:spPr>
                </pic:pic>
              </a:graphicData>
            </a:graphic>
          </wp:inline>
        </w:drawing>
      </w:r>
    </w:p>
    <w:p w14:paraId="680B3C41" w14:textId="3830C494" w:rsidR="00B91CE1" w:rsidRPr="008A4D46" w:rsidRDefault="0095445C" w:rsidP="005535D1">
      <w:pPr>
        <w:rPr>
          <w:b/>
          <w:bCs/>
        </w:rPr>
      </w:pPr>
      <w:r w:rsidRPr="008A4D46">
        <w:rPr>
          <w:b/>
          <w:bCs/>
        </w:rPr>
        <w:t>Appe</w:t>
      </w:r>
      <w:r w:rsidR="00926385" w:rsidRPr="008A4D46">
        <w:rPr>
          <w:b/>
          <w:bCs/>
        </w:rPr>
        <w:t xml:space="preserve">ndix </w:t>
      </w:r>
      <w:r w:rsidR="008A4D46" w:rsidRPr="008A4D46">
        <w:rPr>
          <w:b/>
          <w:bCs/>
        </w:rPr>
        <w:t>3</w:t>
      </w:r>
    </w:p>
    <w:p w14:paraId="7C5A7DC2" w14:textId="3B050D8A" w:rsidR="00926385" w:rsidRDefault="00926385" w:rsidP="005535D1">
      <w:pPr>
        <w:rPr>
          <w:b/>
          <w:bCs/>
          <w:color w:val="FF0000"/>
        </w:rPr>
      </w:pPr>
      <w:r w:rsidRPr="00926385">
        <w:rPr>
          <w:b/>
          <w:bCs/>
          <w:color w:val="FF0000"/>
        </w:rPr>
        <w:drawing>
          <wp:inline distT="0" distB="0" distL="0" distR="0" wp14:anchorId="4BE53B5B" wp14:editId="3BC13FD6">
            <wp:extent cx="5105400" cy="3363817"/>
            <wp:effectExtent l="0" t="0" r="0" b="8255"/>
            <wp:docPr id="401034461"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34461" name="Picture 1" descr="A diagram of a model&#10;&#10;AI-generated content may be incorrect."/>
                    <pic:cNvPicPr/>
                  </pic:nvPicPr>
                  <pic:blipFill>
                    <a:blip r:embed="rId11"/>
                    <a:stretch>
                      <a:fillRect/>
                    </a:stretch>
                  </pic:blipFill>
                  <pic:spPr>
                    <a:xfrm>
                      <a:off x="0" y="0"/>
                      <a:ext cx="5136467" cy="3384286"/>
                    </a:xfrm>
                    <a:prstGeom prst="rect">
                      <a:avLst/>
                    </a:prstGeom>
                  </pic:spPr>
                </pic:pic>
              </a:graphicData>
            </a:graphic>
          </wp:inline>
        </w:drawing>
      </w:r>
    </w:p>
    <w:p w14:paraId="3DF2AC06" w14:textId="77777777" w:rsidR="008A4D46" w:rsidRDefault="004255F0" w:rsidP="005535D1">
      <w:pPr>
        <w:rPr>
          <w:b/>
          <w:bCs/>
        </w:rPr>
      </w:pPr>
      <w:r w:rsidRPr="008A4D46">
        <w:rPr>
          <w:b/>
          <w:bCs/>
        </w:rPr>
        <w:lastRenderedPageBreak/>
        <w:t xml:space="preserve">Appendix </w:t>
      </w:r>
      <w:r w:rsidR="008A4D46" w:rsidRPr="008A4D46">
        <w:rPr>
          <w:b/>
          <w:bCs/>
        </w:rPr>
        <w:t>4</w:t>
      </w:r>
    </w:p>
    <w:p w14:paraId="646F93CD" w14:textId="0AB0DC0F" w:rsidR="00B77EA0" w:rsidRDefault="004255F0" w:rsidP="005535D1">
      <w:pPr>
        <w:rPr>
          <w:b/>
          <w:bCs/>
          <w:color w:val="FF0000"/>
        </w:rPr>
      </w:pPr>
      <w:r w:rsidRPr="00ED2744">
        <w:rPr>
          <w:noProof/>
          <w:color w:val="FF0000"/>
        </w:rPr>
        <w:drawing>
          <wp:inline distT="0" distB="0" distL="0" distR="0" wp14:anchorId="5860377A" wp14:editId="252A93BA">
            <wp:extent cx="5731510" cy="2564765"/>
            <wp:effectExtent l="0" t="0" r="2540" b="6985"/>
            <wp:docPr id="505788051" name="Picture 1" descr="A diagram of a company's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88051" name="Picture 1" descr="A diagram of a company's life cycle&#10;&#10;AI-generated content may be incorrect."/>
                    <pic:cNvPicPr/>
                  </pic:nvPicPr>
                  <pic:blipFill>
                    <a:blip r:embed="rId12"/>
                    <a:stretch>
                      <a:fillRect/>
                    </a:stretch>
                  </pic:blipFill>
                  <pic:spPr>
                    <a:xfrm>
                      <a:off x="0" y="0"/>
                      <a:ext cx="5731510" cy="2564765"/>
                    </a:xfrm>
                    <a:prstGeom prst="rect">
                      <a:avLst/>
                    </a:prstGeom>
                  </pic:spPr>
                </pic:pic>
              </a:graphicData>
            </a:graphic>
          </wp:inline>
        </w:drawing>
      </w:r>
    </w:p>
    <w:p w14:paraId="3DF6D6FC" w14:textId="77777777" w:rsidR="00B77EA0" w:rsidRDefault="00B77EA0">
      <w:pPr>
        <w:rPr>
          <w:b/>
          <w:bCs/>
          <w:color w:val="FF0000"/>
        </w:rPr>
      </w:pPr>
      <w:r>
        <w:rPr>
          <w:b/>
          <w:bCs/>
          <w:color w:val="FF0000"/>
        </w:rPr>
        <w:br w:type="page"/>
      </w:r>
    </w:p>
    <w:p w14:paraId="1EB46C71" w14:textId="68854B8F" w:rsidR="004255F0" w:rsidRPr="00B77EA0" w:rsidRDefault="00B77EA0" w:rsidP="005535D1">
      <w:pPr>
        <w:rPr>
          <w:b/>
          <w:bCs/>
        </w:rPr>
      </w:pPr>
      <w:r w:rsidRPr="00B77EA0">
        <w:rPr>
          <w:b/>
          <w:bCs/>
        </w:rPr>
        <w:lastRenderedPageBreak/>
        <w:t xml:space="preserve">Bibliography </w:t>
      </w:r>
    </w:p>
    <w:p w14:paraId="231386A4" w14:textId="77777777" w:rsidR="00B77EA0" w:rsidRPr="00B77EA0" w:rsidRDefault="00B77EA0" w:rsidP="00B77EA0">
      <w:r w:rsidRPr="00B77EA0">
        <w:t xml:space="preserve">Azevedo, A. and </w:t>
      </w:r>
      <w:proofErr w:type="spellStart"/>
      <w:r w:rsidRPr="00B77EA0">
        <w:t>Jugdev</w:t>
      </w:r>
      <w:proofErr w:type="spellEnd"/>
      <w:r w:rsidRPr="00B77EA0">
        <w:t xml:space="preserve">, K. (2022) ‘Applying cultural intelligence to develop adaptive leadership’, </w:t>
      </w:r>
      <w:r w:rsidRPr="00B77EA0">
        <w:rPr>
          <w:i/>
          <w:iCs/>
        </w:rPr>
        <w:t>Organization Development Journal</w:t>
      </w:r>
      <w:r w:rsidRPr="00B77EA0">
        <w:t>, 40(4), pp. 56–70. Available at: https://pure.athabascau.ca/en/publications/applying-cultural-intelligence-to-develop-adaptive-leadership (Accessed: 20 November 2025).</w:t>
      </w:r>
    </w:p>
    <w:p w14:paraId="3F210AB5" w14:textId="77777777" w:rsidR="00B77EA0" w:rsidRPr="00B77EA0" w:rsidRDefault="00B77EA0" w:rsidP="00B77EA0">
      <w:r w:rsidRPr="00B77EA0">
        <w:t xml:space="preserve">Backhouse, T., </w:t>
      </w:r>
      <w:proofErr w:type="spellStart"/>
      <w:r w:rsidRPr="00B77EA0">
        <w:t>Kenkmann</w:t>
      </w:r>
      <w:proofErr w:type="spellEnd"/>
      <w:r w:rsidRPr="00B77EA0">
        <w:t xml:space="preserve">, A., Lane, K., Penhale, B., Ward, R. and Killett, A. (2023) ‘Organizational structures and processes in care homes: A scoping review of the literature’, </w:t>
      </w:r>
      <w:r w:rsidRPr="00B77EA0">
        <w:rPr>
          <w:i/>
          <w:iCs/>
        </w:rPr>
        <w:t>International Journal of Older People Nursing</w:t>
      </w:r>
      <w:r w:rsidRPr="00B77EA0">
        <w:t>, 18(3), e12521. Available at: https://pmc.ncbi.nlm.nih.gov/articles/PMC10275339/ (Accessed: 20 November 2025).</w:t>
      </w:r>
    </w:p>
    <w:p w14:paraId="71A4A661" w14:textId="77777777" w:rsidR="00B77EA0" w:rsidRPr="00B77EA0" w:rsidRDefault="00B77EA0" w:rsidP="00B77EA0">
      <w:r w:rsidRPr="00B77EA0">
        <w:t xml:space="preserve">Boxall, P. and Purcell, J. (2022) </w:t>
      </w:r>
      <w:r w:rsidRPr="00B77EA0">
        <w:rPr>
          <w:i/>
          <w:iCs/>
        </w:rPr>
        <w:t>Strategy and Human Resource Management</w:t>
      </w:r>
      <w:r w:rsidRPr="00B77EA0">
        <w:t xml:space="preserve">. 5th </w:t>
      </w:r>
      <w:proofErr w:type="spellStart"/>
      <w:r w:rsidRPr="00B77EA0">
        <w:t>edn</w:t>
      </w:r>
      <w:proofErr w:type="spellEnd"/>
      <w:r w:rsidRPr="00B77EA0">
        <w:t>. London: Bloomsbury Academic, pp. 205–210.</w:t>
      </w:r>
    </w:p>
    <w:p w14:paraId="548FD544" w14:textId="77777777" w:rsidR="00B77EA0" w:rsidRPr="00B77EA0" w:rsidRDefault="00B77EA0" w:rsidP="00B77EA0">
      <w:r w:rsidRPr="00B77EA0">
        <w:t>BTG Advisory (2025) ‘UK Care Sector Outlook’. Available at: https://www.btgadvisory.com (Accessed: 22 November 2025).</w:t>
      </w:r>
    </w:p>
    <w:p w14:paraId="2CF57FA0" w14:textId="77777777" w:rsidR="00B77EA0" w:rsidRPr="00B77EA0" w:rsidRDefault="00B77EA0" w:rsidP="00B77EA0">
      <w:r w:rsidRPr="00B77EA0">
        <w:t xml:space="preserve">Bryman, A. (2016) </w:t>
      </w:r>
      <w:r w:rsidRPr="00B77EA0">
        <w:rPr>
          <w:i/>
          <w:iCs/>
        </w:rPr>
        <w:t>Social Research Methods</w:t>
      </w:r>
      <w:r w:rsidRPr="00B77EA0">
        <w:t xml:space="preserve">. 5th </w:t>
      </w:r>
      <w:proofErr w:type="spellStart"/>
      <w:r w:rsidRPr="00B77EA0">
        <w:t>edn</w:t>
      </w:r>
      <w:proofErr w:type="spellEnd"/>
      <w:r w:rsidRPr="00B77EA0">
        <w:t>. Oxford: Oxford University Press, pp. 415–417.</w:t>
      </w:r>
    </w:p>
    <w:p w14:paraId="612DE282" w14:textId="77777777" w:rsidR="00B77EA0" w:rsidRPr="00B77EA0" w:rsidRDefault="00B77EA0" w:rsidP="00B77EA0">
      <w:r w:rsidRPr="00B77EA0">
        <w:t xml:space="preserve">Buchanan, D.A. and Badham, R.J. (2002) </w:t>
      </w:r>
      <w:r w:rsidRPr="00B77EA0">
        <w:rPr>
          <w:i/>
          <w:iCs/>
        </w:rPr>
        <w:t>Power, Politics and Organizational Change</w:t>
      </w:r>
      <w:r w:rsidRPr="00B77EA0">
        <w:t>. London: Sage, p. 207.</w:t>
      </w:r>
    </w:p>
    <w:p w14:paraId="385776B6" w14:textId="77777777" w:rsidR="00B77EA0" w:rsidRPr="00B77EA0" w:rsidRDefault="00B77EA0" w:rsidP="00B77EA0">
      <w:r w:rsidRPr="00B77EA0">
        <w:t xml:space="preserve">Cameron, E. and Green, M. (2019) </w:t>
      </w:r>
      <w:r w:rsidRPr="00B77EA0">
        <w:rPr>
          <w:i/>
          <w:iCs/>
        </w:rPr>
        <w:t>Making sense of change management: a complete guide to the models, tools and techniques of organizational change</w:t>
      </w:r>
      <w:r w:rsidRPr="00B77EA0">
        <w:t xml:space="preserve">. 5th </w:t>
      </w:r>
      <w:proofErr w:type="spellStart"/>
      <w:r w:rsidRPr="00B77EA0">
        <w:t>edn</w:t>
      </w:r>
      <w:proofErr w:type="spellEnd"/>
      <w:r w:rsidRPr="00B77EA0">
        <w:t>. London: Kogan Page, pp. 115, 276–278.</w:t>
      </w:r>
    </w:p>
    <w:p w14:paraId="0E71E3A9" w14:textId="77777777" w:rsidR="00B77EA0" w:rsidRPr="00B77EA0" w:rsidRDefault="00B77EA0" w:rsidP="00B77EA0">
      <w:r w:rsidRPr="00B77EA0">
        <w:t>Carehome.co.uk (2025) ‘Care Home Market Analysis’. Available at: https://www.carehome.co.uk (Accessed: 22 November 2025).</w:t>
      </w:r>
    </w:p>
    <w:p w14:paraId="42377F12" w14:textId="77777777" w:rsidR="00B77EA0" w:rsidRPr="00B77EA0" w:rsidRDefault="00B77EA0" w:rsidP="00B77EA0">
      <w:r w:rsidRPr="00B77EA0">
        <w:t xml:space="preserve">Cartwright, S. and Cooper, C.L. (1992) </w:t>
      </w:r>
      <w:r w:rsidRPr="00B77EA0">
        <w:rPr>
          <w:i/>
          <w:iCs/>
        </w:rPr>
        <w:t>Mergers and Acquisitions: The Human Factor</w:t>
      </w:r>
      <w:r w:rsidRPr="00B77EA0">
        <w:t>. Oxford: Butterworth-Heinemann.</w:t>
      </w:r>
    </w:p>
    <w:p w14:paraId="6612A39D" w14:textId="77777777" w:rsidR="00B77EA0" w:rsidRPr="00B77EA0" w:rsidRDefault="00B77EA0" w:rsidP="00B77EA0">
      <w:r w:rsidRPr="00B77EA0">
        <w:t>CBRE (2024) ‘UK Healthcare Market Trends’. Available at: https://www.cbre.co.uk (Accessed: 22 November 2025).</w:t>
      </w:r>
    </w:p>
    <w:p w14:paraId="741BA236" w14:textId="77777777" w:rsidR="00B77EA0" w:rsidRPr="00B77EA0" w:rsidRDefault="00B77EA0" w:rsidP="00B77EA0">
      <w:r w:rsidRPr="00B77EA0">
        <w:t xml:space="preserve">Chakrabarty, B. (2024) ‘SWOT Analysis in Modern Business: A Qualitative Study’, </w:t>
      </w:r>
      <w:r w:rsidRPr="00B77EA0">
        <w:rPr>
          <w:i/>
          <w:iCs/>
        </w:rPr>
        <w:t>IOSR Journal of Business and Management</w:t>
      </w:r>
      <w:r w:rsidRPr="00B77EA0">
        <w:t>, 26(11), pp. 5–8. Available at: https://www.iosrjournals.org/iosr-jbm/papers/Vol26-issue11/Ser-12/B2611120508.pdf (Accessed: 22 November 2025).</w:t>
      </w:r>
    </w:p>
    <w:p w14:paraId="632AEC33" w14:textId="77777777" w:rsidR="00B77EA0" w:rsidRPr="00B77EA0" w:rsidRDefault="00B77EA0" w:rsidP="00B77EA0">
      <w:r w:rsidRPr="00B77EA0">
        <w:t xml:space="preserve">CIPD (2024) </w:t>
      </w:r>
      <w:r w:rsidRPr="00B77EA0">
        <w:rPr>
          <w:i/>
          <w:iCs/>
        </w:rPr>
        <w:t>Change management: A guide for people professionals</w:t>
      </w:r>
      <w:r w:rsidRPr="00B77EA0">
        <w:t>. London: Chartered Institute of Personnel and Development, pp. 10–16.</w:t>
      </w:r>
    </w:p>
    <w:p w14:paraId="00B440AA" w14:textId="77777777" w:rsidR="00B77EA0" w:rsidRPr="00B77EA0" w:rsidRDefault="00B77EA0" w:rsidP="00B77EA0">
      <w:r w:rsidRPr="00B77EA0">
        <w:t xml:space="preserve">CIPD (2024) </w:t>
      </w:r>
      <w:r w:rsidRPr="00B77EA0">
        <w:rPr>
          <w:i/>
          <w:iCs/>
        </w:rPr>
        <w:t>CIPD Good Work Index 2024: Survey report</w:t>
      </w:r>
      <w:r w:rsidRPr="00B77EA0">
        <w:t>. London: Chartered Institute of Personnel and Development, pp. 11–13.</w:t>
      </w:r>
    </w:p>
    <w:p w14:paraId="1E216EF6" w14:textId="77777777" w:rsidR="00B77EA0" w:rsidRPr="00B77EA0" w:rsidRDefault="00B77EA0" w:rsidP="00B77EA0">
      <w:r w:rsidRPr="00B77EA0">
        <w:lastRenderedPageBreak/>
        <w:t xml:space="preserve">CIPD (2024) </w:t>
      </w:r>
      <w:r w:rsidRPr="00B77EA0">
        <w:rPr>
          <w:i/>
          <w:iCs/>
        </w:rPr>
        <w:t>Technology and People Practice Report</w:t>
      </w:r>
      <w:r w:rsidRPr="00B77EA0">
        <w:t>. Available at: https://www.cipd.org, p. 18.</w:t>
      </w:r>
    </w:p>
    <w:p w14:paraId="03AA8580" w14:textId="77777777" w:rsidR="00B77EA0" w:rsidRPr="00B77EA0" w:rsidRDefault="00B77EA0" w:rsidP="00B77EA0">
      <w:r w:rsidRPr="00B77EA0">
        <w:t xml:space="preserve">Conner, D.R. and Clawson, J.G. (2004) </w:t>
      </w:r>
      <w:r w:rsidRPr="00B77EA0">
        <w:rPr>
          <w:i/>
          <w:iCs/>
        </w:rPr>
        <w:t>Managing at the Speed of Change</w:t>
      </w:r>
      <w:r w:rsidRPr="00B77EA0">
        <w:t>. New York: Wiley, p. 112.</w:t>
      </w:r>
    </w:p>
    <w:p w14:paraId="3FD02BF8" w14:textId="77777777" w:rsidR="00B77EA0" w:rsidRPr="00B77EA0" w:rsidRDefault="00B77EA0" w:rsidP="00B77EA0">
      <w:r w:rsidRPr="00B77EA0">
        <w:t xml:space="preserve">Desai, M.U., </w:t>
      </w:r>
      <w:proofErr w:type="spellStart"/>
      <w:r w:rsidRPr="00B77EA0">
        <w:t>Paranamana</w:t>
      </w:r>
      <w:proofErr w:type="spellEnd"/>
      <w:r w:rsidRPr="00B77EA0">
        <w:t xml:space="preserve">, N., Dovidio, J.F., Davidson, L. and Stanhope, V. (2023) ‘System-centered care: How bureaucracy and racialization </w:t>
      </w:r>
      <w:proofErr w:type="spellStart"/>
      <w:r w:rsidRPr="00B77EA0">
        <w:t>decenter</w:t>
      </w:r>
      <w:proofErr w:type="spellEnd"/>
      <w:r w:rsidRPr="00B77EA0">
        <w:t xml:space="preserve"> attempts at person-</w:t>
      </w:r>
      <w:proofErr w:type="spellStart"/>
      <w:r w:rsidRPr="00B77EA0">
        <w:t>centered</w:t>
      </w:r>
      <w:proofErr w:type="spellEnd"/>
      <w:r w:rsidRPr="00B77EA0">
        <w:t xml:space="preserve"> mental health care’, </w:t>
      </w:r>
      <w:r w:rsidRPr="00B77EA0">
        <w:rPr>
          <w:i/>
          <w:iCs/>
        </w:rPr>
        <w:t>Clinical Psychological Science</w:t>
      </w:r>
      <w:r w:rsidRPr="00B77EA0">
        <w:t>, 11(3), pp. 476–489. Available at: https://doi.org/10.1177/21677026221133053 (Accessed: 20 November 2025).</w:t>
      </w:r>
    </w:p>
    <w:p w14:paraId="3033AE96" w14:textId="77777777" w:rsidR="00B77EA0" w:rsidRPr="00B77EA0" w:rsidRDefault="00B77EA0" w:rsidP="00B77EA0">
      <w:r w:rsidRPr="00B77EA0">
        <w:t xml:space="preserve">Handy, C. (1993) </w:t>
      </w:r>
      <w:r w:rsidRPr="00B77EA0">
        <w:rPr>
          <w:i/>
          <w:iCs/>
        </w:rPr>
        <w:t>Understanding organizations</w:t>
      </w:r>
      <w:r w:rsidRPr="00B77EA0">
        <w:t xml:space="preserve">. 4th </w:t>
      </w:r>
      <w:proofErr w:type="spellStart"/>
      <w:r w:rsidRPr="00B77EA0">
        <w:t>edn</w:t>
      </w:r>
      <w:proofErr w:type="spellEnd"/>
      <w:r w:rsidRPr="00B77EA0">
        <w:t>. London: Penguin, pp. 76–78.</w:t>
      </w:r>
    </w:p>
    <w:p w14:paraId="49BD786C" w14:textId="77777777" w:rsidR="00B77EA0" w:rsidRPr="00B77EA0" w:rsidRDefault="00B77EA0" w:rsidP="00B77EA0">
      <w:r w:rsidRPr="00B77EA0">
        <w:t xml:space="preserve">Henderson, J. (2017) </w:t>
      </w:r>
      <w:r w:rsidRPr="00B77EA0">
        <w:rPr>
          <w:i/>
          <w:iCs/>
        </w:rPr>
        <w:t>Culture and Change Management</w:t>
      </w:r>
      <w:r w:rsidRPr="00B77EA0">
        <w:t>. London: Routledge, p. 129.</w:t>
      </w:r>
    </w:p>
    <w:p w14:paraId="04C1AF77" w14:textId="77777777" w:rsidR="00B77EA0" w:rsidRPr="00B77EA0" w:rsidRDefault="00B77EA0" w:rsidP="00B77EA0">
      <w:r w:rsidRPr="00B77EA0">
        <w:t xml:space="preserve">Herzberg, F., Mausner, B. and Snyderman, B.B. (1959) </w:t>
      </w:r>
      <w:r w:rsidRPr="00B77EA0">
        <w:rPr>
          <w:i/>
          <w:iCs/>
        </w:rPr>
        <w:t>The motivation to work</w:t>
      </w:r>
      <w:r w:rsidRPr="00B77EA0">
        <w:t xml:space="preserve">. 2nd </w:t>
      </w:r>
      <w:proofErr w:type="spellStart"/>
      <w:r w:rsidRPr="00B77EA0">
        <w:t>edn</w:t>
      </w:r>
      <w:proofErr w:type="spellEnd"/>
      <w:r w:rsidRPr="00B77EA0">
        <w:t>. New York: Wiley, pp. 113–115.</w:t>
      </w:r>
    </w:p>
    <w:p w14:paraId="15750EBF" w14:textId="77777777" w:rsidR="00B77EA0" w:rsidRPr="00B77EA0" w:rsidRDefault="00B77EA0" w:rsidP="00B77EA0">
      <w:r w:rsidRPr="00B77EA0">
        <w:t xml:space="preserve">Hurst, R., Lee, S. and Frake, J. (2024) ‘The effect of flatter hierarchy on applicant pool gender diversity: Evidence from experiments’, </w:t>
      </w:r>
      <w:r w:rsidRPr="00B77EA0">
        <w:rPr>
          <w:i/>
          <w:iCs/>
        </w:rPr>
        <w:t>Strategic Management Journal</w:t>
      </w:r>
      <w:r w:rsidRPr="00B77EA0">
        <w:t>. Available at: https://www.rhsmith.umd.edu/research/research-shows-flatter-hierarchies-hidden-cost (Accessed: 20 November 2025).</w:t>
      </w:r>
    </w:p>
    <w:p w14:paraId="46C376CD" w14:textId="77777777" w:rsidR="00B77EA0" w:rsidRPr="00B77EA0" w:rsidRDefault="00B77EA0" w:rsidP="00B77EA0">
      <w:r w:rsidRPr="00B77EA0">
        <w:t>IBISWorld (2025) ‘Residential Care Industry Report’. Available at: https://www.ibisworld.com (Accessed: 22 November 2025).</w:t>
      </w:r>
    </w:p>
    <w:p w14:paraId="53B15FE7" w14:textId="77777777" w:rsidR="00B77EA0" w:rsidRPr="00B77EA0" w:rsidRDefault="00B77EA0" w:rsidP="00B77EA0">
      <w:r w:rsidRPr="00B77EA0">
        <w:t xml:space="preserve">Johnson, G., Scholes, K. and Whittington, R. (2019) </w:t>
      </w:r>
      <w:r w:rsidRPr="00B77EA0">
        <w:rPr>
          <w:i/>
          <w:iCs/>
        </w:rPr>
        <w:t>Exploring Strategy: Text and Cases</w:t>
      </w:r>
      <w:r w:rsidRPr="00B77EA0">
        <w:t xml:space="preserve">. 11th </w:t>
      </w:r>
      <w:proofErr w:type="spellStart"/>
      <w:r w:rsidRPr="00B77EA0">
        <w:t>edn</w:t>
      </w:r>
      <w:proofErr w:type="spellEnd"/>
      <w:r w:rsidRPr="00B77EA0">
        <w:t>. Pearson Higher Education &amp; Professional Group, Upper Saddle River, pp. 184–187.</w:t>
      </w:r>
    </w:p>
    <w:p w14:paraId="56B8FB0E" w14:textId="77777777" w:rsidR="00B77EA0" w:rsidRPr="00B77EA0" w:rsidRDefault="00B77EA0" w:rsidP="00B77EA0">
      <w:proofErr w:type="spellStart"/>
      <w:r w:rsidRPr="00B77EA0">
        <w:t>Karanges</w:t>
      </w:r>
      <w:proofErr w:type="spellEnd"/>
      <w:r w:rsidRPr="00B77EA0">
        <w:t xml:space="preserve">, E., Johnston, K., Beatson, A. and Lings, I. (2015) ‘The influence of internal communication on employee engagement: a pilot study’, </w:t>
      </w:r>
      <w:r w:rsidRPr="00B77EA0">
        <w:rPr>
          <w:i/>
          <w:iCs/>
        </w:rPr>
        <w:t>Public Relations Review</w:t>
      </w:r>
      <w:r w:rsidRPr="00B77EA0">
        <w:t xml:space="preserve">, 41(1), pp. 129–131. </w:t>
      </w:r>
      <w:proofErr w:type="spellStart"/>
      <w:r w:rsidRPr="00B77EA0">
        <w:t>doi</w:t>
      </w:r>
      <w:proofErr w:type="spellEnd"/>
      <w:r w:rsidRPr="00B77EA0">
        <w:t>: 10.1016/j.pubrev.2014.12.003.</w:t>
      </w:r>
    </w:p>
    <w:p w14:paraId="118435A2" w14:textId="77777777" w:rsidR="00B77EA0" w:rsidRPr="00B77EA0" w:rsidRDefault="00B77EA0" w:rsidP="00B77EA0">
      <w:r w:rsidRPr="00B77EA0">
        <w:t xml:space="preserve">Kotter, J.P. (1996) </w:t>
      </w:r>
      <w:r w:rsidRPr="00B77EA0">
        <w:rPr>
          <w:i/>
          <w:iCs/>
        </w:rPr>
        <w:t>Leading Change</w:t>
      </w:r>
      <w:r w:rsidRPr="00B77EA0">
        <w:t>. Boston: Harvard Business School Press.</w:t>
      </w:r>
    </w:p>
    <w:p w14:paraId="180A50C2" w14:textId="77777777" w:rsidR="00B77EA0" w:rsidRPr="00B77EA0" w:rsidRDefault="00B77EA0" w:rsidP="00B77EA0">
      <w:r w:rsidRPr="00B77EA0">
        <w:t xml:space="preserve">Lewin, K. (1951) </w:t>
      </w:r>
      <w:r w:rsidRPr="00B77EA0">
        <w:rPr>
          <w:i/>
          <w:iCs/>
        </w:rPr>
        <w:t>Field theory in social science</w:t>
      </w:r>
      <w:r w:rsidRPr="00B77EA0">
        <w:t>. New York: Harper &amp; Brothers. (Applied via Cameron &amp; Green, 2019, p.115).</w:t>
      </w:r>
    </w:p>
    <w:p w14:paraId="5EC8F233" w14:textId="77777777" w:rsidR="00B77EA0" w:rsidRPr="00B77EA0" w:rsidRDefault="00B77EA0" w:rsidP="00B77EA0">
      <w:r w:rsidRPr="00B77EA0">
        <w:t xml:space="preserve">Lynch, R. (2023) </w:t>
      </w:r>
      <w:r w:rsidRPr="00B77EA0">
        <w:rPr>
          <w:i/>
          <w:iCs/>
        </w:rPr>
        <w:t>Strategic Management</w:t>
      </w:r>
      <w:r w:rsidRPr="00B77EA0">
        <w:t xml:space="preserve">. 9th </w:t>
      </w:r>
      <w:proofErr w:type="spellStart"/>
      <w:r w:rsidRPr="00B77EA0">
        <w:t>edn</w:t>
      </w:r>
      <w:proofErr w:type="spellEnd"/>
      <w:r w:rsidRPr="00B77EA0">
        <w:t>. London: Sage.</w:t>
      </w:r>
    </w:p>
    <w:p w14:paraId="5E00728E" w14:textId="77777777" w:rsidR="00B77EA0" w:rsidRPr="00B77EA0" w:rsidRDefault="00B77EA0" w:rsidP="00B77EA0">
      <w:r w:rsidRPr="00B77EA0">
        <w:t xml:space="preserve">Marchington, M. and Wilkinson, A. (2020) </w:t>
      </w:r>
      <w:r w:rsidRPr="00B77EA0">
        <w:rPr>
          <w:i/>
          <w:iCs/>
        </w:rPr>
        <w:t>Human Resource Management at Work</w:t>
      </w:r>
      <w:r w:rsidRPr="00B77EA0">
        <w:t xml:space="preserve">. 7th </w:t>
      </w:r>
      <w:proofErr w:type="spellStart"/>
      <w:r w:rsidRPr="00B77EA0">
        <w:t>edn</w:t>
      </w:r>
      <w:proofErr w:type="spellEnd"/>
      <w:r w:rsidRPr="00B77EA0">
        <w:t>. London: CIPD/Kogan Page, pp. 112–114.</w:t>
      </w:r>
    </w:p>
    <w:p w14:paraId="52379E3B" w14:textId="77777777" w:rsidR="00B77EA0" w:rsidRPr="00B77EA0" w:rsidRDefault="00B77EA0" w:rsidP="00B77EA0">
      <w:r w:rsidRPr="00B77EA0">
        <w:t xml:space="preserve">Matriano, M.T. (2024) ‘Organizational structure, its drawbacks and shortcomings and overall impact to organizational </w:t>
      </w:r>
      <w:proofErr w:type="spellStart"/>
      <w:r w:rsidRPr="00B77EA0">
        <w:t>behavior</w:t>
      </w:r>
      <w:proofErr w:type="spellEnd"/>
      <w:r w:rsidRPr="00B77EA0">
        <w:t xml:space="preserve">’, </w:t>
      </w:r>
      <w:r w:rsidRPr="00B77EA0">
        <w:rPr>
          <w:i/>
          <w:iCs/>
        </w:rPr>
        <w:t>Global Scientific Journal</w:t>
      </w:r>
      <w:r w:rsidRPr="00B77EA0">
        <w:t>, 12(11). Available at: https://globalscientificjournal.com/researchpaper/Organizational_Structure_Its_Drawb</w:t>
      </w:r>
      <w:r w:rsidRPr="00B77EA0">
        <w:lastRenderedPageBreak/>
        <w:t>acks_and_Shortcomings_and_Overall_Impact_to_Organizational_Behavior.pdf (Accessed: 20 November 2025).</w:t>
      </w:r>
    </w:p>
    <w:p w14:paraId="3ABE25CF" w14:textId="77777777" w:rsidR="00B77EA0" w:rsidRPr="00B77EA0" w:rsidRDefault="00B77EA0" w:rsidP="00B77EA0">
      <w:r w:rsidRPr="00B77EA0">
        <w:t xml:space="preserve">McGregor, D. (1960) </w:t>
      </w:r>
      <w:r w:rsidRPr="00B77EA0">
        <w:rPr>
          <w:i/>
          <w:iCs/>
        </w:rPr>
        <w:t>The human side of enterprise</w:t>
      </w:r>
      <w:r w:rsidRPr="00B77EA0">
        <w:t>. New York: McGraw-Hill, pp. 33–34.</w:t>
      </w:r>
    </w:p>
    <w:p w14:paraId="2BBD5104" w14:textId="77777777" w:rsidR="00B77EA0" w:rsidRPr="00B77EA0" w:rsidRDefault="00B77EA0" w:rsidP="00B77EA0">
      <w:r w:rsidRPr="00B77EA0">
        <w:t xml:space="preserve">Office for National Statistics (ONS) (2025) ‘Population </w:t>
      </w:r>
      <w:proofErr w:type="gramStart"/>
      <w:r w:rsidRPr="00B77EA0">
        <w:t>projections’</w:t>
      </w:r>
      <w:proofErr w:type="gramEnd"/>
      <w:r w:rsidRPr="00B77EA0">
        <w:t>. Available at: https://www.ons.gov.uk (Accessed: 22 November 2025).</w:t>
      </w:r>
    </w:p>
    <w:p w14:paraId="18D9BFA0" w14:textId="77777777" w:rsidR="00B77EA0" w:rsidRPr="00B77EA0" w:rsidRDefault="00B77EA0" w:rsidP="00B77EA0">
      <w:r w:rsidRPr="00B77EA0">
        <w:t xml:space="preserve">Rees, G. and French, R. (2023) </w:t>
      </w:r>
      <w:r w:rsidRPr="00B77EA0">
        <w:rPr>
          <w:i/>
          <w:iCs/>
        </w:rPr>
        <w:t>Strategic People Management: Theory &amp; Practice</w:t>
      </w:r>
      <w:r w:rsidRPr="00B77EA0">
        <w:t xml:space="preserve">. 6th </w:t>
      </w:r>
      <w:proofErr w:type="spellStart"/>
      <w:r w:rsidRPr="00B77EA0">
        <w:t>edn</w:t>
      </w:r>
      <w:proofErr w:type="spellEnd"/>
      <w:r w:rsidRPr="00B77EA0">
        <w:t>. London: Routledge, p. 260.</w:t>
      </w:r>
    </w:p>
    <w:p w14:paraId="7499274D" w14:textId="77777777" w:rsidR="00B77EA0" w:rsidRPr="00B77EA0" w:rsidRDefault="00B77EA0" w:rsidP="00B77EA0">
      <w:r w:rsidRPr="00B77EA0">
        <w:t>Research Optimus (2021) ‘SWOT and PESTLE Analysis for Effective Strategy Crafting’. Available at: https://www.researchoptimus.com/blog/using-swot-and-pestle-analysis-together-for-crafting-strategy/ (Accessed: 22 November 2025).</w:t>
      </w:r>
    </w:p>
    <w:p w14:paraId="3285AE6F" w14:textId="77777777" w:rsidR="00B77EA0" w:rsidRPr="00B77EA0" w:rsidRDefault="00B77EA0" w:rsidP="00B77EA0">
      <w:r w:rsidRPr="00B77EA0">
        <w:t xml:space="preserve">Roberts, J. and Tracey, P. (2024) </w:t>
      </w:r>
      <w:r w:rsidRPr="00B77EA0">
        <w:rPr>
          <w:i/>
          <w:iCs/>
        </w:rPr>
        <w:t>Managing organisational change: insights for people professionals</w:t>
      </w:r>
      <w:r w:rsidRPr="00B77EA0">
        <w:t>. CIPD Research Report, pp. 14–16.</w:t>
      </w:r>
    </w:p>
    <w:p w14:paraId="4D819CBC" w14:textId="77777777" w:rsidR="00B77EA0" w:rsidRPr="00B77EA0" w:rsidRDefault="00B77EA0" w:rsidP="00B77EA0">
      <w:r w:rsidRPr="00B77EA0">
        <w:t xml:space="preserve">Saunders, M., Lewis, P. and Thornhill, A. (2019) </w:t>
      </w:r>
      <w:r w:rsidRPr="00B77EA0">
        <w:rPr>
          <w:i/>
          <w:iCs/>
        </w:rPr>
        <w:t>Research Methods for Business Students</w:t>
      </w:r>
      <w:r w:rsidRPr="00B77EA0">
        <w:t xml:space="preserve">. 8th </w:t>
      </w:r>
      <w:proofErr w:type="spellStart"/>
      <w:r w:rsidRPr="00B77EA0">
        <w:t>edn</w:t>
      </w:r>
      <w:proofErr w:type="spellEnd"/>
      <w:r w:rsidRPr="00B77EA0">
        <w:t>. Harlow: Pearson Education, pp. 482–484.</w:t>
      </w:r>
    </w:p>
    <w:p w14:paraId="0066ABEC" w14:textId="77777777" w:rsidR="00B77EA0" w:rsidRPr="00B77EA0" w:rsidRDefault="00B77EA0" w:rsidP="00B77EA0">
      <w:r w:rsidRPr="00B77EA0">
        <w:t xml:space="preserve">Schein, E.H. (2010) </w:t>
      </w:r>
      <w:r w:rsidRPr="00B77EA0">
        <w:rPr>
          <w:i/>
          <w:iCs/>
        </w:rPr>
        <w:t>Organizational culture and leadership</w:t>
      </w:r>
      <w:r w:rsidRPr="00B77EA0">
        <w:t xml:space="preserve">. 4th </w:t>
      </w:r>
      <w:proofErr w:type="spellStart"/>
      <w:r w:rsidRPr="00B77EA0">
        <w:t>edn</w:t>
      </w:r>
      <w:proofErr w:type="spellEnd"/>
      <w:r w:rsidRPr="00B77EA0">
        <w:t>. San Francisco: Jossey-Bass, p. 23.</w:t>
      </w:r>
    </w:p>
    <w:p w14:paraId="7DDE251E" w14:textId="77777777" w:rsidR="00B77EA0" w:rsidRPr="00B77EA0" w:rsidRDefault="00B77EA0" w:rsidP="00B77EA0">
      <w:r w:rsidRPr="00B77EA0">
        <w:t xml:space="preserve">Skills for Care (2024) </w:t>
      </w:r>
      <w:r w:rsidRPr="00B77EA0">
        <w:rPr>
          <w:i/>
          <w:iCs/>
        </w:rPr>
        <w:t>The state of the adult social care sector and workforce in England</w:t>
      </w:r>
      <w:r w:rsidRPr="00B77EA0">
        <w:t>. Available at: https://www.skillsforcare.org.uk (Accessed: 22 November 2025).</w:t>
      </w:r>
    </w:p>
    <w:p w14:paraId="4E42EC6E" w14:textId="77777777" w:rsidR="00B77EA0" w:rsidRPr="00B77EA0" w:rsidRDefault="00B77EA0" w:rsidP="00B77EA0">
      <w:r w:rsidRPr="00B77EA0">
        <w:t xml:space="preserve">Taylor, S. and Perkins, G. (2021) </w:t>
      </w:r>
      <w:r w:rsidRPr="00B77EA0">
        <w:rPr>
          <w:i/>
          <w:iCs/>
        </w:rPr>
        <w:t>Work and Employment in a Changing Business Environment</w:t>
      </w:r>
      <w:r w:rsidRPr="00B77EA0">
        <w:t>. London: Kogan Page Limited, pp. 204–205.</w:t>
      </w:r>
    </w:p>
    <w:p w14:paraId="78751BD6" w14:textId="77777777" w:rsidR="00B77EA0" w:rsidRPr="00B77EA0" w:rsidRDefault="00B77EA0" w:rsidP="00B77EA0">
      <w:r w:rsidRPr="00B77EA0">
        <w:t xml:space="preserve">Vroom, V.H. (1964) </w:t>
      </w:r>
      <w:r w:rsidRPr="00B77EA0">
        <w:rPr>
          <w:i/>
          <w:iCs/>
        </w:rPr>
        <w:t>Work and motivation</w:t>
      </w:r>
      <w:r w:rsidRPr="00B77EA0">
        <w:t>. New York: Wiley, pp. 29–31.</w:t>
      </w:r>
    </w:p>
    <w:p w14:paraId="3FB9E5D1" w14:textId="77777777" w:rsidR="00B77EA0" w:rsidRPr="00B77EA0" w:rsidRDefault="00B77EA0" w:rsidP="00B77EA0">
      <w:r w:rsidRPr="00B77EA0">
        <w:t>Warwick Business School (2024) ‘Social Care Workforce Challenges’. Available at: https://www.wbs.ac.uk (Accessed: 22 November 2025).</w:t>
      </w:r>
    </w:p>
    <w:p w14:paraId="59B24D2E" w14:textId="77777777" w:rsidR="00B77EA0" w:rsidRPr="00B77EA0" w:rsidRDefault="00B77EA0" w:rsidP="00B77EA0">
      <w:r w:rsidRPr="00B77EA0">
        <w:t xml:space="preserve">Weber, M. (1947) </w:t>
      </w:r>
      <w:r w:rsidRPr="00B77EA0">
        <w:rPr>
          <w:i/>
          <w:iCs/>
        </w:rPr>
        <w:t>The theory of social and economic organization</w:t>
      </w:r>
      <w:r w:rsidRPr="00B77EA0">
        <w:t>. Translated by A.M. Henderson and edited with an introduction by T. Parsons. New York: Oxford University Press.</w:t>
      </w:r>
    </w:p>
    <w:p w14:paraId="2847B7C7" w14:textId="77777777" w:rsidR="00B77EA0" w:rsidRPr="00B77EA0" w:rsidRDefault="00B77EA0" w:rsidP="00B77EA0">
      <w:r w:rsidRPr="00B77EA0">
        <w:t xml:space="preserve">Yontef, G. (2005) ‘Gestalt Therapy Theory of Change’, in Woldt, A. and Toman, S. (eds.) </w:t>
      </w:r>
      <w:r w:rsidRPr="00B77EA0">
        <w:rPr>
          <w:i/>
          <w:iCs/>
        </w:rPr>
        <w:t>Gestalt Therapy: History, Theory, and Practice</w:t>
      </w:r>
      <w:r w:rsidRPr="00B77EA0">
        <w:t>. Thousand Oaks, CA: Sage Publications, pp. 81–100</w:t>
      </w:r>
    </w:p>
    <w:p w14:paraId="7EB37C92" w14:textId="77777777" w:rsidR="00B77EA0" w:rsidRPr="0095445C" w:rsidRDefault="00B77EA0" w:rsidP="005535D1">
      <w:pPr>
        <w:rPr>
          <w:b/>
          <w:bCs/>
          <w:color w:val="FF0000"/>
        </w:rPr>
      </w:pPr>
    </w:p>
    <w:sectPr w:rsidR="00B77EA0" w:rsidRPr="009544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AB5ED" w14:textId="77777777" w:rsidR="003D02E2" w:rsidRDefault="003D02E2" w:rsidP="003D02E2">
      <w:pPr>
        <w:spacing w:after="0" w:line="240" w:lineRule="auto"/>
      </w:pPr>
      <w:r>
        <w:separator/>
      </w:r>
    </w:p>
  </w:endnote>
  <w:endnote w:type="continuationSeparator" w:id="0">
    <w:p w14:paraId="127A582C" w14:textId="77777777" w:rsidR="003D02E2" w:rsidRDefault="003D02E2" w:rsidP="003D0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9E85D" w14:textId="77777777" w:rsidR="003D02E2" w:rsidRDefault="003D02E2" w:rsidP="003D02E2">
      <w:pPr>
        <w:spacing w:after="0" w:line="240" w:lineRule="auto"/>
      </w:pPr>
      <w:r>
        <w:separator/>
      </w:r>
    </w:p>
  </w:footnote>
  <w:footnote w:type="continuationSeparator" w:id="0">
    <w:p w14:paraId="014E09F6" w14:textId="77777777" w:rsidR="003D02E2" w:rsidRDefault="003D02E2" w:rsidP="003D02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3CC"/>
    <w:rsid w:val="00001C89"/>
    <w:rsid w:val="00004409"/>
    <w:rsid w:val="00013F76"/>
    <w:rsid w:val="00017F83"/>
    <w:rsid w:val="00024AB7"/>
    <w:rsid w:val="00030D8F"/>
    <w:rsid w:val="000325E7"/>
    <w:rsid w:val="00034087"/>
    <w:rsid w:val="00036B3C"/>
    <w:rsid w:val="00037240"/>
    <w:rsid w:val="00037255"/>
    <w:rsid w:val="00041BF0"/>
    <w:rsid w:val="0004353C"/>
    <w:rsid w:val="00056078"/>
    <w:rsid w:val="0006050B"/>
    <w:rsid w:val="000750FA"/>
    <w:rsid w:val="000775B4"/>
    <w:rsid w:val="00087251"/>
    <w:rsid w:val="00095C11"/>
    <w:rsid w:val="00097A4B"/>
    <w:rsid w:val="000A187A"/>
    <w:rsid w:val="000B255F"/>
    <w:rsid w:val="000B46F5"/>
    <w:rsid w:val="000B5ACE"/>
    <w:rsid w:val="000C07DF"/>
    <w:rsid w:val="000C209A"/>
    <w:rsid w:val="000D09D4"/>
    <w:rsid w:val="000D22B3"/>
    <w:rsid w:val="000D4078"/>
    <w:rsid w:val="000E02C1"/>
    <w:rsid w:val="000E13E5"/>
    <w:rsid w:val="000E24F6"/>
    <w:rsid w:val="000F1308"/>
    <w:rsid w:val="000F357C"/>
    <w:rsid w:val="000F6BBA"/>
    <w:rsid w:val="00105BF6"/>
    <w:rsid w:val="00106ECB"/>
    <w:rsid w:val="00107ED7"/>
    <w:rsid w:val="001135BE"/>
    <w:rsid w:val="0012450E"/>
    <w:rsid w:val="00127118"/>
    <w:rsid w:val="00130620"/>
    <w:rsid w:val="00130E3F"/>
    <w:rsid w:val="00143C86"/>
    <w:rsid w:val="00143E7E"/>
    <w:rsid w:val="00157366"/>
    <w:rsid w:val="001632B3"/>
    <w:rsid w:val="00163FD8"/>
    <w:rsid w:val="001663B1"/>
    <w:rsid w:val="0017003D"/>
    <w:rsid w:val="00173F31"/>
    <w:rsid w:val="0017423B"/>
    <w:rsid w:val="00180D29"/>
    <w:rsid w:val="00181A29"/>
    <w:rsid w:val="00193AB5"/>
    <w:rsid w:val="00194B93"/>
    <w:rsid w:val="001A022A"/>
    <w:rsid w:val="001B37BD"/>
    <w:rsid w:val="001B3CFA"/>
    <w:rsid w:val="001B4290"/>
    <w:rsid w:val="001B481A"/>
    <w:rsid w:val="001B6411"/>
    <w:rsid w:val="001C07E8"/>
    <w:rsid w:val="001C5169"/>
    <w:rsid w:val="001C5649"/>
    <w:rsid w:val="001D15B3"/>
    <w:rsid w:val="001D570B"/>
    <w:rsid w:val="001F2B72"/>
    <w:rsid w:val="001F3BA6"/>
    <w:rsid w:val="001F7979"/>
    <w:rsid w:val="00207894"/>
    <w:rsid w:val="00210B0A"/>
    <w:rsid w:val="00210C3D"/>
    <w:rsid w:val="0021580B"/>
    <w:rsid w:val="00216FE9"/>
    <w:rsid w:val="00222E71"/>
    <w:rsid w:val="00227593"/>
    <w:rsid w:val="00230868"/>
    <w:rsid w:val="002309A1"/>
    <w:rsid w:val="0023519F"/>
    <w:rsid w:val="00235D71"/>
    <w:rsid w:val="00241C35"/>
    <w:rsid w:val="00242687"/>
    <w:rsid w:val="00245878"/>
    <w:rsid w:val="0024795C"/>
    <w:rsid w:val="0025156A"/>
    <w:rsid w:val="00252911"/>
    <w:rsid w:val="00255B3A"/>
    <w:rsid w:val="00263F3E"/>
    <w:rsid w:val="00270B2B"/>
    <w:rsid w:val="002746EC"/>
    <w:rsid w:val="00286649"/>
    <w:rsid w:val="0029255D"/>
    <w:rsid w:val="002A60FD"/>
    <w:rsid w:val="002A73E3"/>
    <w:rsid w:val="002B3029"/>
    <w:rsid w:val="002C692B"/>
    <w:rsid w:val="002C7415"/>
    <w:rsid w:val="002D256F"/>
    <w:rsid w:val="002D4276"/>
    <w:rsid w:val="002E6AA4"/>
    <w:rsid w:val="002E7BB3"/>
    <w:rsid w:val="002F173B"/>
    <w:rsid w:val="002F236A"/>
    <w:rsid w:val="003054A7"/>
    <w:rsid w:val="00305B4E"/>
    <w:rsid w:val="00306D5B"/>
    <w:rsid w:val="00312918"/>
    <w:rsid w:val="00313948"/>
    <w:rsid w:val="0031657B"/>
    <w:rsid w:val="00317CA6"/>
    <w:rsid w:val="003217E6"/>
    <w:rsid w:val="003361B3"/>
    <w:rsid w:val="0034164A"/>
    <w:rsid w:val="00354538"/>
    <w:rsid w:val="00357BFE"/>
    <w:rsid w:val="003709CE"/>
    <w:rsid w:val="0037611E"/>
    <w:rsid w:val="00382B90"/>
    <w:rsid w:val="003863D0"/>
    <w:rsid w:val="00390FF2"/>
    <w:rsid w:val="003A221C"/>
    <w:rsid w:val="003A52E6"/>
    <w:rsid w:val="003C20AB"/>
    <w:rsid w:val="003C3099"/>
    <w:rsid w:val="003D02E2"/>
    <w:rsid w:val="003D483B"/>
    <w:rsid w:val="003E26F6"/>
    <w:rsid w:val="003E591C"/>
    <w:rsid w:val="003F73BE"/>
    <w:rsid w:val="003F7774"/>
    <w:rsid w:val="004019DB"/>
    <w:rsid w:val="0041242F"/>
    <w:rsid w:val="00421F90"/>
    <w:rsid w:val="004255F0"/>
    <w:rsid w:val="00426C4C"/>
    <w:rsid w:val="004335A4"/>
    <w:rsid w:val="0044662C"/>
    <w:rsid w:val="00447ABE"/>
    <w:rsid w:val="0045291B"/>
    <w:rsid w:val="00454044"/>
    <w:rsid w:val="00455B02"/>
    <w:rsid w:val="00460CFF"/>
    <w:rsid w:val="004641F9"/>
    <w:rsid w:val="0047446E"/>
    <w:rsid w:val="00474693"/>
    <w:rsid w:val="004841CF"/>
    <w:rsid w:val="00486246"/>
    <w:rsid w:val="004940ED"/>
    <w:rsid w:val="00495988"/>
    <w:rsid w:val="004959C7"/>
    <w:rsid w:val="004A13C8"/>
    <w:rsid w:val="004A650C"/>
    <w:rsid w:val="004B08E1"/>
    <w:rsid w:val="004B0A3F"/>
    <w:rsid w:val="004C0DBE"/>
    <w:rsid w:val="004C19BE"/>
    <w:rsid w:val="004C3E9F"/>
    <w:rsid w:val="004D12BE"/>
    <w:rsid w:val="004D24E2"/>
    <w:rsid w:val="004D3D42"/>
    <w:rsid w:val="004E327F"/>
    <w:rsid w:val="004E64EA"/>
    <w:rsid w:val="004F0A69"/>
    <w:rsid w:val="004F1223"/>
    <w:rsid w:val="004F3CC7"/>
    <w:rsid w:val="00502AC8"/>
    <w:rsid w:val="0050504C"/>
    <w:rsid w:val="00510D4B"/>
    <w:rsid w:val="00514CDB"/>
    <w:rsid w:val="00517AF5"/>
    <w:rsid w:val="00520934"/>
    <w:rsid w:val="005353ED"/>
    <w:rsid w:val="005372CE"/>
    <w:rsid w:val="005416E4"/>
    <w:rsid w:val="005448F8"/>
    <w:rsid w:val="00552F36"/>
    <w:rsid w:val="005535D1"/>
    <w:rsid w:val="00555192"/>
    <w:rsid w:val="00557EF7"/>
    <w:rsid w:val="00565894"/>
    <w:rsid w:val="0058005A"/>
    <w:rsid w:val="005818F2"/>
    <w:rsid w:val="00582687"/>
    <w:rsid w:val="0058443F"/>
    <w:rsid w:val="0059237B"/>
    <w:rsid w:val="005A20F5"/>
    <w:rsid w:val="005A270D"/>
    <w:rsid w:val="005A4D19"/>
    <w:rsid w:val="005A64C6"/>
    <w:rsid w:val="005B29EC"/>
    <w:rsid w:val="005B7135"/>
    <w:rsid w:val="005C231B"/>
    <w:rsid w:val="005C41C4"/>
    <w:rsid w:val="005C58BA"/>
    <w:rsid w:val="005D0A29"/>
    <w:rsid w:val="005D4305"/>
    <w:rsid w:val="005D7AD7"/>
    <w:rsid w:val="005E04C0"/>
    <w:rsid w:val="005E7833"/>
    <w:rsid w:val="005F0785"/>
    <w:rsid w:val="0060005C"/>
    <w:rsid w:val="00605CC7"/>
    <w:rsid w:val="00610FCA"/>
    <w:rsid w:val="006138B7"/>
    <w:rsid w:val="00617C13"/>
    <w:rsid w:val="00623946"/>
    <w:rsid w:val="00625ED5"/>
    <w:rsid w:val="006346B2"/>
    <w:rsid w:val="00634E00"/>
    <w:rsid w:val="0064084F"/>
    <w:rsid w:val="00641263"/>
    <w:rsid w:val="00641A08"/>
    <w:rsid w:val="0064368F"/>
    <w:rsid w:val="00646468"/>
    <w:rsid w:val="00646AE9"/>
    <w:rsid w:val="00662D34"/>
    <w:rsid w:val="00670A55"/>
    <w:rsid w:val="00672EED"/>
    <w:rsid w:val="00683D9A"/>
    <w:rsid w:val="006A5503"/>
    <w:rsid w:val="006C300A"/>
    <w:rsid w:val="006D0554"/>
    <w:rsid w:val="006E77A8"/>
    <w:rsid w:val="006F3706"/>
    <w:rsid w:val="006F5D1B"/>
    <w:rsid w:val="006F67C4"/>
    <w:rsid w:val="0070109B"/>
    <w:rsid w:val="007148DC"/>
    <w:rsid w:val="00716F3A"/>
    <w:rsid w:val="0072592A"/>
    <w:rsid w:val="00737DA9"/>
    <w:rsid w:val="00740121"/>
    <w:rsid w:val="00742866"/>
    <w:rsid w:val="0074383E"/>
    <w:rsid w:val="007451B9"/>
    <w:rsid w:val="007528D5"/>
    <w:rsid w:val="007615D6"/>
    <w:rsid w:val="0076630B"/>
    <w:rsid w:val="007723CC"/>
    <w:rsid w:val="0077437A"/>
    <w:rsid w:val="007804FC"/>
    <w:rsid w:val="00782A89"/>
    <w:rsid w:val="0078559F"/>
    <w:rsid w:val="007878AF"/>
    <w:rsid w:val="00787F8B"/>
    <w:rsid w:val="00793439"/>
    <w:rsid w:val="007955F5"/>
    <w:rsid w:val="00797D50"/>
    <w:rsid w:val="007A3529"/>
    <w:rsid w:val="007B2DCF"/>
    <w:rsid w:val="007B4BCE"/>
    <w:rsid w:val="007B7DC2"/>
    <w:rsid w:val="007C0BDE"/>
    <w:rsid w:val="007C1CE8"/>
    <w:rsid w:val="007C2AB9"/>
    <w:rsid w:val="007D1937"/>
    <w:rsid w:val="007D263B"/>
    <w:rsid w:val="007D4831"/>
    <w:rsid w:val="007E1691"/>
    <w:rsid w:val="007E16BA"/>
    <w:rsid w:val="007E33E1"/>
    <w:rsid w:val="007F184F"/>
    <w:rsid w:val="007F2F75"/>
    <w:rsid w:val="007F5578"/>
    <w:rsid w:val="00813731"/>
    <w:rsid w:val="008172CC"/>
    <w:rsid w:val="00820915"/>
    <w:rsid w:val="00821F93"/>
    <w:rsid w:val="0082441C"/>
    <w:rsid w:val="00827282"/>
    <w:rsid w:val="0085431A"/>
    <w:rsid w:val="00854619"/>
    <w:rsid w:val="0086328C"/>
    <w:rsid w:val="00863C11"/>
    <w:rsid w:val="00863D48"/>
    <w:rsid w:val="00867019"/>
    <w:rsid w:val="0087394A"/>
    <w:rsid w:val="0087415B"/>
    <w:rsid w:val="00875AD8"/>
    <w:rsid w:val="00877BD6"/>
    <w:rsid w:val="00880129"/>
    <w:rsid w:val="00880278"/>
    <w:rsid w:val="00884E2C"/>
    <w:rsid w:val="0088615C"/>
    <w:rsid w:val="00891459"/>
    <w:rsid w:val="00896A54"/>
    <w:rsid w:val="008A4D46"/>
    <w:rsid w:val="008B002A"/>
    <w:rsid w:val="008B170F"/>
    <w:rsid w:val="008B62FE"/>
    <w:rsid w:val="008C026D"/>
    <w:rsid w:val="008C7699"/>
    <w:rsid w:val="008E330D"/>
    <w:rsid w:val="008F09E7"/>
    <w:rsid w:val="008F1339"/>
    <w:rsid w:val="008F3919"/>
    <w:rsid w:val="008F3BBB"/>
    <w:rsid w:val="008F7617"/>
    <w:rsid w:val="009013D2"/>
    <w:rsid w:val="00901E2F"/>
    <w:rsid w:val="0090439C"/>
    <w:rsid w:val="00907181"/>
    <w:rsid w:val="00912AB9"/>
    <w:rsid w:val="00914C35"/>
    <w:rsid w:val="009167CF"/>
    <w:rsid w:val="00917009"/>
    <w:rsid w:val="0092165B"/>
    <w:rsid w:val="00926385"/>
    <w:rsid w:val="00926CD2"/>
    <w:rsid w:val="009351EC"/>
    <w:rsid w:val="00937D48"/>
    <w:rsid w:val="009409EB"/>
    <w:rsid w:val="009422B6"/>
    <w:rsid w:val="0094393B"/>
    <w:rsid w:val="009457A5"/>
    <w:rsid w:val="0095445C"/>
    <w:rsid w:val="00971A97"/>
    <w:rsid w:val="00972531"/>
    <w:rsid w:val="009837DB"/>
    <w:rsid w:val="00990BEC"/>
    <w:rsid w:val="00993F1A"/>
    <w:rsid w:val="009A68BF"/>
    <w:rsid w:val="009B32B8"/>
    <w:rsid w:val="009B7B98"/>
    <w:rsid w:val="009C3332"/>
    <w:rsid w:val="009C535F"/>
    <w:rsid w:val="009C7893"/>
    <w:rsid w:val="009D4D00"/>
    <w:rsid w:val="009D62F6"/>
    <w:rsid w:val="009D661C"/>
    <w:rsid w:val="009D7670"/>
    <w:rsid w:val="009E1246"/>
    <w:rsid w:val="009E540A"/>
    <w:rsid w:val="009E555A"/>
    <w:rsid w:val="009E6988"/>
    <w:rsid w:val="009E70C6"/>
    <w:rsid w:val="00A1421A"/>
    <w:rsid w:val="00A34B20"/>
    <w:rsid w:val="00A3695D"/>
    <w:rsid w:val="00A40F97"/>
    <w:rsid w:val="00A43921"/>
    <w:rsid w:val="00A43DDF"/>
    <w:rsid w:val="00A4775D"/>
    <w:rsid w:val="00A548B5"/>
    <w:rsid w:val="00A60465"/>
    <w:rsid w:val="00A60571"/>
    <w:rsid w:val="00A609EB"/>
    <w:rsid w:val="00A62FCF"/>
    <w:rsid w:val="00A64D96"/>
    <w:rsid w:val="00A6717D"/>
    <w:rsid w:val="00A71B6B"/>
    <w:rsid w:val="00A72F6B"/>
    <w:rsid w:val="00A73263"/>
    <w:rsid w:val="00A763A3"/>
    <w:rsid w:val="00A86368"/>
    <w:rsid w:val="00A94368"/>
    <w:rsid w:val="00AB3F09"/>
    <w:rsid w:val="00AC2EF3"/>
    <w:rsid w:val="00AC448A"/>
    <w:rsid w:val="00AC520D"/>
    <w:rsid w:val="00AC646F"/>
    <w:rsid w:val="00AD2BA3"/>
    <w:rsid w:val="00AD6B2D"/>
    <w:rsid w:val="00AE00AC"/>
    <w:rsid w:val="00AE7DB5"/>
    <w:rsid w:val="00AF0D78"/>
    <w:rsid w:val="00AF76EF"/>
    <w:rsid w:val="00B025A7"/>
    <w:rsid w:val="00B06FA6"/>
    <w:rsid w:val="00B25B7D"/>
    <w:rsid w:val="00B30F09"/>
    <w:rsid w:val="00B417CE"/>
    <w:rsid w:val="00B43A24"/>
    <w:rsid w:val="00B47A98"/>
    <w:rsid w:val="00B52631"/>
    <w:rsid w:val="00B52ABB"/>
    <w:rsid w:val="00B61079"/>
    <w:rsid w:val="00B617B8"/>
    <w:rsid w:val="00B61810"/>
    <w:rsid w:val="00B66FE4"/>
    <w:rsid w:val="00B70C77"/>
    <w:rsid w:val="00B77EA0"/>
    <w:rsid w:val="00B83E75"/>
    <w:rsid w:val="00B906B1"/>
    <w:rsid w:val="00B91CE1"/>
    <w:rsid w:val="00B95FFB"/>
    <w:rsid w:val="00BB0C1E"/>
    <w:rsid w:val="00BD5D71"/>
    <w:rsid w:val="00BD6B08"/>
    <w:rsid w:val="00BE0D6F"/>
    <w:rsid w:val="00BE1C06"/>
    <w:rsid w:val="00BE44EC"/>
    <w:rsid w:val="00BF0618"/>
    <w:rsid w:val="00C02775"/>
    <w:rsid w:val="00C06F57"/>
    <w:rsid w:val="00C078DF"/>
    <w:rsid w:val="00C07EF9"/>
    <w:rsid w:val="00C11E06"/>
    <w:rsid w:val="00C15967"/>
    <w:rsid w:val="00C16F70"/>
    <w:rsid w:val="00C200FF"/>
    <w:rsid w:val="00C23EC2"/>
    <w:rsid w:val="00C3364C"/>
    <w:rsid w:val="00C37153"/>
    <w:rsid w:val="00C44261"/>
    <w:rsid w:val="00C52D29"/>
    <w:rsid w:val="00C565B7"/>
    <w:rsid w:val="00C61EDB"/>
    <w:rsid w:val="00C62262"/>
    <w:rsid w:val="00C64813"/>
    <w:rsid w:val="00C65BA8"/>
    <w:rsid w:val="00C801C9"/>
    <w:rsid w:val="00C82526"/>
    <w:rsid w:val="00C901F8"/>
    <w:rsid w:val="00C93A0A"/>
    <w:rsid w:val="00C93B81"/>
    <w:rsid w:val="00C96BCA"/>
    <w:rsid w:val="00C97CB5"/>
    <w:rsid w:val="00CA1558"/>
    <w:rsid w:val="00CA47D5"/>
    <w:rsid w:val="00CB0E6A"/>
    <w:rsid w:val="00CB531A"/>
    <w:rsid w:val="00CB61C4"/>
    <w:rsid w:val="00CB7B69"/>
    <w:rsid w:val="00CC303E"/>
    <w:rsid w:val="00CC535C"/>
    <w:rsid w:val="00CC73D3"/>
    <w:rsid w:val="00CD1337"/>
    <w:rsid w:val="00CD5E32"/>
    <w:rsid w:val="00CF10B3"/>
    <w:rsid w:val="00CF44B9"/>
    <w:rsid w:val="00CF60B6"/>
    <w:rsid w:val="00D00E25"/>
    <w:rsid w:val="00D0270A"/>
    <w:rsid w:val="00D07302"/>
    <w:rsid w:val="00D128CD"/>
    <w:rsid w:val="00D1383B"/>
    <w:rsid w:val="00D24740"/>
    <w:rsid w:val="00D308E4"/>
    <w:rsid w:val="00D427F9"/>
    <w:rsid w:val="00D42EDF"/>
    <w:rsid w:val="00D43605"/>
    <w:rsid w:val="00D6049D"/>
    <w:rsid w:val="00D6505F"/>
    <w:rsid w:val="00D65E44"/>
    <w:rsid w:val="00D678F3"/>
    <w:rsid w:val="00D72A12"/>
    <w:rsid w:val="00D8519F"/>
    <w:rsid w:val="00D957E6"/>
    <w:rsid w:val="00D971E4"/>
    <w:rsid w:val="00DA7051"/>
    <w:rsid w:val="00DB1459"/>
    <w:rsid w:val="00DB1616"/>
    <w:rsid w:val="00DB6805"/>
    <w:rsid w:val="00DC53A4"/>
    <w:rsid w:val="00DC6066"/>
    <w:rsid w:val="00DC7286"/>
    <w:rsid w:val="00DC7F06"/>
    <w:rsid w:val="00DD0E95"/>
    <w:rsid w:val="00DD1F8C"/>
    <w:rsid w:val="00DD4F04"/>
    <w:rsid w:val="00DE2472"/>
    <w:rsid w:val="00DE2D4B"/>
    <w:rsid w:val="00DE6407"/>
    <w:rsid w:val="00DF0643"/>
    <w:rsid w:val="00DF3893"/>
    <w:rsid w:val="00DF6D77"/>
    <w:rsid w:val="00E0365E"/>
    <w:rsid w:val="00E104F4"/>
    <w:rsid w:val="00E15BBA"/>
    <w:rsid w:val="00E24269"/>
    <w:rsid w:val="00E24869"/>
    <w:rsid w:val="00E303C2"/>
    <w:rsid w:val="00E31878"/>
    <w:rsid w:val="00E46E10"/>
    <w:rsid w:val="00E471FB"/>
    <w:rsid w:val="00E504C5"/>
    <w:rsid w:val="00E51866"/>
    <w:rsid w:val="00E53232"/>
    <w:rsid w:val="00E6036B"/>
    <w:rsid w:val="00E628D1"/>
    <w:rsid w:val="00E736B4"/>
    <w:rsid w:val="00E8176E"/>
    <w:rsid w:val="00E81872"/>
    <w:rsid w:val="00E81CC6"/>
    <w:rsid w:val="00E82C9F"/>
    <w:rsid w:val="00E86DE5"/>
    <w:rsid w:val="00E9005D"/>
    <w:rsid w:val="00E97919"/>
    <w:rsid w:val="00E97CC1"/>
    <w:rsid w:val="00EA2913"/>
    <w:rsid w:val="00EA4065"/>
    <w:rsid w:val="00EA7854"/>
    <w:rsid w:val="00EB018E"/>
    <w:rsid w:val="00EB2280"/>
    <w:rsid w:val="00EB3170"/>
    <w:rsid w:val="00EB3C20"/>
    <w:rsid w:val="00EB7181"/>
    <w:rsid w:val="00EC0323"/>
    <w:rsid w:val="00EC3777"/>
    <w:rsid w:val="00ED0E30"/>
    <w:rsid w:val="00ED16A8"/>
    <w:rsid w:val="00ED2744"/>
    <w:rsid w:val="00ED5A74"/>
    <w:rsid w:val="00EE20B9"/>
    <w:rsid w:val="00EE7DFE"/>
    <w:rsid w:val="00EF5185"/>
    <w:rsid w:val="00F068A6"/>
    <w:rsid w:val="00F11548"/>
    <w:rsid w:val="00F12E9F"/>
    <w:rsid w:val="00F132B9"/>
    <w:rsid w:val="00F158DD"/>
    <w:rsid w:val="00F1782E"/>
    <w:rsid w:val="00F20B80"/>
    <w:rsid w:val="00F2192F"/>
    <w:rsid w:val="00F36F9D"/>
    <w:rsid w:val="00F44A1F"/>
    <w:rsid w:val="00F456E1"/>
    <w:rsid w:val="00F54595"/>
    <w:rsid w:val="00F557E2"/>
    <w:rsid w:val="00F6158B"/>
    <w:rsid w:val="00F71921"/>
    <w:rsid w:val="00F9507C"/>
    <w:rsid w:val="00FA5F76"/>
    <w:rsid w:val="00FA6690"/>
    <w:rsid w:val="00FB292D"/>
    <w:rsid w:val="00FB7234"/>
    <w:rsid w:val="00FC0094"/>
    <w:rsid w:val="00FC041E"/>
    <w:rsid w:val="00FC52B4"/>
    <w:rsid w:val="00FD4A68"/>
    <w:rsid w:val="00FD7E8C"/>
    <w:rsid w:val="00FE01AC"/>
    <w:rsid w:val="00FF5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FA2C30A"/>
  <w15:chartTrackingRefBased/>
  <w15:docId w15:val="{5CF21BC2-C572-4F60-8C09-6D9AA1F50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3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3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3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3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3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3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3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3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3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3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3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3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3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3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3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3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3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3CC"/>
    <w:rPr>
      <w:rFonts w:eastAsiaTheme="majorEastAsia" w:cstheme="majorBidi"/>
      <w:color w:val="272727" w:themeColor="text1" w:themeTint="D8"/>
    </w:rPr>
  </w:style>
  <w:style w:type="paragraph" w:styleId="Title">
    <w:name w:val="Title"/>
    <w:basedOn w:val="Normal"/>
    <w:next w:val="Normal"/>
    <w:link w:val="TitleChar"/>
    <w:uiPriority w:val="10"/>
    <w:qFormat/>
    <w:rsid w:val="00772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3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3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3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3CC"/>
    <w:pPr>
      <w:spacing w:before="160"/>
      <w:jc w:val="center"/>
    </w:pPr>
    <w:rPr>
      <w:i/>
      <w:iCs/>
      <w:color w:val="404040" w:themeColor="text1" w:themeTint="BF"/>
    </w:rPr>
  </w:style>
  <w:style w:type="character" w:customStyle="1" w:styleId="QuoteChar">
    <w:name w:val="Quote Char"/>
    <w:basedOn w:val="DefaultParagraphFont"/>
    <w:link w:val="Quote"/>
    <w:uiPriority w:val="29"/>
    <w:rsid w:val="007723CC"/>
    <w:rPr>
      <w:i/>
      <w:iCs/>
      <w:color w:val="404040" w:themeColor="text1" w:themeTint="BF"/>
    </w:rPr>
  </w:style>
  <w:style w:type="paragraph" w:styleId="ListParagraph">
    <w:name w:val="List Paragraph"/>
    <w:basedOn w:val="Normal"/>
    <w:uiPriority w:val="34"/>
    <w:qFormat/>
    <w:rsid w:val="007723CC"/>
    <w:pPr>
      <w:ind w:left="720"/>
      <w:contextualSpacing/>
    </w:pPr>
  </w:style>
  <w:style w:type="character" w:styleId="IntenseEmphasis">
    <w:name w:val="Intense Emphasis"/>
    <w:basedOn w:val="DefaultParagraphFont"/>
    <w:uiPriority w:val="21"/>
    <w:qFormat/>
    <w:rsid w:val="007723CC"/>
    <w:rPr>
      <w:i/>
      <w:iCs/>
      <w:color w:val="0F4761" w:themeColor="accent1" w:themeShade="BF"/>
    </w:rPr>
  </w:style>
  <w:style w:type="paragraph" w:styleId="IntenseQuote">
    <w:name w:val="Intense Quote"/>
    <w:basedOn w:val="Normal"/>
    <w:next w:val="Normal"/>
    <w:link w:val="IntenseQuoteChar"/>
    <w:uiPriority w:val="30"/>
    <w:qFormat/>
    <w:rsid w:val="007723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3CC"/>
    <w:rPr>
      <w:i/>
      <w:iCs/>
      <w:color w:val="0F4761" w:themeColor="accent1" w:themeShade="BF"/>
    </w:rPr>
  </w:style>
  <w:style w:type="character" w:styleId="IntenseReference">
    <w:name w:val="Intense Reference"/>
    <w:basedOn w:val="DefaultParagraphFont"/>
    <w:uiPriority w:val="32"/>
    <w:qFormat/>
    <w:rsid w:val="007723CC"/>
    <w:rPr>
      <w:b/>
      <w:bCs/>
      <w:smallCaps/>
      <w:color w:val="0F4761" w:themeColor="accent1" w:themeShade="BF"/>
      <w:spacing w:val="5"/>
    </w:rPr>
  </w:style>
  <w:style w:type="character" w:styleId="Hyperlink">
    <w:name w:val="Hyperlink"/>
    <w:basedOn w:val="DefaultParagraphFont"/>
    <w:uiPriority w:val="99"/>
    <w:unhideWhenUsed/>
    <w:rsid w:val="00F44A1F"/>
    <w:rPr>
      <w:color w:val="467886" w:themeColor="hyperlink"/>
      <w:u w:val="single"/>
    </w:rPr>
  </w:style>
  <w:style w:type="character" w:styleId="UnresolvedMention">
    <w:name w:val="Unresolved Mention"/>
    <w:basedOn w:val="DefaultParagraphFont"/>
    <w:uiPriority w:val="99"/>
    <w:semiHidden/>
    <w:unhideWhenUsed/>
    <w:rsid w:val="00F44A1F"/>
    <w:rPr>
      <w:color w:val="605E5C"/>
      <w:shd w:val="clear" w:color="auto" w:fill="E1DFDD"/>
    </w:rPr>
  </w:style>
  <w:style w:type="table" w:customStyle="1" w:styleId="TableGrid">
    <w:name w:val="TableGrid"/>
    <w:rsid w:val="002309A1"/>
    <w:pPr>
      <w:spacing w:after="0" w:line="240" w:lineRule="auto"/>
    </w:pPr>
    <w:rPr>
      <w:rFonts w:eastAsia="MS PGothic"/>
      <w:kern w:val="0"/>
      <w:lang w:eastAsia="en-GB"/>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3D02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2E2"/>
  </w:style>
  <w:style w:type="paragraph" w:styleId="Footer">
    <w:name w:val="footer"/>
    <w:basedOn w:val="Normal"/>
    <w:link w:val="FooterChar"/>
    <w:uiPriority w:val="99"/>
    <w:unhideWhenUsed/>
    <w:rsid w:val="003D02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2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5229</Words>
  <Characters>32892</Characters>
  <Application>Microsoft Office Word</Application>
  <DocSecurity>0</DocSecurity>
  <Lines>539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WESTLAKE, Zara</dc:creator>
  <cp:keywords/>
  <dc:description/>
  <cp:lastModifiedBy>WESTLAKE, Zara</cp:lastModifiedBy>
  <cp:revision>2</cp:revision>
  <dcterms:created xsi:type="dcterms:W3CDTF">2025-12-08T23:53:00Z</dcterms:created>
  <dcterms:modified xsi:type="dcterms:W3CDTF">2025-12-08T23:53:00Z</dcterms:modified>
</cp:coreProperties>
</file>