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4898492"/>
        <w:docPartObj>
          <w:docPartGallery w:val="Cover Pages"/>
          <w:docPartUnique/>
        </w:docPartObj>
      </w:sdtPr>
      <w:sdtEndPr>
        <w:rPr>
          <w:rFonts w:ascii="Arial" w:hAnsi="Arial" w:cs="Arial"/>
          <w:b/>
          <w:bCs/>
        </w:rPr>
      </w:sdtEndPr>
      <w:sdtContent>
        <w:p w14:paraId="72B7F837" w14:textId="1C9E9DF8" w:rsidR="00C379FE" w:rsidRDefault="00C379FE">
          <w:r>
            <w:rPr>
              <w:noProof/>
            </w:rPr>
            <mc:AlternateContent>
              <mc:Choice Requires="wpg">
                <w:drawing>
                  <wp:anchor distT="0" distB="0" distL="114300" distR="114300" simplePos="0" relativeHeight="251662336" behindDoc="0" locked="0" layoutInCell="1" allowOverlap="1" wp14:anchorId="16BA4D45" wp14:editId="04330A2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1065C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74AF840F" w14:textId="0CA09B30" w:rsidR="00996902" w:rsidRPr="00652683" w:rsidRDefault="00996902" w:rsidP="00996902">
          <w:pPr>
            <w:spacing w:line="360" w:lineRule="auto"/>
            <w:rPr>
              <w:rFonts w:ascii="Arial" w:hAnsi="Arial" w:cs="Arial"/>
              <w:noProof/>
              <w:color w:val="000000" w:themeColor="text1"/>
              <w:sz w:val="24"/>
              <w:szCs w:val="24"/>
            </w:rPr>
          </w:pPr>
          <w:r w:rsidRPr="00652683">
            <w:rPr>
              <w:rFonts w:ascii="Arial" w:hAnsi="Arial" w:cs="Arial"/>
              <w:b/>
              <w:bCs/>
              <w:noProof/>
              <w:color w:val="000000" w:themeColor="text1"/>
              <w:sz w:val="28"/>
              <w:szCs w:val="28"/>
            </w:rPr>
            <w:t>Student number</w:t>
          </w:r>
          <w:r w:rsidRPr="00652683">
            <w:rPr>
              <w:rFonts w:ascii="Arial" w:hAnsi="Arial" w:cs="Arial"/>
              <w:noProof/>
              <w:color w:val="000000" w:themeColor="text1"/>
              <w:sz w:val="28"/>
              <w:szCs w:val="28"/>
            </w:rPr>
            <w:t xml:space="preserve">: </w:t>
          </w:r>
          <w:r w:rsidRPr="00652683">
            <w:rPr>
              <w:rFonts w:ascii="Arial" w:hAnsi="Arial" w:cs="Arial"/>
              <w:noProof/>
              <w:color w:val="000000" w:themeColor="text1"/>
              <w:sz w:val="24"/>
              <w:szCs w:val="24"/>
            </w:rPr>
            <w:t>2439423</w:t>
          </w:r>
        </w:p>
        <w:p w14:paraId="0A5707BB" w14:textId="77777777" w:rsidR="00996902" w:rsidRDefault="00996902" w:rsidP="00996902">
          <w:pPr>
            <w:spacing w:line="360" w:lineRule="auto"/>
            <w:jc w:val="center"/>
            <w:rPr>
              <w:rFonts w:ascii="Arial" w:hAnsi="Arial" w:cs="Arial"/>
              <w:b/>
              <w:bCs/>
              <w:noProof/>
              <w:color w:val="000000" w:themeColor="text1"/>
              <w:sz w:val="28"/>
              <w:szCs w:val="28"/>
            </w:rPr>
          </w:pPr>
        </w:p>
        <w:p w14:paraId="214E1C78" w14:textId="77777777" w:rsidR="00E52236" w:rsidRDefault="00E52236" w:rsidP="00996902">
          <w:pPr>
            <w:spacing w:line="360" w:lineRule="auto"/>
            <w:jc w:val="center"/>
            <w:rPr>
              <w:rFonts w:ascii="Arial" w:hAnsi="Arial" w:cs="Arial"/>
              <w:b/>
              <w:bCs/>
              <w:noProof/>
              <w:color w:val="000000" w:themeColor="text1"/>
              <w:sz w:val="28"/>
              <w:szCs w:val="28"/>
            </w:rPr>
          </w:pPr>
        </w:p>
        <w:p w14:paraId="3D73368F" w14:textId="77777777" w:rsidR="00E52236" w:rsidRDefault="00E52236" w:rsidP="00996902">
          <w:pPr>
            <w:spacing w:line="360" w:lineRule="auto"/>
            <w:jc w:val="center"/>
            <w:rPr>
              <w:rFonts w:ascii="Arial" w:hAnsi="Arial" w:cs="Arial"/>
              <w:b/>
              <w:bCs/>
              <w:noProof/>
              <w:color w:val="000000" w:themeColor="text1"/>
              <w:sz w:val="28"/>
              <w:szCs w:val="28"/>
            </w:rPr>
          </w:pPr>
        </w:p>
        <w:p w14:paraId="1BE5E16E" w14:textId="631B0119" w:rsidR="00996902" w:rsidRPr="00996902" w:rsidRDefault="00E91BBF" w:rsidP="00996902">
          <w:pPr>
            <w:spacing w:line="360" w:lineRule="auto"/>
            <w:jc w:val="center"/>
            <w:rPr>
              <w:rFonts w:ascii="Arial" w:hAnsi="Arial" w:cs="Arial"/>
              <w:noProof/>
              <w:color w:val="000000" w:themeColor="text1"/>
              <w:sz w:val="24"/>
              <w:szCs w:val="24"/>
            </w:rPr>
          </w:pPr>
          <w:r>
            <w:rPr>
              <w:rFonts w:ascii="Arial" w:hAnsi="Arial" w:cs="Arial"/>
              <w:b/>
              <w:bCs/>
              <w:noProof/>
              <w:color w:val="000000" w:themeColor="text1"/>
              <w:sz w:val="28"/>
              <w:szCs w:val="28"/>
            </w:rPr>
            <w:t>Student n</w:t>
          </w:r>
          <w:r w:rsidR="00996902">
            <w:rPr>
              <w:rFonts w:ascii="Arial" w:hAnsi="Arial" w:cs="Arial"/>
              <w:b/>
              <w:bCs/>
              <w:noProof/>
              <w:color w:val="000000" w:themeColor="text1"/>
              <w:sz w:val="28"/>
              <w:szCs w:val="28"/>
            </w:rPr>
            <w:t>ame</w:t>
          </w:r>
          <w:r w:rsidR="00996902" w:rsidRPr="00996902">
            <w:rPr>
              <w:rFonts w:ascii="Arial" w:hAnsi="Arial" w:cs="Arial"/>
              <w:b/>
              <w:bCs/>
              <w:noProof/>
              <w:color w:val="000000" w:themeColor="text1"/>
              <w:sz w:val="24"/>
              <w:szCs w:val="24"/>
            </w:rPr>
            <w:t xml:space="preserve">: </w:t>
          </w:r>
          <w:r w:rsidR="00996902" w:rsidRPr="00996902">
            <w:rPr>
              <w:rFonts w:ascii="Arial" w:hAnsi="Arial" w:cs="Arial"/>
              <w:noProof/>
              <w:color w:val="000000" w:themeColor="text1"/>
              <w:sz w:val="24"/>
              <w:szCs w:val="24"/>
            </w:rPr>
            <w:t>Ahlam Bchini</w:t>
          </w:r>
        </w:p>
        <w:p w14:paraId="44EF9E9E" w14:textId="47D044A2" w:rsidR="00996902" w:rsidRPr="00652683" w:rsidRDefault="00996902" w:rsidP="00996902">
          <w:pPr>
            <w:spacing w:line="360" w:lineRule="auto"/>
            <w:jc w:val="center"/>
            <w:rPr>
              <w:rFonts w:ascii="Arial" w:hAnsi="Arial" w:cs="Arial"/>
              <w:noProof/>
              <w:color w:val="000000" w:themeColor="text1"/>
              <w:sz w:val="24"/>
              <w:szCs w:val="24"/>
            </w:rPr>
          </w:pPr>
          <w:r w:rsidRPr="00652683">
            <w:rPr>
              <w:rFonts w:ascii="Arial" w:hAnsi="Arial" w:cs="Arial"/>
              <w:b/>
              <w:bCs/>
              <w:noProof/>
              <w:color w:val="000000" w:themeColor="text1"/>
              <w:sz w:val="28"/>
              <w:szCs w:val="28"/>
            </w:rPr>
            <w:t>Student number</w:t>
          </w:r>
          <w:r w:rsidRPr="00652683">
            <w:rPr>
              <w:rFonts w:ascii="Arial" w:hAnsi="Arial" w:cs="Arial"/>
              <w:noProof/>
              <w:color w:val="000000" w:themeColor="text1"/>
              <w:sz w:val="28"/>
              <w:szCs w:val="28"/>
            </w:rPr>
            <w:t xml:space="preserve">: </w:t>
          </w:r>
          <w:r w:rsidRPr="00652683">
            <w:rPr>
              <w:rFonts w:ascii="Arial" w:hAnsi="Arial" w:cs="Arial"/>
              <w:noProof/>
              <w:color w:val="000000" w:themeColor="text1"/>
              <w:sz w:val="24"/>
              <w:szCs w:val="24"/>
            </w:rPr>
            <w:t>2439423</w:t>
          </w:r>
        </w:p>
        <w:p w14:paraId="37A4F628" w14:textId="77777777" w:rsidR="00996902" w:rsidRPr="00652683" w:rsidRDefault="00996902" w:rsidP="00996902">
          <w:pPr>
            <w:spacing w:line="360" w:lineRule="auto"/>
            <w:jc w:val="center"/>
            <w:rPr>
              <w:rFonts w:ascii="Arial" w:hAnsi="Arial" w:cs="Arial"/>
              <w:noProof/>
              <w:sz w:val="24"/>
              <w:szCs w:val="24"/>
            </w:rPr>
          </w:pPr>
          <w:r w:rsidRPr="00652683">
            <w:rPr>
              <w:rFonts w:ascii="Arial" w:hAnsi="Arial" w:cs="Arial"/>
              <w:b/>
              <w:bCs/>
              <w:noProof/>
              <w:color w:val="000000" w:themeColor="text1"/>
              <w:sz w:val="28"/>
              <w:szCs w:val="28"/>
            </w:rPr>
            <w:t>Module code</w:t>
          </w:r>
          <w:r w:rsidRPr="00652683">
            <w:rPr>
              <w:rFonts w:ascii="Arial" w:hAnsi="Arial" w:cs="Arial"/>
              <w:b/>
              <w:bCs/>
              <w:noProof/>
              <w:sz w:val="24"/>
              <w:szCs w:val="24"/>
            </w:rPr>
            <w:t>:</w:t>
          </w:r>
          <w:r w:rsidRPr="00652683">
            <w:rPr>
              <w:rFonts w:ascii="Arial" w:hAnsi="Arial" w:cs="Arial"/>
              <w:noProof/>
              <w:sz w:val="24"/>
              <w:szCs w:val="24"/>
            </w:rPr>
            <w:t xml:space="preserve"> LCHS4003</w:t>
          </w:r>
        </w:p>
        <w:p w14:paraId="4E841F71" w14:textId="77777777" w:rsidR="00996902" w:rsidRPr="00652683" w:rsidRDefault="00996902" w:rsidP="00996902">
          <w:pPr>
            <w:spacing w:line="360" w:lineRule="auto"/>
            <w:jc w:val="center"/>
            <w:rPr>
              <w:rFonts w:ascii="Arial" w:hAnsi="Arial" w:cs="Arial"/>
              <w:noProof/>
              <w:sz w:val="28"/>
              <w:szCs w:val="28"/>
            </w:rPr>
          </w:pPr>
          <w:r w:rsidRPr="00652683">
            <w:rPr>
              <w:rFonts w:ascii="Arial" w:hAnsi="Arial" w:cs="Arial"/>
              <w:b/>
              <w:bCs/>
              <w:noProof/>
              <w:sz w:val="28"/>
              <w:szCs w:val="28"/>
            </w:rPr>
            <w:t>Module name:</w:t>
          </w:r>
          <w:r w:rsidRPr="00652683">
            <w:rPr>
              <w:rFonts w:ascii="Arial" w:hAnsi="Arial" w:cs="Arial"/>
              <w:noProof/>
              <w:sz w:val="28"/>
              <w:szCs w:val="28"/>
            </w:rPr>
            <w:t xml:space="preserve"> </w:t>
          </w:r>
          <w:r w:rsidRPr="00652683">
            <w:rPr>
              <w:rFonts w:ascii="Arial" w:hAnsi="Arial" w:cs="Arial"/>
              <w:noProof/>
              <w:sz w:val="24"/>
              <w:szCs w:val="24"/>
            </w:rPr>
            <w:t>Introduction to Health and Social Care</w:t>
          </w:r>
        </w:p>
        <w:p w14:paraId="3DB713C2" w14:textId="77777777" w:rsidR="00996902" w:rsidRPr="00652683" w:rsidRDefault="00996902" w:rsidP="00996902">
          <w:pPr>
            <w:spacing w:line="360" w:lineRule="auto"/>
            <w:jc w:val="center"/>
            <w:rPr>
              <w:rFonts w:ascii="Arial" w:hAnsi="Arial" w:cs="Arial"/>
              <w:noProof/>
              <w:sz w:val="28"/>
              <w:szCs w:val="28"/>
            </w:rPr>
          </w:pPr>
          <w:r w:rsidRPr="00652683">
            <w:rPr>
              <w:rFonts w:ascii="Arial" w:hAnsi="Arial" w:cs="Arial"/>
              <w:b/>
              <w:bCs/>
              <w:noProof/>
              <w:sz w:val="28"/>
              <w:szCs w:val="28"/>
            </w:rPr>
            <w:t>Lecturer’s name:</w:t>
          </w:r>
          <w:r w:rsidRPr="00652683">
            <w:rPr>
              <w:rFonts w:ascii="Arial" w:hAnsi="Arial" w:cs="Arial"/>
              <w:noProof/>
              <w:sz w:val="28"/>
              <w:szCs w:val="28"/>
            </w:rPr>
            <w:t xml:space="preserve"> </w:t>
          </w:r>
          <w:r w:rsidRPr="00652683">
            <w:rPr>
              <w:rFonts w:ascii="Arial" w:hAnsi="Arial" w:cs="Arial"/>
              <w:noProof/>
              <w:sz w:val="24"/>
              <w:szCs w:val="24"/>
            </w:rPr>
            <w:t>Dr Aichat Bakre</w:t>
          </w:r>
        </w:p>
        <w:p w14:paraId="6F0CC666" w14:textId="60D4577C" w:rsidR="00996902" w:rsidRDefault="00996902" w:rsidP="00996902">
          <w:pPr>
            <w:spacing w:line="360" w:lineRule="auto"/>
            <w:jc w:val="center"/>
            <w:rPr>
              <w:rFonts w:ascii="Arial" w:hAnsi="Arial" w:cs="Arial"/>
              <w:noProof/>
              <w:sz w:val="24"/>
              <w:szCs w:val="24"/>
            </w:rPr>
          </w:pPr>
          <w:r w:rsidRPr="00652683">
            <w:rPr>
              <w:rFonts w:ascii="Arial" w:hAnsi="Arial" w:cs="Arial"/>
              <w:b/>
              <w:bCs/>
              <w:noProof/>
              <w:sz w:val="28"/>
              <w:szCs w:val="28"/>
            </w:rPr>
            <w:t>assignment title</w:t>
          </w:r>
          <w:r w:rsidRPr="00652683">
            <w:rPr>
              <w:rFonts w:ascii="Arial" w:hAnsi="Arial" w:cs="Arial"/>
              <w:noProof/>
              <w:sz w:val="24"/>
              <w:szCs w:val="24"/>
            </w:rPr>
            <w:t>: written assignmen</w:t>
          </w:r>
          <w:r w:rsidR="00E845E3">
            <w:rPr>
              <w:rFonts w:ascii="Arial" w:hAnsi="Arial" w:cs="Arial"/>
              <w:noProof/>
              <w:sz w:val="24"/>
              <w:szCs w:val="24"/>
            </w:rPr>
            <w:t>t</w:t>
          </w:r>
        </w:p>
        <w:p w14:paraId="7C51A568" w14:textId="09E9F29A" w:rsidR="00996902" w:rsidRDefault="00996902" w:rsidP="00996902">
          <w:pPr>
            <w:spacing w:line="360" w:lineRule="auto"/>
            <w:jc w:val="center"/>
            <w:rPr>
              <w:rFonts w:ascii="Arial" w:hAnsi="Arial" w:cs="Arial"/>
              <w:noProof/>
              <w:sz w:val="24"/>
              <w:szCs w:val="24"/>
            </w:rPr>
          </w:pPr>
          <w:r w:rsidRPr="00652683">
            <w:rPr>
              <w:rFonts w:ascii="Arial" w:hAnsi="Arial" w:cs="Arial"/>
              <w:b/>
              <w:bCs/>
              <w:noProof/>
              <w:sz w:val="28"/>
              <w:szCs w:val="28"/>
            </w:rPr>
            <w:t>Date:</w:t>
          </w:r>
          <w:r w:rsidRPr="00652683">
            <w:rPr>
              <w:rFonts w:ascii="Arial" w:hAnsi="Arial" w:cs="Arial"/>
              <w:noProof/>
              <w:color w:val="EE0000"/>
              <w:sz w:val="28"/>
              <w:szCs w:val="28"/>
            </w:rPr>
            <w:t xml:space="preserve"> </w:t>
          </w:r>
          <w:r w:rsidRPr="00652683">
            <w:rPr>
              <w:rFonts w:ascii="Arial" w:hAnsi="Arial" w:cs="Arial"/>
              <w:noProof/>
              <w:sz w:val="24"/>
              <w:szCs w:val="24"/>
            </w:rPr>
            <w:t>15th November 2025</w:t>
          </w:r>
        </w:p>
        <w:p w14:paraId="07AA9F99" w14:textId="77777777" w:rsidR="00996902" w:rsidRDefault="00996902" w:rsidP="00996902">
          <w:pPr>
            <w:spacing w:line="360" w:lineRule="auto"/>
            <w:jc w:val="center"/>
            <w:rPr>
              <w:rFonts w:ascii="Arial" w:hAnsi="Arial" w:cs="Arial"/>
              <w:noProof/>
              <w:sz w:val="24"/>
              <w:szCs w:val="24"/>
            </w:rPr>
          </w:pPr>
        </w:p>
        <w:p w14:paraId="6C4CAAC1" w14:textId="77777777" w:rsidR="00996902" w:rsidRDefault="00996902" w:rsidP="00996902">
          <w:pPr>
            <w:spacing w:line="360" w:lineRule="auto"/>
            <w:jc w:val="center"/>
            <w:rPr>
              <w:rFonts w:ascii="Arial" w:hAnsi="Arial" w:cs="Arial"/>
              <w:noProof/>
              <w:sz w:val="24"/>
              <w:szCs w:val="24"/>
            </w:rPr>
          </w:pPr>
        </w:p>
        <w:p w14:paraId="28D2F966" w14:textId="77777777" w:rsidR="00996902" w:rsidRDefault="00996902" w:rsidP="00996902">
          <w:pPr>
            <w:spacing w:line="360" w:lineRule="auto"/>
            <w:jc w:val="center"/>
            <w:rPr>
              <w:rFonts w:ascii="Arial" w:hAnsi="Arial" w:cs="Arial"/>
              <w:noProof/>
              <w:sz w:val="24"/>
              <w:szCs w:val="24"/>
            </w:rPr>
          </w:pPr>
        </w:p>
        <w:p w14:paraId="37D9DEC5" w14:textId="77777777" w:rsidR="00996902" w:rsidRDefault="00996902" w:rsidP="00996902">
          <w:pPr>
            <w:spacing w:line="360" w:lineRule="auto"/>
            <w:jc w:val="center"/>
            <w:rPr>
              <w:rFonts w:ascii="Arial" w:hAnsi="Arial" w:cs="Arial"/>
              <w:noProof/>
              <w:sz w:val="24"/>
              <w:szCs w:val="24"/>
            </w:rPr>
          </w:pPr>
        </w:p>
        <w:p w14:paraId="1711E9A8" w14:textId="77777777" w:rsidR="00996902" w:rsidRPr="00996902" w:rsidRDefault="00996902" w:rsidP="00996902">
          <w:pPr>
            <w:spacing w:line="360" w:lineRule="auto"/>
            <w:jc w:val="center"/>
            <w:rPr>
              <w:rFonts w:ascii="Arial" w:hAnsi="Arial" w:cs="Arial"/>
              <w:noProof/>
              <w:sz w:val="24"/>
              <w:szCs w:val="24"/>
            </w:rPr>
          </w:pPr>
        </w:p>
        <w:p w14:paraId="60B6A973" w14:textId="094FD066" w:rsidR="00C379FE" w:rsidRDefault="008E295E">
          <w:pPr>
            <w:rPr>
              <w:rFonts w:ascii="Arial" w:hAnsi="Arial" w:cs="Arial"/>
              <w:b/>
              <w:bCs/>
            </w:rPr>
          </w:pPr>
        </w:p>
      </w:sdtContent>
    </w:sdt>
    <w:sdt>
      <w:sdtPr>
        <w:rPr>
          <w:rFonts w:asciiTheme="minorHAnsi" w:eastAsiaTheme="minorHAnsi" w:hAnsiTheme="minorHAnsi" w:cstheme="minorBidi"/>
          <w:color w:val="auto"/>
          <w:kern w:val="2"/>
          <w:sz w:val="22"/>
          <w:szCs w:val="22"/>
          <w:lang w:eastAsia="en-US"/>
          <w14:ligatures w14:val="standardContextual"/>
        </w:rPr>
        <w:id w:val="-125323853"/>
        <w:docPartObj>
          <w:docPartGallery w:val="Table of Contents"/>
          <w:docPartUnique/>
        </w:docPartObj>
      </w:sdtPr>
      <w:sdtEndPr/>
      <w:sdtContent>
        <w:p w14:paraId="3BD04517" w14:textId="77777777" w:rsidR="00996902" w:rsidRDefault="00996902" w:rsidP="00EF7A53">
          <w:pPr>
            <w:pStyle w:val="TOCHeading"/>
          </w:pPr>
        </w:p>
        <w:p w14:paraId="0C01E3E8" w14:textId="77777777" w:rsidR="00996902" w:rsidRDefault="00996902" w:rsidP="00EF7A53">
          <w:pPr>
            <w:pStyle w:val="TOCHeading"/>
          </w:pPr>
        </w:p>
        <w:p w14:paraId="34C2CA0E" w14:textId="2A379213" w:rsidR="00996902" w:rsidRPr="00E52236" w:rsidRDefault="004729EB" w:rsidP="00EF7A53">
          <w:pPr>
            <w:pStyle w:val="TOCHeading"/>
            <w:rPr>
              <w:b/>
              <w:bCs/>
            </w:rPr>
          </w:pPr>
          <w:r w:rsidRPr="00E52236">
            <w:rPr>
              <w:b/>
              <w:bCs/>
            </w:rPr>
            <w:t xml:space="preserve"> </w:t>
          </w:r>
          <w:r w:rsidR="00C95962">
            <w:rPr>
              <w:b/>
              <w:bCs/>
            </w:rPr>
            <w:t xml:space="preserve">Table of </w:t>
          </w:r>
          <w:r w:rsidRPr="00E52236">
            <w:rPr>
              <w:b/>
              <w:bCs/>
            </w:rPr>
            <w:t>C</w:t>
          </w:r>
          <w:r w:rsidR="00996902" w:rsidRPr="00E52236">
            <w:rPr>
              <w:b/>
              <w:bCs/>
            </w:rPr>
            <w:t>ontents</w:t>
          </w:r>
        </w:p>
        <w:p w14:paraId="3448E578" w14:textId="77777777" w:rsidR="00E52236" w:rsidRDefault="00E52236" w:rsidP="004729EB">
          <w:pPr>
            <w:pStyle w:val="TOCHeading"/>
            <w:spacing w:line="360" w:lineRule="auto"/>
            <w:rPr>
              <w:rFonts w:asciiTheme="minorHAnsi" w:eastAsiaTheme="minorHAnsi" w:hAnsiTheme="minorHAnsi" w:cstheme="minorBidi"/>
              <w:color w:val="auto"/>
              <w:kern w:val="2"/>
              <w:sz w:val="22"/>
              <w:szCs w:val="22"/>
              <w:lang w:eastAsia="en-US"/>
              <w14:ligatures w14:val="standardContextual"/>
            </w:rPr>
          </w:pPr>
        </w:p>
        <w:p w14:paraId="401951A9" w14:textId="5590EFB5" w:rsidR="00EF7A53" w:rsidRPr="00EF7A53" w:rsidRDefault="00EF7A53" w:rsidP="004729EB">
          <w:pPr>
            <w:pStyle w:val="TOCHeading"/>
            <w:spacing w:line="360" w:lineRule="auto"/>
            <w:rPr>
              <w:rFonts w:asciiTheme="minorHAnsi" w:eastAsiaTheme="minorHAnsi" w:hAnsiTheme="minorHAnsi" w:cstheme="minorBidi"/>
              <w:color w:val="auto"/>
              <w:kern w:val="2"/>
              <w:sz w:val="22"/>
              <w:szCs w:val="22"/>
              <w:lang w:eastAsia="en-US"/>
              <w14:ligatures w14:val="standardContextual"/>
            </w:rPr>
          </w:pPr>
          <w:r w:rsidRPr="00EF7A53">
            <w:rPr>
              <w:rFonts w:asciiTheme="minorHAnsi" w:eastAsiaTheme="minorHAnsi" w:hAnsiTheme="minorHAnsi" w:cstheme="minorBidi"/>
              <w:color w:val="auto"/>
              <w:kern w:val="2"/>
              <w:sz w:val="22"/>
              <w:szCs w:val="22"/>
              <w:lang w:eastAsia="en-US"/>
              <w14:ligatures w14:val="standardContextual"/>
            </w:rPr>
            <w:t xml:space="preserve">1.  </w:t>
          </w:r>
          <w:r w:rsidR="00F21130">
            <w:rPr>
              <w:rFonts w:asciiTheme="minorHAnsi" w:eastAsiaTheme="minorHAnsi" w:hAnsiTheme="minorHAnsi" w:cstheme="minorBidi"/>
              <w:color w:val="auto"/>
              <w:kern w:val="2"/>
              <w:sz w:val="22"/>
              <w:szCs w:val="22"/>
              <w:lang w:eastAsia="en-US"/>
              <w14:ligatures w14:val="standardContextual"/>
            </w:rPr>
            <w:t xml:space="preserve"> </w:t>
          </w:r>
          <w:r w:rsidRPr="00EF7A53">
            <w:rPr>
              <w:rFonts w:asciiTheme="minorHAnsi" w:eastAsiaTheme="minorHAnsi" w:hAnsiTheme="minorHAnsi" w:cstheme="minorBidi"/>
              <w:color w:val="auto"/>
              <w:kern w:val="2"/>
              <w:sz w:val="22"/>
              <w:szCs w:val="22"/>
              <w:lang w:eastAsia="en-US"/>
              <w14:ligatures w14:val="standardContextual"/>
            </w:rPr>
            <w:t>Introduction</w:t>
          </w:r>
          <w:r w:rsidR="00F21130">
            <w:rPr>
              <w:rFonts w:asciiTheme="minorHAnsi" w:eastAsiaTheme="minorHAnsi" w:hAnsiTheme="minorHAnsi" w:cstheme="minorBidi"/>
              <w:color w:val="auto"/>
              <w:kern w:val="2"/>
              <w:sz w:val="22"/>
              <w:szCs w:val="22"/>
              <w:lang w:eastAsia="en-US"/>
              <w14:ligatures w14:val="standardContextual"/>
            </w:rPr>
            <w:t xml:space="preserve"> ………………………………………………………………………………………………</w:t>
          </w:r>
          <w:r w:rsidR="004729EB">
            <w:rPr>
              <w:rFonts w:asciiTheme="minorHAnsi" w:eastAsiaTheme="minorHAnsi" w:hAnsiTheme="minorHAnsi" w:cstheme="minorBidi"/>
              <w:color w:val="auto"/>
              <w:kern w:val="2"/>
              <w:sz w:val="22"/>
              <w:szCs w:val="22"/>
              <w:lang w:eastAsia="en-US"/>
              <w14:ligatures w14:val="standardContextual"/>
            </w:rPr>
            <w:t>….</w:t>
          </w:r>
          <w:r w:rsidR="00996902">
            <w:rPr>
              <w:rFonts w:asciiTheme="minorHAnsi" w:eastAsiaTheme="minorHAnsi" w:hAnsiTheme="minorHAnsi" w:cstheme="minorBidi"/>
              <w:color w:val="auto"/>
              <w:kern w:val="2"/>
              <w:sz w:val="22"/>
              <w:szCs w:val="22"/>
              <w:lang w:eastAsia="en-US"/>
              <w14:ligatures w14:val="standardContextual"/>
            </w:rPr>
            <w:t>2</w:t>
          </w:r>
        </w:p>
        <w:p w14:paraId="265EA33A" w14:textId="64B70D2E" w:rsidR="00EF7A53" w:rsidRPr="00EF7A53" w:rsidRDefault="00EF7A53" w:rsidP="004729EB">
          <w:pPr>
            <w:pStyle w:val="TOCHeading"/>
            <w:spacing w:line="360" w:lineRule="auto"/>
            <w:rPr>
              <w:rFonts w:asciiTheme="minorHAnsi" w:eastAsiaTheme="minorHAnsi" w:hAnsiTheme="minorHAnsi" w:cstheme="minorBidi"/>
              <w:color w:val="auto"/>
              <w:kern w:val="2"/>
              <w:sz w:val="22"/>
              <w:szCs w:val="22"/>
              <w:lang w:eastAsia="en-US"/>
              <w14:ligatures w14:val="standardContextual"/>
            </w:rPr>
          </w:pPr>
          <w:r w:rsidRPr="00EF7A53">
            <w:rPr>
              <w:rFonts w:asciiTheme="minorHAnsi" w:eastAsiaTheme="minorHAnsi" w:hAnsiTheme="minorHAnsi" w:cstheme="minorBidi"/>
              <w:color w:val="auto"/>
              <w:kern w:val="2"/>
              <w:sz w:val="22"/>
              <w:szCs w:val="22"/>
              <w:lang w:eastAsia="en-US"/>
              <w14:ligatures w14:val="standardContextual"/>
            </w:rPr>
            <w:t xml:space="preserve">2.  </w:t>
          </w:r>
          <w:r w:rsidR="00F21130">
            <w:rPr>
              <w:rFonts w:asciiTheme="minorHAnsi" w:eastAsiaTheme="minorHAnsi" w:hAnsiTheme="minorHAnsi" w:cstheme="minorBidi"/>
              <w:color w:val="auto"/>
              <w:kern w:val="2"/>
              <w:sz w:val="22"/>
              <w:szCs w:val="22"/>
              <w:lang w:eastAsia="en-US"/>
              <w14:ligatures w14:val="standardContextual"/>
            </w:rPr>
            <w:t xml:space="preserve"> </w:t>
          </w:r>
          <w:r w:rsidRPr="00EF7A53">
            <w:rPr>
              <w:rFonts w:asciiTheme="minorHAnsi" w:eastAsiaTheme="minorHAnsi" w:hAnsiTheme="minorHAnsi" w:cstheme="minorBidi"/>
              <w:color w:val="auto"/>
              <w:kern w:val="2"/>
              <w:sz w:val="22"/>
              <w:szCs w:val="22"/>
              <w:lang w:eastAsia="en-US"/>
              <w14:ligatures w14:val="standardContextual"/>
            </w:rPr>
            <w:t>Effective Communication</w:t>
          </w:r>
          <w:r w:rsidR="00F21130">
            <w:rPr>
              <w:rFonts w:asciiTheme="minorHAnsi" w:eastAsiaTheme="minorHAnsi" w:hAnsiTheme="minorHAnsi" w:cstheme="minorBidi"/>
              <w:color w:val="auto"/>
              <w:kern w:val="2"/>
              <w:sz w:val="22"/>
              <w:szCs w:val="22"/>
              <w:lang w:eastAsia="en-US"/>
              <w14:ligatures w14:val="standardContextual"/>
            </w:rPr>
            <w:t xml:space="preserve"> …………………………………………………………………</w:t>
          </w:r>
          <w:r w:rsidR="004729EB">
            <w:rPr>
              <w:rFonts w:asciiTheme="minorHAnsi" w:eastAsiaTheme="minorHAnsi" w:hAnsiTheme="minorHAnsi" w:cstheme="minorBidi"/>
              <w:color w:val="auto"/>
              <w:kern w:val="2"/>
              <w:sz w:val="22"/>
              <w:szCs w:val="22"/>
              <w:lang w:eastAsia="en-US"/>
              <w14:ligatures w14:val="standardContextual"/>
            </w:rPr>
            <w:t>….</w:t>
          </w:r>
          <w:r w:rsidR="00F21130">
            <w:rPr>
              <w:rFonts w:asciiTheme="minorHAnsi" w:eastAsiaTheme="minorHAnsi" w:hAnsiTheme="minorHAnsi" w:cstheme="minorBidi"/>
              <w:color w:val="auto"/>
              <w:kern w:val="2"/>
              <w:sz w:val="22"/>
              <w:szCs w:val="22"/>
              <w:lang w:eastAsia="en-US"/>
              <w14:ligatures w14:val="standardContextual"/>
            </w:rPr>
            <w:t>………</w:t>
          </w:r>
          <w:r w:rsidR="004729EB">
            <w:rPr>
              <w:rFonts w:asciiTheme="minorHAnsi" w:eastAsiaTheme="minorHAnsi" w:hAnsiTheme="minorHAnsi" w:cstheme="minorBidi"/>
              <w:color w:val="auto"/>
              <w:kern w:val="2"/>
              <w:sz w:val="22"/>
              <w:szCs w:val="22"/>
              <w:lang w:eastAsia="en-US"/>
              <w14:ligatures w14:val="standardContextual"/>
            </w:rPr>
            <w:t>….</w:t>
          </w:r>
          <w:r w:rsidR="00173F34">
            <w:rPr>
              <w:rFonts w:asciiTheme="minorHAnsi" w:eastAsiaTheme="minorHAnsi" w:hAnsiTheme="minorHAnsi" w:cstheme="minorBidi"/>
              <w:color w:val="auto"/>
              <w:kern w:val="2"/>
              <w:sz w:val="22"/>
              <w:szCs w:val="22"/>
              <w:lang w:eastAsia="en-US"/>
              <w14:ligatures w14:val="standardContextual"/>
            </w:rPr>
            <w:t>2</w:t>
          </w:r>
        </w:p>
        <w:p w14:paraId="17A8B1F4" w14:textId="7068493F" w:rsidR="00EF7A53" w:rsidRPr="00EF7A53" w:rsidRDefault="00EF7A53" w:rsidP="004729EB">
          <w:pPr>
            <w:pStyle w:val="TOCHeading"/>
            <w:spacing w:line="360" w:lineRule="auto"/>
            <w:rPr>
              <w:rFonts w:asciiTheme="minorHAnsi" w:eastAsiaTheme="minorHAnsi" w:hAnsiTheme="minorHAnsi" w:cstheme="minorBidi"/>
              <w:color w:val="auto"/>
              <w:kern w:val="2"/>
              <w:sz w:val="22"/>
              <w:szCs w:val="22"/>
              <w:lang w:eastAsia="en-US"/>
              <w14:ligatures w14:val="standardContextual"/>
            </w:rPr>
          </w:pPr>
          <w:r w:rsidRPr="00EF7A53">
            <w:rPr>
              <w:rFonts w:asciiTheme="minorHAnsi" w:eastAsiaTheme="minorHAnsi" w:hAnsiTheme="minorHAnsi" w:cstheme="minorBidi"/>
              <w:color w:val="auto"/>
              <w:kern w:val="2"/>
              <w:sz w:val="22"/>
              <w:szCs w:val="22"/>
              <w:lang w:eastAsia="en-US"/>
              <w14:ligatures w14:val="standardContextual"/>
            </w:rPr>
            <w:t xml:space="preserve">    </w:t>
          </w:r>
          <w:r w:rsidR="00F21130">
            <w:rPr>
              <w:rFonts w:asciiTheme="minorHAnsi" w:eastAsiaTheme="minorHAnsi" w:hAnsiTheme="minorHAnsi" w:cstheme="minorBidi"/>
              <w:color w:val="auto"/>
              <w:kern w:val="2"/>
              <w:sz w:val="22"/>
              <w:szCs w:val="22"/>
              <w:lang w:eastAsia="en-US"/>
              <w14:ligatures w14:val="standardContextual"/>
            </w:rPr>
            <w:t xml:space="preserve"> </w:t>
          </w:r>
          <w:r w:rsidRPr="00EF7A53">
            <w:rPr>
              <w:rFonts w:asciiTheme="minorHAnsi" w:eastAsiaTheme="minorHAnsi" w:hAnsiTheme="minorHAnsi" w:cstheme="minorBidi"/>
              <w:color w:val="auto"/>
              <w:kern w:val="2"/>
              <w:sz w:val="22"/>
              <w:szCs w:val="22"/>
              <w:lang w:eastAsia="en-US"/>
              <w14:ligatures w14:val="standardContextual"/>
            </w:rPr>
            <w:t xml:space="preserve">   Language Barriers</w:t>
          </w:r>
          <w:r w:rsidR="00F21130">
            <w:rPr>
              <w:rFonts w:asciiTheme="minorHAnsi" w:eastAsiaTheme="minorHAnsi" w:hAnsiTheme="minorHAnsi" w:cstheme="minorBidi"/>
              <w:color w:val="auto"/>
              <w:kern w:val="2"/>
              <w:sz w:val="22"/>
              <w:szCs w:val="22"/>
              <w:lang w:eastAsia="en-US"/>
              <w14:ligatures w14:val="standardContextual"/>
            </w:rPr>
            <w:t xml:space="preserve"> ………………………………………...…………………………………………</w:t>
          </w:r>
          <w:r w:rsidR="00173F34">
            <w:rPr>
              <w:rFonts w:asciiTheme="minorHAnsi" w:eastAsiaTheme="minorHAnsi" w:hAnsiTheme="minorHAnsi" w:cstheme="minorBidi"/>
              <w:color w:val="auto"/>
              <w:kern w:val="2"/>
              <w:sz w:val="22"/>
              <w:szCs w:val="22"/>
              <w:lang w:eastAsia="en-US"/>
              <w14:ligatures w14:val="standardContextual"/>
            </w:rPr>
            <w:t>…</w:t>
          </w:r>
          <w:r w:rsidR="004729EB">
            <w:rPr>
              <w:rFonts w:asciiTheme="minorHAnsi" w:eastAsiaTheme="minorHAnsi" w:hAnsiTheme="minorHAnsi" w:cstheme="minorBidi"/>
              <w:color w:val="auto"/>
              <w:kern w:val="2"/>
              <w:sz w:val="22"/>
              <w:szCs w:val="22"/>
              <w:lang w:eastAsia="en-US"/>
              <w14:ligatures w14:val="standardContextual"/>
            </w:rPr>
            <w:t>….</w:t>
          </w:r>
          <w:r w:rsidR="00996902">
            <w:rPr>
              <w:rFonts w:asciiTheme="minorHAnsi" w:eastAsiaTheme="minorHAnsi" w:hAnsiTheme="minorHAnsi" w:cstheme="minorBidi"/>
              <w:color w:val="auto"/>
              <w:kern w:val="2"/>
              <w:sz w:val="22"/>
              <w:szCs w:val="22"/>
              <w:lang w:eastAsia="en-US"/>
              <w14:ligatures w14:val="standardContextual"/>
            </w:rPr>
            <w:t>3</w:t>
          </w:r>
        </w:p>
        <w:p w14:paraId="3DBF94DD" w14:textId="775C0709" w:rsidR="00EF7A53" w:rsidRPr="00EF7A53" w:rsidRDefault="00EF7A53" w:rsidP="004729EB">
          <w:pPr>
            <w:pStyle w:val="TOCHeading"/>
            <w:spacing w:line="360" w:lineRule="auto"/>
            <w:rPr>
              <w:rFonts w:asciiTheme="minorHAnsi" w:eastAsiaTheme="minorHAnsi" w:hAnsiTheme="minorHAnsi" w:cstheme="minorBidi"/>
              <w:color w:val="auto"/>
              <w:kern w:val="2"/>
              <w:sz w:val="22"/>
              <w:szCs w:val="22"/>
              <w:lang w:eastAsia="en-US"/>
              <w14:ligatures w14:val="standardContextual"/>
            </w:rPr>
          </w:pPr>
          <w:r w:rsidRPr="00EF7A53">
            <w:rPr>
              <w:rFonts w:asciiTheme="minorHAnsi" w:eastAsiaTheme="minorHAnsi" w:hAnsiTheme="minorHAnsi" w:cstheme="minorBidi"/>
              <w:color w:val="auto"/>
              <w:kern w:val="2"/>
              <w:sz w:val="22"/>
              <w:szCs w:val="22"/>
              <w:lang w:eastAsia="en-US"/>
              <w14:ligatures w14:val="standardContextual"/>
            </w:rPr>
            <w:t xml:space="preserve">    </w:t>
          </w:r>
          <w:r w:rsidR="00F21130">
            <w:rPr>
              <w:rFonts w:asciiTheme="minorHAnsi" w:eastAsiaTheme="minorHAnsi" w:hAnsiTheme="minorHAnsi" w:cstheme="minorBidi"/>
              <w:color w:val="auto"/>
              <w:kern w:val="2"/>
              <w:sz w:val="22"/>
              <w:szCs w:val="22"/>
              <w:lang w:eastAsia="en-US"/>
              <w14:ligatures w14:val="standardContextual"/>
            </w:rPr>
            <w:t xml:space="preserve"> </w:t>
          </w:r>
          <w:r w:rsidRPr="00EF7A53">
            <w:rPr>
              <w:rFonts w:asciiTheme="minorHAnsi" w:eastAsiaTheme="minorHAnsi" w:hAnsiTheme="minorHAnsi" w:cstheme="minorBidi"/>
              <w:color w:val="auto"/>
              <w:kern w:val="2"/>
              <w:sz w:val="22"/>
              <w:szCs w:val="22"/>
              <w:lang w:eastAsia="en-US"/>
              <w14:ligatures w14:val="standardContextual"/>
            </w:rPr>
            <w:t xml:space="preserve">   Cultural Sensitivity</w:t>
          </w:r>
          <w:r w:rsidR="00F21130">
            <w:rPr>
              <w:rFonts w:asciiTheme="minorHAnsi" w:eastAsiaTheme="minorHAnsi" w:hAnsiTheme="minorHAnsi" w:cstheme="minorBidi"/>
              <w:color w:val="auto"/>
              <w:kern w:val="2"/>
              <w:sz w:val="22"/>
              <w:szCs w:val="22"/>
              <w:lang w:eastAsia="en-US"/>
              <w14:ligatures w14:val="standardContextual"/>
            </w:rPr>
            <w:t>……………………………………………………………………………………</w:t>
          </w:r>
          <w:r w:rsidR="00173F34">
            <w:rPr>
              <w:rFonts w:asciiTheme="minorHAnsi" w:eastAsiaTheme="minorHAnsi" w:hAnsiTheme="minorHAnsi" w:cstheme="minorBidi"/>
              <w:color w:val="auto"/>
              <w:kern w:val="2"/>
              <w:sz w:val="22"/>
              <w:szCs w:val="22"/>
              <w:lang w:eastAsia="en-US"/>
              <w14:ligatures w14:val="standardContextual"/>
            </w:rPr>
            <w:t>…</w:t>
          </w:r>
          <w:r w:rsidR="004729EB">
            <w:rPr>
              <w:rFonts w:asciiTheme="minorHAnsi" w:eastAsiaTheme="minorHAnsi" w:hAnsiTheme="minorHAnsi" w:cstheme="minorBidi"/>
              <w:color w:val="auto"/>
              <w:kern w:val="2"/>
              <w:sz w:val="22"/>
              <w:szCs w:val="22"/>
              <w:lang w:eastAsia="en-US"/>
              <w14:ligatures w14:val="standardContextual"/>
            </w:rPr>
            <w:t>….</w:t>
          </w:r>
          <w:r w:rsidR="00173F34">
            <w:rPr>
              <w:rFonts w:asciiTheme="minorHAnsi" w:eastAsiaTheme="minorHAnsi" w:hAnsiTheme="minorHAnsi" w:cstheme="minorBidi"/>
              <w:color w:val="auto"/>
              <w:kern w:val="2"/>
              <w:sz w:val="22"/>
              <w:szCs w:val="22"/>
              <w:lang w:eastAsia="en-US"/>
              <w14:ligatures w14:val="standardContextual"/>
            </w:rPr>
            <w:t>3</w:t>
          </w:r>
        </w:p>
        <w:p w14:paraId="79BEB71A" w14:textId="2BD34D63" w:rsidR="00EF7A53" w:rsidRPr="00EF7A53" w:rsidRDefault="00EF7A53" w:rsidP="004729EB">
          <w:pPr>
            <w:pStyle w:val="TOCHeading"/>
            <w:spacing w:line="360" w:lineRule="auto"/>
            <w:rPr>
              <w:rFonts w:asciiTheme="minorHAnsi" w:eastAsiaTheme="minorHAnsi" w:hAnsiTheme="minorHAnsi" w:cstheme="minorBidi"/>
              <w:color w:val="auto"/>
              <w:kern w:val="2"/>
              <w:sz w:val="22"/>
              <w:szCs w:val="22"/>
              <w:lang w:eastAsia="en-US"/>
              <w14:ligatures w14:val="standardContextual"/>
            </w:rPr>
          </w:pPr>
          <w:r w:rsidRPr="00EF7A53">
            <w:rPr>
              <w:rFonts w:asciiTheme="minorHAnsi" w:eastAsiaTheme="minorHAnsi" w:hAnsiTheme="minorHAnsi" w:cstheme="minorBidi"/>
              <w:color w:val="auto"/>
              <w:kern w:val="2"/>
              <w:sz w:val="22"/>
              <w:szCs w:val="22"/>
              <w:lang w:eastAsia="en-US"/>
              <w14:ligatures w14:val="standardContextual"/>
            </w:rPr>
            <w:t xml:space="preserve">    </w:t>
          </w:r>
          <w:r w:rsidR="00F21130">
            <w:rPr>
              <w:rFonts w:asciiTheme="minorHAnsi" w:eastAsiaTheme="minorHAnsi" w:hAnsiTheme="minorHAnsi" w:cstheme="minorBidi"/>
              <w:color w:val="auto"/>
              <w:kern w:val="2"/>
              <w:sz w:val="22"/>
              <w:szCs w:val="22"/>
              <w:lang w:eastAsia="en-US"/>
              <w14:ligatures w14:val="standardContextual"/>
            </w:rPr>
            <w:t xml:space="preserve"> </w:t>
          </w:r>
          <w:r w:rsidRPr="00EF7A53">
            <w:rPr>
              <w:rFonts w:asciiTheme="minorHAnsi" w:eastAsiaTheme="minorHAnsi" w:hAnsiTheme="minorHAnsi" w:cstheme="minorBidi"/>
              <w:color w:val="auto"/>
              <w:kern w:val="2"/>
              <w:sz w:val="22"/>
              <w:szCs w:val="22"/>
              <w:lang w:eastAsia="en-US"/>
              <w14:ligatures w14:val="standardContextual"/>
            </w:rPr>
            <w:t xml:space="preserve">   Berlo’s SMCR Model of Communication</w:t>
          </w:r>
          <w:r w:rsidR="00F21130">
            <w:rPr>
              <w:rFonts w:asciiTheme="minorHAnsi" w:eastAsiaTheme="minorHAnsi" w:hAnsiTheme="minorHAnsi" w:cstheme="minorBidi"/>
              <w:color w:val="auto"/>
              <w:kern w:val="2"/>
              <w:sz w:val="22"/>
              <w:szCs w:val="22"/>
              <w:lang w:eastAsia="en-US"/>
              <w14:ligatures w14:val="standardContextual"/>
            </w:rPr>
            <w:t>……………………………………………………………</w:t>
          </w:r>
          <w:r w:rsidR="004729EB">
            <w:rPr>
              <w:rFonts w:asciiTheme="minorHAnsi" w:eastAsiaTheme="minorHAnsi" w:hAnsiTheme="minorHAnsi" w:cstheme="minorBidi"/>
              <w:color w:val="auto"/>
              <w:kern w:val="2"/>
              <w:sz w:val="22"/>
              <w:szCs w:val="22"/>
              <w:lang w:eastAsia="en-US"/>
              <w14:ligatures w14:val="standardContextual"/>
            </w:rPr>
            <w:t>.</w:t>
          </w:r>
          <w:r w:rsidR="00173F34">
            <w:rPr>
              <w:rFonts w:asciiTheme="minorHAnsi" w:eastAsiaTheme="minorHAnsi" w:hAnsiTheme="minorHAnsi" w:cstheme="minorBidi"/>
              <w:color w:val="auto"/>
              <w:kern w:val="2"/>
              <w:sz w:val="22"/>
              <w:szCs w:val="22"/>
              <w:lang w:eastAsia="en-US"/>
              <w14:ligatures w14:val="standardContextual"/>
            </w:rPr>
            <w:t>3</w:t>
          </w:r>
        </w:p>
        <w:p w14:paraId="248351F7" w14:textId="7E5D8AA0" w:rsidR="00EF7A53" w:rsidRPr="00EF7A53" w:rsidRDefault="00EF7A53" w:rsidP="004729EB">
          <w:pPr>
            <w:pStyle w:val="TOCHeading"/>
            <w:spacing w:line="360" w:lineRule="auto"/>
            <w:rPr>
              <w:rFonts w:asciiTheme="minorHAnsi" w:eastAsiaTheme="minorHAnsi" w:hAnsiTheme="minorHAnsi" w:cstheme="minorBidi"/>
              <w:color w:val="auto"/>
              <w:kern w:val="2"/>
              <w:sz w:val="22"/>
              <w:szCs w:val="22"/>
              <w:lang w:eastAsia="en-US"/>
              <w14:ligatures w14:val="standardContextual"/>
            </w:rPr>
          </w:pPr>
          <w:r w:rsidRPr="00EF7A53">
            <w:rPr>
              <w:rFonts w:asciiTheme="minorHAnsi" w:eastAsiaTheme="minorHAnsi" w:hAnsiTheme="minorHAnsi" w:cstheme="minorBidi"/>
              <w:color w:val="auto"/>
              <w:kern w:val="2"/>
              <w:sz w:val="22"/>
              <w:szCs w:val="22"/>
              <w:lang w:eastAsia="en-US"/>
              <w14:ligatures w14:val="standardContextual"/>
            </w:rPr>
            <w:t xml:space="preserve">3.  </w:t>
          </w:r>
          <w:r w:rsidR="00F21130">
            <w:rPr>
              <w:rFonts w:asciiTheme="minorHAnsi" w:eastAsiaTheme="minorHAnsi" w:hAnsiTheme="minorHAnsi" w:cstheme="minorBidi"/>
              <w:color w:val="auto"/>
              <w:kern w:val="2"/>
              <w:sz w:val="22"/>
              <w:szCs w:val="22"/>
              <w:lang w:eastAsia="en-US"/>
              <w14:ligatures w14:val="standardContextual"/>
            </w:rPr>
            <w:t xml:space="preserve"> </w:t>
          </w:r>
          <w:r w:rsidRPr="00EF7A53">
            <w:rPr>
              <w:rFonts w:asciiTheme="minorHAnsi" w:eastAsiaTheme="minorHAnsi" w:hAnsiTheme="minorHAnsi" w:cstheme="minorBidi"/>
              <w:color w:val="auto"/>
              <w:kern w:val="2"/>
              <w:sz w:val="22"/>
              <w:szCs w:val="22"/>
              <w:lang w:eastAsia="en-US"/>
              <w14:ligatures w14:val="standardContextual"/>
            </w:rPr>
            <w:t>Administrative Skills and Record Keeping</w:t>
          </w:r>
          <w:r w:rsidR="00F21130">
            <w:rPr>
              <w:rFonts w:asciiTheme="minorHAnsi" w:eastAsiaTheme="minorHAnsi" w:hAnsiTheme="minorHAnsi" w:cstheme="minorBidi"/>
              <w:color w:val="auto"/>
              <w:kern w:val="2"/>
              <w:sz w:val="22"/>
              <w:szCs w:val="22"/>
              <w:lang w:eastAsia="en-US"/>
              <w14:ligatures w14:val="standardContextual"/>
            </w:rPr>
            <w:t xml:space="preserve"> ………………………………………………………</w:t>
          </w:r>
          <w:r w:rsidR="004729EB">
            <w:rPr>
              <w:rFonts w:asciiTheme="minorHAnsi" w:eastAsiaTheme="minorHAnsi" w:hAnsiTheme="minorHAnsi" w:cstheme="minorBidi"/>
              <w:color w:val="auto"/>
              <w:kern w:val="2"/>
              <w:sz w:val="22"/>
              <w:szCs w:val="22"/>
              <w:lang w:eastAsia="en-US"/>
              <w14:ligatures w14:val="standardContextual"/>
            </w:rPr>
            <w:t>.</w:t>
          </w:r>
          <w:r w:rsidR="00F21130">
            <w:rPr>
              <w:rFonts w:asciiTheme="minorHAnsi" w:eastAsiaTheme="minorHAnsi" w:hAnsiTheme="minorHAnsi" w:cstheme="minorBidi"/>
              <w:color w:val="auto"/>
              <w:kern w:val="2"/>
              <w:sz w:val="22"/>
              <w:szCs w:val="22"/>
              <w:lang w:eastAsia="en-US"/>
              <w14:ligatures w14:val="standardContextual"/>
            </w:rPr>
            <w:t>…</w:t>
          </w:r>
          <w:r w:rsidR="00173F34">
            <w:rPr>
              <w:rFonts w:asciiTheme="minorHAnsi" w:eastAsiaTheme="minorHAnsi" w:hAnsiTheme="minorHAnsi" w:cstheme="minorBidi"/>
              <w:color w:val="auto"/>
              <w:kern w:val="2"/>
              <w:sz w:val="22"/>
              <w:szCs w:val="22"/>
              <w:lang w:eastAsia="en-US"/>
              <w14:ligatures w14:val="standardContextual"/>
            </w:rPr>
            <w:t>.4</w:t>
          </w:r>
        </w:p>
        <w:p w14:paraId="5CEC2B66" w14:textId="3287225D" w:rsidR="00EF7A53" w:rsidRPr="00EF7A53" w:rsidRDefault="00EF7A53" w:rsidP="004729EB">
          <w:pPr>
            <w:pStyle w:val="TOCHeading"/>
            <w:spacing w:line="360" w:lineRule="auto"/>
            <w:rPr>
              <w:rFonts w:asciiTheme="minorHAnsi" w:eastAsiaTheme="minorHAnsi" w:hAnsiTheme="minorHAnsi" w:cstheme="minorBidi"/>
              <w:color w:val="auto"/>
              <w:kern w:val="2"/>
              <w:sz w:val="22"/>
              <w:szCs w:val="22"/>
              <w:lang w:eastAsia="en-US"/>
              <w14:ligatures w14:val="standardContextual"/>
            </w:rPr>
          </w:pPr>
          <w:r w:rsidRPr="00EF7A53">
            <w:rPr>
              <w:rFonts w:asciiTheme="minorHAnsi" w:eastAsiaTheme="minorHAnsi" w:hAnsiTheme="minorHAnsi" w:cstheme="minorBidi"/>
              <w:color w:val="auto"/>
              <w:kern w:val="2"/>
              <w:sz w:val="22"/>
              <w:szCs w:val="22"/>
              <w:lang w:eastAsia="en-US"/>
              <w14:ligatures w14:val="standardContextual"/>
            </w:rPr>
            <w:t xml:space="preserve">4.  </w:t>
          </w:r>
          <w:r w:rsidR="00F21130">
            <w:rPr>
              <w:rFonts w:asciiTheme="minorHAnsi" w:eastAsiaTheme="minorHAnsi" w:hAnsiTheme="minorHAnsi" w:cstheme="minorBidi"/>
              <w:color w:val="auto"/>
              <w:kern w:val="2"/>
              <w:sz w:val="22"/>
              <w:szCs w:val="22"/>
              <w:lang w:eastAsia="en-US"/>
              <w14:ligatures w14:val="standardContextual"/>
            </w:rPr>
            <w:t xml:space="preserve"> </w:t>
          </w:r>
          <w:r w:rsidRPr="00EF7A53">
            <w:rPr>
              <w:rFonts w:asciiTheme="minorHAnsi" w:eastAsiaTheme="minorHAnsi" w:hAnsiTheme="minorHAnsi" w:cstheme="minorBidi"/>
              <w:color w:val="auto"/>
              <w:kern w:val="2"/>
              <w:sz w:val="22"/>
              <w:szCs w:val="22"/>
              <w:lang w:eastAsia="en-US"/>
              <w14:ligatures w14:val="standardContextual"/>
            </w:rPr>
            <w:t>Collaborative Working</w:t>
          </w:r>
          <w:r w:rsidR="00F21130">
            <w:rPr>
              <w:rFonts w:asciiTheme="minorHAnsi" w:eastAsiaTheme="minorHAnsi" w:hAnsiTheme="minorHAnsi" w:cstheme="minorBidi"/>
              <w:color w:val="auto"/>
              <w:kern w:val="2"/>
              <w:sz w:val="22"/>
              <w:szCs w:val="22"/>
              <w:lang w:eastAsia="en-US"/>
              <w14:ligatures w14:val="standardContextual"/>
            </w:rPr>
            <w:t xml:space="preserve"> …………………………………………………………………………………</w:t>
          </w:r>
          <w:r w:rsidR="00173F34">
            <w:rPr>
              <w:rFonts w:asciiTheme="minorHAnsi" w:eastAsiaTheme="minorHAnsi" w:hAnsiTheme="minorHAnsi" w:cstheme="minorBidi"/>
              <w:color w:val="auto"/>
              <w:kern w:val="2"/>
              <w:sz w:val="22"/>
              <w:szCs w:val="22"/>
              <w:lang w:eastAsia="en-US"/>
              <w14:ligatures w14:val="standardContextual"/>
            </w:rPr>
            <w:t>.</w:t>
          </w:r>
          <w:r w:rsidR="004729EB">
            <w:rPr>
              <w:rFonts w:asciiTheme="minorHAnsi" w:eastAsiaTheme="minorHAnsi" w:hAnsiTheme="minorHAnsi" w:cstheme="minorBidi"/>
              <w:color w:val="auto"/>
              <w:kern w:val="2"/>
              <w:sz w:val="22"/>
              <w:szCs w:val="22"/>
              <w:lang w:eastAsia="en-US"/>
              <w14:ligatures w14:val="standardContextual"/>
            </w:rPr>
            <w:t>.</w:t>
          </w:r>
          <w:r w:rsidR="00173F34">
            <w:rPr>
              <w:rFonts w:asciiTheme="minorHAnsi" w:eastAsiaTheme="minorHAnsi" w:hAnsiTheme="minorHAnsi" w:cstheme="minorBidi"/>
              <w:color w:val="auto"/>
              <w:kern w:val="2"/>
              <w:sz w:val="22"/>
              <w:szCs w:val="22"/>
              <w:lang w:eastAsia="en-US"/>
              <w14:ligatures w14:val="standardContextual"/>
            </w:rPr>
            <w:t>..5</w:t>
          </w:r>
        </w:p>
        <w:p w14:paraId="40729782" w14:textId="37F6F263" w:rsidR="00F21130" w:rsidRPr="00173F34" w:rsidRDefault="00EF7A53" w:rsidP="004729EB">
          <w:pPr>
            <w:pStyle w:val="TOCHeading"/>
            <w:spacing w:line="360" w:lineRule="auto"/>
            <w:rPr>
              <w:rFonts w:asciiTheme="minorHAnsi" w:eastAsiaTheme="minorHAnsi" w:hAnsiTheme="minorHAnsi" w:cstheme="minorBidi"/>
              <w:color w:val="auto"/>
              <w:kern w:val="2"/>
              <w:sz w:val="22"/>
              <w:szCs w:val="22"/>
              <w:lang w:eastAsia="en-US"/>
              <w14:ligatures w14:val="standardContextual"/>
            </w:rPr>
          </w:pPr>
          <w:r w:rsidRPr="00EF7A53">
            <w:rPr>
              <w:rFonts w:asciiTheme="minorHAnsi" w:eastAsiaTheme="minorHAnsi" w:hAnsiTheme="minorHAnsi" w:cstheme="minorBidi"/>
              <w:color w:val="auto"/>
              <w:kern w:val="2"/>
              <w:sz w:val="22"/>
              <w:szCs w:val="22"/>
              <w:lang w:eastAsia="en-US"/>
              <w14:ligatures w14:val="standardContextual"/>
            </w:rPr>
            <w:t xml:space="preserve">5.  </w:t>
          </w:r>
          <w:r w:rsidR="00F21130">
            <w:rPr>
              <w:rFonts w:asciiTheme="minorHAnsi" w:eastAsiaTheme="minorHAnsi" w:hAnsiTheme="minorHAnsi" w:cstheme="minorBidi"/>
              <w:color w:val="auto"/>
              <w:kern w:val="2"/>
              <w:sz w:val="22"/>
              <w:szCs w:val="22"/>
              <w:lang w:eastAsia="en-US"/>
              <w14:ligatures w14:val="standardContextual"/>
            </w:rPr>
            <w:t xml:space="preserve"> </w:t>
          </w:r>
          <w:r w:rsidRPr="00EF7A53">
            <w:rPr>
              <w:rFonts w:asciiTheme="minorHAnsi" w:eastAsiaTheme="minorHAnsi" w:hAnsiTheme="minorHAnsi" w:cstheme="minorBidi"/>
              <w:color w:val="auto"/>
              <w:kern w:val="2"/>
              <w:sz w:val="22"/>
              <w:szCs w:val="22"/>
              <w:lang w:eastAsia="en-US"/>
              <w14:ligatures w14:val="standardContextual"/>
            </w:rPr>
            <w:t>Conclusion</w:t>
          </w:r>
          <w:r w:rsidR="00F21130">
            <w:rPr>
              <w:rFonts w:asciiTheme="minorHAnsi" w:eastAsiaTheme="minorHAnsi" w:hAnsiTheme="minorHAnsi" w:cstheme="minorBidi"/>
              <w:color w:val="auto"/>
              <w:kern w:val="2"/>
              <w:sz w:val="22"/>
              <w:szCs w:val="22"/>
              <w:lang w:eastAsia="en-US"/>
              <w14:ligatures w14:val="standardContextual"/>
            </w:rPr>
            <w:t xml:space="preserve"> …………………………………………………………………………………………</w:t>
          </w:r>
          <w:r w:rsidR="004729EB">
            <w:rPr>
              <w:rFonts w:asciiTheme="minorHAnsi" w:eastAsiaTheme="minorHAnsi" w:hAnsiTheme="minorHAnsi" w:cstheme="minorBidi"/>
              <w:color w:val="auto"/>
              <w:kern w:val="2"/>
              <w:sz w:val="22"/>
              <w:szCs w:val="22"/>
              <w:lang w:eastAsia="en-US"/>
              <w14:ligatures w14:val="standardContextual"/>
            </w:rPr>
            <w:t>.</w:t>
          </w:r>
          <w:r w:rsidR="00F21130">
            <w:rPr>
              <w:rFonts w:asciiTheme="minorHAnsi" w:eastAsiaTheme="minorHAnsi" w:hAnsiTheme="minorHAnsi" w:cstheme="minorBidi"/>
              <w:color w:val="auto"/>
              <w:kern w:val="2"/>
              <w:sz w:val="22"/>
              <w:szCs w:val="22"/>
              <w:lang w:eastAsia="en-US"/>
              <w14:ligatures w14:val="standardContextual"/>
            </w:rPr>
            <w:t>…</w:t>
          </w:r>
          <w:r w:rsidR="004729EB">
            <w:rPr>
              <w:rFonts w:asciiTheme="minorHAnsi" w:eastAsiaTheme="minorHAnsi" w:hAnsiTheme="minorHAnsi" w:cstheme="minorBidi"/>
              <w:color w:val="auto"/>
              <w:kern w:val="2"/>
              <w:sz w:val="22"/>
              <w:szCs w:val="22"/>
              <w:lang w:eastAsia="en-US"/>
              <w14:ligatures w14:val="standardContextual"/>
            </w:rPr>
            <w:t>….….</w:t>
          </w:r>
          <w:r w:rsidR="00DA5962">
            <w:rPr>
              <w:rFonts w:asciiTheme="minorHAnsi" w:eastAsiaTheme="minorHAnsi" w:hAnsiTheme="minorHAnsi" w:cstheme="minorBidi"/>
              <w:color w:val="auto"/>
              <w:kern w:val="2"/>
              <w:sz w:val="22"/>
              <w:szCs w:val="22"/>
              <w:lang w:eastAsia="en-US"/>
              <w14:ligatures w14:val="standardContextual"/>
            </w:rPr>
            <w:t>6</w:t>
          </w:r>
        </w:p>
        <w:p w14:paraId="7EDB83D9" w14:textId="7BCAE7BA" w:rsidR="00DD4FBF" w:rsidRDefault="00EF7A53" w:rsidP="004729EB">
          <w:pPr>
            <w:spacing w:line="360" w:lineRule="auto"/>
          </w:pPr>
          <w:r w:rsidRPr="00EF7A53">
            <w:t>6.  </w:t>
          </w:r>
          <w:r w:rsidR="00F21130">
            <w:t xml:space="preserve"> </w:t>
          </w:r>
          <w:r w:rsidRPr="00EF7A53">
            <w:t>References</w:t>
          </w:r>
          <w:r w:rsidR="00F21130">
            <w:t xml:space="preserve"> ………………………………………………………………………………………………</w:t>
          </w:r>
          <w:r w:rsidR="004729EB">
            <w:t>.</w:t>
          </w:r>
          <w:r w:rsidR="00F21130">
            <w:t>……</w:t>
          </w:r>
          <w:r w:rsidR="00173F34">
            <w:t>7</w:t>
          </w:r>
        </w:p>
      </w:sdtContent>
    </w:sdt>
    <w:p w14:paraId="263FE2C2" w14:textId="77777777" w:rsidR="00DD4FBF" w:rsidRPr="00DD4FBF" w:rsidRDefault="00DD4FBF" w:rsidP="00DD4FBF">
      <w:pPr>
        <w:pStyle w:val="Heading1"/>
      </w:pPr>
    </w:p>
    <w:p w14:paraId="7F532624" w14:textId="77777777" w:rsidR="00DD4FBF" w:rsidRDefault="00DD4FBF">
      <w:pPr>
        <w:rPr>
          <w:rFonts w:ascii="Arial" w:hAnsi="Arial" w:cs="Arial"/>
          <w:b/>
          <w:bCs/>
          <w:sz w:val="28"/>
          <w:szCs w:val="28"/>
        </w:rPr>
      </w:pPr>
      <w:r>
        <w:rPr>
          <w:rFonts w:ascii="Arial" w:hAnsi="Arial" w:cs="Arial"/>
          <w:b/>
          <w:bCs/>
          <w:sz w:val="28"/>
          <w:szCs w:val="28"/>
        </w:rPr>
        <w:br w:type="page"/>
      </w:r>
    </w:p>
    <w:p w14:paraId="42773A20" w14:textId="4A03F5D4" w:rsidR="00C800B3" w:rsidRPr="00E52236" w:rsidRDefault="00E52236" w:rsidP="00E52236">
      <w:pPr>
        <w:spacing w:line="360" w:lineRule="auto"/>
        <w:jc w:val="center"/>
        <w:rPr>
          <w:rFonts w:ascii="Arial" w:hAnsi="Arial" w:cs="Arial"/>
          <w:b/>
          <w:bCs/>
          <w:sz w:val="48"/>
          <w:szCs w:val="48"/>
        </w:rPr>
      </w:pPr>
      <w:r w:rsidRPr="00E52236">
        <w:rPr>
          <w:rFonts w:ascii="Arial" w:hAnsi="Arial" w:cs="Arial"/>
          <w:b/>
          <w:bCs/>
          <w:sz w:val="48"/>
          <w:szCs w:val="48"/>
        </w:rPr>
        <w:lastRenderedPageBreak/>
        <w:t>Mrs Mann’s Care</w:t>
      </w:r>
    </w:p>
    <w:p w14:paraId="0823FC8C" w14:textId="77777777" w:rsidR="00C800B3" w:rsidRDefault="00C800B3" w:rsidP="00C379FE">
      <w:pPr>
        <w:spacing w:line="360" w:lineRule="auto"/>
        <w:rPr>
          <w:rFonts w:ascii="Arial" w:hAnsi="Arial" w:cs="Arial"/>
          <w:b/>
          <w:bCs/>
          <w:sz w:val="28"/>
          <w:szCs w:val="28"/>
        </w:rPr>
      </w:pPr>
    </w:p>
    <w:p w14:paraId="6008EC31" w14:textId="77777777" w:rsidR="004729EB" w:rsidRDefault="004729EB" w:rsidP="004729EB">
      <w:pPr>
        <w:pStyle w:val="ListParagraph"/>
        <w:spacing w:line="360" w:lineRule="auto"/>
        <w:rPr>
          <w:rFonts w:ascii="Arial" w:hAnsi="Arial" w:cs="Arial"/>
          <w:b/>
          <w:bCs/>
          <w:sz w:val="28"/>
          <w:szCs w:val="28"/>
        </w:rPr>
      </w:pPr>
    </w:p>
    <w:p w14:paraId="05CE89AF" w14:textId="57DD4E12" w:rsidR="006516A0" w:rsidRPr="004729EB" w:rsidRDefault="004729EB" w:rsidP="004729EB">
      <w:pPr>
        <w:pStyle w:val="ListParagraph"/>
        <w:numPr>
          <w:ilvl w:val="0"/>
          <w:numId w:val="5"/>
        </w:numPr>
        <w:spacing w:line="360" w:lineRule="auto"/>
        <w:rPr>
          <w:rFonts w:ascii="Arial" w:hAnsi="Arial" w:cs="Arial"/>
          <w:b/>
          <w:bCs/>
          <w:sz w:val="28"/>
          <w:szCs w:val="28"/>
        </w:rPr>
      </w:pPr>
      <w:r>
        <w:rPr>
          <w:rFonts w:ascii="Arial" w:hAnsi="Arial" w:cs="Arial"/>
          <w:b/>
          <w:bCs/>
          <w:sz w:val="28"/>
          <w:szCs w:val="28"/>
        </w:rPr>
        <w:t>I</w:t>
      </w:r>
      <w:r w:rsidR="006516A0" w:rsidRPr="004729EB">
        <w:rPr>
          <w:rFonts w:ascii="Arial" w:hAnsi="Arial" w:cs="Arial"/>
          <w:b/>
          <w:bCs/>
          <w:sz w:val="28"/>
          <w:szCs w:val="28"/>
        </w:rPr>
        <w:t>ntroduction</w:t>
      </w:r>
    </w:p>
    <w:p w14:paraId="5F84AD2E" w14:textId="77777777" w:rsidR="006516A0" w:rsidRPr="00C379FE" w:rsidRDefault="006516A0" w:rsidP="00C379FE">
      <w:pPr>
        <w:spacing w:line="360" w:lineRule="auto"/>
        <w:rPr>
          <w:rFonts w:ascii="Arial" w:hAnsi="Arial" w:cs="Arial"/>
        </w:rPr>
      </w:pPr>
    </w:p>
    <w:p w14:paraId="7FF496CC" w14:textId="24A85FBC" w:rsidR="006516A0" w:rsidRPr="00C379FE" w:rsidRDefault="006516A0" w:rsidP="004729EB">
      <w:pPr>
        <w:spacing w:line="360" w:lineRule="auto"/>
        <w:rPr>
          <w:rFonts w:ascii="Arial" w:hAnsi="Arial" w:cs="Arial"/>
        </w:rPr>
      </w:pPr>
      <w:r w:rsidRPr="00C379FE">
        <w:rPr>
          <w:rFonts w:ascii="Arial" w:hAnsi="Arial" w:cs="Arial"/>
        </w:rPr>
        <w:t xml:space="preserve">The following is a report on the case of Mrs. Mann, a </w:t>
      </w:r>
      <w:r w:rsidR="00BF632E" w:rsidRPr="00C379FE">
        <w:rPr>
          <w:rFonts w:ascii="Arial" w:hAnsi="Arial" w:cs="Arial"/>
        </w:rPr>
        <w:t>72-year-old</w:t>
      </w:r>
      <w:r w:rsidRPr="00C379FE">
        <w:rPr>
          <w:rFonts w:ascii="Arial" w:hAnsi="Arial" w:cs="Arial"/>
        </w:rPr>
        <w:t xml:space="preserve"> woman following hip replacement surgery. She lives in isolation, with a home care agency providing personal and mobility supports on an everyday basis. Her first language is Urdu, and though she speaks English somewhat, her daughter often serves as a translator. Her general practitioner and community-based physiotherapist, who attends twice weekly to assist with her rehabilitation, are members of the care team. Adherence problems and a delay in making the medication switch recently came to light, however, leading the care agency to conduct an internal review.</w:t>
      </w:r>
    </w:p>
    <w:p w14:paraId="2DD55A1F" w14:textId="77AD535B" w:rsidR="006516A0" w:rsidRPr="00C379FE" w:rsidRDefault="006516A0" w:rsidP="004729EB">
      <w:pPr>
        <w:spacing w:line="360" w:lineRule="auto"/>
        <w:rPr>
          <w:rFonts w:ascii="Arial" w:hAnsi="Arial" w:cs="Arial"/>
        </w:rPr>
      </w:pPr>
      <w:r w:rsidRPr="00C379FE">
        <w:rPr>
          <w:rFonts w:ascii="Arial" w:hAnsi="Arial" w:cs="Arial"/>
        </w:rPr>
        <w:t xml:space="preserve">The aim of this paper is to examine three dominant areas of Mrs. Mann's nursing: communication skills, administrative ability and teamwork. Using Berlo (1960) Model of Communication, we will examine how these factors affect her pathway to care. This model draws attention to the role of the source, message, channel, and receiver in communicating information and shows how difficult it can be to </w:t>
      </w:r>
      <w:r w:rsidR="00BF632E" w:rsidRPr="00C379FE">
        <w:rPr>
          <w:rFonts w:ascii="Arial" w:hAnsi="Arial" w:cs="Arial"/>
        </w:rPr>
        <w:t>ensure</w:t>
      </w:r>
      <w:r w:rsidRPr="00C379FE">
        <w:rPr>
          <w:rFonts w:ascii="Arial" w:hAnsi="Arial" w:cs="Arial"/>
        </w:rPr>
        <w:t xml:space="preserve"> that a message has been clearly received by all parties.</w:t>
      </w:r>
    </w:p>
    <w:p w14:paraId="308FF918" w14:textId="77777777" w:rsidR="00BF632E" w:rsidRPr="00C379FE" w:rsidRDefault="00BF632E" w:rsidP="00C379FE">
      <w:pPr>
        <w:spacing w:line="360" w:lineRule="auto"/>
        <w:rPr>
          <w:rFonts w:ascii="Arial" w:hAnsi="Arial" w:cs="Arial"/>
        </w:rPr>
      </w:pPr>
    </w:p>
    <w:p w14:paraId="2FF365BC" w14:textId="67A9F03D" w:rsidR="006516A0" w:rsidRPr="004729EB" w:rsidRDefault="006516A0" w:rsidP="004729EB">
      <w:pPr>
        <w:pStyle w:val="ListParagraph"/>
        <w:numPr>
          <w:ilvl w:val="0"/>
          <w:numId w:val="5"/>
        </w:numPr>
        <w:spacing w:line="360" w:lineRule="auto"/>
        <w:rPr>
          <w:rFonts w:ascii="Arial" w:hAnsi="Arial" w:cs="Arial"/>
          <w:b/>
          <w:bCs/>
          <w:sz w:val="28"/>
          <w:szCs w:val="28"/>
        </w:rPr>
      </w:pPr>
      <w:r w:rsidRPr="004729EB">
        <w:rPr>
          <w:rFonts w:ascii="Arial" w:hAnsi="Arial" w:cs="Arial"/>
          <w:b/>
          <w:bCs/>
          <w:sz w:val="28"/>
          <w:szCs w:val="28"/>
        </w:rPr>
        <w:t>Effective Communication</w:t>
      </w:r>
    </w:p>
    <w:p w14:paraId="13AACD57" w14:textId="77777777" w:rsidR="00BF632E" w:rsidRPr="00C379FE" w:rsidRDefault="00BF632E" w:rsidP="00C379FE">
      <w:pPr>
        <w:spacing w:line="360" w:lineRule="auto"/>
        <w:rPr>
          <w:rFonts w:ascii="Arial" w:hAnsi="Arial" w:cs="Arial"/>
        </w:rPr>
      </w:pPr>
    </w:p>
    <w:p w14:paraId="2F49E379" w14:textId="1E53E5FD" w:rsidR="006516A0" w:rsidRPr="00C379FE" w:rsidRDefault="006516A0" w:rsidP="004729EB">
      <w:pPr>
        <w:spacing w:line="360" w:lineRule="auto"/>
        <w:rPr>
          <w:rFonts w:ascii="Arial" w:hAnsi="Arial" w:cs="Arial"/>
        </w:rPr>
      </w:pPr>
      <w:r w:rsidRPr="00C379FE">
        <w:rPr>
          <w:rFonts w:ascii="Arial" w:hAnsi="Arial" w:cs="Arial"/>
        </w:rPr>
        <w:t xml:space="preserve">Good communication is at the heart of quality, person centred care and is an essential aspect of good professional and interprofessional practice. It helps that information is communicated clearly, understood and relevantly incorporated into practice by professionals and service users alike (Bach &amp; Grant, 2019). This approach fosters trust, mutual respect and a sense of safety in caring relationships to facilitate partnership between healthcare providers and clients. Particularly in Mrs Mann's case, there is a need for effective communication because of language issues and cultural sensitivities where members of the care team should have awareness, flexibility and empathy. Enabling her to voice what she </w:t>
      </w:r>
      <w:r w:rsidRPr="00C379FE">
        <w:rPr>
          <w:rFonts w:ascii="Arial" w:hAnsi="Arial" w:cs="Arial"/>
        </w:rPr>
        <w:lastRenderedPageBreak/>
        <w:t>needs, comprehend her care, and participate in its planning is key to helping her remain competent and well.</w:t>
      </w:r>
    </w:p>
    <w:p w14:paraId="3E574B5A" w14:textId="77777777" w:rsidR="00062607" w:rsidRDefault="006516A0" w:rsidP="004729EB">
      <w:pPr>
        <w:spacing w:line="360" w:lineRule="auto"/>
        <w:rPr>
          <w:rFonts w:ascii="Arial" w:hAnsi="Arial" w:cs="Arial"/>
        </w:rPr>
      </w:pPr>
      <w:r w:rsidRPr="00C379FE">
        <w:rPr>
          <w:rFonts w:ascii="Arial" w:hAnsi="Arial" w:cs="Arial"/>
        </w:rPr>
        <w:t xml:space="preserve">Language barriers Language barriers can be a strong obstacle to inserting care instructions, medication use and any kind of rehabilitation plans (NHS England, 2023). </w:t>
      </w:r>
    </w:p>
    <w:p w14:paraId="40A85DD1" w14:textId="488C02E1" w:rsidR="006516A0" w:rsidRPr="00C379FE" w:rsidRDefault="006516A0" w:rsidP="004729EB">
      <w:pPr>
        <w:spacing w:line="360" w:lineRule="auto"/>
        <w:rPr>
          <w:rFonts w:ascii="Arial" w:hAnsi="Arial" w:cs="Arial"/>
        </w:rPr>
      </w:pPr>
      <w:r w:rsidRPr="00C379FE">
        <w:rPr>
          <w:rFonts w:ascii="Arial" w:hAnsi="Arial" w:cs="Arial"/>
        </w:rPr>
        <w:t>Inadequate communication could lead to patient isolation, distress or uncertainties with their treatment. The Equality Act 2010 places a legal obligation on organisations to make reasonable adjustments that will prevent any person being put at an unfair disadvantage because of a protected characteristic, such as the language they use, or their ethnicity. Thus, it is important to provide equitable access to information and support. This is accomplished through interpreters, translated resources and visual aids such as pictorial diagrams that improve understanding and demonstrate a commitment to person-centred care.</w:t>
      </w:r>
    </w:p>
    <w:p w14:paraId="1623F1FF" w14:textId="221EF087" w:rsidR="006516A0" w:rsidRPr="00C379FE" w:rsidRDefault="006516A0" w:rsidP="004729EB">
      <w:pPr>
        <w:spacing w:line="360" w:lineRule="auto"/>
        <w:rPr>
          <w:rFonts w:ascii="Arial" w:hAnsi="Arial" w:cs="Arial"/>
        </w:rPr>
      </w:pPr>
      <w:r w:rsidRPr="00C379FE">
        <w:rPr>
          <w:rFonts w:ascii="Arial" w:hAnsi="Arial" w:cs="Arial"/>
        </w:rPr>
        <w:t xml:space="preserve">This cultural sensitivity also enhances </w:t>
      </w:r>
      <w:r w:rsidRPr="00173F34">
        <w:rPr>
          <w:rFonts w:ascii="Arial" w:hAnsi="Arial" w:cs="Arial"/>
        </w:rPr>
        <w:t>the quality of</w:t>
      </w:r>
      <w:r w:rsidRPr="00C379FE">
        <w:rPr>
          <w:rFonts w:ascii="Arial" w:hAnsi="Arial" w:cs="Arial"/>
        </w:rPr>
        <w:t xml:space="preserve"> communication and care. It is also possible that Mrs Mann’s Oriental background and Urdu speaking may have differences in dietary expectations, communication styles and food preferences. Personnel should be culturally sensitive, respecting her customs and beliefs. Simple things as greeting her in her mother tongue or maintaining gender-sensitivity when performing personal care, help develop trust and bond (Papadopoulos, 2021). Accepting people as they are and showing reverence for their culture does not only work at lowering anxiety</w:t>
      </w:r>
      <w:r w:rsidR="001737A3">
        <w:rPr>
          <w:rFonts w:ascii="Arial" w:hAnsi="Arial" w:cs="Arial"/>
        </w:rPr>
        <w:t>. I</w:t>
      </w:r>
      <w:r w:rsidRPr="00C379FE">
        <w:rPr>
          <w:rFonts w:ascii="Arial" w:hAnsi="Arial" w:cs="Arial"/>
        </w:rPr>
        <w:t>t also means that we have an environment in which dignity is respected and participation encouraged.</w:t>
      </w:r>
    </w:p>
    <w:p w14:paraId="5F2A63C7" w14:textId="583072B6" w:rsidR="00EC7FD6" w:rsidRDefault="00EC7FD6" w:rsidP="004729EB">
      <w:pPr>
        <w:spacing w:line="360" w:lineRule="auto"/>
        <w:rPr>
          <w:rFonts w:ascii="Arial" w:hAnsi="Arial" w:cs="Arial"/>
        </w:rPr>
      </w:pPr>
      <w:r w:rsidRPr="00EC7FD6">
        <w:rPr>
          <w:rFonts w:ascii="Arial" w:hAnsi="Arial" w:cs="Arial"/>
        </w:rPr>
        <w:t xml:space="preserve">Berlo’s SMCR Model of Communication Berlo’s (1960) model provides a framework for identifying the gaps in healthcare communication. This model will predict that the ‘source’ (carer staff) should encode its ideas well to create a clear ‘message’ to be transmitted through an appropriate ‘channel’ (oral, written or visual). The ‘receiver’ (Mrs Mann in this instance) must interpret and reply. If the salient communication channel, such as spoken English, is not appropriate it could become a source of misunderstanding and jeopardise safety. To address this, professional interpreters ought to be employed in place of family members to maintain privacy and accuracy (CQC, 2023). </w:t>
      </w:r>
    </w:p>
    <w:p w14:paraId="4F9E8BED" w14:textId="31FA01F8" w:rsidR="006516A0" w:rsidRPr="00C379FE" w:rsidRDefault="00EC7FD6" w:rsidP="004729EB">
      <w:pPr>
        <w:spacing w:line="360" w:lineRule="auto"/>
        <w:rPr>
          <w:rFonts w:ascii="Arial" w:hAnsi="Arial" w:cs="Arial"/>
        </w:rPr>
      </w:pPr>
      <w:r w:rsidRPr="00EC7FD6">
        <w:rPr>
          <w:rFonts w:ascii="Arial" w:hAnsi="Arial" w:cs="Arial"/>
        </w:rPr>
        <w:t>These materials are complemented by visual aids such as illustrated drug brochures and physiotherapy posters to assist with understanding. Furthermore, digital platforms (e.g. video conferencing or ward-based machines) for translation could help improve consistency across the MDT. These adaptations enable Mrs Mann to comprehend her care, communicate what she needs and take part in decisions.</w:t>
      </w:r>
    </w:p>
    <w:p w14:paraId="336FD35F" w14:textId="77777777" w:rsidR="00EC7FD6" w:rsidRDefault="00EC7FD6" w:rsidP="004729EB">
      <w:pPr>
        <w:spacing w:line="360" w:lineRule="auto"/>
        <w:rPr>
          <w:rFonts w:ascii="Arial" w:hAnsi="Arial" w:cs="Arial"/>
          <w:b/>
          <w:bCs/>
          <w:sz w:val="28"/>
          <w:szCs w:val="28"/>
        </w:rPr>
      </w:pPr>
    </w:p>
    <w:p w14:paraId="6F74FFEC" w14:textId="77777777" w:rsidR="00A809B4" w:rsidRDefault="00A809B4" w:rsidP="00C379FE">
      <w:pPr>
        <w:spacing w:line="360" w:lineRule="auto"/>
        <w:rPr>
          <w:rFonts w:ascii="Arial" w:hAnsi="Arial" w:cs="Arial"/>
          <w:b/>
          <w:bCs/>
          <w:sz w:val="28"/>
          <w:szCs w:val="28"/>
        </w:rPr>
      </w:pPr>
    </w:p>
    <w:p w14:paraId="5F4CEDD8" w14:textId="57AACBDC" w:rsidR="006516A0" w:rsidRPr="004729EB" w:rsidRDefault="006516A0" w:rsidP="004729EB">
      <w:pPr>
        <w:pStyle w:val="ListParagraph"/>
        <w:numPr>
          <w:ilvl w:val="0"/>
          <w:numId w:val="5"/>
        </w:numPr>
        <w:spacing w:line="360" w:lineRule="auto"/>
        <w:rPr>
          <w:rFonts w:ascii="Arial" w:hAnsi="Arial" w:cs="Arial"/>
          <w:b/>
          <w:bCs/>
          <w:sz w:val="28"/>
          <w:szCs w:val="28"/>
        </w:rPr>
      </w:pPr>
      <w:r w:rsidRPr="004729EB">
        <w:rPr>
          <w:rFonts w:ascii="Arial" w:hAnsi="Arial" w:cs="Arial"/>
          <w:b/>
          <w:bCs/>
          <w:sz w:val="28"/>
          <w:szCs w:val="28"/>
        </w:rPr>
        <w:t>Administrative Skills and Record Keeping</w:t>
      </w:r>
    </w:p>
    <w:p w14:paraId="27E78744" w14:textId="77777777" w:rsidR="003E71DE" w:rsidRDefault="003E71DE" w:rsidP="00C379FE">
      <w:pPr>
        <w:spacing w:line="360" w:lineRule="auto"/>
        <w:rPr>
          <w:rFonts w:ascii="Arial" w:hAnsi="Arial" w:cs="Arial"/>
        </w:rPr>
      </w:pPr>
    </w:p>
    <w:p w14:paraId="254D5F65" w14:textId="1DDC4FA1" w:rsidR="006516A0" w:rsidRPr="00C379FE" w:rsidRDefault="006516A0" w:rsidP="004729EB">
      <w:pPr>
        <w:spacing w:line="360" w:lineRule="auto"/>
        <w:rPr>
          <w:rFonts w:ascii="Arial" w:hAnsi="Arial" w:cs="Arial"/>
        </w:rPr>
      </w:pPr>
      <w:r w:rsidRPr="00C379FE">
        <w:rPr>
          <w:rFonts w:ascii="Arial" w:hAnsi="Arial" w:cs="Arial"/>
        </w:rPr>
        <w:t xml:space="preserve">Effective and timely documentation is fundamental to the provision of safe, quality care that meets individualised patient needs. Records are legal, professional and clinical evidence that support has been given so that there </w:t>
      </w:r>
      <w:r w:rsidR="003E71DE" w:rsidRPr="00C379FE">
        <w:rPr>
          <w:rFonts w:ascii="Arial" w:hAnsi="Arial" w:cs="Arial"/>
        </w:rPr>
        <w:t>are</w:t>
      </w:r>
      <w:r w:rsidRPr="00C379FE">
        <w:rPr>
          <w:rFonts w:ascii="Arial" w:hAnsi="Arial" w:cs="Arial"/>
        </w:rPr>
        <w:t xml:space="preserve"> continuity, transparency and accountability available (Dimond, 2019). Everyone in the MDT is kept informed of the service user’s condition, treatment and wishes by timely documentation which is comprehensive and current. In Mrs Mann's case, there was an issue with the published records and a lack of communication that led to her being given the wrong dose of medicine – just how bad record management can impact patient safety, recovery and health.</w:t>
      </w:r>
    </w:p>
    <w:p w14:paraId="24517D0F" w14:textId="103E342D" w:rsidR="006516A0" w:rsidRPr="00C379FE" w:rsidRDefault="006516A0" w:rsidP="004729EB">
      <w:pPr>
        <w:spacing w:line="360" w:lineRule="auto"/>
        <w:rPr>
          <w:rFonts w:ascii="Arial" w:hAnsi="Arial" w:cs="Arial"/>
        </w:rPr>
      </w:pPr>
      <w:r w:rsidRPr="00C379FE">
        <w:rPr>
          <w:rFonts w:ascii="Arial" w:hAnsi="Arial" w:cs="Arial"/>
        </w:rPr>
        <w:t xml:space="preserve">The legal basis under which the University may collect, process and share your personal data is provided for by the Data Protection Act 2018 and UK General Data Protection Regulation (GDPR). These rules mean that data that relates to Mrs Mann must be recorded correctly, kept safe and only made available to people who have authorised access to it because they need it. Compliance with these laws protects confidentiality and inhibits misuse of sensitive information. Caldicott Principles additionally highlight the importance of maintaining confidentiality, limiting access to only individuals who require information for care purposes and ensuring responsibility when using patient data (Department of Health, 2013). </w:t>
      </w:r>
      <w:r w:rsidR="00512858" w:rsidRPr="00C379FE">
        <w:rPr>
          <w:rFonts w:ascii="Arial" w:hAnsi="Arial" w:cs="Arial"/>
        </w:rPr>
        <w:t>All</w:t>
      </w:r>
      <w:r w:rsidRPr="00C379FE">
        <w:rPr>
          <w:rFonts w:ascii="Arial" w:hAnsi="Arial" w:cs="Arial"/>
        </w:rPr>
        <w:t xml:space="preserve"> these procedures ensure privacy and the climate of trust between the users and professionals.</w:t>
      </w:r>
    </w:p>
    <w:p w14:paraId="65377A58" w14:textId="77777777" w:rsidR="006516A0" w:rsidRPr="00C379FE" w:rsidRDefault="006516A0" w:rsidP="004729EB">
      <w:pPr>
        <w:spacing w:line="360" w:lineRule="auto"/>
        <w:rPr>
          <w:rFonts w:ascii="Arial" w:hAnsi="Arial" w:cs="Arial"/>
        </w:rPr>
      </w:pPr>
      <w:r w:rsidRPr="00C379FE">
        <w:rPr>
          <w:rFonts w:ascii="Arial" w:hAnsi="Arial" w:cs="Arial"/>
        </w:rPr>
        <w:t>Professional obligations also strengthen these duties. The (2018) NMC Code of Conduct states that carers, must keep clear and accurate records which include sufficient details for appropriate provision of care. Good documentation is critical to clinical decision-making and professional accountability. Likewise, the (CQC) Fundamental Standards outline that records should be comprehensive, accurate and readily available to promote safe and effective care (CQC, 2023). Failure to address these issues can result in clinical error with serious consequences for patients, unsafe working practices and loss of public trust.</w:t>
      </w:r>
    </w:p>
    <w:p w14:paraId="1C5D7044" w14:textId="77777777" w:rsidR="006516A0" w:rsidRPr="00C379FE" w:rsidRDefault="006516A0" w:rsidP="004729EB">
      <w:pPr>
        <w:spacing w:line="360" w:lineRule="auto"/>
        <w:rPr>
          <w:rFonts w:ascii="Arial" w:hAnsi="Arial" w:cs="Arial"/>
        </w:rPr>
      </w:pPr>
      <w:r w:rsidRPr="00C379FE">
        <w:rPr>
          <w:rFonts w:ascii="Arial" w:hAnsi="Arial" w:cs="Arial"/>
        </w:rPr>
        <w:t>Administrative competencies are not only related to record writing but also time management, organisation, prioritisation and attention to detail. Care interactions should be entered into the record quickly to avoid being out of date with respect to mobility, pain, nutrition and medications. Where there are electronic record systems and shared digital systems, accuracy and access can be improved across teams when facilitated securely.</w:t>
      </w:r>
    </w:p>
    <w:p w14:paraId="47A8A291" w14:textId="77777777" w:rsidR="006516A0" w:rsidRPr="00C379FE" w:rsidRDefault="006516A0" w:rsidP="004729EB">
      <w:pPr>
        <w:spacing w:line="360" w:lineRule="auto"/>
        <w:rPr>
          <w:rFonts w:ascii="Arial" w:hAnsi="Arial" w:cs="Arial"/>
        </w:rPr>
      </w:pPr>
      <w:r w:rsidRPr="00C379FE">
        <w:rPr>
          <w:rFonts w:ascii="Arial" w:hAnsi="Arial" w:cs="Arial"/>
        </w:rPr>
        <w:lastRenderedPageBreak/>
        <w:t>Inadequate record writing has serious clinical and legal implications. In Mrs Mann’s instance, a delayed change in medication may have affected recovery and her ability to deal with the pain. Perhaps more importantly, poor documentation undermines accountability and interdisciplinary care. Enhancing administrative practice with education, supervision, and audit promotes a culture of accuracy, accountability and good-quality person-centred care.</w:t>
      </w:r>
    </w:p>
    <w:p w14:paraId="2B71618E" w14:textId="77777777" w:rsidR="006516A0" w:rsidRPr="00C379FE" w:rsidRDefault="006516A0" w:rsidP="00C379FE">
      <w:pPr>
        <w:spacing w:line="360" w:lineRule="auto"/>
        <w:rPr>
          <w:rFonts w:ascii="Arial" w:hAnsi="Arial" w:cs="Arial"/>
        </w:rPr>
      </w:pPr>
    </w:p>
    <w:p w14:paraId="66BC02B7" w14:textId="77777777" w:rsidR="00BF632E" w:rsidRPr="00C379FE" w:rsidRDefault="00BF632E" w:rsidP="00C379FE">
      <w:pPr>
        <w:spacing w:line="360" w:lineRule="auto"/>
        <w:rPr>
          <w:rFonts w:ascii="Arial" w:hAnsi="Arial" w:cs="Arial"/>
        </w:rPr>
      </w:pPr>
    </w:p>
    <w:p w14:paraId="17C11E8A" w14:textId="35D42B4F" w:rsidR="006516A0" w:rsidRPr="004729EB" w:rsidRDefault="006516A0" w:rsidP="004729EB">
      <w:pPr>
        <w:pStyle w:val="ListParagraph"/>
        <w:numPr>
          <w:ilvl w:val="0"/>
          <w:numId w:val="5"/>
        </w:numPr>
        <w:spacing w:line="360" w:lineRule="auto"/>
        <w:rPr>
          <w:rFonts w:ascii="Arial" w:hAnsi="Arial" w:cs="Arial"/>
          <w:b/>
          <w:bCs/>
          <w:sz w:val="28"/>
          <w:szCs w:val="28"/>
        </w:rPr>
      </w:pPr>
      <w:r w:rsidRPr="004729EB">
        <w:rPr>
          <w:rFonts w:ascii="Arial" w:hAnsi="Arial" w:cs="Arial"/>
          <w:b/>
          <w:bCs/>
          <w:sz w:val="28"/>
          <w:szCs w:val="28"/>
        </w:rPr>
        <w:t>Collaborative Working</w:t>
      </w:r>
    </w:p>
    <w:p w14:paraId="4D0190E4" w14:textId="77777777" w:rsidR="003E71DE" w:rsidRDefault="003E71DE" w:rsidP="00C379FE">
      <w:pPr>
        <w:spacing w:line="360" w:lineRule="auto"/>
        <w:rPr>
          <w:rFonts w:ascii="Arial" w:hAnsi="Arial" w:cs="Arial"/>
        </w:rPr>
      </w:pPr>
    </w:p>
    <w:p w14:paraId="66BD5A6A" w14:textId="2BF6B62F" w:rsidR="006516A0" w:rsidRPr="00C379FE" w:rsidRDefault="006516A0" w:rsidP="004729EB">
      <w:pPr>
        <w:spacing w:line="360" w:lineRule="auto"/>
        <w:rPr>
          <w:rFonts w:ascii="Arial" w:hAnsi="Arial" w:cs="Arial"/>
        </w:rPr>
      </w:pPr>
      <w:bookmarkStart w:id="0" w:name="_Hlk214033638"/>
      <w:r w:rsidRPr="00C379FE">
        <w:rPr>
          <w:rFonts w:ascii="Arial" w:hAnsi="Arial" w:cs="Arial"/>
        </w:rPr>
        <w:t xml:space="preserve">Good multi-agency working ensures that people like Mrs Mann get the well-coordinated, holistic and person-centred care inter-professionally. There is potential for interprofessional collaboration between domiciliary carers, the GP and the physiotherapist </w:t>
      </w:r>
      <w:r w:rsidR="003975EB" w:rsidRPr="00C379FE">
        <w:rPr>
          <w:rFonts w:ascii="Arial" w:hAnsi="Arial" w:cs="Arial"/>
        </w:rPr>
        <w:t>to</w:t>
      </w:r>
      <w:r w:rsidRPr="00C379FE">
        <w:rPr>
          <w:rFonts w:ascii="Arial" w:hAnsi="Arial" w:cs="Arial"/>
        </w:rPr>
        <w:t xml:space="preserve"> achieve continuity, reduce duplication and prevent errors (Glasby and Dickinson 2022). Such interprofessional working enables each professional to contribute their personal and specialized skills in order that the service users are holistically addressed: physically, emotionally and socially achieved.</w:t>
      </w:r>
    </w:p>
    <w:p w14:paraId="09428863" w14:textId="02A86BDD" w:rsidR="006516A0" w:rsidRPr="00C379FE" w:rsidRDefault="006516A0" w:rsidP="004729EB">
      <w:pPr>
        <w:spacing w:line="360" w:lineRule="auto"/>
        <w:rPr>
          <w:rFonts w:ascii="Arial" w:hAnsi="Arial" w:cs="Arial"/>
        </w:rPr>
      </w:pPr>
      <w:r w:rsidRPr="00C379FE">
        <w:rPr>
          <w:rFonts w:ascii="Arial" w:hAnsi="Arial" w:cs="Arial"/>
        </w:rPr>
        <w:t xml:space="preserve">Shared care-plans and frequent multi-disciplinary review are the lynch pins for doing so. They offer a platform for professionals to share updates, reflect on progress and establish consensus about treatment goals. Coordination and communication </w:t>
      </w:r>
      <w:r w:rsidR="00BF632E" w:rsidRPr="00C379FE">
        <w:rPr>
          <w:rFonts w:ascii="Arial" w:hAnsi="Arial" w:cs="Arial"/>
        </w:rPr>
        <w:t>are</w:t>
      </w:r>
      <w:r w:rsidRPr="00C379FE">
        <w:rPr>
          <w:rFonts w:ascii="Arial" w:hAnsi="Arial" w:cs="Arial"/>
        </w:rPr>
        <w:t xml:space="preserve"> further supported </w:t>
      </w:r>
      <w:r w:rsidR="00EC7FD6" w:rsidRPr="00C379FE">
        <w:rPr>
          <w:rFonts w:ascii="Arial" w:hAnsi="Arial" w:cs="Arial"/>
        </w:rPr>
        <w:t>using</w:t>
      </w:r>
      <w:r w:rsidRPr="00C379FE">
        <w:rPr>
          <w:rFonts w:ascii="Arial" w:hAnsi="Arial" w:cs="Arial"/>
        </w:rPr>
        <w:t xml:space="preserve"> digital tools that include shared electronic records and secure messaging systems (NHS England, 2023). 'For Mrs Mann, this holistic approach is important to coordinate any changes in medication with the progression of her physiotherapy and to make sure that she’s constantly being monitored for her general health.</w:t>
      </w:r>
    </w:p>
    <w:p w14:paraId="58770119" w14:textId="69331014" w:rsidR="006516A0" w:rsidRPr="00C379FE" w:rsidRDefault="006516A0" w:rsidP="004729EB">
      <w:pPr>
        <w:spacing w:line="360" w:lineRule="auto"/>
        <w:rPr>
          <w:rFonts w:ascii="Arial" w:hAnsi="Arial" w:cs="Arial"/>
        </w:rPr>
      </w:pPr>
      <w:r w:rsidRPr="00C379FE">
        <w:rPr>
          <w:rFonts w:ascii="Arial" w:hAnsi="Arial" w:cs="Arial"/>
        </w:rPr>
        <w:t xml:space="preserve">Despite this, there are many obstacles that can prevent teamwork from taking place. These issues include lack of documentation, conflicting organisational priorities and poor communication. Language and cultural barriers to cooperation between providers can also be an issue, especially if a family member who is not a professional interpreter translates information. </w:t>
      </w:r>
      <w:r w:rsidR="00BF632E" w:rsidRPr="00C379FE">
        <w:rPr>
          <w:rFonts w:ascii="Arial" w:hAnsi="Arial" w:cs="Arial"/>
        </w:rPr>
        <w:t>To</w:t>
      </w:r>
      <w:r w:rsidRPr="00C379FE">
        <w:rPr>
          <w:rFonts w:ascii="Arial" w:hAnsi="Arial" w:cs="Arial"/>
        </w:rPr>
        <w:t xml:space="preserve"> meet these challenges, agencies need to adopt clear communication processes and nominate a lead professional as 'coordinator' for the child and family, additionally providing routine joint reviews. Use of the SBAR (Situation, Background, Assessment, Recommendation) model may assist in maintaining uniformity of professional dialogue and enhance accuracy, responsibility and communication.</w:t>
      </w:r>
    </w:p>
    <w:p w14:paraId="687212B1" w14:textId="77777777" w:rsidR="006516A0" w:rsidRPr="00C379FE" w:rsidRDefault="006516A0" w:rsidP="004729EB">
      <w:pPr>
        <w:spacing w:line="360" w:lineRule="auto"/>
        <w:rPr>
          <w:rFonts w:ascii="Arial" w:hAnsi="Arial" w:cs="Arial"/>
        </w:rPr>
      </w:pPr>
      <w:r w:rsidRPr="00C379FE">
        <w:rPr>
          <w:rFonts w:ascii="Arial" w:hAnsi="Arial" w:cs="Arial"/>
        </w:rPr>
        <w:lastRenderedPageBreak/>
        <w:t>In the end, the foundation of productive collaboration is respect, trust and mutual accountability. When used effectively, it adds to Mrs Mann’s safety, recovery and independence and is in keeping with integrated person-centred care.</w:t>
      </w:r>
    </w:p>
    <w:p w14:paraId="7B43FEBE" w14:textId="77777777" w:rsidR="006516A0" w:rsidRPr="00C379FE" w:rsidRDefault="006516A0" w:rsidP="00C379FE">
      <w:pPr>
        <w:spacing w:line="360" w:lineRule="auto"/>
        <w:rPr>
          <w:rFonts w:ascii="Arial" w:hAnsi="Arial" w:cs="Arial"/>
        </w:rPr>
      </w:pPr>
    </w:p>
    <w:p w14:paraId="47083C4B" w14:textId="77777777" w:rsidR="00996902" w:rsidRDefault="00996902" w:rsidP="00C379FE">
      <w:pPr>
        <w:spacing w:line="360" w:lineRule="auto"/>
        <w:rPr>
          <w:rFonts w:ascii="Arial" w:hAnsi="Arial" w:cs="Arial"/>
          <w:b/>
          <w:bCs/>
          <w:sz w:val="28"/>
          <w:szCs w:val="28"/>
        </w:rPr>
      </w:pPr>
    </w:p>
    <w:p w14:paraId="32A15A7D" w14:textId="7875A806" w:rsidR="006516A0" w:rsidRPr="004729EB" w:rsidRDefault="006516A0" w:rsidP="004729EB">
      <w:pPr>
        <w:pStyle w:val="ListParagraph"/>
        <w:numPr>
          <w:ilvl w:val="0"/>
          <w:numId w:val="5"/>
        </w:numPr>
        <w:spacing w:line="360" w:lineRule="auto"/>
        <w:rPr>
          <w:rFonts w:ascii="Arial" w:hAnsi="Arial" w:cs="Arial"/>
          <w:b/>
          <w:bCs/>
          <w:sz w:val="28"/>
          <w:szCs w:val="28"/>
        </w:rPr>
      </w:pPr>
      <w:r w:rsidRPr="004729EB">
        <w:rPr>
          <w:rFonts w:ascii="Arial" w:hAnsi="Arial" w:cs="Arial"/>
          <w:b/>
          <w:bCs/>
          <w:sz w:val="28"/>
          <w:szCs w:val="28"/>
        </w:rPr>
        <w:t>Conclusion</w:t>
      </w:r>
    </w:p>
    <w:p w14:paraId="1870A954" w14:textId="77777777" w:rsidR="00BF632E" w:rsidRPr="00C379FE" w:rsidRDefault="00BF632E" w:rsidP="00C379FE">
      <w:pPr>
        <w:spacing w:line="360" w:lineRule="auto"/>
        <w:rPr>
          <w:rFonts w:ascii="Arial" w:hAnsi="Arial" w:cs="Arial"/>
        </w:rPr>
      </w:pPr>
    </w:p>
    <w:p w14:paraId="7319429A" w14:textId="4E25BA80" w:rsidR="006516A0" w:rsidRPr="00C379FE" w:rsidRDefault="006516A0" w:rsidP="004729EB">
      <w:pPr>
        <w:spacing w:line="360" w:lineRule="auto"/>
        <w:rPr>
          <w:rFonts w:ascii="Arial" w:hAnsi="Arial" w:cs="Arial"/>
        </w:rPr>
      </w:pPr>
      <w:r w:rsidRPr="00C379FE">
        <w:rPr>
          <w:rFonts w:ascii="Arial" w:hAnsi="Arial" w:cs="Arial"/>
        </w:rPr>
        <w:t>Mrs Mann’s case emphasises the linkage between effective communication, administrative skills, and collaborative working in delivering safe, person-centred care. Interpreters, visual aids and cultural sensitivities help to support understanding of the disease and empowerment to undergo treatment. Legislation and professional codes guide accurate documentation to ensure that both accountability and continuity are upheld. At the same time, joint working between health and social care,” pools expertise to offer truly holistic care.</w:t>
      </w:r>
    </w:p>
    <w:p w14:paraId="2B1CFBF1" w14:textId="77777777" w:rsidR="006516A0" w:rsidRPr="00C379FE" w:rsidRDefault="006516A0" w:rsidP="004729EB">
      <w:pPr>
        <w:spacing w:line="360" w:lineRule="auto"/>
        <w:rPr>
          <w:rFonts w:ascii="Arial" w:hAnsi="Arial" w:cs="Arial"/>
        </w:rPr>
      </w:pPr>
      <w:r w:rsidRPr="00C379FE">
        <w:rPr>
          <w:rFonts w:ascii="Arial" w:hAnsi="Arial" w:cs="Arial"/>
        </w:rPr>
        <w:t>The drugs mishap highlights the dangers of bad communication and documentation, which should serve as a reminder that practice should always be evolving. Taken together, Mrs Mann’s case highlights that professional care is not just about clinical competence but also ethics, culture awareness and teamwork. Strengthening in these areas will lead to more safety, trust and dignity during care.</w:t>
      </w:r>
    </w:p>
    <w:p w14:paraId="11FA18E8" w14:textId="77777777" w:rsidR="006516A0" w:rsidRPr="00C379FE" w:rsidRDefault="006516A0" w:rsidP="00C379FE">
      <w:pPr>
        <w:spacing w:line="360" w:lineRule="auto"/>
        <w:rPr>
          <w:rFonts w:ascii="Arial" w:hAnsi="Arial" w:cs="Arial"/>
        </w:rPr>
      </w:pPr>
    </w:p>
    <w:bookmarkEnd w:id="0"/>
    <w:p w14:paraId="429A3347" w14:textId="77777777" w:rsidR="006516A0" w:rsidRPr="00C379FE" w:rsidRDefault="006516A0" w:rsidP="00C379FE">
      <w:pPr>
        <w:spacing w:line="360" w:lineRule="auto"/>
        <w:rPr>
          <w:rFonts w:ascii="Arial" w:hAnsi="Arial" w:cs="Arial"/>
        </w:rPr>
      </w:pPr>
    </w:p>
    <w:p w14:paraId="30AE1112" w14:textId="77777777" w:rsidR="006516A0" w:rsidRPr="00C379FE" w:rsidRDefault="006516A0" w:rsidP="00C379FE">
      <w:pPr>
        <w:spacing w:line="360" w:lineRule="auto"/>
        <w:rPr>
          <w:rFonts w:ascii="Arial" w:hAnsi="Arial" w:cs="Arial"/>
        </w:rPr>
      </w:pPr>
    </w:p>
    <w:p w14:paraId="20D1B70F" w14:textId="77777777" w:rsidR="006516A0" w:rsidRPr="00C379FE" w:rsidRDefault="006516A0" w:rsidP="00C379FE">
      <w:pPr>
        <w:spacing w:line="360" w:lineRule="auto"/>
        <w:rPr>
          <w:rFonts w:ascii="Arial" w:hAnsi="Arial" w:cs="Arial"/>
        </w:rPr>
      </w:pPr>
    </w:p>
    <w:p w14:paraId="722D4A94" w14:textId="77777777" w:rsidR="006516A0" w:rsidRPr="00C379FE" w:rsidRDefault="006516A0" w:rsidP="00C379FE">
      <w:pPr>
        <w:spacing w:line="360" w:lineRule="auto"/>
        <w:rPr>
          <w:rFonts w:ascii="Arial" w:hAnsi="Arial" w:cs="Arial"/>
        </w:rPr>
      </w:pPr>
    </w:p>
    <w:p w14:paraId="291BB051" w14:textId="77777777" w:rsidR="00BF632E" w:rsidRPr="00C379FE" w:rsidRDefault="00BF632E" w:rsidP="00C379FE">
      <w:pPr>
        <w:spacing w:line="360" w:lineRule="auto"/>
        <w:rPr>
          <w:rFonts w:ascii="Arial" w:hAnsi="Arial" w:cs="Arial"/>
          <w:b/>
          <w:bCs/>
        </w:rPr>
      </w:pPr>
    </w:p>
    <w:p w14:paraId="2E639287" w14:textId="77777777" w:rsidR="00BF632E" w:rsidRPr="00C379FE" w:rsidRDefault="00BF632E" w:rsidP="00C379FE">
      <w:pPr>
        <w:spacing w:line="360" w:lineRule="auto"/>
        <w:rPr>
          <w:rFonts w:ascii="Arial" w:hAnsi="Arial" w:cs="Arial"/>
          <w:b/>
          <w:bCs/>
        </w:rPr>
      </w:pPr>
    </w:p>
    <w:p w14:paraId="37A1E9A2" w14:textId="77777777" w:rsidR="00BF632E" w:rsidRPr="00C379FE" w:rsidRDefault="00BF632E" w:rsidP="00C379FE">
      <w:pPr>
        <w:spacing w:line="360" w:lineRule="auto"/>
        <w:rPr>
          <w:rFonts w:ascii="Arial" w:hAnsi="Arial" w:cs="Arial"/>
          <w:b/>
          <w:bCs/>
        </w:rPr>
      </w:pPr>
    </w:p>
    <w:p w14:paraId="08E7C4B5" w14:textId="77777777" w:rsidR="00BF632E" w:rsidRPr="00C379FE" w:rsidRDefault="00BF632E" w:rsidP="00C379FE">
      <w:pPr>
        <w:spacing w:line="360" w:lineRule="auto"/>
        <w:rPr>
          <w:rFonts w:ascii="Arial" w:hAnsi="Arial" w:cs="Arial"/>
          <w:b/>
          <w:bCs/>
        </w:rPr>
      </w:pPr>
    </w:p>
    <w:p w14:paraId="47A751A8" w14:textId="77777777" w:rsidR="004729EB" w:rsidRDefault="004729EB" w:rsidP="00C379FE">
      <w:pPr>
        <w:spacing w:line="360" w:lineRule="auto"/>
        <w:rPr>
          <w:rFonts w:ascii="Arial" w:hAnsi="Arial" w:cs="Arial"/>
          <w:b/>
          <w:bCs/>
        </w:rPr>
      </w:pPr>
    </w:p>
    <w:p w14:paraId="49F74DD6" w14:textId="40EC6339" w:rsidR="006516A0" w:rsidRPr="004729EB" w:rsidRDefault="003E71DE" w:rsidP="004729EB">
      <w:pPr>
        <w:pStyle w:val="ListParagraph"/>
        <w:numPr>
          <w:ilvl w:val="0"/>
          <w:numId w:val="5"/>
        </w:numPr>
        <w:spacing w:line="360" w:lineRule="auto"/>
        <w:rPr>
          <w:rFonts w:ascii="Arial" w:hAnsi="Arial" w:cs="Arial"/>
          <w:sz w:val="28"/>
          <w:szCs w:val="28"/>
        </w:rPr>
      </w:pPr>
      <w:r w:rsidRPr="004729EB">
        <w:rPr>
          <w:rFonts w:ascii="Arial" w:hAnsi="Arial" w:cs="Arial"/>
          <w:b/>
          <w:bCs/>
          <w:sz w:val="28"/>
          <w:szCs w:val="28"/>
        </w:rPr>
        <w:lastRenderedPageBreak/>
        <w:t>References</w:t>
      </w:r>
      <w:r w:rsidRPr="004729EB">
        <w:rPr>
          <w:rFonts w:ascii="Arial" w:hAnsi="Arial" w:cs="Arial"/>
          <w:sz w:val="28"/>
          <w:szCs w:val="28"/>
        </w:rPr>
        <w:t>:</w:t>
      </w:r>
      <w:r w:rsidR="006516A0" w:rsidRPr="004729EB">
        <w:rPr>
          <w:rFonts w:ascii="Arial" w:hAnsi="Arial" w:cs="Arial"/>
          <w:sz w:val="28"/>
          <w:szCs w:val="28"/>
        </w:rPr>
        <w:t xml:space="preserve"> </w:t>
      </w:r>
    </w:p>
    <w:p w14:paraId="4E930BEC" w14:textId="77777777" w:rsidR="006516A0" w:rsidRDefault="006516A0" w:rsidP="00C379FE">
      <w:pPr>
        <w:spacing w:line="360" w:lineRule="auto"/>
        <w:rPr>
          <w:rFonts w:ascii="Arial" w:hAnsi="Arial" w:cs="Arial"/>
        </w:rPr>
      </w:pPr>
    </w:p>
    <w:p w14:paraId="6EA82D50" w14:textId="77777777" w:rsidR="004729EB" w:rsidRPr="00C379FE" w:rsidRDefault="004729EB" w:rsidP="00C379FE">
      <w:pPr>
        <w:spacing w:line="360" w:lineRule="auto"/>
        <w:rPr>
          <w:rFonts w:ascii="Arial" w:hAnsi="Arial" w:cs="Arial"/>
        </w:rPr>
      </w:pPr>
    </w:p>
    <w:p w14:paraId="7A3D35D2" w14:textId="4C52AE3D" w:rsidR="006516A0" w:rsidRDefault="006516A0" w:rsidP="00E52236">
      <w:pPr>
        <w:spacing w:line="360" w:lineRule="auto"/>
        <w:rPr>
          <w:rFonts w:ascii="Arial" w:hAnsi="Arial" w:cs="Arial"/>
        </w:rPr>
      </w:pPr>
      <w:r w:rsidRPr="00C379FE">
        <w:rPr>
          <w:rFonts w:ascii="Arial" w:hAnsi="Arial" w:cs="Arial"/>
        </w:rPr>
        <w:t>1.</w:t>
      </w:r>
      <w:r w:rsidRPr="00C379FE">
        <w:rPr>
          <w:rFonts w:ascii="Arial" w:hAnsi="Arial" w:cs="Arial"/>
        </w:rPr>
        <w:tab/>
        <w:t xml:space="preserve">Agency for Healthcare Research and Quality (n.d.) Tool: SBAR (Situation-Background-Assessment-Recommendation).  Rockville, MD: AHRQ.  </w:t>
      </w:r>
      <w:hyperlink r:id="rId10" w:history="1">
        <w:r w:rsidR="00C960A1" w:rsidRPr="00F71060">
          <w:rPr>
            <w:rStyle w:val="Hyperlink"/>
            <w:rFonts w:ascii="Arial" w:hAnsi="Arial" w:cs="Arial"/>
          </w:rPr>
          <w:t>https://www.ahrq.gov/teamstepps-program/curriculum/communication/tools/sbar.html</w:t>
        </w:r>
      </w:hyperlink>
    </w:p>
    <w:p w14:paraId="1946B85F" w14:textId="77777777" w:rsidR="006516A0" w:rsidRPr="00C379FE" w:rsidRDefault="006516A0" w:rsidP="00E52236">
      <w:pPr>
        <w:spacing w:line="360" w:lineRule="auto"/>
        <w:rPr>
          <w:rFonts w:ascii="Arial" w:hAnsi="Arial" w:cs="Arial"/>
        </w:rPr>
      </w:pPr>
    </w:p>
    <w:p w14:paraId="491BCA63" w14:textId="6C34003B" w:rsidR="006516A0" w:rsidRDefault="006516A0" w:rsidP="00E52236">
      <w:pPr>
        <w:spacing w:line="360" w:lineRule="auto"/>
        <w:rPr>
          <w:rFonts w:ascii="Arial" w:hAnsi="Arial" w:cs="Arial"/>
        </w:rPr>
      </w:pPr>
      <w:r w:rsidRPr="00C379FE">
        <w:rPr>
          <w:rFonts w:ascii="Arial" w:hAnsi="Arial" w:cs="Arial"/>
        </w:rPr>
        <w:t>2.</w:t>
      </w:r>
      <w:r w:rsidRPr="00C379FE">
        <w:rPr>
          <w:rFonts w:ascii="Arial" w:hAnsi="Arial" w:cs="Arial"/>
        </w:rPr>
        <w:tab/>
        <w:t xml:space="preserve">Department of Health (2013) Information: to share or not to share? The Information Governance Review.  London: DH.  </w:t>
      </w:r>
      <w:hyperlink r:id="rId11" w:history="1">
        <w:r w:rsidR="00C960A1" w:rsidRPr="00F71060">
          <w:rPr>
            <w:rStyle w:val="Hyperlink"/>
            <w:rFonts w:ascii="Arial" w:hAnsi="Arial" w:cs="Arial"/>
          </w:rPr>
          <w:t>https://assets.publishing.service.gov.uk/media/5a7a035fe5274a34770e3a01/2900774_InfoGovernance_accv2.pdf</w:t>
        </w:r>
      </w:hyperlink>
    </w:p>
    <w:p w14:paraId="4A300271" w14:textId="77777777" w:rsidR="006516A0" w:rsidRPr="00C379FE" w:rsidRDefault="006516A0" w:rsidP="00E52236">
      <w:pPr>
        <w:spacing w:line="360" w:lineRule="auto"/>
        <w:rPr>
          <w:rFonts w:ascii="Arial" w:hAnsi="Arial" w:cs="Arial"/>
        </w:rPr>
      </w:pPr>
    </w:p>
    <w:p w14:paraId="1306D208" w14:textId="2A71DF41" w:rsidR="006516A0" w:rsidRDefault="006516A0" w:rsidP="00E52236">
      <w:pPr>
        <w:spacing w:line="360" w:lineRule="auto"/>
        <w:rPr>
          <w:rFonts w:ascii="Arial" w:hAnsi="Arial" w:cs="Arial"/>
        </w:rPr>
      </w:pPr>
      <w:r w:rsidRPr="00C379FE">
        <w:rPr>
          <w:rFonts w:ascii="Arial" w:hAnsi="Arial" w:cs="Arial"/>
        </w:rPr>
        <w:t>3.</w:t>
      </w:r>
      <w:r w:rsidRPr="00C379FE">
        <w:rPr>
          <w:rFonts w:ascii="Arial" w:hAnsi="Arial" w:cs="Arial"/>
        </w:rPr>
        <w:tab/>
        <w:t xml:space="preserve">Equality Act 2010 (2010) Equality Act 2010.  London: The Stationery Office.  </w:t>
      </w:r>
      <w:hyperlink r:id="rId12" w:history="1">
        <w:r w:rsidR="00C960A1" w:rsidRPr="00F71060">
          <w:rPr>
            <w:rStyle w:val="Hyperlink"/>
            <w:rFonts w:ascii="Arial" w:hAnsi="Arial" w:cs="Arial"/>
          </w:rPr>
          <w:t>https://www.legislation.gov.uk/ukpga/2010/15/contents</w:t>
        </w:r>
      </w:hyperlink>
    </w:p>
    <w:p w14:paraId="4D23DA1B" w14:textId="2FA299C5" w:rsidR="00C960A1" w:rsidRDefault="003975EB" w:rsidP="00E52236">
      <w:pPr>
        <w:spacing w:line="360" w:lineRule="auto"/>
        <w:rPr>
          <w:rFonts w:ascii="Arial" w:hAnsi="Arial" w:cs="Arial"/>
        </w:rPr>
      </w:pPr>
      <w:r w:rsidRPr="003975EB">
        <w:rPr>
          <w:rFonts w:ascii="Arial" w:hAnsi="Arial" w:cs="Arial"/>
        </w:rPr>
        <w:t>https://www.legislation.gov.uk/ukpga/2010/15/part/2/chapter/1</w:t>
      </w:r>
    </w:p>
    <w:p w14:paraId="07B44B0F" w14:textId="77777777" w:rsidR="006516A0" w:rsidRPr="00C379FE" w:rsidRDefault="006516A0" w:rsidP="00E52236">
      <w:pPr>
        <w:spacing w:line="360" w:lineRule="auto"/>
        <w:rPr>
          <w:rFonts w:ascii="Arial" w:hAnsi="Arial" w:cs="Arial"/>
        </w:rPr>
      </w:pPr>
    </w:p>
    <w:p w14:paraId="471024E5" w14:textId="6D7CAF6D" w:rsidR="006516A0" w:rsidRDefault="006516A0" w:rsidP="00E52236">
      <w:pPr>
        <w:spacing w:line="360" w:lineRule="auto"/>
        <w:rPr>
          <w:rFonts w:ascii="Arial" w:hAnsi="Arial" w:cs="Arial"/>
        </w:rPr>
      </w:pPr>
      <w:r w:rsidRPr="00C379FE">
        <w:rPr>
          <w:rFonts w:ascii="Arial" w:hAnsi="Arial" w:cs="Arial"/>
        </w:rPr>
        <w:t>4.</w:t>
      </w:r>
      <w:r w:rsidRPr="00C379FE">
        <w:rPr>
          <w:rFonts w:ascii="Arial" w:hAnsi="Arial" w:cs="Arial"/>
        </w:rPr>
        <w:tab/>
        <w:t xml:space="preserve">Haig, K.M., Sutton, S. and Whittington, J. (2006) ‘SBAR: a shared mental model for improving communication between clinicians’, Journal of Joint Commission on Quality and Patient Safety, 32(3), pp. 167–175.  </w:t>
      </w:r>
      <w:hyperlink r:id="rId13" w:history="1">
        <w:r w:rsidR="00C960A1" w:rsidRPr="00F71060">
          <w:rPr>
            <w:rStyle w:val="Hyperlink"/>
            <w:rFonts w:ascii="Arial" w:hAnsi="Arial" w:cs="Arial"/>
          </w:rPr>
          <w:t>https://pubmed.ncbi.nlm.nih.gov/16617948/</w:t>
        </w:r>
      </w:hyperlink>
    </w:p>
    <w:p w14:paraId="516445B3" w14:textId="77777777" w:rsidR="006516A0" w:rsidRPr="00C379FE" w:rsidRDefault="006516A0" w:rsidP="00E52236">
      <w:pPr>
        <w:spacing w:line="360" w:lineRule="auto"/>
        <w:rPr>
          <w:rFonts w:ascii="Arial" w:hAnsi="Arial" w:cs="Arial"/>
        </w:rPr>
      </w:pPr>
    </w:p>
    <w:p w14:paraId="378098CE" w14:textId="528E07D4" w:rsidR="006516A0" w:rsidRDefault="006516A0" w:rsidP="00E52236">
      <w:pPr>
        <w:spacing w:line="360" w:lineRule="auto"/>
        <w:rPr>
          <w:rFonts w:ascii="Arial" w:hAnsi="Arial" w:cs="Arial"/>
        </w:rPr>
      </w:pPr>
      <w:r w:rsidRPr="00C379FE">
        <w:rPr>
          <w:rFonts w:ascii="Arial" w:hAnsi="Arial" w:cs="Arial"/>
        </w:rPr>
        <w:t>5.</w:t>
      </w:r>
      <w:r w:rsidRPr="00C379FE">
        <w:rPr>
          <w:rFonts w:ascii="Arial" w:hAnsi="Arial" w:cs="Arial"/>
        </w:rPr>
        <w:tab/>
        <w:t xml:space="preserve">Institute for Healthcare Improvement (n.d.) SBAR Tool: Situation-Background-Assessment-Recommendation.  IHI.  </w:t>
      </w:r>
      <w:hyperlink r:id="rId14" w:history="1">
        <w:r w:rsidR="00C960A1" w:rsidRPr="00F71060">
          <w:rPr>
            <w:rStyle w:val="Hyperlink"/>
            <w:rFonts w:ascii="Arial" w:hAnsi="Arial" w:cs="Arial"/>
          </w:rPr>
          <w:t>https://www.ihi.org/library/tools/sbar-tool-situation-background-assessment-recommendation</w:t>
        </w:r>
      </w:hyperlink>
    </w:p>
    <w:p w14:paraId="5B72DC11" w14:textId="77777777" w:rsidR="006516A0" w:rsidRPr="00C379FE" w:rsidRDefault="006516A0" w:rsidP="00E52236">
      <w:pPr>
        <w:spacing w:line="360" w:lineRule="auto"/>
        <w:rPr>
          <w:rFonts w:ascii="Arial" w:hAnsi="Arial" w:cs="Arial"/>
        </w:rPr>
      </w:pPr>
    </w:p>
    <w:p w14:paraId="5B0FEF38" w14:textId="571EC17C" w:rsidR="006516A0" w:rsidRDefault="006516A0" w:rsidP="00E52236">
      <w:pPr>
        <w:spacing w:line="360" w:lineRule="auto"/>
        <w:rPr>
          <w:rFonts w:ascii="Arial" w:hAnsi="Arial" w:cs="Arial"/>
        </w:rPr>
      </w:pPr>
      <w:r w:rsidRPr="00C379FE">
        <w:rPr>
          <w:rFonts w:ascii="Arial" w:hAnsi="Arial" w:cs="Arial"/>
        </w:rPr>
        <w:t>6.</w:t>
      </w:r>
      <w:r w:rsidRPr="00C379FE">
        <w:rPr>
          <w:rFonts w:ascii="Arial" w:hAnsi="Arial" w:cs="Arial"/>
        </w:rPr>
        <w:tab/>
        <w:t xml:space="preserve">Nursing and Midwifery Council (2018) The Code: Professional standards of practice and behaviour for nurses, midwives and nursing associates.  London: NMC.  </w:t>
      </w:r>
      <w:hyperlink r:id="rId15" w:history="1">
        <w:r w:rsidR="00C960A1" w:rsidRPr="00F71060">
          <w:rPr>
            <w:rStyle w:val="Hyperlink"/>
            <w:rFonts w:ascii="Arial" w:hAnsi="Arial" w:cs="Arial"/>
          </w:rPr>
          <w:t>https://www.nmc.org.uk/standards/code/</w:t>
        </w:r>
      </w:hyperlink>
    </w:p>
    <w:p w14:paraId="2DB3CDC5" w14:textId="77777777" w:rsidR="00C960A1" w:rsidRPr="00C379FE" w:rsidRDefault="00C960A1" w:rsidP="00E52236">
      <w:pPr>
        <w:spacing w:line="360" w:lineRule="auto"/>
        <w:rPr>
          <w:rFonts w:ascii="Arial" w:hAnsi="Arial" w:cs="Arial"/>
        </w:rPr>
      </w:pPr>
    </w:p>
    <w:p w14:paraId="2C42D1C4" w14:textId="712DF345" w:rsidR="006516A0" w:rsidRDefault="006516A0" w:rsidP="00E52236">
      <w:pPr>
        <w:spacing w:line="360" w:lineRule="auto"/>
        <w:rPr>
          <w:rFonts w:ascii="Arial" w:hAnsi="Arial" w:cs="Arial"/>
        </w:rPr>
      </w:pPr>
      <w:r w:rsidRPr="00C379FE">
        <w:rPr>
          <w:rFonts w:ascii="Arial" w:hAnsi="Arial" w:cs="Arial"/>
        </w:rPr>
        <w:lastRenderedPageBreak/>
        <w:t>7.</w:t>
      </w:r>
      <w:r w:rsidRPr="00C379FE">
        <w:rPr>
          <w:rFonts w:ascii="Arial" w:hAnsi="Arial" w:cs="Arial"/>
        </w:rPr>
        <w:tab/>
        <w:t xml:space="preserve">United Kingdom Government (2023) Data protection: The UK’s data protection legislation.  GOV.UK.  </w:t>
      </w:r>
      <w:hyperlink r:id="rId16" w:history="1">
        <w:r w:rsidR="00C960A1" w:rsidRPr="00F71060">
          <w:rPr>
            <w:rStyle w:val="Hyperlink"/>
            <w:rFonts w:ascii="Arial" w:hAnsi="Arial" w:cs="Arial"/>
          </w:rPr>
          <w:t>https://www.gov.uk/data-protection</w:t>
        </w:r>
      </w:hyperlink>
    </w:p>
    <w:p w14:paraId="1A76188F" w14:textId="77777777" w:rsidR="006516A0" w:rsidRPr="00C379FE" w:rsidRDefault="006516A0" w:rsidP="00E52236">
      <w:pPr>
        <w:spacing w:line="360" w:lineRule="auto"/>
        <w:rPr>
          <w:rFonts w:ascii="Arial" w:hAnsi="Arial" w:cs="Arial"/>
        </w:rPr>
      </w:pPr>
    </w:p>
    <w:p w14:paraId="43086AA0" w14:textId="420190EF" w:rsidR="00C960A1" w:rsidRDefault="006516A0" w:rsidP="00E52236">
      <w:pPr>
        <w:spacing w:line="360" w:lineRule="auto"/>
        <w:rPr>
          <w:rFonts w:ascii="Arial" w:hAnsi="Arial" w:cs="Arial"/>
        </w:rPr>
      </w:pPr>
      <w:r w:rsidRPr="00C379FE">
        <w:rPr>
          <w:rFonts w:ascii="Arial" w:hAnsi="Arial" w:cs="Arial"/>
        </w:rPr>
        <w:t>8.</w:t>
      </w:r>
      <w:r w:rsidRPr="00C379FE">
        <w:rPr>
          <w:rFonts w:ascii="Arial" w:hAnsi="Arial" w:cs="Arial"/>
        </w:rPr>
        <w:tab/>
        <w:t xml:space="preserve">Powell, R.E., Doty, A., Casten, R.J. et al. (2016) ‘A qualitative analysis of interprofessional healthcare team members’ perceptions of patient barriers to healthcare engagement’, BMC Health Services Research, 16:493. </w:t>
      </w:r>
      <w:r w:rsidR="00996902" w:rsidRPr="00C379FE">
        <w:rPr>
          <w:rFonts w:ascii="Arial" w:hAnsi="Arial" w:cs="Arial"/>
        </w:rPr>
        <w:t>Doi</w:t>
      </w:r>
      <w:r w:rsidRPr="00C379FE">
        <w:rPr>
          <w:rFonts w:ascii="Arial" w:hAnsi="Arial" w:cs="Arial"/>
        </w:rPr>
        <w:t xml:space="preserve">: 10.1186/s12913-016-1751-5.  </w:t>
      </w:r>
      <w:hyperlink r:id="rId17" w:history="1">
        <w:r w:rsidR="00C960A1" w:rsidRPr="00F71060">
          <w:rPr>
            <w:rStyle w:val="Hyperlink"/>
            <w:rFonts w:ascii="Arial" w:hAnsi="Arial" w:cs="Arial"/>
          </w:rPr>
          <w:t>https://bmchealthservres.biomedcentral.com/articles/10.1186/s12913-016-1751-5</w:t>
        </w:r>
      </w:hyperlink>
    </w:p>
    <w:p w14:paraId="66611630" w14:textId="0CAC24B2" w:rsidR="006516A0" w:rsidRPr="00C379FE" w:rsidRDefault="006516A0" w:rsidP="00E52236">
      <w:pPr>
        <w:spacing w:line="360" w:lineRule="auto"/>
        <w:rPr>
          <w:rFonts w:ascii="Arial" w:hAnsi="Arial" w:cs="Arial"/>
        </w:rPr>
      </w:pPr>
      <w:r w:rsidRPr="00C379FE">
        <w:rPr>
          <w:rFonts w:ascii="Arial" w:hAnsi="Arial" w:cs="Arial"/>
        </w:rPr>
        <w:t xml:space="preserve">  </w:t>
      </w:r>
    </w:p>
    <w:p w14:paraId="4BAC4EA2" w14:textId="211E2BF9" w:rsidR="00C960A1" w:rsidRDefault="006516A0" w:rsidP="00E52236">
      <w:pPr>
        <w:spacing w:line="360" w:lineRule="auto"/>
        <w:rPr>
          <w:rFonts w:ascii="Arial" w:hAnsi="Arial" w:cs="Arial"/>
        </w:rPr>
      </w:pPr>
      <w:r w:rsidRPr="00C379FE">
        <w:rPr>
          <w:rFonts w:ascii="Arial" w:hAnsi="Arial" w:cs="Arial"/>
        </w:rPr>
        <w:t>9.</w:t>
      </w:r>
      <w:r w:rsidRPr="00C379FE">
        <w:rPr>
          <w:rFonts w:ascii="Arial" w:hAnsi="Arial" w:cs="Arial"/>
        </w:rPr>
        <w:tab/>
        <w:t xml:space="preserve">Stevens, S. and Pickering, D. (2010) ‘Keeping good nursing records: a guide’, Community Eye Health Journal, 23(74), pp. 44-45. </w:t>
      </w:r>
      <w:r w:rsidR="00996902" w:rsidRPr="00C379FE">
        <w:rPr>
          <w:rFonts w:ascii="Arial" w:hAnsi="Arial" w:cs="Arial"/>
        </w:rPr>
        <w:t>Doi</w:t>
      </w:r>
      <w:r w:rsidRPr="00C379FE">
        <w:rPr>
          <w:rFonts w:ascii="Arial" w:hAnsi="Arial" w:cs="Arial"/>
        </w:rPr>
        <w:t xml:space="preserve">: 10.56920/cehj.356.  </w:t>
      </w:r>
      <w:hyperlink r:id="rId18" w:history="1">
        <w:r w:rsidR="00C960A1" w:rsidRPr="00F71060">
          <w:rPr>
            <w:rStyle w:val="Hyperlink"/>
            <w:rFonts w:ascii="Arial" w:hAnsi="Arial" w:cs="Arial"/>
          </w:rPr>
          <w:t>https://cehjournal.org/articles/10.56920/cehj.356</w:t>
        </w:r>
      </w:hyperlink>
    </w:p>
    <w:p w14:paraId="69E05C42" w14:textId="77777777" w:rsidR="006516A0" w:rsidRPr="00C379FE" w:rsidRDefault="006516A0" w:rsidP="00E52236">
      <w:pPr>
        <w:spacing w:line="360" w:lineRule="auto"/>
        <w:rPr>
          <w:rFonts w:ascii="Arial" w:hAnsi="Arial" w:cs="Arial"/>
        </w:rPr>
      </w:pPr>
    </w:p>
    <w:p w14:paraId="5F403607" w14:textId="42CA0649" w:rsidR="006516A0" w:rsidRPr="00C379FE" w:rsidRDefault="006516A0" w:rsidP="00E52236">
      <w:pPr>
        <w:spacing w:line="360" w:lineRule="auto"/>
        <w:rPr>
          <w:rFonts w:ascii="Arial" w:hAnsi="Arial" w:cs="Arial"/>
        </w:rPr>
      </w:pPr>
      <w:r w:rsidRPr="00C379FE">
        <w:rPr>
          <w:rFonts w:ascii="Arial" w:hAnsi="Arial" w:cs="Arial"/>
        </w:rPr>
        <w:t>10.</w:t>
      </w:r>
      <w:r w:rsidRPr="00C379FE">
        <w:rPr>
          <w:rFonts w:ascii="Arial" w:hAnsi="Arial" w:cs="Arial"/>
        </w:rPr>
        <w:tab/>
        <w:t xml:space="preserve">NHS England (2023) ‘High quality patient </w:t>
      </w:r>
      <w:r w:rsidR="00C379FE" w:rsidRPr="00C379FE">
        <w:rPr>
          <w:rFonts w:ascii="Arial" w:hAnsi="Arial" w:cs="Arial"/>
        </w:rPr>
        <w:t>records</w:t>
      </w:r>
      <w:r w:rsidRPr="00C379FE">
        <w:rPr>
          <w:rFonts w:ascii="Arial" w:hAnsi="Arial" w:cs="Arial"/>
        </w:rPr>
        <w:t xml:space="preserve">, </w:t>
      </w:r>
    </w:p>
    <w:p w14:paraId="21AA11A0" w14:textId="1D48C743" w:rsidR="00D029D8" w:rsidRDefault="00DA5962" w:rsidP="00E52236">
      <w:pPr>
        <w:spacing w:line="360" w:lineRule="auto"/>
        <w:rPr>
          <w:rFonts w:ascii="Arial" w:hAnsi="Arial" w:cs="Arial"/>
        </w:rPr>
      </w:pPr>
      <w:hyperlink r:id="rId19" w:history="1">
        <w:r w:rsidRPr="00F71060">
          <w:rPr>
            <w:rStyle w:val="Hyperlink"/>
            <w:rFonts w:ascii="Arial" w:hAnsi="Arial" w:cs="Arial"/>
          </w:rPr>
          <w:t>https://www.england.nhs.uk/long-read/high-quality-patient-records</w:t>
        </w:r>
      </w:hyperlink>
    </w:p>
    <w:p w14:paraId="4735728C" w14:textId="77777777" w:rsidR="00DA5962" w:rsidRPr="00C379FE" w:rsidRDefault="00DA5962" w:rsidP="00C379FE">
      <w:pPr>
        <w:spacing w:line="360" w:lineRule="auto"/>
        <w:rPr>
          <w:rFonts w:ascii="Arial" w:hAnsi="Arial" w:cs="Arial"/>
        </w:rPr>
      </w:pPr>
    </w:p>
    <w:p w14:paraId="14808FE2" w14:textId="77777777" w:rsidR="006516A0" w:rsidRPr="00C379FE" w:rsidRDefault="006516A0" w:rsidP="00C379FE">
      <w:pPr>
        <w:spacing w:line="360" w:lineRule="auto"/>
        <w:rPr>
          <w:rFonts w:ascii="Arial" w:hAnsi="Arial" w:cs="Arial"/>
        </w:rPr>
      </w:pPr>
    </w:p>
    <w:p w14:paraId="432EDE70" w14:textId="77777777" w:rsidR="006516A0" w:rsidRPr="00C379FE" w:rsidRDefault="006516A0" w:rsidP="00C379FE">
      <w:pPr>
        <w:spacing w:line="360" w:lineRule="auto"/>
        <w:rPr>
          <w:rFonts w:ascii="Arial" w:hAnsi="Arial" w:cs="Arial"/>
        </w:rPr>
      </w:pPr>
    </w:p>
    <w:sectPr w:rsidR="006516A0" w:rsidRPr="00C379FE" w:rsidSect="00C379FE">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A2B5C4" w14:textId="77777777" w:rsidR="008E295E" w:rsidRDefault="008E295E" w:rsidP="006516A0">
      <w:pPr>
        <w:spacing w:after="0" w:line="240" w:lineRule="auto"/>
      </w:pPr>
      <w:r>
        <w:separator/>
      </w:r>
    </w:p>
  </w:endnote>
  <w:endnote w:type="continuationSeparator" w:id="0">
    <w:p w14:paraId="62994A97" w14:textId="77777777" w:rsidR="008E295E" w:rsidRDefault="008E295E" w:rsidP="00651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499733"/>
      <w:docPartObj>
        <w:docPartGallery w:val="Page Numbers (Bottom of Page)"/>
        <w:docPartUnique/>
      </w:docPartObj>
    </w:sdtPr>
    <w:sdtEndPr/>
    <w:sdtContent>
      <w:p w14:paraId="08141CA2" w14:textId="77777777" w:rsidR="006516A0" w:rsidRDefault="006516A0">
        <w:pPr>
          <w:pStyle w:val="Footer"/>
          <w:jc w:val="center"/>
        </w:pPr>
      </w:p>
      <w:p w14:paraId="09EE2A19" w14:textId="5DB1C65F" w:rsidR="006516A0" w:rsidRDefault="006516A0">
        <w:pPr>
          <w:pStyle w:val="Footer"/>
          <w:jc w:val="center"/>
        </w:pPr>
        <w:r>
          <w:fldChar w:fldCharType="begin"/>
        </w:r>
        <w:r>
          <w:instrText>PAGE   \* MERGEFORMAT</w:instrText>
        </w:r>
        <w:r>
          <w:fldChar w:fldCharType="separate"/>
        </w:r>
        <w:r>
          <w:t>2</w:t>
        </w:r>
        <w:r>
          <w:fldChar w:fldCharType="end"/>
        </w:r>
      </w:p>
    </w:sdtContent>
  </w:sdt>
  <w:p w14:paraId="72E777AF" w14:textId="77777777" w:rsidR="006516A0" w:rsidRDefault="00651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08D7C" w14:textId="77777777" w:rsidR="008E295E" w:rsidRDefault="008E295E" w:rsidP="006516A0">
      <w:pPr>
        <w:spacing w:after="0" w:line="240" w:lineRule="auto"/>
      </w:pPr>
      <w:r>
        <w:separator/>
      </w:r>
    </w:p>
  </w:footnote>
  <w:footnote w:type="continuationSeparator" w:id="0">
    <w:p w14:paraId="1D5AC480" w14:textId="77777777" w:rsidR="008E295E" w:rsidRDefault="008E295E" w:rsidP="006516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417D3"/>
    <w:multiLevelType w:val="hybridMultilevel"/>
    <w:tmpl w:val="82509F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92CF0"/>
    <w:multiLevelType w:val="hybridMultilevel"/>
    <w:tmpl w:val="5AB69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3017EE"/>
    <w:multiLevelType w:val="hybridMultilevel"/>
    <w:tmpl w:val="C498A44C"/>
    <w:lvl w:ilvl="0" w:tplc="AFAE31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7A1294"/>
    <w:multiLevelType w:val="hybridMultilevel"/>
    <w:tmpl w:val="F67A6D2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5C35A21"/>
    <w:multiLevelType w:val="hybridMultilevel"/>
    <w:tmpl w:val="BC5EF85E"/>
    <w:lvl w:ilvl="0" w:tplc="AFAE314E">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8136393">
    <w:abstractNumId w:val="0"/>
  </w:num>
  <w:num w:numId="2" w16cid:durableId="1324239393">
    <w:abstractNumId w:val="1"/>
  </w:num>
  <w:num w:numId="3" w16cid:durableId="1643189250">
    <w:abstractNumId w:val="2"/>
  </w:num>
  <w:num w:numId="4" w16cid:durableId="1535995503">
    <w:abstractNumId w:val="4"/>
  </w:num>
  <w:num w:numId="5" w16cid:durableId="15065071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6A0"/>
    <w:rsid w:val="00062607"/>
    <w:rsid w:val="000F0802"/>
    <w:rsid w:val="000F3E1E"/>
    <w:rsid w:val="00154FFE"/>
    <w:rsid w:val="001737A3"/>
    <w:rsid w:val="00173F34"/>
    <w:rsid w:val="001A5351"/>
    <w:rsid w:val="00213167"/>
    <w:rsid w:val="002F6A23"/>
    <w:rsid w:val="003975EB"/>
    <w:rsid w:val="003E71DE"/>
    <w:rsid w:val="003F55A7"/>
    <w:rsid w:val="004208CD"/>
    <w:rsid w:val="004729EB"/>
    <w:rsid w:val="004A50B7"/>
    <w:rsid w:val="00512858"/>
    <w:rsid w:val="00541F84"/>
    <w:rsid w:val="00573295"/>
    <w:rsid w:val="006516A0"/>
    <w:rsid w:val="007B73EC"/>
    <w:rsid w:val="007C4C3F"/>
    <w:rsid w:val="008E295E"/>
    <w:rsid w:val="00972647"/>
    <w:rsid w:val="00991F27"/>
    <w:rsid w:val="00996902"/>
    <w:rsid w:val="00A60616"/>
    <w:rsid w:val="00A809B4"/>
    <w:rsid w:val="00BF632E"/>
    <w:rsid w:val="00C22A36"/>
    <w:rsid w:val="00C379FE"/>
    <w:rsid w:val="00C800B3"/>
    <w:rsid w:val="00C95962"/>
    <w:rsid w:val="00C960A1"/>
    <w:rsid w:val="00D029D8"/>
    <w:rsid w:val="00D46C77"/>
    <w:rsid w:val="00DA093E"/>
    <w:rsid w:val="00DA5962"/>
    <w:rsid w:val="00DB64B8"/>
    <w:rsid w:val="00DD4FBF"/>
    <w:rsid w:val="00E52236"/>
    <w:rsid w:val="00E845E3"/>
    <w:rsid w:val="00E91BBF"/>
    <w:rsid w:val="00EA4932"/>
    <w:rsid w:val="00EC7FD6"/>
    <w:rsid w:val="00EE33B8"/>
    <w:rsid w:val="00EF7A53"/>
    <w:rsid w:val="00F05C69"/>
    <w:rsid w:val="00F21130"/>
    <w:rsid w:val="00F35F14"/>
    <w:rsid w:val="00F74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4DA00"/>
  <w15:chartTrackingRefBased/>
  <w15:docId w15:val="{F050BA54-59F3-45F6-ABF6-44953AE9F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16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16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16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16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16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16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16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16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16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6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16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16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16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16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16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16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16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16A0"/>
    <w:rPr>
      <w:rFonts w:eastAsiaTheme="majorEastAsia" w:cstheme="majorBidi"/>
      <w:color w:val="272727" w:themeColor="text1" w:themeTint="D8"/>
    </w:rPr>
  </w:style>
  <w:style w:type="paragraph" w:styleId="Title">
    <w:name w:val="Title"/>
    <w:basedOn w:val="Normal"/>
    <w:next w:val="Normal"/>
    <w:link w:val="TitleChar"/>
    <w:uiPriority w:val="10"/>
    <w:qFormat/>
    <w:rsid w:val="006516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16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16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16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16A0"/>
    <w:pPr>
      <w:spacing w:before="160"/>
      <w:jc w:val="center"/>
    </w:pPr>
    <w:rPr>
      <w:i/>
      <w:iCs/>
      <w:color w:val="404040" w:themeColor="text1" w:themeTint="BF"/>
    </w:rPr>
  </w:style>
  <w:style w:type="character" w:customStyle="1" w:styleId="QuoteChar">
    <w:name w:val="Quote Char"/>
    <w:basedOn w:val="DefaultParagraphFont"/>
    <w:link w:val="Quote"/>
    <w:uiPriority w:val="29"/>
    <w:rsid w:val="006516A0"/>
    <w:rPr>
      <w:i/>
      <w:iCs/>
      <w:color w:val="404040" w:themeColor="text1" w:themeTint="BF"/>
    </w:rPr>
  </w:style>
  <w:style w:type="paragraph" w:styleId="ListParagraph">
    <w:name w:val="List Paragraph"/>
    <w:basedOn w:val="Normal"/>
    <w:uiPriority w:val="34"/>
    <w:qFormat/>
    <w:rsid w:val="006516A0"/>
    <w:pPr>
      <w:ind w:left="720"/>
      <w:contextualSpacing/>
    </w:pPr>
  </w:style>
  <w:style w:type="character" w:styleId="IntenseEmphasis">
    <w:name w:val="Intense Emphasis"/>
    <w:basedOn w:val="DefaultParagraphFont"/>
    <w:uiPriority w:val="21"/>
    <w:qFormat/>
    <w:rsid w:val="006516A0"/>
    <w:rPr>
      <w:i/>
      <w:iCs/>
      <w:color w:val="0F4761" w:themeColor="accent1" w:themeShade="BF"/>
    </w:rPr>
  </w:style>
  <w:style w:type="paragraph" w:styleId="IntenseQuote">
    <w:name w:val="Intense Quote"/>
    <w:basedOn w:val="Normal"/>
    <w:next w:val="Normal"/>
    <w:link w:val="IntenseQuoteChar"/>
    <w:uiPriority w:val="30"/>
    <w:qFormat/>
    <w:rsid w:val="006516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16A0"/>
    <w:rPr>
      <w:i/>
      <w:iCs/>
      <w:color w:val="0F4761" w:themeColor="accent1" w:themeShade="BF"/>
    </w:rPr>
  </w:style>
  <w:style w:type="character" w:styleId="IntenseReference">
    <w:name w:val="Intense Reference"/>
    <w:basedOn w:val="DefaultParagraphFont"/>
    <w:uiPriority w:val="32"/>
    <w:qFormat/>
    <w:rsid w:val="006516A0"/>
    <w:rPr>
      <w:b/>
      <w:bCs/>
      <w:smallCaps/>
      <w:color w:val="0F4761" w:themeColor="accent1" w:themeShade="BF"/>
      <w:spacing w:val="5"/>
    </w:rPr>
  </w:style>
  <w:style w:type="paragraph" w:styleId="Header">
    <w:name w:val="header"/>
    <w:basedOn w:val="Normal"/>
    <w:link w:val="HeaderChar"/>
    <w:uiPriority w:val="99"/>
    <w:unhideWhenUsed/>
    <w:rsid w:val="006516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6A0"/>
  </w:style>
  <w:style w:type="paragraph" w:styleId="Footer">
    <w:name w:val="footer"/>
    <w:basedOn w:val="Normal"/>
    <w:link w:val="FooterChar"/>
    <w:uiPriority w:val="99"/>
    <w:unhideWhenUsed/>
    <w:rsid w:val="006516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6A0"/>
  </w:style>
  <w:style w:type="paragraph" w:styleId="NoSpacing">
    <w:name w:val="No Spacing"/>
    <w:link w:val="NoSpacingChar"/>
    <w:uiPriority w:val="1"/>
    <w:qFormat/>
    <w:rsid w:val="00C379F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379FE"/>
    <w:rPr>
      <w:rFonts w:eastAsiaTheme="minorEastAsia"/>
      <w:kern w:val="0"/>
      <w:lang w:eastAsia="en-GB"/>
      <w14:ligatures w14:val="none"/>
    </w:rPr>
  </w:style>
  <w:style w:type="paragraph" w:styleId="TOCHeading">
    <w:name w:val="TOC Heading"/>
    <w:basedOn w:val="Heading1"/>
    <w:next w:val="Normal"/>
    <w:uiPriority w:val="39"/>
    <w:unhideWhenUsed/>
    <w:qFormat/>
    <w:rsid w:val="00DD4FBF"/>
    <w:pPr>
      <w:spacing w:before="240" w:after="0"/>
      <w:outlineLvl w:val="9"/>
    </w:pPr>
    <w:rPr>
      <w:kern w:val="0"/>
      <w:sz w:val="32"/>
      <w:szCs w:val="32"/>
      <w:lang w:eastAsia="en-GB"/>
      <w14:ligatures w14:val="none"/>
    </w:rPr>
  </w:style>
  <w:style w:type="character" w:styleId="BookTitle">
    <w:name w:val="Book Title"/>
    <w:basedOn w:val="DefaultParagraphFont"/>
    <w:uiPriority w:val="33"/>
    <w:qFormat/>
    <w:rsid w:val="00DD4FBF"/>
    <w:rPr>
      <w:b/>
      <w:bCs/>
      <w:i/>
      <w:iCs/>
      <w:spacing w:val="5"/>
    </w:rPr>
  </w:style>
  <w:style w:type="character" w:styleId="Hyperlink">
    <w:name w:val="Hyperlink"/>
    <w:basedOn w:val="DefaultParagraphFont"/>
    <w:uiPriority w:val="99"/>
    <w:unhideWhenUsed/>
    <w:rsid w:val="00DA5962"/>
    <w:rPr>
      <w:color w:val="467886" w:themeColor="hyperlink"/>
      <w:u w:val="single"/>
    </w:rPr>
  </w:style>
  <w:style w:type="character" w:styleId="UnresolvedMention">
    <w:name w:val="Unresolved Mention"/>
    <w:basedOn w:val="DefaultParagraphFont"/>
    <w:uiPriority w:val="99"/>
    <w:semiHidden/>
    <w:unhideWhenUsed/>
    <w:rsid w:val="00DA5962"/>
    <w:rPr>
      <w:color w:val="605E5C"/>
      <w:shd w:val="clear" w:color="auto" w:fill="E1DFDD"/>
    </w:rPr>
  </w:style>
  <w:style w:type="character" w:styleId="FollowedHyperlink">
    <w:name w:val="FollowedHyperlink"/>
    <w:basedOn w:val="DefaultParagraphFont"/>
    <w:uiPriority w:val="99"/>
    <w:semiHidden/>
    <w:unhideWhenUsed/>
    <w:rsid w:val="00A809B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ubmed.ncbi.nlm.nih.gov/16617948/" TargetMode="External"/><Relationship Id="rId18" Type="http://schemas.openxmlformats.org/officeDocument/2006/relationships/hyperlink" Target="https://cehjournal.org/articles/10.56920/cehj.35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egislation.gov.uk/ukpga/2010/15/contents" TargetMode="External"/><Relationship Id="rId17" Type="http://schemas.openxmlformats.org/officeDocument/2006/relationships/hyperlink" Target="https://bmchealthservres.biomedcentral.com/articles/10.1186/s12913-016-1751-5" TargetMode="External"/><Relationship Id="rId2" Type="http://schemas.openxmlformats.org/officeDocument/2006/relationships/numbering" Target="numbering.xml"/><Relationship Id="rId16" Type="http://schemas.openxmlformats.org/officeDocument/2006/relationships/hyperlink" Target="https://www.gov.uk/data-protec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5a7a035fe5274a34770e3a01/2900774_InfoGovernance_accv2.pdf" TargetMode="External"/><Relationship Id="rId5" Type="http://schemas.openxmlformats.org/officeDocument/2006/relationships/webSettings" Target="webSettings.xml"/><Relationship Id="rId15" Type="http://schemas.openxmlformats.org/officeDocument/2006/relationships/hyperlink" Target="https://www.nmc.org.uk/standards/code/" TargetMode="External"/><Relationship Id="rId10" Type="http://schemas.openxmlformats.org/officeDocument/2006/relationships/hyperlink" Target="https://www.ahrq.gov/teamstepps-program/curriculum/communication/tools/sbar.html" TargetMode="External"/><Relationship Id="rId19" Type="http://schemas.openxmlformats.org/officeDocument/2006/relationships/hyperlink" Target="https://www.england.nhs.uk/long-read/high-quality-patient-recor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hi.org/library/tools/sbar-tool-situation-background-assessment-recommend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77111F-4A6F-4DB5-9237-B49FB9E8E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9</Pages>
  <Words>1790</Words>
  <Characters>11776</Characters>
  <Application>Microsoft Office Word</Application>
  <DocSecurity>0</DocSecurity>
  <Lines>235</Lines>
  <Paragraphs>56</Paragraphs>
  <ScaleCrop>false</ScaleCrop>
  <HeadingPairs>
    <vt:vector size="2" baseType="variant">
      <vt:variant>
        <vt:lpstr>Title</vt:lpstr>
      </vt:variant>
      <vt:variant>
        <vt:i4>1</vt:i4>
      </vt:variant>
    </vt:vector>
  </HeadingPairs>
  <TitlesOfParts>
    <vt:vector size="1" baseType="lpstr">
      <vt:lpstr>Name: Ahlam Bchini
Student number: 2439423
Module code: LCHS4003
Module name: Introduction to Health and Social Care
Lecturer’s name: Dr Aichat Bakre
assignment title: 
Date: 20th October 2025</vt:lpstr>
    </vt:vector>
  </TitlesOfParts>
  <Company/>
  <LinksUpToDate>false</LinksUpToDate>
  <CharactersWithSpaces>13574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Ahlam Bchini (2439423)</dc:creator>
  <cp:keywords/>
  <dc:description/>
  <cp:lastModifiedBy>Ahlam Bchini (2439423)</cp:lastModifiedBy>
  <cp:revision>19</cp:revision>
  <dcterms:created xsi:type="dcterms:W3CDTF">2025-10-25T12:49:00Z</dcterms:created>
  <dcterms:modified xsi:type="dcterms:W3CDTF">2025-11-15T19:05:00Z</dcterms:modified>
</cp:coreProperties>
</file>