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95A3C" w14:textId="77777777" w:rsidR="000A72A1" w:rsidRDefault="000A72A1" w:rsidP="00186E17">
      <w:pPr>
        <w:spacing w:line="360" w:lineRule="auto"/>
        <w:jc w:val="center"/>
        <w:rPr>
          <w:rFonts w:ascii="Times New Roman" w:hAnsi="Times New Roman" w:cs="Times New Roman"/>
          <w:sz w:val="32"/>
          <w:szCs w:val="32"/>
        </w:rPr>
      </w:pPr>
    </w:p>
    <w:p w14:paraId="11A76D64" w14:textId="77777777" w:rsidR="00983FB9" w:rsidRDefault="00BC2770" w:rsidP="00186E17">
      <w:pPr>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  </w:t>
      </w:r>
    </w:p>
    <w:p w14:paraId="06623C2D" w14:textId="77777777" w:rsidR="008D4AAF" w:rsidRDefault="008D4AAF" w:rsidP="00186E17">
      <w:pPr>
        <w:spacing w:line="360" w:lineRule="auto"/>
        <w:jc w:val="center"/>
        <w:rPr>
          <w:rFonts w:ascii="Times New Roman" w:hAnsi="Times New Roman" w:cs="Times New Roman"/>
          <w:b/>
          <w:sz w:val="40"/>
          <w:szCs w:val="40"/>
        </w:rPr>
      </w:pPr>
    </w:p>
    <w:p w14:paraId="23DF5D43" w14:textId="77777777" w:rsidR="008D4AAF" w:rsidRDefault="008D4AAF" w:rsidP="00186E17">
      <w:pPr>
        <w:spacing w:line="360" w:lineRule="auto"/>
        <w:jc w:val="center"/>
        <w:rPr>
          <w:rFonts w:ascii="Times New Roman" w:hAnsi="Times New Roman" w:cs="Times New Roman"/>
          <w:b/>
          <w:sz w:val="40"/>
          <w:szCs w:val="40"/>
        </w:rPr>
      </w:pPr>
    </w:p>
    <w:p w14:paraId="4B6B5BB9" w14:textId="77777777" w:rsidR="008D4AAF" w:rsidRDefault="008D4AAF" w:rsidP="00186E17">
      <w:pPr>
        <w:spacing w:line="360" w:lineRule="auto"/>
        <w:jc w:val="center"/>
        <w:rPr>
          <w:rFonts w:ascii="Times New Roman" w:hAnsi="Times New Roman" w:cs="Times New Roman"/>
          <w:b/>
          <w:sz w:val="40"/>
          <w:szCs w:val="40"/>
        </w:rPr>
      </w:pPr>
    </w:p>
    <w:p w14:paraId="0BD91969" w14:textId="4B09A0D1" w:rsidR="008D4AAF" w:rsidRDefault="00BC2770" w:rsidP="00186E17">
      <w:pPr>
        <w:spacing w:line="360" w:lineRule="auto"/>
        <w:jc w:val="center"/>
        <w:rPr>
          <w:rFonts w:ascii="Times New Roman" w:hAnsi="Times New Roman" w:cs="Times New Roman"/>
          <w:b/>
          <w:sz w:val="40"/>
          <w:szCs w:val="40"/>
        </w:rPr>
      </w:pPr>
      <w:r w:rsidRPr="008D4AAF">
        <w:rPr>
          <w:rFonts w:ascii="Times New Roman" w:hAnsi="Times New Roman" w:cs="Times New Roman"/>
          <w:b/>
          <w:sz w:val="40"/>
          <w:szCs w:val="40"/>
        </w:rPr>
        <w:t>Project Management</w:t>
      </w:r>
    </w:p>
    <w:p w14:paraId="6C1B540E" w14:textId="7B35B20B" w:rsidR="008D4AAF" w:rsidRDefault="007E2D4B" w:rsidP="00186E17">
      <w:pPr>
        <w:spacing w:line="360" w:lineRule="auto"/>
        <w:jc w:val="center"/>
        <w:rPr>
          <w:rFonts w:ascii="Times New Roman" w:hAnsi="Times New Roman" w:cs="Times New Roman"/>
          <w:b/>
          <w:sz w:val="40"/>
          <w:szCs w:val="40"/>
        </w:rPr>
      </w:pPr>
      <w:r>
        <w:rPr>
          <w:rFonts w:ascii="Times New Roman" w:hAnsi="Times New Roman" w:cs="Times New Roman"/>
          <w:b/>
          <w:sz w:val="40"/>
          <w:szCs w:val="40"/>
        </w:rPr>
        <w:t>Assessment 1</w:t>
      </w:r>
    </w:p>
    <w:p w14:paraId="676F9574" w14:textId="77777777" w:rsidR="008D4AAF" w:rsidRDefault="008D4AAF" w:rsidP="00186E17">
      <w:pPr>
        <w:spacing w:line="360" w:lineRule="auto"/>
        <w:jc w:val="center"/>
        <w:rPr>
          <w:rFonts w:ascii="Times New Roman" w:hAnsi="Times New Roman" w:cs="Times New Roman"/>
          <w:b/>
          <w:sz w:val="40"/>
          <w:szCs w:val="40"/>
        </w:rPr>
      </w:pPr>
    </w:p>
    <w:p w14:paraId="373EBBD1" w14:textId="77777777" w:rsidR="008D4AAF" w:rsidRDefault="008D4AAF" w:rsidP="00186E17">
      <w:pPr>
        <w:spacing w:line="360" w:lineRule="auto"/>
        <w:jc w:val="center"/>
        <w:rPr>
          <w:rFonts w:ascii="Times New Roman" w:hAnsi="Times New Roman" w:cs="Times New Roman"/>
          <w:b/>
          <w:sz w:val="40"/>
          <w:szCs w:val="40"/>
        </w:rPr>
      </w:pPr>
    </w:p>
    <w:p w14:paraId="3F18552B" w14:textId="77777777" w:rsidR="008D4AAF" w:rsidRDefault="008D4AAF" w:rsidP="00186E17">
      <w:pPr>
        <w:spacing w:line="360" w:lineRule="auto"/>
        <w:jc w:val="center"/>
        <w:rPr>
          <w:rFonts w:ascii="Times New Roman" w:hAnsi="Times New Roman" w:cs="Times New Roman"/>
          <w:b/>
          <w:sz w:val="40"/>
          <w:szCs w:val="40"/>
        </w:rPr>
      </w:pPr>
    </w:p>
    <w:p w14:paraId="5F1C54A4" w14:textId="5CA9C98D" w:rsidR="00C369EB" w:rsidRPr="008D4AAF" w:rsidRDefault="00BC2770" w:rsidP="008D4AAF">
      <w:pPr>
        <w:spacing w:line="360" w:lineRule="auto"/>
        <w:rPr>
          <w:rFonts w:ascii="Times New Roman" w:hAnsi="Times New Roman" w:cs="Times New Roman"/>
          <w:bCs/>
          <w:sz w:val="28"/>
          <w:szCs w:val="28"/>
        </w:rPr>
      </w:pPr>
      <w:r w:rsidRPr="008D4AAF">
        <w:rPr>
          <w:rFonts w:ascii="Times New Roman" w:hAnsi="Times New Roman" w:cs="Times New Roman"/>
          <w:bCs/>
          <w:sz w:val="28"/>
          <w:szCs w:val="28"/>
        </w:rPr>
        <w:t xml:space="preserve"> </w:t>
      </w:r>
      <w:r w:rsidR="008D4AAF" w:rsidRPr="008D4AAF">
        <w:rPr>
          <w:rFonts w:ascii="Times New Roman" w:hAnsi="Times New Roman" w:cs="Times New Roman"/>
          <w:bCs/>
          <w:sz w:val="28"/>
          <w:szCs w:val="28"/>
        </w:rPr>
        <w:t xml:space="preserve">Module ID: </w:t>
      </w:r>
      <w:r w:rsidRPr="008D4AAF">
        <w:rPr>
          <w:rFonts w:ascii="Times New Roman" w:hAnsi="Times New Roman" w:cs="Times New Roman"/>
          <w:bCs/>
          <w:sz w:val="28"/>
          <w:szCs w:val="28"/>
        </w:rPr>
        <w:t>LCBB5005</w:t>
      </w:r>
    </w:p>
    <w:p w14:paraId="5997DE53" w14:textId="3A4CBCC5" w:rsidR="00186E17" w:rsidRPr="008D4AAF" w:rsidRDefault="00BC2770" w:rsidP="00186E17">
      <w:pPr>
        <w:spacing w:line="360" w:lineRule="auto"/>
        <w:rPr>
          <w:rFonts w:ascii="Times New Roman" w:hAnsi="Times New Roman" w:cs="Times New Roman"/>
          <w:bCs/>
          <w:i/>
          <w:iCs/>
          <w:sz w:val="28"/>
          <w:szCs w:val="28"/>
        </w:rPr>
      </w:pPr>
      <w:r w:rsidRPr="008D4AAF">
        <w:rPr>
          <w:rFonts w:ascii="Times New Roman" w:hAnsi="Times New Roman" w:cs="Times New Roman"/>
          <w:bCs/>
          <w:i/>
          <w:iCs/>
          <w:sz w:val="28"/>
          <w:szCs w:val="28"/>
        </w:rPr>
        <w:t>Student name:</w:t>
      </w:r>
      <w:r w:rsidR="008D4AAF" w:rsidRPr="008D4AAF">
        <w:rPr>
          <w:rFonts w:ascii="Times New Roman" w:hAnsi="Times New Roman" w:cs="Times New Roman"/>
          <w:bCs/>
          <w:i/>
          <w:iCs/>
          <w:sz w:val="28"/>
          <w:szCs w:val="28"/>
        </w:rPr>
        <w:t xml:space="preserve"> Felix Lucian Fistoleanu</w:t>
      </w:r>
    </w:p>
    <w:p w14:paraId="323907F8" w14:textId="689ECBDC" w:rsidR="00982ED2" w:rsidRPr="008D4AAF" w:rsidRDefault="008D4AAF" w:rsidP="00F2772A">
      <w:pPr>
        <w:spacing w:line="360" w:lineRule="auto"/>
        <w:rPr>
          <w:rFonts w:ascii="Times New Roman" w:hAnsi="Times New Roman" w:cs="Times New Roman"/>
          <w:b/>
          <w:sz w:val="28"/>
          <w:szCs w:val="28"/>
        </w:rPr>
      </w:pPr>
      <w:r w:rsidRPr="008D4AAF">
        <w:rPr>
          <w:rFonts w:ascii="Times New Roman" w:hAnsi="Times New Roman" w:cs="Times New Roman"/>
          <w:bCs/>
          <w:i/>
          <w:iCs/>
          <w:sz w:val="28"/>
          <w:szCs w:val="28"/>
        </w:rPr>
        <w:t xml:space="preserve">Student </w:t>
      </w:r>
      <w:r w:rsidR="00BC2770" w:rsidRPr="008D4AAF">
        <w:rPr>
          <w:rFonts w:ascii="Times New Roman" w:hAnsi="Times New Roman" w:cs="Times New Roman"/>
          <w:bCs/>
          <w:i/>
          <w:iCs/>
          <w:sz w:val="28"/>
          <w:szCs w:val="28"/>
        </w:rPr>
        <w:t>ID:</w:t>
      </w:r>
      <w:r w:rsidRPr="008D4AAF">
        <w:rPr>
          <w:rFonts w:ascii="Times New Roman" w:hAnsi="Times New Roman" w:cs="Times New Roman"/>
          <w:bCs/>
          <w:i/>
          <w:iCs/>
          <w:sz w:val="28"/>
          <w:szCs w:val="28"/>
        </w:rPr>
        <w:t xml:space="preserve"> 211</w:t>
      </w:r>
      <w:r w:rsidR="000E4DF1">
        <w:rPr>
          <w:rFonts w:ascii="Times New Roman" w:hAnsi="Times New Roman" w:cs="Times New Roman"/>
          <w:bCs/>
          <w:i/>
          <w:iCs/>
          <w:sz w:val="28"/>
          <w:szCs w:val="28"/>
        </w:rPr>
        <w:t>5327</w:t>
      </w:r>
      <w:r w:rsidR="00890168" w:rsidRPr="008D4AAF">
        <w:rPr>
          <w:rFonts w:ascii="Times New Roman" w:hAnsi="Times New Roman" w:cs="Times New Roman"/>
          <w:b/>
          <w:sz w:val="28"/>
          <w:szCs w:val="28"/>
        </w:rPr>
        <w:br w:type="page"/>
      </w:r>
    </w:p>
    <w:p w14:paraId="50F38B8F" w14:textId="77777777" w:rsidR="00E3390D" w:rsidRPr="002418EF" w:rsidRDefault="00BC2770" w:rsidP="002418EF">
      <w:pPr>
        <w:pStyle w:val="Heading1"/>
      </w:pPr>
      <w:bookmarkStart w:id="0" w:name="_Toc141860720"/>
      <w:r w:rsidRPr="002418EF">
        <w:lastRenderedPageBreak/>
        <w:t>Introduction</w:t>
      </w:r>
      <w:bookmarkEnd w:id="0"/>
    </w:p>
    <w:p w14:paraId="2A3DDE51" w14:textId="77777777" w:rsidR="00A11696" w:rsidRPr="00A11696" w:rsidRDefault="00BC2770" w:rsidP="00A11696">
      <w:pPr>
        <w:spacing w:line="360" w:lineRule="auto"/>
        <w:jc w:val="both"/>
        <w:rPr>
          <w:rFonts w:ascii="Times New Roman" w:hAnsi="Times New Roman" w:cs="Times New Roman"/>
          <w:sz w:val="24"/>
          <w:szCs w:val="24"/>
        </w:rPr>
      </w:pPr>
      <w:r w:rsidRPr="00A11696">
        <w:rPr>
          <w:rFonts w:ascii="Times New Roman" w:hAnsi="Times New Roman" w:cs="Times New Roman"/>
          <w:sz w:val="24"/>
          <w:szCs w:val="24"/>
        </w:rPr>
        <w:t xml:space="preserve">Hinkley Point C nuclear power project planning has begun in the United Kingdom. Providing low-carbon power to many homes, this outstanding effort will aid the government in lowering carbon emissions. Due to the extensive construction delays and massive cost overruns, it is now the </w:t>
      </w:r>
      <w:r w:rsidR="00977BFD" w:rsidRPr="00A11696">
        <w:rPr>
          <w:rFonts w:ascii="Times New Roman" w:hAnsi="Times New Roman" w:cs="Times New Roman"/>
          <w:sz w:val="24"/>
          <w:szCs w:val="24"/>
        </w:rPr>
        <w:t>costliest</w:t>
      </w:r>
      <w:r w:rsidRPr="00A11696">
        <w:rPr>
          <w:rFonts w:ascii="Times New Roman" w:hAnsi="Times New Roman" w:cs="Times New Roman"/>
          <w:sz w:val="24"/>
          <w:szCs w:val="24"/>
        </w:rPr>
        <w:t xml:space="preserve"> nuclear power project in history. Among other crucial variables, we look at the Hinkley Point C project's finances, timeline, quality, stakeholders, and risks. We may learn from this project's triumphs and shortcomings by reviewing the original plan to avoid repeating them in future endeavors of this scale.</w:t>
      </w:r>
    </w:p>
    <w:p w14:paraId="22869C73" w14:textId="77777777" w:rsidR="00A11696" w:rsidRPr="00A11696" w:rsidRDefault="00A11696" w:rsidP="00A11696">
      <w:pPr>
        <w:spacing w:line="360" w:lineRule="auto"/>
        <w:rPr>
          <w:rFonts w:ascii="Times New Roman" w:hAnsi="Times New Roman" w:cs="Times New Roman"/>
          <w:sz w:val="24"/>
          <w:szCs w:val="24"/>
        </w:rPr>
      </w:pPr>
    </w:p>
    <w:p w14:paraId="212CA525" w14:textId="77777777" w:rsidR="00E3390D" w:rsidRDefault="00E3390D" w:rsidP="00186E17">
      <w:pPr>
        <w:spacing w:line="360" w:lineRule="auto"/>
        <w:rPr>
          <w:rFonts w:ascii="Times New Roman" w:hAnsi="Times New Roman" w:cs="Times New Roman"/>
          <w:sz w:val="28"/>
          <w:szCs w:val="28"/>
        </w:rPr>
      </w:pPr>
    </w:p>
    <w:p w14:paraId="48C84D37" w14:textId="77777777" w:rsidR="00E3390D" w:rsidRDefault="00E3390D" w:rsidP="00186E17">
      <w:pPr>
        <w:spacing w:line="360" w:lineRule="auto"/>
        <w:rPr>
          <w:rFonts w:ascii="Times New Roman" w:hAnsi="Times New Roman" w:cs="Times New Roman"/>
          <w:sz w:val="28"/>
          <w:szCs w:val="28"/>
        </w:rPr>
      </w:pPr>
    </w:p>
    <w:p w14:paraId="4747097A" w14:textId="77777777" w:rsidR="00E3390D" w:rsidRDefault="00E3390D" w:rsidP="00186E17">
      <w:pPr>
        <w:spacing w:line="360" w:lineRule="auto"/>
        <w:rPr>
          <w:rFonts w:ascii="Times New Roman" w:hAnsi="Times New Roman" w:cs="Times New Roman"/>
          <w:sz w:val="28"/>
          <w:szCs w:val="28"/>
        </w:rPr>
      </w:pPr>
    </w:p>
    <w:p w14:paraId="0B4366A3" w14:textId="77777777" w:rsidR="00E3390D" w:rsidRDefault="00E3390D" w:rsidP="00186E17">
      <w:pPr>
        <w:spacing w:line="360" w:lineRule="auto"/>
        <w:rPr>
          <w:rFonts w:ascii="Times New Roman" w:hAnsi="Times New Roman" w:cs="Times New Roman"/>
          <w:sz w:val="28"/>
          <w:szCs w:val="28"/>
        </w:rPr>
      </w:pPr>
    </w:p>
    <w:p w14:paraId="33C54279" w14:textId="77777777" w:rsidR="00E3390D" w:rsidRDefault="00E3390D" w:rsidP="00186E17">
      <w:pPr>
        <w:spacing w:line="360" w:lineRule="auto"/>
        <w:rPr>
          <w:rFonts w:ascii="Times New Roman" w:hAnsi="Times New Roman" w:cs="Times New Roman"/>
          <w:sz w:val="28"/>
          <w:szCs w:val="28"/>
        </w:rPr>
      </w:pPr>
    </w:p>
    <w:p w14:paraId="3193EBD5" w14:textId="77777777" w:rsidR="00E3390D" w:rsidRDefault="00E3390D" w:rsidP="00186E17">
      <w:pPr>
        <w:spacing w:line="360" w:lineRule="auto"/>
        <w:rPr>
          <w:rFonts w:ascii="Times New Roman" w:hAnsi="Times New Roman" w:cs="Times New Roman"/>
          <w:sz w:val="28"/>
          <w:szCs w:val="28"/>
        </w:rPr>
      </w:pPr>
    </w:p>
    <w:p w14:paraId="12CB15FC" w14:textId="77777777" w:rsidR="00E3390D" w:rsidRDefault="00E3390D" w:rsidP="00186E17">
      <w:pPr>
        <w:spacing w:line="360" w:lineRule="auto"/>
        <w:rPr>
          <w:rFonts w:ascii="Times New Roman" w:hAnsi="Times New Roman" w:cs="Times New Roman"/>
          <w:sz w:val="28"/>
          <w:szCs w:val="28"/>
        </w:rPr>
      </w:pPr>
    </w:p>
    <w:p w14:paraId="14172297" w14:textId="77777777" w:rsidR="00224FAA" w:rsidRDefault="00224FAA" w:rsidP="00186E17">
      <w:pPr>
        <w:pStyle w:val="Heading1"/>
        <w:spacing w:line="360" w:lineRule="auto"/>
        <w:rPr>
          <w:rFonts w:ascii="Times New Roman" w:eastAsiaTheme="minorHAnsi" w:hAnsi="Times New Roman" w:cs="Times New Roman"/>
          <w:b w:val="0"/>
          <w:bCs w:val="0"/>
          <w:color w:val="auto"/>
        </w:rPr>
      </w:pPr>
      <w:bookmarkStart w:id="1" w:name="_Toc141860721"/>
    </w:p>
    <w:p w14:paraId="5696BD9E" w14:textId="77777777" w:rsidR="00A35EE2" w:rsidRDefault="00A35EE2" w:rsidP="00186E17">
      <w:pPr>
        <w:pStyle w:val="Heading1"/>
        <w:spacing w:line="360" w:lineRule="auto"/>
        <w:rPr>
          <w:rFonts w:asciiTheme="minorHAnsi" w:eastAsiaTheme="minorHAnsi" w:hAnsiTheme="minorHAnsi" w:cstheme="minorBidi"/>
          <w:b w:val="0"/>
          <w:bCs w:val="0"/>
          <w:color w:val="auto"/>
          <w:sz w:val="22"/>
          <w:szCs w:val="22"/>
        </w:rPr>
      </w:pPr>
    </w:p>
    <w:p w14:paraId="6FF52A2A" w14:textId="77777777" w:rsidR="000A72A1" w:rsidRDefault="000A72A1" w:rsidP="00186E17">
      <w:pPr>
        <w:pStyle w:val="Heading1"/>
        <w:spacing w:line="360" w:lineRule="auto"/>
        <w:rPr>
          <w:rFonts w:asciiTheme="minorHAnsi" w:eastAsiaTheme="minorHAnsi" w:hAnsiTheme="minorHAnsi" w:cstheme="minorBidi"/>
          <w:b w:val="0"/>
          <w:bCs w:val="0"/>
          <w:color w:val="auto"/>
          <w:sz w:val="22"/>
          <w:szCs w:val="22"/>
        </w:rPr>
      </w:pPr>
    </w:p>
    <w:p w14:paraId="2B5F904F" w14:textId="77777777" w:rsidR="002418EF" w:rsidRDefault="002418EF" w:rsidP="00186E17">
      <w:pPr>
        <w:pStyle w:val="Heading1"/>
        <w:spacing w:line="360" w:lineRule="auto"/>
        <w:rPr>
          <w:rFonts w:asciiTheme="minorHAnsi" w:eastAsiaTheme="minorHAnsi" w:hAnsiTheme="minorHAnsi" w:cstheme="minorBidi"/>
          <w:b w:val="0"/>
          <w:bCs w:val="0"/>
          <w:color w:val="auto"/>
          <w:sz w:val="22"/>
          <w:szCs w:val="22"/>
        </w:rPr>
      </w:pPr>
    </w:p>
    <w:p w14:paraId="0C2FF4B4" w14:textId="77777777" w:rsidR="002418EF" w:rsidRPr="002418EF" w:rsidRDefault="002418EF" w:rsidP="002418EF"/>
    <w:p w14:paraId="26CB543D" w14:textId="77777777" w:rsidR="00E3390D" w:rsidRPr="002418EF" w:rsidRDefault="00BC2770" w:rsidP="002418EF">
      <w:pPr>
        <w:pStyle w:val="Heading1"/>
      </w:pPr>
      <w:r w:rsidRPr="002418EF">
        <w:lastRenderedPageBreak/>
        <w:t>Main Body</w:t>
      </w:r>
      <w:bookmarkEnd w:id="1"/>
    </w:p>
    <w:p w14:paraId="616B8080" w14:textId="77777777" w:rsidR="00406A81" w:rsidRPr="00982ED2" w:rsidRDefault="00BC2770"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Project Background and Objective</w:t>
      </w:r>
      <w:r w:rsidR="00C43E21">
        <w:rPr>
          <w:rFonts w:ascii="Times New Roman" w:hAnsi="Times New Roman" w:cs="Times New Roman"/>
          <w:b/>
          <w:sz w:val="24"/>
          <w:szCs w:val="24"/>
        </w:rPr>
        <w:t>s</w:t>
      </w:r>
    </w:p>
    <w:p w14:paraId="742D8E41" w14:textId="77777777" w:rsidR="00A11696" w:rsidRDefault="00BC2770" w:rsidP="000A72A1">
      <w:pPr>
        <w:spacing w:line="360" w:lineRule="auto"/>
        <w:jc w:val="both"/>
        <w:rPr>
          <w:rFonts w:ascii="Times New Roman" w:hAnsi="Times New Roman" w:cs="Times New Roman"/>
          <w:sz w:val="24"/>
          <w:szCs w:val="24"/>
        </w:rPr>
      </w:pPr>
      <w:r w:rsidRPr="00A11696">
        <w:rPr>
          <w:rFonts w:ascii="Times New Roman" w:hAnsi="Times New Roman" w:cs="Times New Roman"/>
          <w:sz w:val="24"/>
          <w:szCs w:val="24"/>
        </w:rPr>
        <w:t xml:space="preserve">One of the most impressive infrastructure projects ever done by the United Kingdom is the Hinkley Point C nuclear power complex in Somerset. The primary goal is to build a cutting-edge nuclear power plant for the country's benefit. To aid in the fight against climate change, these measures include cutting harmful emissions from existing power plants and enhancing energy independence and dependability. Several setbacks have hampered the project's high goals, including escalating prices and delayed completion timelines. To interpret the project's intricacy and give workable solutions, looking into its roots is essential. Financial analysis, meeting deadlines, ensuring quality, involving stakeholders, and minimizing risk will be at the forefront of </w:t>
      </w:r>
      <w:r w:rsidR="000A72A1">
        <w:rPr>
          <w:rFonts w:ascii="Times New Roman" w:hAnsi="Times New Roman" w:cs="Times New Roman"/>
          <w:sz w:val="24"/>
          <w:szCs w:val="24"/>
        </w:rPr>
        <w:t>this study. The findings</w:t>
      </w:r>
      <w:r w:rsidRPr="00A11696">
        <w:rPr>
          <w:rFonts w:ascii="Times New Roman" w:hAnsi="Times New Roman" w:cs="Times New Roman"/>
          <w:sz w:val="24"/>
          <w:szCs w:val="24"/>
        </w:rPr>
        <w:t xml:space="preserve"> research will ultimately improve project management practices, allowing for more effective execution of future mega-infrastructure projects</w:t>
      </w:r>
      <w:r w:rsidR="000A72A1">
        <w:rPr>
          <w:rFonts w:ascii="Times New Roman" w:hAnsi="Times New Roman" w:cs="Times New Roman"/>
          <w:sz w:val="24"/>
          <w:szCs w:val="24"/>
        </w:rPr>
        <w:t xml:space="preserve"> (</w:t>
      </w:r>
      <w:r w:rsidR="000A72A1" w:rsidRPr="000A72A1">
        <w:rPr>
          <w:rFonts w:ascii="Times New Roman" w:hAnsi="Times New Roman" w:cs="Times New Roman"/>
          <w:color w:val="222222"/>
          <w:sz w:val="24"/>
          <w:szCs w:val="24"/>
          <w:shd w:val="clear" w:color="auto" w:fill="FFFFFF"/>
        </w:rPr>
        <w:t>Zarjo</w:t>
      </w:r>
      <w:r w:rsidR="000A72A1">
        <w:rPr>
          <w:rFonts w:ascii="Times New Roman" w:hAnsi="Times New Roman" w:cs="Times New Roman"/>
          <w:color w:val="222222"/>
          <w:sz w:val="24"/>
          <w:szCs w:val="24"/>
          <w:shd w:val="clear" w:color="auto" w:fill="FFFFFF"/>
        </w:rPr>
        <w:t>u and Khalilzadeh, 2022)</w:t>
      </w:r>
      <w:r w:rsidRPr="00A11696">
        <w:rPr>
          <w:rFonts w:ascii="Times New Roman" w:hAnsi="Times New Roman" w:cs="Times New Roman"/>
          <w:sz w:val="24"/>
          <w:szCs w:val="24"/>
        </w:rPr>
        <w:t>.</w:t>
      </w:r>
    </w:p>
    <w:p w14:paraId="12B75910" w14:textId="77777777" w:rsidR="00E3390D" w:rsidRPr="007C4BB9" w:rsidRDefault="00BC2770" w:rsidP="00186E17">
      <w:pPr>
        <w:spacing w:line="360" w:lineRule="auto"/>
        <w:rPr>
          <w:rFonts w:ascii="Times New Roman" w:hAnsi="Times New Roman" w:cs="Times New Roman"/>
          <w:sz w:val="24"/>
          <w:szCs w:val="24"/>
        </w:rPr>
      </w:pPr>
      <w:r w:rsidRPr="00982ED2">
        <w:rPr>
          <w:rFonts w:ascii="Times New Roman" w:hAnsi="Times New Roman" w:cs="Times New Roman"/>
          <w:b/>
          <w:sz w:val="24"/>
          <w:szCs w:val="24"/>
        </w:rPr>
        <w:t>Initial Project Plan</w:t>
      </w:r>
    </w:p>
    <w:p w14:paraId="1EE0819F" w14:textId="77777777" w:rsidR="00224FAA" w:rsidRDefault="00BC2770" w:rsidP="007C4BB9">
      <w:pPr>
        <w:spacing w:line="360" w:lineRule="auto"/>
        <w:jc w:val="both"/>
        <w:rPr>
          <w:rFonts w:ascii="Times New Roman" w:hAnsi="Times New Roman" w:cs="Times New Roman"/>
          <w:sz w:val="24"/>
          <w:szCs w:val="24"/>
        </w:rPr>
      </w:pPr>
      <w:r w:rsidRPr="00A11696">
        <w:rPr>
          <w:rFonts w:ascii="Times New Roman" w:hAnsi="Times New Roman" w:cs="Times New Roman"/>
          <w:sz w:val="24"/>
          <w:szCs w:val="24"/>
        </w:rPr>
        <w:t>While the initial concept for the Hinkley Point C nuclear power plant in Somerset was ambitious, it might have significantly impacted the energy sector in the Unite</w:t>
      </w:r>
      <w:r w:rsidR="00AF0AB4">
        <w:rPr>
          <w:rFonts w:ascii="Times New Roman" w:hAnsi="Times New Roman" w:cs="Times New Roman"/>
          <w:sz w:val="24"/>
          <w:szCs w:val="24"/>
        </w:rPr>
        <w:t>d Kingdom.</w:t>
      </w:r>
      <w:r w:rsidR="00D07740" w:rsidRPr="00A35EE2">
        <w:rPr>
          <w:rFonts w:ascii="Times New Roman" w:hAnsi="Times New Roman" w:cs="Times New Roman"/>
          <w:sz w:val="24"/>
          <w:szCs w:val="24"/>
        </w:rPr>
        <w:t xml:space="preserve"> It required comprehensive budget projections, precise timeline estimates, in-depth scope specifications, and aggressive stakeholder engagement. The financial projections were founded on detailed cost estimates that accounted for the nuanced nature of nuclear construction while remaining within a strict budget. The plan's schedule outlined a stratified execution strategy, with milestones and deadlines scrupulously established to achieve the project's final objectives. The project's scope included the construction of a state-of-the-art nuclear power plant that adhered to stringent quality standards for dependability and efficiency</w:t>
      </w:r>
      <w:r w:rsidR="000A72A1">
        <w:rPr>
          <w:rFonts w:ascii="Times New Roman" w:hAnsi="Times New Roman" w:cs="Times New Roman"/>
          <w:sz w:val="24"/>
          <w:szCs w:val="24"/>
        </w:rPr>
        <w:t xml:space="preserve"> (</w:t>
      </w:r>
      <w:r w:rsidR="000A72A1">
        <w:rPr>
          <w:rFonts w:ascii="Times New Roman" w:hAnsi="Times New Roman" w:cs="Times New Roman"/>
          <w:color w:val="222222"/>
          <w:sz w:val="24"/>
          <w:szCs w:val="24"/>
          <w:shd w:val="clear" w:color="auto" w:fill="FFFFFF"/>
        </w:rPr>
        <w:t>Valencia et al., 2019)</w:t>
      </w:r>
      <w:r w:rsidR="00D07740" w:rsidRPr="00A35EE2">
        <w:rPr>
          <w:rFonts w:ascii="Times New Roman" w:hAnsi="Times New Roman" w:cs="Times New Roman"/>
          <w:sz w:val="24"/>
          <w:szCs w:val="24"/>
        </w:rPr>
        <w:t xml:space="preserve">. </w:t>
      </w:r>
      <w:r w:rsidR="00F82638" w:rsidRPr="00224FAA">
        <w:rPr>
          <w:rFonts w:ascii="Times New Roman" w:hAnsi="Times New Roman" w:cs="Times New Roman"/>
          <w:sz w:val="24"/>
          <w:szCs w:val="24"/>
        </w:rPr>
        <w:t>Significant time and money overruns were due to complications that developed during implementation despite the detailed planning. If we want to improve the planning, management, and monitoring of future large-scale infrastructure projects, we must first understand what went wrong with the initial design of these projects. Insights gained from this study may be used to refine the industry's strategy for more effectively completing projects with fewer complications</w:t>
      </w:r>
      <w:r w:rsidR="00FE6D54">
        <w:rPr>
          <w:rFonts w:ascii="Times New Roman" w:hAnsi="Times New Roman" w:cs="Times New Roman"/>
          <w:sz w:val="24"/>
          <w:szCs w:val="24"/>
        </w:rPr>
        <w:t xml:space="preserve"> (</w:t>
      </w:r>
      <w:r w:rsidR="00FE6D54">
        <w:rPr>
          <w:rFonts w:ascii="Times New Roman" w:hAnsi="Times New Roman" w:cs="Times New Roman"/>
          <w:color w:val="222222"/>
          <w:sz w:val="24"/>
          <w:szCs w:val="24"/>
          <w:shd w:val="clear" w:color="auto" w:fill="FFFFFF"/>
        </w:rPr>
        <w:t>Zamani et al., 2021)</w:t>
      </w:r>
      <w:r w:rsidR="00F82638" w:rsidRPr="00224FAA">
        <w:rPr>
          <w:rFonts w:ascii="Times New Roman" w:hAnsi="Times New Roman" w:cs="Times New Roman"/>
          <w:sz w:val="24"/>
          <w:szCs w:val="24"/>
        </w:rPr>
        <w:t>.</w:t>
      </w:r>
    </w:p>
    <w:p w14:paraId="25D97D31" w14:textId="77777777" w:rsidR="00B01065" w:rsidRDefault="00B01065" w:rsidP="005B01DD">
      <w:pPr>
        <w:spacing w:line="360" w:lineRule="auto"/>
        <w:jc w:val="both"/>
        <w:rPr>
          <w:rFonts w:ascii="Times New Roman" w:hAnsi="Times New Roman" w:cs="Times New Roman"/>
          <w:sz w:val="24"/>
          <w:szCs w:val="24"/>
        </w:rPr>
      </w:pPr>
    </w:p>
    <w:p w14:paraId="23A47EC5" w14:textId="77777777" w:rsidR="000A72A1" w:rsidRDefault="000A72A1" w:rsidP="005B01DD">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Budget Analysis </w:t>
      </w:r>
    </w:p>
    <w:p w14:paraId="78A0075B" w14:textId="77777777" w:rsidR="00224FAA" w:rsidRDefault="00BC2770" w:rsidP="005B01DD">
      <w:pPr>
        <w:spacing w:line="360" w:lineRule="auto"/>
        <w:jc w:val="both"/>
        <w:rPr>
          <w:rFonts w:ascii="Times New Roman" w:hAnsi="Times New Roman" w:cs="Times New Roman"/>
          <w:sz w:val="24"/>
          <w:szCs w:val="24"/>
        </w:rPr>
      </w:pPr>
      <w:r w:rsidRPr="00224FAA">
        <w:rPr>
          <w:rFonts w:ascii="Times New Roman" w:hAnsi="Times New Roman" w:cs="Times New Roman"/>
          <w:sz w:val="24"/>
          <w:szCs w:val="24"/>
        </w:rPr>
        <w:t xml:space="preserve">Despite an early estimate of </w:t>
      </w:r>
      <w:r w:rsidR="00F54FE0">
        <w:rPr>
          <w:rFonts w:ascii="Times New Roman" w:hAnsi="Times New Roman" w:cs="Times New Roman"/>
          <w:sz w:val="24"/>
          <w:szCs w:val="24"/>
        </w:rPr>
        <w:t xml:space="preserve">£ </w:t>
      </w:r>
      <w:r w:rsidRPr="00224FAA">
        <w:rPr>
          <w:rFonts w:ascii="Times New Roman" w:hAnsi="Times New Roman" w:cs="Times New Roman"/>
          <w:sz w:val="24"/>
          <w:szCs w:val="24"/>
        </w:rPr>
        <w:t>25-26 billion, the financial study of the Hinkley Point C nuclear power project revealed massive cost overruns. Several reasons contributed to a rise in construction and running costs:</w:t>
      </w:r>
    </w:p>
    <w:p w14:paraId="2E472C50" w14:textId="77777777" w:rsidR="00224FAA"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1. Technological Complexity</w:t>
      </w:r>
      <w:r w:rsidRPr="00876BAB">
        <w:rPr>
          <w:rFonts w:ascii="Times New Roman" w:hAnsi="Times New Roman" w:cs="Times New Roman"/>
          <w:sz w:val="24"/>
          <w:szCs w:val="24"/>
        </w:rPr>
        <w:t xml:space="preserve">: </w:t>
      </w:r>
      <w:r w:rsidRPr="00224FAA">
        <w:rPr>
          <w:rFonts w:ascii="Times New Roman" w:hAnsi="Times New Roman" w:cs="Times New Roman"/>
          <w:sz w:val="24"/>
          <w:szCs w:val="24"/>
        </w:rPr>
        <w:t>Increased research, development, and implementation expenditures resulted from the project's novel technology and specific design needs</w:t>
      </w:r>
      <w:r w:rsidR="00FE6D54">
        <w:rPr>
          <w:rFonts w:ascii="Times New Roman" w:hAnsi="Times New Roman" w:cs="Times New Roman"/>
          <w:sz w:val="24"/>
          <w:szCs w:val="24"/>
        </w:rPr>
        <w:t xml:space="preserve"> (</w:t>
      </w:r>
      <w:r w:rsidR="00FE6D54">
        <w:rPr>
          <w:rFonts w:ascii="Times New Roman" w:hAnsi="Times New Roman" w:cs="Times New Roman"/>
          <w:color w:val="222222"/>
          <w:sz w:val="24"/>
          <w:szCs w:val="24"/>
          <w:shd w:val="clear" w:color="auto" w:fill="FFFFFF"/>
        </w:rPr>
        <w:t>Dewar</w:t>
      </w:r>
      <w:r w:rsidR="00FE6D54" w:rsidRPr="00FE6D54">
        <w:rPr>
          <w:rFonts w:ascii="Times New Roman" w:hAnsi="Times New Roman" w:cs="Times New Roman"/>
          <w:color w:val="222222"/>
          <w:sz w:val="24"/>
          <w:szCs w:val="24"/>
          <w:shd w:val="clear" w:color="auto" w:fill="FFFFFF"/>
        </w:rPr>
        <w:t xml:space="preserve"> and</w:t>
      </w:r>
      <w:r w:rsidR="00FE6D54">
        <w:rPr>
          <w:rFonts w:ascii="Times New Roman" w:hAnsi="Times New Roman" w:cs="Times New Roman"/>
          <w:color w:val="222222"/>
          <w:sz w:val="24"/>
          <w:szCs w:val="24"/>
          <w:shd w:val="clear" w:color="auto" w:fill="FFFFFF"/>
        </w:rPr>
        <w:t xml:space="preserve"> Hage, 2018)</w:t>
      </w:r>
      <w:r w:rsidRPr="00224FAA">
        <w:rPr>
          <w:rFonts w:ascii="Times New Roman" w:hAnsi="Times New Roman" w:cs="Times New Roman"/>
          <w:sz w:val="24"/>
          <w:szCs w:val="24"/>
        </w:rPr>
        <w:t>.</w:t>
      </w:r>
    </w:p>
    <w:p w14:paraId="7B7BD572" w14:textId="77777777" w:rsidR="00224FAA"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2. Inflation</w:t>
      </w:r>
      <w:r w:rsidRPr="00876BAB">
        <w:rPr>
          <w:rFonts w:ascii="Times New Roman" w:hAnsi="Times New Roman" w:cs="Times New Roman"/>
          <w:sz w:val="24"/>
          <w:szCs w:val="24"/>
        </w:rPr>
        <w:t xml:space="preserve">: </w:t>
      </w:r>
      <w:r w:rsidRPr="00224FAA">
        <w:rPr>
          <w:rFonts w:ascii="Times New Roman" w:hAnsi="Times New Roman" w:cs="Times New Roman"/>
          <w:sz w:val="24"/>
          <w:szCs w:val="24"/>
        </w:rPr>
        <w:t>Inflation affected building materials, labor costs, and equipment prices during the project's lengthy duration, leading to budgetary variations.</w:t>
      </w:r>
    </w:p>
    <w:p w14:paraId="58B87531" w14:textId="77777777" w:rsidR="00224FAA"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3. New Regulations</w:t>
      </w:r>
      <w:r w:rsidRPr="00876BAB">
        <w:rPr>
          <w:rFonts w:ascii="Times New Roman" w:hAnsi="Times New Roman" w:cs="Times New Roman"/>
          <w:sz w:val="24"/>
          <w:szCs w:val="24"/>
        </w:rPr>
        <w:t xml:space="preserve">: </w:t>
      </w:r>
      <w:r w:rsidRPr="00224FAA">
        <w:rPr>
          <w:rFonts w:ascii="Times New Roman" w:hAnsi="Times New Roman" w:cs="Times New Roman"/>
          <w:sz w:val="24"/>
          <w:szCs w:val="24"/>
        </w:rPr>
        <w:t>Costly adjustments were needed to fulfill safety and environmental requirements due to ever-evolving rules and compliance standards, driving total costs.</w:t>
      </w:r>
    </w:p>
    <w:p w14:paraId="3774BF87" w14:textId="77777777" w:rsidR="00224FAA"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4. Insufficient Risk Assessment</w:t>
      </w:r>
      <w:r w:rsidRPr="00876BAB">
        <w:rPr>
          <w:rFonts w:ascii="Times New Roman" w:hAnsi="Times New Roman" w:cs="Times New Roman"/>
          <w:sz w:val="24"/>
          <w:szCs w:val="24"/>
        </w:rPr>
        <w:t xml:space="preserve">: </w:t>
      </w:r>
      <w:r w:rsidRPr="00224FAA">
        <w:rPr>
          <w:rFonts w:ascii="Times New Roman" w:hAnsi="Times New Roman" w:cs="Times New Roman"/>
          <w:sz w:val="24"/>
          <w:szCs w:val="24"/>
        </w:rPr>
        <w:t>Underestimating the monetary effect of uncertainty due to inadequate early identification and evaluation led to unanticipated expenses.</w:t>
      </w:r>
    </w:p>
    <w:p w14:paraId="14E47902" w14:textId="77777777" w:rsidR="00224FAA"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5. Monetary Difficulties</w:t>
      </w:r>
      <w:r w:rsidRPr="00876BAB">
        <w:rPr>
          <w:rFonts w:ascii="Times New Roman" w:hAnsi="Times New Roman" w:cs="Times New Roman"/>
          <w:sz w:val="24"/>
          <w:szCs w:val="24"/>
        </w:rPr>
        <w:t xml:space="preserve">: </w:t>
      </w:r>
      <w:r w:rsidRPr="00224FAA">
        <w:rPr>
          <w:rFonts w:ascii="Times New Roman" w:hAnsi="Times New Roman" w:cs="Times New Roman"/>
          <w:sz w:val="24"/>
          <w:szCs w:val="24"/>
        </w:rPr>
        <w:t>Project expenses were impacted by financing issues such as inadequate finance or shifting lending circumstances</w:t>
      </w:r>
      <w:r w:rsidR="00FE6D54">
        <w:rPr>
          <w:rFonts w:ascii="Times New Roman" w:hAnsi="Times New Roman" w:cs="Times New Roman"/>
          <w:sz w:val="24"/>
          <w:szCs w:val="24"/>
        </w:rPr>
        <w:t xml:space="preserve"> (</w:t>
      </w:r>
      <w:r w:rsidR="00FE6D54">
        <w:rPr>
          <w:rFonts w:ascii="Times New Roman" w:hAnsi="Times New Roman" w:cs="Times New Roman"/>
          <w:color w:val="222222"/>
          <w:sz w:val="24"/>
          <w:szCs w:val="24"/>
          <w:shd w:val="clear" w:color="auto" w:fill="FFFFFF"/>
        </w:rPr>
        <w:t xml:space="preserve">Zaman et al., </w:t>
      </w:r>
      <w:r w:rsidR="00FE6D54" w:rsidRPr="00FE6D54">
        <w:rPr>
          <w:rFonts w:ascii="Times New Roman" w:hAnsi="Times New Roman" w:cs="Times New Roman"/>
          <w:color w:val="222222"/>
          <w:sz w:val="24"/>
          <w:szCs w:val="24"/>
          <w:shd w:val="clear" w:color="auto" w:fill="FFFFFF"/>
        </w:rPr>
        <w:t>2023</w:t>
      </w:r>
      <w:r w:rsidR="00FE6D54">
        <w:rPr>
          <w:rFonts w:ascii="Times New Roman" w:hAnsi="Times New Roman" w:cs="Times New Roman"/>
          <w:color w:val="222222"/>
          <w:sz w:val="24"/>
          <w:szCs w:val="24"/>
          <w:shd w:val="clear" w:color="auto" w:fill="FFFFFF"/>
        </w:rPr>
        <w:t>)</w:t>
      </w:r>
      <w:r w:rsidRPr="00224FAA">
        <w:rPr>
          <w:rFonts w:ascii="Times New Roman" w:hAnsi="Times New Roman" w:cs="Times New Roman"/>
          <w:sz w:val="24"/>
          <w:szCs w:val="24"/>
        </w:rPr>
        <w:t>.</w:t>
      </w:r>
    </w:p>
    <w:p w14:paraId="1C0308D6" w14:textId="77777777" w:rsidR="00224FAA" w:rsidRDefault="00BC2770" w:rsidP="005B01DD">
      <w:pPr>
        <w:spacing w:line="360" w:lineRule="auto"/>
        <w:jc w:val="both"/>
        <w:rPr>
          <w:rFonts w:ascii="Times New Roman" w:hAnsi="Times New Roman" w:cs="Times New Roman"/>
          <w:sz w:val="24"/>
          <w:szCs w:val="24"/>
        </w:rPr>
      </w:pPr>
      <w:r w:rsidRPr="00224FAA">
        <w:rPr>
          <w:rFonts w:ascii="Times New Roman" w:hAnsi="Times New Roman" w:cs="Times New Roman"/>
          <w:sz w:val="24"/>
          <w:szCs w:val="24"/>
        </w:rPr>
        <w:t>Risk evaluations that thoroughly anticipate possible cost drivers and uncertainties are vital for avoiding similar budgetary issues in future large-scale projects</w:t>
      </w:r>
      <w:r w:rsidR="00FE6D54">
        <w:rPr>
          <w:rFonts w:ascii="Times New Roman" w:hAnsi="Times New Roman" w:cs="Times New Roman"/>
          <w:sz w:val="24"/>
          <w:szCs w:val="24"/>
        </w:rPr>
        <w:t xml:space="preserve"> (</w:t>
      </w:r>
      <w:r w:rsidR="00FE6D54">
        <w:rPr>
          <w:rFonts w:ascii="Times New Roman" w:hAnsi="Times New Roman" w:cs="Times New Roman"/>
          <w:color w:val="222222"/>
          <w:sz w:val="24"/>
          <w:szCs w:val="24"/>
          <w:shd w:val="clear" w:color="auto" w:fill="FFFFFF"/>
        </w:rPr>
        <w:t xml:space="preserve">Pan and Zhang, </w:t>
      </w:r>
      <w:r w:rsidR="00FE6D54" w:rsidRPr="00FE6D54">
        <w:rPr>
          <w:rFonts w:ascii="Times New Roman" w:hAnsi="Times New Roman" w:cs="Times New Roman"/>
          <w:color w:val="222222"/>
          <w:sz w:val="24"/>
          <w:szCs w:val="24"/>
          <w:shd w:val="clear" w:color="auto" w:fill="FFFFFF"/>
        </w:rPr>
        <w:t>2021</w:t>
      </w:r>
      <w:r w:rsidR="00FE6D54">
        <w:rPr>
          <w:rFonts w:ascii="Times New Roman" w:hAnsi="Times New Roman" w:cs="Times New Roman"/>
          <w:color w:val="222222"/>
          <w:sz w:val="24"/>
          <w:szCs w:val="24"/>
          <w:shd w:val="clear" w:color="auto" w:fill="FFFFFF"/>
        </w:rPr>
        <w:t>)</w:t>
      </w:r>
      <w:r w:rsidRPr="00224FAA">
        <w:rPr>
          <w:rFonts w:ascii="Times New Roman" w:hAnsi="Times New Roman" w:cs="Times New Roman"/>
          <w:sz w:val="24"/>
          <w:szCs w:val="24"/>
        </w:rPr>
        <w:t>. Completing complicated infrastructure projects within the allotted budget requires vigilant risk management and contingency planning. Stakeholders may improve resource allocation, create financial stability, and deliver projects at costs that align with early forecasts by learning from the mistakes made on the Hinkley Point C project.</w:t>
      </w:r>
    </w:p>
    <w:p w14:paraId="3B76BBAE" w14:textId="77777777" w:rsidR="00E3390D" w:rsidRPr="00982ED2" w:rsidRDefault="00BC2770" w:rsidP="00876BAB">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Time Management and Delays</w:t>
      </w:r>
    </w:p>
    <w:p w14:paraId="550AD60E" w14:textId="77777777" w:rsidR="00224FAA" w:rsidRDefault="00BC2770" w:rsidP="00876BAB">
      <w:pPr>
        <w:spacing w:line="360" w:lineRule="auto"/>
        <w:jc w:val="both"/>
        <w:rPr>
          <w:rFonts w:ascii="Times New Roman" w:hAnsi="Times New Roman" w:cs="Times New Roman"/>
          <w:sz w:val="24"/>
          <w:szCs w:val="24"/>
        </w:rPr>
      </w:pPr>
      <w:r w:rsidRPr="00224FAA">
        <w:rPr>
          <w:rFonts w:ascii="Times New Roman" w:hAnsi="Times New Roman" w:cs="Times New Roman"/>
          <w:sz w:val="24"/>
          <w:szCs w:val="24"/>
        </w:rPr>
        <w:t xml:space="preserve">Time management was crucial to completing the Hinkley Point C project, one of the world's giant nuclear power plants. The project's timeframe and budget were significantly damaged due to significant delays, despite its tremendous success in the UK's nuclear industry. Most of these delays may be traced back to problems with regulations, construction, and the supply chain. As a result, it became clear that the cost overruns might threaten the country's efforts to cut carbon </w:t>
      </w:r>
      <w:r w:rsidRPr="00224FAA">
        <w:rPr>
          <w:rFonts w:ascii="Times New Roman" w:hAnsi="Times New Roman" w:cs="Times New Roman"/>
          <w:sz w:val="24"/>
          <w:szCs w:val="24"/>
        </w:rPr>
        <w:lastRenderedPageBreak/>
        <w:t>emissions. Careful risk assessments and establishing reasonable targets may enhance timeliness in future large-scale initiatives</w:t>
      </w:r>
      <w:r w:rsidR="00FE6D54">
        <w:rPr>
          <w:rFonts w:ascii="Times New Roman" w:hAnsi="Times New Roman" w:cs="Times New Roman"/>
          <w:sz w:val="24"/>
          <w:szCs w:val="24"/>
        </w:rPr>
        <w:t xml:space="preserve"> (</w:t>
      </w:r>
      <w:r w:rsidR="00FE6D54" w:rsidRPr="00FE6D54">
        <w:rPr>
          <w:rFonts w:ascii="Times New Roman" w:hAnsi="Times New Roman" w:cs="Times New Roman"/>
          <w:color w:val="222222"/>
          <w:sz w:val="24"/>
          <w:szCs w:val="24"/>
          <w:shd w:val="clear" w:color="auto" w:fill="FFFFFF"/>
        </w:rPr>
        <w:t>Zidane</w:t>
      </w:r>
      <w:r w:rsidR="00FE6D54">
        <w:rPr>
          <w:rFonts w:ascii="Times New Roman" w:hAnsi="Times New Roman" w:cs="Times New Roman"/>
          <w:color w:val="222222"/>
          <w:sz w:val="24"/>
          <w:szCs w:val="24"/>
          <w:shd w:val="clear" w:color="auto" w:fill="FFFFFF"/>
        </w:rPr>
        <w:t xml:space="preserve"> and Andersen, 2018)</w:t>
      </w:r>
      <w:r w:rsidRPr="00224FAA">
        <w:rPr>
          <w:rFonts w:ascii="Times New Roman" w:hAnsi="Times New Roman" w:cs="Times New Roman"/>
          <w:sz w:val="24"/>
          <w:szCs w:val="24"/>
        </w:rPr>
        <w:t>. Delays may be reduced with proactive steps to resolve regulatory and supply chain problems. These complicated infrastructure projects may be simplified, with interruptions kept to a minimum and deadlines kept by actively involving all parties and encouraging open communication. The lessons learned from the Hinkley Point C project highlight the value of thorough planning and careful management in achieving project goals on time and under budget.</w:t>
      </w:r>
    </w:p>
    <w:p w14:paraId="1BC2BABE" w14:textId="77777777" w:rsidR="00E3390D" w:rsidRPr="00186E17" w:rsidRDefault="00BC2770" w:rsidP="00876BAB">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Quality Assessment</w:t>
      </w:r>
      <w:r w:rsidR="009D18D3">
        <w:rPr>
          <w:rFonts w:ascii="Times New Roman" w:hAnsi="Times New Roman" w:cs="Times New Roman"/>
          <w:b/>
          <w:sz w:val="24"/>
          <w:szCs w:val="24"/>
        </w:rPr>
        <w:tab/>
      </w:r>
    </w:p>
    <w:p w14:paraId="1882D4D5" w14:textId="77777777" w:rsidR="00663361" w:rsidRDefault="00BC2770" w:rsidP="005B01DD">
      <w:pPr>
        <w:spacing w:line="360" w:lineRule="auto"/>
        <w:jc w:val="both"/>
        <w:rPr>
          <w:rFonts w:ascii="Times New Roman" w:hAnsi="Times New Roman" w:cs="Times New Roman"/>
          <w:sz w:val="24"/>
          <w:szCs w:val="24"/>
        </w:rPr>
      </w:pPr>
      <w:r w:rsidRPr="00663361">
        <w:rPr>
          <w:rFonts w:ascii="Times New Roman" w:hAnsi="Times New Roman" w:cs="Times New Roman"/>
          <w:sz w:val="24"/>
          <w:szCs w:val="24"/>
        </w:rPr>
        <w:t>Large-scale projects like Hinkley Point C need meticulous quality control measures to guarantee everything goes according to plan. The quality analysis uncovered several obstacles to the smooth completion of the Hinkley Point C project:</w:t>
      </w:r>
    </w:p>
    <w:p w14:paraId="6E2B9FA1" w14:textId="77777777" w:rsidR="00B01065"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Construction Complexity</w:t>
      </w:r>
      <w:r w:rsidRPr="00876BAB">
        <w:rPr>
          <w:rFonts w:ascii="Times New Roman" w:hAnsi="Times New Roman" w:cs="Times New Roman"/>
          <w:sz w:val="24"/>
          <w:szCs w:val="24"/>
        </w:rPr>
        <w:t xml:space="preserve">: </w:t>
      </w:r>
      <w:r w:rsidR="00663361" w:rsidRPr="00663361">
        <w:rPr>
          <w:rFonts w:ascii="Times New Roman" w:hAnsi="Times New Roman" w:cs="Times New Roman"/>
          <w:sz w:val="24"/>
          <w:szCs w:val="24"/>
        </w:rPr>
        <w:t>Consistent quality throughout the building process was difficult because of the massive size and technical complexity.</w:t>
      </w:r>
    </w:p>
    <w:p w14:paraId="1A97E2CB" w14:textId="77777777" w:rsidR="00663361"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Cost Overruns and Delays</w:t>
      </w:r>
      <w:r w:rsidRPr="00876BAB">
        <w:rPr>
          <w:rFonts w:ascii="Times New Roman" w:hAnsi="Times New Roman" w:cs="Times New Roman"/>
          <w:sz w:val="24"/>
          <w:szCs w:val="24"/>
        </w:rPr>
        <w:t xml:space="preserve">: </w:t>
      </w:r>
      <w:r w:rsidRPr="00663361">
        <w:rPr>
          <w:rFonts w:ascii="Times New Roman" w:hAnsi="Times New Roman" w:cs="Times New Roman"/>
          <w:sz w:val="24"/>
          <w:szCs w:val="24"/>
        </w:rPr>
        <w:t>Negatively damaging the project's overall performance, quality deficiencies caused significant delays and cost overruns</w:t>
      </w:r>
      <w:r w:rsidR="00C17137">
        <w:rPr>
          <w:rFonts w:ascii="Times New Roman" w:hAnsi="Times New Roman" w:cs="Times New Roman"/>
          <w:sz w:val="24"/>
          <w:szCs w:val="24"/>
        </w:rPr>
        <w:t xml:space="preserve"> (</w:t>
      </w:r>
      <w:r w:rsidR="00C17137">
        <w:rPr>
          <w:rFonts w:ascii="Times New Roman" w:hAnsi="Times New Roman" w:cs="Times New Roman"/>
          <w:color w:val="222222"/>
          <w:sz w:val="24"/>
          <w:szCs w:val="24"/>
          <w:shd w:val="clear" w:color="auto" w:fill="FFFFFF"/>
        </w:rPr>
        <w:t>Dlamini and Cumberlege,</w:t>
      </w:r>
      <w:r w:rsidR="00C17137" w:rsidRPr="00C17137">
        <w:rPr>
          <w:rFonts w:ascii="Times New Roman" w:hAnsi="Times New Roman" w:cs="Times New Roman"/>
          <w:color w:val="222222"/>
          <w:sz w:val="24"/>
          <w:szCs w:val="24"/>
          <w:shd w:val="clear" w:color="auto" w:fill="FFFFFF"/>
        </w:rPr>
        <w:t xml:space="preserve"> 2021</w:t>
      </w:r>
      <w:r w:rsidR="00C17137">
        <w:rPr>
          <w:rFonts w:ascii="Times New Roman" w:hAnsi="Times New Roman" w:cs="Times New Roman"/>
          <w:color w:val="222222"/>
          <w:sz w:val="24"/>
          <w:szCs w:val="24"/>
          <w:shd w:val="clear" w:color="auto" w:fill="FFFFFF"/>
        </w:rPr>
        <w:t>)</w:t>
      </w:r>
      <w:r w:rsidRPr="00663361">
        <w:rPr>
          <w:rFonts w:ascii="Times New Roman" w:hAnsi="Times New Roman" w:cs="Times New Roman"/>
          <w:sz w:val="24"/>
          <w:szCs w:val="24"/>
        </w:rPr>
        <w:t>.</w:t>
      </w:r>
    </w:p>
    <w:p w14:paraId="4FE45099" w14:textId="77777777" w:rsidR="00663361" w:rsidRDefault="00BC2770" w:rsidP="005B01DD">
      <w:pPr>
        <w:spacing w:line="360" w:lineRule="auto"/>
        <w:jc w:val="both"/>
        <w:rPr>
          <w:rFonts w:ascii="Times New Roman" w:hAnsi="Times New Roman" w:cs="Times New Roman"/>
          <w:sz w:val="24"/>
          <w:szCs w:val="24"/>
        </w:rPr>
      </w:pPr>
      <w:r w:rsidRPr="00663361">
        <w:rPr>
          <w:rFonts w:ascii="Times New Roman" w:hAnsi="Times New Roman" w:cs="Times New Roman"/>
          <w:sz w:val="24"/>
          <w:szCs w:val="24"/>
        </w:rPr>
        <w:t>The following are the most important factors to consider while planning future projects:</w:t>
      </w:r>
    </w:p>
    <w:p w14:paraId="04F4E908" w14:textId="77777777" w:rsidR="00663361" w:rsidRDefault="00876BAB"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Strengthening Supply Chain Management</w:t>
      </w:r>
      <w:r w:rsidRPr="00876BAB">
        <w:rPr>
          <w:rFonts w:ascii="Times New Roman" w:hAnsi="Times New Roman" w:cs="Times New Roman"/>
          <w:sz w:val="24"/>
          <w:szCs w:val="24"/>
        </w:rPr>
        <w:t xml:space="preserve">: </w:t>
      </w:r>
      <w:r w:rsidR="00BC2770" w:rsidRPr="00663361">
        <w:rPr>
          <w:rFonts w:ascii="Times New Roman" w:hAnsi="Times New Roman" w:cs="Times New Roman"/>
          <w:sz w:val="24"/>
          <w:szCs w:val="24"/>
        </w:rPr>
        <w:t>Maintaining a reliable supply chain that meets all deadlines and quality requirements is essential for running operations smoothly.</w:t>
      </w:r>
    </w:p>
    <w:p w14:paraId="429C9D84" w14:textId="77777777" w:rsidR="00663361" w:rsidRDefault="00876BAB"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Focus on Workforce Competence</w:t>
      </w:r>
      <w:r w:rsidRPr="00876BAB">
        <w:rPr>
          <w:rFonts w:ascii="Times New Roman" w:hAnsi="Times New Roman" w:cs="Times New Roman"/>
          <w:sz w:val="24"/>
          <w:szCs w:val="24"/>
        </w:rPr>
        <w:t xml:space="preserve">: </w:t>
      </w:r>
      <w:r w:rsidR="00BC2770" w:rsidRPr="00663361">
        <w:rPr>
          <w:rFonts w:ascii="Times New Roman" w:hAnsi="Times New Roman" w:cs="Times New Roman"/>
          <w:sz w:val="24"/>
          <w:szCs w:val="24"/>
        </w:rPr>
        <w:t>Providing your workers with the education and training they need to do their jobs well will result in consistent, high-quality results.</w:t>
      </w:r>
    </w:p>
    <w:p w14:paraId="0D53A0FB" w14:textId="77777777" w:rsidR="00876BAB" w:rsidRPr="00876BAB" w:rsidRDefault="00BC2770" w:rsidP="005B01DD">
      <w:pPr>
        <w:spacing w:line="360" w:lineRule="auto"/>
        <w:jc w:val="both"/>
        <w:rPr>
          <w:rFonts w:ascii="Times New Roman" w:hAnsi="Times New Roman" w:cs="Times New Roman"/>
          <w:sz w:val="24"/>
          <w:szCs w:val="24"/>
        </w:rPr>
      </w:pPr>
      <w:r w:rsidRPr="002418EF">
        <w:rPr>
          <w:rFonts w:ascii="Times New Roman" w:hAnsi="Times New Roman" w:cs="Times New Roman"/>
          <w:b/>
          <w:sz w:val="24"/>
          <w:szCs w:val="24"/>
        </w:rPr>
        <w:t>Adherence to Safety and Regulatory Requirements</w:t>
      </w:r>
      <w:r w:rsidRPr="00876BAB">
        <w:rPr>
          <w:rFonts w:ascii="Times New Roman" w:hAnsi="Times New Roman" w:cs="Times New Roman"/>
          <w:sz w:val="24"/>
          <w:szCs w:val="24"/>
        </w:rPr>
        <w:t xml:space="preserve">: </w:t>
      </w:r>
      <w:r w:rsidR="00663361" w:rsidRPr="00663361">
        <w:rPr>
          <w:rFonts w:ascii="Times New Roman" w:hAnsi="Times New Roman" w:cs="Times New Roman"/>
          <w:sz w:val="24"/>
          <w:szCs w:val="24"/>
        </w:rPr>
        <w:t>Adherence to safety procedures and regulatory guidelines reduces the likelihood of expensive delays and ensures the project's success</w:t>
      </w:r>
      <w:r w:rsidR="00C17137">
        <w:rPr>
          <w:rFonts w:ascii="Times New Roman" w:hAnsi="Times New Roman" w:cs="Times New Roman"/>
          <w:sz w:val="24"/>
          <w:szCs w:val="24"/>
        </w:rPr>
        <w:t xml:space="preserve"> (</w:t>
      </w:r>
      <w:r w:rsidR="00C17137">
        <w:rPr>
          <w:rFonts w:ascii="Times New Roman" w:hAnsi="Times New Roman" w:cs="Times New Roman"/>
          <w:color w:val="222222"/>
          <w:sz w:val="24"/>
          <w:szCs w:val="24"/>
          <w:shd w:val="clear" w:color="auto" w:fill="FFFFFF"/>
        </w:rPr>
        <w:t xml:space="preserve">Amoah and Simpeh, </w:t>
      </w:r>
      <w:r w:rsidR="00C17137" w:rsidRPr="00C17137">
        <w:rPr>
          <w:rFonts w:ascii="Times New Roman" w:hAnsi="Times New Roman" w:cs="Times New Roman"/>
          <w:color w:val="222222"/>
          <w:sz w:val="24"/>
          <w:szCs w:val="24"/>
          <w:shd w:val="clear" w:color="auto" w:fill="FFFFFF"/>
        </w:rPr>
        <w:t>2021</w:t>
      </w:r>
      <w:r w:rsidR="00C17137">
        <w:rPr>
          <w:rFonts w:ascii="Times New Roman" w:hAnsi="Times New Roman" w:cs="Times New Roman"/>
          <w:color w:val="222222"/>
          <w:sz w:val="24"/>
          <w:szCs w:val="24"/>
          <w:shd w:val="clear" w:color="auto" w:fill="FFFFFF"/>
        </w:rPr>
        <w:t>)</w:t>
      </w:r>
      <w:r w:rsidR="00663361" w:rsidRPr="00663361">
        <w:rPr>
          <w:rFonts w:ascii="Times New Roman" w:hAnsi="Times New Roman" w:cs="Times New Roman"/>
          <w:sz w:val="24"/>
          <w:szCs w:val="24"/>
        </w:rPr>
        <w:t>.</w:t>
      </w:r>
    </w:p>
    <w:p w14:paraId="5C53705C" w14:textId="77777777" w:rsidR="003F3F7C" w:rsidRDefault="00BC2770" w:rsidP="005B01DD">
      <w:pPr>
        <w:spacing w:line="360" w:lineRule="auto"/>
        <w:jc w:val="both"/>
        <w:rPr>
          <w:rFonts w:ascii="Times New Roman" w:hAnsi="Times New Roman" w:cs="Times New Roman"/>
          <w:b/>
          <w:sz w:val="24"/>
          <w:szCs w:val="24"/>
        </w:rPr>
      </w:pPr>
      <w:r w:rsidRPr="00663361">
        <w:rPr>
          <w:rFonts w:ascii="Times New Roman" w:hAnsi="Times New Roman" w:cs="Times New Roman"/>
          <w:sz w:val="24"/>
          <w:szCs w:val="24"/>
        </w:rPr>
        <w:t>Future nuclear power plant projects may avoid the pitfalls seen with Hinkley Po</w:t>
      </w:r>
      <w:r w:rsidR="00AC1070">
        <w:rPr>
          <w:rFonts w:ascii="Times New Roman" w:hAnsi="Times New Roman" w:cs="Times New Roman"/>
          <w:sz w:val="24"/>
          <w:szCs w:val="24"/>
        </w:rPr>
        <w:t xml:space="preserve">int C by </w:t>
      </w:r>
      <w:r w:rsidRPr="00663361">
        <w:rPr>
          <w:rFonts w:ascii="Times New Roman" w:hAnsi="Times New Roman" w:cs="Times New Roman"/>
          <w:sz w:val="24"/>
          <w:szCs w:val="24"/>
        </w:rPr>
        <w:t>including quality management as a central tenet of their approach.</w:t>
      </w:r>
    </w:p>
    <w:p w14:paraId="080A5596" w14:textId="77777777" w:rsidR="006F26BC" w:rsidRDefault="006F26BC" w:rsidP="00186E17">
      <w:pPr>
        <w:spacing w:line="360" w:lineRule="auto"/>
        <w:rPr>
          <w:rFonts w:ascii="Times New Roman" w:hAnsi="Times New Roman" w:cs="Times New Roman"/>
          <w:b/>
          <w:sz w:val="24"/>
          <w:szCs w:val="24"/>
        </w:rPr>
      </w:pPr>
    </w:p>
    <w:p w14:paraId="0F821F02" w14:textId="77777777" w:rsidR="00E3390D" w:rsidRPr="00982ED2" w:rsidRDefault="00BC2770" w:rsidP="00186E17">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lastRenderedPageBreak/>
        <w:t>Stakeholder Engagement</w:t>
      </w:r>
    </w:p>
    <w:p w14:paraId="0DEC3618" w14:textId="77777777" w:rsidR="00AC1070" w:rsidRDefault="00BC2770" w:rsidP="005B01DD">
      <w:pPr>
        <w:spacing w:line="360" w:lineRule="auto"/>
        <w:jc w:val="both"/>
        <w:rPr>
          <w:rFonts w:ascii="Times New Roman" w:hAnsi="Times New Roman" w:cs="Times New Roman"/>
          <w:sz w:val="24"/>
          <w:szCs w:val="24"/>
        </w:rPr>
      </w:pPr>
      <w:r w:rsidRPr="00AC1070">
        <w:rPr>
          <w:rFonts w:ascii="Times New Roman" w:hAnsi="Times New Roman" w:cs="Times New Roman"/>
          <w:sz w:val="24"/>
          <w:szCs w:val="24"/>
        </w:rPr>
        <w:t>As with any large-scale infrastructure project, stakeholder involvement was crucial to the success of the Hinkley Point C project. Active participation from a wide range of stakeholders was crucial to the project's success and the successful handling of any difficulties. Good and bad things were discovered about stakeholder involvement at Hinkley Point C.</w:t>
      </w:r>
    </w:p>
    <w:p w14:paraId="39E3EA32" w14:textId="77777777" w:rsidR="00B01065" w:rsidRDefault="00BC2770" w:rsidP="005B01DD">
      <w:pPr>
        <w:spacing w:line="360" w:lineRule="auto"/>
        <w:jc w:val="both"/>
        <w:rPr>
          <w:rFonts w:ascii="Times New Roman" w:hAnsi="Times New Roman" w:cs="Times New Roman"/>
          <w:sz w:val="24"/>
          <w:szCs w:val="24"/>
        </w:rPr>
      </w:pPr>
      <w:r w:rsidRPr="003F3F7C">
        <w:rPr>
          <w:rFonts w:ascii="Times New Roman" w:hAnsi="Times New Roman" w:cs="Times New Roman"/>
          <w:sz w:val="24"/>
          <w:szCs w:val="24"/>
        </w:rPr>
        <w:t>Positive Elements:</w:t>
      </w:r>
    </w:p>
    <w:p w14:paraId="779C51D5"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Government and Investor Support</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Communicating with regulatory bodies and potential investors helped secure the necessary support and funding, propelling the initiative forward</w:t>
      </w:r>
      <w:r w:rsidR="00C17137">
        <w:rPr>
          <w:rFonts w:ascii="Times New Roman" w:hAnsi="Times New Roman" w:cs="Times New Roman"/>
          <w:sz w:val="24"/>
          <w:szCs w:val="24"/>
        </w:rPr>
        <w:t xml:space="preserve"> (</w:t>
      </w:r>
      <w:r w:rsidR="00C17137">
        <w:rPr>
          <w:rFonts w:ascii="Times New Roman" w:hAnsi="Times New Roman" w:cs="Times New Roman"/>
          <w:color w:val="222222"/>
          <w:sz w:val="24"/>
          <w:szCs w:val="24"/>
          <w:shd w:val="clear" w:color="auto" w:fill="FFFFFF"/>
        </w:rPr>
        <w:t>Yang et al., 2020)</w:t>
      </w:r>
      <w:r w:rsidRPr="00AC1070">
        <w:rPr>
          <w:rFonts w:ascii="Times New Roman" w:hAnsi="Times New Roman" w:cs="Times New Roman"/>
          <w:sz w:val="24"/>
          <w:szCs w:val="24"/>
        </w:rPr>
        <w:t>.</w:t>
      </w:r>
    </w:p>
    <w:p w14:paraId="42FC5822"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Financial Support</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Participation from several investors guaranteed a secure financial base, allowing the project to advance.</w:t>
      </w:r>
    </w:p>
    <w:p w14:paraId="65CDDEA6" w14:textId="77777777" w:rsidR="003F3F7C" w:rsidRPr="003F3F7C" w:rsidRDefault="00BC2770" w:rsidP="005B01DD">
      <w:pPr>
        <w:spacing w:line="360" w:lineRule="auto"/>
        <w:jc w:val="both"/>
        <w:rPr>
          <w:rFonts w:ascii="Times New Roman" w:hAnsi="Times New Roman" w:cs="Times New Roman"/>
          <w:sz w:val="24"/>
          <w:szCs w:val="24"/>
        </w:rPr>
      </w:pPr>
      <w:r w:rsidRPr="003F3F7C">
        <w:rPr>
          <w:rFonts w:ascii="Times New Roman" w:hAnsi="Times New Roman" w:cs="Times New Roman"/>
          <w:sz w:val="24"/>
          <w:szCs w:val="24"/>
        </w:rPr>
        <w:t>Unfavorable Elements:</w:t>
      </w:r>
    </w:p>
    <w:p w14:paraId="25E37F64"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Local Communities' Concerns</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Concerns were raised by local people about the possible effects of the project on the environment and their way of life, which caused the project to be delayed and cost more money.</w:t>
      </w:r>
    </w:p>
    <w:p w14:paraId="239AE730" w14:textId="77777777" w:rsidR="003F3F7C" w:rsidRPr="003F3F7C"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Environmental Organizations' Involvement</w:t>
      </w:r>
      <w:r w:rsidRPr="003F3F7C">
        <w:rPr>
          <w:rFonts w:ascii="Times New Roman" w:hAnsi="Times New Roman" w:cs="Times New Roman"/>
          <w:sz w:val="24"/>
          <w:szCs w:val="24"/>
        </w:rPr>
        <w:t xml:space="preserve">: </w:t>
      </w:r>
      <w:r w:rsidR="00AC1070" w:rsidRPr="00AC1070">
        <w:rPr>
          <w:rFonts w:ascii="Times New Roman" w:hAnsi="Times New Roman" w:cs="Times New Roman"/>
          <w:sz w:val="24"/>
          <w:szCs w:val="24"/>
        </w:rPr>
        <w:t>Concerns were expressed by environmental groups about potential adverse effects on the environment, prompting the need for more investigation</w:t>
      </w:r>
      <w:r w:rsidR="00C17137">
        <w:rPr>
          <w:rFonts w:ascii="Times New Roman" w:hAnsi="Times New Roman" w:cs="Times New Roman"/>
          <w:sz w:val="24"/>
          <w:szCs w:val="24"/>
        </w:rPr>
        <w:t xml:space="preserve"> (</w:t>
      </w:r>
      <w:r w:rsidR="00C17137" w:rsidRPr="00C17137">
        <w:rPr>
          <w:rFonts w:ascii="Times New Roman" w:hAnsi="Times New Roman" w:cs="Times New Roman"/>
          <w:color w:val="222222"/>
          <w:sz w:val="24"/>
          <w:szCs w:val="24"/>
          <w:shd w:val="clear" w:color="auto" w:fill="FFFFFF"/>
        </w:rPr>
        <w:t>Scheide</w:t>
      </w:r>
      <w:r w:rsidR="00C17137">
        <w:rPr>
          <w:rFonts w:ascii="Times New Roman" w:hAnsi="Times New Roman" w:cs="Times New Roman"/>
          <w:color w:val="222222"/>
          <w:sz w:val="24"/>
          <w:szCs w:val="24"/>
          <w:shd w:val="clear" w:color="auto" w:fill="FFFFFF"/>
        </w:rPr>
        <w:t>l et al., 2020)</w:t>
      </w:r>
      <w:r w:rsidR="00AC1070" w:rsidRPr="00AC1070">
        <w:rPr>
          <w:rFonts w:ascii="Times New Roman" w:hAnsi="Times New Roman" w:cs="Times New Roman"/>
          <w:sz w:val="24"/>
          <w:szCs w:val="24"/>
        </w:rPr>
        <w:t>.</w:t>
      </w:r>
    </w:p>
    <w:p w14:paraId="08A3D756" w14:textId="77777777" w:rsidR="00AC1070" w:rsidRDefault="00BC2770" w:rsidP="005B01DD">
      <w:pPr>
        <w:spacing w:line="360" w:lineRule="auto"/>
        <w:jc w:val="both"/>
        <w:rPr>
          <w:rFonts w:ascii="Times New Roman" w:hAnsi="Times New Roman" w:cs="Times New Roman"/>
          <w:sz w:val="24"/>
          <w:szCs w:val="24"/>
        </w:rPr>
      </w:pPr>
      <w:r w:rsidRPr="00AC1070">
        <w:rPr>
          <w:rFonts w:ascii="Times New Roman" w:hAnsi="Times New Roman" w:cs="Times New Roman"/>
          <w:sz w:val="24"/>
          <w:szCs w:val="24"/>
        </w:rPr>
        <w:t>Several suggestions are essential to enhance stakeholder participation in future large-scale projects:</w:t>
      </w:r>
    </w:p>
    <w:p w14:paraId="1088A8E1"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Open Communication</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The best way to solve problems is to get everyone involved in a candid discussion about the issues they're facing.</w:t>
      </w:r>
    </w:p>
    <w:p w14:paraId="65C380C6"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Early Involvement</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To ensure a more well-rounded and inclusive approach, it's essential to include all relevant parties in the planning stages of a project from the get-go.</w:t>
      </w:r>
    </w:p>
    <w:p w14:paraId="18301F3F" w14:textId="77777777" w:rsidR="006F26BC" w:rsidRDefault="006F26BC" w:rsidP="005B01DD">
      <w:pPr>
        <w:spacing w:line="360" w:lineRule="auto"/>
        <w:jc w:val="both"/>
        <w:rPr>
          <w:rFonts w:ascii="Times New Roman" w:hAnsi="Times New Roman" w:cs="Times New Roman"/>
          <w:b/>
          <w:sz w:val="24"/>
          <w:szCs w:val="24"/>
        </w:rPr>
      </w:pPr>
    </w:p>
    <w:p w14:paraId="092B7C45" w14:textId="77777777" w:rsidR="00AC1070" w:rsidRP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lastRenderedPageBreak/>
        <w:t>Mitigate Concerns</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Reduce the likelihood of disputes and interruptions by proactively addressing environmental and community concerns.</w:t>
      </w:r>
    </w:p>
    <w:p w14:paraId="644B2860" w14:textId="77777777" w:rsidR="00AC1070" w:rsidRPr="00AC1070" w:rsidRDefault="00BC2770" w:rsidP="005B01DD">
      <w:pPr>
        <w:spacing w:line="360" w:lineRule="auto"/>
        <w:jc w:val="both"/>
        <w:rPr>
          <w:rFonts w:ascii="Times New Roman" w:hAnsi="Times New Roman" w:cs="Times New Roman"/>
          <w:sz w:val="24"/>
          <w:szCs w:val="24"/>
        </w:rPr>
      </w:pPr>
      <w:r w:rsidRPr="00AC1070">
        <w:rPr>
          <w:rFonts w:ascii="Times New Roman" w:hAnsi="Times New Roman" w:cs="Times New Roman"/>
          <w:sz w:val="24"/>
          <w:szCs w:val="24"/>
        </w:rPr>
        <w:t>By adopting these suggestions, large-scale projects like Hinkley Point C may improve stakeholder involvement, eliminate disputes, and finish vital infrastructure projects on time and within budget. Long-term success in a project is more likely when all stakeholders are actively engaged, and their input is valued.</w:t>
      </w:r>
    </w:p>
    <w:p w14:paraId="3258C564" w14:textId="77777777" w:rsidR="00860900" w:rsidRDefault="00BC2770" w:rsidP="00AC1070">
      <w:pPr>
        <w:spacing w:line="360" w:lineRule="auto"/>
        <w:rPr>
          <w:rFonts w:ascii="Times New Roman" w:hAnsi="Times New Roman" w:cs="Times New Roman"/>
          <w:b/>
          <w:sz w:val="24"/>
          <w:szCs w:val="24"/>
        </w:rPr>
      </w:pPr>
      <w:r w:rsidRPr="00982ED2">
        <w:rPr>
          <w:rFonts w:ascii="Times New Roman" w:hAnsi="Times New Roman" w:cs="Times New Roman"/>
          <w:b/>
          <w:sz w:val="24"/>
          <w:szCs w:val="24"/>
        </w:rPr>
        <w:t>Risk Management</w:t>
      </w:r>
    </w:p>
    <w:p w14:paraId="129950FE" w14:textId="77777777" w:rsidR="00AC1070" w:rsidRPr="00AC1070" w:rsidRDefault="00BC2770" w:rsidP="005B01DD">
      <w:pPr>
        <w:spacing w:line="360" w:lineRule="auto"/>
        <w:jc w:val="both"/>
        <w:rPr>
          <w:rFonts w:ascii="Times New Roman" w:hAnsi="Times New Roman" w:cs="Times New Roman"/>
          <w:sz w:val="24"/>
          <w:szCs w:val="24"/>
        </w:rPr>
      </w:pPr>
      <w:bookmarkStart w:id="2" w:name="_Toc141860722"/>
      <w:r w:rsidRPr="00AC1070">
        <w:rPr>
          <w:rFonts w:ascii="Times New Roman" w:hAnsi="Times New Roman" w:cs="Times New Roman"/>
          <w:sz w:val="24"/>
          <w:szCs w:val="24"/>
        </w:rPr>
        <w:t>The building of the Hinkley Point C nuclear power station in the United Kingdom is a prime example of the importance of risk management in managing big and complex infrastructure projects. It was critical to adopt a thorough risk management strategy throughout the planning and execution phases of the project to effectively foresee possible difficulties and reduce their influence on the project's development.</w:t>
      </w:r>
    </w:p>
    <w:p w14:paraId="1EC4D493" w14:textId="77777777" w:rsidR="00AC1070" w:rsidRPr="00AC1070" w:rsidRDefault="00BC2770" w:rsidP="005B01DD">
      <w:pPr>
        <w:spacing w:line="360" w:lineRule="auto"/>
        <w:jc w:val="both"/>
        <w:rPr>
          <w:rFonts w:ascii="Times New Roman" w:hAnsi="Times New Roman" w:cs="Times New Roman"/>
          <w:sz w:val="24"/>
          <w:szCs w:val="24"/>
        </w:rPr>
      </w:pPr>
      <w:r w:rsidRPr="00AC1070">
        <w:rPr>
          <w:rFonts w:ascii="Times New Roman" w:hAnsi="Times New Roman" w:cs="Times New Roman"/>
          <w:sz w:val="24"/>
          <w:szCs w:val="24"/>
        </w:rPr>
        <w:t>Several crucial areas need to be emphasized and developed to increase risk management techniques for future projects:</w:t>
      </w:r>
    </w:p>
    <w:p w14:paraId="001BDD01"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Thorough Risk Assessment:</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A thorough risk assessment is crucial to plan better and implement preventative measures against possible risks.</w:t>
      </w:r>
    </w:p>
    <w:p w14:paraId="47FA1B6C" w14:textId="77777777" w:rsidR="003F3F7C" w:rsidRPr="003F3F7C"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Backup Plans:</w:t>
      </w:r>
      <w:r w:rsidRPr="003F3F7C">
        <w:rPr>
          <w:rFonts w:ascii="Times New Roman" w:hAnsi="Times New Roman" w:cs="Times New Roman"/>
          <w:sz w:val="24"/>
          <w:szCs w:val="24"/>
        </w:rPr>
        <w:t xml:space="preserve"> </w:t>
      </w:r>
      <w:r w:rsidR="00AC1070" w:rsidRPr="00AC1070">
        <w:rPr>
          <w:rFonts w:ascii="Times New Roman" w:hAnsi="Times New Roman" w:cs="Times New Roman"/>
          <w:sz w:val="24"/>
          <w:szCs w:val="24"/>
        </w:rPr>
        <w:t>Create a safety net and make the project more resistant to interruptions by developing thorough preparations to deal with possible dangers.</w:t>
      </w:r>
    </w:p>
    <w:p w14:paraId="60FAD095" w14:textId="77777777" w:rsidR="00AC1070"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 xml:space="preserve"> Proactive Stakeholder Participation</w:t>
      </w:r>
      <w:r w:rsidRPr="003F3F7C">
        <w:rPr>
          <w:rFonts w:ascii="Times New Roman" w:hAnsi="Times New Roman" w:cs="Times New Roman"/>
          <w:sz w:val="24"/>
          <w:szCs w:val="24"/>
        </w:rPr>
        <w:t xml:space="preserve">: </w:t>
      </w:r>
      <w:r w:rsidRPr="00AC1070">
        <w:rPr>
          <w:rFonts w:ascii="Times New Roman" w:hAnsi="Times New Roman" w:cs="Times New Roman"/>
          <w:sz w:val="24"/>
          <w:szCs w:val="24"/>
        </w:rPr>
        <w:t>Better risk mitigation methods may be developed with the help of active stakeholder engagement and the incorporation of stakeholder views into risk management decisions.</w:t>
      </w:r>
    </w:p>
    <w:p w14:paraId="1120BDE5" w14:textId="77777777" w:rsidR="005B01DD" w:rsidRDefault="00BC2770" w:rsidP="005B01DD">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t>Open Communication:</w:t>
      </w:r>
      <w:r w:rsidRPr="003F3F7C">
        <w:rPr>
          <w:rFonts w:ascii="Times New Roman" w:hAnsi="Times New Roman" w:cs="Times New Roman"/>
          <w:sz w:val="24"/>
          <w:szCs w:val="24"/>
        </w:rPr>
        <w:t xml:space="preserve"> </w:t>
      </w:r>
      <w:r w:rsidRPr="005B01DD">
        <w:rPr>
          <w:rFonts w:ascii="Times New Roman" w:hAnsi="Times New Roman" w:cs="Times New Roman"/>
          <w:sz w:val="24"/>
          <w:szCs w:val="24"/>
        </w:rPr>
        <w:t>Keeping the lines of communication open during the project's duration will help ensure that any new hazards are identified and addressed as soon as possible</w:t>
      </w:r>
      <w:r w:rsidR="005D6CF3">
        <w:rPr>
          <w:rFonts w:ascii="Times New Roman" w:hAnsi="Times New Roman" w:cs="Times New Roman"/>
          <w:sz w:val="24"/>
          <w:szCs w:val="24"/>
        </w:rPr>
        <w:t xml:space="preserve"> (</w:t>
      </w:r>
      <w:r w:rsidR="005D6CF3">
        <w:rPr>
          <w:rFonts w:ascii="Times New Roman" w:hAnsi="Times New Roman" w:cs="Times New Roman"/>
          <w:color w:val="222222"/>
          <w:sz w:val="24"/>
          <w:szCs w:val="24"/>
          <w:shd w:val="clear" w:color="auto" w:fill="FFFFFF"/>
        </w:rPr>
        <w:t>Stacho et al., 2019)</w:t>
      </w:r>
      <w:r w:rsidRPr="005B01DD">
        <w:rPr>
          <w:rFonts w:ascii="Times New Roman" w:hAnsi="Times New Roman" w:cs="Times New Roman"/>
          <w:sz w:val="24"/>
          <w:szCs w:val="24"/>
        </w:rPr>
        <w:t>.</w:t>
      </w:r>
    </w:p>
    <w:p w14:paraId="3021C4E5" w14:textId="77777777" w:rsidR="006F26BC" w:rsidRDefault="006F26BC" w:rsidP="005B01DD">
      <w:pPr>
        <w:spacing w:line="360" w:lineRule="auto"/>
        <w:jc w:val="both"/>
        <w:rPr>
          <w:rFonts w:ascii="Times New Roman" w:hAnsi="Times New Roman" w:cs="Times New Roman"/>
          <w:b/>
          <w:sz w:val="24"/>
          <w:szCs w:val="24"/>
        </w:rPr>
      </w:pPr>
    </w:p>
    <w:p w14:paraId="1A8B62B4" w14:textId="77777777" w:rsidR="00B01065" w:rsidRDefault="00BC2770" w:rsidP="00B01065">
      <w:pPr>
        <w:spacing w:line="360" w:lineRule="auto"/>
        <w:jc w:val="both"/>
        <w:rPr>
          <w:rFonts w:ascii="Times New Roman" w:hAnsi="Times New Roman" w:cs="Times New Roman"/>
          <w:sz w:val="24"/>
          <w:szCs w:val="24"/>
        </w:rPr>
      </w:pPr>
      <w:r w:rsidRPr="005D6CF3">
        <w:rPr>
          <w:rFonts w:ascii="Times New Roman" w:hAnsi="Times New Roman" w:cs="Times New Roman"/>
          <w:b/>
          <w:sz w:val="24"/>
          <w:szCs w:val="24"/>
        </w:rPr>
        <w:lastRenderedPageBreak/>
        <w:t>Regular Monitoring and Learning:</w:t>
      </w:r>
      <w:r w:rsidRPr="003F3F7C">
        <w:rPr>
          <w:rFonts w:ascii="Times New Roman" w:hAnsi="Times New Roman" w:cs="Times New Roman"/>
          <w:sz w:val="24"/>
          <w:szCs w:val="24"/>
        </w:rPr>
        <w:t xml:space="preserve"> </w:t>
      </w:r>
      <w:r w:rsidRPr="005B01DD">
        <w:rPr>
          <w:rFonts w:ascii="Times New Roman" w:hAnsi="Times New Roman" w:cs="Times New Roman"/>
          <w:sz w:val="24"/>
          <w:szCs w:val="24"/>
        </w:rPr>
        <w:t>Project teams will be better equipped to adjust to changing circumstances and fine-tune risk management techniques if they regularly assess project progress and learn from prior experiences.</w:t>
      </w:r>
    </w:p>
    <w:p w14:paraId="7056613D" w14:textId="77777777" w:rsidR="00C43E21" w:rsidRPr="00B01065" w:rsidRDefault="00BC2770" w:rsidP="00B01065">
      <w:pPr>
        <w:spacing w:line="360" w:lineRule="auto"/>
        <w:jc w:val="both"/>
        <w:rPr>
          <w:rFonts w:ascii="Times New Roman" w:hAnsi="Times New Roman" w:cs="Times New Roman"/>
          <w:sz w:val="24"/>
          <w:szCs w:val="24"/>
        </w:rPr>
      </w:pPr>
      <w:r w:rsidRPr="005B01DD">
        <w:rPr>
          <w:rFonts w:ascii="Times New Roman" w:hAnsi="Times New Roman" w:cs="Times New Roman"/>
          <w:sz w:val="24"/>
          <w:szCs w:val="24"/>
        </w:rPr>
        <w:t>If these changes are made, risk management in future megaprojects will be more effective and help ensure the timely completion of vital infrastructure projects. Project success and efficiency may be increased with a systematic risk management approach shaped by ongoing education and the participation of all relevant parties.</w:t>
      </w:r>
    </w:p>
    <w:p w14:paraId="3CDD56CC" w14:textId="77777777" w:rsidR="005B01DD" w:rsidRPr="00C43E21" w:rsidRDefault="00C43E21" w:rsidP="00C43E21">
      <w:pPr>
        <w:rPr>
          <w:rFonts w:ascii="Times New Roman" w:hAnsi="Times New Roman" w:cs="Times New Roman"/>
          <w:sz w:val="24"/>
          <w:szCs w:val="24"/>
        </w:rPr>
      </w:pPr>
      <w:r>
        <w:rPr>
          <w:rFonts w:ascii="Times New Roman" w:hAnsi="Times New Roman" w:cs="Times New Roman"/>
          <w:b/>
          <w:bCs/>
          <w:sz w:val="24"/>
          <w:szCs w:val="24"/>
        </w:rPr>
        <w:br w:type="page"/>
      </w:r>
    </w:p>
    <w:p w14:paraId="1257B0D8" w14:textId="77777777" w:rsidR="00E3390D" w:rsidRPr="002418EF" w:rsidRDefault="00BC2770" w:rsidP="002418EF">
      <w:pPr>
        <w:pStyle w:val="Heading1"/>
      </w:pPr>
      <w:r w:rsidRPr="002418EF">
        <w:lastRenderedPageBreak/>
        <w:t>Recommendations</w:t>
      </w:r>
      <w:bookmarkEnd w:id="2"/>
    </w:p>
    <w:p w14:paraId="4928150D" w14:textId="77777777" w:rsidR="00987B76" w:rsidRDefault="00BC2770" w:rsidP="00186E17">
      <w:pPr>
        <w:spacing w:line="360" w:lineRule="auto"/>
        <w:rPr>
          <w:rFonts w:ascii="Times New Roman" w:hAnsi="Times New Roman" w:cs="Times New Roman"/>
          <w:sz w:val="24"/>
          <w:szCs w:val="24"/>
        </w:rPr>
      </w:pPr>
      <w:r w:rsidRPr="00987B76">
        <w:rPr>
          <w:rFonts w:ascii="Times New Roman" w:hAnsi="Times New Roman" w:cs="Times New Roman"/>
          <w:sz w:val="24"/>
          <w:szCs w:val="24"/>
        </w:rPr>
        <w:t>As a result of our investigation, we have come up with the followi</w:t>
      </w:r>
      <w:r>
        <w:rPr>
          <w:rFonts w:ascii="Times New Roman" w:hAnsi="Times New Roman" w:cs="Times New Roman"/>
          <w:sz w:val="24"/>
          <w:szCs w:val="24"/>
        </w:rPr>
        <w:t>ng suggestions:</w:t>
      </w:r>
    </w:p>
    <w:p w14:paraId="21BC719C" w14:textId="77777777" w:rsidR="005B01DD" w:rsidRDefault="00BC2770" w:rsidP="0079717F">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1. Thorough Risk Assessment:</w:t>
      </w:r>
      <w:r w:rsidRPr="00983FB9">
        <w:rPr>
          <w:rFonts w:ascii="Times New Roman" w:hAnsi="Times New Roman" w:cs="Times New Roman"/>
          <w:sz w:val="28"/>
          <w:szCs w:val="28"/>
        </w:rPr>
        <w:t xml:space="preserve"> </w:t>
      </w:r>
      <w:r w:rsidRPr="005B01DD">
        <w:rPr>
          <w:rFonts w:ascii="Times New Roman" w:hAnsi="Times New Roman" w:cs="Times New Roman"/>
          <w:sz w:val="24"/>
          <w:szCs w:val="24"/>
        </w:rPr>
        <w:t xml:space="preserve">Providing low-carbon electricity to millions of homes and dramatically lowering carbon emissions is a top priority for the United Kingdom's Hinkley Point C nuclear power plant project. But the project has had significant difficulties, such as considerable delays and cost overruns. These problems doubt the veracity of the project's initial design and risk assessment. Completing such lofty goals requires an in-depth risk analysis to be performed early in the planning process. Potential challenges and unknowns arising over the project's lifespan must be identified and evaluated for a complete risk assessment. Considerations as varied as technological complexity, regulatory shifts, financial risks, environmental worries, and geopolitical effects should all be included in this research. The project's success and adverse effects may be improved by proactively managing these difficulties. An environment where risks are acknowledged, and problems are tackled head-on is fostered when a thorough risk assessment is performed early in the development of a project. It promotes ongoing assessment and modification throughout a project's lifecycle, allowing for prompt corrections as required. The nuclear power plant construction at Hinkley Point C is a striking example of the importance of a thorough risk assessment before beginning any endeavor of this magnitude. </w:t>
      </w:r>
    </w:p>
    <w:p w14:paraId="555F3800" w14:textId="77777777" w:rsidR="005B01DD" w:rsidRDefault="00BC2770" w:rsidP="0079717F">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2. Enhanced Stakeholder Engagement:</w:t>
      </w:r>
      <w:r w:rsidRPr="00983FB9">
        <w:rPr>
          <w:rFonts w:ascii="Times New Roman" w:hAnsi="Times New Roman" w:cs="Times New Roman"/>
          <w:sz w:val="28"/>
          <w:szCs w:val="28"/>
        </w:rPr>
        <w:t xml:space="preserve"> </w:t>
      </w:r>
      <w:r w:rsidRPr="005B01DD">
        <w:rPr>
          <w:rFonts w:ascii="Times New Roman" w:hAnsi="Times New Roman" w:cs="Times New Roman"/>
          <w:sz w:val="24"/>
          <w:szCs w:val="24"/>
        </w:rPr>
        <w:t xml:space="preserve">The ambitious goals of the Hinkley Point C Project in the United Kingdom include the reduction of carbon emissions, the creation of jobs, and the supply of low-carbon electricity to the area. However, its reputation as the world's </w:t>
      </w:r>
      <w:r w:rsidR="00207147" w:rsidRPr="005B01DD">
        <w:rPr>
          <w:rFonts w:ascii="Times New Roman" w:hAnsi="Times New Roman" w:cs="Times New Roman"/>
          <w:sz w:val="24"/>
          <w:szCs w:val="24"/>
        </w:rPr>
        <w:t>costliest</w:t>
      </w:r>
      <w:r w:rsidRPr="005B01DD">
        <w:rPr>
          <w:rFonts w:ascii="Times New Roman" w:hAnsi="Times New Roman" w:cs="Times New Roman"/>
          <w:sz w:val="24"/>
          <w:szCs w:val="24"/>
        </w:rPr>
        <w:t xml:space="preserve"> nuclear power facility has prompted reasonable worries about cost overruns and construction delays. Improved stakeholder interaction should be prioritized as a foundational approach for the project's success. The success of the Hinkley Point C project depends on the participation of a wide range of stakeholders throughout the project. First and foremost, increasing stakeholder engagement encourages open communication, which is essential for rapidly identifying and resolving concerns and possible difficulties. The team's ability to make educated judgments and improve the project's overall performance is greatly aided by open communication</w:t>
      </w:r>
      <w:r w:rsidR="005D6CF3">
        <w:rPr>
          <w:rFonts w:ascii="Times New Roman" w:hAnsi="Times New Roman" w:cs="Times New Roman"/>
          <w:sz w:val="24"/>
          <w:szCs w:val="24"/>
        </w:rPr>
        <w:t xml:space="preserve"> (</w:t>
      </w:r>
      <w:r w:rsidR="005D6CF3">
        <w:rPr>
          <w:rFonts w:ascii="Times New Roman" w:hAnsi="Times New Roman" w:cs="Times New Roman"/>
          <w:color w:val="222222"/>
          <w:sz w:val="24"/>
          <w:szCs w:val="24"/>
          <w:shd w:val="clear" w:color="auto" w:fill="FFFFFF"/>
        </w:rPr>
        <w:t>Leonidou et al., 2020)</w:t>
      </w:r>
      <w:r w:rsidRPr="005B01DD">
        <w:rPr>
          <w:rFonts w:ascii="Times New Roman" w:hAnsi="Times New Roman" w:cs="Times New Roman"/>
          <w:sz w:val="24"/>
          <w:szCs w:val="24"/>
        </w:rPr>
        <w:t>.</w:t>
      </w:r>
    </w:p>
    <w:p w14:paraId="40F43908" w14:textId="77777777" w:rsidR="005B01DD" w:rsidRDefault="00BC2770" w:rsidP="0079717F">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3. Transparent Cost Estimation</w:t>
      </w:r>
      <w:r w:rsidR="00BC18C6" w:rsidRPr="00982ED2">
        <w:rPr>
          <w:rFonts w:ascii="Times New Roman" w:hAnsi="Times New Roman" w:cs="Times New Roman"/>
          <w:b/>
          <w:sz w:val="24"/>
          <w:szCs w:val="24"/>
        </w:rPr>
        <w:t>:</w:t>
      </w:r>
      <w:r w:rsidR="0079717F" w:rsidRPr="0079717F">
        <w:rPr>
          <w:rFonts w:ascii="Times New Roman" w:hAnsi="Times New Roman" w:cs="Times New Roman"/>
          <w:sz w:val="24"/>
          <w:szCs w:val="24"/>
        </w:rPr>
        <w:t xml:space="preserve"> </w:t>
      </w:r>
      <w:r w:rsidRPr="005B01DD">
        <w:rPr>
          <w:rFonts w:ascii="Times New Roman" w:hAnsi="Times New Roman" w:cs="Times New Roman"/>
          <w:sz w:val="24"/>
          <w:szCs w:val="24"/>
        </w:rPr>
        <w:t xml:space="preserve">The original estimate for the cost of the Hinkley Point C Project, widely recognized as the </w:t>
      </w:r>
      <w:r w:rsidR="00F54FE0" w:rsidRPr="005B01DD">
        <w:rPr>
          <w:rFonts w:ascii="Times New Roman" w:hAnsi="Times New Roman" w:cs="Times New Roman"/>
          <w:sz w:val="24"/>
          <w:szCs w:val="24"/>
        </w:rPr>
        <w:t>costliest</w:t>
      </w:r>
      <w:r w:rsidRPr="005B01DD">
        <w:rPr>
          <w:rFonts w:ascii="Times New Roman" w:hAnsi="Times New Roman" w:cs="Times New Roman"/>
          <w:sz w:val="24"/>
          <w:szCs w:val="24"/>
        </w:rPr>
        <w:t xml:space="preserve"> nuclear power plant in the world, was between</w:t>
      </w:r>
      <w:r w:rsidR="00F54FE0">
        <w:rPr>
          <w:rFonts w:ascii="Times New Roman" w:hAnsi="Times New Roman" w:cs="Times New Roman"/>
          <w:sz w:val="24"/>
          <w:szCs w:val="24"/>
        </w:rPr>
        <w:t xml:space="preserve"> £</w:t>
      </w:r>
      <w:r w:rsidRPr="005B01DD">
        <w:rPr>
          <w:rFonts w:ascii="Times New Roman" w:hAnsi="Times New Roman" w:cs="Times New Roman"/>
          <w:sz w:val="24"/>
          <w:szCs w:val="24"/>
        </w:rPr>
        <w:t xml:space="preserve">25 </w:t>
      </w:r>
      <w:r w:rsidRPr="005B01DD">
        <w:rPr>
          <w:rFonts w:ascii="Times New Roman" w:hAnsi="Times New Roman" w:cs="Times New Roman"/>
          <w:sz w:val="24"/>
          <w:szCs w:val="24"/>
        </w:rPr>
        <w:lastRenderedPageBreak/>
        <w:t xml:space="preserve">and </w:t>
      </w:r>
      <w:r w:rsidR="00F54FE0">
        <w:rPr>
          <w:rFonts w:ascii="Times New Roman" w:hAnsi="Times New Roman" w:cs="Times New Roman"/>
          <w:sz w:val="24"/>
          <w:szCs w:val="24"/>
        </w:rPr>
        <w:t xml:space="preserve">£ </w:t>
      </w:r>
      <w:r w:rsidRPr="005B01DD">
        <w:rPr>
          <w:rFonts w:ascii="Times New Roman" w:hAnsi="Times New Roman" w:cs="Times New Roman"/>
          <w:sz w:val="24"/>
          <w:szCs w:val="24"/>
        </w:rPr>
        <w:t>26 billion. Cost overruns are an unfortunate reality of large-scale projects like this one, and they underline the need for transparent cost estimates. Adopting a transparent strategy for cost estimating from the get-go is crucial for ensuring accountability to stakeholders and the general public. Complexity is increased because of European Pressurised Reactor (EPR) technology, which has caused delays and cost overruns in previous worldwide projects. Construction delays and cost overruns may result from such technological complications. Additional expenses and possible delays in nuclear power projects may result from the need to fulfill ever-evolving safety and environmental regulations. Although gaining the confidence and support of local populations and securing the required permissions might add time to the process, it is essential to the project's success. Estimating costs openly is critical for overseeing complicated projects like Hinkley Point C. Cost overruns may be avoided, safety requirements can be met, and critical support can be garnered if project stakeholders are kept informed and engaged at every stage.</w:t>
      </w:r>
    </w:p>
    <w:p w14:paraId="743CCA5C" w14:textId="77777777" w:rsidR="005B01DD" w:rsidRDefault="00BC2770" w:rsidP="0079717F">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4. Continuous Quality Monitoring</w:t>
      </w:r>
      <w:r w:rsidR="00BC18C6" w:rsidRPr="00982ED2">
        <w:rPr>
          <w:rFonts w:ascii="Times New Roman" w:hAnsi="Times New Roman" w:cs="Times New Roman"/>
          <w:b/>
          <w:sz w:val="24"/>
          <w:szCs w:val="24"/>
        </w:rPr>
        <w:t>:</w:t>
      </w:r>
      <w:r w:rsidR="00BC18C6">
        <w:rPr>
          <w:rFonts w:ascii="Times New Roman" w:hAnsi="Times New Roman" w:cs="Times New Roman"/>
          <w:sz w:val="28"/>
          <w:szCs w:val="28"/>
        </w:rPr>
        <w:t xml:space="preserve"> </w:t>
      </w:r>
      <w:r w:rsidRPr="005B01DD">
        <w:rPr>
          <w:rFonts w:ascii="Times New Roman" w:hAnsi="Times New Roman" w:cs="Times New Roman"/>
          <w:sz w:val="24"/>
          <w:szCs w:val="24"/>
        </w:rPr>
        <w:t>Budget overruns and delays have highlighted the need for continual quality control measures, despite the project's evident ability to offer low-carbon electricity and economic advantages. Better cost management, timely project completion, and adherence to safety and performance standards may have been achieved with effective and continuing quality monitoring. When it comes to the safety and effectiveness of a nuclear power plant, there is nothing more important than adding continual quality monitoring. The success of the Hinkley Point C project would have been guaranteed by implementing rigorous quality assurance measures that would have ensured constant communication and cooperation amongst all parties involved. Effective problem-solving and the equitable consideration of all parties' concerns would have been possible with transparent reporting methods and feedback loops. The project might have more successfully navigated its problems by stressing continuing assessment, open communication, and stakeholder cooperation, resulting in the timely supply of low-carbon electricity, economic benefits, and increased safety</w:t>
      </w:r>
      <w:r w:rsidR="005D6CF3">
        <w:rPr>
          <w:rFonts w:ascii="Times New Roman" w:hAnsi="Times New Roman" w:cs="Times New Roman"/>
          <w:sz w:val="24"/>
          <w:szCs w:val="24"/>
        </w:rPr>
        <w:t xml:space="preserve"> (</w:t>
      </w:r>
      <w:r w:rsidR="005D6CF3">
        <w:rPr>
          <w:rFonts w:ascii="Times New Roman" w:hAnsi="Times New Roman" w:cs="Times New Roman"/>
          <w:color w:val="222222"/>
          <w:sz w:val="24"/>
          <w:szCs w:val="24"/>
          <w:shd w:val="clear" w:color="auto" w:fill="FFFFFF"/>
        </w:rPr>
        <w:t>Razinkina et al., 2018)</w:t>
      </w:r>
      <w:r w:rsidRPr="005B01DD">
        <w:rPr>
          <w:rFonts w:ascii="Times New Roman" w:hAnsi="Times New Roman" w:cs="Times New Roman"/>
          <w:sz w:val="24"/>
          <w:szCs w:val="24"/>
        </w:rPr>
        <w:t>.</w:t>
      </w:r>
    </w:p>
    <w:p w14:paraId="5B2C1F2F" w14:textId="77777777" w:rsidR="005B01DD" w:rsidRPr="005B01DD" w:rsidRDefault="00BC2770" w:rsidP="005B01DD">
      <w:pPr>
        <w:spacing w:line="360" w:lineRule="auto"/>
        <w:jc w:val="both"/>
        <w:rPr>
          <w:rFonts w:ascii="Times New Roman" w:hAnsi="Times New Roman" w:cs="Times New Roman"/>
          <w:sz w:val="24"/>
          <w:szCs w:val="24"/>
        </w:rPr>
      </w:pPr>
      <w:r w:rsidRPr="00982ED2">
        <w:rPr>
          <w:rFonts w:ascii="Times New Roman" w:hAnsi="Times New Roman" w:cs="Times New Roman"/>
          <w:b/>
          <w:sz w:val="24"/>
          <w:szCs w:val="24"/>
        </w:rPr>
        <w:t>5. Flexibility in Project Scheduling</w:t>
      </w:r>
      <w:r w:rsidR="003B12B4" w:rsidRPr="00982ED2">
        <w:rPr>
          <w:rFonts w:ascii="Times New Roman" w:hAnsi="Times New Roman" w:cs="Times New Roman"/>
          <w:b/>
          <w:sz w:val="24"/>
          <w:szCs w:val="24"/>
        </w:rPr>
        <w:t>:</w:t>
      </w:r>
      <w:r w:rsidR="003B12B4">
        <w:rPr>
          <w:rFonts w:ascii="Times New Roman" w:hAnsi="Times New Roman" w:cs="Times New Roman"/>
          <w:sz w:val="28"/>
          <w:szCs w:val="28"/>
        </w:rPr>
        <w:t xml:space="preserve"> </w:t>
      </w:r>
      <w:r w:rsidRPr="005B01DD">
        <w:rPr>
          <w:rFonts w:ascii="Times New Roman" w:hAnsi="Times New Roman" w:cs="Times New Roman"/>
          <w:sz w:val="24"/>
          <w:szCs w:val="24"/>
        </w:rPr>
        <w:t xml:space="preserve">Completing the Hinkley Point C Project, like any other large-scale enterprise, requires a project timeline that may bend in response to unexpected setbacks and regulation changes. An essential aspect of this procedure is the creation of backup plans to deal with unforeseen difficulties. The project will be able to adapt quickly to unforeseen events without derailing the overall endeavor, provided backup plans, solid support sources, and </w:t>
      </w:r>
      <w:r w:rsidRPr="005B01DD">
        <w:rPr>
          <w:rFonts w:ascii="Times New Roman" w:hAnsi="Times New Roman" w:cs="Times New Roman"/>
          <w:sz w:val="24"/>
          <w:szCs w:val="24"/>
        </w:rPr>
        <w:lastRenderedPageBreak/>
        <w:t>contingency service providers are in place</w:t>
      </w:r>
      <w:r w:rsidR="005D6CF3">
        <w:rPr>
          <w:rFonts w:ascii="Times New Roman" w:hAnsi="Times New Roman" w:cs="Times New Roman"/>
          <w:sz w:val="24"/>
          <w:szCs w:val="24"/>
        </w:rPr>
        <w:t xml:space="preserve"> (</w:t>
      </w:r>
      <w:r w:rsidR="005D6CF3">
        <w:rPr>
          <w:rFonts w:ascii="Times New Roman" w:hAnsi="Times New Roman" w:cs="Times New Roman"/>
          <w:color w:val="222222"/>
          <w:sz w:val="24"/>
          <w:szCs w:val="24"/>
          <w:shd w:val="clear" w:color="auto" w:fill="FFFFFF"/>
        </w:rPr>
        <w:t>Hartmann et al 2022)</w:t>
      </w:r>
      <w:r w:rsidRPr="005B01DD">
        <w:rPr>
          <w:rFonts w:ascii="Times New Roman" w:hAnsi="Times New Roman" w:cs="Times New Roman"/>
          <w:sz w:val="24"/>
          <w:szCs w:val="24"/>
        </w:rPr>
        <w:t>. Having a little leeway in your project timeline doesn't mean you have to lower your standards or stop working toward your primary objectives. Instead, it is a well-thought-out plan to increase the project's flexibility without sacrificing its overarching purpose. The Hinkley Point C Project will be able to overcome obstacles and unknowns by being adaptable, ultimately benefiting the UK economy and the environment.</w:t>
      </w:r>
    </w:p>
    <w:p w14:paraId="46B54057" w14:textId="77777777" w:rsidR="005B01DD" w:rsidRPr="005B01DD" w:rsidRDefault="005B01DD" w:rsidP="005B01DD">
      <w:pPr>
        <w:spacing w:line="360" w:lineRule="auto"/>
        <w:jc w:val="both"/>
        <w:rPr>
          <w:rFonts w:ascii="Times New Roman" w:hAnsi="Times New Roman" w:cs="Times New Roman"/>
          <w:sz w:val="24"/>
          <w:szCs w:val="24"/>
        </w:rPr>
      </w:pPr>
    </w:p>
    <w:p w14:paraId="32722385" w14:textId="77777777" w:rsidR="00186E17" w:rsidRDefault="00BC2770" w:rsidP="0079717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5FC97DF4" w14:textId="77777777" w:rsidR="00061941" w:rsidRPr="002418EF" w:rsidRDefault="00BC2770" w:rsidP="002418EF">
      <w:pPr>
        <w:pStyle w:val="Heading1"/>
      </w:pPr>
      <w:bookmarkStart w:id="3" w:name="_Toc141860723"/>
      <w:r w:rsidRPr="002418EF">
        <w:lastRenderedPageBreak/>
        <w:t>Conclusion</w:t>
      </w:r>
      <w:bookmarkEnd w:id="3"/>
    </w:p>
    <w:p w14:paraId="4FF1F546" w14:textId="77777777" w:rsidR="00061941" w:rsidRDefault="00BC2770" w:rsidP="005D6CF3">
      <w:pPr>
        <w:spacing w:line="360" w:lineRule="auto"/>
        <w:jc w:val="both"/>
        <w:rPr>
          <w:rFonts w:ascii="Times New Roman" w:hAnsi="Times New Roman" w:cs="Times New Roman"/>
          <w:sz w:val="24"/>
          <w:szCs w:val="24"/>
        </w:rPr>
      </w:pPr>
      <w:r w:rsidRPr="005B01DD">
        <w:rPr>
          <w:rFonts w:ascii="Times New Roman" w:hAnsi="Times New Roman" w:cs="Times New Roman"/>
          <w:sz w:val="24"/>
          <w:szCs w:val="24"/>
        </w:rPr>
        <w:t>The goal of the Hinkley Point C project is admirable; it will help the economy of the United Kingdom by making low-carbon electricity available to a large number of homes. The project has experienced significant challenges despite its lofty objectives. Inadequate assessment of nuclear power plants' inherent complexity and dangers has led to cost overruns and timetable delays. Due to the high cost and the accompanying unknowns, the expected completion date has shifted. The Hinkley Point C project is crucial for the UK because it will provide future generations with affordable, stable, and low-carbon electricity. The program can overcome its existing difficulties and significantly contribute to the UK's energy transition and environmental ambitions if the stated issues are addressed. Flexibility is embraced in the project design.</w:t>
      </w:r>
    </w:p>
    <w:p w14:paraId="105B4D08" w14:textId="77777777" w:rsidR="000A72A1" w:rsidRDefault="000A72A1" w:rsidP="00224FAA">
      <w:pPr>
        <w:pStyle w:val="Heading1"/>
        <w:spacing w:line="360" w:lineRule="auto"/>
        <w:rPr>
          <w:rFonts w:ascii="Times New Roman" w:eastAsiaTheme="minorHAnsi" w:hAnsi="Times New Roman" w:cs="Times New Roman"/>
          <w:b w:val="0"/>
          <w:bCs w:val="0"/>
          <w:color w:val="auto"/>
          <w:sz w:val="24"/>
          <w:szCs w:val="24"/>
        </w:rPr>
      </w:pPr>
      <w:bookmarkStart w:id="4" w:name="_Toc141860724"/>
    </w:p>
    <w:p w14:paraId="19A6F424" w14:textId="77777777" w:rsidR="000A72A1" w:rsidRDefault="000A72A1" w:rsidP="000A72A1"/>
    <w:p w14:paraId="34F0C073" w14:textId="77777777" w:rsidR="000A72A1" w:rsidRDefault="000A72A1" w:rsidP="000A72A1"/>
    <w:p w14:paraId="1313DE89" w14:textId="77777777" w:rsidR="000A72A1" w:rsidRDefault="000A72A1" w:rsidP="00224FAA">
      <w:pPr>
        <w:pStyle w:val="Heading1"/>
        <w:spacing w:line="360" w:lineRule="auto"/>
        <w:rPr>
          <w:rFonts w:asciiTheme="minorHAnsi" w:eastAsiaTheme="minorHAnsi" w:hAnsiTheme="minorHAnsi" w:cstheme="minorBidi"/>
          <w:b w:val="0"/>
          <w:bCs w:val="0"/>
          <w:color w:val="auto"/>
          <w:sz w:val="22"/>
          <w:szCs w:val="22"/>
        </w:rPr>
      </w:pPr>
    </w:p>
    <w:p w14:paraId="7C4CF0AD" w14:textId="77777777" w:rsidR="000A72A1" w:rsidRPr="000A72A1" w:rsidRDefault="000A72A1" w:rsidP="000A72A1"/>
    <w:p w14:paraId="2EBA24EB" w14:textId="77777777" w:rsidR="000A72A1" w:rsidRDefault="000A72A1" w:rsidP="00224FAA">
      <w:pPr>
        <w:pStyle w:val="Heading1"/>
        <w:spacing w:line="360" w:lineRule="auto"/>
      </w:pPr>
    </w:p>
    <w:p w14:paraId="36271FD1" w14:textId="77777777" w:rsidR="000A72A1" w:rsidRDefault="000A72A1" w:rsidP="00224FAA">
      <w:pPr>
        <w:pStyle w:val="Heading1"/>
        <w:spacing w:line="360" w:lineRule="auto"/>
      </w:pPr>
    </w:p>
    <w:p w14:paraId="15FC639A" w14:textId="77777777" w:rsidR="000A72A1" w:rsidRDefault="000A72A1" w:rsidP="00224FAA">
      <w:pPr>
        <w:pStyle w:val="Heading1"/>
        <w:spacing w:line="360" w:lineRule="auto"/>
      </w:pPr>
    </w:p>
    <w:bookmarkEnd w:id="4"/>
    <w:p w14:paraId="0E85DA26" w14:textId="77777777" w:rsidR="00224FAA" w:rsidRDefault="00224FAA" w:rsidP="00186E17">
      <w:pPr>
        <w:pStyle w:val="Heading1"/>
        <w:spacing w:line="360" w:lineRule="auto"/>
      </w:pPr>
    </w:p>
    <w:p w14:paraId="400E970E" w14:textId="77777777" w:rsidR="000A72A1" w:rsidRDefault="000A72A1" w:rsidP="000A72A1"/>
    <w:p w14:paraId="0AC5D738" w14:textId="77777777" w:rsidR="000A72A1" w:rsidRDefault="000A72A1" w:rsidP="000A72A1"/>
    <w:p w14:paraId="62DE3EBB" w14:textId="77777777" w:rsidR="000A72A1" w:rsidRDefault="000A72A1" w:rsidP="000A72A1"/>
    <w:p w14:paraId="03197F67" w14:textId="77777777" w:rsidR="000A72A1" w:rsidRDefault="000A72A1" w:rsidP="000A72A1"/>
    <w:p w14:paraId="04394260" w14:textId="77777777" w:rsidR="000A72A1" w:rsidRPr="002418EF" w:rsidRDefault="000A72A1" w:rsidP="002418EF">
      <w:pPr>
        <w:pStyle w:val="Heading1"/>
      </w:pPr>
      <w:r w:rsidRPr="002418EF">
        <w:lastRenderedPageBreak/>
        <w:t>References</w:t>
      </w:r>
    </w:p>
    <w:p w14:paraId="23B419F2" w14:textId="77777777" w:rsidR="002418EF" w:rsidRDefault="002418EF" w:rsidP="005D6CF3">
      <w:pPr>
        <w:spacing w:line="360" w:lineRule="auto"/>
        <w:jc w:val="both"/>
        <w:rPr>
          <w:rFonts w:ascii="Times New Roman" w:hAnsi="Times New Roman" w:cs="Times New Roman"/>
          <w:sz w:val="24"/>
          <w:szCs w:val="24"/>
        </w:rPr>
      </w:pPr>
      <w:r w:rsidRPr="00C17137">
        <w:rPr>
          <w:rFonts w:ascii="Times New Roman" w:hAnsi="Times New Roman" w:cs="Times New Roman"/>
          <w:color w:val="222222"/>
          <w:sz w:val="24"/>
          <w:szCs w:val="24"/>
          <w:shd w:val="clear" w:color="auto" w:fill="FFFFFF"/>
        </w:rPr>
        <w:t>Amoah, C. and Simpeh, F., 2021. Implementation challenges of COVID-19 safety measures at construction sites in South Africa. </w:t>
      </w:r>
      <w:r w:rsidRPr="00C17137">
        <w:rPr>
          <w:rFonts w:ascii="Times New Roman" w:hAnsi="Times New Roman" w:cs="Times New Roman"/>
          <w:i/>
          <w:iCs/>
          <w:color w:val="222222"/>
          <w:sz w:val="24"/>
          <w:szCs w:val="24"/>
          <w:shd w:val="clear" w:color="auto" w:fill="FFFFFF"/>
        </w:rPr>
        <w:t>Journal of Facilities Management</w:t>
      </w:r>
      <w:r w:rsidRPr="00C17137">
        <w:rPr>
          <w:rFonts w:ascii="Times New Roman" w:hAnsi="Times New Roman" w:cs="Times New Roman"/>
          <w:color w:val="222222"/>
          <w:sz w:val="24"/>
          <w:szCs w:val="24"/>
          <w:shd w:val="clear" w:color="auto" w:fill="FFFFFF"/>
        </w:rPr>
        <w:t>, </w:t>
      </w:r>
      <w:r w:rsidRPr="00C17137">
        <w:rPr>
          <w:rFonts w:ascii="Times New Roman" w:hAnsi="Times New Roman" w:cs="Times New Roman"/>
          <w:i/>
          <w:iCs/>
          <w:color w:val="222222"/>
          <w:sz w:val="24"/>
          <w:szCs w:val="24"/>
          <w:shd w:val="clear" w:color="auto" w:fill="FFFFFF"/>
        </w:rPr>
        <w:t>19</w:t>
      </w:r>
      <w:r w:rsidRPr="00C17137">
        <w:rPr>
          <w:rFonts w:ascii="Times New Roman" w:hAnsi="Times New Roman" w:cs="Times New Roman"/>
          <w:color w:val="222222"/>
          <w:sz w:val="24"/>
          <w:szCs w:val="24"/>
          <w:shd w:val="clear" w:color="auto" w:fill="FFFFFF"/>
        </w:rPr>
        <w:t>(1), pp.111-128.</w:t>
      </w:r>
    </w:p>
    <w:p w14:paraId="4F5424CE" w14:textId="77777777" w:rsidR="002418EF" w:rsidRDefault="002418EF" w:rsidP="005D6CF3">
      <w:pPr>
        <w:spacing w:line="360" w:lineRule="auto"/>
        <w:jc w:val="both"/>
        <w:rPr>
          <w:rFonts w:ascii="Times New Roman" w:hAnsi="Times New Roman" w:cs="Times New Roman"/>
          <w:sz w:val="24"/>
          <w:szCs w:val="24"/>
        </w:rPr>
      </w:pPr>
      <w:r w:rsidRPr="00FE6D54">
        <w:rPr>
          <w:rFonts w:ascii="Times New Roman" w:hAnsi="Times New Roman" w:cs="Times New Roman"/>
          <w:color w:val="222222"/>
          <w:sz w:val="24"/>
          <w:szCs w:val="24"/>
          <w:shd w:val="clear" w:color="auto" w:fill="FFFFFF"/>
        </w:rPr>
        <w:t>Dewar, R. and Hage, J., 2018. Size, technology, complexity, and structural differentiation: Toward a theoretical synthesis. In </w:t>
      </w:r>
      <w:r w:rsidRPr="00FE6D54">
        <w:rPr>
          <w:rFonts w:ascii="Times New Roman" w:hAnsi="Times New Roman" w:cs="Times New Roman"/>
          <w:i/>
          <w:iCs/>
          <w:color w:val="222222"/>
          <w:sz w:val="24"/>
          <w:szCs w:val="24"/>
          <w:shd w:val="clear" w:color="auto" w:fill="FFFFFF"/>
        </w:rPr>
        <w:t>Organizational Innovation</w:t>
      </w:r>
      <w:r w:rsidRPr="00FE6D54">
        <w:rPr>
          <w:rFonts w:ascii="Times New Roman" w:hAnsi="Times New Roman" w:cs="Times New Roman"/>
          <w:color w:val="222222"/>
          <w:sz w:val="24"/>
          <w:szCs w:val="24"/>
          <w:shd w:val="clear" w:color="auto" w:fill="FFFFFF"/>
        </w:rPr>
        <w:t> (pp. 293-318). Routledge.</w:t>
      </w:r>
    </w:p>
    <w:p w14:paraId="6A14E3DD"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C17137">
        <w:rPr>
          <w:rFonts w:ascii="Times New Roman" w:hAnsi="Times New Roman" w:cs="Times New Roman"/>
          <w:color w:val="222222"/>
          <w:sz w:val="24"/>
          <w:szCs w:val="24"/>
          <w:shd w:val="clear" w:color="auto" w:fill="FFFFFF"/>
        </w:rPr>
        <w:t>Dlamini, M. and Cumberlege, R., 2021, February. The impact of cost overruns and delays in the construction business. In </w:t>
      </w:r>
      <w:r w:rsidRPr="00C17137">
        <w:rPr>
          <w:rFonts w:ascii="Times New Roman" w:hAnsi="Times New Roman" w:cs="Times New Roman"/>
          <w:i/>
          <w:iCs/>
          <w:color w:val="222222"/>
          <w:sz w:val="24"/>
          <w:szCs w:val="24"/>
          <w:shd w:val="clear" w:color="auto" w:fill="FFFFFF"/>
        </w:rPr>
        <w:t>IOP Conference Series: Earth and Environmental Science</w:t>
      </w:r>
      <w:r w:rsidRPr="00C17137">
        <w:rPr>
          <w:rFonts w:ascii="Times New Roman" w:hAnsi="Times New Roman" w:cs="Times New Roman"/>
          <w:color w:val="222222"/>
          <w:sz w:val="24"/>
          <w:szCs w:val="24"/>
          <w:shd w:val="clear" w:color="auto" w:fill="FFFFFF"/>
        </w:rPr>
        <w:t> (Vol. 654, No. 1, p. 012029). IOP Publishing.</w:t>
      </w:r>
    </w:p>
    <w:p w14:paraId="3E768288" w14:textId="77777777" w:rsidR="002418EF" w:rsidRPr="005D6CF3" w:rsidRDefault="002418EF" w:rsidP="005D6CF3">
      <w:pPr>
        <w:spacing w:line="360" w:lineRule="auto"/>
        <w:jc w:val="both"/>
        <w:rPr>
          <w:rFonts w:ascii="Times New Roman" w:hAnsi="Times New Roman" w:cs="Times New Roman"/>
          <w:sz w:val="24"/>
          <w:szCs w:val="24"/>
        </w:rPr>
      </w:pPr>
      <w:r w:rsidRPr="005D6CF3">
        <w:rPr>
          <w:rFonts w:ascii="Times New Roman" w:hAnsi="Times New Roman" w:cs="Times New Roman"/>
          <w:color w:val="222222"/>
          <w:sz w:val="24"/>
          <w:szCs w:val="24"/>
          <w:shd w:val="clear" w:color="auto" w:fill="FFFFFF"/>
        </w:rPr>
        <w:t>Hartmann, S. and Briskorn, D., 2022. An updated survey of variants and extensions of the resource-constrained project scheduling problem. </w:t>
      </w:r>
      <w:r w:rsidRPr="005D6CF3">
        <w:rPr>
          <w:rFonts w:ascii="Times New Roman" w:hAnsi="Times New Roman" w:cs="Times New Roman"/>
          <w:i/>
          <w:iCs/>
          <w:color w:val="222222"/>
          <w:sz w:val="24"/>
          <w:szCs w:val="24"/>
          <w:shd w:val="clear" w:color="auto" w:fill="FFFFFF"/>
        </w:rPr>
        <w:t>European Journal of operational research</w:t>
      </w:r>
      <w:r w:rsidRPr="005D6CF3">
        <w:rPr>
          <w:rFonts w:ascii="Times New Roman" w:hAnsi="Times New Roman" w:cs="Times New Roman"/>
          <w:color w:val="222222"/>
          <w:sz w:val="24"/>
          <w:szCs w:val="24"/>
          <w:shd w:val="clear" w:color="auto" w:fill="FFFFFF"/>
        </w:rPr>
        <w:t>, </w:t>
      </w:r>
      <w:r w:rsidRPr="005D6CF3">
        <w:rPr>
          <w:rFonts w:ascii="Times New Roman" w:hAnsi="Times New Roman" w:cs="Times New Roman"/>
          <w:i/>
          <w:iCs/>
          <w:color w:val="222222"/>
          <w:sz w:val="24"/>
          <w:szCs w:val="24"/>
          <w:shd w:val="clear" w:color="auto" w:fill="FFFFFF"/>
        </w:rPr>
        <w:t>297</w:t>
      </w:r>
      <w:r w:rsidRPr="005D6CF3">
        <w:rPr>
          <w:rFonts w:ascii="Times New Roman" w:hAnsi="Times New Roman" w:cs="Times New Roman"/>
          <w:color w:val="222222"/>
          <w:sz w:val="24"/>
          <w:szCs w:val="24"/>
          <w:shd w:val="clear" w:color="auto" w:fill="FFFFFF"/>
        </w:rPr>
        <w:t>(1), pp.1-14.</w:t>
      </w:r>
    </w:p>
    <w:p w14:paraId="637A6ECD"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5D6CF3">
        <w:rPr>
          <w:rFonts w:ascii="Times New Roman" w:hAnsi="Times New Roman" w:cs="Times New Roman"/>
          <w:color w:val="222222"/>
          <w:sz w:val="24"/>
          <w:szCs w:val="24"/>
          <w:shd w:val="clear" w:color="auto" w:fill="FFFFFF"/>
        </w:rPr>
        <w:t>Leonidou, E., Christofi, M., Vrontis, D. and Thrassou, A., 2020. An integrative framework of stakeholder engagement for innovation management and entrepreneurship development. </w:t>
      </w:r>
      <w:r w:rsidRPr="005D6CF3">
        <w:rPr>
          <w:rFonts w:ascii="Times New Roman" w:hAnsi="Times New Roman" w:cs="Times New Roman"/>
          <w:i/>
          <w:iCs/>
          <w:color w:val="222222"/>
          <w:sz w:val="24"/>
          <w:szCs w:val="24"/>
          <w:shd w:val="clear" w:color="auto" w:fill="FFFFFF"/>
        </w:rPr>
        <w:t>Journal of Business Research</w:t>
      </w:r>
      <w:r w:rsidRPr="005D6CF3">
        <w:rPr>
          <w:rFonts w:ascii="Times New Roman" w:hAnsi="Times New Roman" w:cs="Times New Roman"/>
          <w:color w:val="222222"/>
          <w:sz w:val="24"/>
          <w:szCs w:val="24"/>
          <w:shd w:val="clear" w:color="auto" w:fill="FFFFFF"/>
        </w:rPr>
        <w:t>, </w:t>
      </w:r>
      <w:r w:rsidRPr="005D6CF3">
        <w:rPr>
          <w:rFonts w:ascii="Times New Roman" w:hAnsi="Times New Roman" w:cs="Times New Roman"/>
          <w:i/>
          <w:iCs/>
          <w:color w:val="222222"/>
          <w:sz w:val="24"/>
          <w:szCs w:val="24"/>
          <w:shd w:val="clear" w:color="auto" w:fill="FFFFFF"/>
        </w:rPr>
        <w:t>119</w:t>
      </w:r>
      <w:r w:rsidRPr="005D6CF3">
        <w:rPr>
          <w:rFonts w:ascii="Times New Roman" w:hAnsi="Times New Roman" w:cs="Times New Roman"/>
          <w:color w:val="222222"/>
          <w:sz w:val="24"/>
          <w:szCs w:val="24"/>
          <w:shd w:val="clear" w:color="auto" w:fill="FFFFFF"/>
        </w:rPr>
        <w:t>, pp.245-258.</w:t>
      </w:r>
    </w:p>
    <w:p w14:paraId="6AF98EAE"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FE6D54">
        <w:rPr>
          <w:rFonts w:ascii="Times New Roman" w:hAnsi="Times New Roman" w:cs="Times New Roman"/>
          <w:color w:val="222222"/>
          <w:sz w:val="24"/>
          <w:szCs w:val="24"/>
          <w:shd w:val="clear" w:color="auto" w:fill="FFFFFF"/>
        </w:rPr>
        <w:t>Pan, Y. and Zhang, L., 2021. Roles of artificial intelligence in construction engineering and management: A critical review and future trends. </w:t>
      </w:r>
      <w:r w:rsidRPr="00FE6D54">
        <w:rPr>
          <w:rFonts w:ascii="Times New Roman" w:hAnsi="Times New Roman" w:cs="Times New Roman"/>
          <w:i/>
          <w:iCs/>
          <w:color w:val="222222"/>
          <w:sz w:val="24"/>
          <w:szCs w:val="24"/>
          <w:shd w:val="clear" w:color="auto" w:fill="FFFFFF"/>
        </w:rPr>
        <w:t>Automation in Construction</w:t>
      </w:r>
      <w:r w:rsidRPr="00FE6D54">
        <w:rPr>
          <w:rFonts w:ascii="Times New Roman" w:hAnsi="Times New Roman" w:cs="Times New Roman"/>
          <w:color w:val="222222"/>
          <w:sz w:val="24"/>
          <w:szCs w:val="24"/>
          <w:shd w:val="clear" w:color="auto" w:fill="FFFFFF"/>
        </w:rPr>
        <w:t>, </w:t>
      </w:r>
      <w:r w:rsidRPr="00FE6D54">
        <w:rPr>
          <w:rFonts w:ascii="Times New Roman" w:hAnsi="Times New Roman" w:cs="Times New Roman"/>
          <w:i/>
          <w:iCs/>
          <w:color w:val="222222"/>
          <w:sz w:val="24"/>
          <w:szCs w:val="24"/>
          <w:shd w:val="clear" w:color="auto" w:fill="FFFFFF"/>
        </w:rPr>
        <w:t>122</w:t>
      </w:r>
      <w:r w:rsidRPr="00FE6D54">
        <w:rPr>
          <w:rFonts w:ascii="Times New Roman" w:hAnsi="Times New Roman" w:cs="Times New Roman"/>
          <w:color w:val="222222"/>
          <w:sz w:val="24"/>
          <w:szCs w:val="24"/>
          <w:shd w:val="clear" w:color="auto" w:fill="FFFFFF"/>
        </w:rPr>
        <w:t>, p.103517.</w:t>
      </w:r>
    </w:p>
    <w:p w14:paraId="02E38BBF"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5D6CF3">
        <w:rPr>
          <w:rFonts w:ascii="Times New Roman" w:hAnsi="Times New Roman" w:cs="Times New Roman"/>
          <w:color w:val="222222"/>
          <w:sz w:val="24"/>
          <w:szCs w:val="24"/>
          <w:shd w:val="clear" w:color="auto" w:fill="FFFFFF"/>
        </w:rPr>
        <w:t>Razinkina, E., Pankova, L., Trostinskaya, I., Pozdeeva, E., Evseeva, L. and Tanova, A., 2018. Student satisfaction as an element of education quality monitoring in innovative higher education institution. In </w:t>
      </w:r>
      <w:r w:rsidRPr="005D6CF3">
        <w:rPr>
          <w:rFonts w:ascii="Times New Roman" w:hAnsi="Times New Roman" w:cs="Times New Roman"/>
          <w:i/>
          <w:iCs/>
          <w:color w:val="222222"/>
          <w:sz w:val="24"/>
          <w:szCs w:val="24"/>
          <w:shd w:val="clear" w:color="auto" w:fill="FFFFFF"/>
        </w:rPr>
        <w:t>E3S Web of Conferences</w:t>
      </w:r>
      <w:r w:rsidRPr="005D6CF3">
        <w:rPr>
          <w:rFonts w:ascii="Times New Roman" w:hAnsi="Times New Roman" w:cs="Times New Roman"/>
          <w:color w:val="222222"/>
          <w:sz w:val="24"/>
          <w:szCs w:val="24"/>
          <w:shd w:val="clear" w:color="auto" w:fill="FFFFFF"/>
        </w:rPr>
        <w:t> (Vol. 33, p. 03043). EDP Sciences.</w:t>
      </w:r>
    </w:p>
    <w:p w14:paraId="6E74CC77"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FE6D54">
        <w:rPr>
          <w:rFonts w:ascii="Times New Roman" w:hAnsi="Times New Roman" w:cs="Times New Roman"/>
          <w:color w:val="222222"/>
          <w:sz w:val="24"/>
          <w:szCs w:val="24"/>
          <w:shd w:val="clear" w:color="auto" w:fill="FFFFFF"/>
        </w:rPr>
        <w:t>Rikkinen, K., Kyosti, P., Leinonen, M.E., Berg, M. and Parssinen, A., 2020. THz radio communication: Link budget analysis toward 6G. </w:t>
      </w:r>
      <w:r w:rsidRPr="00FE6D54">
        <w:rPr>
          <w:rFonts w:ascii="Times New Roman" w:hAnsi="Times New Roman" w:cs="Times New Roman"/>
          <w:i/>
          <w:iCs/>
          <w:color w:val="222222"/>
          <w:sz w:val="24"/>
          <w:szCs w:val="24"/>
          <w:shd w:val="clear" w:color="auto" w:fill="FFFFFF"/>
        </w:rPr>
        <w:t>IEEE Communications Magazine</w:t>
      </w:r>
      <w:r w:rsidRPr="00FE6D54">
        <w:rPr>
          <w:rFonts w:ascii="Times New Roman" w:hAnsi="Times New Roman" w:cs="Times New Roman"/>
          <w:color w:val="222222"/>
          <w:sz w:val="24"/>
          <w:szCs w:val="24"/>
          <w:shd w:val="clear" w:color="auto" w:fill="FFFFFF"/>
        </w:rPr>
        <w:t>, </w:t>
      </w:r>
      <w:r w:rsidRPr="00FE6D54">
        <w:rPr>
          <w:rFonts w:ascii="Times New Roman" w:hAnsi="Times New Roman" w:cs="Times New Roman"/>
          <w:i/>
          <w:iCs/>
          <w:color w:val="222222"/>
          <w:sz w:val="24"/>
          <w:szCs w:val="24"/>
          <w:shd w:val="clear" w:color="auto" w:fill="FFFFFF"/>
        </w:rPr>
        <w:t>58</w:t>
      </w:r>
      <w:r w:rsidRPr="00FE6D54">
        <w:rPr>
          <w:rFonts w:ascii="Times New Roman" w:hAnsi="Times New Roman" w:cs="Times New Roman"/>
          <w:color w:val="222222"/>
          <w:sz w:val="24"/>
          <w:szCs w:val="24"/>
          <w:shd w:val="clear" w:color="auto" w:fill="FFFFFF"/>
        </w:rPr>
        <w:t>(11), pp.22-27.</w:t>
      </w:r>
    </w:p>
    <w:p w14:paraId="11D4E646"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C17137">
        <w:rPr>
          <w:rFonts w:ascii="Times New Roman" w:hAnsi="Times New Roman" w:cs="Times New Roman"/>
          <w:color w:val="222222"/>
          <w:sz w:val="24"/>
          <w:szCs w:val="24"/>
          <w:shd w:val="clear" w:color="auto" w:fill="FFFFFF"/>
        </w:rPr>
        <w:t>Scheidel, A., Del Bene, D., Liu, J., Navas, G., Mingorría, S., Demaria, F., Avila, S., Roy, B., Ertör, I., Temper, L. and Martínez-Alier, J., 2020. Environmental conflicts and defenders: A global overview. </w:t>
      </w:r>
      <w:r w:rsidRPr="00C17137">
        <w:rPr>
          <w:rFonts w:ascii="Times New Roman" w:hAnsi="Times New Roman" w:cs="Times New Roman"/>
          <w:i/>
          <w:iCs/>
          <w:color w:val="222222"/>
          <w:sz w:val="24"/>
          <w:szCs w:val="24"/>
          <w:shd w:val="clear" w:color="auto" w:fill="FFFFFF"/>
        </w:rPr>
        <w:t>Global Environmental Change</w:t>
      </w:r>
      <w:r w:rsidRPr="00C17137">
        <w:rPr>
          <w:rFonts w:ascii="Times New Roman" w:hAnsi="Times New Roman" w:cs="Times New Roman"/>
          <w:color w:val="222222"/>
          <w:sz w:val="24"/>
          <w:szCs w:val="24"/>
          <w:shd w:val="clear" w:color="auto" w:fill="FFFFFF"/>
        </w:rPr>
        <w:t>, </w:t>
      </w:r>
      <w:r w:rsidRPr="00C17137">
        <w:rPr>
          <w:rFonts w:ascii="Times New Roman" w:hAnsi="Times New Roman" w:cs="Times New Roman"/>
          <w:i/>
          <w:iCs/>
          <w:color w:val="222222"/>
          <w:sz w:val="24"/>
          <w:szCs w:val="24"/>
          <w:shd w:val="clear" w:color="auto" w:fill="FFFFFF"/>
        </w:rPr>
        <w:t>63</w:t>
      </w:r>
      <w:r w:rsidRPr="00C17137">
        <w:rPr>
          <w:rFonts w:ascii="Times New Roman" w:hAnsi="Times New Roman" w:cs="Times New Roman"/>
          <w:color w:val="222222"/>
          <w:sz w:val="24"/>
          <w:szCs w:val="24"/>
          <w:shd w:val="clear" w:color="auto" w:fill="FFFFFF"/>
        </w:rPr>
        <w:t>, p.102104.</w:t>
      </w:r>
    </w:p>
    <w:p w14:paraId="2F92CB58"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5D6CF3">
        <w:rPr>
          <w:rFonts w:ascii="Times New Roman" w:hAnsi="Times New Roman" w:cs="Times New Roman"/>
          <w:color w:val="222222"/>
          <w:sz w:val="24"/>
          <w:szCs w:val="24"/>
          <w:shd w:val="clear" w:color="auto" w:fill="FFFFFF"/>
        </w:rPr>
        <w:lastRenderedPageBreak/>
        <w:t>Stacho, Z., Stachová, K., Papula, J., Papulová, Z. and Kohnová, L., 2019. Effective communication in organisations increases their competitiveness. </w:t>
      </w:r>
      <w:r w:rsidRPr="005D6CF3">
        <w:rPr>
          <w:rFonts w:ascii="Times New Roman" w:hAnsi="Times New Roman" w:cs="Times New Roman"/>
          <w:i/>
          <w:iCs/>
          <w:color w:val="222222"/>
          <w:sz w:val="24"/>
          <w:szCs w:val="24"/>
          <w:shd w:val="clear" w:color="auto" w:fill="FFFFFF"/>
        </w:rPr>
        <w:t>Polish Journal of Management Studies</w:t>
      </w:r>
      <w:r w:rsidRPr="005D6CF3">
        <w:rPr>
          <w:rFonts w:ascii="Times New Roman" w:hAnsi="Times New Roman" w:cs="Times New Roman"/>
          <w:color w:val="222222"/>
          <w:sz w:val="24"/>
          <w:szCs w:val="24"/>
          <w:shd w:val="clear" w:color="auto" w:fill="FFFFFF"/>
        </w:rPr>
        <w:t>, </w:t>
      </w:r>
      <w:r w:rsidRPr="005D6CF3">
        <w:rPr>
          <w:rFonts w:ascii="Times New Roman" w:hAnsi="Times New Roman" w:cs="Times New Roman"/>
          <w:i/>
          <w:iCs/>
          <w:color w:val="222222"/>
          <w:sz w:val="24"/>
          <w:szCs w:val="24"/>
          <w:shd w:val="clear" w:color="auto" w:fill="FFFFFF"/>
        </w:rPr>
        <w:t>19</w:t>
      </w:r>
      <w:r w:rsidRPr="005D6CF3">
        <w:rPr>
          <w:rFonts w:ascii="Times New Roman" w:hAnsi="Times New Roman" w:cs="Times New Roman"/>
          <w:color w:val="222222"/>
          <w:sz w:val="24"/>
          <w:szCs w:val="24"/>
          <w:shd w:val="clear" w:color="auto" w:fill="FFFFFF"/>
        </w:rPr>
        <w:t>.</w:t>
      </w:r>
    </w:p>
    <w:p w14:paraId="2D8FC67D"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0A72A1">
        <w:rPr>
          <w:rFonts w:ascii="Times New Roman" w:hAnsi="Times New Roman" w:cs="Times New Roman"/>
          <w:color w:val="222222"/>
          <w:sz w:val="24"/>
          <w:szCs w:val="24"/>
          <w:shd w:val="clear" w:color="auto" w:fill="FFFFFF"/>
        </w:rPr>
        <w:t>Valencia, S.C., Simon, D., Croese, S., Nordqvist, J., Oloko, M., Sharma, T., Taylor Buck, N. and Versace, I., 2019. Adapting the Sustainable Development Goals and the New Urban Agenda to the city level: Initial reflections from a comparative research project. </w:t>
      </w:r>
      <w:r w:rsidRPr="000A72A1">
        <w:rPr>
          <w:rFonts w:ascii="Times New Roman" w:hAnsi="Times New Roman" w:cs="Times New Roman"/>
          <w:i/>
          <w:iCs/>
          <w:color w:val="222222"/>
          <w:sz w:val="24"/>
          <w:szCs w:val="24"/>
          <w:shd w:val="clear" w:color="auto" w:fill="FFFFFF"/>
        </w:rPr>
        <w:t>International Journal of Urban Sustainable Development</w:t>
      </w:r>
      <w:r w:rsidRPr="000A72A1">
        <w:rPr>
          <w:rFonts w:ascii="Times New Roman" w:hAnsi="Times New Roman" w:cs="Times New Roman"/>
          <w:color w:val="222222"/>
          <w:sz w:val="24"/>
          <w:szCs w:val="24"/>
          <w:shd w:val="clear" w:color="auto" w:fill="FFFFFF"/>
        </w:rPr>
        <w:t>, </w:t>
      </w:r>
      <w:r w:rsidRPr="000A72A1">
        <w:rPr>
          <w:rFonts w:ascii="Times New Roman" w:hAnsi="Times New Roman" w:cs="Times New Roman"/>
          <w:i/>
          <w:iCs/>
          <w:color w:val="222222"/>
          <w:sz w:val="24"/>
          <w:szCs w:val="24"/>
          <w:shd w:val="clear" w:color="auto" w:fill="FFFFFF"/>
        </w:rPr>
        <w:t>11</w:t>
      </w:r>
      <w:r w:rsidRPr="000A72A1">
        <w:rPr>
          <w:rFonts w:ascii="Times New Roman" w:hAnsi="Times New Roman" w:cs="Times New Roman"/>
          <w:color w:val="222222"/>
          <w:sz w:val="24"/>
          <w:szCs w:val="24"/>
          <w:shd w:val="clear" w:color="auto" w:fill="FFFFFF"/>
        </w:rPr>
        <w:t>(1), pp.4-23.</w:t>
      </w:r>
    </w:p>
    <w:p w14:paraId="7FBE62E0" w14:textId="77777777" w:rsidR="002418EF" w:rsidRDefault="002418EF" w:rsidP="005D6CF3">
      <w:pPr>
        <w:spacing w:line="360" w:lineRule="auto"/>
        <w:jc w:val="both"/>
        <w:rPr>
          <w:rFonts w:ascii="Times New Roman" w:hAnsi="Times New Roman" w:cs="Times New Roman"/>
          <w:sz w:val="24"/>
          <w:szCs w:val="24"/>
        </w:rPr>
      </w:pPr>
      <w:r w:rsidRPr="00C17137">
        <w:rPr>
          <w:rFonts w:ascii="Times New Roman" w:hAnsi="Times New Roman" w:cs="Times New Roman"/>
          <w:color w:val="222222"/>
          <w:sz w:val="24"/>
          <w:szCs w:val="24"/>
          <w:shd w:val="clear" w:color="auto" w:fill="FFFFFF"/>
        </w:rPr>
        <w:t>Yang, R., Yu, L., Zhao, Y., Yu, H., Xu, G., Wu, Y. and Liu, Z., 2020. Big data analytics for financial Market volatility forecast based on support vector machine. </w:t>
      </w:r>
      <w:r w:rsidRPr="00C17137">
        <w:rPr>
          <w:rFonts w:ascii="Times New Roman" w:hAnsi="Times New Roman" w:cs="Times New Roman"/>
          <w:i/>
          <w:iCs/>
          <w:color w:val="222222"/>
          <w:sz w:val="24"/>
          <w:szCs w:val="24"/>
          <w:shd w:val="clear" w:color="auto" w:fill="FFFFFF"/>
        </w:rPr>
        <w:t>International Journal of Information Management</w:t>
      </w:r>
      <w:r w:rsidRPr="00C17137">
        <w:rPr>
          <w:rFonts w:ascii="Times New Roman" w:hAnsi="Times New Roman" w:cs="Times New Roman"/>
          <w:color w:val="222222"/>
          <w:sz w:val="24"/>
          <w:szCs w:val="24"/>
          <w:shd w:val="clear" w:color="auto" w:fill="FFFFFF"/>
        </w:rPr>
        <w:t>, </w:t>
      </w:r>
      <w:r w:rsidRPr="00C17137">
        <w:rPr>
          <w:rFonts w:ascii="Times New Roman" w:hAnsi="Times New Roman" w:cs="Times New Roman"/>
          <w:i/>
          <w:iCs/>
          <w:color w:val="222222"/>
          <w:sz w:val="24"/>
          <w:szCs w:val="24"/>
          <w:shd w:val="clear" w:color="auto" w:fill="FFFFFF"/>
        </w:rPr>
        <w:t>50</w:t>
      </w:r>
      <w:r w:rsidRPr="00C17137">
        <w:rPr>
          <w:rFonts w:ascii="Times New Roman" w:hAnsi="Times New Roman" w:cs="Times New Roman"/>
          <w:color w:val="222222"/>
          <w:sz w:val="24"/>
          <w:szCs w:val="24"/>
          <w:shd w:val="clear" w:color="auto" w:fill="FFFFFF"/>
        </w:rPr>
        <w:t>, pp.452-462.</w:t>
      </w:r>
    </w:p>
    <w:p w14:paraId="45E437CA"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FE6D54">
        <w:rPr>
          <w:rFonts w:ascii="Times New Roman" w:hAnsi="Times New Roman" w:cs="Times New Roman"/>
          <w:color w:val="222222"/>
          <w:sz w:val="24"/>
          <w:szCs w:val="24"/>
          <w:shd w:val="clear" w:color="auto" w:fill="FFFFFF"/>
        </w:rPr>
        <w:t>Zaman, K., 2023. The future of financial support for developing countries: regional and Islamic monetary funds.</w:t>
      </w:r>
    </w:p>
    <w:p w14:paraId="5F3D2981"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FE6D54">
        <w:rPr>
          <w:rFonts w:ascii="Times New Roman" w:hAnsi="Times New Roman" w:cs="Times New Roman"/>
          <w:color w:val="222222"/>
          <w:sz w:val="24"/>
          <w:szCs w:val="24"/>
          <w:shd w:val="clear" w:color="auto" w:fill="FFFFFF"/>
        </w:rPr>
        <w:t>Zamani, S.H., Rahman, R.A., Fauzi, M.A. and Yusof, L.M., 2021, February. Effect of COVID-19 on building construction projects: Impact and response mechanisms. In </w:t>
      </w:r>
      <w:r w:rsidRPr="00FE6D54">
        <w:rPr>
          <w:rFonts w:ascii="Times New Roman" w:hAnsi="Times New Roman" w:cs="Times New Roman"/>
          <w:i/>
          <w:iCs/>
          <w:color w:val="222222"/>
          <w:sz w:val="24"/>
          <w:szCs w:val="24"/>
          <w:shd w:val="clear" w:color="auto" w:fill="FFFFFF"/>
        </w:rPr>
        <w:t>IOP Conference Series: Earth and Environmental Science</w:t>
      </w:r>
      <w:r w:rsidRPr="00FE6D54">
        <w:rPr>
          <w:rFonts w:ascii="Times New Roman" w:hAnsi="Times New Roman" w:cs="Times New Roman"/>
          <w:color w:val="222222"/>
          <w:sz w:val="24"/>
          <w:szCs w:val="24"/>
          <w:shd w:val="clear" w:color="auto" w:fill="FFFFFF"/>
        </w:rPr>
        <w:t> (Vol. 682, No. 1, p. 012049). IOP Publishing.</w:t>
      </w:r>
    </w:p>
    <w:p w14:paraId="486E33FF" w14:textId="77777777" w:rsidR="002418EF" w:rsidRDefault="002418EF" w:rsidP="005D6CF3">
      <w:pPr>
        <w:spacing w:line="360" w:lineRule="auto"/>
        <w:jc w:val="both"/>
        <w:rPr>
          <w:rFonts w:ascii="Times New Roman" w:hAnsi="Times New Roman" w:cs="Times New Roman"/>
          <w:sz w:val="24"/>
          <w:szCs w:val="24"/>
        </w:rPr>
      </w:pPr>
      <w:r w:rsidRPr="000A72A1">
        <w:rPr>
          <w:rFonts w:ascii="Times New Roman" w:hAnsi="Times New Roman" w:cs="Times New Roman"/>
          <w:color w:val="222222"/>
          <w:sz w:val="24"/>
          <w:szCs w:val="24"/>
          <w:shd w:val="clear" w:color="auto" w:fill="FFFFFF"/>
        </w:rPr>
        <w:t>Zarjou, M. and Khalilzadeh, M., 2022. Optimal project portfolio selection with reinvestment strategy considering sustainability in an uncertain environment: a multi-objective optimization approach. </w:t>
      </w:r>
      <w:r w:rsidRPr="000A72A1">
        <w:rPr>
          <w:rFonts w:ascii="Times New Roman" w:hAnsi="Times New Roman" w:cs="Times New Roman"/>
          <w:i/>
          <w:iCs/>
          <w:color w:val="222222"/>
          <w:sz w:val="24"/>
          <w:szCs w:val="24"/>
          <w:shd w:val="clear" w:color="auto" w:fill="FFFFFF"/>
        </w:rPr>
        <w:t>Kybernetes</w:t>
      </w:r>
      <w:r w:rsidRPr="000A72A1">
        <w:rPr>
          <w:rFonts w:ascii="Times New Roman" w:hAnsi="Times New Roman" w:cs="Times New Roman"/>
          <w:color w:val="222222"/>
          <w:sz w:val="24"/>
          <w:szCs w:val="24"/>
          <w:shd w:val="clear" w:color="auto" w:fill="FFFFFF"/>
        </w:rPr>
        <w:t>, </w:t>
      </w:r>
      <w:r w:rsidRPr="000A72A1">
        <w:rPr>
          <w:rFonts w:ascii="Times New Roman" w:hAnsi="Times New Roman" w:cs="Times New Roman"/>
          <w:i/>
          <w:iCs/>
          <w:color w:val="222222"/>
          <w:sz w:val="24"/>
          <w:szCs w:val="24"/>
          <w:shd w:val="clear" w:color="auto" w:fill="FFFFFF"/>
        </w:rPr>
        <w:t>51</w:t>
      </w:r>
      <w:r w:rsidRPr="000A72A1">
        <w:rPr>
          <w:rFonts w:ascii="Times New Roman" w:hAnsi="Times New Roman" w:cs="Times New Roman"/>
          <w:color w:val="222222"/>
          <w:sz w:val="24"/>
          <w:szCs w:val="24"/>
          <w:shd w:val="clear" w:color="auto" w:fill="FFFFFF"/>
        </w:rPr>
        <w:t>(8), pp.2437-2460.</w:t>
      </w:r>
    </w:p>
    <w:p w14:paraId="46CD9A53" w14:textId="77777777" w:rsidR="002418EF" w:rsidRDefault="002418EF" w:rsidP="005D6CF3">
      <w:pPr>
        <w:spacing w:line="360" w:lineRule="auto"/>
        <w:jc w:val="both"/>
        <w:rPr>
          <w:rFonts w:ascii="Times New Roman" w:hAnsi="Times New Roman" w:cs="Times New Roman"/>
          <w:color w:val="222222"/>
          <w:sz w:val="24"/>
          <w:szCs w:val="24"/>
          <w:shd w:val="clear" w:color="auto" w:fill="FFFFFF"/>
        </w:rPr>
      </w:pPr>
      <w:r w:rsidRPr="00FE6D54">
        <w:rPr>
          <w:rFonts w:ascii="Times New Roman" w:hAnsi="Times New Roman" w:cs="Times New Roman"/>
          <w:color w:val="222222"/>
          <w:sz w:val="24"/>
          <w:szCs w:val="24"/>
          <w:shd w:val="clear" w:color="auto" w:fill="FFFFFF"/>
        </w:rPr>
        <w:t>Zidane, Y.J.T. and Andersen, B., 2018. The top 10 universal delay factors in construction projects. </w:t>
      </w:r>
      <w:r w:rsidRPr="00FE6D54">
        <w:rPr>
          <w:rFonts w:ascii="Times New Roman" w:hAnsi="Times New Roman" w:cs="Times New Roman"/>
          <w:i/>
          <w:iCs/>
          <w:color w:val="222222"/>
          <w:sz w:val="24"/>
          <w:szCs w:val="24"/>
          <w:shd w:val="clear" w:color="auto" w:fill="FFFFFF"/>
        </w:rPr>
        <w:t>International Journal of Managing Projects in Business</w:t>
      </w:r>
      <w:r w:rsidRPr="00FE6D54">
        <w:rPr>
          <w:rFonts w:ascii="Times New Roman" w:hAnsi="Times New Roman" w:cs="Times New Roman"/>
          <w:color w:val="222222"/>
          <w:sz w:val="24"/>
          <w:szCs w:val="24"/>
          <w:shd w:val="clear" w:color="auto" w:fill="FFFFFF"/>
        </w:rPr>
        <w:t>, </w:t>
      </w:r>
      <w:r w:rsidRPr="00FE6D54">
        <w:rPr>
          <w:rFonts w:ascii="Times New Roman" w:hAnsi="Times New Roman" w:cs="Times New Roman"/>
          <w:i/>
          <w:iCs/>
          <w:color w:val="222222"/>
          <w:sz w:val="24"/>
          <w:szCs w:val="24"/>
          <w:shd w:val="clear" w:color="auto" w:fill="FFFFFF"/>
        </w:rPr>
        <w:t>11</w:t>
      </w:r>
      <w:r w:rsidRPr="00FE6D54">
        <w:rPr>
          <w:rFonts w:ascii="Times New Roman" w:hAnsi="Times New Roman" w:cs="Times New Roman"/>
          <w:color w:val="222222"/>
          <w:sz w:val="24"/>
          <w:szCs w:val="24"/>
          <w:shd w:val="clear" w:color="auto" w:fill="FFFFFF"/>
        </w:rPr>
        <w:t>(3), pp.650-672.</w:t>
      </w:r>
    </w:p>
    <w:sectPr w:rsidR="002418EF">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F6434" w14:textId="77777777" w:rsidR="00463852" w:rsidRDefault="00463852">
      <w:pPr>
        <w:spacing w:after="0" w:line="240" w:lineRule="auto"/>
      </w:pPr>
      <w:r>
        <w:separator/>
      </w:r>
    </w:p>
  </w:endnote>
  <w:endnote w:type="continuationSeparator" w:id="0">
    <w:p w14:paraId="29E31613" w14:textId="77777777" w:rsidR="00463852" w:rsidRDefault="00463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758D0" w14:textId="77777777" w:rsidR="00105422" w:rsidRDefault="001054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756123"/>
      <w:docPartObj>
        <w:docPartGallery w:val="Page Numbers (Bottom of Page)"/>
        <w:docPartUnique/>
      </w:docPartObj>
    </w:sdtPr>
    <w:sdtEndPr>
      <w:rPr>
        <w:color w:val="808080" w:themeColor="background1" w:themeShade="80"/>
        <w:spacing w:val="60"/>
      </w:rPr>
    </w:sdtEndPr>
    <w:sdtContent>
      <w:p w14:paraId="4BF41FB0" w14:textId="77777777" w:rsidR="00941BC7" w:rsidRDefault="00BC2770">
        <w:pPr>
          <w:pStyle w:val="Footer"/>
          <w:pBdr>
            <w:top w:val="single" w:sz="4" w:space="1" w:color="D9D9D9" w:themeColor="background1" w:themeShade="D9"/>
          </w:pBdr>
          <w:jc w:val="right"/>
        </w:pPr>
        <w:r>
          <w:fldChar w:fldCharType="begin"/>
        </w:r>
        <w:r>
          <w:instrText xml:space="preserve"> PAGE   \* MERGEFORMAT </w:instrText>
        </w:r>
        <w:r>
          <w:fldChar w:fldCharType="separate"/>
        </w:r>
        <w:r w:rsidR="00207147">
          <w:rPr>
            <w:noProof/>
          </w:rPr>
          <w:t>14</w:t>
        </w:r>
        <w:r>
          <w:rPr>
            <w:noProof/>
          </w:rPr>
          <w:fldChar w:fldCharType="end"/>
        </w:r>
        <w:r>
          <w:t xml:space="preserve"> | </w:t>
        </w:r>
        <w:r>
          <w:rPr>
            <w:color w:val="808080" w:themeColor="background1" w:themeShade="80"/>
            <w:spacing w:val="60"/>
          </w:rPr>
          <w:t>Page</w:t>
        </w:r>
      </w:p>
    </w:sdtContent>
  </w:sdt>
  <w:p w14:paraId="6F707A00" w14:textId="77777777" w:rsidR="00941BC7" w:rsidRDefault="00941B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58766" w14:textId="77777777" w:rsidR="00105422" w:rsidRDefault="00105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1E9ED" w14:textId="77777777" w:rsidR="00463852" w:rsidRDefault="00463852">
      <w:pPr>
        <w:spacing w:after="0" w:line="240" w:lineRule="auto"/>
      </w:pPr>
      <w:r>
        <w:separator/>
      </w:r>
    </w:p>
  </w:footnote>
  <w:footnote w:type="continuationSeparator" w:id="0">
    <w:p w14:paraId="04DF46BE" w14:textId="77777777" w:rsidR="00463852" w:rsidRDefault="00463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9C9B1F" w14:textId="77777777" w:rsidR="00105422" w:rsidRDefault="001054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CF11F5" w14:textId="77777777" w:rsidR="00105422" w:rsidRDefault="001054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91223D" w14:textId="77777777" w:rsidR="00105422" w:rsidRDefault="0010542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83FB9"/>
    <w:rsid w:val="00061941"/>
    <w:rsid w:val="000A72A1"/>
    <w:rsid w:val="000E4DF1"/>
    <w:rsid w:val="000F04AC"/>
    <w:rsid w:val="00105422"/>
    <w:rsid w:val="001434C4"/>
    <w:rsid w:val="00186E17"/>
    <w:rsid w:val="00195CA1"/>
    <w:rsid w:val="001B5B82"/>
    <w:rsid w:val="00207147"/>
    <w:rsid w:val="00224FAA"/>
    <w:rsid w:val="002418EF"/>
    <w:rsid w:val="0032125D"/>
    <w:rsid w:val="003B12B4"/>
    <w:rsid w:val="003B7F36"/>
    <w:rsid w:val="003F3F7C"/>
    <w:rsid w:val="00406A81"/>
    <w:rsid w:val="004427E1"/>
    <w:rsid w:val="00463852"/>
    <w:rsid w:val="00466206"/>
    <w:rsid w:val="00490F1A"/>
    <w:rsid w:val="004A6420"/>
    <w:rsid w:val="004F0785"/>
    <w:rsid w:val="00522053"/>
    <w:rsid w:val="00546795"/>
    <w:rsid w:val="005B01DD"/>
    <w:rsid w:val="005D6CF3"/>
    <w:rsid w:val="006137CF"/>
    <w:rsid w:val="00663361"/>
    <w:rsid w:val="00690E0D"/>
    <w:rsid w:val="006C3BC0"/>
    <w:rsid w:val="006F26BC"/>
    <w:rsid w:val="00744A4D"/>
    <w:rsid w:val="007508E1"/>
    <w:rsid w:val="007711AD"/>
    <w:rsid w:val="0079717F"/>
    <w:rsid w:val="007C4BB9"/>
    <w:rsid w:val="007E2D4B"/>
    <w:rsid w:val="0081182E"/>
    <w:rsid w:val="00822B68"/>
    <w:rsid w:val="00860900"/>
    <w:rsid w:val="00862E47"/>
    <w:rsid w:val="0086610B"/>
    <w:rsid w:val="00876A3E"/>
    <w:rsid w:val="00876BAB"/>
    <w:rsid w:val="00890168"/>
    <w:rsid w:val="008D4AAF"/>
    <w:rsid w:val="009346C8"/>
    <w:rsid w:val="00941BC7"/>
    <w:rsid w:val="00977BFD"/>
    <w:rsid w:val="00982ED2"/>
    <w:rsid w:val="00983FB9"/>
    <w:rsid w:val="00986CD3"/>
    <w:rsid w:val="00987B76"/>
    <w:rsid w:val="009A065C"/>
    <w:rsid w:val="009D18D3"/>
    <w:rsid w:val="00A11696"/>
    <w:rsid w:val="00A35EE2"/>
    <w:rsid w:val="00A83540"/>
    <w:rsid w:val="00AC1070"/>
    <w:rsid w:val="00AF0AB4"/>
    <w:rsid w:val="00B01065"/>
    <w:rsid w:val="00B3076F"/>
    <w:rsid w:val="00B95F06"/>
    <w:rsid w:val="00BC18C6"/>
    <w:rsid w:val="00BC2770"/>
    <w:rsid w:val="00C17137"/>
    <w:rsid w:val="00C369EB"/>
    <w:rsid w:val="00C43E21"/>
    <w:rsid w:val="00D06D05"/>
    <w:rsid w:val="00D07740"/>
    <w:rsid w:val="00E30890"/>
    <w:rsid w:val="00E3390D"/>
    <w:rsid w:val="00EA3AA8"/>
    <w:rsid w:val="00F2772A"/>
    <w:rsid w:val="00F54FE0"/>
    <w:rsid w:val="00F82638"/>
    <w:rsid w:val="00FB1027"/>
    <w:rsid w:val="00FB73D3"/>
    <w:rsid w:val="00FE6D5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48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2ED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A81"/>
    <w:pPr>
      <w:ind w:left="720"/>
      <w:contextualSpacing/>
    </w:pPr>
  </w:style>
  <w:style w:type="character" w:customStyle="1" w:styleId="Heading1Char">
    <w:name w:val="Heading 1 Char"/>
    <w:basedOn w:val="DefaultParagraphFont"/>
    <w:link w:val="Heading1"/>
    <w:uiPriority w:val="9"/>
    <w:rsid w:val="00982ED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982ED2"/>
    <w:pPr>
      <w:outlineLvl w:val="9"/>
    </w:pPr>
    <w:rPr>
      <w:lang w:eastAsia="ja-JP"/>
    </w:rPr>
  </w:style>
  <w:style w:type="paragraph" w:styleId="TOC1">
    <w:name w:val="toc 1"/>
    <w:basedOn w:val="Normal"/>
    <w:next w:val="Normal"/>
    <w:autoRedefine/>
    <w:uiPriority w:val="39"/>
    <w:unhideWhenUsed/>
    <w:rsid w:val="00186E17"/>
    <w:pPr>
      <w:tabs>
        <w:tab w:val="right" w:leader="dot" w:pos="9350"/>
      </w:tabs>
      <w:spacing w:after="100"/>
    </w:pPr>
  </w:style>
  <w:style w:type="character" w:styleId="Hyperlink">
    <w:name w:val="Hyperlink"/>
    <w:basedOn w:val="DefaultParagraphFont"/>
    <w:uiPriority w:val="99"/>
    <w:unhideWhenUsed/>
    <w:rsid w:val="00982ED2"/>
    <w:rPr>
      <w:color w:val="0000FF" w:themeColor="hyperlink"/>
      <w:u w:val="single"/>
    </w:rPr>
  </w:style>
  <w:style w:type="paragraph" w:styleId="BalloonText">
    <w:name w:val="Balloon Text"/>
    <w:basedOn w:val="Normal"/>
    <w:link w:val="BalloonTextChar"/>
    <w:uiPriority w:val="99"/>
    <w:semiHidden/>
    <w:unhideWhenUsed/>
    <w:rsid w:val="00982ED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2ED2"/>
    <w:rPr>
      <w:rFonts w:ascii="Tahoma" w:hAnsi="Tahoma" w:cs="Tahoma"/>
      <w:sz w:val="16"/>
      <w:szCs w:val="16"/>
    </w:rPr>
  </w:style>
  <w:style w:type="paragraph" w:styleId="Header">
    <w:name w:val="header"/>
    <w:basedOn w:val="Normal"/>
    <w:link w:val="HeaderChar"/>
    <w:uiPriority w:val="99"/>
    <w:unhideWhenUsed/>
    <w:rsid w:val="00941B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1BC7"/>
  </w:style>
  <w:style w:type="paragraph" w:styleId="Footer">
    <w:name w:val="footer"/>
    <w:basedOn w:val="Normal"/>
    <w:link w:val="FooterChar"/>
    <w:uiPriority w:val="99"/>
    <w:unhideWhenUsed/>
    <w:rsid w:val="00941B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1B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62A2DD-946A-4E1B-9AB6-3D0B97791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3122</Words>
  <Characters>18108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2023-08-06T06:14:00Z</dcterms:created>
  <dcterms:modified xsi:type="dcterms:W3CDTF">2023-08-07T11:22:00Z</dcterms:modified>
</cp:coreProperties>
</file>