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3137" w:rsidRDefault="00E03580">
      <w:pPr>
        <w:rPr>
          <w:rFonts w:ascii="Times New Roman" w:hAnsi="Times New Roman" w:cs="Times New Roman"/>
          <w:b/>
          <w:sz w:val="32"/>
          <w:u w:val="single"/>
        </w:rPr>
      </w:pPr>
      <w:r w:rsidRPr="00E03580">
        <w:rPr>
          <w:rFonts w:ascii="Times New Roman" w:hAnsi="Times New Roman" w:cs="Times New Roman"/>
          <w:b/>
          <w:sz w:val="32"/>
          <w:u w:val="single"/>
        </w:rPr>
        <w:t>HPAH5005:</w:t>
      </w:r>
      <w:r>
        <w:rPr>
          <w:rFonts w:ascii="Times New Roman" w:hAnsi="Times New Roman" w:cs="Times New Roman"/>
          <w:b/>
          <w:sz w:val="32"/>
          <w:u w:val="single"/>
        </w:rPr>
        <w:t xml:space="preserve"> </w:t>
      </w:r>
      <w:r w:rsidRPr="00E03580">
        <w:rPr>
          <w:rFonts w:ascii="Times New Roman" w:hAnsi="Times New Roman" w:cs="Times New Roman"/>
          <w:b/>
          <w:sz w:val="32"/>
          <w:u w:val="single"/>
        </w:rPr>
        <w:t>Ancient Celtic Civilisations Assessment 2</w:t>
      </w:r>
    </w:p>
    <w:p w:rsidR="00E03580" w:rsidRDefault="00E03580" w:rsidP="00E03580">
      <w:pPr>
        <w:numPr>
          <w:ilvl w:val="1"/>
          <w:numId w:val="1"/>
        </w:numPr>
        <w:spacing w:after="0" w:line="240" w:lineRule="auto"/>
        <w:rPr>
          <w:rFonts w:asciiTheme="minorBidi" w:hAnsiTheme="minorBidi"/>
          <w:sz w:val="24"/>
          <w:u w:val="single"/>
        </w:rPr>
      </w:pPr>
      <w:r w:rsidRPr="00E03580">
        <w:rPr>
          <w:rFonts w:asciiTheme="minorBidi" w:hAnsiTheme="minorBidi"/>
          <w:sz w:val="24"/>
          <w:u w:val="single"/>
        </w:rPr>
        <w:t xml:space="preserve">Based on a </w:t>
      </w:r>
      <w:r w:rsidRPr="00E03580">
        <w:rPr>
          <w:rFonts w:asciiTheme="minorBidi" w:hAnsiTheme="minorBidi"/>
          <w:sz w:val="24"/>
          <w:u w:val="single"/>
        </w:rPr>
        <w:t>material</w:t>
      </w:r>
      <w:r w:rsidRPr="00E03580">
        <w:rPr>
          <w:rFonts w:asciiTheme="minorBidi" w:hAnsiTheme="minorBidi"/>
          <w:sz w:val="24"/>
          <w:u w:val="single"/>
        </w:rPr>
        <w:t xml:space="preserve"> evidence – like coinage, stone sculpture, metal works, etc. – in a region of your choice in mainland Europe, critically discuss the Greek and Roman influence during the 3</w:t>
      </w:r>
      <w:r w:rsidRPr="00E03580">
        <w:rPr>
          <w:rFonts w:asciiTheme="minorBidi" w:hAnsiTheme="minorBidi"/>
          <w:sz w:val="24"/>
          <w:u w:val="single"/>
          <w:vertAlign w:val="superscript"/>
        </w:rPr>
        <w:t>rd</w:t>
      </w:r>
      <w:r w:rsidRPr="00E03580">
        <w:rPr>
          <w:rFonts w:asciiTheme="minorBidi" w:hAnsiTheme="minorBidi"/>
          <w:sz w:val="24"/>
          <w:u w:val="single"/>
        </w:rPr>
        <w:t>-1</w:t>
      </w:r>
      <w:r w:rsidRPr="00E03580">
        <w:rPr>
          <w:rFonts w:asciiTheme="minorBidi" w:hAnsiTheme="minorBidi"/>
          <w:sz w:val="24"/>
          <w:u w:val="single"/>
          <w:vertAlign w:val="superscript"/>
        </w:rPr>
        <w:t>st</w:t>
      </w:r>
      <w:r w:rsidRPr="00E03580">
        <w:rPr>
          <w:rFonts w:asciiTheme="minorBidi" w:hAnsiTheme="minorBidi"/>
          <w:sz w:val="24"/>
          <w:u w:val="single"/>
        </w:rPr>
        <w:t xml:space="preserve"> century BC.</w:t>
      </w:r>
    </w:p>
    <w:p w:rsidR="00E03580" w:rsidRPr="00E03580" w:rsidRDefault="00E03580" w:rsidP="00E03580">
      <w:pPr>
        <w:spacing w:after="0" w:line="240" w:lineRule="auto"/>
        <w:rPr>
          <w:rFonts w:asciiTheme="minorBidi" w:hAnsiTheme="minorBidi"/>
          <w:b/>
          <w:sz w:val="24"/>
          <w:u w:val="single"/>
        </w:rPr>
      </w:pPr>
      <w:r>
        <w:rPr>
          <w:rFonts w:asciiTheme="minorBidi" w:hAnsiTheme="minorBidi"/>
          <w:b/>
          <w:sz w:val="24"/>
          <w:u w:val="single"/>
        </w:rPr>
        <w:t>By Anthony McDonald 1701752</w:t>
      </w:r>
    </w:p>
    <w:p w:rsidR="00E03580" w:rsidRDefault="00E03580">
      <w:pPr>
        <w:rPr>
          <w:rFonts w:ascii="Times New Roman" w:hAnsi="Times New Roman" w:cs="Times New Roman"/>
          <w:b/>
          <w:sz w:val="32"/>
          <w:u w:val="single"/>
        </w:rPr>
      </w:pPr>
    </w:p>
    <w:p w:rsidR="0055214B" w:rsidRDefault="00035AD0" w:rsidP="00E01EC3">
      <w:pPr>
        <w:spacing w:line="480" w:lineRule="auto"/>
        <w:rPr>
          <w:rFonts w:ascii="Times New Roman" w:hAnsi="Times New Roman" w:cs="Times New Roman"/>
          <w:sz w:val="24"/>
        </w:rPr>
      </w:pPr>
      <w:r>
        <w:rPr>
          <w:rFonts w:ascii="Times New Roman" w:hAnsi="Times New Roman" w:cs="Times New Roman"/>
          <w:sz w:val="24"/>
        </w:rPr>
        <w:t xml:space="preserve">Metal Working was an integral part of an advancing societies structure, it allowed for </w:t>
      </w:r>
      <w:r w:rsidR="004F2063">
        <w:rPr>
          <w:rFonts w:ascii="Times New Roman" w:hAnsi="Times New Roman" w:cs="Times New Roman"/>
          <w:sz w:val="24"/>
        </w:rPr>
        <w:t>technological</w:t>
      </w:r>
      <w:r w:rsidR="00D61D5B">
        <w:rPr>
          <w:rFonts w:ascii="Times New Roman" w:hAnsi="Times New Roman" w:cs="Times New Roman"/>
          <w:sz w:val="24"/>
        </w:rPr>
        <w:t xml:space="preserve"> advancements and modernisation throughout the Iron age of mainland Europe. Without a strong metal working industry a society would not have an identity when it came to items such as; weapons, armour</w:t>
      </w:r>
      <w:r w:rsidR="004269C8">
        <w:rPr>
          <w:rFonts w:ascii="Times New Roman" w:hAnsi="Times New Roman" w:cs="Times New Roman"/>
          <w:sz w:val="24"/>
        </w:rPr>
        <w:t xml:space="preserve"> or even symbolic </w:t>
      </w:r>
      <w:proofErr w:type="spellStart"/>
      <w:r w:rsidR="004269C8">
        <w:rPr>
          <w:rFonts w:ascii="Times New Roman" w:hAnsi="Times New Roman" w:cs="Times New Roman"/>
          <w:sz w:val="24"/>
        </w:rPr>
        <w:t>tor</w:t>
      </w:r>
      <w:r w:rsidR="000471AE">
        <w:rPr>
          <w:rFonts w:ascii="Times New Roman" w:hAnsi="Times New Roman" w:cs="Times New Roman"/>
          <w:sz w:val="24"/>
        </w:rPr>
        <w:t>c</w:t>
      </w:r>
      <w:r w:rsidR="004269C8">
        <w:rPr>
          <w:rFonts w:ascii="Times New Roman" w:hAnsi="Times New Roman" w:cs="Times New Roman"/>
          <w:sz w:val="24"/>
        </w:rPr>
        <w:t>s</w:t>
      </w:r>
      <w:proofErr w:type="spellEnd"/>
      <w:r w:rsidR="004269C8">
        <w:rPr>
          <w:rFonts w:ascii="Times New Roman" w:hAnsi="Times New Roman" w:cs="Times New Roman"/>
          <w:sz w:val="24"/>
        </w:rPr>
        <w:t xml:space="preserve"> </w:t>
      </w:r>
      <w:r w:rsidR="00D61D5B">
        <w:rPr>
          <w:rFonts w:ascii="Times New Roman" w:hAnsi="Times New Roman" w:cs="Times New Roman"/>
          <w:sz w:val="24"/>
        </w:rPr>
        <w:t>leaving themselves without a choice but to accept foreign influences and cultures.</w:t>
      </w:r>
      <w:r w:rsidR="004269C8">
        <w:rPr>
          <w:rFonts w:ascii="Times New Roman" w:hAnsi="Times New Roman" w:cs="Times New Roman"/>
          <w:sz w:val="24"/>
        </w:rPr>
        <w:t xml:space="preserve"> Metals were used as trade goods themselves across mainland Europe, Iron bars are known to have been traded at the time, meaning that a society with metallurgy skills would economically be strong.</w:t>
      </w:r>
      <w:r w:rsidR="004269C8">
        <w:rPr>
          <w:rStyle w:val="FootnoteReference"/>
          <w:rFonts w:ascii="Times New Roman" w:hAnsi="Times New Roman" w:cs="Times New Roman"/>
          <w:sz w:val="24"/>
        </w:rPr>
        <w:footnoteReference w:id="1"/>
      </w:r>
    </w:p>
    <w:p w:rsidR="00E01EC3" w:rsidRDefault="001D2A5E" w:rsidP="00E01EC3">
      <w:pPr>
        <w:spacing w:line="480" w:lineRule="auto"/>
        <w:rPr>
          <w:rFonts w:ascii="Times New Roman" w:hAnsi="Times New Roman" w:cs="Times New Roman"/>
          <w:sz w:val="24"/>
        </w:rPr>
      </w:pPr>
      <w:r>
        <w:rPr>
          <w:rFonts w:ascii="Times New Roman" w:hAnsi="Times New Roman" w:cs="Times New Roman"/>
          <w:sz w:val="24"/>
        </w:rPr>
        <w:t xml:space="preserve">In this essay I will be looking at settlement in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and its surrounding area as many </w:t>
      </w:r>
      <w:r w:rsidR="00755446">
        <w:rPr>
          <w:rFonts w:ascii="Times New Roman" w:hAnsi="Times New Roman" w:cs="Times New Roman"/>
          <w:sz w:val="24"/>
        </w:rPr>
        <w:t xml:space="preserve">artefacts including </w:t>
      </w:r>
      <w:r>
        <w:rPr>
          <w:rFonts w:ascii="Times New Roman" w:hAnsi="Times New Roman" w:cs="Times New Roman"/>
          <w:sz w:val="24"/>
        </w:rPr>
        <w:t xml:space="preserve">coin moulds were found </w:t>
      </w:r>
      <w:r w:rsidR="00755446">
        <w:rPr>
          <w:rFonts w:ascii="Times New Roman" w:hAnsi="Times New Roman" w:cs="Times New Roman"/>
          <w:sz w:val="24"/>
        </w:rPr>
        <w:t>at the site</w:t>
      </w:r>
      <w:r>
        <w:rPr>
          <w:rFonts w:ascii="Times New Roman" w:hAnsi="Times New Roman" w:cs="Times New Roman"/>
          <w:sz w:val="24"/>
        </w:rPr>
        <w:t xml:space="preserve">. </w:t>
      </w:r>
      <w:r w:rsidR="00035AD0">
        <w:rPr>
          <w:rFonts w:ascii="Times New Roman" w:hAnsi="Times New Roman" w:cs="Times New Roman"/>
          <w:sz w:val="24"/>
        </w:rPr>
        <w:t xml:space="preserve">I will be reviewing </w:t>
      </w:r>
      <w:r w:rsidR="00755446">
        <w:rPr>
          <w:rFonts w:ascii="Times New Roman" w:hAnsi="Times New Roman" w:cs="Times New Roman"/>
          <w:sz w:val="24"/>
        </w:rPr>
        <w:t xml:space="preserve">the remains of </w:t>
      </w:r>
      <w:r w:rsidR="00035AD0">
        <w:rPr>
          <w:rFonts w:ascii="Times New Roman" w:hAnsi="Times New Roman" w:cs="Times New Roman"/>
          <w:sz w:val="24"/>
        </w:rPr>
        <w:t>its metal works and analysing what they represent in terms of Roman and Greek influences on the settlement</w:t>
      </w:r>
      <w:r w:rsidR="0055214B">
        <w:rPr>
          <w:rFonts w:ascii="Times New Roman" w:hAnsi="Times New Roman" w:cs="Times New Roman"/>
          <w:sz w:val="24"/>
        </w:rPr>
        <w:t>, if any</w:t>
      </w:r>
      <w:r w:rsidR="00035AD0">
        <w:rPr>
          <w:rFonts w:ascii="Times New Roman" w:hAnsi="Times New Roman" w:cs="Times New Roman"/>
          <w:sz w:val="24"/>
        </w:rPr>
        <w:t xml:space="preserve">.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was a walled off ‘Oppidum’ located near modern day Ingolstadt and was a socially developing settlement during the 3 to the 1</w:t>
      </w:r>
      <w:r w:rsidRPr="001D2A5E">
        <w:rPr>
          <w:rFonts w:ascii="Times New Roman" w:hAnsi="Times New Roman" w:cs="Times New Roman"/>
          <w:sz w:val="24"/>
          <w:vertAlign w:val="superscript"/>
        </w:rPr>
        <w:t>st</w:t>
      </w:r>
      <w:r>
        <w:rPr>
          <w:rFonts w:ascii="Times New Roman" w:hAnsi="Times New Roman" w:cs="Times New Roman"/>
          <w:sz w:val="24"/>
        </w:rPr>
        <w:t xml:space="preserve"> century BCE and was not under Roman occupation.</w:t>
      </w:r>
    </w:p>
    <w:p w:rsidR="00356DE6" w:rsidRDefault="004C6F93" w:rsidP="00E01EC3">
      <w:pPr>
        <w:spacing w:line="480" w:lineRule="auto"/>
        <w:rPr>
          <w:rFonts w:ascii="Times New Roman" w:hAnsi="Times New Roman" w:cs="Times New Roman"/>
          <w:sz w:val="24"/>
        </w:rPr>
      </w:pPr>
      <w:proofErr w:type="spellStart"/>
      <w:r>
        <w:rPr>
          <w:rFonts w:ascii="Times New Roman" w:hAnsi="Times New Roman" w:cs="Times New Roman"/>
          <w:sz w:val="24"/>
        </w:rPr>
        <w:t>Man</w:t>
      </w:r>
      <w:r w:rsidR="007E4338">
        <w:rPr>
          <w:rFonts w:ascii="Times New Roman" w:hAnsi="Times New Roman" w:cs="Times New Roman"/>
          <w:sz w:val="24"/>
        </w:rPr>
        <w:t>ching</w:t>
      </w:r>
      <w:proofErr w:type="spellEnd"/>
      <w:r w:rsidR="007E4338">
        <w:rPr>
          <w:rFonts w:ascii="Times New Roman" w:hAnsi="Times New Roman" w:cs="Times New Roman"/>
          <w:sz w:val="24"/>
        </w:rPr>
        <w:t xml:space="preserve"> was enclosed by a huge wall or rampart like other ‘Celtic’ settlements, some believe these ‘Celtic’ settlements represent “pre-Roman urbanisation”.</w:t>
      </w:r>
      <w:r w:rsidR="007E4338">
        <w:rPr>
          <w:rStyle w:val="FootnoteReference"/>
          <w:rFonts w:ascii="Times New Roman" w:hAnsi="Times New Roman" w:cs="Times New Roman"/>
          <w:sz w:val="24"/>
        </w:rPr>
        <w:footnoteReference w:id="2"/>
      </w:r>
      <w:r w:rsidR="007E4338">
        <w:rPr>
          <w:rFonts w:ascii="Times New Roman" w:hAnsi="Times New Roman" w:cs="Times New Roman"/>
          <w:sz w:val="24"/>
        </w:rPr>
        <w:t xml:space="preserve"> This urbanisation is </w:t>
      </w:r>
      <w:r w:rsidR="00035AD0">
        <w:rPr>
          <w:rFonts w:ascii="Times New Roman" w:hAnsi="Times New Roman" w:cs="Times New Roman"/>
          <w:sz w:val="24"/>
        </w:rPr>
        <w:t xml:space="preserve">significant </w:t>
      </w:r>
      <w:r w:rsidR="007E4338">
        <w:rPr>
          <w:rFonts w:ascii="Times New Roman" w:hAnsi="Times New Roman" w:cs="Times New Roman"/>
          <w:sz w:val="24"/>
        </w:rPr>
        <w:t>wh</w:t>
      </w:r>
      <w:r w:rsidR="00035AD0">
        <w:rPr>
          <w:rFonts w:ascii="Times New Roman" w:hAnsi="Times New Roman" w:cs="Times New Roman"/>
          <w:sz w:val="24"/>
        </w:rPr>
        <w:t xml:space="preserve">en </w:t>
      </w:r>
      <w:r w:rsidR="007E4338">
        <w:rPr>
          <w:rFonts w:ascii="Times New Roman" w:hAnsi="Times New Roman" w:cs="Times New Roman"/>
          <w:sz w:val="24"/>
        </w:rPr>
        <w:t xml:space="preserve">looking at whether this </w:t>
      </w:r>
      <w:r w:rsidR="00035AD0">
        <w:rPr>
          <w:rFonts w:ascii="Times New Roman" w:hAnsi="Times New Roman" w:cs="Times New Roman"/>
          <w:sz w:val="24"/>
        </w:rPr>
        <w:t>community</w:t>
      </w:r>
      <w:r w:rsidR="007E4338">
        <w:rPr>
          <w:rFonts w:ascii="Times New Roman" w:hAnsi="Times New Roman" w:cs="Times New Roman"/>
          <w:sz w:val="24"/>
        </w:rPr>
        <w:t xml:space="preserve"> were modernising in their own fashion or whether they were slowly falling victim to the Roman influence, the chances of the influence being Roman as opposed to Greek is more likely due to the close proximity to Rome in comparison.</w:t>
      </w:r>
    </w:p>
    <w:p w:rsidR="00755446" w:rsidRDefault="00755446" w:rsidP="00755446">
      <w:pPr>
        <w:spacing w:line="480" w:lineRule="auto"/>
        <w:rPr>
          <w:rFonts w:ascii="Times New Roman" w:hAnsi="Times New Roman" w:cs="Times New Roman"/>
          <w:sz w:val="24"/>
        </w:rPr>
      </w:pPr>
      <w:r>
        <w:rPr>
          <w:rFonts w:ascii="Times New Roman" w:hAnsi="Times New Roman" w:cs="Times New Roman"/>
          <w:sz w:val="24"/>
        </w:rPr>
        <w:lastRenderedPageBreak/>
        <w:t>Coins play an integral role in understanding how an ancient culture worked, as coins could have different uses than they do in our modern day, representing a lot more than you would initially think. Of course, many coins were used as currency and were to be exchanged in return for goods, but this premise is considerably modern. Many of the coins found are of Greek and Roman design as they were the most influential civilisations over such a long amount of time, along with this was the fact that Romans would set up coin mints to distribute their own designs. What about the settlements that moulded their own coins without the Roman mints and thrived off their own urbanisation and modernisation?</w:t>
      </w:r>
    </w:p>
    <w:p w:rsidR="00755446" w:rsidRDefault="00755446" w:rsidP="00755446">
      <w:pPr>
        <w:spacing w:line="480" w:lineRule="auto"/>
        <w:rPr>
          <w:rFonts w:ascii="Times New Roman" w:hAnsi="Times New Roman" w:cs="Times New Roman"/>
          <w:sz w:val="24"/>
        </w:rPr>
      </w:pPr>
      <w:r>
        <w:rPr>
          <w:rFonts w:ascii="Times New Roman" w:hAnsi="Times New Roman" w:cs="Times New Roman"/>
          <w:sz w:val="24"/>
        </w:rPr>
        <w:t>Some of the earliest proof of ‘Celtic’ coin minting can be identified in the 3</w:t>
      </w:r>
      <w:r w:rsidRPr="0055214B">
        <w:rPr>
          <w:rFonts w:ascii="Times New Roman" w:hAnsi="Times New Roman" w:cs="Times New Roman"/>
          <w:sz w:val="24"/>
          <w:vertAlign w:val="superscript"/>
        </w:rPr>
        <w:t>rd</w:t>
      </w:r>
      <w:r>
        <w:rPr>
          <w:rFonts w:ascii="Times New Roman" w:hAnsi="Times New Roman" w:cs="Times New Roman"/>
          <w:sz w:val="24"/>
        </w:rPr>
        <w:t xml:space="preserve"> century BCE that seemingly inspired by the money brought back by Celtic mercenaries.</w:t>
      </w:r>
      <w:r>
        <w:rPr>
          <w:rStyle w:val="FootnoteReference"/>
          <w:rFonts w:ascii="Times New Roman" w:hAnsi="Times New Roman" w:cs="Times New Roman"/>
          <w:sz w:val="24"/>
        </w:rPr>
        <w:footnoteReference w:id="3"/>
      </w:r>
      <w:r>
        <w:rPr>
          <w:rFonts w:ascii="Times New Roman" w:hAnsi="Times New Roman" w:cs="Times New Roman"/>
          <w:sz w:val="24"/>
        </w:rPr>
        <w:t xml:space="preserve"> These mercenaries more than likely fought in the Punic Wars under Hannibal against the Romans.</w:t>
      </w:r>
      <w:r>
        <w:rPr>
          <w:rStyle w:val="FootnoteReference"/>
          <w:rFonts w:ascii="Times New Roman" w:hAnsi="Times New Roman" w:cs="Times New Roman"/>
          <w:sz w:val="24"/>
        </w:rPr>
        <w:footnoteReference w:id="4"/>
      </w:r>
      <w:r>
        <w:rPr>
          <w:rFonts w:ascii="Times New Roman" w:hAnsi="Times New Roman" w:cs="Times New Roman"/>
          <w:sz w:val="24"/>
        </w:rPr>
        <w:t xml:space="preserve"> These coins had a depiction of the Dioscuri upon the face, Dioscuri being the name given to both Castor and Pollux as a collective, this would mean the first ever ‘Celtic’ coins made in mainland Europe were heavily influenced by Greek religious icons.</w:t>
      </w:r>
    </w:p>
    <w:p w:rsidR="000471AE" w:rsidRDefault="000471AE" w:rsidP="00755446">
      <w:pPr>
        <w:spacing w:line="480" w:lineRule="auto"/>
        <w:rPr>
          <w:rFonts w:ascii="Times New Roman" w:hAnsi="Times New Roman" w:cs="Times New Roman"/>
          <w:sz w:val="24"/>
        </w:rPr>
      </w:pPr>
      <w:r>
        <w:rPr>
          <w:rFonts w:ascii="Times New Roman" w:hAnsi="Times New Roman" w:cs="Times New Roman"/>
          <w:sz w:val="24"/>
        </w:rPr>
        <w:t xml:space="preserve">At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many coin moulds were found, these moulds would be used to produce gold coin blanks used in trade across Europe.</w:t>
      </w:r>
      <w:r>
        <w:rPr>
          <w:rStyle w:val="FootnoteReference"/>
          <w:rFonts w:ascii="Times New Roman" w:hAnsi="Times New Roman" w:cs="Times New Roman"/>
          <w:sz w:val="24"/>
        </w:rPr>
        <w:footnoteReference w:id="5"/>
      </w:r>
      <w:r>
        <w:rPr>
          <w:rFonts w:ascii="Times New Roman" w:hAnsi="Times New Roman" w:cs="Times New Roman"/>
          <w:sz w:val="24"/>
        </w:rPr>
        <w:t xml:space="preserve"> Across 46 </w:t>
      </w:r>
      <w:r w:rsidR="005E69AD">
        <w:rPr>
          <w:rFonts w:ascii="Times New Roman" w:hAnsi="Times New Roman" w:cs="Times New Roman"/>
          <w:sz w:val="24"/>
        </w:rPr>
        <w:t xml:space="preserve">settlements in central and western Europe coin moulds like the ones found at </w:t>
      </w:r>
      <w:proofErr w:type="spellStart"/>
      <w:r w:rsidR="005E69AD">
        <w:rPr>
          <w:rFonts w:ascii="Times New Roman" w:hAnsi="Times New Roman" w:cs="Times New Roman"/>
          <w:sz w:val="24"/>
        </w:rPr>
        <w:t>Manching</w:t>
      </w:r>
      <w:proofErr w:type="spellEnd"/>
      <w:r w:rsidR="005E69AD">
        <w:rPr>
          <w:rFonts w:ascii="Times New Roman" w:hAnsi="Times New Roman" w:cs="Times New Roman"/>
          <w:sz w:val="24"/>
        </w:rPr>
        <w:t xml:space="preserve"> were discovered around half of these other sites are also Oppida.</w:t>
      </w:r>
      <w:r w:rsidR="005E69AD">
        <w:rPr>
          <w:rStyle w:val="FootnoteReference"/>
          <w:rFonts w:ascii="Times New Roman" w:hAnsi="Times New Roman" w:cs="Times New Roman"/>
          <w:sz w:val="24"/>
        </w:rPr>
        <w:footnoteReference w:id="6"/>
      </w:r>
      <w:r w:rsidR="005E69AD">
        <w:rPr>
          <w:rFonts w:ascii="Times New Roman" w:hAnsi="Times New Roman" w:cs="Times New Roman"/>
          <w:sz w:val="24"/>
        </w:rPr>
        <w:t xml:space="preserve"> This suggests less of a Roman influence on the region and more of an ‘Oppida’ identity, with these Oppida obviously being quite advanced and considerably rich in natural resources they were able to mint their own coins for trade across Europe. </w:t>
      </w:r>
    </w:p>
    <w:p w:rsidR="00755446" w:rsidRPr="00FF4F7D" w:rsidRDefault="00755446" w:rsidP="00E01EC3">
      <w:pPr>
        <w:spacing w:line="480" w:lineRule="auto"/>
        <w:rPr>
          <w:rFonts w:ascii="Times New Roman" w:hAnsi="Times New Roman" w:cs="Times New Roman"/>
          <w:b/>
          <w:sz w:val="24"/>
          <w:u w:val="single"/>
        </w:rPr>
      </w:pPr>
    </w:p>
    <w:p w:rsidR="00812A77" w:rsidRDefault="005E69AD" w:rsidP="00E01EC3">
      <w:pPr>
        <w:spacing w:line="480" w:lineRule="auto"/>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58240" behindDoc="1" locked="0" layoutInCell="1" allowOverlap="1">
            <wp:simplePos x="0" y="0"/>
            <wp:positionH relativeFrom="margin">
              <wp:posOffset>-266700</wp:posOffset>
            </wp:positionH>
            <wp:positionV relativeFrom="paragraph">
              <wp:posOffset>104775</wp:posOffset>
            </wp:positionV>
            <wp:extent cx="4210050" cy="3122295"/>
            <wp:effectExtent l="0" t="0" r="0" b="1905"/>
            <wp:wrapTight wrapText="bothSides">
              <wp:wrapPolygon edited="0">
                <wp:start x="0" y="0"/>
                <wp:lineTo x="0" y="21481"/>
                <wp:lineTo x="21502" y="21481"/>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0050" cy="3122295"/>
                    </a:xfrm>
                    <a:prstGeom prst="rect">
                      <a:avLst/>
                    </a:prstGeom>
                    <a:noFill/>
                    <a:ln>
                      <a:noFill/>
                    </a:ln>
                  </pic:spPr>
                </pic:pic>
              </a:graphicData>
            </a:graphic>
            <wp14:sizeRelH relativeFrom="page">
              <wp14:pctWidth>0</wp14:pctWidth>
            </wp14:sizeRelH>
            <wp14:sizeRelV relativeFrom="page">
              <wp14:pctHeight>0</wp14:pctHeight>
            </wp14:sizeRelV>
          </wp:anchor>
        </w:drawing>
      </w:r>
      <w:r w:rsidR="00812A77">
        <w:rPr>
          <w:rFonts w:ascii="Times New Roman" w:hAnsi="Times New Roman" w:cs="Times New Roman"/>
          <w:sz w:val="24"/>
        </w:rPr>
        <w:t xml:space="preserve"> </w:t>
      </w:r>
    </w:p>
    <w:p w:rsidR="00FF4F7D" w:rsidRPr="00812A77" w:rsidRDefault="005E69AD" w:rsidP="00E01EC3">
      <w:pPr>
        <w:spacing w:line="480" w:lineRule="auto"/>
        <w:rPr>
          <w:rFonts w:ascii="Times New Roman" w:hAnsi="Times New Roman" w:cs="Times New Roman"/>
          <w:i/>
          <w:sz w:val="24"/>
        </w:rPr>
      </w:pPr>
      <w:r w:rsidRPr="00812A77">
        <w:rPr>
          <w:rFonts w:ascii="Times New Roman" w:hAnsi="Times New Roman" w:cs="Times New Roman"/>
          <w:i/>
          <w:sz w:val="24"/>
        </w:rPr>
        <w:t xml:space="preserve">Reconstructed ground plans and ditches portray a rectangular zone where coin minting played an integral </w:t>
      </w:r>
      <w:r w:rsidR="00812A77" w:rsidRPr="00812A77">
        <w:rPr>
          <w:rFonts w:ascii="Times New Roman" w:hAnsi="Times New Roman" w:cs="Times New Roman"/>
          <w:i/>
          <w:sz w:val="24"/>
        </w:rPr>
        <w:t>part to the society as can be seen by the distribution of coin moulds</w:t>
      </w:r>
    </w:p>
    <w:p w:rsidR="00812A77" w:rsidRDefault="00812A77" w:rsidP="00E01EC3">
      <w:pPr>
        <w:spacing w:line="480" w:lineRule="auto"/>
        <w:rPr>
          <w:rFonts w:ascii="Times New Roman" w:hAnsi="Times New Roman" w:cs="Times New Roman"/>
          <w:sz w:val="24"/>
        </w:rPr>
      </w:pPr>
    </w:p>
    <w:p w:rsidR="005E69AD" w:rsidRDefault="00812A77" w:rsidP="00E01EC3">
      <w:pPr>
        <w:spacing w:line="480" w:lineRule="auto"/>
        <w:rPr>
          <w:rFonts w:ascii="Times New Roman" w:hAnsi="Times New Roman" w:cs="Times New Roman"/>
          <w:sz w:val="24"/>
        </w:rPr>
      </w:pPr>
      <w:r>
        <w:rPr>
          <w:rFonts w:ascii="Times New Roman" w:hAnsi="Times New Roman" w:cs="Times New Roman"/>
          <w:sz w:val="24"/>
        </w:rPr>
        <w:t xml:space="preserve">Image belonging to: </w:t>
      </w:r>
      <w:proofErr w:type="spellStart"/>
      <w:proofErr w:type="gramStart"/>
      <w:r>
        <w:rPr>
          <w:rFonts w:ascii="Times New Roman" w:hAnsi="Times New Roman" w:cs="Times New Roman"/>
          <w:sz w:val="24"/>
        </w:rPr>
        <w:t>H.Wendling</w:t>
      </w:r>
      <w:proofErr w:type="spellEnd"/>
      <w:proofErr w:type="gramEnd"/>
      <w:r>
        <w:rPr>
          <w:rStyle w:val="FootnoteReference"/>
          <w:rFonts w:ascii="Times New Roman" w:hAnsi="Times New Roman" w:cs="Times New Roman"/>
          <w:sz w:val="24"/>
        </w:rPr>
        <w:footnoteReference w:id="7"/>
      </w:r>
    </w:p>
    <w:p w:rsidR="005E69AD" w:rsidRDefault="005E69AD" w:rsidP="00E01EC3">
      <w:pPr>
        <w:spacing w:line="480" w:lineRule="auto"/>
        <w:rPr>
          <w:rFonts w:ascii="Times New Roman" w:hAnsi="Times New Roman" w:cs="Times New Roman"/>
          <w:sz w:val="24"/>
        </w:rPr>
      </w:pPr>
    </w:p>
    <w:p w:rsidR="00FF4F7D" w:rsidRDefault="00FF4F7D" w:rsidP="00E01EC3">
      <w:pPr>
        <w:spacing w:line="480" w:lineRule="auto"/>
        <w:rPr>
          <w:rFonts w:ascii="Times New Roman" w:hAnsi="Times New Roman" w:cs="Times New Roman"/>
          <w:sz w:val="24"/>
        </w:rPr>
      </w:pPr>
      <w:r>
        <w:rPr>
          <w:rFonts w:ascii="Times New Roman" w:hAnsi="Times New Roman" w:cs="Times New Roman"/>
          <w:sz w:val="24"/>
        </w:rPr>
        <w:t xml:space="preserve">Excavations of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found many different artefacts that prove metallurgy was a big part of the settlement’s society. Bits of iron along with ceramic pots were found amongst the ruins of what is now deemed to be a temple, suggesting that communal religious acts of eating and drinking involving vessels made of these materials were involved.</w:t>
      </w:r>
      <w:r>
        <w:rPr>
          <w:rStyle w:val="FootnoteReference"/>
          <w:rFonts w:ascii="Times New Roman" w:hAnsi="Times New Roman" w:cs="Times New Roman"/>
          <w:sz w:val="24"/>
        </w:rPr>
        <w:footnoteReference w:id="8"/>
      </w:r>
      <w:r>
        <w:rPr>
          <w:rFonts w:ascii="Times New Roman" w:hAnsi="Times New Roman" w:cs="Times New Roman"/>
          <w:sz w:val="24"/>
        </w:rPr>
        <w:t xml:space="preserve"> This temple was not seemingly devoted to any Roman or Greek God and this was perhaps a purely ‘Celtic’ celebration. </w:t>
      </w:r>
      <w:r w:rsidR="004F2063">
        <w:rPr>
          <w:rFonts w:ascii="Times New Roman" w:hAnsi="Times New Roman" w:cs="Times New Roman"/>
          <w:sz w:val="24"/>
        </w:rPr>
        <w:t>However,</w:t>
      </w:r>
      <w:r w:rsidR="00F4672A">
        <w:rPr>
          <w:rFonts w:ascii="Times New Roman" w:hAnsi="Times New Roman" w:cs="Times New Roman"/>
          <w:sz w:val="24"/>
        </w:rPr>
        <w:t xml:space="preserve"> in a</w:t>
      </w:r>
      <w:r>
        <w:rPr>
          <w:rFonts w:ascii="Times New Roman" w:hAnsi="Times New Roman" w:cs="Times New Roman"/>
          <w:sz w:val="24"/>
        </w:rPr>
        <w:t xml:space="preserve"> ‘Celtic’ Prince/Chieftains burial in </w:t>
      </w:r>
      <w:proofErr w:type="spellStart"/>
      <w:r>
        <w:rPr>
          <w:rFonts w:ascii="Times New Roman" w:hAnsi="Times New Roman" w:cs="Times New Roman"/>
          <w:sz w:val="24"/>
        </w:rPr>
        <w:t>Hochdorf</w:t>
      </w:r>
      <w:proofErr w:type="spellEnd"/>
      <w:r w:rsidR="004F2063">
        <w:rPr>
          <w:rFonts w:ascii="Times New Roman" w:hAnsi="Times New Roman" w:cs="Times New Roman"/>
          <w:sz w:val="24"/>
        </w:rPr>
        <w:t>;</w:t>
      </w:r>
      <w:r>
        <w:rPr>
          <w:rFonts w:ascii="Times New Roman" w:hAnsi="Times New Roman" w:cs="Times New Roman"/>
          <w:sz w:val="24"/>
        </w:rPr>
        <w:t xml:space="preserve"> </w:t>
      </w:r>
      <w:r w:rsidR="00F4672A">
        <w:rPr>
          <w:rFonts w:ascii="Times New Roman" w:hAnsi="Times New Roman" w:cs="Times New Roman"/>
          <w:sz w:val="24"/>
        </w:rPr>
        <w:t xml:space="preserve">a settlement somewhat close to </w:t>
      </w:r>
      <w:proofErr w:type="spellStart"/>
      <w:r w:rsidR="00F4672A">
        <w:rPr>
          <w:rFonts w:ascii="Times New Roman" w:hAnsi="Times New Roman" w:cs="Times New Roman"/>
          <w:sz w:val="24"/>
        </w:rPr>
        <w:t>Manching</w:t>
      </w:r>
      <w:proofErr w:type="spellEnd"/>
      <w:r w:rsidR="00F4672A">
        <w:rPr>
          <w:rFonts w:ascii="Times New Roman" w:hAnsi="Times New Roman" w:cs="Times New Roman"/>
          <w:sz w:val="24"/>
        </w:rPr>
        <w:t xml:space="preserve"> he was buried with </w:t>
      </w:r>
      <w:r w:rsidR="004F2063">
        <w:rPr>
          <w:rFonts w:ascii="Times New Roman" w:hAnsi="Times New Roman" w:cs="Times New Roman"/>
          <w:sz w:val="24"/>
        </w:rPr>
        <w:t>specifically 9 drinking horns and 9 plates, the ideal amount for a Greek symposium.</w:t>
      </w:r>
      <w:r w:rsidR="004F2063">
        <w:rPr>
          <w:rStyle w:val="FootnoteReference"/>
          <w:rFonts w:ascii="Times New Roman" w:hAnsi="Times New Roman" w:cs="Times New Roman"/>
          <w:sz w:val="24"/>
        </w:rPr>
        <w:footnoteReference w:id="9"/>
      </w:r>
      <w:r w:rsidR="004F2063">
        <w:rPr>
          <w:rFonts w:ascii="Times New Roman" w:hAnsi="Times New Roman" w:cs="Times New Roman"/>
          <w:sz w:val="24"/>
        </w:rPr>
        <w:t xml:space="preserve"> This may be a coincidence but could also represent outside communities accepting Greek and Roman social customs as they integrated them amongst their own. </w:t>
      </w:r>
    </w:p>
    <w:p w:rsidR="00C214A8" w:rsidRDefault="00C214A8" w:rsidP="00E01EC3">
      <w:pPr>
        <w:spacing w:line="480" w:lineRule="auto"/>
        <w:rPr>
          <w:rFonts w:ascii="Times New Roman" w:hAnsi="Times New Roman" w:cs="Times New Roman"/>
          <w:sz w:val="24"/>
        </w:rPr>
      </w:pPr>
      <w:r>
        <w:rPr>
          <w:rFonts w:ascii="Times New Roman" w:hAnsi="Times New Roman" w:cs="Times New Roman"/>
          <w:sz w:val="24"/>
        </w:rPr>
        <w:lastRenderedPageBreak/>
        <w:t xml:space="preserve">In the excavation of the site fragments of a ‘Hallstatt’ sword were found alongside an early La </w:t>
      </w:r>
      <w:proofErr w:type="spellStart"/>
      <w:r>
        <w:rPr>
          <w:rFonts w:ascii="Times New Roman" w:hAnsi="Times New Roman" w:cs="Times New Roman"/>
          <w:sz w:val="24"/>
        </w:rPr>
        <w:t>Tene</w:t>
      </w:r>
      <w:proofErr w:type="spellEnd"/>
      <w:r>
        <w:rPr>
          <w:rFonts w:ascii="Times New Roman" w:hAnsi="Times New Roman" w:cs="Times New Roman"/>
          <w:sz w:val="24"/>
        </w:rPr>
        <w:t xml:space="preserve"> helmet.</w:t>
      </w:r>
      <w:r>
        <w:rPr>
          <w:rStyle w:val="FootnoteReference"/>
          <w:rFonts w:ascii="Times New Roman" w:hAnsi="Times New Roman" w:cs="Times New Roman"/>
          <w:sz w:val="24"/>
        </w:rPr>
        <w:footnoteReference w:id="10"/>
      </w:r>
      <w:r>
        <w:rPr>
          <w:rFonts w:ascii="Times New Roman" w:hAnsi="Times New Roman" w:cs="Times New Roman"/>
          <w:sz w:val="24"/>
        </w:rPr>
        <w:t xml:space="preserve"> The sword is probably easily distinguished as before the Hallstatt period as it would have been made from bronze as opposed to Iron.</w:t>
      </w:r>
      <w:r>
        <w:rPr>
          <w:rStyle w:val="FootnoteReference"/>
          <w:rFonts w:ascii="Times New Roman" w:hAnsi="Times New Roman" w:cs="Times New Roman"/>
          <w:sz w:val="24"/>
        </w:rPr>
        <w:footnoteReference w:id="11"/>
      </w:r>
      <w:r>
        <w:rPr>
          <w:rFonts w:ascii="Times New Roman" w:hAnsi="Times New Roman" w:cs="Times New Roman"/>
          <w:sz w:val="24"/>
        </w:rPr>
        <w:t xml:space="preserve"> These pieces of equipment were seemingly ceremonial and displayed at the central sanctuary</w:t>
      </w:r>
      <w:r w:rsidR="003060F3">
        <w:rPr>
          <w:rFonts w:ascii="Times New Roman" w:hAnsi="Times New Roman" w:cs="Times New Roman"/>
          <w:sz w:val="24"/>
        </w:rPr>
        <w:t>.</w:t>
      </w:r>
      <w:r w:rsidR="003060F3">
        <w:rPr>
          <w:rStyle w:val="FootnoteReference"/>
          <w:rFonts w:ascii="Times New Roman" w:hAnsi="Times New Roman" w:cs="Times New Roman"/>
          <w:sz w:val="24"/>
        </w:rPr>
        <w:footnoteReference w:id="12"/>
      </w:r>
      <w:r w:rsidR="009D1487">
        <w:rPr>
          <w:rFonts w:ascii="Times New Roman" w:hAnsi="Times New Roman" w:cs="Times New Roman"/>
          <w:sz w:val="24"/>
        </w:rPr>
        <w:t xml:space="preserve"> This sword will have been quite old as bronze swords don’t seem to have been made after 750BCE.</w:t>
      </w:r>
      <w:r w:rsidR="009D1487">
        <w:rPr>
          <w:rStyle w:val="FootnoteReference"/>
          <w:rFonts w:ascii="Times New Roman" w:hAnsi="Times New Roman" w:cs="Times New Roman"/>
          <w:sz w:val="24"/>
        </w:rPr>
        <w:footnoteReference w:id="13"/>
      </w:r>
      <w:r w:rsidR="009D1487">
        <w:rPr>
          <w:rFonts w:ascii="Times New Roman" w:hAnsi="Times New Roman" w:cs="Times New Roman"/>
          <w:sz w:val="24"/>
        </w:rPr>
        <w:t xml:space="preserve"> This shows the people of </w:t>
      </w:r>
      <w:proofErr w:type="spellStart"/>
      <w:r w:rsidR="009D1487">
        <w:rPr>
          <w:rFonts w:ascii="Times New Roman" w:hAnsi="Times New Roman" w:cs="Times New Roman"/>
          <w:sz w:val="24"/>
        </w:rPr>
        <w:t>Manching</w:t>
      </w:r>
      <w:proofErr w:type="spellEnd"/>
      <w:r w:rsidR="009D1487">
        <w:rPr>
          <w:rFonts w:ascii="Times New Roman" w:hAnsi="Times New Roman" w:cs="Times New Roman"/>
          <w:sz w:val="24"/>
        </w:rPr>
        <w:t xml:space="preserve"> worshipped their own history and culture as the Hallstatt period was very much a ‘Celtic’ culture in mainland Europe. As opposed to taking part in Roman or Greek religious customs of the time they instead celebrated their own form history alongside their religion as the bade was displayed at the sanctuary where the religious gatherings seemingly took place.</w:t>
      </w:r>
    </w:p>
    <w:p w:rsidR="00167B60" w:rsidRDefault="00167B60" w:rsidP="00E01EC3">
      <w:pPr>
        <w:spacing w:line="480" w:lineRule="auto"/>
        <w:rPr>
          <w:rFonts w:ascii="Times New Roman" w:hAnsi="Times New Roman" w:cs="Times New Roman"/>
          <w:sz w:val="24"/>
        </w:rPr>
      </w:pPr>
      <w:r>
        <w:rPr>
          <w:rFonts w:ascii="Times New Roman" w:hAnsi="Times New Roman" w:cs="Times New Roman"/>
          <w:sz w:val="24"/>
        </w:rPr>
        <w:t xml:space="preserve">There was a huge change in metal work towards the decline of </w:t>
      </w:r>
      <w:proofErr w:type="spellStart"/>
      <w:r>
        <w:rPr>
          <w:rFonts w:ascii="Times New Roman" w:hAnsi="Times New Roman" w:cs="Times New Roman"/>
          <w:sz w:val="24"/>
        </w:rPr>
        <w:t>Manching’s</w:t>
      </w:r>
      <w:proofErr w:type="spellEnd"/>
      <w:r>
        <w:rPr>
          <w:rFonts w:ascii="Times New Roman" w:hAnsi="Times New Roman" w:cs="Times New Roman"/>
          <w:sz w:val="24"/>
        </w:rPr>
        <w:t xml:space="preserve"> existence, southern imports to the settlement stopped, leading to the people having to recycle metal goods. This was shown by the lack of graphite used in later pottery, signifying the difficulty acquiring the resource around 80-70BCE, this decline coincides with the Roman advancement into Gaul, disconnecting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from the larger trade network.</w:t>
      </w:r>
      <w:r>
        <w:rPr>
          <w:rStyle w:val="FootnoteReference"/>
          <w:rFonts w:ascii="Times New Roman" w:hAnsi="Times New Roman" w:cs="Times New Roman"/>
          <w:sz w:val="24"/>
        </w:rPr>
        <w:footnoteReference w:id="14"/>
      </w:r>
      <w:r>
        <w:rPr>
          <w:rFonts w:ascii="Times New Roman" w:hAnsi="Times New Roman" w:cs="Times New Roman"/>
          <w:sz w:val="24"/>
        </w:rPr>
        <w:t xml:space="preserve"> Indirectly and perhaps even unintentionally harming </w:t>
      </w:r>
      <w:proofErr w:type="spellStart"/>
      <w:r>
        <w:rPr>
          <w:rFonts w:ascii="Times New Roman" w:hAnsi="Times New Roman" w:cs="Times New Roman"/>
          <w:sz w:val="24"/>
        </w:rPr>
        <w:t>Manching’s</w:t>
      </w:r>
      <w:proofErr w:type="spellEnd"/>
      <w:r>
        <w:rPr>
          <w:rFonts w:ascii="Times New Roman" w:hAnsi="Times New Roman" w:cs="Times New Roman"/>
          <w:sz w:val="24"/>
        </w:rPr>
        <w:t xml:space="preserve"> economy shows the influence the Roman’s had during their campaigns throughout Europe.</w:t>
      </w:r>
    </w:p>
    <w:p w:rsidR="009D1487" w:rsidRDefault="003A6150" w:rsidP="00E01EC3">
      <w:pPr>
        <w:spacing w:line="480" w:lineRule="auto"/>
        <w:rPr>
          <w:rFonts w:ascii="Times New Roman" w:hAnsi="Times New Roman" w:cs="Times New Roman"/>
          <w:sz w:val="24"/>
        </w:rPr>
      </w:pPr>
      <w:r>
        <w:rPr>
          <w:rFonts w:ascii="Times New Roman" w:hAnsi="Times New Roman" w:cs="Times New Roman"/>
          <w:sz w:val="24"/>
        </w:rPr>
        <w:t xml:space="preserve">The settlement of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although probably influenced by the Mediterranean a lot more than discussed, the metal works of the settlement suggest their own culture that had an identity with other Oppida of the region as opposed to a Roman societal influence. The metalworks show how the Oppida were involved in a large trade network across mainland </w:t>
      </w:r>
      <w:r>
        <w:rPr>
          <w:rFonts w:ascii="Times New Roman" w:hAnsi="Times New Roman" w:cs="Times New Roman"/>
          <w:sz w:val="24"/>
        </w:rPr>
        <w:lastRenderedPageBreak/>
        <w:t xml:space="preserve">Europe printing gold coins more as a monetary and economic source as opposed to a symbolic gesture. The major influence Rome had on the metal work of </w:t>
      </w:r>
      <w:proofErr w:type="spellStart"/>
      <w:r>
        <w:rPr>
          <w:rFonts w:ascii="Times New Roman" w:hAnsi="Times New Roman" w:cs="Times New Roman"/>
          <w:sz w:val="24"/>
        </w:rPr>
        <w:t>Manching</w:t>
      </w:r>
      <w:proofErr w:type="spellEnd"/>
      <w:r>
        <w:rPr>
          <w:rFonts w:ascii="Times New Roman" w:hAnsi="Times New Roman" w:cs="Times New Roman"/>
          <w:sz w:val="24"/>
        </w:rPr>
        <w:t xml:space="preserve"> was causing the settlement to recycle and reuse its metal as Rome began the conquest of Gaul and ‘Celtic’ settlements. This Roman conquest of Gaul lead to the economic downfall of the settlement at </w:t>
      </w:r>
      <w:proofErr w:type="spellStart"/>
      <w:r>
        <w:rPr>
          <w:rFonts w:ascii="Times New Roman" w:hAnsi="Times New Roman" w:cs="Times New Roman"/>
          <w:sz w:val="24"/>
        </w:rPr>
        <w:t>Manching</w:t>
      </w:r>
      <w:proofErr w:type="spellEnd"/>
      <w:r>
        <w:rPr>
          <w:rFonts w:ascii="Times New Roman" w:hAnsi="Times New Roman" w:cs="Times New Roman"/>
          <w:sz w:val="24"/>
        </w:rPr>
        <w:t>.</w:t>
      </w:r>
    </w:p>
    <w:p w:rsidR="00330DF5" w:rsidRDefault="00330DF5" w:rsidP="00330DF5">
      <w:pPr>
        <w:rPr>
          <w:rFonts w:ascii="Times New Roman" w:hAnsi="Times New Roman" w:cs="Times New Roman"/>
          <w:sz w:val="24"/>
        </w:rPr>
      </w:pPr>
    </w:p>
    <w:p w:rsidR="00330DF5" w:rsidRPr="004305E8" w:rsidRDefault="00330DF5" w:rsidP="00330DF5">
      <w:pPr>
        <w:rPr>
          <w:rFonts w:ascii="Times New Roman" w:hAnsi="Times New Roman" w:cs="Times New Roman"/>
          <w:b/>
          <w:color w:val="000000"/>
          <w:sz w:val="24"/>
          <w:szCs w:val="20"/>
          <w:u w:val="single"/>
          <w:shd w:val="clear" w:color="auto" w:fill="FFFFFF"/>
        </w:rPr>
      </w:pPr>
      <w:bookmarkStart w:id="0" w:name="_GoBack"/>
      <w:bookmarkEnd w:id="0"/>
      <w:r w:rsidRPr="004305E8">
        <w:rPr>
          <w:rFonts w:ascii="Times New Roman" w:hAnsi="Times New Roman" w:cs="Times New Roman"/>
          <w:b/>
          <w:color w:val="000000"/>
          <w:sz w:val="24"/>
          <w:szCs w:val="20"/>
          <w:u w:val="single"/>
          <w:shd w:val="clear" w:color="auto" w:fill="FFFFFF"/>
        </w:rPr>
        <w:t>Bibliography</w:t>
      </w:r>
    </w:p>
    <w:p w:rsidR="00330DF5" w:rsidRPr="004305E8" w:rsidRDefault="00330DF5" w:rsidP="00330DF5">
      <w:pPr>
        <w:rPr>
          <w:rFonts w:ascii="Times New Roman" w:hAnsi="Times New Roman" w:cs="Times New Roman"/>
        </w:rPr>
      </w:pPr>
      <w:r w:rsidRPr="004305E8">
        <w:rPr>
          <w:rFonts w:ascii="Times New Roman" w:hAnsi="Times New Roman" w:cs="Times New Roman"/>
        </w:rPr>
        <w:t>Aitchison, N. (1988). Roman wealth, native ritual: Coin hoards within and beyond Roman Britain. World Archaeology, 20(2), pp.270-284.</w:t>
      </w:r>
    </w:p>
    <w:p w:rsidR="00330DF5" w:rsidRPr="004305E8" w:rsidRDefault="00330DF5" w:rsidP="00330DF5">
      <w:pPr>
        <w:rPr>
          <w:rFonts w:ascii="Times New Roman" w:hAnsi="Times New Roman" w:cs="Times New Roman"/>
        </w:rPr>
      </w:pPr>
      <w:r w:rsidRPr="004305E8">
        <w:rPr>
          <w:rFonts w:ascii="Times New Roman" w:hAnsi="Times New Roman" w:cs="Times New Roman"/>
        </w:rPr>
        <w:t>Collis, J. (1985). Iron Age 'Coin Moulds'. Britannia, 16, p.237.</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Emilov</w:t>
      </w:r>
      <w:proofErr w:type="spellEnd"/>
      <w:r w:rsidRPr="004305E8">
        <w:rPr>
          <w:rFonts w:ascii="Times New Roman" w:hAnsi="Times New Roman" w:cs="Times New Roman"/>
        </w:rPr>
        <w:t xml:space="preserve">, J. (2019). La </w:t>
      </w:r>
      <w:proofErr w:type="spellStart"/>
      <w:r w:rsidRPr="004305E8">
        <w:rPr>
          <w:rFonts w:ascii="Times New Roman" w:hAnsi="Times New Roman" w:cs="Times New Roman"/>
        </w:rPr>
        <w:t>Tène</w:t>
      </w:r>
      <w:proofErr w:type="spellEnd"/>
      <w:r w:rsidRPr="004305E8">
        <w:rPr>
          <w:rFonts w:ascii="Times New Roman" w:hAnsi="Times New Roman" w:cs="Times New Roman"/>
        </w:rPr>
        <w:t xml:space="preserve"> finds and the indigenous communities in Thrace. Interrelations during the Hellenistic </w:t>
      </w:r>
      <w:proofErr w:type="gramStart"/>
      <w:r w:rsidRPr="004305E8">
        <w:rPr>
          <w:rFonts w:ascii="Times New Roman" w:hAnsi="Times New Roman" w:cs="Times New Roman"/>
        </w:rPr>
        <w:t>period..</w:t>
      </w:r>
      <w:proofErr w:type="gramEnd"/>
      <w:r w:rsidRPr="004305E8">
        <w:rPr>
          <w:rFonts w:ascii="Times New Roman" w:hAnsi="Times New Roman" w:cs="Times New Roman"/>
        </w:rPr>
        <w:t xml:space="preserve"> [online] Academia.edu. Available at: http://www.academia.edu/259962/La_T%C3%A8ne_finds_and_the_indigenous_communities_in_Thrace._Interrelations_during_the_Hellenistic_period [Accessed 2 Feb. 2019].</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Garrow</w:t>
      </w:r>
      <w:proofErr w:type="spellEnd"/>
      <w:r w:rsidRPr="004305E8">
        <w:rPr>
          <w:rFonts w:ascii="Times New Roman" w:hAnsi="Times New Roman" w:cs="Times New Roman"/>
        </w:rPr>
        <w:t xml:space="preserve">, D. and </w:t>
      </w:r>
      <w:proofErr w:type="spellStart"/>
      <w:r w:rsidRPr="004305E8">
        <w:rPr>
          <w:rFonts w:ascii="Times New Roman" w:hAnsi="Times New Roman" w:cs="Times New Roman"/>
        </w:rPr>
        <w:t>Gosden</w:t>
      </w:r>
      <w:proofErr w:type="spellEnd"/>
      <w:r w:rsidRPr="004305E8">
        <w:rPr>
          <w:rFonts w:ascii="Times New Roman" w:hAnsi="Times New Roman" w:cs="Times New Roman"/>
        </w:rPr>
        <w:t xml:space="preserve">, C. (2012). People and Materials in the Iron Age and Early Roman Period. Technologies of </w:t>
      </w:r>
      <w:proofErr w:type="gramStart"/>
      <w:r w:rsidRPr="004305E8">
        <w:rPr>
          <w:rFonts w:ascii="Times New Roman" w:hAnsi="Times New Roman" w:cs="Times New Roman"/>
        </w:rPr>
        <w:t>Enchantment?,</w:t>
      </w:r>
      <w:proofErr w:type="gramEnd"/>
      <w:r w:rsidRPr="004305E8">
        <w:rPr>
          <w:rFonts w:ascii="Times New Roman" w:hAnsi="Times New Roman" w:cs="Times New Roman"/>
        </w:rPr>
        <w:t xml:space="preserve"> pp.1-37.</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Gebhard</w:t>
      </w:r>
      <w:proofErr w:type="spellEnd"/>
      <w:r w:rsidRPr="004305E8">
        <w:rPr>
          <w:rFonts w:ascii="Times New Roman" w:hAnsi="Times New Roman" w:cs="Times New Roman"/>
        </w:rPr>
        <w:t xml:space="preserve">, R., </w:t>
      </w:r>
      <w:proofErr w:type="spellStart"/>
      <w:r w:rsidRPr="004305E8">
        <w:rPr>
          <w:rFonts w:ascii="Times New Roman" w:hAnsi="Times New Roman" w:cs="Times New Roman"/>
        </w:rPr>
        <w:t>Bott</w:t>
      </w:r>
      <w:proofErr w:type="spellEnd"/>
      <w:r w:rsidRPr="004305E8">
        <w:rPr>
          <w:rFonts w:ascii="Times New Roman" w:hAnsi="Times New Roman" w:cs="Times New Roman"/>
        </w:rPr>
        <w:t xml:space="preserve">, R., Distler, N., </w:t>
      </w:r>
      <w:proofErr w:type="spellStart"/>
      <w:r w:rsidRPr="004305E8">
        <w:rPr>
          <w:rFonts w:ascii="Times New Roman" w:hAnsi="Times New Roman" w:cs="Times New Roman"/>
        </w:rPr>
        <w:t>Michàlek</w:t>
      </w:r>
      <w:proofErr w:type="spellEnd"/>
      <w:r w:rsidRPr="004305E8">
        <w:rPr>
          <w:rFonts w:ascii="Times New Roman" w:hAnsi="Times New Roman" w:cs="Times New Roman"/>
        </w:rPr>
        <w:t xml:space="preserve">, J., </w:t>
      </w:r>
      <w:proofErr w:type="spellStart"/>
      <w:r w:rsidRPr="004305E8">
        <w:rPr>
          <w:rFonts w:ascii="Times New Roman" w:hAnsi="Times New Roman" w:cs="Times New Roman"/>
        </w:rPr>
        <w:t>Riederer</w:t>
      </w:r>
      <w:proofErr w:type="spellEnd"/>
      <w:r w:rsidRPr="004305E8">
        <w:rPr>
          <w:rFonts w:ascii="Times New Roman" w:hAnsi="Times New Roman" w:cs="Times New Roman"/>
        </w:rPr>
        <w:t xml:space="preserve">, J., Wagner, F. and Wagner, U. (2004). Ceramics from the Celtic Oppidum of </w:t>
      </w:r>
      <w:proofErr w:type="spellStart"/>
      <w:r w:rsidRPr="004305E8">
        <w:rPr>
          <w:rFonts w:ascii="Times New Roman" w:hAnsi="Times New Roman" w:cs="Times New Roman"/>
        </w:rPr>
        <w:t>Manching</w:t>
      </w:r>
      <w:proofErr w:type="spellEnd"/>
      <w:r w:rsidRPr="004305E8">
        <w:rPr>
          <w:rFonts w:ascii="Times New Roman" w:hAnsi="Times New Roman" w:cs="Times New Roman"/>
        </w:rPr>
        <w:t xml:space="preserve"> and Its Influence in Central Europe. Hyperfine Interactions, 154(1-4), pp.199-214.</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Gebhard</w:t>
      </w:r>
      <w:proofErr w:type="spellEnd"/>
      <w:r w:rsidRPr="004305E8">
        <w:rPr>
          <w:rFonts w:ascii="Times New Roman" w:hAnsi="Times New Roman" w:cs="Times New Roman"/>
        </w:rPr>
        <w:t xml:space="preserve">, R., </w:t>
      </w:r>
      <w:proofErr w:type="spellStart"/>
      <w:r w:rsidRPr="004305E8">
        <w:rPr>
          <w:rFonts w:ascii="Times New Roman" w:hAnsi="Times New Roman" w:cs="Times New Roman"/>
        </w:rPr>
        <w:t>Lehrberger</w:t>
      </w:r>
      <w:proofErr w:type="spellEnd"/>
      <w:r w:rsidRPr="004305E8">
        <w:rPr>
          <w:rFonts w:ascii="Times New Roman" w:hAnsi="Times New Roman" w:cs="Times New Roman"/>
        </w:rPr>
        <w:t xml:space="preserve">, G., </w:t>
      </w:r>
      <w:proofErr w:type="spellStart"/>
      <w:r w:rsidRPr="004305E8">
        <w:rPr>
          <w:rFonts w:ascii="Times New Roman" w:hAnsi="Times New Roman" w:cs="Times New Roman"/>
        </w:rPr>
        <w:t>Morteani</w:t>
      </w:r>
      <w:proofErr w:type="spellEnd"/>
      <w:r w:rsidRPr="004305E8">
        <w:rPr>
          <w:rFonts w:ascii="Times New Roman" w:hAnsi="Times New Roman" w:cs="Times New Roman"/>
        </w:rPr>
        <w:t xml:space="preserve">, G., </w:t>
      </w:r>
      <w:proofErr w:type="spellStart"/>
      <w:r w:rsidRPr="004305E8">
        <w:rPr>
          <w:rFonts w:ascii="Times New Roman" w:hAnsi="Times New Roman" w:cs="Times New Roman"/>
        </w:rPr>
        <w:t>Raub</w:t>
      </w:r>
      <w:proofErr w:type="spellEnd"/>
      <w:r w:rsidRPr="004305E8">
        <w:rPr>
          <w:rFonts w:ascii="Times New Roman" w:hAnsi="Times New Roman" w:cs="Times New Roman"/>
        </w:rPr>
        <w:t>, C., Wagner, F. and Wagner, U. (1995). Coin Moulds and other Ceramic Material: A Key to Celtic Precious Metal Working. Prehistoric Gold in Europe, pp.273-301.</w:t>
      </w:r>
    </w:p>
    <w:p w:rsidR="00330DF5" w:rsidRPr="004305E8" w:rsidRDefault="00330DF5" w:rsidP="00330DF5">
      <w:pPr>
        <w:rPr>
          <w:rFonts w:ascii="Times New Roman" w:hAnsi="Times New Roman" w:cs="Times New Roman"/>
        </w:rPr>
      </w:pPr>
      <w:r w:rsidRPr="004305E8">
        <w:rPr>
          <w:rFonts w:ascii="Times New Roman" w:hAnsi="Times New Roman" w:cs="Times New Roman"/>
        </w:rPr>
        <w:t xml:space="preserve">Hambleton, V. and Porter, C. (2001) ‘Discovery at </w:t>
      </w:r>
      <w:proofErr w:type="spellStart"/>
      <w:r w:rsidRPr="004305E8">
        <w:rPr>
          <w:rFonts w:ascii="Times New Roman" w:hAnsi="Times New Roman" w:cs="Times New Roman"/>
        </w:rPr>
        <w:t>hochdorf</w:t>
      </w:r>
      <w:proofErr w:type="spellEnd"/>
      <w:r w:rsidRPr="004305E8">
        <w:rPr>
          <w:rFonts w:ascii="Times New Roman" w:hAnsi="Times New Roman" w:cs="Times New Roman"/>
        </w:rPr>
        <w:t>’, Calliope, 12(3), p. 4. Available at: https://ezproxy.uwtsd.ac.uk/login?url=https://search.ebscohost.com/login.aspx?direct=true&amp;db=hus&amp;AN=5493684&amp;site=ehost-live (Accessed: 3 February 2019)</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Harl</w:t>
      </w:r>
      <w:proofErr w:type="spellEnd"/>
      <w:r w:rsidRPr="004305E8">
        <w:rPr>
          <w:rFonts w:ascii="Times New Roman" w:hAnsi="Times New Roman" w:cs="Times New Roman"/>
        </w:rPr>
        <w:t>, K. (1987). Civic coins and civic politics in the Roman East, A.D. 180-275. Berkeley: University of California Press.</w:t>
      </w:r>
    </w:p>
    <w:p w:rsidR="00330DF5" w:rsidRPr="004305E8" w:rsidRDefault="00330DF5" w:rsidP="00330DF5">
      <w:pPr>
        <w:rPr>
          <w:rFonts w:ascii="Times New Roman" w:hAnsi="Times New Roman" w:cs="Times New Roman"/>
        </w:rPr>
      </w:pPr>
      <w:proofErr w:type="spellStart"/>
      <w:r w:rsidRPr="004305E8">
        <w:rPr>
          <w:rFonts w:ascii="Times New Roman" w:hAnsi="Times New Roman" w:cs="Times New Roman"/>
        </w:rPr>
        <w:t>Krämer</w:t>
      </w:r>
      <w:proofErr w:type="spellEnd"/>
      <w:r w:rsidRPr="004305E8">
        <w:rPr>
          <w:rFonts w:ascii="Times New Roman" w:hAnsi="Times New Roman" w:cs="Times New Roman"/>
        </w:rPr>
        <w:t xml:space="preserve">, W. (1960). The Oppidum of </w:t>
      </w:r>
      <w:proofErr w:type="spellStart"/>
      <w:r w:rsidRPr="004305E8">
        <w:rPr>
          <w:rFonts w:ascii="Times New Roman" w:hAnsi="Times New Roman" w:cs="Times New Roman"/>
        </w:rPr>
        <w:t>Manching</w:t>
      </w:r>
      <w:proofErr w:type="spellEnd"/>
      <w:r w:rsidRPr="004305E8">
        <w:rPr>
          <w:rFonts w:ascii="Times New Roman" w:hAnsi="Times New Roman" w:cs="Times New Roman"/>
        </w:rPr>
        <w:t>. Antiquity, 34(135), pp.191-200.</w:t>
      </w:r>
    </w:p>
    <w:p w:rsidR="00330DF5" w:rsidRPr="004305E8" w:rsidRDefault="00330DF5" w:rsidP="00330DF5">
      <w:pPr>
        <w:rPr>
          <w:rFonts w:ascii="Times New Roman" w:hAnsi="Times New Roman" w:cs="Times New Roman"/>
        </w:rPr>
      </w:pPr>
      <w:r w:rsidRPr="004305E8">
        <w:rPr>
          <w:rFonts w:ascii="Times New Roman" w:hAnsi="Times New Roman" w:cs="Times New Roman"/>
        </w:rPr>
        <w:t>SCHWAB, R., HEGER, D., HOPPNER, B. and PERNICKA, E. (2006). THE PROVENANCE OF IRON ARTEFACTS FROM MANCHING: A MULTI-TECHNIQUE APPROACH*. Archaeometry, 48(3), pp.433-452.</w:t>
      </w:r>
    </w:p>
    <w:p w:rsidR="00330DF5" w:rsidRPr="004305E8" w:rsidRDefault="00330DF5" w:rsidP="00330DF5">
      <w:pPr>
        <w:rPr>
          <w:rFonts w:ascii="Times New Roman" w:hAnsi="Times New Roman" w:cs="Times New Roman"/>
        </w:rPr>
      </w:pPr>
      <w:r w:rsidRPr="004305E8">
        <w:rPr>
          <w:rFonts w:ascii="Times New Roman" w:hAnsi="Times New Roman" w:cs="Times New Roman"/>
        </w:rPr>
        <w:t xml:space="preserve">Swan, D. (2018) “THE CARNYX ON CELTIC AND ROMAN REPUBLICAN COINAGE,” The Antiquaries Journal. Cambridge University Press, 98, pp. 81–94. </w:t>
      </w:r>
      <w:proofErr w:type="spellStart"/>
      <w:r w:rsidRPr="004305E8">
        <w:rPr>
          <w:rFonts w:ascii="Times New Roman" w:hAnsi="Times New Roman" w:cs="Times New Roman"/>
        </w:rPr>
        <w:t>doi</w:t>
      </w:r>
      <w:proofErr w:type="spellEnd"/>
      <w:r w:rsidRPr="004305E8">
        <w:rPr>
          <w:rFonts w:ascii="Times New Roman" w:hAnsi="Times New Roman" w:cs="Times New Roman"/>
        </w:rPr>
        <w:t>: 10.1017/S0003581518000161.</w:t>
      </w:r>
    </w:p>
    <w:p w:rsidR="00330DF5" w:rsidRPr="004305E8" w:rsidRDefault="00330DF5" w:rsidP="00330DF5">
      <w:pPr>
        <w:rPr>
          <w:rFonts w:ascii="Times New Roman" w:hAnsi="Times New Roman" w:cs="Times New Roman"/>
        </w:rPr>
      </w:pPr>
      <w:r w:rsidRPr="004305E8">
        <w:rPr>
          <w:rFonts w:ascii="Times New Roman" w:hAnsi="Times New Roman" w:cs="Times New Roman"/>
        </w:rPr>
        <w:t xml:space="preserve">Wendling, H. (2013). </w:t>
      </w:r>
      <w:proofErr w:type="spellStart"/>
      <w:r w:rsidRPr="004305E8">
        <w:rPr>
          <w:rFonts w:ascii="Times New Roman" w:hAnsi="Times New Roman" w:cs="Times New Roman"/>
        </w:rPr>
        <w:t>Manching</w:t>
      </w:r>
      <w:proofErr w:type="spellEnd"/>
      <w:r w:rsidRPr="004305E8">
        <w:rPr>
          <w:rFonts w:ascii="Times New Roman" w:hAnsi="Times New Roman" w:cs="Times New Roman"/>
        </w:rPr>
        <w:t xml:space="preserve"> Reconsidered: New Perspectives on Settlement Dynamics and Urbanization in Iron Age Central Europe. European Journal of Archaeology, 16(3), pp.459-490.</w:t>
      </w:r>
    </w:p>
    <w:p w:rsidR="00330DF5" w:rsidRDefault="00330DF5" w:rsidP="00E01EC3">
      <w:pPr>
        <w:spacing w:line="480" w:lineRule="auto"/>
        <w:rPr>
          <w:rFonts w:ascii="Times New Roman" w:hAnsi="Times New Roman" w:cs="Times New Roman"/>
          <w:sz w:val="24"/>
        </w:rPr>
      </w:pPr>
    </w:p>
    <w:p w:rsidR="00721508" w:rsidRDefault="00721508" w:rsidP="00E01EC3">
      <w:pPr>
        <w:spacing w:line="480" w:lineRule="auto"/>
        <w:rPr>
          <w:rFonts w:ascii="Times New Roman" w:hAnsi="Times New Roman" w:cs="Times New Roman"/>
          <w:sz w:val="24"/>
        </w:rPr>
      </w:pPr>
    </w:p>
    <w:p w:rsidR="00721508" w:rsidRPr="00E01EC3" w:rsidRDefault="00721508" w:rsidP="00E01EC3">
      <w:pPr>
        <w:spacing w:line="480" w:lineRule="auto"/>
        <w:rPr>
          <w:rFonts w:ascii="Times New Roman" w:hAnsi="Times New Roman" w:cs="Times New Roman"/>
          <w:sz w:val="24"/>
        </w:rPr>
      </w:pPr>
    </w:p>
    <w:p w:rsidR="00E03580" w:rsidRPr="00E03580" w:rsidRDefault="00E03580" w:rsidP="00E03580">
      <w:pPr>
        <w:spacing w:line="480" w:lineRule="auto"/>
        <w:rPr>
          <w:rFonts w:ascii="Times New Roman" w:hAnsi="Times New Roman" w:cs="Times New Roman"/>
          <w:sz w:val="24"/>
        </w:rPr>
      </w:pPr>
    </w:p>
    <w:sectPr w:rsidR="00E03580" w:rsidRPr="00E035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7B23" w:rsidRDefault="003A7B23" w:rsidP="007E4338">
      <w:pPr>
        <w:spacing w:after="0" w:line="240" w:lineRule="auto"/>
      </w:pPr>
      <w:r>
        <w:separator/>
      </w:r>
    </w:p>
  </w:endnote>
  <w:endnote w:type="continuationSeparator" w:id="0">
    <w:p w:rsidR="003A7B23" w:rsidRDefault="003A7B23" w:rsidP="007E4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7B23" w:rsidRDefault="003A7B23" w:rsidP="007E4338">
      <w:pPr>
        <w:spacing w:after="0" w:line="240" w:lineRule="auto"/>
      </w:pPr>
      <w:r>
        <w:separator/>
      </w:r>
    </w:p>
  </w:footnote>
  <w:footnote w:type="continuationSeparator" w:id="0">
    <w:p w:rsidR="003A7B23" w:rsidRDefault="003A7B23" w:rsidP="007E4338">
      <w:pPr>
        <w:spacing w:after="0" w:line="240" w:lineRule="auto"/>
      </w:pPr>
      <w:r>
        <w:continuationSeparator/>
      </w:r>
    </w:p>
  </w:footnote>
  <w:footnote w:id="1">
    <w:p w:rsidR="004269C8" w:rsidRDefault="004269C8">
      <w:pPr>
        <w:pStyle w:val="FootnoteText"/>
      </w:pPr>
      <w:r>
        <w:rPr>
          <w:rStyle w:val="FootnoteReference"/>
        </w:rPr>
        <w:footnoteRef/>
      </w:r>
      <w:r>
        <w:t xml:space="preserve"> </w:t>
      </w:r>
      <w:r w:rsidRPr="004269C8">
        <w:rPr>
          <w:rFonts w:ascii="Times New Roman" w:hAnsi="Times New Roman" w:cs="Times New Roman"/>
          <w:color w:val="000000"/>
          <w:shd w:val="clear" w:color="auto" w:fill="FFFFFF"/>
        </w:rPr>
        <w:t>SCHWAB, R., HEGER, D., HOPPNER, B. and PERNICKA, E. (2006).</w:t>
      </w:r>
      <w:r w:rsidRPr="004269C8">
        <w:rPr>
          <w:rFonts w:ascii="Times New Roman" w:hAnsi="Times New Roman" w:cs="Times New Roman"/>
          <w:color w:val="000000"/>
          <w:shd w:val="clear" w:color="auto" w:fill="FFFFFF"/>
        </w:rPr>
        <w:t xml:space="preserve"> </w:t>
      </w:r>
      <w:proofErr w:type="spellStart"/>
      <w:r w:rsidRPr="004269C8">
        <w:rPr>
          <w:rFonts w:ascii="Times New Roman" w:hAnsi="Times New Roman" w:cs="Times New Roman"/>
          <w:color w:val="000000"/>
          <w:shd w:val="clear" w:color="auto" w:fill="FFFFFF"/>
        </w:rPr>
        <w:t>Pg</w:t>
      </w:r>
      <w:proofErr w:type="spellEnd"/>
      <w:r w:rsidRPr="004269C8">
        <w:rPr>
          <w:rFonts w:ascii="Times New Roman" w:hAnsi="Times New Roman" w:cs="Times New Roman"/>
          <w:color w:val="000000"/>
          <w:shd w:val="clear" w:color="auto" w:fill="FFFFFF"/>
        </w:rPr>
        <w:t xml:space="preserve"> 434</w:t>
      </w:r>
    </w:p>
  </w:footnote>
  <w:footnote w:id="2">
    <w:p w:rsidR="007E4338" w:rsidRDefault="007E4338">
      <w:pPr>
        <w:pStyle w:val="FootnoteText"/>
      </w:pPr>
      <w:r>
        <w:rPr>
          <w:rStyle w:val="FootnoteReference"/>
        </w:rPr>
        <w:footnoteRef/>
      </w:r>
      <w:r>
        <w:t xml:space="preserve"> </w:t>
      </w:r>
      <w:r w:rsidRPr="007E4338">
        <w:rPr>
          <w:rFonts w:ascii="Times New Roman" w:hAnsi="Times New Roman" w:cs="Times New Roman"/>
          <w:color w:val="000000"/>
          <w:szCs w:val="28"/>
          <w:shd w:val="clear" w:color="auto" w:fill="FFFFFF"/>
        </w:rPr>
        <w:t xml:space="preserve">Wendling, H. (2013). </w:t>
      </w:r>
      <w:r w:rsidR="00F4672A">
        <w:rPr>
          <w:rFonts w:ascii="Times New Roman" w:hAnsi="Times New Roman" w:cs="Times New Roman"/>
          <w:color w:val="000000"/>
          <w:szCs w:val="28"/>
          <w:shd w:val="clear" w:color="auto" w:fill="FFFFFF"/>
        </w:rPr>
        <w:t>Pg.460</w:t>
      </w:r>
    </w:p>
  </w:footnote>
  <w:footnote w:id="3">
    <w:p w:rsidR="00755446" w:rsidRDefault="00755446" w:rsidP="00755446">
      <w:pPr>
        <w:pStyle w:val="FootnoteText"/>
      </w:pPr>
      <w:r>
        <w:rPr>
          <w:rStyle w:val="FootnoteReference"/>
        </w:rPr>
        <w:footnoteRef/>
      </w:r>
      <w:r>
        <w:t xml:space="preserve"> </w:t>
      </w:r>
      <w:r w:rsidRPr="007E4338">
        <w:rPr>
          <w:rFonts w:ascii="Times New Roman" w:hAnsi="Times New Roman" w:cs="Times New Roman"/>
          <w:color w:val="000000"/>
          <w:szCs w:val="28"/>
          <w:shd w:val="clear" w:color="auto" w:fill="FFFFFF"/>
        </w:rPr>
        <w:t xml:space="preserve">Wendling, H. (2013). </w:t>
      </w:r>
      <w:r>
        <w:rPr>
          <w:rFonts w:ascii="Times New Roman" w:hAnsi="Times New Roman" w:cs="Times New Roman"/>
          <w:color w:val="000000"/>
          <w:szCs w:val="28"/>
          <w:shd w:val="clear" w:color="auto" w:fill="FFFFFF"/>
        </w:rPr>
        <w:t>Pg.472</w:t>
      </w:r>
    </w:p>
  </w:footnote>
  <w:footnote w:id="4">
    <w:p w:rsidR="00755446" w:rsidRDefault="00755446" w:rsidP="00755446">
      <w:pPr>
        <w:pStyle w:val="FootnoteText"/>
      </w:pPr>
      <w:r>
        <w:rPr>
          <w:rStyle w:val="FootnoteReference"/>
        </w:rPr>
        <w:footnoteRef/>
      </w:r>
      <w:r>
        <w:t xml:space="preserve"> </w:t>
      </w:r>
      <w:r w:rsidRPr="00755446">
        <w:rPr>
          <w:rFonts w:ascii="Times New Roman" w:hAnsi="Times New Roman" w:cs="Times New Roman"/>
          <w:color w:val="000000"/>
          <w:szCs w:val="28"/>
          <w:shd w:val="clear" w:color="auto" w:fill="FFFFFF"/>
        </w:rPr>
        <w:t>Swan, D. (2018)</w:t>
      </w:r>
    </w:p>
  </w:footnote>
  <w:footnote w:id="5">
    <w:p w:rsidR="000471AE" w:rsidRDefault="000471AE">
      <w:pPr>
        <w:pStyle w:val="FootnoteText"/>
      </w:pPr>
      <w:r>
        <w:rPr>
          <w:rStyle w:val="FootnoteReference"/>
        </w:rPr>
        <w:footnoteRef/>
      </w:r>
      <w:r>
        <w:t xml:space="preserve"> </w:t>
      </w:r>
      <w:proofErr w:type="spellStart"/>
      <w:r w:rsidRPr="000471AE">
        <w:rPr>
          <w:rFonts w:ascii="Times New Roman" w:hAnsi="Times New Roman" w:cs="Times New Roman"/>
          <w:color w:val="000000"/>
          <w:shd w:val="clear" w:color="auto" w:fill="FFFFFF"/>
        </w:rPr>
        <w:t>Gebhard</w:t>
      </w:r>
      <w:proofErr w:type="spellEnd"/>
      <w:r w:rsidRPr="000471AE">
        <w:rPr>
          <w:rFonts w:ascii="Times New Roman" w:hAnsi="Times New Roman" w:cs="Times New Roman"/>
          <w:color w:val="000000"/>
          <w:shd w:val="clear" w:color="auto" w:fill="FFFFFF"/>
        </w:rPr>
        <w:t xml:space="preserve">, R., </w:t>
      </w:r>
      <w:proofErr w:type="spellStart"/>
      <w:r w:rsidRPr="000471AE">
        <w:rPr>
          <w:rFonts w:ascii="Times New Roman" w:hAnsi="Times New Roman" w:cs="Times New Roman"/>
          <w:color w:val="000000"/>
          <w:shd w:val="clear" w:color="auto" w:fill="FFFFFF"/>
        </w:rPr>
        <w:t>Bott</w:t>
      </w:r>
      <w:proofErr w:type="spellEnd"/>
      <w:r w:rsidRPr="000471AE">
        <w:rPr>
          <w:rFonts w:ascii="Times New Roman" w:hAnsi="Times New Roman" w:cs="Times New Roman"/>
          <w:color w:val="000000"/>
          <w:shd w:val="clear" w:color="auto" w:fill="FFFFFF"/>
        </w:rPr>
        <w:t xml:space="preserve">, R., Distler, N., </w:t>
      </w:r>
      <w:proofErr w:type="spellStart"/>
      <w:r w:rsidRPr="000471AE">
        <w:rPr>
          <w:rFonts w:ascii="Times New Roman" w:hAnsi="Times New Roman" w:cs="Times New Roman"/>
          <w:color w:val="000000"/>
          <w:shd w:val="clear" w:color="auto" w:fill="FFFFFF"/>
        </w:rPr>
        <w:t>Michàlek</w:t>
      </w:r>
      <w:proofErr w:type="spellEnd"/>
      <w:r w:rsidRPr="000471AE">
        <w:rPr>
          <w:rFonts w:ascii="Times New Roman" w:hAnsi="Times New Roman" w:cs="Times New Roman"/>
          <w:color w:val="000000"/>
          <w:shd w:val="clear" w:color="auto" w:fill="FFFFFF"/>
        </w:rPr>
        <w:t xml:space="preserve">, J., </w:t>
      </w:r>
      <w:proofErr w:type="spellStart"/>
      <w:r w:rsidRPr="000471AE">
        <w:rPr>
          <w:rFonts w:ascii="Times New Roman" w:hAnsi="Times New Roman" w:cs="Times New Roman"/>
          <w:color w:val="000000"/>
          <w:shd w:val="clear" w:color="auto" w:fill="FFFFFF"/>
        </w:rPr>
        <w:t>Riederer</w:t>
      </w:r>
      <w:proofErr w:type="spellEnd"/>
      <w:r w:rsidRPr="000471AE">
        <w:rPr>
          <w:rFonts w:ascii="Times New Roman" w:hAnsi="Times New Roman" w:cs="Times New Roman"/>
          <w:color w:val="000000"/>
          <w:shd w:val="clear" w:color="auto" w:fill="FFFFFF"/>
        </w:rPr>
        <w:t>, J., Wagner, F. and Wagner, U. (2004).</w:t>
      </w:r>
      <w:r w:rsidRPr="000471AE">
        <w:rPr>
          <w:rFonts w:ascii="Times New Roman" w:hAnsi="Times New Roman" w:cs="Times New Roman"/>
          <w:color w:val="000000"/>
          <w:shd w:val="clear" w:color="auto" w:fill="FFFFFF"/>
        </w:rPr>
        <w:t xml:space="preserve"> Pg212</w:t>
      </w:r>
    </w:p>
  </w:footnote>
  <w:footnote w:id="6">
    <w:p w:rsidR="005E69AD" w:rsidRDefault="005E69AD">
      <w:pPr>
        <w:pStyle w:val="FootnoteText"/>
      </w:pPr>
      <w:r>
        <w:rPr>
          <w:rStyle w:val="FootnoteReference"/>
        </w:rPr>
        <w:footnoteRef/>
      </w:r>
      <w:r>
        <w:t xml:space="preserve"> </w:t>
      </w:r>
      <w:proofErr w:type="spellStart"/>
      <w:r>
        <w:rPr>
          <w:rFonts w:ascii="Arial" w:hAnsi="Arial" w:cs="Arial"/>
          <w:color w:val="000000"/>
          <w:shd w:val="clear" w:color="auto" w:fill="FFFFFF"/>
        </w:rPr>
        <w:t>Gebhard</w:t>
      </w:r>
      <w:proofErr w:type="spellEnd"/>
      <w:r>
        <w:rPr>
          <w:rFonts w:ascii="Arial" w:hAnsi="Arial" w:cs="Arial"/>
          <w:color w:val="000000"/>
          <w:shd w:val="clear" w:color="auto" w:fill="FFFFFF"/>
        </w:rPr>
        <w:t xml:space="preserve">, R., </w:t>
      </w:r>
      <w:proofErr w:type="spellStart"/>
      <w:r>
        <w:rPr>
          <w:rFonts w:ascii="Arial" w:hAnsi="Arial" w:cs="Arial"/>
          <w:color w:val="000000"/>
          <w:shd w:val="clear" w:color="auto" w:fill="FFFFFF"/>
        </w:rPr>
        <w:t>Lehrberger</w:t>
      </w:r>
      <w:proofErr w:type="spellEnd"/>
      <w:r>
        <w:rPr>
          <w:rFonts w:ascii="Arial" w:hAnsi="Arial" w:cs="Arial"/>
          <w:color w:val="000000"/>
          <w:shd w:val="clear" w:color="auto" w:fill="FFFFFF"/>
        </w:rPr>
        <w:t xml:space="preserve">, G., </w:t>
      </w:r>
      <w:proofErr w:type="spellStart"/>
      <w:r>
        <w:rPr>
          <w:rFonts w:ascii="Arial" w:hAnsi="Arial" w:cs="Arial"/>
          <w:color w:val="000000"/>
          <w:shd w:val="clear" w:color="auto" w:fill="FFFFFF"/>
        </w:rPr>
        <w:t>Morteani</w:t>
      </w:r>
      <w:proofErr w:type="spellEnd"/>
      <w:r>
        <w:rPr>
          <w:rFonts w:ascii="Arial" w:hAnsi="Arial" w:cs="Arial"/>
          <w:color w:val="000000"/>
          <w:shd w:val="clear" w:color="auto" w:fill="FFFFFF"/>
        </w:rPr>
        <w:t xml:space="preserve">, G., </w:t>
      </w:r>
      <w:proofErr w:type="spellStart"/>
      <w:r>
        <w:rPr>
          <w:rFonts w:ascii="Arial" w:hAnsi="Arial" w:cs="Arial"/>
          <w:color w:val="000000"/>
          <w:shd w:val="clear" w:color="auto" w:fill="FFFFFF"/>
        </w:rPr>
        <w:t>Raub</w:t>
      </w:r>
      <w:proofErr w:type="spellEnd"/>
      <w:r>
        <w:rPr>
          <w:rFonts w:ascii="Arial" w:hAnsi="Arial" w:cs="Arial"/>
          <w:color w:val="000000"/>
          <w:shd w:val="clear" w:color="auto" w:fill="FFFFFF"/>
        </w:rPr>
        <w:t>, C., Wagner, F. and Wagner, U. (1995).</w:t>
      </w:r>
    </w:p>
  </w:footnote>
  <w:footnote w:id="7">
    <w:p w:rsidR="00812A77" w:rsidRDefault="00812A77">
      <w:pPr>
        <w:pStyle w:val="FootnoteText"/>
      </w:pPr>
      <w:r>
        <w:rPr>
          <w:rStyle w:val="FootnoteReference"/>
        </w:rPr>
        <w:footnoteRef/>
      </w:r>
      <w:r>
        <w:t xml:space="preserve"> </w:t>
      </w:r>
      <w:r w:rsidRPr="00812A77">
        <w:rPr>
          <w:rFonts w:ascii="Times New Roman" w:hAnsi="Times New Roman" w:cs="Times New Roman"/>
          <w:color w:val="000000"/>
          <w:szCs w:val="28"/>
          <w:shd w:val="clear" w:color="auto" w:fill="FFFFFF"/>
        </w:rPr>
        <w:t>Wendling, H. (2013).</w:t>
      </w:r>
    </w:p>
  </w:footnote>
  <w:footnote w:id="8">
    <w:p w:rsidR="00FF4F7D" w:rsidRDefault="00FF4F7D">
      <w:pPr>
        <w:pStyle w:val="FootnoteText"/>
      </w:pPr>
      <w:r>
        <w:rPr>
          <w:rStyle w:val="FootnoteReference"/>
        </w:rPr>
        <w:footnoteRef/>
      </w:r>
      <w:r>
        <w:t xml:space="preserve"> Ibid.</w:t>
      </w:r>
    </w:p>
  </w:footnote>
  <w:footnote w:id="9">
    <w:p w:rsidR="004F2063" w:rsidRDefault="004F2063">
      <w:pPr>
        <w:pStyle w:val="FootnoteText"/>
      </w:pPr>
      <w:r>
        <w:rPr>
          <w:rStyle w:val="FootnoteReference"/>
        </w:rPr>
        <w:footnoteRef/>
      </w:r>
      <w:r>
        <w:t xml:space="preserve"> </w:t>
      </w:r>
      <w:r w:rsidRPr="004F2063">
        <w:rPr>
          <w:rFonts w:ascii="Times New Roman" w:hAnsi="Times New Roman" w:cs="Times New Roman"/>
          <w:shd w:val="clear" w:color="auto" w:fill="F5F5F5"/>
        </w:rPr>
        <w:t>Hambleton, V. and Porter, C. (2001</w:t>
      </w:r>
      <w:r>
        <w:rPr>
          <w:rFonts w:ascii="Helvetica" w:hAnsi="Helvetica"/>
          <w:color w:val="333333"/>
          <w:shd w:val="clear" w:color="auto" w:fill="F5F5F5"/>
        </w:rPr>
        <w:t>)</w:t>
      </w:r>
    </w:p>
  </w:footnote>
  <w:footnote w:id="10">
    <w:p w:rsidR="00C214A8" w:rsidRDefault="00C214A8">
      <w:pPr>
        <w:pStyle w:val="FootnoteText"/>
      </w:pPr>
      <w:r>
        <w:rPr>
          <w:rStyle w:val="FootnoteReference"/>
        </w:rPr>
        <w:footnoteRef/>
      </w:r>
      <w:r>
        <w:t xml:space="preserve"> </w:t>
      </w:r>
      <w:r w:rsidRPr="007E4338">
        <w:rPr>
          <w:rFonts w:ascii="Times New Roman" w:hAnsi="Times New Roman" w:cs="Times New Roman"/>
          <w:color w:val="000000"/>
          <w:szCs w:val="28"/>
          <w:shd w:val="clear" w:color="auto" w:fill="FFFFFF"/>
        </w:rPr>
        <w:t xml:space="preserve">Wendling, H. (2013). </w:t>
      </w:r>
      <w:r>
        <w:rPr>
          <w:rFonts w:ascii="Times New Roman" w:hAnsi="Times New Roman" w:cs="Times New Roman"/>
          <w:color w:val="000000"/>
          <w:szCs w:val="28"/>
          <w:shd w:val="clear" w:color="auto" w:fill="FFFFFF"/>
        </w:rPr>
        <w:t>Pg.4</w:t>
      </w:r>
      <w:r>
        <w:rPr>
          <w:rFonts w:ascii="Times New Roman" w:hAnsi="Times New Roman" w:cs="Times New Roman"/>
          <w:color w:val="000000"/>
          <w:szCs w:val="28"/>
          <w:shd w:val="clear" w:color="auto" w:fill="FFFFFF"/>
        </w:rPr>
        <w:t>67</w:t>
      </w:r>
    </w:p>
  </w:footnote>
  <w:footnote w:id="11">
    <w:p w:rsidR="00C214A8" w:rsidRDefault="00C214A8">
      <w:pPr>
        <w:pStyle w:val="FootnoteText"/>
      </w:pPr>
      <w:r>
        <w:rPr>
          <w:rStyle w:val="FootnoteReference"/>
        </w:rPr>
        <w:footnoteRef/>
      </w:r>
      <w:r>
        <w:t xml:space="preserve"> </w:t>
      </w:r>
      <w:proofErr w:type="spellStart"/>
      <w:r w:rsidRPr="00C214A8">
        <w:rPr>
          <w:rFonts w:ascii="Times New Roman" w:hAnsi="Times New Roman" w:cs="Times New Roman"/>
          <w:color w:val="000000"/>
          <w:szCs w:val="28"/>
          <w:shd w:val="clear" w:color="auto" w:fill="FFFFFF"/>
        </w:rPr>
        <w:t>Garrow</w:t>
      </w:r>
      <w:proofErr w:type="spellEnd"/>
      <w:r w:rsidRPr="00C214A8">
        <w:rPr>
          <w:rFonts w:ascii="Times New Roman" w:hAnsi="Times New Roman" w:cs="Times New Roman"/>
          <w:color w:val="000000"/>
          <w:szCs w:val="28"/>
          <w:shd w:val="clear" w:color="auto" w:fill="FFFFFF"/>
        </w:rPr>
        <w:t xml:space="preserve">, D. and </w:t>
      </w:r>
      <w:proofErr w:type="spellStart"/>
      <w:r w:rsidRPr="00C214A8">
        <w:rPr>
          <w:rFonts w:ascii="Times New Roman" w:hAnsi="Times New Roman" w:cs="Times New Roman"/>
          <w:color w:val="000000"/>
          <w:szCs w:val="28"/>
          <w:shd w:val="clear" w:color="auto" w:fill="FFFFFF"/>
        </w:rPr>
        <w:t>Gosden</w:t>
      </w:r>
      <w:proofErr w:type="spellEnd"/>
      <w:r w:rsidRPr="00C214A8">
        <w:rPr>
          <w:rFonts w:ascii="Times New Roman" w:hAnsi="Times New Roman" w:cs="Times New Roman"/>
          <w:color w:val="000000"/>
          <w:szCs w:val="28"/>
          <w:shd w:val="clear" w:color="auto" w:fill="FFFFFF"/>
        </w:rPr>
        <w:t>, C. (2012).</w:t>
      </w:r>
      <w:r>
        <w:rPr>
          <w:rFonts w:ascii="Times New Roman" w:hAnsi="Times New Roman" w:cs="Times New Roman"/>
          <w:color w:val="000000"/>
          <w:szCs w:val="28"/>
          <w:shd w:val="clear" w:color="auto" w:fill="FFFFFF"/>
        </w:rPr>
        <w:t xml:space="preserve"> </w:t>
      </w:r>
      <w:r w:rsidRPr="00C214A8">
        <w:rPr>
          <w:rFonts w:ascii="Times New Roman" w:hAnsi="Times New Roman" w:cs="Times New Roman"/>
          <w:color w:val="000000"/>
          <w:szCs w:val="28"/>
          <w:shd w:val="clear" w:color="auto" w:fill="FFFFFF"/>
        </w:rPr>
        <w:t>Pg</w:t>
      </w:r>
      <w:r>
        <w:rPr>
          <w:rFonts w:ascii="Times New Roman" w:hAnsi="Times New Roman" w:cs="Times New Roman"/>
          <w:color w:val="000000"/>
          <w:szCs w:val="28"/>
          <w:shd w:val="clear" w:color="auto" w:fill="FFFFFF"/>
        </w:rPr>
        <w:t>.</w:t>
      </w:r>
      <w:r w:rsidRPr="00C214A8">
        <w:rPr>
          <w:rFonts w:ascii="Times New Roman" w:hAnsi="Times New Roman" w:cs="Times New Roman"/>
          <w:color w:val="000000"/>
          <w:szCs w:val="28"/>
          <w:shd w:val="clear" w:color="auto" w:fill="FFFFFF"/>
        </w:rPr>
        <w:t>118</w:t>
      </w:r>
    </w:p>
  </w:footnote>
  <w:footnote w:id="12">
    <w:p w:rsidR="003060F3" w:rsidRDefault="003060F3">
      <w:pPr>
        <w:pStyle w:val="FootnoteText"/>
      </w:pPr>
      <w:r>
        <w:rPr>
          <w:rStyle w:val="FootnoteReference"/>
        </w:rPr>
        <w:footnoteRef/>
      </w:r>
      <w:r>
        <w:t xml:space="preserve"> </w:t>
      </w:r>
      <w:r w:rsidR="009D1487" w:rsidRPr="009D1487">
        <w:rPr>
          <w:rFonts w:ascii="Times New Roman" w:hAnsi="Times New Roman" w:cs="Times New Roman"/>
        </w:rPr>
        <w:t>Wendling, H. (2013). Pg.467</w:t>
      </w:r>
    </w:p>
  </w:footnote>
  <w:footnote w:id="13">
    <w:p w:rsidR="009D1487" w:rsidRDefault="009D1487">
      <w:pPr>
        <w:pStyle w:val="FootnoteText"/>
      </w:pPr>
      <w:r>
        <w:rPr>
          <w:rStyle w:val="FootnoteReference"/>
        </w:rPr>
        <w:footnoteRef/>
      </w:r>
      <w:r>
        <w:t xml:space="preserve"> </w:t>
      </w:r>
      <w:proofErr w:type="spellStart"/>
      <w:r w:rsidRPr="00C214A8">
        <w:rPr>
          <w:rFonts w:ascii="Times New Roman" w:hAnsi="Times New Roman" w:cs="Times New Roman"/>
          <w:color w:val="000000"/>
          <w:szCs w:val="28"/>
          <w:shd w:val="clear" w:color="auto" w:fill="FFFFFF"/>
        </w:rPr>
        <w:t>Garrow</w:t>
      </w:r>
      <w:proofErr w:type="spellEnd"/>
      <w:r w:rsidRPr="00C214A8">
        <w:rPr>
          <w:rFonts w:ascii="Times New Roman" w:hAnsi="Times New Roman" w:cs="Times New Roman"/>
          <w:color w:val="000000"/>
          <w:szCs w:val="28"/>
          <w:shd w:val="clear" w:color="auto" w:fill="FFFFFF"/>
        </w:rPr>
        <w:t xml:space="preserve">, D. and </w:t>
      </w:r>
      <w:proofErr w:type="spellStart"/>
      <w:r w:rsidRPr="00C214A8">
        <w:rPr>
          <w:rFonts w:ascii="Times New Roman" w:hAnsi="Times New Roman" w:cs="Times New Roman"/>
          <w:color w:val="000000"/>
          <w:szCs w:val="28"/>
          <w:shd w:val="clear" w:color="auto" w:fill="FFFFFF"/>
        </w:rPr>
        <w:t>Gosden</w:t>
      </w:r>
      <w:proofErr w:type="spellEnd"/>
      <w:r w:rsidRPr="00C214A8">
        <w:rPr>
          <w:rFonts w:ascii="Times New Roman" w:hAnsi="Times New Roman" w:cs="Times New Roman"/>
          <w:color w:val="000000"/>
          <w:szCs w:val="28"/>
          <w:shd w:val="clear" w:color="auto" w:fill="FFFFFF"/>
        </w:rPr>
        <w:t>, C. (2012).</w:t>
      </w:r>
      <w:r>
        <w:rPr>
          <w:rFonts w:ascii="Times New Roman" w:hAnsi="Times New Roman" w:cs="Times New Roman"/>
          <w:color w:val="000000"/>
          <w:szCs w:val="28"/>
          <w:shd w:val="clear" w:color="auto" w:fill="FFFFFF"/>
        </w:rPr>
        <w:t xml:space="preserve"> </w:t>
      </w:r>
      <w:r w:rsidRPr="00C214A8">
        <w:rPr>
          <w:rFonts w:ascii="Times New Roman" w:hAnsi="Times New Roman" w:cs="Times New Roman"/>
          <w:color w:val="000000"/>
          <w:szCs w:val="28"/>
          <w:shd w:val="clear" w:color="auto" w:fill="FFFFFF"/>
        </w:rPr>
        <w:t>Pg</w:t>
      </w:r>
      <w:r>
        <w:rPr>
          <w:rFonts w:ascii="Times New Roman" w:hAnsi="Times New Roman" w:cs="Times New Roman"/>
          <w:color w:val="000000"/>
          <w:szCs w:val="28"/>
          <w:shd w:val="clear" w:color="auto" w:fill="FFFFFF"/>
        </w:rPr>
        <w:t>.</w:t>
      </w:r>
      <w:r w:rsidRPr="00C214A8">
        <w:rPr>
          <w:rFonts w:ascii="Times New Roman" w:hAnsi="Times New Roman" w:cs="Times New Roman"/>
          <w:color w:val="000000"/>
          <w:szCs w:val="28"/>
          <w:shd w:val="clear" w:color="auto" w:fill="FFFFFF"/>
        </w:rPr>
        <w:t>118</w:t>
      </w:r>
    </w:p>
  </w:footnote>
  <w:footnote w:id="14">
    <w:p w:rsidR="00167B60" w:rsidRDefault="00167B60" w:rsidP="00167B60">
      <w:pPr>
        <w:pStyle w:val="FootnoteText"/>
      </w:pPr>
      <w:r>
        <w:rPr>
          <w:rStyle w:val="FootnoteReference"/>
        </w:rPr>
        <w:footnoteRef/>
      </w:r>
      <w:r>
        <w:t xml:space="preserve"> </w:t>
      </w:r>
      <w:r w:rsidRPr="007E4338">
        <w:rPr>
          <w:rFonts w:ascii="Times New Roman" w:hAnsi="Times New Roman" w:cs="Times New Roman"/>
          <w:color w:val="000000"/>
          <w:szCs w:val="28"/>
          <w:shd w:val="clear" w:color="auto" w:fill="FFFFFF"/>
        </w:rPr>
        <w:t xml:space="preserve">Wendling, H. (2013). </w:t>
      </w:r>
      <w:r>
        <w:rPr>
          <w:rFonts w:ascii="Times New Roman" w:hAnsi="Times New Roman" w:cs="Times New Roman"/>
          <w:color w:val="000000"/>
          <w:szCs w:val="28"/>
          <w:shd w:val="clear" w:color="auto" w:fill="FFFFFF"/>
        </w:rPr>
        <w:t>Pg.4</w:t>
      </w:r>
      <w:r>
        <w:rPr>
          <w:rFonts w:ascii="Times New Roman" w:hAnsi="Times New Roman" w:cs="Times New Roman"/>
          <w:color w:val="000000"/>
          <w:szCs w:val="28"/>
          <w:shd w:val="clear" w:color="auto" w:fill="FFFFFF"/>
        </w:rPr>
        <w:t>81</w:t>
      </w:r>
    </w:p>
    <w:p w:rsidR="00167B60" w:rsidRDefault="00167B6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9F5010"/>
    <w:multiLevelType w:val="hybridMultilevel"/>
    <w:tmpl w:val="85CED23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137"/>
    <w:rsid w:val="00035AD0"/>
    <w:rsid w:val="000471AE"/>
    <w:rsid w:val="000B6E41"/>
    <w:rsid w:val="00167B60"/>
    <w:rsid w:val="001D2A5E"/>
    <w:rsid w:val="003060F3"/>
    <w:rsid w:val="00330DF5"/>
    <w:rsid w:val="00356DE6"/>
    <w:rsid w:val="003A6150"/>
    <w:rsid w:val="003A7B23"/>
    <w:rsid w:val="004269C8"/>
    <w:rsid w:val="004C6F93"/>
    <w:rsid w:val="004F2063"/>
    <w:rsid w:val="0055214B"/>
    <w:rsid w:val="005E69AD"/>
    <w:rsid w:val="00681E4D"/>
    <w:rsid w:val="00721508"/>
    <w:rsid w:val="00755446"/>
    <w:rsid w:val="007E4338"/>
    <w:rsid w:val="00812A77"/>
    <w:rsid w:val="00893137"/>
    <w:rsid w:val="009D1487"/>
    <w:rsid w:val="00C214A8"/>
    <w:rsid w:val="00CE1A1E"/>
    <w:rsid w:val="00D61D5B"/>
    <w:rsid w:val="00E01EC3"/>
    <w:rsid w:val="00E03580"/>
    <w:rsid w:val="00F4672A"/>
    <w:rsid w:val="00FF4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D123D"/>
  <w15:chartTrackingRefBased/>
  <w15:docId w15:val="{F2835F6E-3C87-4BC8-BA4F-CDFACEBD0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43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4338"/>
    <w:rPr>
      <w:sz w:val="20"/>
      <w:szCs w:val="20"/>
    </w:rPr>
  </w:style>
  <w:style w:type="character" w:styleId="FootnoteReference">
    <w:name w:val="footnote reference"/>
    <w:basedOn w:val="DefaultParagraphFont"/>
    <w:uiPriority w:val="99"/>
    <w:semiHidden/>
    <w:unhideWhenUsed/>
    <w:rsid w:val="007E4338"/>
    <w:rPr>
      <w:vertAlign w:val="superscript"/>
    </w:rPr>
  </w:style>
  <w:style w:type="paragraph" w:styleId="EndnoteText">
    <w:name w:val="endnote text"/>
    <w:basedOn w:val="Normal"/>
    <w:link w:val="EndnoteTextChar"/>
    <w:uiPriority w:val="99"/>
    <w:semiHidden/>
    <w:unhideWhenUsed/>
    <w:rsid w:val="00FF4F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4F7D"/>
    <w:rPr>
      <w:sz w:val="20"/>
      <w:szCs w:val="20"/>
    </w:rPr>
  </w:style>
  <w:style w:type="character" w:styleId="EndnoteReference">
    <w:name w:val="endnote reference"/>
    <w:basedOn w:val="DefaultParagraphFont"/>
    <w:uiPriority w:val="99"/>
    <w:semiHidden/>
    <w:unhideWhenUsed/>
    <w:rsid w:val="00FF4F7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5934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009BC-1F54-4821-8EBE-11BDA7227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6</Pages>
  <Words>1315</Words>
  <Characters>7497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Anthony Mcdonald</cp:lastModifiedBy>
  <cp:revision>1</cp:revision>
  <dcterms:created xsi:type="dcterms:W3CDTF">2019-02-03T13:17:00Z</dcterms:created>
  <dcterms:modified xsi:type="dcterms:W3CDTF">2019-02-03T23:00:00Z</dcterms:modified>
</cp:coreProperties>
</file>