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FFAF19" w14:textId="77777777" w:rsidR="005F292A" w:rsidRDefault="00000000" w:rsidP="00B74B4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4FFEDEF7" wp14:editId="7FBC7F85">
            <wp:extent cx="2366645" cy="100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2366963" cy="1003537"/>
                    </a:xfrm>
                    <a:prstGeom prst="rect">
                      <a:avLst/>
                    </a:prstGeom>
                  </pic:spPr>
                </pic:pic>
              </a:graphicData>
            </a:graphic>
          </wp:inline>
        </w:drawing>
      </w:r>
    </w:p>
    <w:p w14:paraId="31ED567B" w14:textId="77777777" w:rsidR="005F292A"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BA(HONS) INTERNATIONAL HOTEL MANAGEMENT</w:t>
      </w:r>
    </w:p>
    <w:p w14:paraId="791B8505" w14:textId="77777777" w:rsidR="005F292A"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ORGANISATIONAL CONSULTANCY</w:t>
      </w:r>
    </w:p>
    <w:p w14:paraId="2FCB16F0" w14:textId="77777777" w:rsidR="005F292A"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BMIH6005</w:t>
      </w:r>
    </w:p>
    <w:p w14:paraId="1D3BD446" w14:textId="77777777" w:rsidR="005F292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Consultancy Report</w:t>
      </w:r>
    </w:p>
    <w:p w14:paraId="1B4B482A" w14:textId="40B689A3" w:rsidR="005F292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Hotel Name: Hilton London Bankside</w:t>
      </w:r>
      <w:r>
        <w:rPr>
          <w:rFonts w:ascii="Times New Roman" w:eastAsia="Times New Roman" w:hAnsi="Times New Roman" w:cs="Times New Roman"/>
          <w:b/>
          <w:sz w:val="32"/>
          <w:szCs w:val="32"/>
        </w:rPr>
        <w:br/>
        <w:t xml:space="preserve">Consultancy Firm: </w:t>
      </w:r>
      <w:proofErr w:type="spellStart"/>
      <w:r>
        <w:rPr>
          <w:rFonts w:ascii="Times New Roman" w:eastAsia="Times New Roman" w:hAnsi="Times New Roman" w:cs="Times New Roman"/>
          <w:b/>
          <w:sz w:val="32"/>
          <w:szCs w:val="32"/>
        </w:rPr>
        <w:t>ProFusion</w:t>
      </w:r>
      <w:proofErr w:type="spellEnd"/>
      <w:r>
        <w:rPr>
          <w:rFonts w:ascii="Times New Roman" w:eastAsia="Times New Roman" w:hAnsi="Times New Roman" w:cs="Times New Roman"/>
          <w:b/>
          <w:sz w:val="32"/>
          <w:szCs w:val="32"/>
        </w:rPr>
        <w:t xml:space="preserve"> Hospitality Consultants</w:t>
      </w:r>
    </w:p>
    <w:p w14:paraId="2866E10D" w14:textId="6FF01A91" w:rsidR="00B74B47" w:rsidRDefault="00B74B47" w:rsidP="00B74B47">
      <w:pPr>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0" distB="0" distL="0" distR="0" wp14:anchorId="39A4A85A" wp14:editId="69381DF7">
            <wp:extent cx="2037715" cy="1698748"/>
            <wp:effectExtent l="0" t="0" r="0" b="3175"/>
            <wp:docPr id="326653297" name="Picture 1" descr="A logo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53297" name="Picture 1" descr="A logo with white dot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3939" cy="1745619"/>
                    </a:xfrm>
                    <a:prstGeom prst="rect">
                      <a:avLst/>
                    </a:prstGeom>
                  </pic:spPr>
                </pic:pic>
              </a:graphicData>
            </a:graphic>
          </wp:inline>
        </w:drawing>
      </w:r>
    </w:p>
    <w:p w14:paraId="755A816C" w14:textId="77777777" w:rsidR="00B74B47" w:rsidRDefault="00B74B47" w:rsidP="00776933">
      <w:pPr>
        <w:rPr>
          <w:rFonts w:ascii="Times New Roman" w:eastAsia="Times New Roman" w:hAnsi="Times New Roman" w:cs="Times New Roman"/>
          <w:b/>
          <w:sz w:val="28"/>
          <w:szCs w:val="28"/>
        </w:rPr>
      </w:pPr>
    </w:p>
    <w:p w14:paraId="08CEB381" w14:textId="35CB1665" w:rsidR="00B9161D" w:rsidRDefault="00B9161D" w:rsidP="00B74B47">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name: Elena </w:t>
      </w:r>
      <w:proofErr w:type="spellStart"/>
      <w:r>
        <w:rPr>
          <w:rFonts w:ascii="Times New Roman" w:eastAsia="Times New Roman" w:hAnsi="Times New Roman" w:cs="Times New Roman"/>
          <w:b/>
          <w:sz w:val="28"/>
          <w:szCs w:val="28"/>
        </w:rPr>
        <w:t>Caragicu</w:t>
      </w:r>
      <w:proofErr w:type="spellEnd"/>
      <w:r>
        <w:rPr>
          <w:rFonts w:ascii="Times New Roman" w:eastAsia="Times New Roman" w:hAnsi="Times New Roman" w:cs="Times New Roman"/>
          <w:b/>
          <w:sz w:val="28"/>
          <w:szCs w:val="28"/>
        </w:rPr>
        <w:br/>
        <w:t>Student ID: 2244881</w:t>
      </w:r>
      <w:r>
        <w:rPr>
          <w:rFonts w:ascii="Times New Roman" w:eastAsia="Times New Roman" w:hAnsi="Times New Roman" w:cs="Times New Roman"/>
          <w:b/>
          <w:sz w:val="28"/>
          <w:szCs w:val="28"/>
        </w:rPr>
        <w:br/>
      </w:r>
    </w:p>
    <w:p w14:paraId="7FB8ACED" w14:textId="2BAF8D5B" w:rsidR="005F292A" w:rsidRDefault="00000000" w:rsidP="00B9161D">
      <w:pPr>
        <w:jc w:val="center"/>
        <w:rPr>
          <w:rFonts w:ascii="Times New Roman" w:eastAsia="Times New Roman" w:hAnsi="Times New Roman" w:cs="Times New Roman"/>
          <w:b/>
          <w:sz w:val="32"/>
          <w:szCs w:val="32"/>
        </w:rPr>
      </w:pPr>
      <w:r>
        <w:rPr>
          <w:rFonts w:ascii="Times New Roman" w:eastAsia="Times New Roman" w:hAnsi="Times New Roman" w:cs="Times New Roman"/>
          <w:b/>
          <w:sz w:val="28"/>
          <w:szCs w:val="28"/>
        </w:rPr>
        <w:t>AI Declaration</w:t>
      </w:r>
    </w:p>
    <w:p w14:paraId="237C0E03" w14:textId="198F1BD2" w:rsidR="005F292A" w:rsidRDefault="0077693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sz w:val="24"/>
          <w:szCs w:val="24"/>
        </w:rPr>
        <w:t>I confirm that I have not used any AI tools in the research and the creation of this assignment. I confirm that I have not presented any generated materials as my own work. I confirm that I have copies of my drafts, notes, and other resources I used, which I may be asked to provide in evidence.</w:t>
      </w:r>
      <w:r w:rsidR="00000000">
        <w:br w:type="page"/>
      </w:r>
    </w:p>
    <w:p w14:paraId="69325AAF" w14:textId="77777777" w:rsidR="005F292A" w:rsidRDefault="00000000">
      <w:pPr>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4BCDE45C"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rPr>
        <w:instrText xml:space="preserve"> TOC \o "1-3" \h \z \u </w:instrText>
      </w:r>
      <w:r>
        <w:rPr>
          <w:rFonts w:ascii="Times New Roman" w:eastAsia="Times New Roman" w:hAnsi="Times New Roman" w:cs="Times New Roman"/>
          <w:bCs/>
          <w:sz w:val="24"/>
          <w:szCs w:val="24"/>
        </w:rPr>
        <w:fldChar w:fldCharType="separate"/>
      </w:r>
      <w:hyperlink w:anchor="_Toc200732366" w:history="1">
        <w:r>
          <w:rPr>
            <w:rStyle w:val="Hyperlink"/>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_Toc200732366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34BE6FC5"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67"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_Toc200732367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08D2A3F3"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68" w:history="1">
        <w:r>
          <w:rPr>
            <w:rStyle w:val="Hyperlink"/>
            <w:rFonts w:ascii="Times New Roman" w:hAnsi="Times New Roman" w:cs="Times New Roman"/>
            <w:sz w:val="24"/>
            <w:szCs w:val="24"/>
          </w:rPr>
          <w:t>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_Toc200732368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13E84A6A"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69" w:history="1">
        <w:r>
          <w:rPr>
            <w:rStyle w:val="Hyperlink"/>
            <w:rFonts w:ascii="Times New Roman" w:hAnsi="Times New Roman" w:cs="Times New Roman"/>
            <w:sz w:val="24"/>
            <w:szCs w:val="24"/>
          </w:rPr>
          <w:t>Problem Statement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_Toc200732369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517B93A2"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70" w:history="1">
        <w:r>
          <w:rPr>
            <w:rStyle w:val="Hyperlink"/>
            <w:rFonts w:ascii="Times New Roman" w:hAnsi="Times New Roman" w:cs="Times New Roman"/>
            <w:sz w:val="24"/>
            <w:szCs w:val="24"/>
          </w:rPr>
          <w:t>Theories and Frameworks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0CDB8080"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71" w:history="1">
        <w:r>
          <w:rPr>
            <w:rStyle w:val="Hyperlink"/>
            <w:rFonts w:ascii="Times New Roman" w:hAnsi="Times New Roman" w:cs="Times New Roman"/>
            <w:sz w:val="24"/>
            <w:szCs w:val="24"/>
          </w:rPr>
          <w:t>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5BDD6F63"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72" w:history="1">
        <w:r>
          <w:rPr>
            <w:rStyle w:val="Hyperlink"/>
            <w:rFonts w:ascii="Times New Roman" w:hAnsi="Times New Roman" w:cs="Times New Roman"/>
            <w:sz w:val="24"/>
            <w:szCs w:val="24"/>
          </w:rPr>
          <w:t>Identification of hotel details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59070E57"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73" w:history="1">
        <w:r>
          <w:rPr>
            <w:rStyle w:val="Hyperlink"/>
            <w:rFonts w:ascii="Times New Roman" w:hAnsi="Times New Roman" w:cs="Times New Roman"/>
            <w:sz w:val="24"/>
            <w:szCs w:val="24"/>
          </w:rPr>
          <w:t>STEEPLED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7EBE1697" w14:textId="77777777"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74" w:history="1">
        <w:r>
          <w:rPr>
            <w:rStyle w:val="Hyperlink"/>
            <w:rFonts w:ascii="Times New Roman" w:hAnsi="Times New Roman" w:cs="Times New Roman"/>
            <w:sz w:val="24"/>
            <w:szCs w:val="24"/>
          </w:rPr>
          <w:t>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5D7589C7" w14:textId="53B2A285" w:rsidR="005F292A" w:rsidRDefault="00000000">
      <w:pPr>
        <w:pStyle w:val="TOC2"/>
        <w:tabs>
          <w:tab w:val="right" w:leader="dot" w:pos="9350"/>
        </w:tabs>
        <w:spacing w:line="360" w:lineRule="auto"/>
        <w:jc w:val="both"/>
        <w:rPr>
          <w:rFonts w:ascii="Times New Roman" w:hAnsi="Times New Roman" w:cs="Times New Roman"/>
          <w:sz w:val="24"/>
          <w:szCs w:val="24"/>
        </w:rPr>
      </w:pPr>
      <w:hyperlink w:anchor="_Toc200732375" w:history="1">
        <w:r>
          <w:rPr>
            <w:rStyle w:val="Hyperlink"/>
            <w:rFonts w:ascii="Times New Roman" w:hAnsi="Times New Roman" w:cs="Times New Roman"/>
            <w:sz w:val="24"/>
            <w:szCs w:val="24"/>
          </w:rPr>
          <w:t>TO</w:t>
        </w:r>
        <w:r>
          <w:rPr>
            <w:rStyle w:val="Hyperlink"/>
            <w:rFonts w:ascii="Times New Roman" w:hAnsi="Times New Roman" w:cs="Times New Roman"/>
            <w:sz w:val="24"/>
            <w:szCs w:val="24"/>
          </w:rPr>
          <w:t>W</w:t>
        </w:r>
        <w:r>
          <w:rPr>
            <w:rStyle w:val="Hyperlink"/>
            <w:rFonts w:ascii="Times New Roman" w:hAnsi="Times New Roman" w:cs="Times New Roman"/>
            <w:sz w:val="24"/>
            <w:szCs w:val="24"/>
          </w:rPr>
          <w:t>S analysis</w:t>
        </w:r>
        <w:r>
          <w:rPr>
            <w:rFonts w:ascii="Times New Roman" w:hAnsi="Times New Roman" w:cs="Times New Roman"/>
            <w:sz w:val="24"/>
            <w:szCs w:val="24"/>
          </w:rPr>
          <w:tab/>
        </w:r>
        <w:r w:rsidR="00D62A9F">
          <w:rPr>
            <w:rFonts w:ascii="Times New Roman" w:hAnsi="Times New Roman" w:cs="Times New Roman"/>
            <w:sz w:val="24"/>
            <w:szCs w:val="24"/>
          </w:rPr>
          <w:t>13</w:t>
        </w:r>
      </w:hyperlink>
    </w:p>
    <w:p w14:paraId="013378EE"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76" w:history="1">
        <w:r>
          <w:rPr>
            <w:rStyle w:val="Hyperlink"/>
            <w:rFonts w:ascii="Times New Roman" w:hAnsi="Times New Roman" w:cs="Times New Roman"/>
            <w:sz w:val="24"/>
            <w:szCs w:val="24"/>
          </w:rPr>
          <w:t>Recommendations and Change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14:paraId="2EB2E993"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77" w:history="1">
        <w:r>
          <w:rPr>
            <w:rStyle w:val="Hyperlink"/>
            <w:rFonts w:ascii="Times New Roman" w:hAnsi="Times New Roman" w:cs="Times New Roman"/>
            <w:sz w:val="24"/>
            <w:szCs w:val="24"/>
          </w:rPr>
          <w:t>Action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14:paraId="20B77F34"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78" w:history="1">
        <w:r>
          <w:rPr>
            <w:rStyle w:val="Hyperlink"/>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hyperlink>
    </w:p>
    <w:p w14:paraId="3A97A1DB" w14:textId="77777777" w:rsidR="005F292A" w:rsidRDefault="00000000">
      <w:pPr>
        <w:pStyle w:val="TOC1"/>
        <w:tabs>
          <w:tab w:val="right" w:leader="dot" w:pos="9350"/>
        </w:tabs>
        <w:spacing w:line="360" w:lineRule="auto"/>
        <w:jc w:val="both"/>
        <w:rPr>
          <w:rFonts w:ascii="Times New Roman" w:hAnsi="Times New Roman" w:cs="Times New Roman"/>
          <w:sz w:val="24"/>
          <w:szCs w:val="24"/>
        </w:rPr>
      </w:pPr>
      <w:hyperlink w:anchor="_Toc200732379" w:history="1">
        <w:r>
          <w:rPr>
            <w:rStyle w:val="Hyperlink"/>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_Toc200732379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hyperlink>
    </w:p>
    <w:p w14:paraId="662913FA" w14:textId="77777777" w:rsidR="005F292A" w:rsidRDefault="00000000">
      <w:pPr>
        <w:spacing w:before="240" w:after="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fldChar w:fldCharType="end"/>
      </w:r>
    </w:p>
    <w:p w14:paraId="50F05601" w14:textId="77777777" w:rsidR="005F292A" w:rsidRDefault="00000000">
      <w:pPr>
        <w:spacing w:line="360" w:lineRule="auto"/>
        <w:jc w:val="center"/>
        <w:rPr>
          <w:rFonts w:ascii="Times New Roman" w:eastAsia="Times New Roman" w:hAnsi="Times New Roman" w:cs="Times New Roman"/>
          <w:b/>
          <w:sz w:val="32"/>
          <w:szCs w:val="32"/>
        </w:rPr>
      </w:pPr>
      <w:r>
        <w:br w:type="page"/>
      </w:r>
    </w:p>
    <w:p w14:paraId="2F204BB1" w14:textId="77777777" w:rsidR="005F292A" w:rsidRDefault="00000000">
      <w:pPr>
        <w:pStyle w:val="Heading1"/>
        <w:jc w:val="center"/>
      </w:pPr>
      <w:bookmarkStart w:id="0" w:name="_Toc200732366"/>
      <w:r>
        <w:lastRenderedPageBreak/>
        <w:t>Executive Summary</w:t>
      </w:r>
      <w:bookmarkEnd w:id="0"/>
    </w:p>
    <w:p w14:paraId="05048B4A"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consultancy report is the analysis and a series of strategic recommendations regarding Hilton London Bankside, a luxury hotel that works under the Hilton brand, which is known worldwide. The hotel, in the central location of London, has maintained a good record of guest satisfaction and brand loyalty. </w:t>
      </w:r>
    </w:p>
    <w:p w14:paraId="1A603C06"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 Definition and Situation</w:t>
      </w:r>
    </w:p>
    <w:p w14:paraId="78EB771C"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London Bankside is today experiencing such a major change in employee expectations, workforce engagement, and retention. Burnout and staff disengagement, disparities in service quality and internal communication breakdowns are exacerbated in the aftermath of COVID-19 (</w:t>
      </w:r>
      <w:proofErr w:type="spellStart"/>
      <w:r>
        <w:rPr>
          <w:rFonts w:ascii="Times New Roman" w:eastAsia="Times New Roman" w:hAnsi="Times New Roman" w:cs="Times New Roman"/>
          <w:sz w:val="24"/>
          <w:szCs w:val="24"/>
        </w:rPr>
        <w:t>Ununger</w:t>
      </w:r>
      <w:proofErr w:type="spellEnd"/>
      <w:r>
        <w:rPr>
          <w:rFonts w:ascii="Times New Roman" w:eastAsia="Times New Roman" w:hAnsi="Times New Roman" w:cs="Times New Roman"/>
          <w:sz w:val="24"/>
          <w:szCs w:val="24"/>
        </w:rPr>
        <w:t xml:space="preserve">, 2021). Based on employee responses and performance indicators, it can be concluded that the unsystematic nature of career advancement and poor mental health resources are major factors that led to an increase in turnover rates. </w:t>
      </w:r>
    </w:p>
    <w:p w14:paraId="7C457191"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and Analytical Approach</w:t>
      </w:r>
    </w:p>
    <w:p w14:paraId="0F22C662"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uses a mix of internal data analysis, industry comparison, and analytical models such as STEEPLED, SWOT, and TOWS analyses to diagnose the root causes of the problem (</w:t>
      </w:r>
      <w:proofErr w:type="spellStart"/>
      <w:r>
        <w:rPr>
          <w:rFonts w:ascii="Times New Roman" w:eastAsia="Times New Roman" w:hAnsi="Times New Roman" w:cs="Times New Roman"/>
          <w:sz w:val="24"/>
          <w:szCs w:val="24"/>
        </w:rPr>
        <w:t>Escalona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The STEEPLED analysis examined the external environment that affected the hotel operations, such as the sociocultural changes, legal changes after the Brexit vote and economic inflation. The SWOT analysis helped to discover the internal capabilities of the Hilton London Bankside, including brand equity and customer loyalty, and internal underperformance, including high turnover and communication gaps (Hilton, 2025). Strategic alignments were then developed on the internal weaknesses and the external opportunities and threats using the TOWS matrix. These findings defined the basis on which specific recommendations were formulated and change management plans.</w:t>
      </w:r>
    </w:p>
    <w:p w14:paraId="44215712"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Summary of Key Recommendations</w:t>
      </w:r>
    </w:p>
    <w:p w14:paraId="4E163397"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 key strategic recommendations are made based on the findings to fix the identified issues. First, the hotel ought to implement a fully </w:t>
      </w:r>
      <w:proofErr w:type="spellStart"/>
      <w:r>
        <w:rPr>
          <w:rFonts w:ascii="Times New Roman" w:eastAsia="Times New Roman" w:hAnsi="Times New Roman" w:cs="Times New Roman"/>
          <w:sz w:val="24"/>
          <w:szCs w:val="24"/>
        </w:rPr>
        <w:t>digitalised</w:t>
      </w:r>
      <w:proofErr w:type="spellEnd"/>
      <w:r>
        <w:rPr>
          <w:rFonts w:ascii="Times New Roman" w:eastAsia="Times New Roman" w:hAnsi="Times New Roman" w:cs="Times New Roman"/>
          <w:sz w:val="24"/>
          <w:szCs w:val="24"/>
        </w:rPr>
        <w:t xml:space="preserve"> HR solution like Workday, Oracle HCM, or BambooHR. Such a platform will help consolidate functions, such as scheduling, employee feedback, performance reviews, training, and well-being monitoring. Second, Hilton London Bankside ought to open a career progression and leadership development academy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(Dang, 2023). This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will constitute </w:t>
      </w:r>
      <w:proofErr w:type="spellStart"/>
      <w:r>
        <w:rPr>
          <w:rFonts w:ascii="Times New Roman" w:eastAsia="Times New Roman" w:hAnsi="Times New Roman" w:cs="Times New Roman"/>
          <w:sz w:val="24"/>
          <w:szCs w:val="24"/>
        </w:rPr>
        <w:t>formalised</w:t>
      </w:r>
      <w:proofErr w:type="spellEnd"/>
      <w:r>
        <w:rPr>
          <w:rFonts w:ascii="Times New Roman" w:eastAsia="Times New Roman" w:hAnsi="Times New Roman" w:cs="Times New Roman"/>
          <w:sz w:val="24"/>
          <w:szCs w:val="24"/>
        </w:rPr>
        <w:t xml:space="preserve"> promotion channels, mentoring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training courses that will inspire employees and provide a pool of </w:t>
      </w:r>
      <w:r>
        <w:rPr>
          <w:rFonts w:ascii="Times New Roman" w:eastAsia="Times New Roman" w:hAnsi="Times New Roman" w:cs="Times New Roman"/>
          <w:sz w:val="24"/>
          <w:szCs w:val="24"/>
        </w:rPr>
        <w:lastRenderedPageBreak/>
        <w:t xml:space="preserve">prospective leaders. Third, it is suggested to redesign the structure of mental health and well-being, which would include frequent check-ins, access to trained counsellors, an opportunity to choose flexible schedules, and wellness workshops. </w:t>
      </w:r>
    </w:p>
    <w:p w14:paraId="44C610D4"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and Implementation Management</w:t>
      </w:r>
    </w:p>
    <w:p w14:paraId="7D808135"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recommendation is backed by an implementation timeline and a proper change management framework to facilitate easy implementation. The digital HR will be rolled out in three stages which are assessment and vendor selection, pilot in a department, and the complete rollout, including training (</w:t>
      </w:r>
      <w:proofErr w:type="spellStart"/>
      <w:r>
        <w:rPr>
          <w:rFonts w:ascii="Times New Roman" w:eastAsia="Times New Roman" w:hAnsi="Times New Roman" w:cs="Times New Roman"/>
          <w:sz w:val="24"/>
          <w:szCs w:val="24"/>
        </w:rPr>
        <w:t>Hrabenko</w:t>
      </w:r>
      <w:proofErr w:type="spellEnd"/>
      <w:r>
        <w:rPr>
          <w:rFonts w:ascii="Times New Roman" w:eastAsia="Times New Roman" w:hAnsi="Times New Roman" w:cs="Times New Roman"/>
          <w:sz w:val="24"/>
          <w:szCs w:val="24"/>
        </w:rPr>
        <w:t xml:space="preserve"> and Chen, 2023). This change will be facilitated using the 8-Step Change Model by Kotter, which will create a sense of urgency, change coalitions, and short-term wins. The leadership academy will pursue the Three-Stage Model (Unfreeze-Change-Refreeze) developed by Lewin, and it will consider the input of the staff in the design phase as well as enforce the changes with recognition schemes (</w:t>
      </w:r>
      <w:proofErr w:type="spellStart"/>
      <w:r>
        <w:rPr>
          <w:rFonts w:ascii="Times New Roman" w:eastAsia="Times New Roman" w:hAnsi="Times New Roman" w:cs="Times New Roman"/>
          <w:sz w:val="24"/>
          <w:szCs w:val="24"/>
        </w:rPr>
        <w:t>Rantamäki</w:t>
      </w:r>
      <w:proofErr w:type="spellEnd"/>
      <w:r>
        <w:rPr>
          <w:rFonts w:ascii="Times New Roman" w:eastAsia="Times New Roman" w:hAnsi="Times New Roman" w:cs="Times New Roman"/>
          <w:sz w:val="24"/>
          <w:szCs w:val="24"/>
        </w:rPr>
        <w:t xml:space="preserve">, 2025). The well-being framework would be deployed in the form of the ADKAR model, which involves the establishment of awareness, desire, and reinforcement by means of internal campaigns and a feedback loop. </w:t>
      </w:r>
    </w:p>
    <w:p w14:paraId="45E9D98C"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Performance Measurement and Evaluation</w:t>
      </w:r>
    </w:p>
    <w:p w14:paraId="374B9D1C" w14:textId="77777777" w:rsidR="005F292A"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measure the effectiveness of these strategies, the report suggests an extensive evaluation system through key performance indicators (KPIs). The employee satisfaction scores, the rate of usage of HR systems, the rate of internal promotions, the uptake of wellness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the consistency of service delivery will be measured over 12 months (Ishaq, 2025). Financial and operational impact will also be measured by guest Commentary, turnover rates of the staff and a decrease in the cost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
    <w:p w14:paraId="6AD71F6C"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investment and Resource planning</w:t>
      </w:r>
    </w:p>
    <w:p w14:paraId="59DD73C9"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estimated financial outlay towards implementation is at £195,000, which is in tandem with the size and earnings prospects of Hilton London Bankside. The breakdown involves an initial investment of £70,000 in the HR system with an annual maintenance cost of £15,000, £45,000 yearly leadership academy, £30,000 yearly mental health support services, and a temporary payroll boost of £50,000 to move towards no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Noordzife</w:t>
      </w:r>
      <w:proofErr w:type="spellEnd"/>
      <w:r>
        <w:rPr>
          <w:rFonts w:ascii="Times New Roman" w:eastAsia="Times New Roman" w:hAnsi="Times New Roman" w:cs="Times New Roman"/>
          <w:sz w:val="24"/>
          <w:szCs w:val="24"/>
        </w:rPr>
        <w:t xml:space="preserve">, 2014). The long-term benefits, which are expected to counter these costs, are a reduction in recruitment costs, enhanced service quality, better retention rates and enhanced productivity. </w:t>
      </w:r>
    </w:p>
    <w:p w14:paraId="1FAFC21C"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Impact and Key Benefits</w:t>
      </w:r>
    </w:p>
    <w:p w14:paraId="34B668B7"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Key expectations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these interventions are a drastic decrease in staff turnover, an enhanced employer branding, a positive team morale boost and an increase in guest satisfaction. With the help of the latest HR tech and investments in individuals, Hilton London Bankside can present itself as an ethical and progressive employer that takes care of its people (Whittington et al. 2020). </w:t>
      </w:r>
    </w:p>
    <w:p w14:paraId="54DC0554"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Final Statement</w:t>
      </w:r>
    </w:p>
    <w:p w14:paraId="17C540FC"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a set of recommendations to assist Hilton London Bankside in overcoming the existing HR and operational issues is introduced on the evidence-based, realistic and scalable approach. Every strategy is properly planned to be adaptive to the size of the hotel, its financial capacity, and brand attributes. </w:t>
      </w:r>
    </w:p>
    <w:p w14:paraId="055AB262" w14:textId="77777777" w:rsidR="005F292A" w:rsidRDefault="005F292A">
      <w:pPr>
        <w:spacing w:line="360" w:lineRule="auto"/>
        <w:jc w:val="both"/>
        <w:rPr>
          <w:rFonts w:ascii="Times New Roman" w:eastAsia="Times New Roman" w:hAnsi="Times New Roman" w:cs="Times New Roman"/>
          <w:sz w:val="24"/>
          <w:szCs w:val="24"/>
        </w:rPr>
      </w:pPr>
    </w:p>
    <w:p w14:paraId="0379FAE0" w14:textId="77777777" w:rsidR="005F292A" w:rsidRDefault="005F292A">
      <w:pPr>
        <w:spacing w:line="360" w:lineRule="auto"/>
        <w:jc w:val="both"/>
        <w:rPr>
          <w:rFonts w:ascii="Times New Roman" w:eastAsia="Times New Roman" w:hAnsi="Times New Roman" w:cs="Times New Roman"/>
          <w:sz w:val="24"/>
          <w:szCs w:val="24"/>
        </w:rPr>
      </w:pPr>
    </w:p>
    <w:p w14:paraId="799A095C" w14:textId="77777777" w:rsidR="005F292A" w:rsidRDefault="005F292A">
      <w:pPr>
        <w:spacing w:line="360" w:lineRule="auto"/>
        <w:jc w:val="both"/>
        <w:rPr>
          <w:rFonts w:ascii="Times New Roman" w:eastAsia="Times New Roman" w:hAnsi="Times New Roman" w:cs="Times New Roman"/>
          <w:sz w:val="24"/>
          <w:szCs w:val="24"/>
        </w:rPr>
      </w:pPr>
    </w:p>
    <w:p w14:paraId="25661226" w14:textId="77777777" w:rsidR="005F292A" w:rsidRDefault="005F292A">
      <w:pPr>
        <w:spacing w:line="360" w:lineRule="auto"/>
        <w:jc w:val="both"/>
        <w:rPr>
          <w:rFonts w:ascii="Times New Roman" w:eastAsia="Times New Roman" w:hAnsi="Times New Roman" w:cs="Times New Roman"/>
          <w:sz w:val="24"/>
          <w:szCs w:val="24"/>
        </w:rPr>
      </w:pPr>
    </w:p>
    <w:p w14:paraId="57D2FBB8" w14:textId="77777777" w:rsidR="005F292A" w:rsidRDefault="00000000">
      <w:pPr>
        <w:spacing w:line="360" w:lineRule="auto"/>
        <w:jc w:val="both"/>
        <w:rPr>
          <w:rFonts w:ascii="Times New Roman" w:eastAsia="Times New Roman" w:hAnsi="Times New Roman" w:cs="Times New Roman"/>
          <w:b/>
          <w:sz w:val="32"/>
          <w:szCs w:val="32"/>
        </w:rPr>
      </w:pPr>
      <w:r>
        <w:br w:type="page"/>
      </w:r>
    </w:p>
    <w:p w14:paraId="540F995C" w14:textId="77777777" w:rsidR="005F292A" w:rsidRDefault="00000000">
      <w:pPr>
        <w:pStyle w:val="Heading1"/>
      </w:pPr>
      <w:bookmarkStart w:id="1" w:name="_Toc200732367"/>
      <w:r>
        <w:lastRenderedPageBreak/>
        <w:t>Introduction</w:t>
      </w:r>
      <w:bookmarkEnd w:id="1"/>
      <w:r>
        <w:t xml:space="preserve"> </w:t>
      </w:r>
    </w:p>
    <w:p w14:paraId="757B3E41" w14:textId="77777777" w:rsidR="005F292A" w:rsidRDefault="00000000">
      <w:pPr>
        <w:pStyle w:val="Heading2"/>
      </w:pPr>
      <w:bookmarkStart w:id="2" w:name="_Toc200732368"/>
      <w:r>
        <w:t>Background</w:t>
      </w:r>
      <w:bookmarkEnd w:id="2"/>
    </w:p>
    <w:p w14:paraId="141029AB" w14:textId="110DE160"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London Bankside is a modern five-star hotel located in the very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the vibrant South Bank area of London. The hotel was officially opened in 2015 and has already gained popularity as a premier destination for style, comfort, and world-class service. It belongs to the internationally renowned Hilton Hotels &amp; Resorts brand, which boasts more than 7,000 establishments in 123 countries and territories (Hilton, 2025). The Bankside property will have 292 guest rooms with 25 custom-designed suites and a unique penthouse apartment. The hotel offers 13 versatile event rooms, a trendy on-site restaurant (OXBO Bankside) and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the heart of London, making it popular among both leisure </w:t>
      </w:r>
      <w:r w:rsidR="00B9161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and business clients, as well as event planners. Its design and service are aimed at providing the same quality that is synonymous with the Hilton brand, but with local flair.</w:t>
      </w:r>
    </w:p>
    <w:p w14:paraId="4B1B47BB" w14:textId="77777777" w:rsidR="005F292A" w:rsidRDefault="00000000">
      <w:pPr>
        <w:spacing w:line="360" w:lineRule="auto"/>
        <w:jc w:val="center"/>
        <w:rPr>
          <w:rFonts w:ascii="Times New Roman" w:eastAsia="Times New Roman" w:hAnsi="Times New Roman" w:cs="Times New Roman"/>
          <w:sz w:val="24"/>
          <w:szCs w:val="24"/>
        </w:rPr>
      </w:pPr>
      <w:r>
        <w:rPr>
          <w:noProof/>
        </w:rPr>
        <w:drawing>
          <wp:inline distT="0" distB="0" distL="0" distR="0" wp14:anchorId="7D7510B1" wp14:editId="0F0E4E6A">
            <wp:extent cx="2832100" cy="2317115"/>
            <wp:effectExtent l="38100" t="38100" r="44450" b="45085"/>
            <wp:docPr id="2008118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18067" name="Picture 1"/>
                    <pic:cNvPicPr>
                      <a:picLocks noChangeAspect="1"/>
                    </pic:cNvPicPr>
                  </pic:nvPicPr>
                  <pic:blipFill>
                    <a:blip r:embed="rId9"/>
                    <a:stretch>
                      <a:fillRect/>
                    </a:stretch>
                  </pic:blipFill>
                  <pic:spPr>
                    <a:xfrm>
                      <a:off x="0" y="0"/>
                      <a:ext cx="2837004" cy="2321185"/>
                    </a:xfrm>
                    <a:prstGeom prst="rect">
                      <a:avLst/>
                    </a:prstGeom>
                    <a:ln w="28575">
                      <a:solidFill>
                        <a:schemeClr val="tx1"/>
                      </a:solidFill>
                    </a:ln>
                  </pic:spPr>
                </pic:pic>
              </a:graphicData>
            </a:graphic>
          </wp:inline>
        </w:drawing>
      </w:r>
    </w:p>
    <w:p w14:paraId="709BBD21" w14:textId="77777777" w:rsidR="005F292A"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Hilton London bankside</w:t>
      </w:r>
    </w:p>
    <w:p w14:paraId="21B37FEB" w14:textId="77777777" w:rsidR="005F292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Hilton, 2025)</w:t>
      </w:r>
    </w:p>
    <w:p w14:paraId="7E3F279E"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regardless of its high-end positioning and brand legacy, Hilton London Bankside is now grappling with an urgent operational challenge: a massive drop in employee engagement and staff retention rates. The post-pandemic recovery has posed challenges to the hospitality workforce management in the UK in the past two years, and Hilton London Bankside is not an exception (</w:t>
      </w:r>
      <w:proofErr w:type="spellStart"/>
      <w:r>
        <w:rPr>
          <w:rFonts w:ascii="Times New Roman" w:eastAsia="Times New Roman" w:hAnsi="Times New Roman" w:cs="Times New Roman"/>
          <w:sz w:val="24"/>
          <w:szCs w:val="24"/>
        </w:rPr>
        <w:t>Buttrick</w:t>
      </w:r>
      <w:proofErr w:type="spellEnd"/>
      <w:r>
        <w:rPr>
          <w:rFonts w:ascii="Times New Roman" w:eastAsia="Times New Roman" w:hAnsi="Times New Roman" w:cs="Times New Roman"/>
          <w:sz w:val="24"/>
          <w:szCs w:val="24"/>
        </w:rPr>
        <w:t xml:space="preserve">, 2009). There has been an almost 25 per cent increase in staff turnover since pre-COVID times, and lack of career progression, burnout and lack of consistent internal communication have been cited by exit interviews as some of the major reasons. </w:t>
      </w:r>
    </w:p>
    <w:p w14:paraId="57DFE304" w14:textId="77777777" w:rsidR="005F292A" w:rsidRDefault="00000000">
      <w:pPr>
        <w:pStyle w:val="Heading2"/>
      </w:pPr>
      <w:bookmarkStart w:id="3" w:name="_Toc200732369"/>
      <w:r>
        <w:lastRenderedPageBreak/>
        <w:t>Problem Statement</w:t>
      </w:r>
      <w:bookmarkEnd w:id="3"/>
    </w:p>
    <w:p w14:paraId="4314EBA4"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hotel has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the threat of the dwindling employee morale, not only in its service delivery but also in going against the brand promise of the hotel by failing to provide hospitality to all. In London, with its competitive hotel market, where the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guest experience and efficient service are key to customer loyalty, these matters may lead to significant financial and reputational outcomes (</w:t>
      </w:r>
      <w:proofErr w:type="spellStart"/>
      <w:r>
        <w:rPr>
          <w:rFonts w:ascii="Times New Roman" w:eastAsia="Times New Roman" w:hAnsi="Times New Roman" w:cs="Times New Roman"/>
          <w:sz w:val="24"/>
          <w:szCs w:val="24"/>
        </w:rPr>
        <w:t>Ununger</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ProFusion</w:t>
      </w:r>
      <w:proofErr w:type="spellEnd"/>
      <w:r>
        <w:rPr>
          <w:rFonts w:ascii="Times New Roman" w:eastAsia="Times New Roman" w:hAnsi="Times New Roman" w:cs="Times New Roman"/>
          <w:sz w:val="24"/>
          <w:szCs w:val="24"/>
        </w:rPr>
        <w:t xml:space="preserve"> Hospitality Consultants has thus been tasked by the General Manager to conduct an inquiry regarding the root causes of these challenges as well as formulate a strategic action plan that is in line with the global standards of Hilton services, corporate ideals and business objectives.</w:t>
      </w:r>
    </w:p>
    <w:p w14:paraId="14A0CE98" w14:textId="77777777" w:rsidR="005F292A" w:rsidRDefault="00000000">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rPr>
        <w:t>ProFusion</w:t>
      </w:r>
      <w:proofErr w:type="spellEnd"/>
      <w:r>
        <w:rPr>
          <w:rFonts w:ascii="Times New Roman" w:eastAsia="Times New Roman" w:hAnsi="Times New Roman" w:cs="Times New Roman"/>
          <w:sz w:val="24"/>
          <w:szCs w:val="24"/>
        </w:rPr>
        <w:t xml:space="preserve"> Hospitality Consultants is a niche consultancy firm which partners with some of the best hotels to help them fix their operational inefficiencies, adopt sustainable workforce practices and enhance the overall guest satisfaction by focusing on humanistic practices. Having worked in some of the most successful hotel markets in Europe, the company combines evidence-based analysis with operational hospitality experience (Profusion-group, 2025). Within the framework of this consultancy report, it has been made to evaluate the nature and extent of the internal people-related issues of Hilton London Bankside and a set of practical recommendations on how to improve staff engagement and retention as well as boost the quality of service.</w:t>
      </w:r>
    </w:p>
    <w:p w14:paraId="782252CA" w14:textId="77777777" w:rsidR="005F292A" w:rsidRDefault="00000000">
      <w:pPr>
        <w:pStyle w:val="Heading2"/>
      </w:pPr>
      <w:bookmarkStart w:id="4" w:name="_Toc200732370"/>
      <w:r>
        <w:t>Theories and Frameworks</w:t>
      </w:r>
      <w:bookmarkEnd w:id="4"/>
    </w:p>
    <w:p w14:paraId="57CF0AB7" w14:textId="7BA81052" w:rsidR="005F292A"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a coherent and valid analysis, the report will integrate some of the existing management frameworks. The external macro-environmental factors that the </w:t>
      </w:r>
      <w:r>
        <w:rPr>
          <w:rFonts w:ascii="Times New Roman" w:eastAsia="Times New Roman" w:hAnsi="Times New Roman" w:cs="Times New Roman"/>
          <w:i/>
          <w:sz w:val="24"/>
          <w:szCs w:val="24"/>
        </w:rPr>
        <w:t>STEEPLED analysis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will explore as relevant to the workforce and operations of the hotel will include </w:t>
      </w:r>
      <w:r>
        <w:rPr>
          <w:rFonts w:ascii="Times New Roman" w:eastAsia="Times New Roman" w:hAnsi="Times New Roman" w:cs="Times New Roman"/>
          <w:i/>
          <w:sz w:val="24"/>
          <w:szCs w:val="24"/>
        </w:rPr>
        <w:t xml:space="preserve">Social, Technological, Economic, Environmental, Political, Legal, Ethical and Demographic aspects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Himawan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Wening</w:t>
      </w:r>
      <w:proofErr w:type="spellEnd"/>
      <w:r>
        <w:rPr>
          <w:rFonts w:ascii="Times New Roman" w:eastAsia="Times New Roman" w:hAnsi="Times New Roman" w:cs="Times New Roman"/>
          <w:sz w:val="24"/>
          <w:szCs w:val="24"/>
        </w:rPr>
        <w:t xml:space="preserve">, 2021). It will allow a wider </w:t>
      </w:r>
      <w:proofErr w:type="spellStart"/>
      <w:r>
        <w:rPr>
          <w:rFonts w:ascii="Times New Roman" w:eastAsia="Times New Roman" w:hAnsi="Times New Roman" w:cs="Times New Roman"/>
          <w:sz w:val="24"/>
          <w:szCs w:val="24"/>
        </w:rPr>
        <w:t>contextualised</w:t>
      </w:r>
      <w:proofErr w:type="spellEnd"/>
      <w:r>
        <w:rPr>
          <w:rFonts w:ascii="Times New Roman" w:eastAsia="Times New Roman" w:hAnsi="Times New Roman" w:cs="Times New Roman"/>
          <w:sz w:val="24"/>
          <w:szCs w:val="24"/>
        </w:rPr>
        <w:t xml:space="preserve"> knowledge, especially with the hospitality industry trying to cope with the post-pandemic new reality,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changes associated with Brexit, and changing consumer demands. This will be followed by a </w:t>
      </w:r>
      <w:r>
        <w:rPr>
          <w:rFonts w:ascii="Times New Roman" w:eastAsia="Times New Roman" w:hAnsi="Times New Roman" w:cs="Times New Roman"/>
          <w:i/>
          <w:sz w:val="24"/>
          <w:szCs w:val="24"/>
        </w:rPr>
        <w:t>SWOT analysis</w:t>
      </w:r>
      <w:r>
        <w:rPr>
          <w:rFonts w:ascii="Times New Roman" w:eastAsia="Times New Roman" w:hAnsi="Times New Roman" w:cs="Times New Roman"/>
          <w:sz w:val="24"/>
          <w:szCs w:val="24"/>
        </w:rPr>
        <w:t xml:space="preserve"> in the report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help establish the internal strengths and weaknesses of the hotel and external opportunities, threats (</w:t>
      </w:r>
      <w:proofErr w:type="spellStart"/>
      <w:r>
        <w:rPr>
          <w:rFonts w:ascii="Times New Roman" w:eastAsia="Times New Roman" w:hAnsi="Times New Roman" w:cs="Times New Roman"/>
          <w:sz w:val="24"/>
          <w:szCs w:val="24"/>
        </w:rPr>
        <w:t>Panteleiev</w:t>
      </w:r>
      <w:proofErr w:type="spellEnd"/>
      <w:r>
        <w:rPr>
          <w:rFonts w:ascii="Times New Roman" w:eastAsia="Times New Roman" w:hAnsi="Times New Roman" w:cs="Times New Roman"/>
          <w:sz w:val="24"/>
          <w:szCs w:val="24"/>
        </w:rPr>
        <w:t xml:space="preserve">, 2023). It will allow </w:t>
      </w:r>
      <w:proofErr w:type="spellStart"/>
      <w:r>
        <w:rPr>
          <w:rFonts w:ascii="Times New Roman" w:eastAsia="Times New Roman" w:hAnsi="Times New Roman" w:cs="Times New Roman"/>
          <w:sz w:val="24"/>
          <w:szCs w:val="24"/>
        </w:rPr>
        <w:t>summarising</w:t>
      </w:r>
      <w:proofErr w:type="spellEnd"/>
      <w:r>
        <w:rPr>
          <w:rFonts w:ascii="Times New Roman" w:eastAsia="Times New Roman" w:hAnsi="Times New Roman" w:cs="Times New Roman"/>
          <w:sz w:val="24"/>
          <w:szCs w:val="24"/>
        </w:rPr>
        <w:t xml:space="preserve"> the combination of internal HR issues and more global industry </w:t>
      </w:r>
      <w:r w:rsidR="00B9161D">
        <w:rPr>
          <w:rFonts w:ascii="Times New Roman" w:eastAsia="Times New Roman" w:hAnsi="Times New Roman" w:cs="Times New Roman"/>
          <w:sz w:val="24"/>
          <w:szCs w:val="24"/>
        </w:rPr>
        <w:t>pressure and</w:t>
      </w:r>
      <w:r>
        <w:rPr>
          <w:rFonts w:ascii="Times New Roman" w:eastAsia="Times New Roman" w:hAnsi="Times New Roman" w:cs="Times New Roman"/>
          <w:sz w:val="24"/>
          <w:szCs w:val="24"/>
        </w:rPr>
        <w:t xml:space="preserve"> provide an overview of the present strategic position of Hilton London Bankside.</w:t>
      </w:r>
    </w:p>
    <w:p w14:paraId="3CDAE792" w14:textId="77777777" w:rsidR="005F292A" w:rsidRDefault="00000000">
      <w:pPr>
        <w:spacing w:line="360" w:lineRule="auto"/>
        <w:jc w:val="both"/>
        <w:rPr>
          <w:rFonts w:ascii="Times New Roman" w:eastAsia="Times New Roman" w:hAnsi="Times New Roman" w:cs="Times New Roman"/>
          <w:b/>
          <w:sz w:val="28"/>
          <w:szCs w:val="28"/>
        </w:rPr>
      </w:pPr>
      <w:proofErr w:type="gramStart"/>
      <w:r>
        <w:rPr>
          <w:rFonts w:ascii="Times New Roman" w:eastAsia="Times New Roman" w:hAnsi="Times New Roman" w:cs="Times New Roman"/>
          <w:sz w:val="24"/>
          <w:szCs w:val="24"/>
        </w:rPr>
        <w:lastRenderedPageBreak/>
        <w:t>Last but not least</w:t>
      </w:r>
      <w:proofErr w:type="gramEnd"/>
      <w:r>
        <w:rPr>
          <w:rFonts w:ascii="Times New Roman" w:eastAsia="Times New Roman" w:hAnsi="Times New Roman" w:cs="Times New Roman"/>
          <w:sz w:val="24"/>
          <w:szCs w:val="24"/>
        </w:rPr>
        <w:t xml:space="preserve">, a </w:t>
      </w:r>
      <w:r>
        <w:rPr>
          <w:rFonts w:ascii="Times New Roman" w:eastAsia="Times New Roman" w:hAnsi="Times New Roman" w:cs="Times New Roman"/>
          <w:i/>
          <w:sz w:val="24"/>
          <w:szCs w:val="24"/>
        </w:rPr>
        <w:t>TOWS matrix</w:t>
      </w:r>
      <w:r>
        <w:rPr>
          <w:rFonts w:ascii="Times New Roman" w:eastAsia="Times New Roman" w:hAnsi="Times New Roman" w:cs="Times New Roman"/>
          <w:sz w:val="24"/>
          <w:szCs w:val="24"/>
        </w:rPr>
        <w:t xml:space="preserve"> will be prepared to recommend any strategic initiative that would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 strengths of the hotel to take advantage of the opportunities and overcome the threats and weaknesses (Saleh and </w:t>
      </w:r>
      <w:proofErr w:type="spellStart"/>
      <w:r>
        <w:rPr>
          <w:rFonts w:ascii="Times New Roman" w:eastAsia="Times New Roman" w:hAnsi="Times New Roman" w:cs="Times New Roman"/>
          <w:sz w:val="24"/>
          <w:szCs w:val="24"/>
        </w:rPr>
        <w:t>Zohry</w:t>
      </w:r>
      <w:proofErr w:type="spellEnd"/>
      <w:r>
        <w:rPr>
          <w:rFonts w:ascii="Times New Roman" w:eastAsia="Times New Roman" w:hAnsi="Times New Roman" w:cs="Times New Roman"/>
          <w:sz w:val="24"/>
          <w:szCs w:val="24"/>
        </w:rPr>
        <w:t>, 2022). The outline will be used to provide a final recommendations section that will give clear, cost-effective and sustainable solutions and a solid change management strategy that will be used to guide implementation. Through the synergy of thorough knowledge of the issues currently faced by the hotel and the industry-leading analysis tools, this report aims to provide a high-impact consultancy report that will assist Hilton London Bankside in its quest to preserve its five-star image and become an exemplary employer in the post-pandemic hospitality market (Xing, 2023).</w:t>
      </w:r>
    </w:p>
    <w:p w14:paraId="34F2A4C1" w14:textId="77777777" w:rsidR="005F292A" w:rsidRDefault="00000000">
      <w:pPr>
        <w:pStyle w:val="Heading1"/>
      </w:pPr>
      <w:bookmarkStart w:id="5" w:name="_Toc200732371"/>
      <w:r>
        <w:t>Analysis</w:t>
      </w:r>
      <w:bookmarkEnd w:id="5"/>
      <w:r>
        <w:t xml:space="preserve"> </w:t>
      </w:r>
    </w:p>
    <w:p w14:paraId="5BA75C59" w14:textId="77777777" w:rsidR="005F292A" w:rsidRDefault="00000000">
      <w:pPr>
        <w:pStyle w:val="Heading2"/>
      </w:pPr>
      <w:bookmarkStart w:id="6" w:name="_Toc200732372"/>
      <w:r>
        <w:t>Identification of hotel details</w:t>
      </w:r>
      <w:bookmarkEnd w:id="6"/>
    </w:p>
    <w:p w14:paraId="3E8EB32D"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present, Hilton London Bankside faces a severe problem of employee disengagement and rising staff turnover that is profoundly affecting the effective work of the hotel, the quality of its services, and the overall levels of guest satisfaction (</w:t>
      </w: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Workforce problems have escalated as the hospitality industry comes out of the COVID-19 pandemic. The current situation in the UK hospitality industry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as the vacancies are 30 per cent more than they were before the pandemic (</w:t>
      </w:r>
      <w:proofErr w:type="spellStart"/>
      <w:r>
        <w:rPr>
          <w:rFonts w:ascii="Times New Roman" w:eastAsia="Times New Roman" w:hAnsi="Times New Roman" w:cs="Times New Roman"/>
          <w:sz w:val="24"/>
          <w:szCs w:val="24"/>
        </w:rPr>
        <w:t>Ukhospitality</w:t>
      </w:r>
      <w:proofErr w:type="spellEnd"/>
      <w:r>
        <w:rPr>
          <w:rFonts w:ascii="Times New Roman" w:eastAsia="Times New Roman" w:hAnsi="Times New Roman" w:cs="Times New Roman"/>
          <w:sz w:val="24"/>
          <w:szCs w:val="24"/>
        </w:rPr>
        <w:t xml:space="preserve">, 2025). Hilton London Bankside is not an exception to this national trend as it has recorded a 25 per cent rise in the number of staff leaving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voluntarily in the last 18 months. Such staffing problems have resulted in gaps in service delivery, a rise in employee workload, and decreased morale within the various departments, especially the housekeeping, food and beverage, and front desk operations (</w:t>
      </w:r>
      <w:proofErr w:type="spellStart"/>
      <w:r>
        <w:rPr>
          <w:rFonts w:ascii="Times New Roman" w:eastAsia="Times New Roman" w:hAnsi="Times New Roman" w:cs="Times New Roman"/>
          <w:sz w:val="24"/>
          <w:szCs w:val="24"/>
        </w:rPr>
        <w:t>Omachi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Ajewumi</w:t>
      </w:r>
      <w:proofErr w:type="spellEnd"/>
      <w:r>
        <w:rPr>
          <w:rFonts w:ascii="Times New Roman" w:eastAsia="Times New Roman" w:hAnsi="Times New Roman" w:cs="Times New Roman"/>
          <w:sz w:val="24"/>
          <w:szCs w:val="24"/>
        </w:rPr>
        <w:t>, 2024).</w:t>
      </w:r>
    </w:p>
    <w:p w14:paraId="037C8DF5"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factors that contribute to this disengagement are complex. According to staff surveys and exit interviews, poor internal communication, lack of career development opportunities, and lack of recognition of employee contributions are evident. A high number of employees complain of being undervalued and overworked, with no mental health or work-life balance support (Hasyim and Bakri, 2025). Also, high tempo atmosphere and use of casual or temporary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at the hotel have loosened the solidity of teams and uniformity in delivering services. The guest feedback sites like TripAdvisor and Google Reviews have registered a 12 per cent rise in complaints related to </w:t>
      </w:r>
      <w:r>
        <w:rPr>
          <w:rFonts w:ascii="Times New Roman" w:eastAsia="Times New Roman" w:hAnsi="Times New Roman" w:cs="Times New Roman"/>
          <w:sz w:val="24"/>
          <w:szCs w:val="24"/>
        </w:rPr>
        <w:lastRenderedPageBreak/>
        <w:t xml:space="preserve">inattentive service and long wait times, which reflect a reputation loss that may </w:t>
      </w:r>
      <w:proofErr w:type="spellStart"/>
      <w:r>
        <w:rPr>
          <w:rFonts w:ascii="Times New Roman" w:eastAsia="Times New Roman" w:hAnsi="Times New Roman" w:cs="Times New Roman"/>
          <w:sz w:val="24"/>
          <w:szCs w:val="24"/>
        </w:rPr>
        <w:t>jeopardise</w:t>
      </w:r>
      <w:proofErr w:type="spellEnd"/>
      <w:r>
        <w:rPr>
          <w:rFonts w:ascii="Times New Roman" w:eastAsia="Times New Roman" w:hAnsi="Times New Roman" w:cs="Times New Roman"/>
          <w:sz w:val="24"/>
          <w:szCs w:val="24"/>
        </w:rPr>
        <w:t xml:space="preserve"> future reservations and income flows (</w:t>
      </w:r>
      <w:proofErr w:type="spellStart"/>
      <w:r>
        <w:rPr>
          <w:rFonts w:ascii="Times New Roman" w:eastAsia="Times New Roman" w:hAnsi="Times New Roman" w:cs="Times New Roman"/>
          <w:sz w:val="24"/>
          <w:szCs w:val="24"/>
        </w:rPr>
        <w:t>Dharel</w:t>
      </w:r>
      <w:proofErr w:type="spellEnd"/>
      <w:r>
        <w:rPr>
          <w:rFonts w:ascii="Times New Roman" w:eastAsia="Times New Roman" w:hAnsi="Times New Roman" w:cs="Times New Roman"/>
          <w:sz w:val="24"/>
          <w:szCs w:val="24"/>
        </w:rPr>
        <w:t>, 2021).</w:t>
      </w:r>
    </w:p>
    <w:p w14:paraId="5C5EA3DA"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there are poor internal feedback loops and few systems to allow frontline staff to raise concerns or make suggestions. A one-way communication approach will not help the management to be at per with the realities on the ground without a proper two-way communication strategy. This disconnection has enabled minor functional inefficiencies to flourish, which end up affecting the guest's stay and brand image (Schwarzenegger and </w:t>
      </w:r>
      <w:proofErr w:type="spellStart"/>
      <w:r>
        <w:rPr>
          <w:rFonts w:ascii="Times New Roman" w:eastAsia="Times New Roman" w:hAnsi="Times New Roman" w:cs="Times New Roman"/>
          <w:sz w:val="24"/>
          <w:szCs w:val="24"/>
        </w:rPr>
        <w:t>Lohmeier</w:t>
      </w:r>
      <w:proofErr w:type="spellEnd"/>
      <w:r>
        <w:rPr>
          <w:rFonts w:ascii="Times New Roman" w:eastAsia="Times New Roman" w:hAnsi="Times New Roman" w:cs="Times New Roman"/>
          <w:sz w:val="24"/>
          <w:szCs w:val="24"/>
        </w:rPr>
        <w:t xml:space="preserve">, 2021). As the luxury hotel industry in London is very competitive, with customer loyalty being very difficult to gain and very easy to lose, these human resource issues represent a significant risk to the market performance and the bottom line of Hilton London Bankside. These problems should be addressed with the help of the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change management plan, improved internal communication, and specific staff development needed to recover the service excellence and employee satisfaction (</w:t>
      </w:r>
      <w:proofErr w:type="spellStart"/>
      <w:r>
        <w:rPr>
          <w:rFonts w:ascii="Times New Roman" w:eastAsia="Times New Roman" w:hAnsi="Times New Roman" w:cs="Times New Roman"/>
          <w:sz w:val="24"/>
          <w:szCs w:val="24"/>
        </w:rPr>
        <w:t>Maley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35C0D6B6" w14:textId="77777777" w:rsidR="005F292A" w:rsidRDefault="00000000">
      <w:pPr>
        <w:pStyle w:val="Heading2"/>
      </w:pPr>
      <w:bookmarkStart w:id="7" w:name="_Toc200732373"/>
      <w:r>
        <w:t>STEEPLED analysis</w:t>
      </w:r>
      <w:bookmarkEnd w:id="7"/>
    </w:p>
    <w:tbl>
      <w:tblPr>
        <w:tblStyle w:val="Style12"/>
        <w:tblW w:w="9765" w:type="dxa"/>
        <w:tblInd w:w="0" w:type="dxa"/>
        <w:tblLayout w:type="fixed"/>
        <w:tblLook w:val="04A0" w:firstRow="1" w:lastRow="0" w:firstColumn="1" w:lastColumn="0" w:noHBand="0" w:noVBand="1"/>
      </w:tblPr>
      <w:tblGrid>
        <w:gridCol w:w="1920"/>
        <w:gridCol w:w="7845"/>
      </w:tblGrid>
      <w:tr w:rsidR="005F292A" w14:paraId="736277F5" w14:textId="77777777">
        <w:trPr>
          <w:trHeight w:val="540"/>
        </w:trPr>
        <w:tc>
          <w:tcPr>
            <w:tcW w:w="1920" w:type="dxa"/>
            <w:tcBorders>
              <w:top w:val="single" w:sz="8" w:space="0" w:color="000000"/>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41F9C8E7"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w:t>
            </w:r>
          </w:p>
        </w:tc>
        <w:tc>
          <w:tcPr>
            <w:tcW w:w="7845"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269D160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Considerations for Hilton London Bankside</w:t>
            </w:r>
          </w:p>
        </w:tc>
      </w:tr>
      <w:tr w:rsidR="005F292A" w14:paraId="09F7CBFC" w14:textId="77777777">
        <w:trPr>
          <w:trHeight w:val="162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3A0F069"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7033B01A"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Changing workforce expectations, particularly among Gen Z and Millennials, who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flexibility, well-being, and purpose-driven work (</w:t>
            </w:r>
            <w:proofErr w:type="spellStart"/>
            <w:r>
              <w:rPr>
                <w:rFonts w:ascii="Times New Roman" w:eastAsia="Times New Roman" w:hAnsi="Times New Roman" w:cs="Times New Roman"/>
                <w:sz w:val="24"/>
                <w:szCs w:val="24"/>
              </w:rPr>
              <w:t>Dimokas</w:t>
            </w:r>
            <w:proofErr w:type="spellEnd"/>
            <w:r>
              <w:rPr>
                <w:rFonts w:ascii="Times New Roman" w:eastAsia="Times New Roman" w:hAnsi="Times New Roman" w:cs="Times New Roman"/>
                <w:sz w:val="24"/>
                <w:szCs w:val="24"/>
              </w:rPr>
              <w:t>, 2025). The annual turnover of hotel and other lodging accommodations enterprises in the United Kingdom saw a tremendous rise between the year 2021 and 2022. The hotel sector in 2022 recorded a turnover of about 22.99 billion British pounds, and this represented a 46 per cent growth as compared to the prior year (Statista, 2025).</w:t>
            </w:r>
          </w:p>
        </w:tc>
      </w:tr>
      <w:tr w:rsidR="005F292A" w14:paraId="5D4BADB0" w14:textId="77777777">
        <w:trPr>
          <w:trHeight w:val="162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25943AA"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35857E51"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Reliance on digital guest services (check-in kiosks, mobile keys) requires ongoing staff training (</w:t>
            </w:r>
            <w:proofErr w:type="spellStart"/>
            <w:r>
              <w:rPr>
                <w:rFonts w:ascii="Times New Roman" w:eastAsia="Times New Roman" w:hAnsi="Times New Roman" w:cs="Times New Roman"/>
                <w:sz w:val="24"/>
                <w:szCs w:val="24"/>
              </w:rPr>
              <w:t>Loukili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Use of HR tech for employee scheduling, feedback, and engagement is </w:t>
            </w:r>
            <w:proofErr w:type="spellStart"/>
            <w:r>
              <w:rPr>
                <w:rFonts w:ascii="Times New Roman" w:eastAsia="Times New Roman" w:hAnsi="Times New Roman" w:cs="Times New Roman"/>
                <w:sz w:val="24"/>
                <w:szCs w:val="24"/>
              </w:rPr>
              <w:t>underutilised</w:t>
            </w:r>
            <w:proofErr w:type="spellEnd"/>
            <w:r>
              <w:rPr>
                <w:rFonts w:ascii="Times New Roman" w:eastAsia="Times New Roman" w:hAnsi="Times New Roman" w:cs="Times New Roman"/>
                <w:sz w:val="24"/>
                <w:szCs w:val="24"/>
              </w:rPr>
              <w:t>.</w:t>
            </w:r>
          </w:p>
        </w:tc>
      </w:tr>
      <w:tr w:rsidR="005F292A" w14:paraId="02D7EDF8" w14:textId="77777777">
        <w:trPr>
          <w:trHeight w:val="162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B5315A0"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7D71690C"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Inflation and the cost-of-living crisis in London are pushing employees to seek higher-paying roles (Feist, 2024). Increased operational costs pressure the hotel to manage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efficiently without overworking staff.</w:t>
            </w:r>
          </w:p>
        </w:tc>
      </w:tr>
      <w:tr w:rsidR="005F292A" w14:paraId="42C4EA93" w14:textId="77777777">
        <w:trPr>
          <w:trHeight w:val="126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0D0F94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5BF78C0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Expectations around green practices influence guest choices. Pressure on staff to support sustainability goals without proper training or recognition may lead to dissatisfaction (Adeoye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tc>
      </w:tr>
      <w:tr w:rsidR="005F292A" w14:paraId="5005090D" w14:textId="77777777">
        <w:trPr>
          <w:trHeight w:val="186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767DC0D"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06719F9D"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Post-Brexit immigration policies have reduced the pool of available hospitality workers in London. Employment law changes require compliance and adaptability in HR practices (</w:t>
            </w:r>
            <w:proofErr w:type="spellStart"/>
            <w:r>
              <w:rPr>
                <w:rFonts w:ascii="Times New Roman" w:eastAsia="Times New Roman" w:hAnsi="Times New Roman" w:cs="Times New Roman"/>
                <w:sz w:val="24"/>
                <w:szCs w:val="24"/>
              </w:rPr>
              <w:t>Ezeafulukwe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w:t>
            </w:r>
          </w:p>
        </w:tc>
      </w:tr>
      <w:tr w:rsidR="005F292A" w14:paraId="5F35C675" w14:textId="77777777">
        <w:trPr>
          <w:trHeight w:val="162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C390858"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630202E4"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UK employment law, including the Working Time Directive, affects staff scheduling and workloads (Smith, 2024). Stronger union advocacy in hospitality is reshaping employer responsibilities.</w:t>
            </w:r>
          </w:p>
        </w:tc>
      </w:tr>
      <w:tr w:rsidR="005F292A" w14:paraId="31212207" w14:textId="77777777">
        <w:trPr>
          <w:trHeight w:val="162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D0B6A58"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29FB84C4"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focus on fair treatment, inclusivity, and mental health in the workplace. Negative perceptions around exploitative or temporary contracts may damage employer branding (</w:t>
            </w:r>
            <w:proofErr w:type="spellStart"/>
            <w:r>
              <w:rPr>
                <w:rFonts w:ascii="Times New Roman" w:eastAsia="Times New Roman" w:hAnsi="Times New Roman" w:cs="Times New Roman"/>
                <w:sz w:val="24"/>
                <w:szCs w:val="24"/>
              </w:rPr>
              <w:t>Zambon</w:t>
            </w:r>
            <w:proofErr w:type="spellEnd"/>
            <w:r>
              <w:rPr>
                <w:rFonts w:ascii="Times New Roman" w:eastAsia="Times New Roman" w:hAnsi="Times New Roman" w:cs="Times New Roman"/>
                <w:sz w:val="24"/>
                <w:szCs w:val="24"/>
              </w:rPr>
              <w:t>, 2024).</w:t>
            </w:r>
          </w:p>
        </w:tc>
      </w:tr>
      <w:tr w:rsidR="005F292A" w14:paraId="7642A701" w14:textId="77777777">
        <w:trPr>
          <w:trHeight w:val="1260"/>
        </w:trPr>
        <w:tc>
          <w:tcPr>
            <w:tcW w:w="192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F2343AD"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Demographic</w:t>
            </w:r>
          </w:p>
        </w:tc>
        <w:tc>
          <w:tcPr>
            <w:tcW w:w="7845" w:type="dxa"/>
            <w:tcBorders>
              <w:top w:val="nil"/>
              <w:left w:val="nil"/>
              <w:bottom w:val="single" w:sz="8" w:space="0" w:color="000000"/>
              <w:right w:val="single" w:sz="8" w:space="0" w:color="000000"/>
            </w:tcBorders>
            <w:tcMar>
              <w:top w:w="0" w:type="dxa"/>
              <w:left w:w="100" w:type="dxa"/>
              <w:bottom w:w="0" w:type="dxa"/>
              <w:right w:w="100" w:type="dxa"/>
            </w:tcMar>
          </w:tcPr>
          <w:p w14:paraId="66E83B95"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London’s diverse workforce requires inclusive HR strategies. An ageing workforce in certain roles creates long-term succession and training challenges (</w:t>
            </w:r>
            <w:proofErr w:type="spellStart"/>
            <w:r>
              <w:rPr>
                <w:rFonts w:ascii="Times New Roman" w:eastAsia="Times New Roman" w:hAnsi="Times New Roman" w:cs="Times New Roman"/>
                <w:sz w:val="24"/>
                <w:szCs w:val="24"/>
              </w:rPr>
              <w:t>Kurashvili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tc>
      </w:tr>
    </w:tbl>
    <w:p w14:paraId="760DD66F"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STEEPLED analysis</w:t>
      </w:r>
    </w:p>
    <w:p w14:paraId="0BE850F2" w14:textId="77777777" w:rsidR="005F292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A7607B0" w14:textId="77777777" w:rsidR="005F292A" w:rsidRDefault="005F292A">
      <w:pPr>
        <w:spacing w:line="360" w:lineRule="auto"/>
        <w:jc w:val="both"/>
        <w:rPr>
          <w:rFonts w:ascii="Times New Roman" w:eastAsia="Times New Roman" w:hAnsi="Times New Roman" w:cs="Times New Roman"/>
          <w:b/>
          <w:sz w:val="24"/>
          <w:szCs w:val="24"/>
        </w:rPr>
      </w:pPr>
    </w:p>
    <w:p w14:paraId="4D11D87B"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STEEPLED analysis reveals the multifaceted exterior setting that affects the level of engagement among the employees and operational consistency at Hilton London Bankside. Socially, a new generation of workforce seeks flexible and substance-filled work, and ethical work practices are under social scrutiny (</w:t>
      </w:r>
      <w:proofErr w:type="spellStart"/>
      <w:r>
        <w:rPr>
          <w:rFonts w:ascii="Times New Roman" w:eastAsia="Times New Roman" w:hAnsi="Times New Roman" w:cs="Times New Roman"/>
          <w:sz w:val="24"/>
          <w:szCs w:val="24"/>
        </w:rPr>
        <w:t>Ezeafulukwe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Technologically, the fact that the </w:t>
      </w:r>
      <w:r>
        <w:rPr>
          <w:rFonts w:ascii="Times New Roman" w:eastAsia="Times New Roman" w:hAnsi="Times New Roman" w:cs="Times New Roman"/>
          <w:sz w:val="24"/>
          <w:szCs w:val="24"/>
        </w:rPr>
        <w:lastRenderedPageBreak/>
        <w:t>hotel operates on digital guest services, such as mobile check-ins, automated systems, requires frequent training of its staff, but the underutilization of HR technology hinders efficient scheduling and engagement monitoring (</w:t>
      </w:r>
      <w:proofErr w:type="spellStart"/>
      <w:r>
        <w:rPr>
          <w:rFonts w:ascii="Times New Roman" w:eastAsia="Times New Roman" w:hAnsi="Times New Roman" w:cs="Times New Roman"/>
          <w:sz w:val="24"/>
          <w:szCs w:val="24"/>
        </w:rPr>
        <w:t>Lindström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On the economic front, the cost-of-living crisis and inflation in London are driving employees into higher-paying positions, exacerbating turnover and wage pressure. It is also influenced by environmental factors since guests demand eco-friendly operations, which impose more work on employees without evident rewards or preparation (Smith, 2024).</w:t>
      </w:r>
    </w:p>
    <w:p w14:paraId="40AAD5F4"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On the political landscape, the immigration policies initiated because of Brexit have created a shortage of skilled workers in the hospitality industry, pushing recruitment to its limits. Under the legal requirements, the adherence to UK employment legislation, including the Working Time Directive, has implications for scheduling and has caused an increase in workload on HR. On the ethical front, the industry is likely to support mental health, equal treatment, and diversity, where any failure can damage employer branding (</w:t>
      </w:r>
      <w:proofErr w:type="spellStart"/>
      <w:r>
        <w:rPr>
          <w:rFonts w:ascii="Times New Roman" w:eastAsia="Times New Roman" w:hAnsi="Times New Roman" w:cs="Times New Roman"/>
          <w:sz w:val="24"/>
          <w:szCs w:val="24"/>
        </w:rPr>
        <w:t>Zambon</w:t>
      </w:r>
      <w:proofErr w:type="spellEnd"/>
      <w:r>
        <w:rPr>
          <w:rFonts w:ascii="Times New Roman" w:eastAsia="Times New Roman" w:hAnsi="Times New Roman" w:cs="Times New Roman"/>
          <w:sz w:val="24"/>
          <w:szCs w:val="24"/>
        </w:rPr>
        <w:t>, 2024). Finally, demographic fluctuations, such as an ageing workforce and a diverse workforce, require inclusive and adaptive HR practices to ensure there is succession planning and workforce stability in the long term. A combination of these external factors highlights the necessity of strategic HR change in Hilton London Bankside.</w:t>
      </w:r>
    </w:p>
    <w:p w14:paraId="74DEC15D" w14:textId="77777777" w:rsidR="005F292A" w:rsidRDefault="00000000">
      <w:pPr>
        <w:pStyle w:val="Heading2"/>
      </w:pPr>
      <w:bookmarkStart w:id="8" w:name="_Toc200732374"/>
      <w:r>
        <w:t>SWOT analysis</w:t>
      </w:r>
      <w:bookmarkEnd w:id="8"/>
    </w:p>
    <w:tbl>
      <w:tblPr>
        <w:tblStyle w:val="Style1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5F292A" w14:paraId="6AA4E17F" w14:textId="77777777">
        <w:tc>
          <w:tcPr>
            <w:tcW w:w="4680" w:type="dxa"/>
            <w:shd w:val="clear" w:color="auto" w:fill="F4CCCC"/>
            <w:tcMar>
              <w:top w:w="100" w:type="dxa"/>
              <w:left w:w="100" w:type="dxa"/>
              <w:bottom w:w="100" w:type="dxa"/>
              <w:right w:w="100" w:type="dxa"/>
            </w:tcMar>
          </w:tcPr>
          <w:p w14:paraId="20ACF0D1" w14:textId="77777777" w:rsidR="005F292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shd w:val="clear" w:color="auto" w:fill="F4CCCC"/>
            <w:tcMar>
              <w:top w:w="100" w:type="dxa"/>
              <w:left w:w="100" w:type="dxa"/>
              <w:bottom w:w="100" w:type="dxa"/>
              <w:right w:w="100" w:type="dxa"/>
            </w:tcMar>
          </w:tcPr>
          <w:p w14:paraId="259F4849" w14:textId="77777777" w:rsidR="005F292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5F292A" w14:paraId="65643643" w14:textId="77777777">
        <w:tc>
          <w:tcPr>
            <w:tcW w:w="4680" w:type="dxa"/>
            <w:shd w:val="clear" w:color="auto" w:fill="D9EAD3"/>
            <w:tcMar>
              <w:top w:w="100" w:type="dxa"/>
              <w:left w:w="100" w:type="dxa"/>
              <w:bottom w:w="100" w:type="dxa"/>
              <w:right w:w="100" w:type="dxa"/>
            </w:tcMar>
          </w:tcPr>
          <w:p w14:paraId="526BC231" w14:textId="77777777" w:rsidR="005F292A"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reputation under the Hilton international portfolio (</w:t>
            </w:r>
            <w:proofErr w:type="spellStart"/>
            <w:r>
              <w:rPr>
                <w:rFonts w:ascii="Times New Roman" w:eastAsia="Times New Roman" w:hAnsi="Times New Roman" w:cs="Times New Roman"/>
                <w:sz w:val="24"/>
                <w:szCs w:val="24"/>
              </w:rPr>
              <w:t>Derowitsch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0B05B1B6" w14:textId="77777777" w:rsidR="005F292A"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Prime central location near major cultural landmarks in London</w:t>
            </w:r>
          </w:p>
          <w:p w14:paraId="747F59C6" w14:textId="77777777" w:rsidR="005F292A"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High-quality facilities and modern, stylish design.</w:t>
            </w:r>
          </w:p>
          <w:p w14:paraId="54A3E5C8" w14:textId="77777777" w:rsidR="005F292A"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Positive guest experience history and a loyal customer base (</w:t>
            </w:r>
            <w:proofErr w:type="spellStart"/>
            <w:r>
              <w:rPr>
                <w:rFonts w:ascii="Times New Roman" w:eastAsia="Times New Roman" w:hAnsi="Times New Roman" w:cs="Times New Roman"/>
                <w:sz w:val="24"/>
                <w:szCs w:val="24"/>
              </w:rPr>
              <w:t>Arapou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Kapiki</w:t>
            </w:r>
            <w:proofErr w:type="spellEnd"/>
            <w:r>
              <w:rPr>
                <w:rFonts w:ascii="Times New Roman" w:eastAsia="Times New Roman" w:hAnsi="Times New Roman" w:cs="Times New Roman"/>
                <w:sz w:val="24"/>
                <w:szCs w:val="24"/>
              </w:rPr>
              <w:t>, 2023).</w:t>
            </w:r>
          </w:p>
          <w:p w14:paraId="2EB3163B" w14:textId="77777777" w:rsidR="005F292A"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guest satisfaction scores in pre-</w:t>
            </w:r>
            <w:r>
              <w:rPr>
                <w:rFonts w:ascii="Times New Roman" w:eastAsia="Times New Roman" w:hAnsi="Times New Roman" w:cs="Times New Roman"/>
                <w:sz w:val="24"/>
                <w:szCs w:val="24"/>
              </w:rPr>
              <w:lastRenderedPageBreak/>
              <w:t>pandemic years.</w:t>
            </w:r>
          </w:p>
        </w:tc>
        <w:tc>
          <w:tcPr>
            <w:tcW w:w="4680" w:type="dxa"/>
            <w:shd w:val="clear" w:color="auto" w:fill="D9EAD3"/>
            <w:tcMar>
              <w:top w:w="100" w:type="dxa"/>
              <w:left w:w="100" w:type="dxa"/>
              <w:bottom w:w="100" w:type="dxa"/>
              <w:right w:w="100" w:type="dxa"/>
            </w:tcMar>
          </w:tcPr>
          <w:p w14:paraId="2768907B" w14:textId="77777777" w:rsidR="005F292A" w:rsidRDefault="00000000">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High staff turnover and low employee engagement post-pandemic.</w:t>
            </w:r>
          </w:p>
          <w:p w14:paraId="717B7740" w14:textId="77777777" w:rsidR="005F292A" w:rsidRDefault="00000000">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career progression and professional development programs for employees (Mlambo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289AD7C6" w14:textId="77777777" w:rsidR="005F292A" w:rsidRDefault="00000000">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internal communication and a lack of effective feedback mechanisms.</w:t>
            </w:r>
          </w:p>
          <w:p w14:paraId="575494A1" w14:textId="77777777" w:rsidR="005F292A" w:rsidRDefault="00000000">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Overreliance on casual/temporary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is impacting service consistency.</w:t>
            </w:r>
          </w:p>
          <w:p w14:paraId="62D6CC30" w14:textId="77777777" w:rsidR="005F292A" w:rsidRDefault="00000000">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Inadequate mental health and well-</w:t>
            </w:r>
            <w:r>
              <w:rPr>
                <w:rFonts w:ascii="Times New Roman" w:eastAsia="Times New Roman" w:hAnsi="Times New Roman" w:cs="Times New Roman"/>
                <w:sz w:val="24"/>
                <w:szCs w:val="24"/>
              </w:rPr>
              <w:lastRenderedPageBreak/>
              <w:t xml:space="preserve">being support systems for staff. (San Juan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tc>
      </w:tr>
      <w:tr w:rsidR="005F292A" w14:paraId="56F5208A" w14:textId="77777777">
        <w:tc>
          <w:tcPr>
            <w:tcW w:w="4680" w:type="dxa"/>
            <w:shd w:val="clear" w:color="auto" w:fill="E6B8AF"/>
            <w:tcMar>
              <w:top w:w="100" w:type="dxa"/>
              <w:left w:w="100" w:type="dxa"/>
              <w:bottom w:w="100" w:type="dxa"/>
              <w:right w:w="100" w:type="dxa"/>
            </w:tcMar>
          </w:tcPr>
          <w:p w14:paraId="50828699" w14:textId="77777777" w:rsidR="005F292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E6B8AF"/>
            <w:tcMar>
              <w:top w:w="100" w:type="dxa"/>
              <w:left w:w="100" w:type="dxa"/>
              <w:bottom w:w="100" w:type="dxa"/>
              <w:right w:w="100" w:type="dxa"/>
            </w:tcMar>
          </w:tcPr>
          <w:p w14:paraId="3A7288C1" w14:textId="77777777" w:rsidR="005F292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5F292A" w14:paraId="68EAABB7" w14:textId="77777777">
        <w:tc>
          <w:tcPr>
            <w:tcW w:w="4680" w:type="dxa"/>
            <w:shd w:val="clear" w:color="auto" w:fill="D9EAD3"/>
            <w:tcMar>
              <w:top w:w="100" w:type="dxa"/>
              <w:left w:w="100" w:type="dxa"/>
              <w:bottom w:w="100" w:type="dxa"/>
              <w:right w:w="100" w:type="dxa"/>
            </w:tcMar>
          </w:tcPr>
          <w:p w14:paraId="14EE3277" w14:textId="77777777" w:rsidR="005F292A" w:rsidRDefault="0000000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 digital HR tools to improve engagement, training, and communication (Sarwar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w:t>
            </w:r>
          </w:p>
          <w:p w14:paraId="1112BB07" w14:textId="77777777" w:rsidR="005F292A" w:rsidRDefault="0000000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in-house training and leadership programs to retain talent.</w:t>
            </w:r>
          </w:p>
          <w:p w14:paraId="169DAD13" w14:textId="77777777" w:rsidR="005F292A" w:rsidRDefault="0000000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sustainability initiatives to align with guest and employee values.</w:t>
            </w:r>
          </w:p>
          <w:p w14:paraId="3A0567DA" w14:textId="77777777" w:rsidR="005F292A" w:rsidRDefault="0000000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Leverage the Hilton </w:t>
            </w:r>
            <w:proofErr w:type="spellStart"/>
            <w:r>
              <w:rPr>
                <w:rFonts w:ascii="Times New Roman" w:eastAsia="Times New Roman" w:hAnsi="Times New Roman" w:cs="Times New Roman"/>
                <w:sz w:val="24"/>
                <w:szCs w:val="24"/>
              </w:rPr>
              <w:t>Honours</w:t>
            </w:r>
            <w:proofErr w:type="spellEnd"/>
            <w:r>
              <w:rPr>
                <w:rFonts w:ascii="Times New Roman" w:eastAsia="Times New Roman" w:hAnsi="Times New Roman" w:cs="Times New Roman"/>
                <w:sz w:val="24"/>
                <w:szCs w:val="24"/>
              </w:rPr>
              <w:t xml:space="preserve"> loyalty program for repeat bookings.</w:t>
            </w:r>
          </w:p>
        </w:tc>
        <w:tc>
          <w:tcPr>
            <w:tcW w:w="4680" w:type="dxa"/>
            <w:shd w:val="clear" w:color="auto" w:fill="D9EAD3"/>
            <w:tcMar>
              <w:top w:w="100" w:type="dxa"/>
              <w:left w:w="100" w:type="dxa"/>
              <w:bottom w:w="100" w:type="dxa"/>
              <w:right w:w="100" w:type="dxa"/>
            </w:tcMar>
          </w:tcPr>
          <w:p w14:paraId="7C6DE7A4" w14:textId="77777777" w:rsidR="005F292A" w:rsidRDefault="00000000">
            <w:pPr>
              <w:widowControl w:val="0"/>
              <w:numPr>
                <w:ilvl w:val="0"/>
                <w:numId w:val="4"/>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due to Brexit and declining interest in hospitality careers</w:t>
            </w:r>
          </w:p>
          <w:p w14:paraId="1F5C696E" w14:textId="77777777" w:rsidR="005F292A" w:rsidRDefault="00000000">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Rising inflation, increasing wage demands and operational costs.</w:t>
            </w:r>
          </w:p>
          <w:p w14:paraId="37455530" w14:textId="77777777" w:rsidR="005F292A" w:rsidRDefault="00000000">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competition from boutique hotels and luxury Airbnb in the area (Chang and Sokol, 2022).</w:t>
            </w:r>
          </w:p>
          <w:p w14:paraId="79E1DD10" w14:textId="77777777" w:rsidR="005F292A" w:rsidRDefault="00000000">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Reputation risk from negative online reviews about service quality and staff disengagement.</w:t>
            </w:r>
          </w:p>
        </w:tc>
      </w:tr>
    </w:tbl>
    <w:p w14:paraId="0DCA83E5"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SWOT analysis</w:t>
      </w:r>
    </w:p>
    <w:p w14:paraId="2D3297B3"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8F267A7" w14:textId="77777777" w:rsidR="005F292A" w:rsidRDefault="005F292A">
      <w:pPr>
        <w:spacing w:line="360" w:lineRule="auto"/>
        <w:jc w:val="both"/>
        <w:rPr>
          <w:rFonts w:ascii="Times New Roman" w:eastAsia="Times New Roman" w:hAnsi="Times New Roman" w:cs="Times New Roman"/>
          <w:b/>
          <w:sz w:val="24"/>
          <w:szCs w:val="24"/>
        </w:rPr>
      </w:pPr>
    </w:p>
    <w:p w14:paraId="567F18EE"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Hilton London Bankside SWOT analysis reveals a combination of high brand equity and operational weaknesses. The hotel has the advantages of the internationally renowned Hilton brand, excellent location in central London, chic facilities, and a long tradition of high guest satisfaction levels. Nevertheless, it has some internal vulnerabilities in the form of high employee turnover rates, low engagement, and insufficient career progression, as well as excessive reliance on temporary workers, which </w:t>
      </w:r>
      <w:proofErr w:type="spellStart"/>
      <w:r>
        <w:rPr>
          <w:rFonts w:ascii="Times New Roman" w:eastAsia="Times New Roman" w:hAnsi="Times New Roman" w:cs="Times New Roman"/>
          <w:sz w:val="24"/>
          <w:szCs w:val="24"/>
        </w:rPr>
        <w:t>jeopardise</w:t>
      </w:r>
      <w:proofErr w:type="spellEnd"/>
      <w:r>
        <w:rPr>
          <w:rFonts w:ascii="Times New Roman" w:eastAsia="Times New Roman" w:hAnsi="Times New Roman" w:cs="Times New Roman"/>
          <w:sz w:val="24"/>
          <w:szCs w:val="24"/>
        </w:rPr>
        <w:t xml:space="preserve"> the quality of services and morale (San Juan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There are possibilities to enhance those by implementing digital HR solutions, creating internal leadership training, and becoming more sustainable and aligning those practices with the values of staff and guests. Moreover, the retention of guests could be facilitated by using the Hilton </w:t>
      </w:r>
      <w:proofErr w:type="spellStart"/>
      <w:r>
        <w:rPr>
          <w:rFonts w:ascii="Times New Roman" w:eastAsia="Times New Roman" w:hAnsi="Times New Roman" w:cs="Times New Roman"/>
          <w:sz w:val="24"/>
          <w:szCs w:val="24"/>
        </w:rPr>
        <w:t>Honours</w:t>
      </w:r>
      <w:proofErr w:type="spellEnd"/>
      <w:r>
        <w:rPr>
          <w:rFonts w:ascii="Times New Roman" w:eastAsia="Times New Roman" w:hAnsi="Times New Roman" w:cs="Times New Roman"/>
          <w:sz w:val="24"/>
          <w:szCs w:val="24"/>
        </w:rPr>
        <w:t xml:space="preserve"> loyalty program. Conversely, external risks such as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caused by Brexit, inflationary pressures, wage pressure, and competitive pressures associated with boutique hotels and Airbnb threaten profitability and workforce sustainability (Chang and Sokol, 2022). There is also a reputation issue when it comes to negative online reviews that mention disengaged staff.</w:t>
      </w:r>
    </w:p>
    <w:p w14:paraId="64EC4331" w14:textId="77777777" w:rsidR="005F292A" w:rsidRDefault="00000000">
      <w:pPr>
        <w:pStyle w:val="Heading2"/>
      </w:pPr>
      <w:bookmarkStart w:id="9" w:name="_Toc200732375"/>
      <w:r>
        <w:lastRenderedPageBreak/>
        <w:t>TOWS analysis</w:t>
      </w:r>
      <w:bookmarkEnd w:id="9"/>
    </w:p>
    <w:tbl>
      <w:tblPr>
        <w:tblStyle w:val="Style14"/>
        <w:tblW w:w="9630" w:type="dxa"/>
        <w:tblInd w:w="0" w:type="dxa"/>
        <w:tblLayout w:type="fixed"/>
        <w:tblLook w:val="04A0" w:firstRow="1" w:lastRow="0" w:firstColumn="1" w:lastColumn="0" w:noHBand="0" w:noVBand="1"/>
      </w:tblPr>
      <w:tblGrid>
        <w:gridCol w:w="1530"/>
        <w:gridCol w:w="3825"/>
        <w:gridCol w:w="4275"/>
      </w:tblGrid>
      <w:tr w:rsidR="005F292A" w14:paraId="5B61EA82" w14:textId="77777777">
        <w:trPr>
          <w:trHeight w:val="600"/>
        </w:trPr>
        <w:tc>
          <w:tcPr>
            <w:tcW w:w="1530" w:type="dxa"/>
            <w:tcBorders>
              <w:top w:val="single" w:sz="8" w:space="0" w:color="000000"/>
              <w:left w:val="single" w:sz="8" w:space="0" w:color="000000"/>
              <w:bottom w:val="single" w:sz="8" w:space="0" w:color="000000"/>
              <w:right w:val="single" w:sz="8" w:space="0" w:color="000000"/>
            </w:tcBorders>
            <w:shd w:val="clear" w:color="auto" w:fill="5B9BD5"/>
            <w:tcMar>
              <w:top w:w="0" w:type="dxa"/>
              <w:left w:w="100" w:type="dxa"/>
              <w:bottom w:w="0" w:type="dxa"/>
              <w:right w:w="100" w:type="dxa"/>
            </w:tcMar>
          </w:tcPr>
          <w:p w14:paraId="56DA9BBF" w14:textId="77777777" w:rsidR="005F292A" w:rsidRDefault="005F292A">
            <w:pPr>
              <w:spacing w:line="360" w:lineRule="auto"/>
              <w:jc w:val="both"/>
              <w:rPr>
                <w:rFonts w:ascii="Times New Roman" w:eastAsia="Times New Roman" w:hAnsi="Times New Roman" w:cs="Times New Roman"/>
                <w:sz w:val="24"/>
                <w:szCs w:val="24"/>
              </w:rPr>
            </w:pPr>
          </w:p>
        </w:tc>
        <w:tc>
          <w:tcPr>
            <w:tcW w:w="3825" w:type="dxa"/>
            <w:tcBorders>
              <w:top w:val="single" w:sz="8" w:space="0" w:color="000000"/>
              <w:left w:val="nil"/>
              <w:bottom w:val="single" w:sz="8" w:space="0" w:color="000000"/>
              <w:right w:val="single" w:sz="8" w:space="0" w:color="000000"/>
            </w:tcBorders>
            <w:shd w:val="clear" w:color="auto" w:fill="5B9BD5"/>
            <w:tcMar>
              <w:top w:w="0" w:type="dxa"/>
              <w:left w:w="100" w:type="dxa"/>
              <w:bottom w:w="0" w:type="dxa"/>
              <w:right w:w="100" w:type="dxa"/>
            </w:tcMar>
          </w:tcPr>
          <w:p w14:paraId="1B95CC46"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(O)</w:t>
            </w:r>
          </w:p>
        </w:tc>
        <w:tc>
          <w:tcPr>
            <w:tcW w:w="4275" w:type="dxa"/>
            <w:tcBorders>
              <w:top w:val="single" w:sz="8" w:space="0" w:color="000000"/>
              <w:left w:val="nil"/>
              <w:bottom w:val="single" w:sz="8" w:space="0" w:color="000000"/>
              <w:right w:val="single" w:sz="8" w:space="0" w:color="000000"/>
            </w:tcBorders>
            <w:shd w:val="clear" w:color="auto" w:fill="5B9BD5"/>
            <w:tcMar>
              <w:top w:w="0" w:type="dxa"/>
              <w:left w:w="100" w:type="dxa"/>
              <w:bottom w:w="0" w:type="dxa"/>
              <w:right w:w="100" w:type="dxa"/>
            </w:tcMar>
          </w:tcPr>
          <w:p w14:paraId="5CCA63C2"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(T)</w:t>
            </w:r>
          </w:p>
        </w:tc>
      </w:tr>
      <w:tr w:rsidR="005F292A" w14:paraId="44A53E40" w14:textId="77777777">
        <w:trPr>
          <w:trHeight w:val="4470"/>
        </w:trPr>
        <w:tc>
          <w:tcPr>
            <w:tcW w:w="1530" w:type="dxa"/>
            <w:tcBorders>
              <w:top w:val="nil"/>
              <w:left w:val="single" w:sz="8" w:space="0" w:color="000000"/>
              <w:bottom w:val="single" w:sz="8" w:space="0" w:color="000000"/>
              <w:right w:val="single" w:sz="8" w:space="0" w:color="000000"/>
            </w:tcBorders>
            <w:shd w:val="clear" w:color="auto" w:fill="5B9BD5"/>
            <w:tcMar>
              <w:top w:w="0" w:type="dxa"/>
              <w:left w:w="100" w:type="dxa"/>
              <w:bottom w:w="0" w:type="dxa"/>
              <w:right w:w="100" w:type="dxa"/>
            </w:tcMar>
          </w:tcPr>
          <w:p w14:paraId="566E5FAE"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 (S)</w:t>
            </w:r>
          </w:p>
        </w:tc>
        <w:tc>
          <w:tcPr>
            <w:tcW w:w="382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14:paraId="635989F9"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 Strategies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Use Hilton’s strong brand and central location to attract top talent through strategic employer branding campaigns (Zeng, 2021).</w:t>
            </w:r>
            <w:r>
              <w:rPr>
                <w:rFonts w:ascii="Times New Roman" w:eastAsia="Times New Roman" w:hAnsi="Times New Roman" w:cs="Times New Roman"/>
                <w:sz w:val="24"/>
                <w:szCs w:val="24"/>
              </w:rPr>
              <w:br/>
              <w:t xml:space="preserve"> Leverage existing loyalty programs and reputation to fund and support staff training initiatives aligned with guest service standards.</w:t>
            </w:r>
          </w:p>
        </w:tc>
        <w:tc>
          <w:tcPr>
            <w:tcW w:w="427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14:paraId="7D0F07A5"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 Strategies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Use high guest satisfaction legacy and global standards to counter rising competition through consistent service delivery.</w:t>
            </w:r>
            <w:r>
              <w:rPr>
                <w:rFonts w:ascii="Times New Roman" w:eastAsia="Times New Roman" w:hAnsi="Times New Roman" w:cs="Times New Roman"/>
                <w:sz w:val="24"/>
                <w:szCs w:val="24"/>
              </w:rPr>
              <w:br/>
              <w:t xml:space="preserve"> Implement wellness programs and employee recognition schemes to retain staff and protect the brand reputation (</w:t>
            </w:r>
            <w:proofErr w:type="spellStart"/>
            <w:r>
              <w:rPr>
                <w:rFonts w:ascii="Times New Roman" w:eastAsia="Times New Roman" w:hAnsi="Times New Roman" w:cs="Times New Roman"/>
                <w:sz w:val="24"/>
                <w:szCs w:val="24"/>
              </w:rPr>
              <w:t>Sonnentag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tc>
      </w:tr>
      <w:tr w:rsidR="005F292A" w14:paraId="7AB28F3B" w14:textId="77777777">
        <w:trPr>
          <w:trHeight w:val="4470"/>
        </w:trPr>
        <w:tc>
          <w:tcPr>
            <w:tcW w:w="1530" w:type="dxa"/>
            <w:tcBorders>
              <w:top w:val="nil"/>
              <w:left w:val="single" w:sz="8" w:space="0" w:color="000000"/>
              <w:bottom w:val="single" w:sz="8" w:space="0" w:color="000000"/>
              <w:right w:val="single" w:sz="8" w:space="0" w:color="000000"/>
            </w:tcBorders>
            <w:shd w:val="clear" w:color="auto" w:fill="5B9BD5"/>
            <w:tcMar>
              <w:top w:w="0" w:type="dxa"/>
              <w:left w:w="100" w:type="dxa"/>
              <w:bottom w:w="0" w:type="dxa"/>
              <w:right w:w="100" w:type="dxa"/>
            </w:tcMar>
          </w:tcPr>
          <w:p w14:paraId="1251FA17"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 (W)</w:t>
            </w:r>
          </w:p>
        </w:tc>
        <w:tc>
          <w:tcPr>
            <w:tcW w:w="3825" w:type="dxa"/>
            <w:tcBorders>
              <w:top w:val="nil"/>
              <w:left w:val="nil"/>
              <w:bottom w:val="single" w:sz="8" w:space="0" w:color="000000"/>
              <w:right w:val="single" w:sz="8" w:space="0" w:color="000000"/>
            </w:tcBorders>
            <w:shd w:val="clear" w:color="auto" w:fill="DEEAF6"/>
            <w:tcMar>
              <w:top w:w="0" w:type="dxa"/>
              <w:left w:w="100" w:type="dxa"/>
              <w:bottom w:w="0" w:type="dxa"/>
              <w:right w:w="100" w:type="dxa"/>
            </w:tcMar>
          </w:tcPr>
          <w:p w14:paraId="6DF3F9DA"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W-O Strategies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Introduce digital HR systems (self-scheduling apps, engagement surveys) to address communication gaps and improve morale.</w:t>
            </w:r>
            <w:r>
              <w:rPr>
                <w:rFonts w:ascii="Times New Roman" w:eastAsia="Times New Roman" w:hAnsi="Times New Roman" w:cs="Times New Roman"/>
                <w:sz w:val="24"/>
                <w:szCs w:val="24"/>
              </w:rPr>
              <w:br/>
              <w:t xml:space="preserve"> Establish in-house career progression programs to reduce turnover and fill skill gaps internally (</w:t>
            </w:r>
            <w:proofErr w:type="spellStart"/>
            <w:r>
              <w:rPr>
                <w:rFonts w:ascii="Times New Roman" w:eastAsia="Times New Roman" w:hAnsi="Times New Roman" w:cs="Times New Roman"/>
                <w:sz w:val="24"/>
                <w:szCs w:val="24"/>
              </w:rPr>
              <w:t>Palomäki</w:t>
            </w:r>
            <w:proofErr w:type="spellEnd"/>
            <w:r>
              <w:rPr>
                <w:rFonts w:ascii="Times New Roman" w:eastAsia="Times New Roman" w:hAnsi="Times New Roman" w:cs="Times New Roman"/>
                <w:sz w:val="24"/>
                <w:szCs w:val="24"/>
              </w:rPr>
              <w:t>, 2025).</w:t>
            </w:r>
          </w:p>
        </w:tc>
        <w:tc>
          <w:tcPr>
            <w:tcW w:w="4275" w:type="dxa"/>
            <w:tcBorders>
              <w:top w:val="nil"/>
              <w:left w:val="nil"/>
              <w:bottom w:val="single" w:sz="8" w:space="0" w:color="000000"/>
              <w:right w:val="single" w:sz="8" w:space="0" w:color="000000"/>
            </w:tcBorders>
            <w:shd w:val="clear" w:color="auto" w:fill="DEEAF6"/>
            <w:tcMar>
              <w:top w:w="0" w:type="dxa"/>
              <w:left w:w="100" w:type="dxa"/>
              <w:bottom w:w="0" w:type="dxa"/>
              <w:right w:w="100" w:type="dxa"/>
            </w:tcMar>
          </w:tcPr>
          <w:p w14:paraId="43C5148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W-T Strategies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Review staffing model to reduce reliance on casual workers and improve long-term staff development.</w:t>
            </w:r>
            <w:r>
              <w:rPr>
                <w:rFonts w:ascii="Times New Roman" w:eastAsia="Times New Roman" w:hAnsi="Times New Roman" w:cs="Times New Roman"/>
                <w:sz w:val="24"/>
                <w:szCs w:val="24"/>
              </w:rPr>
              <w:br/>
              <w:t xml:space="preserve"> Develop robust internal communication policies to prevent further service inconsistency and mitigate reputation loss from online complaints (Ahmad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w:t>
            </w:r>
          </w:p>
        </w:tc>
      </w:tr>
    </w:tbl>
    <w:p w14:paraId="2F2DD01B"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TOWS analysis</w:t>
      </w:r>
    </w:p>
    <w:p w14:paraId="0B957773"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0142FE0" w14:textId="77777777" w:rsidR="005F292A" w:rsidRDefault="005F292A">
      <w:pPr>
        <w:spacing w:line="360" w:lineRule="auto"/>
        <w:jc w:val="both"/>
        <w:rPr>
          <w:rFonts w:ascii="Times New Roman" w:eastAsia="Times New Roman" w:hAnsi="Times New Roman" w:cs="Times New Roman"/>
          <w:sz w:val="24"/>
          <w:szCs w:val="24"/>
        </w:rPr>
      </w:pPr>
    </w:p>
    <w:p w14:paraId="217D6796"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TOWS analysis provides strategic solutions upon which Hilton London Bankside can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internal and external challenges as growth opportunities. By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its good brand image and prime location (S), the hotel will be able to recruit high-quality employees by focusing on its </w:t>
      </w:r>
      <w:r>
        <w:rPr>
          <w:rFonts w:ascii="Times New Roman" w:eastAsia="Times New Roman" w:hAnsi="Times New Roman" w:cs="Times New Roman"/>
          <w:sz w:val="24"/>
          <w:szCs w:val="24"/>
        </w:rPr>
        <w:lastRenderedPageBreak/>
        <w:t xml:space="preserve">employer branding. Moreover, the presence of loyalty programs and their good reputation can facilitate the training of employees aimed at better serving the guests (S-O). To address the challenges of heightened competition in the market and the threat to reputation (T), Hilton can rely on its past record-high guest satisfaction and brand standards to help it maintain consistency in service delivery (Zeng, 2021). Staff recognition schemes and wellness programs (S-T) are also capable of raising morale and decreasing turnover. </w:t>
      </w:r>
    </w:p>
    <w:p w14:paraId="62FBBCB5"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fix internal weaknesses (W), the hotel can create opportunities to implement digital HR solutions, including self-scheduling systems and engagement surveys, to eliminate communication gaps and improve staff experience (W-O). Moreover, career progression pathways will be developed to retain and develop internal talent. As a measure to mitigate external threats (W-T), Hilton must transform its staffing design to reduce its dependence on disposable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develop long-term talent pipelines (Ahmad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Lastly, to avoid incongruity in services and loss of image due to negative employee-related guest comments, it is important to develop effective internal communication methodologies. The strategies offer a holistic solution 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sustainability in the long run as well as enhanced employee participation.</w:t>
      </w:r>
    </w:p>
    <w:p w14:paraId="6E8363B6" w14:textId="77777777" w:rsidR="005F292A" w:rsidRDefault="00000000">
      <w:pPr>
        <w:pStyle w:val="Heading1"/>
      </w:pPr>
      <w:bookmarkStart w:id="10" w:name="_Toc200732376"/>
      <w:r>
        <w:t>Recommendations and Change Management</w:t>
      </w:r>
      <w:bookmarkEnd w:id="10"/>
      <w:r>
        <w:t xml:space="preserve"> </w:t>
      </w:r>
    </w:p>
    <w:p w14:paraId="419535E7"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critical analysis of the operational and human resource issues currently faced by Hilton London Bankside, this section proposes a detailed list of recommendations and change management approaches to resolve the following major problems observed: high employee turnover, lacking employee engagement, insufficient development opportunities, ineffective internal communication and excessive use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(Hilton, 2025). All the recommendations are tactically combined and geared towards the vision and operational realities of the hotel as well as the demands of the external environment to make them pragmatic but futuristic.</w:t>
      </w:r>
    </w:p>
    <w:p w14:paraId="1441B144"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Implement a Comprehensive Digital HR System</w:t>
      </w:r>
    </w:p>
    <w:tbl>
      <w:tblPr>
        <w:tblStyle w:val="Style15"/>
        <w:tblW w:w="9510" w:type="dxa"/>
        <w:tblInd w:w="0" w:type="dxa"/>
        <w:tblLayout w:type="fixed"/>
        <w:tblLook w:val="04A0" w:firstRow="1" w:lastRow="0" w:firstColumn="1" w:lastColumn="0" w:noHBand="0" w:noVBand="1"/>
      </w:tblPr>
      <w:tblGrid>
        <w:gridCol w:w="2040"/>
        <w:gridCol w:w="7470"/>
      </w:tblGrid>
      <w:tr w:rsidR="005F292A" w14:paraId="29E4131D" w14:textId="77777777">
        <w:trPr>
          <w:trHeight w:val="615"/>
        </w:trPr>
        <w:tc>
          <w:tcPr>
            <w:tcW w:w="2040" w:type="dxa"/>
            <w:tcBorders>
              <w:top w:val="single" w:sz="8" w:space="0" w:color="000000"/>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373A491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7470" w:type="dxa"/>
            <w:tcBorders>
              <w:top w:val="single" w:sz="8" w:space="0" w:color="000000"/>
              <w:left w:val="nil"/>
              <w:bottom w:val="single" w:sz="8" w:space="0" w:color="000000"/>
              <w:right w:val="single" w:sz="8" w:space="0" w:color="000000"/>
            </w:tcBorders>
            <w:shd w:val="clear" w:color="auto" w:fill="E2EFD9"/>
            <w:tcMar>
              <w:top w:w="0" w:type="dxa"/>
              <w:left w:w="100" w:type="dxa"/>
              <w:bottom w:w="0" w:type="dxa"/>
              <w:right w:w="100" w:type="dxa"/>
            </w:tcMar>
          </w:tcPr>
          <w:p w14:paraId="52127A21"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Details</w:t>
            </w:r>
          </w:p>
        </w:tc>
      </w:tr>
      <w:tr w:rsidR="005F292A" w14:paraId="0D0AA3C0" w14:textId="77777777">
        <w:trPr>
          <w:trHeight w:val="108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DBE122F"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6FCC55F6"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a comprehensive digital HR platform (Workday, BambooHR)</w:t>
            </w:r>
          </w:p>
        </w:tc>
      </w:tr>
      <w:tr w:rsidR="005F292A" w14:paraId="382945C1" w14:textId="77777777">
        <w:trPr>
          <w:trHeight w:val="108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C38A71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Rationale</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546EC285"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Solve internal communication issues, enhance engagement, and enable development</w:t>
            </w:r>
          </w:p>
        </w:tc>
      </w:tr>
      <w:tr w:rsidR="005F292A" w14:paraId="2FF1D01E" w14:textId="77777777">
        <w:trPr>
          <w:trHeight w:val="61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265C3FF"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Phases</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351CE108"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Phase 1: Vendor selection; Phase 2: Pilot; Phase 3: Full rollout</w:t>
            </w:r>
          </w:p>
        </w:tc>
      </w:tr>
      <w:tr w:rsidR="005F292A" w14:paraId="00470592" w14:textId="77777777">
        <w:trPr>
          <w:trHeight w:val="63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AC9CB10"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Strategy</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5A801F8B"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Kotter’s 8-Step Model</w:t>
            </w:r>
          </w:p>
        </w:tc>
      </w:tr>
      <w:tr w:rsidR="005F292A" w14:paraId="3079C76A" w14:textId="77777777">
        <w:trPr>
          <w:trHeight w:val="61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FAD5EFF"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792235E0"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Surveys, usage analytics, feedback rates, and reduced complaints</w:t>
            </w:r>
          </w:p>
        </w:tc>
      </w:tr>
      <w:tr w:rsidR="005F292A" w14:paraId="09A34A48" w14:textId="77777777">
        <w:trPr>
          <w:trHeight w:val="63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AE3FCB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Costs</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2762855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£70,000 initial, £15,000 annually</w:t>
            </w:r>
          </w:p>
        </w:tc>
      </w:tr>
      <w:tr w:rsidR="005F292A" w14:paraId="16A101B0" w14:textId="77777777">
        <w:trPr>
          <w:trHeight w:val="61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8656B8B"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Benefits</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45DBA6F6"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morale, data-driven HR, improved retention and scheduling</w:t>
            </w:r>
          </w:p>
        </w:tc>
      </w:tr>
    </w:tbl>
    <w:p w14:paraId="39CA7A01" w14:textId="77777777" w:rsidR="005F292A" w:rsidRDefault="005F292A">
      <w:pPr>
        <w:spacing w:line="360" w:lineRule="auto"/>
        <w:jc w:val="both"/>
        <w:rPr>
          <w:rFonts w:ascii="Times New Roman" w:eastAsia="Times New Roman" w:hAnsi="Times New Roman" w:cs="Times New Roman"/>
          <w:sz w:val="24"/>
          <w:szCs w:val="24"/>
        </w:rPr>
      </w:pPr>
    </w:p>
    <w:p w14:paraId="27B753A1"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solution to Hilton London Bankside is the implementation of a digital HR platform, including Workday, BambooHR, or Oracle HCM, which will partially solve a variety of root causes of the problems observed during the consultancy analysis (Dutta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These are failures in internal communication, poor employee growth and administrative inefficiency. An electronic system combining scheduling, feedback, learning, and well-being monitoring can help to empower the staff and the HR team, providing more freedom and encouraging the culture of openness and assistance.</w:t>
      </w:r>
    </w:p>
    <w:p w14:paraId="3F10041B"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gradual adoption guarantees risk management and successful adaptation. Phase 1 will focus on the current HR capacity and identify the most appropriate vendor regarding the scale of Hilton operations, compliance requirements and employee demographics. Phase 2 is dedicated to testing the system in one department (housekeeping or front office)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functionality, generate early feedback and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the transition to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-wide usage (</w:t>
      </w:r>
      <w:proofErr w:type="spellStart"/>
      <w:r>
        <w:rPr>
          <w:rFonts w:ascii="Times New Roman" w:eastAsia="Times New Roman" w:hAnsi="Times New Roman" w:cs="Times New Roman"/>
          <w:sz w:val="24"/>
          <w:szCs w:val="24"/>
        </w:rPr>
        <w:t>Ervina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Phase 3 involves a full departmental implementation, including proper training and technical assistance during the onboarding process.</w:t>
      </w:r>
    </w:p>
    <w:p w14:paraId="647A579F"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8-Step Change Model developed by Kotter offers a powerful framework to guide this change. The hotel can gain momentum by establishing a sense of urgency, which can be achieved by communicating new staff feedback and turnover rates (</w:t>
      </w:r>
      <w:proofErr w:type="spellStart"/>
      <w:r>
        <w:rPr>
          <w:rFonts w:ascii="Times New Roman" w:eastAsia="Times New Roman" w:hAnsi="Times New Roman" w:cs="Times New Roman"/>
          <w:sz w:val="24"/>
          <w:szCs w:val="24"/>
        </w:rPr>
        <w:t>Laig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Abocejo</w:t>
      </w:r>
      <w:proofErr w:type="spellEnd"/>
      <w:r>
        <w:rPr>
          <w:rFonts w:ascii="Times New Roman" w:eastAsia="Times New Roman" w:hAnsi="Times New Roman" w:cs="Times New Roman"/>
          <w:sz w:val="24"/>
          <w:szCs w:val="24"/>
        </w:rPr>
        <w:t xml:space="preserve">, 2021). Using the </w:t>
      </w:r>
      <w:r>
        <w:rPr>
          <w:rFonts w:ascii="Times New Roman" w:eastAsia="Times New Roman" w:hAnsi="Times New Roman" w:cs="Times New Roman"/>
          <w:sz w:val="24"/>
          <w:szCs w:val="24"/>
        </w:rPr>
        <w:lastRenderedPageBreak/>
        <w:t xml:space="preserve">department heads as change champions can also close the communication gap. The end picture of a modern people-first workplace needs to be shared at all levels. </w:t>
      </w:r>
    </w:p>
    <w:p w14:paraId="44806A78" w14:textId="77777777" w:rsidR="005F292A" w:rsidRDefault="00000000">
      <w:pPr>
        <w:spacing w:line="360" w:lineRule="auto"/>
        <w:jc w:val="center"/>
        <w:rPr>
          <w:rFonts w:ascii="Times New Roman" w:eastAsia="Times New Roman" w:hAnsi="Times New Roman" w:cs="Times New Roman"/>
          <w:sz w:val="24"/>
          <w:szCs w:val="24"/>
        </w:rPr>
      </w:pPr>
      <w:r>
        <w:rPr>
          <w:noProof/>
        </w:rPr>
        <w:drawing>
          <wp:inline distT="0" distB="0" distL="0" distR="0" wp14:anchorId="32E2F294" wp14:editId="4780E8D7">
            <wp:extent cx="2794000" cy="2429510"/>
            <wp:effectExtent l="38100" t="38100" r="44450" b="46990"/>
            <wp:docPr id="184237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7447" name="Picture 1"/>
                    <pic:cNvPicPr>
                      <a:picLocks noChangeAspect="1"/>
                    </pic:cNvPicPr>
                  </pic:nvPicPr>
                  <pic:blipFill>
                    <a:blip r:embed="rId10"/>
                    <a:stretch>
                      <a:fillRect/>
                    </a:stretch>
                  </pic:blipFill>
                  <pic:spPr>
                    <a:xfrm>
                      <a:off x="0" y="0"/>
                      <a:ext cx="2801943" cy="2436433"/>
                    </a:xfrm>
                    <a:prstGeom prst="rect">
                      <a:avLst/>
                    </a:prstGeom>
                    <a:ln w="28575">
                      <a:solidFill>
                        <a:schemeClr val="tx1"/>
                      </a:solidFill>
                    </a:ln>
                  </pic:spPr>
                </pic:pic>
              </a:graphicData>
            </a:graphic>
          </wp:inline>
        </w:drawing>
      </w:r>
    </w:p>
    <w:p w14:paraId="0D81532A" w14:textId="77777777" w:rsidR="005F292A"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Kotter’s 8 Step Change Model</w:t>
      </w:r>
    </w:p>
    <w:p w14:paraId="3560365E" w14:textId="77777777" w:rsidR="005F292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Inspired by </w:t>
      </w:r>
      <w:proofErr w:type="spellStart"/>
      <w:r>
        <w:rPr>
          <w:rFonts w:ascii="Times New Roman" w:eastAsia="Times New Roman" w:hAnsi="Times New Roman" w:cs="Times New Roman"/>
          <w:sz w:val="24"/>
          <w:szCs w:val="24"/>
        </w:rPr>
        <w:t>Laig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Abocejo</w:t>
      </w:r>
      <w:proofErr w:type="spellEnd"/>
      <w:r>
        <w:rPr>
          <w:rFonts w:ascii="Times New Roman" w:eastAsia="Times New Roman" w:hAnsi="Times New Roman" w:cs="Times New Roman"/>
          <w:sz w:val="24"/>
          <w:szCs w:val="24"/>
        </w:rPr>
        <w:t>, 2021)</w:t>
      </w:r>
    </w:p>
    <w:p w14:paraId="47129242"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provision of training workshops, milestone rewards and anonymous feedback mechanisms will enable employees and strengthen loyalty. The measurement mechanisms are surveys after the implementation, platform usage data, a decrease in the number of complaints about scheduling done manually, and a higher rate of response to employee feedback. These will give quantitative and qualitative feedback on the effectiveness of the platform (Jaiswal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Its financial cost of around £70,000 initially and 15,000 every year is acceptable considering the size and central London positioning of Hilton Bankside. Cost savings: less administrative time and turnover will be decreased. All in all, the implementation of a comprehensive HR platform will help </w:t>
      </w:r>
      <w:proofErr w:type="spellStart"/>
      <w:r>
        <w:rPr>
          <w:rFonts w:ascii="Times New Roman" w:eastAsia="Times New Roman" w:hAnsi="Times New Roman" w:cs="Times New Roman"/>
          <w:sz w:val="24"/>
          <w:szCs w:val="24"/>
        </w:rPr>
        <w:t>modernise</w:t>
      </w:r>
      <w:proofErr w:type="spellEnd"/>
      <w:r>
        <w:rPr>
          <w:rFonts w:ascii="Times New Roman" w:eastAsia="Times New Roman" w:hAnsi="Times New Roman" w:cs="Times New Roman"/>
          <w:sz w:val="24"/>
          <w:szCs w:val="24"/>
        </w:rPr>
        <w:t xml:space="preserve"> the approach to workforce management at Hilton London Bankside to a considerable extent, increase employee satisfaction, and align the hotel with the latest trends in hospitality-related HR (</w:t>
      </w:r>
      <w:proofErr w:type="spellStart"/>
      <w:r>
        <w:rPr>
          <w:rFonts w:ascii="Times New Roman" w:eastAsia="Times New Roman" w:hAnsi="Times New Roman" w:cs="Times New Roman"/>
          <w:sz w:val="24"/>
          <w:szCs w:val="24"/>
        </w:rPr>
        <w:t>Suwaji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2E81CD36"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Establish In-House Career Progression and Leadership Development </w:t>
      </w:r>
      <w:proofErr w:type="spellStart"/>
      <w:r>
        <w:rPr>
          <w:rFonts w:ascii="Times New Roman" w:eastAsia="Times New Roman" w:hAnsi="Times New Roman" w:cs="Times New Roman"/>
          <w:b/>
          <w:sz w:val="24"/>
          <w:szCs w:val="24"/>
        </w:rPr>
        <w:t>Programmes</w:t>
      </w:r>
      <w:proofErr w:type="spellEnd"/>
    </w:p>
    <w:tbl>
      <w:tblPr>
        <w:tblStyle w:val="Style16"/>
        <w:tblW w:w="9510" w:type="dxa"/>
        <w:tblInd w:w="0" w:type="dxa"/>
        <w:tblLayout w:type="fixed"/>
        <w:tblLook w:val="04A0" w:firstRow="1" w:lastRow="0" w:firstColumn="1" w:lastColumn="0" w:noHBand="0" w:noVBand="1"/>
      </w:tblPr>
      <w:tblGrid>
        <w:gridCol w:w="2040"/>
        <w:gridCol w:w="7470"/>
      </w:tblGrid>
      <w:tr w:rsidR="005F292A" w14:paraId="0D8AF949" w14:textId="77777777">
        <w:trPr>
          <w:trHeight w:val="540"/>
        </w:trPr>
        <w:tc>
          <w:tcPr>
            <w:tcW w:w="2040" w:type="dxa"/>
            <w:tcBorders>
              <w:top w:val="single" w:sz="8" w:space="0" w:color="000000"/>
              <w:left w:val="single" w:sz="8" w:space="0" w:color="000000"/>
              <w:bottom w:val="single" w:sz="8" w:space="0" w:color="000000"/>
              <w:right w:val="single" w:sz="8" w:space="0" w:color="000000"/>
            </w:tcBorders>
            <w:shd w:val="clear" w:color="auto" w:fill="FBE4D5"/>
            <w:tcMar>
              <w:top w:w="0" w:type="dxa"/>
              <w:left w:w="100" w:type="dxa"/>
              <w:bottom w:w="0" w:type="dxa"/>
              <w:right w:w="100" w:type="dxa"/>
            </w:tcMar>
          </w:tcPr>
          <w:p w14:paraId="44AA6549"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747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57FC8519"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Details</w:t>
            </w:r>
          </w:p>
        </w:tc>
      </w:tr>
      <w:tr w:rsidR="005F292A" w14:paraId="224466C7" w14:textId="77777777">
        <w:trPr>
          <w:trHeight w:val="90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78A19E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78103EC1"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Launch the Hilton London Bankside Leadership Academy for staff development</w:t>
            </w:r>
          </w:p>
        </w:tc>
      </w:tr>
      <w:tr w:rsidR="005F292A" w14:paraId="71F3E9D8" w14:textId="77777777">
        <w:trPr>
          <w:trHeight w:val="54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527B317"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Rationale</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4F0E482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Address turnover by offering clear growth and learning pathways</w:t>
            </w:r>
          </w:p>
        </w:tc>
      </w:tr>
      <w:tr w:rsidR="005F292A" w14:paraId="4F63AD46" w14:textId="77777777">
        <w:trPr>
          <w:trHeight w:val="90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55EFB3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17D7DDC6"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Curriculum with external providers, mentorship, tracked via HR platform</w:t>
            </w:r>
          </w:p>
        </w:tc>
      </w:tr>
      <w:tr w:rsidR="005F292A" w14:paraId="42C922D0" w14:textId="77777777">
        <w:trPr>
          <w:trHeight w:val="54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DFB470C"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Strategy</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6BE1716C"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Lewin’s Three-Stage Model (Unfreeze, Change, Refreeze)</w:t>
            </w:r>
          </w:p>
        </w:tc>
      </w:tr>
      <w:tr w:rsidR="005F292A" w14:paraId="71F62E54" w14:textId="77777777">
        <w:trPr>
          <w:trHeight w:val="54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94952AA"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4CF51A13"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promotion rates, staff retention,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participation</w:t>
            </w:r>
          </w:p>
        </w:tc>
      </w:tr>
      <w:tr w:rsidR="005F292A" w14:paraId="33727D44" w14:textId="77777777">
        <w:trPr>
          <w:trHeight w:val="54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C5C4E25"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Costs</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4C2E9E0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£45,000 per year</w:t>
            </w:r>
          </w:p>
        </w:tc>
      </w:tr>
      <w:tr w:rsidR="005F292A" w14:paraId="53CD1292" w14:textId="77777777">
        <w:trPr>
          <w:trHeight w:val="90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A3C6F0C"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Benefits</w:t>
            </w:r>
          </w:p>
        </w:tc>
        <w:tc>
          <w:tcPr>
            <w:tcW w:w="7470" w:type="dxa"/>
            <w:tcBorders>
              <w:top w:val="nil"/>
              <w:left w:val="nil"/>
              <w:bottom w:val="single" w:sz="8" w:space="0" w:color="000000"/>
              <w:right w:val="single" w:sz="8" w:space="0" w:color="000000"/>
            </w:tcBorders>
            <w:tcMar>
              <w:top w:w="0" w:type="dxa"/>
              <w:left w:w="100" w:type="dxa"/>
              <w:bottom w:w="0" w:type="dxa"/>
              <w:right w:w="100" w:type="dxa"/>
            </w:tcMar>
          </w:tcPr>
          <w:p w14:paraId="0B7CF4E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turnover, stronger service quality, improved employer brand</w:t>
            </w:r>
          </w:p>
        </w:tc>
      </w:tr>
    </w:tbl>
    <w:p w14:paraId="7D4E4925" w14:textId="77777777" w:rsidR="005F292A" w:rsidRDefault="005F292A">
      <w:pPr>
        <w:spacing w:line="360" w:lineRule="auto"/>
        <w:jc w:val="both"/>
        <w:rPr>
          <w:rFonts w:ascii="Times New Roman" w:eastAsia="Times New Roman" w:hAnsi="Times New Roman" w:cs="Times New Roman"/>
          <w:sz w:val="24"/>
          <w:szCs w:val="24"/>
        </w:rPr>
      </w:pPr>
    </w:p>
    <w:p w14:paraId="3F59160A"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much-needed intervention that can be implemented to improve the current situation with employee turnover and engagement in Hilton London Bankside is the introduction of an in-house career progression and leadership development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The new program, which could be called the Hilton London Bankside Leadership Academy, would offer an inspirational and structured career progression to frontline colleagues, team leaders/managers and potential talent (</w:t>
      </w:r>
      <w:proofErr w:type="spellStart"/>
      <w:r>
        <w:rPr>
          <w:rFonts w:ascii="Times New Roman" w:eastAsia="Times New Roman" w:hAnsi="Times New Roman" w:cs="Times New Roman"/>
          <w:sz w:val="24"/>
          <w:szCs w:val="24"/>
        </w:rPr>
        <w:t>Gámez</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It correlates with the fact that the need for professional development opportunities was identified, and no clear progression framework is present in the hotel.</w:t>
      </w:r>
    </w:p>
    <w:p w14:paraId="57AF5260"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would be designed with recognition of quality hospitality training bodies like the Institute of Hospitality. It would mix upskilling (technical) with leadership components and soft skills development. Secondly, an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mentorship program and inter-functional training would increase employee exposure to various operations, making them more agile in their operations (Dang, 2023). It is integrated with the digital HR platform so that the learning accomplishment, course completion and milestones are displayed using digital badges and certification.</w:t>
      </w:r>
    </w:p>
    <w:p w14:paraId="7BF8176B"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incorporate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successfully, the Change Management Model developed by Lewin will provide a convenient scheme. The Unfreeze phase will entail the communication of the necessity of the initiative to the staff by means of forums and town halls, soliciting employee feedback (</w:t>
      </w:r>
      <w:proofErr w:type="spellStart"/>
      <w:r>
        <w:rPr>
          <w:rFonts w:ascii="Times New Roman" w:eastAsia="Times New Roman" w:hAnsi="Times New Roman" w:cs="Times New Roman"/>
          <w:sz w:val="24"/>
          <w:szCs w:val="24"/>
        </w:rPr>
        <w:t>Hrabenko</w:t>
      </w:r>
      <w:proofErr w:type="spellEnd"/>
      <w:r>
        <w:rPr>
          <w:rFonts w:ascii="Times New Roman" w:eastAsia="Times New Roman" w:hAnsi="Times New Roman" w:cs="Times New Roman"/>
          <w:sz w:val="24"/>
          <w:szCs w:val="24"/>
        </w:rPr>
        <w:t xml:space="preserve"> and Chen, 2023). During the Change stage, the development tracks will be </w:t>
      </w:r>
      <w:r>
        <w:rPr>
          <w:rFonts w:ascii="Times New Roman" w:eastAsia="Times New Roman" w:hAnsi="Times New Roman" w:cs="Times New Roman"/>
          <w:sz w:val="24"/>
          <w:szCs w:val="24"/>
        </w:rPr>
        <w:lastRenderedPageBreak/>
        <w:t>designed together with the staff and managers, and the design will be owned jointly and will be relevant. Lastly, during the stage of “Refreeze”, the accomplishment will be cemented into the institution via HR policies, public acclaim programs, in addition to frequent performance appraisal.</w:t>
      </w:r>
    </w:p>
    <w:p w14:paraId="77A76F4F" w14:textId="77777777" w:rsidR="005F292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measurement of impact will be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by monitoring the promotion rates,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enrolment levels and retention information on the trained employees. Learning experiences will be refined as well based on the qualitative feedback (Pan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expected expense of 45000 pounds per year includes hiring professional facilitators, learning resources, and the time that staff members will spend in training. This is relatively a small investment in a central London hotel of the </w:t>
      </w:r>
      <w:proofErr w:type="spellStart"/>
      <w:r>
        <w:rPr>
          <w:rFonts w:ascii="Times New Roman" w:eastAsia="Times New Roman" w:hAnsi="Times New Roman" w:cs="Times New Roman"/>
          <w:sz w:val="24"/>
          <w:szCs w:val="24"/>
        </w:rPr>
        <w:t>calibre</w:t>
      </w:r>
      <w:proofErr w:type="spellEnd"/>
      <w:r>
        <w:rPr>
          <w:rFonts w:ascii="Times New Roman" w:eastAsia="Times New Roman" w:hAnsi="Times New Roman" w:cs="Times New Roman"/>
          <w:sz w:val="24"/>
          <w:szCs w:val="24"/>
        </w:rPr>
        <w:t xml:space="preserve"> of Hilton and is bound to save the hotel a lot of money in recruitment drives and employee retention (Lestari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14:paraId="6D662B3F"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Redesign the Employee Well-being and Mental Health Framework</w:t>
      </w:r>
    </w:p>
    <w:tbl>
      <w:tblPr>
        <w:tblStyle w:val="Style17"/>
        <w:tblW w:w="9555" w:type="dxa"/>
        <w:tblInd w:w="0" w:type="dxa"/>
        <w:tblLayout w:type="fixed"/>
        <w:tblLook w:val="04A0" w:firstRow="1" w:lastRow="0" w:firstColumn="1" w:lastColumn="0" w:noHBand="0" w:noVBand="1"/>
      </w:tblPr>
      <w:tblGrid>
        <w:gridCol w:w="2040"/>
        <w:gridCol w:w="7515"/>
      </w:tblGrid>
      <w:tr w:rsidR="005F292A" w14:paraId="50F47286" w14:textId="77777777">
        <w:trPr>
          <w:trHeight w:val="555"/>
        </w:trPr>
        <w:tc>
          <w:tcPr>
            <w:tcW w:w="2040" w:type="dxa"/>
            <w:tcBorders>
              <w:top w:val="single" w:sz="8" w:space="0" w:color="000000"/>
              <w:left w:val="single" w:sz="8" w:space="0" w:color="000000"/>
              <w:bottom w:val="single" w:sz="8" w:space="0" w:color="000000"/>
              <w:right w:val="single" w:sz="8" w:space="0" w:color="000000"/>
            </w:tcBorders>
            <w:shd w:val="clear" w:color="auto" w:fill="D9E2F3"/>
            <w:tcMar>
              <w:top w:w="0" w:type="dxa"/>
              <w:left w:w="100" w:type="dxa"/>
              <w:bottom w:w="0" w:type="dxa"/>
              <w:right w:w="100" w:type="dxa"/>
            </w:tcMar>
          </w:tcPr>
          <w:p w14:paraId="03961257"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7515" w:type="dxa"/>
            <w:tcBorders>
              <w:top w:val="single" w:sz="8" w:space="0" w:color="000000"/>
              <w:left w:val="nil"/>
              <w:bottom w:val="single" w:sz="8" w:space="0" w:color="000000"/>
              <w:right w:val="single" w:sz="8" w:space="0" w:color="000000"/>
            </w:tcBorders>
            <w:shd w:val="clear" w:color="auto" w:fill="D9E2F3"/>
            <w:tcMar>
              <w:top w:w="0" w:type="dxa"/>
              <w:left w:w="100" w:type="dxa"/>
              <w:bottom w:w="0" w:type="dxa"/>
              <w:right w:w="100" w:type="dxa"/>
            </w:tcMar>
          </w:tcPr>
          <w:p w14:paraId="2F4A5039"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Details</w:t>
            </w:r>
          </w:p>
        </w:tc>
      </w:tr>
      <w:tr w:rsidR="005F292A" w14:paraId="2C586CDD" w14:textId="77777777">
        <w:trPr>
          <w:trHeight w:val="900"/>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4CDA5406"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6ED63FBF"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a structured mental health strategy with counselling &amp; wellness</w:t>
            </w:r>
          </w:p>
        </w:tc>
      </w:tr>
      <w:tr w:rsidR="005F292A" w14:paraId="42364FA3" w14:textId="77777777">
        <w:trPr>
          <w:trHeight w:val="900"/>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5755121B"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Rationale</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75A47C02"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Combat post-pandemic stress, promote retention, and meet ethical expectations</w:t>
            </w:r>
          </w:p>
        </w:tc>
      </w:tr>
      <w:tr w:rsidR="005F292A" w14:paraId="603078FF" w14:textId="77777777">
        <w:trPr>
          <w:trHeight w:val="900"/>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389A043F"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07A1AB2C"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with Hospitality Action, train managers, and create wellness activities</w:t>
            </w:r>
          </w:p>
        </w:tc>
      </w:tr>
      <w:tr w:rsidR="005F292A" w14:paraId="5162473E" w14:textId="77777777">
        <w:trPr>
          <w:trHeight w:val="900"/>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3E9EA973"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Strategy</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67D7804F"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ADKAR Model (Awareness, Desire, Knowledge, Ability, Reinforcement)</w:t>
            </w:r>
          </w:p>
        </w:tc>
      </w:tr>
      <w:tr w:rsidR="005F292A" w14:paraId="0414EBBD" w14:textId="77777777">
        <w:trPr>
          <w:trHeight w:val="555"/>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4253E89E"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280FE019"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Absenteeism rates, wellness survey feedback, and resource usage</w:t>
            </w:r>
          </w:p>
        </w:tc>
      </w:tr>
      <w:tr w:rsidR="005F292A" w14:paraId="431B5486" w14:textId="77777777">
        <w:trPr>
          <w:trHeight w:val="555"/>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31A45E2B"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Costs</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09BD6D6B"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 annually</w:t>
            </w:r>
          </w:p>
        </w:tc>
      </w:tr>
      <w:tr w:rsidR="005F292A" w14:paraId="6076FC1B" w14:textId="77777777">
        <w:trPr>
          <w:trHeight w:val="540"/>
        </w:trPr>
        <w:tc>
          <w:tcPr>
            <w:tcW w:w="2040"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0A866A6E"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Benefits</w:t>
            </w:r>
          </w:p>
        </w:tc>
        <w:tc>
          <w:tcPr>
            <w:tcW w:w="751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61ADB7F4"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morale, reduced burnout, enhanced employer branding</w:t>
            </w:r>
          </w:p>
        </w:tc>
      </w:tr>
    </w:tbl>
    <w:p w14:paraId="4FB28A4C" w14:textId="77777777" w:rsidR="005F292A" w:rsidRDefault="005F292A">
      <w:pPr>
        <w:spacing w:line="360" w:lineRule="auto"/>
        <w:jc w:val="both"/>
        <w:rPr>
          <w:rFonts w:ascii="Times New Roman" w:eastAsia="Times New Roman" w:hAnsi="Times New Roman" w:cs="Times New Roman"/>
          <w:sz w:val="24"/>
          <w:szCs w:val="24"/>
        </w:rPr>
      </w:pPr>
    </w:p>
    <w:p w14:paraId="0F70746E"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reconstruction of the employee welfare and mental health system is an essential move towards solving the current predicaments Hilton London Bankside is experiencing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staff engagement and retention. Hospitality has always been a stressful industry, but the pandemic has </w:t>
      </w:r>
      <w:r>
        <w:rPr>
          <w:rFonts w:ascii="Times New Roman" w:eastAsia="Times New Roman" w:hAnsi="Times New Roman" w:cs="Times New Roman"/>
          <w:sz w:val="24"/>
          <w:szCs w:val="24"/>
        </w:rPr>
        <w:lastRenderedPageBreak/>
        <w:t xml:space="preserve">contributed to an emotional burden after work because of the lengthy working hours, scarce resources, and job insecurity (Abbas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With the help of a well-developed approach to mental health, the hotel will be able to show that it practices ethical employment, gets value-based talent, and builds a healthier culture within the walls of the workplace.</w:t>
      </w:r>
    </w:p>
    <w:p w14:paraId="682F6C3C"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suggested framework involves direct collaboration with local mental health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Hospitality Action, which guarantees reputable assistance. HR policies would include regular mental health check-ins and the possibility of mental health leave, and trained counsellors would be available to staff (</w:t>
      </w:r>
      <w:proofErr w:type="spellStart"/>
      <w:r>
        <w:rPr>
          <w:rFonts w:ascii="Times New Roman" w:eastAsia="Times New Roman" w:hAnsi="Times New Roman" w:cs="Times New Roman"/>
          <w:sz w:val="24"/>
          <w:szCs w:val="24"/>
        </w:rPr>
        <w:t>Okon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Moreover, monthly wellness events, as well as implementing wellness rooms (on-site), would help release the stress. Training line managers on mental health first aid will guarantee that it is those managers who identify and address the problem at its early stages in an empathetic and professional manner.</w:t>
      </w:r>
    </w:p>
    <w:p w14:paraId="7E58368D"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ADKAR model will be used to manage change: Awareness will be established by using internal newsletters and wellness campaigns; Desire will be established by using real-life success stories and employee testimonials; Knowledge and Ability will be established by using training and access to mental health resources; Reinforcement will be established by using feedback surveys, continued support, and visible leadership commitment (Kaiser and </w:t>
      </w:r>
      <w:proofErr w:type="spellStart"/>
      <w:r>
        <w:rPr>
          <w:rFonts w:ascii="Times New Roman" w:eastAsia="Times New Roman" w:hAnsi="Times New Roman" w:cs="Times New Roman"/>
          <w:sz w:val="24"/>
          <w:szCs w:val="24"/>
        </w:rPr>
        <w:t>Schwertner</w:t>
      </w:r>
      <w:proofErr w:type="spellEnd"/>
      <w:r>
        <w:rPr>
          <w:rFonts w:ascii="Times New Roman" w:eastAsia="Times New Roman" w:hAnsi="Times New Roman" w:cs="Times New Roman"/>
          <w:sz w:val="24"/>
          <w:szCs w:val="24"/>
        </w:rPr>
        <w:t xml:space="preserve">, 2022). Success will be measured by keeping track of the absenteeism rates,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rate of the counselling services and staff satisfaction through survey questions relating to wellness. The investment is also small considering the possible cost effects in terms of reduced turnover and absenteeism at a yearly expense of about 30000 pounds. Finally, the transformed structure and its framework facilitate a psychologically safe workplace, increase resiliency among staff members and improve the Hilton brand reputation as a responsible, inclusive employer in a very competitive London hospitality industry.</w:t>
      </w:r>
    </w:p>
    <w:p w14:paraId="1931A9A0"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proofErr w:type="spellStart"/>
      <w:r>
        <w:rPr>
          <w:rFonts w:ascii="Times New Roman" w:eastAsia="Times New Roman" w:hAnsi="Times New Roman" w:cs="Times New Roman"/>
          <w:b/>
          <w:sz w:val="24"/>
          <w:szCs w:val="24"/>
        </w:rPr>
        <w:t>Optimise</w:t>
      </w:r>
      <w:proofErr w:type="spellEnd"/>
      <w:r>
        <w:rPr>
          <w:rFonts w:ascii="Times New Roman" w:eastAsia="Times New Roman" w:hAnsi="Times New Roman" w:cs="Times New Roman"/>
          <w:b/>
          <w:sz w:val="24"/>
          <w:szCs w:val="24"/>
        </w:rPr>
        <w:t xml:space="preserve"> Staffing Model to Reduce Overreliance on Casual </w:t>
      </w:r>
      <w:proofErr w:type="spellStart"/>
      <w:r>
        <w:rPr>
          <w:rFonts w:ascii="Times New Roman" w:eastAsia="Times New Roman" w:hAnsi="Times New Roman" w:cs="Times New Roman"/>
          <w:b/>
          <w:sz w:val="24"/>
          <w:szCs w:val="24"/>
        </w:rPr>
        <w:t>Labour</w:t>
      </w:r>
      <w:proofErr w:type="spellEnd"/>
    </w:p>
    <w:tbl>
      <w:tblPr>
        <w:tblStyle w:val="Style18"/>
        <w:tblW w:w="9615" w:type="dxa"/>
        <w:tblInd w:w="0" w:type="dxa"/>
        <w:tblLayout w:type="fixed"/>
        <w:tblLook w:val="04A0" w:firstRow="1" w:lastRow="0" w:firstColumn="1" w:lastColumn="0" w:noHBand="0" w:noVBand="1"/>
      </w:tblPr>
      <w:tblGrid>
        <w:gridCol w:w="2040"/>
        <w:gridCol w:w="7575"/>
      </w:tblGrid>
      <w:tr w:rsidR="005F292A" w14:paraId="54CAF5B9" w14:textId="77777777">
        <w:trPr>
          <w:trHeight w:val="555"/>
        </w:trPr>
        <w:tc>
          <w:tcPr>
            <w:tcW w:w="2040" w:type="dxa"/>
            <w:tcBorders>
              <w:top w:val="single" w:sz="8" w:space="0" w:color="000000"/>
              <w:left w:val="single" w:sz="8" w:space="0" w:color="000000"/>
              <w:bottom w:val="single" w:sz="8" w:space="0" w:color="000000"/>
              <w:right w:val="single" w:sz="8" w:space="0" w:color="000000"/>
            </w:tcBorders>
            <w:shd w:val="clear" w:color="auto" w:fill="FBE4D5"/>
            <w:tcMar>
              <w:top w:w="0" w:type="dxa"/>
              <w:left w:w="100" w:type="dxa"/>
              <w:bottom w:w="0" w:type="dxa"/>
              <w:right w:w="100" w:type="dxa"/>
            </w:tcMar>
          </w:tcPr>
          <w:p w14:paraId="21450FE8"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Component</w:t>
            </w:r>
          </w:p>
        </w:tc>
        <w:tc>
          <w:tcPr>
            <w:tcW w:w="7575"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717FF445"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Details</w:t>
            </w:r>
          </w:p>
        </w:tc>
      </w:tr>
      <w:tr w:rsidR="005F292A" w14:paraId="628846D5" w14:textId="77777777">
        <w:trPr>
          <w:trHeight w:val="91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941A163"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35D90B03"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Transition to permanent and part-time contracts with multi-skilled staff</w:t>
            </w:r>
          </w:p>
        </w:tc>
      </w:tr>
      <w:tr w:rsidR="005F292A" w14:paraId="1B0D5977" w14:textId="77777777">
        <w:trPr>
          <w:trHeight w:val="55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11243EE"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Rationale</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54C4C02D"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reduces team cohesion and service consistency</w:t>
            </w:r>
          </w:p>
        </w:tc>
      </w:tr>
      <w:tr w:rsidR="005F292A" w14:paraId="71F6C7FB" w14:textId="77777777">
        <w:trPr>
          <w:trHeight w:val="91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A2DD8E9"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Implementation</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7BE742B3"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workforce audit, replace casual roles, use HR data for planning</w:t>
            </w:r>
          </w:p>
        </w:tc>
      </w:tr>
      <w:tr w:rsidR="005F292A" w14:paraId="5361B152" w14:textId="77777777">
        <w:trPr>
          <w:trHeight w:val="540"/>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362EB3C"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Strategy</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24E72ACD"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involvement, exit interview insights, pilot shifts, recognition</w:t>
            </w:r>
          </w:p>
        </w:tc>
      </w:tr>
      <w:tr w:rsidR="005F292A" w14:paraId="1EAE9279" w14:textId="77777777">
        <w:trPr>
          <w:trHeight w:val="55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5DC6F21"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Measurement</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54A024BF"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satisfaction, reduced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and performance consistency</w:t>
            </w:r>
          </w:p>
        </w:tc>
      </w:tr>
      <w:tr w:rsidR="005F292A" w14:paraId="53973BED" w14:textId="77777777">
        <w:trPr>
          <w:trHeight w:val="55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A35F2B1"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Costs</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72AC35C2"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 initial payroll increase, offset by reduced agency fees</w:t>
            </w:r>
          </w:p>
        </w:tc>
      </w:tr>
      <w:tr w:rsidR="005F292A" w14:paraId="3C6C7DB9" w14:textId="77777777">
        <w:trPr>
          <w:trHeight w:val="555"/>
        </w:trPr>
        <w:tc>
          <w:tcPr>
            <w:tcW w:w="20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BE2D4E0" w14:textId="77777777" w:rsidR="005F292A" w:rsidRDefault="00000000">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Benefits</w:t>
            </w:r>
          </w:p>
        </w:tc>
        <w:tc>
          <w:tcPr>
            <w:tcW w:w="7575" w:type="dxa"/>
            <w:tcBorders>
              <w:top w:val="nil"/>
              <w:left w:val="nil"/>
              <w:bottom w:val="single" w:sz="8" w:space="0" w:color="000000"/>
              <w:right w:val="single" w:sz="8" w:space="0" w:color="000000"/>
            </w:tcBorders>
            <w:tcMar>
              <w:top w:w="0" w:type="dxa"/>
              <w:left w:w="100" w:type="dxa"/>
              <w:bottom w:w="0" w:type="dxa"/>
              <w:right w:w="100" w:type="dxa"/>
            </w:tcMar>
          </w:tcPr>
          <w:p w14:paraId="780D9726" w14:textId="77777777" w:rsidR="005F292A" w:rsidRDefault="00000000">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service, stronger engagement, long-term cost savings</w:t>
            </w:r>
          </w:p>
        </w:tc>
      </w:tr>
    </w:tbl>
    <w:p w14:paraId="291FF1DC" w14:textId="77777777" w:rsidR="005F292A" w:rsidRDefault="005F292A">
      <w:pPr>
        <w:spacing w:line="360" w:lineRule="auto"/>
        <w:jc w:val="both"/>
        <w:rPr>
          <w:rFonts w:ascii="Times New Roman" w:eastAsia="Times New Roman" w:hAnsi="Times New Roman" w:cs="Times New Roman"/>
          <w:sz w:val="24"/>
          <w:szCs w:val="24"/>
        </w:rPr>
      </w:pPr>
    </w:p>
    <w:p w14:paraId="498E3B9F"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 concentration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in Hilton London Bankside has led to the provision of uneven services, poor team cohesion, and decreased employee loyalty. Although flexible staffing models may be cost-beneficial in the short term, they can destroy quality and morale in the long term. This recommendation supports a shift to a more stable and balanced workforce of part-time and full-time permanent workers with the inclusion of cross-trained, multi-skilled workers to ensure operational flexibility does not come at the </w:t>
      </w:r>
      <w:proofErr w:type="gramStart"/>
      <w:r>
        <w:rPr>
          <w:rFonts w:ascii="Times New Roman" w:eastAsia="Times New Roman" w:hAnsi="Times New Roman" w:cs="Times New Roman"/>
          <w:sz w:val="24"/>
          <w:szCs w:val="24"/>
        </w:rPr>
        <w:t>cost of service</w:t>
      </w:r>
      <w:proofErr w:type="gramEnd"/>
      <w:r>
        <w:rPr>
          <w:rFonts w:ascii="Times New Roman" w:eastAsia="Times New Roman" w:hAnsi="Times New Roman" w:cs="Times New Roman"/>
          <w:sz w:val="24"/>
          <w:szCs w:val="24"/>
        </w:rPr>
        <w:t xml:space="preserve"> quality (</w:t>
      </w:r>
      <w:proofErr w:type="spellStart"/>
      <w:r>
        <w:rPr>
          <w:rFonts w:ascii="Times New Roman" w:eastAsia="Times New Roman" w:hAnsi="Times New Roman" w:cs="Times New Roman"/>
          <w:sz w:val="24"/>
          <w:szCs w:val="24"/>
        </w:rPr>
        <w:t>Vergotte</w:t>
      </w:r>
      <w:proofErr w:type="spellEnd"/>
      <w:r>
        <w:rPr>
          <w:rFonts w:ascii="Times New Roman" w:eastAsia="Times New Roman" w:hAnsi="Times New Roman" w:cs="Times New Roman"/>
          <w:sz w:val="24"/>
          <w:szCs w:val="24"/>
        </w:rPr>
        <w:t>, 2023).</w:t>
      </w:r>
    </w:p>
    <w:p w14:paraId="70920D2A"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start with a workforce audit to determine the departments and roles that could be transferred or shifted into permanent and away from casual employment. After identifying high-turnover or service-critical areas, the next step the managers should take is to introduce hybrid part-time contracts to strike a balance between the hotel's need to have a reliable workforce and the employee's need to have flexibility (</w:t>
      </w:r>
      <w:proofErr w:type="spellStart"/>
      <w:r>
        <w:rPr>
          <w:rFonts w:ascii="Times New Roman" w:eastAsia="Times New Roman" w:hAnsi="Times New Roman" w:cs="Times New Roman"/>
          <w:sz w:val="24"/>
          <w:szCs w:val="24"/>
        </w:rPr>
        <w:t>Grzegorczyk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By using the digital HR platform (see above), Hilton will be able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past booking and occupancy rates to predict demand, thereby rostering effectively and predictively to prevent under- or overstaffing.</w:t>
      </w:r>
    </w:p>
    <w:p w14:paraId="2E0FEC42"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management will also be important in ensuring a smooth transition. Consultations should be done with the staff via surveys and focus groups, and the wisdom of previous exit interview applications should be carried into the restructuring decision-making (Glendon,2024). Testing one department (housekeeping or food service) with the new model will enable the management to pilot the results before rolling out. These achievements should be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and rewarded with team incentives and appreciation to build confidence and support through successful transitions.</w:t>
      </w:r>
    </w:p>
    <w:p w14:paraId="33E77E50" w14:textId="77777777" w:rsidR="005F292A"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outcomes of success will be defined by the increase in customer service scores, the decrease in the cost related to the agency workforce, and the surge in the team performance markers, </w:t>
      </w:r>
      <w:r>
        <w:rPr>
          <w:rFonts w:ascii="Times New Roman" w:eastAsia="Times New Roman" w:hAnsi="Times New Roman" w:cs="Times New Roman"/>
          <w:sz w:val="24"/>
          <w:szCs w:val="24"/>
        </w:rPr>
        <w:lastRenderedPageBreak/>
        <w:t>including punctuality, shift-to-shift coverage, and co-worker feedback. The hotel will possibly experience a temporary payroll boost of some £50,000; however, it will be replaced with the long-term savings on agency costs as well as the efficiency of a well-knit and well-trained team (Truesdale, 2021). Finally, the transition will help build a stable, high-performing workforce, correlate with ethical standards of employment, and improve the brand image of the hotel. It is an essential move towards sustainable HR change that will benefit the staff and the guests.</w:t>
      </w:r>
    </w:p>
    <w:p w14:paraId="52E590D6" w14:textId="77777777" w:rsidR="005F292A" w:rsidRDefault="00000000">
      <w:pPr>
        <w:pStyle w:val="Heading1"/>
        <w:rPr>
          <w:sz w:val="24"/>
          <w:szCs w:val="24"/>
        </w:rPr>
      </w:pPr>
      <w:bookmarkStart w:id="11" w:name="_Toc200732377"/>
      <w:r>
        <w:t>Action Plan</w:t>
      </w:r>
      <w:bookmarkEnd w:id="11"/>
    </w:p>
    <w:tbl>
      <w:tblPr>
        <w:tblStyle w:val="Style19"/>
        <w:tblW w:w="9390" w:type="dxa"/>
        <w:tblInd w:w="0" w:type="dxa"/>
        <w:tblLayout w:type="fixed"/>
        <w:tblLook w:val="04A0" w:firstRow="1" w:lastRow="0" w:firstColumn="1" w:lastColumn="0" w:noHBand="0" w:noVBand="1"/>
      </w:tblPr>
      <w:tblGrid>
        <w:gridCol w:w="1065"/>
        <w:gridCol w:w="1425"/>
        <w:gridCol w:w="1470"/>
        <w:gridCol w:w="1665"/>
        <w:gridCol w:w="960"/>
        <w:gridCol w:w="1350"/>
        <w:gridCol w:w="1455"/>
      </w:tblGrid>
      <w:tr w:rsidR="005F292A" w14:paraId="7FB7D43F" w14:textId="77777777">
        <w:trPr>
          <w:trHeight w:val="900"/>
        </w:trPr>
        <w:tc>
          <w:tcPr>
            <w:tcW w:w="1065" w:type="dxa"/>
            <w:tcBorders>
              <w:top w:val="single" w:sz="8" w:space="0" w:color="000000"/>
              <w:left w:val="single" w:sz="8" w:space="0" w:color="000000"/>
              <w:bottom w:val="single" w:sz="8" w:space="0" w:color="000000"/>
              <w:right w:val="single" w:sz="8" w:space="0" w:color="000000"/>
            </w:tcBorders>
            <w:shd w:val="clear" w:color="auto" w:fill="FBE4D5"/>
            <w:tcMar>
              <w:top w:w="0" w:type="dxa"/>
              <w:left w:w="100" w:type="dxa"/>
              <w:bottom w:w="0" w:type="dxa"/>
              <w:right w:w="100" w:type="dxa"/>
            </w:tcMar>
          </w:tcPr>
          <w:p w14:paraId="4BF25069"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w:t>
            </w:r>
          </w:p>
        </w:tc>
        <w:tc>
          <w:tcPr>
            <w:tcW w:w="1425"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2A03B0DA"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Problem</w:t>
            </w:r>
          </w:p>
        </w:tc>
        <w:tc>
          <w:tcPr>
            <w:tcW w:w="147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6AA45377"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w:t>
            </w:r>
          </w:p>
        </w:tc>
        <w:tc>
          <w:tcPr>
            <w:tcW w:w="1665"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3D22E5E1"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Desired Outcome</w:t>
            </w:r>
          </w:p>
        </w:tc>
        <w:tc>
          <w:tcPr>
            <w:tcW w:w="96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7ED9C6EB"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Scale</w:t>
            </w:r>
          </w:p>
        </w:tc>
        <w:tc>
          <w:tcPr>
            <w:tcW w:w="1350"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03B131F1"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Completion Date</w:t>
            </w:r>
          </w:p>
        </w:tc>
        <w:tc>
          <w:tcPr>
            <w:tcW w:w="1455" w:type="dxa"/>
            <w:tcBorders>
              <w:top w:val="single" w:sz="8" w:space="0" w:color="000000"/>
              <w:left w:val="nil"/>
              <w:bottom w:val="single" w:sz="8" w:space="0" w:color="000000"/>
              <w:right w:val="single" w:sz="8" w:space="0" w:color="000000"/>
            </w:tcBorders>
            <w:shd w:val="clear" w:color="auto" w:fill="FBE4D5"/>
            <w:tcMar>
              <w:top w:w="0" w:type="dxa"/>
              <w:left w:w="100" w:type="dxa"/>
              <w:bottom w:w="0" w:type="dxa"/>
              <w:right w:w="100" w:type="dxa"/>
            </w:tcMar>
          </w:tcPr>
          <w:p w14:paraId="3FD594BC" w14:textId="77777777" w:rsidR="005F292A" w:rsidRDefault="00000000">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Planned Budget</w:t>
            </w:r>
          </w:p>
        </w:tc>
      </w:tr>
      <w:tr w:rsidR="005F292A" w14:paraId="2A6B5B4D" w14:textId="77777777">
        <w:trPr>
          <w:trHeight w:val="4500"/>
        </w:trPr>
        <w:tc>
          <w:tcPr>
            <w:tcW w:w="106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A5680ED"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25" w:type="dxa"/>
            <w:tcBorders>
              <w:top w:val="nil"/>
              <w:left w:val="nil"/>
              <w:bottom w:val="single" w:sz="8" w:space="0" w:color="000000"/>
              <w:right w:val="single" w:sz="8" w:space="0" w:color="000000"/>
            </w:tcBorders>
            <w:tcMar>
              <w:top w:w="0" w:type="dxa"/>
              <w:left w:w="100" w:type="dxa"/>
              <w:bottom w:w="0" w:type="dxa"/>
              <w:right w:w="100" w:type="dxa"/>
            </w:tcMar>
          </w:tcPr>
          <w:p w14:paraId="739CF0AA"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external signage &amp; outdated brand image</w:t>
            </w:r>
          </w:p>
        </w:tc>
        <w:tc>
          <w:tcPr>
            <w:tcW w:w="1470" w:type="dxa"/>
            <w:tcBorders>
              <w:top w:val="nil"/>
              <w:left w:val="nil"/>
              <w:bottom w:val="single" w:sz="8" w:space="0" w:color="000000"/>
              <w:right w:val="single" w:sz="8" w:space="0" w:color="000000"/>
            </w:tcBorders>
            <w:tcMar>
              <w:top w:w="0" w:type="dxa"/>
              <w:left w:w="100" w:type="dxa"/>
              <w:bottom w:w="0" w:type="dxa"/>
              <w:right w:w="100" w:type="dxa"/>
            </w:tcMar>
          </w:tcPr>
          <w:p w14:paraId="66C9B187"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Revise the logo while keeping the existing </w:t>
            </w:r>
            <w:proofErr w:type="spellStart"/>
            <w:r>
              <w:rPr>
                <w:rFonts w:ascii="Times New Roman" w:eastAsia="Times New Roman" w:hAnsi="Times New Roman" w:cs="Times New Roman"/>
                <w:sz w:val="24"/>
                <w:szCs w:val="24"/>
              </w:rPr>
              <w:t>colour</w:t>
            </w:r>
            <w:proofErr w:type="spellEnd"/>
            <w:r>
              <w:rPr>
                <w:rFonts w:ascii="Times New Roman" w:eastAsia="Times New Roman" w:hAnsi="Times New Roman" w:cs="Times New Roman"/>
                <w:sz w:val="24"/>
                <w:szCs w:val="24"/>
              </w:rPr>
              <w:t xml:space="preserve"> scheme and font to preserve brand identity.</w:t>
            </w:r>
          </w:p>
        </w:tc>
        <w:tc>
          <w:tcPr>
            <w:tcW w:w="1665" w:type="dxa"/>
            <w:tcBorders>
              <w:top w:val="nil"/>
              <w:left w:val="nil"/>
              <w:bottom w:val="single" w:sz="8" w:space="0" w:color="000000"/>
              <w:right w:val="single" w:sz="8" w:space="0" w:color="000000"/>
            </w:tcBorders>
            <w:tcMar>
              <w:top w:w="0" w:type="dxa"/>
              <w:left w:w="100" w:type="dxa"/>
              <w:bottom w:w="0" w:type="dxa"/>
              <w:right w:w="100" w:type="dxa"/>
            </w:tcMar>
          </w:tcPr>
          <w:p w14:paraId="62AC66FA"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customer perception and conversion by updating outdated visuals, addressing feedback, and reinforcing brand recognition.</w:t>
            </w:r>
          </w:p>
        </w:tc>
        <w:tc>
          <w:tcPr>
            <w:tcW w:w="960" w:type="dxa"/>
            <w:tcBorders>
              <w:top w:val="nil"/>
              <w:left w:val="nil"/>
              <w:bottom w:val="single" w:sz="8" w:space="0" w:color="000000"/>
              <w:right w:val="single" w:sz="8" w:space="0" w:color="000000"/>
            </w:tcBorders>
            <w:tcMar>
              <w:top w:w="0" w:type="dxa"/>
              <w:left w:w="100" w:type="dxa"/>
              <w:bottom w:w="0" w:type="dxa"/>
              <w:right w:w="100" w:type="dxa"/>
            </w:tcMar>
          </w:tcPr>
          <w:p w14:paraId="0AF763FC"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1350" w:type="dxa"/>
            <w:tcBorders>
              <w:top w:val="nil"/>
              <w:left w:val="nil"/>
              <w:bottom w:val="single" w:sz="8" w:space="0" w:color="000000"/>
              <w:right w:val="single" w:sz="8" w:space="0" w:color="000000"/>
            </w:tcBorders>
            <w:tcMar>
              <w:top w:w="0" w:type="dxa"/>
              <w:left w:w="100" w:type="dxa"/>
              <w:bottom w:w="0" w:type="dxa"/>
              <w:right w:w="100" w:type="dxa"/>
            </w:tcMar>
          </w:tcPr>
          <w:p w14:paraId="4FC361E2"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16/12/2023</w:t>
            </w:r>
          </w:p>
        </w:tc>
        <w:tc>
          <w:tcPr>
            <w:tcW w:w="1455" w:type="dxa"/>
            <w:tcBorders>
              <w:top w:val="nil"/>
              <w:left w:val="nil"/>
              <w:bottom w:val="single" w:sz="8" w:space="0" w:color="000000"/>
              <w:right w:val="single" w:sz="8" w:space="0" w:color="000000"/>
            </w:tcBorders>
            <w:tcMar>
              <w:top w:w="0" w:type="dxa"/>
              <w:left w:w="100" w:type="dxa"/>
              <w:bottom w:w="0" w:type="dxa"/>
              <w:right w:w="100" w:type="dxa"/>
            </w:tcMar>
          </w:tcPr>
          <w:p w14:paraId="158F02C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 (single site)</w:t>
            </w:r>
          </w:p>
        </w:tc>
      </w:tr>
      <w:tr w:rsidR="005F292A" w14:paraId="21373B76" w14:textId="77777777">
        <w:trPr>
          <w:trHeight w:val="4140"/>
        </w:trPr>
        <w:tc>
          <w:tcPr>
            <w:tcW w:w="106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39A50D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1425" w:type="dxa"/>
            <w:tcBorders>
              <w:top w:val="nil"/>
              <w:left w:val="nil"/>
              <w:bottom w:val="single" w:sz="8" w:space="0" w:color="000000"/>
              <w:right w:val="single" w:sz="8" w:space="0" w:color="000000"/>
            </w:tcBorders>
            <w:tcMar>
              <w:top w:w="0" w:type="dxa"/>
              <w:left w:w="100" w:type="dxa"/>
              <w:bottom w:w="0" w:type="dxa"/>
              <w:right w:w="100" w:type="dxa"/>
            </w:tcMar>
          </w:tcPr>
          <w:p w14:paraId="021D41D3"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staff turnover and limited internal progression</w:t>
            </w:r>
          </w:p>
        </w:tc>
        <w:tc>
          <w:tcPr>
            <w:tcW w:w="1470" w:type="dxa"/>
            <w:tcBorders>
              <w:top w:val="nil"/>
              <w:left w:val="nil"/>
              <w:bottom w:val="single" w:sz="8" w:space="0" w:color="000000"/>
              <w:right w:val="single" w:sz="8" w:space="0" w:color="000000"/>
            </w:tcBorders>
            <w:tcMar>
              <w:top w:w="0" w:type="dxa"/>
              <w:left w:w="100" w:type="dxa"/>
              <w:bottom w:w="0" w:type="dxa"/>
              <w:right w:w="100" w:type="dxa"/>
            </w:tcMar>
          </w:tcPr>
          <w:p w14:paraId="3772E1CB"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Launch the Hilton London Bankside Leadership Academy for upskilling and career progression.</w:t>
            </w:r>
          </w:p>
        </w:tc>
        <w:tc>
          <w:tcPr>
            <w:tcW w:w="1665" w:type="dxa"/>
            <w:tcBorders>
              <w:top w:val="nil"/>
              <w:left w:val="nil"/>
              <w:bottom w:val="single" w:sz="8" w:space="0" w:color="000000"/>
              <w:right w:val="single" w:sz="8" w:space="0" w:color="000000"/>
            </w:tcBorders>
            <w:tcMar>
              <w:top w:w="0" w:type="dxa"/>
              <w:left w:w="100" w:type="dxa"/>
              <w:bottom w:w="0" w:type="dxa"/>
              <w:right w:w="100" w:type="dxa"/>
            </w:tcMar>
          </w:tcPr>
          <w:p w14:paraId="4D4CEDA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turnover, increase internal promotions, and enhance employee satisfaction and service delivery quality.</w:t>
            </w:r>
          </w:p>
        </w:tc>
        <w:tc>
          <w:tcPr>
            <w:tcW w:w="960" w:type="dxa"/>
            <w:tcBorders>
              <w:top w:val="nil"/>
              <w:left w:val="nil"/>
              <w:bottom w:val="single" w:sz="8" w:space="0" w:color="000000"/>
              <w:right w:val="single" w:sz="8" w:space="0" w:color="000000"/>
            </w:tcBorders>
            <w:tcMar>
              <w:top w:w="0" w:type="dxa"/>
              <w:left w:w="100" w:type="dxa"/>
              <w:bottom w:w="0" w:type="dxa"/>
              <w:right w:w="100" w:type="dxa"/>
            </w:tcMar>
          </w:tcPr>
          <w:p w14:paraId="1B472140"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1350" w:type="dxa"/>
            <w:tcBorders>
              <w:top w:val="nil"/>
              <w:left w:val="nil"/>
              <w:bottom w:val="single" w:sz="8" w:space="0" w:color="000000"/>
              <w:right w:val="single" w:sz="8" w:space="0" w:color="000000"/>
            </w:tcBorders>
            <w:tcMar>
              <w:top w:w="0" w:type="dxa"/>
              <w:left w:w="100" w:type="dxa"/>
              <w:bottom w:w="0" w:type="dxa"/>
              <w:right w:w="100" w:type="dxa"/>
            </w:tcMar>
          </w:tcPr>
          <w:p w14:paraId="12D36374"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31/01/2024</w:t>
            </w:r>
          </w:p>
        </w:tc>
        <w:tc>
          <w:tcPr>
            <w:tcW w:w="1455" w:type="dxa"/>
            <w:tcBorders>
              <w:top w:val="nil"/>
              <w:left w:val="nil"/>
              <w:bottom w:val="single" w:sz="8" w:space="0" w:color="000000"/>
              <w:right w:val="single" w:sz="8" w:space="0" w:color="000000"/>
            </w:tcBorders>
            <w:tcMar>
              <w:top w:w="0" w:type="dxa"/>
              <w:left w:w="100" w:type="dxa"/>
              <w:bottom w:w="0" w:type="dxa"/>
              <w:right w:w="100" w:type="dxa"/>
            </w:tcMar>
          </w:tcPr>
          <w:p w14:paraId="19DEFAEE" w14:textId="77777777" w:rsidR="00D62A9F"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£45,000/</w:t>
            </w:r>
          </w:p>
          <w:p w14:paraId="529B0C64" w14:textId="6D9F7882"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r>
      <w:tr w:rsidR="005F292A" w14:paraId="5707E866" w14:textId="77777777">
        <w:trPr>
          <w:trHeight w:val="4500"/>
        </w:trPr>
        <w:tc>
          <w:tcPr>
            <w:tcW w:w="106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EF0DD41"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425" w:type="dxa"/>
            <w:tcBorders>
              <w:top w:val="nil"/>
              <w:left w:val="nil"/>
              <w:bottom w:val="single" w:sz="8" w:space="0" w:color="000000"/>
              <w:right w:val="single" w:sz="8" w:space="0" w:color="000000"/>
            </w:tcBorders>
            <w:tcMar>
              <w:top w:w="0" w:type="dxa"/>
              <w:left w:w="100" w:type="dxa"/>
              <w:bottom w:w="0" w:type="dxa"/>
              <w:right w:w="100" w:type="dxa"/>
            </w:tcMar>
          </w:tcPr>
          <w:p w14:paraId="5964FA14"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Inefficient HR operations and low employee engagement</w:t>
            </w:r>
          </w:p>
        </w:tc>
        <w:tc>
          <w:tcPr>
            <w:tcW w:w="1470" w:type="dxa"/>
            <w:tcBorders>
              <w:top w:val="nil"/>
              <w:left w:val="nil"/>
              <w:bottom w:val="single" w:sz="8" w:space="0" w:color="000000"/>
              <w:right w:val="single" w:sz="8" w:space="0" w:color="000000"/>
            </w:tcBorders>
            <w:tcMar>
              <w:top w:w="0" w:type="dxa"/>
              <w:left w:w="100" w:type="dxa"/>
              <w:bottom w:w="0" w:type="dxa"/>
              <w:right w:w="100" w:type="dxa"/>
            </w:tcMar>
          </w:tcPr>
          <w:p w14:paraId="11DAA796"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a digital HR system for scheduling, performance, learning, and feedback.</w:t>
            </w:r>
          </w:p>
        </w:tc>
        <w:tc>
          <w:tcPr>
            <w:tcW w:w="1665" w:type="dxa"/>
            <w:tcBorders>
              <w:top w:val="nil"/>
              <w:left w:val="nil"/>
              <w:bottom w:val="single" w:sz="8" w:space="0" w:color="000000"/>
              <w:right w:val="single" w:sz="8" w:space="0" w:color="000000"/>
            </w:tcBorders>
            <w:tcMar>
              <w:top w:w="0" w:type="dxa"/>
              <w:left w:w="100" w:type="dxa"/>
              <w:bottom w:w="0" w:type="dxa"/>
              <w:right w:w="100" w:type="dxa"/>
            </w:tcMar>
          </w:tcPr>
          <w:p w14:paraId="0C5BE290"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Boost morale, streamline HR functions, and enable data-driven decisions through transparent communication and development tools.</w:t>
            </w:r>
          </w:p>
        </w:tc>
        <w:tc>
          <w:tcPr>
            <w:tcW w:w="960" w:type="dxa"/>
            <w:tcBorders>
              <w:top w:val="nil"/>
              <w:left w:val="nil"/>
              <w:bottom w:val="single" w:sz="8" w:space="0" w:color="000000"/>
              <w:right w:val="single" w:sz="8" w:space="0" w:color="000000"/>
            </w:tcBorders>
            <w:tcMar>
              <w:top w:w="0" w:type="dxa"/>
              <w:left w:w="100" w:type="dxa"/>
              <w:bottom w:w="0" w:type="dxa"/>
              <w:right w:w="100" w:type="dxa"/>
            </w:tcMar>
          </w:tcPr>
          <w:p w14:paraId="3C0F6336"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350" w:type="dxa"/>
            <w:tcBorders>
              <w:top w:val="nil"/>
              <w:left w:val="nil"/>
              <w:bottom w:val="single" w:sz="8" w:space="0" w:color="000000"/>
              <w:right w:val="single" w:sz="8" w:space="0" w:color="000000"/>
            </w:tcBorders>
            <w:tcMar>
              <w:top w:w="0" w:type="dxa"/>
              <w:left w:w="100" w:type="dxa"/>
              <w:bottom w:w="0" w:type="dxa"/>
              <w:right w:w="100" w:type="dxa"/>
            </w:tcMar>
          </w:tcPr>
          <w:p w14:paraId="355DF199"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30/06/2024</w:t>
            </w:r>
          </w:p>
        </w:tc>
        <w:tc>
          <w:tcPr>
            <w:tcW w:w="1455" w:type="dxa"/>
            <w:tcBorders>
              <w:top w:val="nil"/>
              <w:left w:val="nil"/>
              <w:bottom w:val="single" w:sz="8" w:space="0" w:color="000000"/>
              <w:right w:val="single" w:sz="8" w:space="0" w:color="000000"/>
            </w:tcBorders>
            <w:tcMar>
              <w:top w:w="0" w:type="dxa"/>
              <w:left w:w="100" w:type="dxa"/>
              <w:bottom w:w="0" w:type="dxa"/>
              <w:right w:w="100" w:type="dxa"/>
            </w:tcMar>
          </w:tcPr>
          <w:p w14:paraId="60C12B1A" w14:textId="77777777" w:rsidR="00D62A9F"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£70,000 setup + £15,000/</w:t>
            </w:r>
          </w:p>
          <w:p w14:paraId="700A5265" w14:textId="6DA4A7AB"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r>
      <w:tr w:rsidR="005F292A" w14:paraId="05CEC980" w14:textId="77777777">
        <w:trPr>
          <w:trHeight w:val="4140"/>
        </w:trPr>
        <w:tc>
          <w:tcPr>
            <w:tcW w:w="106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56B66B2"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w:t>
            </w:r>
          </w:p>
        </w:tc>
        <w:tc>
          <w:tcPr>
            <w:tcW w:w="1425" w:type="dxa"/>
            <w:tcBorders>
              <w:top w:val="nil"/>
              <w:left w:val="nil"/>
              <w:bottom w:val="single" w:sz="8" w:space="0" w:color="000000"/>
              <w:right w:val="single" w:sz="8" w:space="0" w:color="000000"/>
            </w:tcBorders>
            <w:tcMar>
              <w:top w:w="0" w:type="dxa"/>
              <w:left w:w="100" w:type="dxa"/>
              <w:bottom w:w="0" w:type="dxa"/>
              <w:right w:w="100" w:type="dxa"/>
            </w:tcMar>
          </w:tcPr>
          <w:p w14:paraId="644FAC1B"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employee well-being support</w:t>
            </w:r>
          </w:p>
        </w:tc>
        <w:tc>
          <w:tcPr>
            <w:tcW w:w="1470" w:type="dxa"/>
            <w:tcBorders>
              <w:top w:val="nil"/>
              <w:left w:val="nil"/>
              <w:bottom w:val="single" w:sz="8" w:space="0" w:color="000000"/>
              <w:right w:val="single" w:sz="8" w:space="0" w:color="000000"/>
            </w:tcBorders>
            <w:tcMar>
              <w:top w:w="0" w:type="dxa"/>
              <w:left w:w="100" w:type="dxa"/>
              <w:bottom w:w="0" w:type="dxa"/>
              <w:right w:w="100" w:type="dxa"/>
            </w:tcMar>
          </w:tcPr>
          <w:p w14:paraId="5F8A61CC"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a mental health and wellness framework with trained support, flexible hours, and wellness rooms</w:t>
            </w:r>
          </w:p>
        </w:tc>
        <w:tc>
          <w:tcPr>
            <w:tcW w:w="1665" w:type="dxa"/>
            <w:tcBorders>
              <w:top w:val="nil"/>
              <w:left w:val="nil"/>
              <w:bottom w:val="single" w:sz="8" w:space="0" w:color="000000"/>
              <w:right w:val="single" w:sz="8" w:space="0" w:color="000000"/>
            </w:tcBorders>
            <w:tcMar>
              <w:top w:w="0" w:type="dxa"/>
              <w:left w:w="100" w:type="dxa"/>
              <w:bottom w:w="0" w:type="dxa"/>
              <w:right w:w="100" w:type="dxa"/>
            </w:tcMar>
          </w:tcPr>
          <w:p w14:paraId="5AD6AEB7"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employee retention, reduce absenteeism, and strengthen brand ethics by promoting mental health awareness and support.</w:t>
            </w:r>
          </w:p>
        </w:tc>
        <w:tc>
          <w:tcPr>
            <w:tcW w:w="960" w:type="dxa"/>
            <w:tcBorders>
              <w:top w:val="nil"/>
              <w:left w:val="nil"/>
              <w:bottom w:val="single" w:sz="8" w:space="0" w:color="000000"/>
              <w:right w:val="single" w:sz="8" w:space="0" w:color="000000"/>
            </w:tcBorders>
            <w:tcMar>
              <w:top w:w="0" w:type="dxa"/>
              <w:left w:w="100" w:type="dxa"/>
              <w:bottom w:w="0" w:type="dxa"/>
              <w:right w:w="100" w:type="dxa"/>
            </w:tcMar>
          </w:tcPr>
          <w:p w14:paraId="78F999FD"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c>
          <w:tcPr>
            <w:tcW w:w="1350" w:type="dxa"/>
            <w:tcBorders>
              <w:top w:val="nil"/>
              <w:left w:val="nil"/>
              <w:bottom w:val="single" w:sz="8" w:space="0" w:color="000000"/>
              <w:right w:val="single" w:sz="8" w:space="0" w:color="000000"/>
            </w:tcBorders>
            <w:tcMar>
              <w:top w:w="0" w:type="dxa"/>
              <w:left w:w="100" w:type="dxa"/>
              <w:bottom w:w="0" w:type="dxa"/>
              <w:right w:w="100" w:type="dxa"/>
            </w:tcMar>
          </w:tcPr>
          <w:p w14:paraId="1A957440"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15/03/2024</w:t>
            </w:r>
          </w:p>
        </w:tc>
        <w:tc>
          <w:tcPr>
            <w:tcW w:w="1455" w:type="dxa"/>
            <w:tcBorders>
              <w:top w:val="nil"/>
              <w:left w:val="nil"/>
              <w:bottom w:val="single" w:sz="8" w:space="0" w:color="000000"/>
              <w:right w:val="single" w:sz="8" w:space="0" w:color="000000"/>
            </w:tcBorders>
            <w:tcMar>
              <w:top w:w="0" w:type="dxa"/>
              <w:left w:w="100" w:type="dxa"/>
              <w:bottom w:w="0" w:type="dxa"/>
              <w:right w:w="100" w:type="dxa"/>
            </w:tcMar>
          </w:tcPr>
          <w:p w14:paraId="7796C230" w14:textId="77777777" w:rsidR="00D62A9F"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p w14:paraId="72997FF5" w14:textId="33D7C469"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r>
      <w:tr w:rsidR="005F292A" w14:paraId="2BBF8AD8" w14:textId="77777777">
        <w:trPr>
          <w:trHeight w:val="3780"/>
        </w:trPr>
        <w:tc>
          <w:tcPr>
            <w:tcW w:w="106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914F1C3"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425" w:type="dxa"/>
            <w:tcBorders>
              <w:top w:val="nil"/>
              <w:left w:val="nil"/>
              <w:bottom w:val="single" w:sz="8" w:space="0" w:color="000000"/>
              <w:right w:val="single" w:sz="8" w:space="0" w:color="000000"/>
            </w:tcBorders>
            <w:tcMar>
              <w:top w:w="0" w:type="dxa"/>
              <w:left w:w="100" w:type="dxa"/>
              <w:bottom w:w="0" w:type="dxa"/>
              <w:right w:w="100" w:type="dxa"/>
            </w:tcMar>
          </w:tcPr>
          <w:p w14:paraId="638BC3DE"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Overreliance on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is impacting service quality</w:t>
            </w:r>
          </w:p>
        </w:tc>
        <w:tc>
          <w:tcPr>
            <w:tcW w:w="1470" w:type="dxa"/>
            <w:tcBorders>
              <w:top w:val="nil"/>
              <w:left w:val="nil"/>
              <w:bottom w:val="single" w:sz="8" w:space="0" w:color="000000"/>
              <w:right w:val="single" w:sz="8" w:space="0" w:color="000000"/>
            </w:tcBorders>
            <w:tcMar>
              <w:top w:w="0" w:type="dxa"/>
              <w:left w:w="100" w:type="dxa"/>
              <w:bottom w:w="0" w:type="dxa"/>
              <w:right w:w="100" w:type="dxa"/>
            </w:tcMar>
          </w:tcPr>
          <w:p w14:paraId="03E6096C" w14:textId="77777777" w:rsidR="005F292A" w:rsidRDefault="00000000">
            <w:pPr>
              <w:spacing w:before="240"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staffing model by shifting to part-time and permanent roles supported by HR data.</w:t>
            </w:r>
          </w:p>
        </w:tc>
        <w:tc>
          <w:tcPr>
            <w:tcW w:w="1665" w:type="dxa"/>
            <w:tcBorders>
              <w:top w:val="nil"/>
              <w:left w:val="nil"/>
              <w:bottom w:val="single" w:sz="8" w:space="0" w:color="000000"/>
              <w:right w:val="single" w:sz="8" w:space="0" w:color="000000"/>
            </w:tcBorders>
            <w:tcMar>
              <w:top w:w="0" w:type="dxa"/>
              <w:left w:w="100" w:type="dxa"/>
              <w:bottom w:w="0" w:type="dxa"/>
              <w:right w:w="100" w:type="dxa"/>
            </w:tcMar>
          </w:tcPr>
          <w:p w14:paraId="2B042BA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consistency in service, enhance team cohesion, and reduce agency costs long-term.</w:t>
            </w:r>
          </w:p>
        </w:tc>
        <w:tc>
          <w:tcPr>
            <w:tcW w:w="960" w:type="dxa"/>
            <w:tcBorders>
              <w:top w:val="nil"/>
              <w:left w:val="nil"/>
              <w:bottom w:val="single" w:sz="8" w:space="0" w:color="000000"/>
              <w:right w:val="single" w:sz="8" w:space="0" w:color="000000"/>
            </w:tcBorders>
            <w:tcMar>
              <w:top w:w="0" w:type="dxa"/>
              <w:left w:w="100" w:type="dxa"/>
              <w:bottom w:w="0" w:type="dxa"/>
              <w:right w:w="100" w:type="dxa"/>
            </w:tcMar>
          </w:tcPr>
          <w:p w14:paraId="5A0C9BEF" w14:textId="77777777" w:rsidR="005F292A" w:rsidRDefault="00000000">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months</w:t>
            </w:r>
          </w:p>
        </w:tc>
        <w:tc>
          <w:tcPr>
            <w:tcW w:w="1350" w:type="dxa"/>
            <w:tcBorders>
              <w:top w:val="nil"/>
              <w:left w:val="nil"/>
              <w:bottom w:val="single" w:sz="8" w:space="0" w:color="000000"/>
              <w:right w:val="single" w:sz="8" w:space="0" w:color="000000"/>
            </w:tcBorders>
            <w:tcMar>
              <w:top w:w="0" w:type="dxa"/>
              <w:left w:w="100" w:type="dxa"/>
              <w:bottom w:w="0" w:type="dxa"/>
              <w:right w:w="100" w:type="dxa"/>
            </w:tcMar>
          </w:tcPr>
          <w:p w14:paraId="30C704FB" w14:textId="77777777" w:rsidR="005F292A" w:rsidRDefault="005F292A">
            <w:pPr>
              <w:spacing w:line="360" w:lineRule="auto"/>
              <w:jc w:val="both"/>
              <w:rPr>
                <w:rFonts w:ascii="Times New Roman" w:eastAsia="Times New Roman" w:hAnsi="Times New Roman" w:cs="Times New Roman"/>
                <w:sz w:val="24"/>
                <w:szCs w:val="24"/>
              </w:rPr>
            </w:pPr>
          </w:p>
        </w:tc>
        <w:tc>
          <w:tcPr>
            <w:tcW w:w="1455" w:type="dxa"/>
            <w:tcBorders>
              <w:top w:val="nil"/>
              <w:left w:val="nil"/>
              <w:bottom w:val="single" w:sz="8" w:space="0" w:color="000000"/>
              <w:right w:val="single" w:sz="8" w:space="0" w:color="000000"/>
            </w:tcBorders>
            <w:tcMar>
              <w:top w:w="0" w:type="dxa"/>
              <w:left w:w="100" w:type="dxa"/>
              <w:bottom w:w="0" w:type="dxa"/>
              <w:right w:w="100" w:type="dxa"/>
            </w:tcMar>
          </w:tcPr>
          <w:p w14:paraId="5E16CCE6" w14:textId="77777777" w:rsidR="005F292A" w:rsidRDefault="005F292A">
            <w:pPr>
              <w:spacing w:line="360" w:lineRule="auto"/>
              <w:jc w:val="both"/>
              <w:rPr>
                <w:rFonts w:ascii="Times New Roman" w:eastAsia="Times New Roman" w:hAnsi="Times New Roman" w:cs="Times New Roman"/>
                <w:sz w:val="24"/>
                <w:szCs w:val="24"/>
              </w:rPr>
            </w:pPr>
          </w:p>
        </w:tc>
      </w:tr>
    </w:tbl>
    <w:p w14:paraId="6E3E3A89" w14:textId="77777777" w:rsidR="005F292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Action Plan</w:t>
      </w:r>
    </w:p>
    <w:p w14:paraId="64589134" w14:textId="77777777" w:rsidR="005F292A"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sz w:val="24"/>
          <w:szCs w:val="24"/>
        </w:rPr>
        <w:t>(Source: Self-Created)</w:t>
      </w:r>
    </w:p>
    <w:p w14:paraId="34C76643"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action plan gives a proper guide on how Hilton London Bankside can tackle its urgent operational and HR issues in a systematic and cost-efficient way. Outdated branding and signage are the first issues which impacts directly impact the customer perception and competitiveness in the market. The redesign of the visual identity with the preservation of the key brand features will allow the hotel to give its image a more modern look without disturbing the loyal customers. The 3-month time frame will make it fast to deploy, and customers leave feedback fast (</w:t>
      </w:r>
      <w:proofErr w:type="spellStart"/>
      <w:r>
        <w:rPr>
          <w:rFonts w:ascii="Times New Roman" w:eastAsia="Times New Roman" w:hAnsi="Times New Roman" w:cs="Times New Roman"/>
          <w:sz w:val="24"/>
          <w:szCs w:val="24"/>
        </w:rPr>
        <w:t>Noordzife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2014). Second, the excessive turnover of personnel is grounded in the absence of internal growth. Creating a Leadership Academy within the business answers this by developing the talent that is within the business, creating loyalty and decreasing recruitment reliance. Such an initiative is not only a morale-booster but also leads to increased service standards and continuity. A six-month timeframe to implement it guarantees fast victories and long-term influence.</w:t>
      </w:r>
    </w:p>
    <w:p w14:paraId="60AAE12B"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an online HR system fixes the problem of inefficient communication and operational gaps. This investment not only facilitates other suggestions, feedback measures, and schedule enhancement but also fosters openness, growth, and responsibility. The rollout will have minimal disruption and staff flexibility since it is spread over 12 months, considering the size of the hotel (Burnes, 2014).</w:t>
      </w:r>
    </w:p>
    <w:p w14:paraId="168D1DBE" w14:textId="77777777" w:rsidR="005F292A"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fourth measure addresses mental health, which is one of the most important post-pandemic issues. The support of wellness programs by trained professionals and flexible policies will increase employee satisfaction and decrease employee absenteeism, besides promoting the image of Hilton as an ethical employer. Finally, the excessive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is overcome with the help of staffing model transformation. The shift to permanent positions will enhance the uniformity of services and team spirit. Although it requires a temporary rise in payrolls, the returns in terms of performance, customer satisfaction, and cost saving are enormous in the long run. Collectively, these measures are timed, budgeted and informed by the best HR and hospitality practices. This is a systematic program that allows Hilton London Bankside to boost employee welfare, customer satisfaction, and the general brand effectiveness.</w:t>
      </w:r>
    </w:p>
    <w:p w14:paraId="3EBAC3D0" w14:textId="77777777" w:rsidR="005F292A" w:rsidRDefault="00000000">
      <w:pPr>
        <w:pStyle w:val="Heading1"/>
      </w:pPr>
      <w:bookmarkStart w:id="12" w:name="_Toc200732378"/>
      <w:r>
        <w:t>Conclusion</w:t>
      </w:r>
      <w:bookmarkEnd w:id="12"/>
    </w:p>
    <w:p w14:paraId="1DF6C879"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consultancy report has provided a critical assessment of the human resource issues that Hilton London Bankside is currently experiencing, and it has given recommendations based on evidence to promote operational effectiveness, work satisfaction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sustainability in the long run. According to the internal knowledge and external studies, it becomes apparent that the hotel has been affected by a variety of staffing-related challenges, strained by the post-pandemic pressures,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changes, and new employee expectations.</w:t>
      </w:r>
    </w:p>
    <w:p w14:paraId="1F758F7E"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significant findings, staff turnover, low employee engagement, and lack of internal communication are the key pain points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Excessive use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combined with a weak career development offering and the absence of a well-structured well-</w:t>
      </w:r>
      <w:r>
        <w:rPr>
          <w:rFonts w:ascii="Times New Roman" w:eastAsia="Times New Roman" w:hAnsi="Times New Roman" w:cs="Times New Roman"/>
          <w:sz w:val="24"/>
          <w:szCs w:val="24"/>
        </w:rPr>
        <w:lastRenderedPageBreak/>
        <w:t xml:space="preserve">being support system that is structured has affected the team building and delivery of services at the hotel. Moreover, the lack of contemporary digital HR solutions has limited the hotel in its capacity to connect with its human resources and deliver and administer essential HR operations with flexibility. Using several analytical models, including STEEPLED, SWOT and TOWS, this report has been able to determine the cause and implications of these challenges, the threats and opportunities that the hotel is likely to face the hotel in the competitive London hospitality market. These frameworks were used to put into context the external forces or influences affecting the business, including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because of Brexit, increased costs of operation and heightened expectations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ethical employment policies.</w:t>
      </w:r>
    </w:p>
    <w:p w14:paraId="7C0E9DD3" w14:textId="77777777" w:rsidR="005F29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addressing these issues, there were well-thought-out recommendations put across. These involve the introduction of an electronic human resource system, the establishment of career advancement and leadership tracks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 solid employee welfare system and the </w:t>
      </w:r>
      <w:proofErr w:type="spellStart"/>
      <w:r>
        <w:rPr>
          <w:rFonts w:ascii="Times New Roman" w:eastAsia="Times New Roman" w:hAnsi="Times New Roman" w:cs="Times New Roman"/>
          <w:sz w:val="24"/>
          <w:szCs w:val="24"/>
        </w:rPr>
        <w:t>reorganisation</w:t>
      </w:r>
      <w:proofErr w:type="spellEnd"/>
      <w:r>
        <w:rPr>
          <w:rFonts w:ascii="Times New Roman" w:eastAsia="Times New Roman" w:hAnsi="Times New Roman" w:cs="Times New Roman"/>
          <w:sz w:val="24"/>
          <w:szCs w:val="24"/>
        </w:rPr>
        <w:t xml:space="preserve"> of the workforce model to limit the use of casual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To facilitate easy adoption, every recommendation was backed up by an effective implementation plan, cost description, and change management plan (Whittington et al. 2020). As an illustration, Kotter, Lewin, and ADKAR models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 management will enable the hotel to successfully lead employees through a change process without necessarily affecting their morale and service quality. In implementing these strategies, Hilton London Bankside will gain a lot both in the short term and in the long term. It is projected that the resulting rise in employee engagement, retention and performance will directly translate into better service delivery, customer experiences and eventually better financial performance (</w:t>
      </w:r>
      <w:proofErr w:type="spellStart"/>
      <w:r>
        <w:rPr>
          <w:rFonts w:ascii="Times New Roman" w:eastAsia="Times New Roman" w:hAnsi="Times New Roman" w:cs="Times New Roman"/>
          <w:sz w:val="24"/>
          <w:szCs w:val="24"/>
        </w:rPr>
        <w:t>Mavridopoulou</w:t>
      </w:r>
      <w:proofErr w:type="spellEnd"/>
      <w:r>
        <w:rPr>
          <w:rFonts w:ascii="Times New Roman" w:eastAsia="Times New Roman" w:hAnsi="Times New Roman" w:cs="Times New Roman"/>
          <w:sz w:val="24"/>
          <w:szCs w:val="24"/>
        </w:rPr>
        <w:t xml:space="preserve">, &amp; O’Mahoney, 2020). What is more, such actions will also enhance the employer brand of the hotel, turning it into a more appealing place to be in terms of the top hospitality talent in a tight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w:t>
      </w:r>
    </w:p>
    <w:p w14:paraId="57C9ABAD" w14:textId="77777777" w:rsidR="005F292A" w:rsidRDefault="005F292A">
      <w:pPr>
        <w:spacing w:line="360" w:lineRule="auto"/>
        <w:jc w:val="both"/>
        <w:rPr>
          <w:rFonts w:ascii="Times New Roman" w:eastAsia="Times New Roman" w:hAnsi="Times New Roman" w:cs="Times New Roman"/>
          <w:sz w:val="24"/>
          <w:szCs w:val="24"/>
        </w:rPr>
      </w:pPr>
    </w:p>
    <w:p w14:paraId="6ECBE7A2" w14:textId="77777777" w:rsidR="005F292A" w:rsidRDefault="005F292A">
      <w:pPr>
        <w:spacing w:line="360" w:lineRule="auto"/>
        <w:jc w:val="both"/>
        <w:rPr>
          <w:rFonts w:ascii="Times New Roman" w:eastAsia="Times New Roman" w:hAnsi="Times New Roman" w:cs="Times New Roman"/>
          <w:sz w:val="24"/>
          <w:szCs w:val="24"/>
        </w:rPr>
      </w:pPr>
    </w:p>
    <w:p w14:paraId="1F821F40" w14:textId="77777777" w:rsidR="005F292A" w:rsidRDefault="005F292A">
      <w:pPr>
        <w:spacing w:line="360" w:lineRule="auto"/>
        <w:jc w:val="both"/>
        <w:rPr>
          <w:rFonts w:ascii="Times New Roman" w:eastAsia="Times New Roman" w:hAnsi="Times New Roman" w:cs="Times New Roman"/>
          <w:sz w:val="24"/>
          <w:szCs w:val="24"/>
        </w:rPr>
      </w:pPr>
    </w:p>
    <w:p w14:paraId="5DF59538" w14:textId="77777777" w:rsidR="005F292A" w:rsidRDefault="00000000">
      <w:pPr>
        <w:spacing w:line="360" w:lineRule="auto"/>
        <w:jc w:val="both"/>
        <w:rPr>
          <w:rFonts w:ascii="Times New Roman" w:eastAsia="Times New Roman" w:hAnsi="Times New Roman" w:cs="Times New Roman"/>
          <w:b/>
          <w:sz w:val="28"/>
          <w:szCs w:val="28"/>
        </w:rPr>
      </w:pPr>
      <w:r>
        <w:br w:type="page"/>
      </w:r>
    </w:p>
    <w:p w14:paraId="316A5D50" w14:textId="77777777" w:rsidR="005F292A" w:rsidRDefault="00000000">
      <w:pPr>
        <w:pStyle w:val="Heading1"/>
      </w:pPr>
      <w:bookmarkStart w:id="13" w:name="_Toc200732379"/>
      <w:r>
        <w:lastRenderedPageBreak/>
        <w:t>References</w:t>
      </w:r>
      <w:bookmarkEnd w:id="13"/>
    </w:p>
    <w:p w14:paraId="588A82FA"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Abbas, M., Malik, M. and Sarwat, N., (2021). Consequences of job insecurity for hospitality workers amid COVID-19 pandemic: does social support </w:t>
      </w:r>
      <w:proofErr w:type="gramStart"/>
      <w:r>
        <w:rPr>
          <w:rFonts w:ascii="Times New Roman" w:eastAsia="Times New Roman" w:hAnsi="Times New Roman" w:cs="Times New Roman"/>
          <w:sz w:val="24"/>
          <w:szCs w:val="24"/>
        </w:rPr>
        <w:t>help?.</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Hospitality Marketing &amp; Management</w:t>
      </w:r>
      <w:r>
        <w:rPr>
          <w:rFonts w:ascii="Times New Roman" w:eastAsia="Times New Roman" w:hAnsi="Times New Roman" w:cs="Times New Roman"/>
          <w:sz w:val="24"/>
          <w:szCs w:val="24"/>
        </w:rPr>
        <w:t>, 30(8), pp.957-981.</w:t>
      </w:r>
    </w:p>
    <w:p w14:paraId="54CFA482"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Adeoye, M.A., </w:t>
      </w:r>
      <w:proofErr w:type="spellStart"/>
      <w:r>
        <w:rPr>
          <w:rFonts w:ascii="Times New Roman" w:eastAsia="Times New Roman" w:hAnsi="Times New Roman" w:cs="Times New Roman"/>
          <w:sz w:val="24"/>
          <w:szCs w:val="24"/>
        </w:rPr>
        <w:t>Jimoh</w:t>
      </w:r>
      <w:proofErr w:type="spellEnd"/>
      <w:r>
        <w:rPr>
          <w:rFonts w:ascii="Times New Roman" w:eastAsia="Times New Roman" w:hAnsi="Times New Roman" w:cs="Times New Roman"/>
          <w:sz w:val="24"/>
          <w:szCs w:val="24"/>
        </w:rPr>
        <w:t xml:space="preserve">, H.A. and </w:t>
      </w:r>
      <w:proofErr w:type="spellStart"/>
      <w:r>
        <w:rPr>
          <w:rFonts w:ascii="Times New Roman" w:eastAsia="Times New Roman" w:hAnsi="Times New Roman" w:cs="Times New Roman"/>
          <w:sz w:val="24"/>
          <w:szCs w:val="24"/>
        </w:rPr>
        <w:t>Abdulkareem</w:t>
      </w:r>
      <w:proofErr w:type="spellEnd"/>
      <w:r>
        <w:rPr>
          <w:rFonts w:ascii="Times New Roman" w:eastAsia="Times New Roman" w:hAnsi="Times New Roman" w:cs="Times New Roman"/>
          <w:sz w:val="24"/>
          <w:szCs w:val="24"/>
        </w:rPr>
        <w:t xml:space="preserve">, H.B., (2023). Leadership and organizational cultural roles in promoting sustainable performance appraisal and job satisfaction among academic staff. </w:t>
      </w:r>
      <w:r>
        <w:rPr>
          <w:rFonts w:ascii="Times New Roman" w:eastAsia="Times New Roman" w:hAnsi="Times New Roman" w:cs="Times New Roman"/>
          <w:i/>
          <w:sz w:val="24"/>
          <w:szCs w:val="24"/>
        </w:rPr>
        <w:t>ASEAN Journal of Economic and Economic Education</w:t>
      </w:r>
      <w:r>
        <w:rPr>
          <w:rFonts w:ascii="Times New Roman" w:eastAsia="Times New Roman" w:hAnsi="Times New Roman" w:cs="Times New Roman"/>
          <w:sz w:val="24"/>
          <w:szCs w:val="24"/>
        </w:rPr>
        <w:t>, 2(2), pp.115-124.</w:t>
      </w:r>
    </w:p>
    <w:p w14:paraId="3CE6FA73"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N., </w:t>
      </w:r>
      <w:proofErr w:type="spellStart"/>
      <w:r>
        <w:rPr>
          <w:rFonts w:ascii="Times New Roman" w:eastAsia="Times New Roman" w:hAnsi="Times New Roman" w:cs="Times New Roman"/>
          <w:sz w:val="24"/>
          <w:szCs w:val="24"/>
        </w:rPr>
        <w:t>Sakarji</w:t>
      </w:r>
      <w:proofErr w:type="spellEnd"/>
      <w:r>
        <w:rPr>
          <w:rFonts w:ascii="Times New Roman" w:eastAsia="Times New Roman" w:hAnsi="Times New Roman" w:cs="Times New Roman"/>
          <w:sz w:val="24"/>
          <w:szCs w:val="24"/>
        </w:rPr>
        <w:t xml:space="preserve">, S.R., </w:t>
      </w:r>
      <w:proofErr w:type="gramStart"/>
      <w:r>
        <w:rPr>
          <w:rFonts w:ascii="Times New Roman" w:eastAsia="Times New Roman" w:hAnsi="Times New Roman" w:cs="Times New Roman"/>
          <w:sz w:val="24"/>
          <w:szCs w:val="24"/>
        </w:rPr>
        <w:t>Nor,</w:t>
      </w:r>
      <w:proofErr w:type="gramEnd"/>
      <w:r>
        <w:rPr>
          <w:rFonts w:ascii="Times New Roman" w:eastAsia="Times New Roman" w:hAnsi="Times New Roman" w:cs="Times New Roman"/>
          <w:sz w:val="24"/>
          <w:szCs w:val="24"/>
        </w:rPr>
        <w:t xml:space="preserve"> K.M. and </w:t>
      </w:r>
      <w:proofErr w:type="spellStart"/>
      <w:r>
        <w:rPr>
          <w:rFonts w:ascii="Times New Roman" w:eastAsia="Times New Roman" w:hAnsi="Times New Roman" w:cs="Times New Roman"/>
          <w:sz w:val="24"/>
          <w:szCs w:val="24"/>
        </w:rPr>
        <w:t>Delima</w:t>
      </w:r>
      <w:proofErr w:type="spellEnd"/>
      <w:r>
        <w:rPr>
          <w:rFonts w:ascii="Times New Roman" w:eastAsia="Times New Roman" w:hAnsi="Times New Roman" w:cs="Times New Roman"/>
          <w:sz w:val="24"/>
          <w:szCs w:val="24"/>
        </w:rPr>
        <w:t xml:space="preserve"> Mohd Beta, R.M., (2024). Studying The Importance of Communication Management Strategies in Addressing Internal Communication Crises Among Customer Service Officers in Malaysia: A Conceptual Paper. </w:t>
      </w:r>
      <w:r>
        <w:rPr>
          <w:rFonts w:ascii="Times New Roman" w:eastAsia="Times New Roman" w:hAnsi="Times New Roman" w:cs="Times New Roman"/>
          <w:i/>
          <w:sz w:val="24"/>
          <w:szCs w:val="24"/>
        </w:rPr>
        <w:t xml:space="preserve">Global Business &amp; Management Research, </w:t>
      </w:r>
      <w:r>
        <w:rPr>
          <w:rFonts w:ascii="Times New Roman" w:eastAsia="Times New Roman" w:hAnsi="Times New Roman" w:cs="Times New Roman"/>
          <w:sz w:val="24"/>
          <w:szCs w:val="24"/>
        </w:rPr>
        <w:t>16(2).</w:t>
      </w:r>
    </w:p>
    <w:p w14:paraId="0422E4D9"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Fahmawee</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Jawabreh</w:t>
      </w:r>
      <w:proofErr w:type="spellEnd"/>
      <w:r>
        <w:rPr>
          <w:rFonts w:ascii="Times New Roman" w:eastAsia="Times New Roman" w:hAnsi="Times New Roman" w:cs="Times New Roman"/>
          <w:sz w:val="24"/>
          <w:szCs w:val="24"/>
        </w:rPr>
        <w:t xml:space="preserve">, O., (2022). Narrative architectural interior design as a new trend to enhance the occupancy rate of low-class heritage hotels. </w:t>
      </w:r>
      <w:r>
        <w:rPr>
          <w:rFonts w:ascii="Times New Roman" w:eastAsia="Times New Roman" w:hAnsi="Times New Roman" w:cs="Times New Roman"/>
          <w:i/>
          <w:sz w:val="24"/>
          <w:szCs w:val="24"/>
        </w:rPr>
        <w:t>New Design Ideas</w:t>
      </w:r>
      <w:r>
        <w:rPr>
          <w:rFonts w:ascii="Times New Roman" w:eastAsia="Times New Roman" w:hAnsi="Times New Roman" w:cs="Times New Roman"/>
          <w:sz w:val="24"/>
          <w:szCs w:val="24"/>
        </w:rPr>
        <w:t>, 6(2), pp.207-228.</w:t>
      </w:r>
    </w:p>
    <w:p w14:paraId="49B20EDB"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Arapou</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Kapiki</w:t>
      </w:r>
      <w:proofErr w:type="spellEnd"/>
      <w:r>
        <w:rPr>
          <w:rFonts w:ascii="Times New Roman" w:eastAsia="Times New Roman" w:hAnsi="Times New Roman" w:cs="Times New Roman"/>
          <w:sz w:val="24"/>
          <w:szCs w:val="24"/>
        </w:rPr>
        <w:t>, S., (2023). Enhancing the Guest Experience in Hospitality Through Technology: An Outlook of the Future.</w:t>
      </w:r>
    </w:p>
    <w:p w14:paraId="4EF0BFF9"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Burnes, B. (2014) 4th Edition, Managing Change, Great Britain, Prentice Hall.</w:t>
      </w:r>
    </w:p>
    <w:p w14:paraId="05019A30"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Buttrick</w:t>
      </w:r>
      <w:proofErr w:type="spellEnd"/>
      <w:r>
        <w:rPr>
          <w:rFonts w:ascii="Times New Roman" w:eastAsia="Times New Roman" w:hAnsi="Times New Roman" w:cs="Times New Roman"/>
          <w:sz w:val="24"/>
          <w:szCs w:val="24"/>
        </w:rPr>
        <w:t>, R. (2009) The Project Workout, London: Prentice Hall</w:t>
      </w:r>
    </w:p>
    <w:p w14:paraId="2984D80A"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H.H. and Sokol, D.D., (2022). How incumbents respond to competition from innovative disruptors in the sharing economy—The impact of Airbnb on hotel performance. </w:t>
      </w:r>
      <w:r>
        <w:rPr>
          <w:rFonts w:ascii="Times New Roman" w:eastAsia="Times New Roman" w:hAnsi="Times New Roman" w:cs="Times New Roman"/>
          <w:i/>
          <w:sz w:val="24"/>
          <w:szCs w:val="24"/>
        </w:rPr>
        <w:t>Strategic Management Journal</w:t>
      </w:r>
      <w:r>
        <w:rPr>
          <w:rFonts w:ascii="Times New Roman" w:eastAsia="Times New Roman" w:hAnsi="Times New Roman" w:cs="Times New Roman"/>
          <w:sz w:val="24"/>
          <w:szCs w:val="24"/>
        </w:rPr>
        <w:t>, 43(3), pp.425-446.</w:t>
      </w:r>
    </w:p>
    <w:p w14:paraId="6860BEBD"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Dang, C., (2023). Implementing internal marketing to enhance service quality of enterprise software companies.</w:t>
      </w:r>
    </w:p>
    <w:p w14:paraId="628240F5" w14:textId="77777777" w:rsidR="005F292A" w:rsidRDefault="00000000">
      <w:pPr>
        <w:spacing w:line="360" w:lineRule="auto"/>
        <w:ind w:left="360"/>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Derowitsch</w:t>
      </w:r>
      <w:proofErr w:type="spellEnd"/>
      <w:r>
        <w:rPr>
          <w:rFonts w:ascii="Times New Roman" w:eastAsia="Times New Roman" w:hAnsi="Times New Roman" w:cs="Times New Roman"/>
          <w:sz w:val="24"/>
          <w:szCs w:val="24"/>
        </w:rPr>
        <w:t xml:space="preserve">, J., Ngo, T., </w:t>
      </w:r>
      <w:proofErr w:type="spellStart"/>
      <w:r>
        <w:rPr>
          <w:rFonts w:ascii="Times New Roman" w:eastAsia="Times New Roman" w:hAnsi="Times New Roman" w:cs="Times New Roman"/>
          <w:sz w:val="24"/>
          <w:szCs w:val="24"/>
        </w:rPr>
        <w:t>Katt</w:t>
      </w:r>
      <w:proofErr w:type="spellEnd"/>
      <w:r>
        <w:rPr>
          <w:rFonts w:ascii="Times New Roman" w:eastAsia="Times New Roman" w:hAnsi="Times New Roman" w:cs="Times New Roman"/>
          <w:sz w:val="24"/>
          <w:szCs w:val="24"/>
        </w:rPr>
        <w:t xml:space="preserve">, T., Henning, M. and Soukup, L., (2025). </w:t>
      </w:r>
      <w:r>
        <w:rPr>
          <w:rFonts w:ascii="Times New Roman" w:eastAsia="Times New Roman" w:hAnsi="Times New Roman" w:cs="Times New Roman"/>
          <w:i/>
          <w:sz w:val="24"/>
          <w:szCs w:val="24"/>
        </w:rPr>
        <w:t>Strategic Audit: Hilton Worldwide Holdings, Inc.</w:t>
      </w:r>
    </w:p>
    <w:p w14:paraId="3A02F136"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Dharel</w:t>
      </w:r>
      <w:proofErr w:type="spellEnd"/>
      <w:r>
        <w:rPr>
          <w:rFonts w:ascii="Times New Roman" w:eastAsia="Times New Roman" w:hAnsi="Times New Roman" w:cs="Times New Roman"/>
          <w:sz w:val="24"/>
          <w:szCs w:val="24"/>
        </w:rPr>
        <w:t xml:space="preserve">, Y., (2021). Online </w:t>
      </w:r>
      <w:proofErr w:type="spellStart"/>
      <w:r>
        <w:rPr>
          <w:rFonts w:ascii="Times New Roman" w:eastAsia="Times New Roman" w:hAnsi="Times New Roman" w:cs="Times New Roman"/>
          <w:sz w:val="24"/>
          <w:szCs w:val="24"/>
        </w:rPr>
        <w:t>rewies</w:t>
      </w:r>
      <w:proofErr w:type="spellEnd"/>
      <w:r>
        <w:rPr>
          <w:rFonts w:ascii="Times New Roman" w:eastAsia="Times New Roman" w:hAnsi="Times New Roman" w:cs="Times New Roman"/>
          <w:sz w:val="24"/>
          <w:szCs w:val="24"/>
        </w:rPr>
        <w:t xml:space="preserve"> &amp; their impact in tourism business: Need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Strategic Handling of Consumer Reviews.</w:t>
      </w:r>
    </w:p>
    <w:p w14:paraId="1DEC8846"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Dimokas</w:t>
      </w:r>
      <w:proofErr w:type="spellEnd"/>
      <w:r>
        <w:rPr>
          <w:rFonts w:ascii="Times New Roman" w:eastAsia="Times New Roman" w:hAnsi="Times New Roman" w:cs="Times New Roman"/>
          <w:sz w:val="24"/>
          <w:szCs w:val="24"/>
        </w:rPr>
        <w:t>, M., (2025). Navigating Generational Shifts: Motivating Gen Z to enhance engagement and work performance in the business Landscape.</w:t>
      </w:r>
    </w:p>
    <w:p w14:paraId="1634AF3D"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Dutta, S., Thomas, A. and Khatri, P., (2025). Disruptive Technology in Human Resource Management. </w:t>
      </w:r>
      <w:r>
        <w:rPr>
          <w:rFonts w:ascii="Times New Roman" w:eastAsia="Times New Roman" w:hAnsi="Times New Roman" w:cs="Times New Roman"/>
          <w:i/>
          <w:sz w:val="24"/>
          <w:szCs w:val="24"/>
        </w:rPr>
        <w:t>Taylor &amp; Francis</w:t>
      </w:r>
      <w:r>
        <w:rPr>
          <w:rFonts w:ascii="Times New Roman" w:eastAsia="Times New Roman" w:hAnsi="Times New Roman" w:cs="Times New Roman"/>
          <w:sz w:val="24"/>
          <w:szCs w:val="24"/>
        </w:rPr>
        <w:t>.</w:t>
      </w:r>
    </w:p>
    <w:p w14:paraId="7E336769"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Ervina</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Suryawardani</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Prabawa</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Hanifa</w:t>
      </w:r>
      <w:proofErr w:type="spellEnd"/>
      <w:r>
        <w:rPr>
          <w:rFonts w:ascii="Times New Roman" w:eastAsia="Times New Roman" w:hAnsi="Times New Roman" w:cs="Times New Roman"/>
          <w:sz w:val="24"/>
          <w:szCs w:val="24"/>
        </w:rPr>
        <w:t xml:space="preserve">, F.K. and Husna, A.K., (2024). The Development of a Room Division Application Implementing an Intelligent Planning System (IPS) to Enhance Hotel Operational Performance. </w:t>
      </w:r>
      <w:r>
        <w:rPr>
          <w:rFonts w:ascii="Times New Roman" w:eastAsia="Times New Roman" w:hAnsi="Times New Roman" w:cs="Times New Roman"/>
          <w:i/>
          <w:sz w:val="24"/>
          <w:szCs w:val="24"/>
        </w:rPr>
        <w:t>Momentum Matrix: International Journal of Communication, Tourism, and Social Economic Trends</w:t>
      </w:r>
      <w:r>
        <w:rPr>
          <w:rFonts w:ascii="Times New Roman" w:eastAsia="Times New Roman" w:hAnsi="Times New Roman" w:cs="Times New Roman"/>
          <w:sz w:val="24"/>
          <w:szCs w:val="24"/>
        </w:rPr>
        <w:t>, 1(2), pp.38-50.</w:t>
      </w:r>
    </w:p>
    <w:p w14:paraId="15132673"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Escalona</w:t>
      </w:r>
      <w:proofErr w:type="spellEnd"/>
      <w:r>
        <w:rPr>
          <w:rFonts w:ascii="Times New Roman" w:eastAsia="Times New Roman" w:hAnsi="Times New Roman" w:cs="Times New Roman"/>
          <w:sz w:val="24"/>
          <w:szCs w:val="24"/>
        </w:rPr>
        <w:t>, M.J., de Koch, N.P. and Rossi, G.H., (2022). A quantitative swot-tows analysis for the adoption of model-based software engineering.</w:t>
      </w:r>
    </w:p>
    <w:p w14:paraId="1AB6D4A2"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Ezeafulukwe</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Onyekwelu</w:t>
      </w:r>
      <w:proofErr w:type="spellEnd"/>
      <w:r>
        <w:rPr>
          <w:rFonts w:ascii="Times New Roman" w:eastAsia="Times New Roman" w:hAnsi="Times New Roman" w:cs="Times New Roman"/>
          <w:sz w:val="24"/>
          <w:szCs w:val="24"/>
        </w:rPr>
        <w:t xml:space="preserve">, S.C., </w:t>
      </w:r>
      <w:proofErr w:type="spellStart"/>
      <w:r>
        <w:rPr>
          <w:rFonts w:ascii="Times New Roman" w:eastAsia="Times New Roman" w:hAnsi="Times New Roman" w:cs="Times New Roman"/>
          <w:sz w:val="24"/>
          <w:szCs w:val="24"/>
        </w:rPr>
        <w:t>Onyekwelu</w:t>
      </w:r>
      <w:proofErr w:type="spellEnd"/>
      <w:r>
        <w:rPr>
          <w:rFonts w:ascii="Times New Roman" w:eastAsia="Times New Roman" w:hAnsi="Times New Roman" w:cs="Times New Roman"/>
          <w:sz w:val="24"/>
          <w:szCs w:val="24"/>
        </w:rPr>
        <w:t xml:space="preserve">, N.P., Ike, C.U., Bello, B.G. and </w:t>
      </w:r>
      <w:proofErr w:type="spellStart"/>
      <w:r>
        <w:rPr>
          <w:rFonts w:ascii="Times New Roman" w:eastAsia="Times New Roman" w:hAnsi="Times New Roman" w:cs="Times New Roman"/>
          <w:sz w:val="24"/>
          <w:szCs w:val="24"/>
        </w:rPr>
        <w:t>Asuzu</w:t>
      </w:r>
      <w:proofErr w:type="spellEnd"/>
      <w:r>
        <w:rPr>
          <w:rFonts w:ascii="Times New Roman" w:eastAsia="Times New Roman" w:hAnsi="Times New Roman" w:cs="Times New Roman"/>
          <w:sz w:val="24"/>
          <w:szCs w:val="24"/>
        </w:rPr>
        <w:t xml:space="preserve">, F.O., (2024). Best practices in human resources for inclusive employment: An in-depth review. </w:t>
      </w:r>
      <w:r>
        <w:rPr>
          <w:rFonts w:ascii="Times New Roman" w:eastAsia="Times New Roman" w:hAnsi="Times New Roman" w:cs="Times New Roman"/>
          <w:i/>
          <w:sz w:val="24"/>
          <w:szCs w:val="24"/>
        </w:rPr>
        <w:t>International Journal of Science and Research Archive,</w:t>
      </w:r>
      <w:r>
        <w:rPr>
          <w:rFonts w:ascii="Times New Roman" w:eastAsia="Times New Roman" w:hAnsi="Times New Roman" w:cs="Times New Roman"/>
          <w:sz w:val="24"/>
          <w:szCs w:val="24"/>
        </w:rPr>
        <w:t xml:space="preserve"> 11(1), pp.1286-1293.</w:t>
      </w:r>
    </w:p>
    <w:p w14:paraId="73080FEF"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Feist, L., (2024). Recent causes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in advanced economies. </w:t>
      </w:r>
      <w:r>
        <w:rPr>
          <w:rFonts w:ascii="Times New Roman" w:eastAsia="Times New Roman" w:hAnsi="Times New Roman" w:cs="Times New Roman"/>
          <w:i/>
          <w:sz w:val="24"/>
          <w:szCs w:val="24"/>
        </w:rPr>
        <w:t>ILO</w:t>
      </w:r>
      <w:r>
        <w:rPr>
          <w:rFonts w:ascii="Times New Roman" w:eastAsia="Times New Roman" w:hAnsi="Times New Roman" w:cs="Times New Roman"/>
          <w:sz w:val="24"/>
          <w:szCs w:val="24"/>
        </w:rPr>
        <w:t>.</w:t>
      </w:r>
    </w:p>
    <w:p w14:paraId="17582FCC"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Gámez</w:t>
      </w:r>
      <w:proofErr w:type="spellEnd"/>
      <w:r>
        <w:rPr>
          <w:rFonts w:ascii="Times New Roman" w:eastAsia="Times New Roman" w:hAnsi="Times New Roman" w:cs="Times New Roman"/>
          <w:sz w:val="24"/>
          <w:szCs w:val="24"/>
        </w:rPr>
        <w:t>, S.R., León, M.A.B. and Gonzalez, M.F.O.S., (2023). Behind the scenes of hospitality: Crafting memorable experiences as an intern in Hilton Cartagena.</w:t>
      </w:r>
    </w:p>
    <w:p w14:paraId="2D2E7536"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Glendon, A.I., (2024). Departures and redeployments during COVID-19: University staff narratives. </w:t>
      </w:r>
      <w:r>
        <w:rPr>
          <w:rFonts w:ascii="Times New Roman" w:eastAsia="Times New Roman" w:hAnsi="Times New Roman" w:cs="Times New Roman"/>
          <w:i/>
          <w:sz w:val="24"/>
          <w:szCs w:val="24"/>
        </w:rPr>
        <w:t>The Australian Universities' Review,</w:t>
      </w:r>
      <w:r>
        <w:rPr>
          <w:rFonts w:ascii="Times New Roman" w:eastAsia="Times New Roman" w:hAnsi="Times New Roman" w:cs="Times New Roman"/>
          <w:sz w:val="24"/>
          <w:szCs w:val="24"/>
        </w:rPr>
        <w:t xml:space="preserve"> 65(1/2), pp.31-46.</w:t>
      </w:r>
    </w:p>
    <w:p w14:paraId="6A5352C2" w14:textId="77777777" w:rsidR="005F292A" w:rsidRDefault="00000000">
      <w:pPr>
        <w:spacing w:line="360" w:lineRule="auto"/>
        <w:ind w:left="360"/>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Grzegorczyk</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Mariniello</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Nurski</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Schraepen</w:t>
      </w:r>
      <w:proofErr w:type="spellEnd"/>
      <w:r>
        <w:rPr>
          <w:rFonts w:ascii="Times New Roman" w:eastAsia="Times New Roman" w:hAnsi="Times New Roman" w:cs="Times New Roman"/>
          <w:sz w:val="24"/>
          <w:szCs w:val="24"/>
        </w:rPr>
        <w:t xml:space="preserve">, T., (2021). Blending the physical and virtual: a hybrid model for the future of work (No. 14/2021). </w:t>
      </w:r>
      <w:r>
        <w:rPr>
          <w:rFonts w:ascii="Times New Roman" w:eastAsia="Times New Roman" w:hAnsi="Times New Roman" w:cs="Times New Roman"/>
          <w:i/>
          <w:sz w:val="24"/>
          <w:szCs w:val="24"/>
        </w:rPr>
        <w:t>Bruegel Policy Contribution.</w:t>
      </w:r>
    </w:p>
    <w:p w14:paraId="199ADAE2"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Hasyim, H. and Bakri, M., (2025). Work-Life Imbalance: Its Impact on Employee Motivation and Well-Being. </w:t>
      </w:r>
      <w:r>
        <w:rPr>
          <w:rFonts w:ascii="Times New Roman" w:eastAsia="Times New Roman" w:hAnsi="Times New Roman" w:cs="Times New Roman"/>
          <w:i/>
          <w:sz w:val="24"/>
          <w:szCs w:val="24"/>
        </w:rPr>
        <w:t>Economics and Digital Business Review</w:t>
      </w:r>
      <w:r>
        <w:rPr>
          <w:rFonts w:ascii="Times New Roman" w:eastAsia="Times New Roman" w:hAnsi="Times New Roman" w:cs="Times New Roman"/>
          <w:sz w:val="24"/>
          <w:szCs w:val="24"/>
        </w:rPr>
        <w:t>, 6(1).</w:t>
      </w:r>
    </w:p>
    <w:p w14:paraId="64CBD3FC"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(2025), </w:t>
      </w:r>
      <w:r>
        <w:rPr>
          <w:rFonts w:ascii="Times New Roman" w:eastAsia="Times New Roman" w:hAnsi="Times New Roman" w:cs="Times New Roman"/>
          <w:i/>
          <w:sz w:val="24"/>
          <w:szCs w:val="24"/>
        </w:rPr>
        <w:t>About Company,</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www.hilton.com/en/hotels/lonsbhi-hilton-london-bankside/?WT.mc_id=zINDA0EMEA1MB2PSH3Paid_ggl4ACBI_Brand_Destination5dkt6MULTIBR7EN8i81487387_121127567_71700000119475644&amp;&amp;&amp;&amp;&amp;gad_source=1&amp;gad_campaignid=21555213261&amp;gbraid=0AAAAADnjLGNN5BfMvlShgxo3K9unTfGMe&amp;gclid=Cj0KCQjwmK_CBhCEARIsAMKwcD4TYCa69RrRLcLrxVeSCDbukZMWrvO5_Baudocw6pz7-HzHRG2R7sEaAuBZEALw_wcB&amp;gclsrc=aw.ds</w:t>
        </w:r>
      </w:hyperlink>
      <w:r>
        <w:rPr>
          <w:rFonts w:ascii="Times New Roman" w:eastAsia="Times New Roman" w:hAnsi="Times New Roman" w:cs="Times New Roman"/>
          <w:sz w:val="24"/>
          <w:szCs w:val="24"/>
        </w:rPr>
        <w:t xml:space="preserve"> [Accessed on: 13th June, 2025]</w:t>
      </w:r>
    </w:p>
    <w:p w14:paraId="7A905A1D"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Himawan</w:t>
      </w:r>
      <w:proofErr w:type="spellEnd"/>
      <w:r>
        <w:rPr>
          <w:rFonts w:ascii="Times New Roman" w:eastAsia="Times New Roman" w:hAnsi="Times New Roman" w:cs="Times New Roman"/>
          <w:sz w:val="24"/>
          <w:szCs w:val="24"/>
        </w:rPr>
        <w:t xml:space="preserve">, N.S. and </w:t>
      </w:r>
      <w:proofErr w:type="spellStart"/>
      <w:r>
        <w:rPr>
          <w:rFonts w:ascii="Times New Roman" w:eastAsia="Times New Roman" w:hAnsi="Times New Roman" w:cs="Times New Roman"/>
          <w:sz w:val="24"/>
          <w:szCs w:val="24"/>
        </w:rPr>
        <w:t>Wening</w:t>
      </w:r>
      <w:proofErr w:type="spellEnd"/>
      <w:r>
        <w:rPr>
          <w:rFonts w:ascii="Times New Roman" w:eastAsia="Times New Roman" w:hAnsi="Times New Roman" w:cs="Times New Roman"/>
          <w:sz w:val="24"/>
          <w:szCs w:val="24"/>
        </w:rPr>
        <w:t xml:space="preserve">, N., (2021). On Health Care </w:t>
      </w:r>
      <w:proofErr w:type="spellStart"/>
      <w:r>
        <w:rPr>
          <w:rFonts w:ascii="Times New Roman" w:eastAsia="Times New Roman" w:hAnsi="Times New Roman" w:cs="Times New Roman"/>
          <w:sz w:val="24"/>
          <w:szCs w:val="24"/>
        </w:rPr>
        <w:t>Sectore</w:t>
      </w:r>
      <w:proofErr w:type="spellEnd"/>
      <w:r>
        <w:rPr>
          <w:rFonts w:ascii="Times New Roman" w:eastAsia="Times New Roman" w:hAnsi="Times New Roman" w:cs="Times New Roman"/>
          <w:sz w:val="24"/>
          <w:szCs w:val="24"/>
        </w:rPr>
        <w:t xml:space="preserve">, What External Environment that </w:t>
      </w:r>
      <w:proofErr w:type="gramStart"/>
      <w:r>
        <w:rPr>
          <w:rFonts w:ascii="Times New Roman" w:eastAsia="Times New Roman" w:hAnsi="Times New Roman" w:cs="Times New Roman"/>
          <w:sz w:val="24"/>
          <w:szCs w:val="24"/>
        </w:rPr>
        <w:t>Important?:</w:t>
      </w:r>
      <w:proofErr w:type="gramEnd"/>
      <w:r>
        <w:rPr>
          <w:rFonts w:ascii="Times New Roman" w:eastAsia="Times New Roman" w:hAnsi="Times New Roman" w:cs="Times New Roman"/>
          <w:sz w:val="24"/>
          <w:szCs w:val="24"/>
        </w:rPr>
        <w:t xml:space="preserve"> A Review Literature. </w:t>
      </w:r>
      <w:r>
        <w:rPr>
          <w:rFonts w:ascii="Times New Roman" w:eastAsia="Times New Roman" w:hAnsi="Times New Roman" w:cs="Times New Roman"/>
          <w:i/>
          <w:sz w:val="24"/>
          <w:szCs w:val="24"/>
        </w:rPr>
        <w:t>Indian Journal of Forensic Medicine &amp; Toxicology,</w:t>
      </w:r>
      <w:r>
        <w:rPr>
          <w:rFonts w:ascii="Times New Roman" w:eastAsia="Times New Roman" w:hAnsi="Times New Roman" w:cs="Times New Roman"/>
          <w:sz w:val="24"/>
          <w:szCs w:val="24"/>
        </w:rPr>
        <w:t xml:space="preserve"> 15(4), pp.2036-2042.</w:t>
      </w:r>
    </w:p>
    <w:p w14:paraId="0EDDF623"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Hrabenko</w:t>
      </w:r>
      <w:proofErr w:type="spellEnd"/>
      <w:r>
        <w:rPr>
          <w:rFonts w:ascii="Times New Roman" w:eastAsia="Times New Roman" w:hAnsi="Times New Roman" w:cs="Times New Roman"/>
          <w:sz w:val="24"/>
          <w:szCs w:val="24"/>
        </w:rPr>
        <w:t>, Y. and Chen, Q., (2023). Mitigating Resistance to Change: Face-to-Face versus Digital Communication Channels.</w:t>
      </w:r>
    </w:p>
    <w:p w14:paraId="743849E5"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Ishaq, M.W., (2025). Employees Wellness Programs and Their Impact on Employee Well-being and Performance.</w:t>
      </w:r>
    </w:p>
    <w:p w14:paraId="2E77C456"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Jaiswal, S., Shaheen, N., Chinta, D.U., Singh, N., Goel, O. and </w:t>
      </w:r>
      <w:proofErr w:type="spellStart"/>
      <w:r>
        <w:rPr>
          <w:rFonts w:ascii="Times New Roman" w:eastAsia="Times New Roman" w:hAnsi="Times New Roman" w:cs="Times New Roman"/>
          <w:sz w:val="24"/>
          <w:szCs w:val="24"/>
        </w:rPr>
        <w:t>Chhapola</w:t>
      </w:r>
      <w:proofErr w:type="spellEnd"/>
      <w:r>
        <w:rPr>
          <w:rFonts w:ascii="Times New Roman" w:eastAsia="Times New Roman" w:hAnsi="Times New Roman" w:cs="Times New Roman"/>
          <w:sz w:val="24"/>
          <w:szCs w:val="24"/>
        </w:rPr>
        <w:t xml:space="preserve">, A., (2024). Modernizing Workforce Structure Management to Drive Innovation in US Organizations Using Oracle HCM Cloud. </w:t>
      </w:r>
      <w:r>
        <w:rPr>
          <w:rFonts w:ascii="Times New Roman" w:eastAsia="Times New Roman" w:hAnsi="Times New Roman" w:cs="Times New Roman"/>
          <w:i/>
          <w:sz w:val="24"/>
          <w:szCs w:val="24"/>
        </w:rPr>
        <w:t>International Journal of Research Radicals in Multidisciplinary Fields</w:t>
      </w:r>
      <w:r>
        <w:rPr>
          <w:rFonts w:ascii="Times New Roman" w:eastAsia="Times New Roman" w:hAnsi="Times New Roman" w:cs="Times New Roman"/>
          <w:sz w:val="24"/>
          <w:szCs w:val="24"/>
        </w:rPr>
        <w:t>, ISSN: 2960-043X, 3 (2), 269, 293.</w:t>
      </w:r>
    </w:p>
    <w:p w14:paraId="43B3F188" w14:textId="77777777" w:rsidR="005F292A" w:rsidRDefault="00000000">
      <w:pPr>
        <w:spacing w:line="360" w:lineRule="auto"/>
        <w:ind w:left="360"/>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Kaiser, M. and </w:t>
      </w:r>
      <w:proofErr w:type="spellStart"/>
      <w:r>
        <w:rPr>
          <w:rFonts w:ascii="Times New Roman" w:eastAsia="Times New Roman" w:hAnsi="Times New Roman" w:cs="Times New Roman"/>
          <w:sz w:val="24"/>
          <w:szCs w:val="24"/>
        </w:rPr>
        <w:t>Schwertner</w:t>
      </w:r>
      <w:proofErr w:type="spellEnd"/>
      <w:r>
        <w:rPr>
          <w:rFonts w:ascii="Times New Roman" w:eastAsia="Times New Roman" w:hAnsi="Times New Roman" w:cs="Times New Roman"/>
          <w:sz w:val="24"/>
          <w:szCs w:val="24"/>
        </w:rPr>
        <w:t xml:space="preserve">, N., (2022). Change Management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Communications Industry: Change Processes In Media Companies And In Corporate Communications. </w:t>
      </w:r>
      <w:r>
        <w:rPr>
          <w:rFonts w:ascii="Times New Roman" w:eastAsia="Times New Roman" w:hAnsi="Times New Roman" w:cs="Times New Roman"/>
          <w:i/>
          <w:sz w:val="24"/>
          <w:szCs w:val="24"/>
        </w:rPr>
        <w:t>Springer Nature.</w:t>
      </w:r>
    </w:p>
    <w:p w14:paraId="6945C386"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Kurashvili</w:t>
      </w:r>
      <w:proofErr w:type="spellEnd"/>
      <w:r>
        <w:rPr>
          <w:rFonts w:ascii="Times New Roman" w:eastAsia="Times New Roman" w:hAnsi="Times New Roman" w:cs="Times New Roman"/>
          <w:sz w:val="24"/>
          <w:szCs w:val="24"/>
        </w:rPr>
        <w:t xml:space="preserve">, M., Reinhold, K. and </w:t>
      </w:r>
      <w:proofErr w:type="spellStart"/>
      <w:r>
        <w:rPr>
          <w:rFonts w:ascii="Times New Roman" w:eastAsia="Times New Roman" w:hAnsi="Times New Roman" w:cs="Times New Roman"/>
          <w:sz w:val="24"/>
          <w:szCs w:val="24"/>
        </w:rPr>
        <w:t>Järvis</w:t>
      </w:r>
      <w:proofErr w:type="spellEnd"/>
      <w:r>
        <w:rPr>
          <w:rFonts w:ascii="Times New Roman" w:eastAsia="Times New Roman" w:hAnsi="Times New Roman" w:cs="Times New Roman"/>
          <w:sz w:val="24"/>
          <w:szCs w:val="24"/>
        </w:rPr>
        <w:t xml:space="preserve">, M., (2023). Managing an ageing healthcare workforce: a systematic literature review. </w:t>
      </w:r>
      <w:r>
        <w:rPr>
          <w:rFonts w:ascii="Times New Roman" w:eastAsia="Times New Roman" w:hAnsi="Times New Roman" w:cs="Times New Roman"/>
          <w:i/>
          <w:sz w:val="24"/>
          <w:szCs w:val="24"/>
        </w:rPr>
        <w:t>Journal of Health Organization and Management,</w:t>
      </w:r>
      <w:r>
        <w:rPr>
          <w:rFonts w:ascii="Times New Roman" w:eastAsia="Times New Roman" w:hAnsi="Times New Roman" w:cs="Times New Roman"/>
          <w:sz w:val="24"/>
          <w:szCs w:val="24"/>
        </w:rPr>
        <w:t xml:space="preserve"> 37(1), pp.116-132.</w:t>
      </w:r>
    </w:p>
    <w:p w14:paraId="346AD2B5"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Laig</w:t>
      </w:r>
      <w:proofErr w:type="spellEnd"/>
      <w:r>
        <w:rPr>
          <w:rFonts w:ascii="Times New Roman" w:eastAsia="Times New Roman" w:hAnsi="Times New Roman" w:cs="Times New Roman"/>
          <w:sz w:val="24"/>
          <w:szCs w:val="24"/>
        </w:rPr>
        <w:t xml:space="preserve">, R.B.D. and </w:t>
      </w:r>
      <w:proofErr w:type="spellStart"/>
      <w:r>
        <w:rPr>
          <w:rFonts w:ascii="Times New Roman" w:eastAsia="Times New Roman" w:hAnsi="Times New Roman" w:cs="Times New Roman"/>
          <w:sz w:val="24"/>
          <w:szCs w:val="24"/>
        </w:rPr>
        <w:t>Abocejo</w:t>
      </w:r>
      <w:proofErr w:type="spellEnd"/>
      <w:r>
        <w:rPr>
          <w:rFonts w:ascii="Times New Roman" w:eastAsia="Times New Roman" w:hAnsi="Times New Roman" w:cs="Times New Roman"/>
          <w:sz w:val="24"/>
          <w:szCs w:val="24"/>
        </w:rPr>
        <w:t xml:space="preserve">, F.T., (2021). Change management process in a mining company: Kotter’s 8-step change model. </w:t>
      </w:r>
      <w:r>
        <w:rPr>
          <w:rFonts w:ascii="Times New Roman" w:eastAsia="Times New Roman" w:hAnsi="Times New Roman" w:cs="Times New Roman"/>
          <w:i/>
          <w:sz w:val="24"/>
          <w:szCs w:val="24"/>
        </w:rPr>
        <w:t>Journal of Management, Economics, and Industrial Organization</w:t>
      </w:r>
      <w:r>
        <w:rPr>
          <w:rFonts w:ascii="Times New Roman" w:eastAsia="Times New Roman" w:hAnsi="Times New Roman" w:cs="Times New Roman"/>
          <w:sz w:val="24"/>
          <w:szCs w:val="24"/>
        </w:rPr>
        <w:t>, 5(3), pp.31-50.</w:t>
      </w:r>
    </w:p>
    <w:p w14:paraId="01223A3B" w14:textId="77777777" w:rsidR="005F292A" w:rsidRDefault="00000000">
      <w:pPr>
        <w:spacing w:line="360" w:lineRule="auto"/>
        <w:ind w:left="360"/>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Lestari, R., </w:t>
      </w:r>
      <w:proofErr w:type="spellStart"/>
      <w:r>
        <w:rPr>
          <w:rFonts w:ascii="Times New Roman" w:eastAsia="Times New Roman" w:hAnsi="Times New Roman" w:cs="Times New Roman"/>
          <w:sz w:val="24"/>
          <w:szCs w:val="24"/>
        </w:rPr>
        <w:t>Windarwati</w:t>
      </w:r>
      <w:proofErr w:type="spellEnd"/>
      <w:r>
        <w:rPr>
          <w:rFonts w:ascii="Times New Roman" w:eastAsia="Times New Roman" w:hAnsi="Times New Roman" w:cs="Times New Roman"/>
          <w:sz w:val="24"/>
          <w:szCs w:val="24"/>
        </w:rPr>
        <w:t xml:space="preserve">, H.D. and </w:t>
      </w:r>
      <w:proofErr w:type="spellStart"/>
      <w:r>
        <w:rPr>
          <w:rFonts w:ascii="Times New Roman" w:eastAsia="Times New Roman" w:hAnsi="Times New Roman" w:cs="Times New Roman"/>
          <w:sz w:val="24"/>
          <w:szCs w:val="24"/>
        </w:rPr>
        <w:t>Hariyanti</w:t>
      </w:r>
      <w:proofErr w:type="spellEnd"/>
      <w:r>
        <w:rPr>
          <w:rFonts w:ascii="Times New Roman" w:eastAsia="Times New Roman" w:hAnsi="Times New Roman" w:cs="Times New Roman"/>
          <w:sz w:val="24"/>
          <w:szCs w:val="24"/>
        </w:rPr>
        <w:t>, T., (2025). Building Resilience in Organizations: Navigating Change and Challenges. In </w:t>
      </w:r>
      <w:r>
        <w:rPr>
          <w:rFonts w:ascii="Times New Roman" w:eastAsia="Times New Roman" w:hAnsi="Times New Roman" w:cs="Times New Roman"/>
          <w:i/>
          <w:iCs/>
          <w:sz w:val="24"/>
          <w:szCs w:val="24"/>
        </w:rPr>
        <w:t>Harnessing Happiness and Wisdom for Organizational Well-Being</w:t>
      </w:r>
      <w:r>
        <w:rPr>
          <w:rFonts w:ascii="Times New Roman" w:eastAsia="Times New Roman" w:hAnsi="Times New Roman" w:cs="Times New Roman"/>
          <w:sz w:val="24"/>
          <w:szCs w:val="24"/>
        </w:rPr>
        <w:t xml:space="preserve"> (pp. 151-168). </w:t>
      </w:r>
      <w:r>
        <w:rPr>
          <w:rFonts w:ascii="Times New Roman" w:eastAsia="Times New Roman" w:hAnsi="Times New Roman" w:cs="Times New Roman"/>
          <w:i/>
          <w:iCs/>
          <w:sz w:val="24"/>
          <w:szCs w:val="24"/>
        </w:rPr>
        <w:t>IGI Global Scientific Publishing.</w:t>
      </w:r>
    </w:p>
    <w:p w14:paraId="1920A00F"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Lindström</w:t>
      </w:r>
      <w:proofErr w:type="spellEnd"/>
      <w:r>
        <w:rPr>
          <w:rFonts w:ascii="Times New Roman" w:eastAsia="Times New Roman" w:hAnsi="Times New Roman" w:cs="Times New Roman"/>
          <w:sz w:val="24"/>
          <w:szCs w:val="24"/>
        </w:rPr>
        <w:t xml:space="preserve">, N.B., </w:t>
      </w:r>
      <w:proofErr w:type="spellStart"/>
      <w:r>
        <w:rPr>
          <w:rFonts w:ascii="Times New Roman" w:eastAsia="Times New Roman" w:hAnsi="Times New Roman" w:cs="Times New Roman"/>
          <w:sz w:val="24"/>
          <w:szCs w:val="24"/>
        </w:rPr>
        <w:t>Razmerita</w:t>
      </w:r>
      <w:proofErr w:type="spellEnd"/>
      <w:r>
        <w:rPr>
          <w:rFonts w:ascii="Times New Roman" w:eastAsia="Times New Roman" w:hAnsi="Times New Roman" w:cs="Times New Roman"/>
          <w:sz w:val="24"/>
          <w:szCs w:val="24"/>
        </w:rPr>
        <w:t>, L., Prokopenko, S. and Popovich, N., (2024). Building Digital Resilience in Major Shocks: How Ukrainian Organizations Enact Digital Transformation in Times of War. In </w:t>
      </w:r>
      <w:r>
        <w:rPr>
          <w:rFonts w:ascii="Times New Roman" w:eastAsia="Times New Roman" w:hAnsi="Times New Roman" w:cs="Times New Roman"/>
          <w:i/>
          <w:iCs/>
          <w:sz w:val="24"/>
          <w:szCs w:val="24"/>
        </w:rPr>
        <w:t>57th Annual Hawaii International Conference on System Sciences, HICSS 2024</w:t>
      </w:r>
      <w:r>
        <w:rPr>
          <w:rFonts w:ascii="Times New Roman" w:eastAsia="Times New Roman" w:hAnsi="Times New Roman" w:cs="Times New Roman"/>
          <w:sz w:val="24"/>
          <w:szCs w:val="24"/>
        </w:rPr>
        <w:t> (pp. 6813-6822). Hawaii International Conference on System Sciences (HICSS).</w:t>
      </w:r>
    </w:p>
    <w:p w14:paraId="13A922E4"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Loukili</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Goedhart</w:t>
      </w:r>
      <w:proofErr w:type="spellEnd"/>
      <w:r>
        <w:rPr>
          <w:rFonts w:ascii="Times New Roman" w:eastAsia="Times New Roman" w:hAnsi="Times New Roman" w:cs="Times New Roman"/>
          <w:sz w:val="24"/>
          <w:szCs w:val="24"/>
        </w:rPr>
        <w:t xml:space="preserve">, N.S., </w:t>
      </w:r>
      <w:proofErr w:type="spellStart"/>
      <w:r>
        <w:rPr>
          <w:rFonts w:ascii="Times New Roman" w:eastAsia="Times New Roman" w:hAnsi="Times New Roman" w:cs="Times New Roman"/>
          <w:sz w:val="24"/>
          <w:szCs w:val="24"/>
        </w:rPr>
        <w:t>Zuiderent-Jerak</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Dedding</w:t>
      </w:r>
      <w:proofErr w:type="spellEnd"/>
      <w:r>
        <w:rPr>
          <w:rFonts w:ascii="Times New Roman" w:eastAsia="Times New Roman" w:hAnsi="Times New Roman" w:cs="Times New Roman"/>
          <w:sz w:val="24"/>
          <w:szCs w:val="24"/>
        </w:rPr>
        <w:t xml:space="preserve">, C., (2024). Digitalizing Access to Care: How Self-Check-In Kiosks Shape Access to Care and Efficiency of Hospital Services. </w:t>
      </w:r>
      <w:r>
        <w:rPr>
          <w:rFonts w:ascii="Times New Roman" w:eastAsia="Times New Roman" w:hAnsi="Times New Roman" w:cs="Times New Roman"/>
          <w:i/>
          <w:sz w:val="24"/>
          <w:szCs w:val="24"/>
        </w:rPr>
        <w:t>Media and Communication</w:t>
      </w:r>
      <w:r>
        <w:rPr>
          <w:rFonts w:ascii="Times New Roman" w:eastAsia="Times New Roman" w:hAnsi="Times New Roman" w:cs="Times New Roman"/>
          <w:sz w:val="24"/>
          <w:szCs w:val="24"/>
        </w:rPr>
        <w:t>, 12.</w:t>
      </w:r>
    </w:p>
    <w:p w14:paraId="5AAC2FB9"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Maley</w:t>
      </w:r>
      <w:proofErr w:type="spellEnd"/>
      <w:r>
        <w:rPr>
          <w:rFonts w:ascii="Times New Roman" w:eastAsia="Times New Roman" w:hAnsi="Times New Roman" w:cs="Times New Roman"/>
          <w:sz w:val="24"/>
          <w:szCs w:val="24"/>
        </w:rPr>
        <w:t xml:space="preserve">, J.F., </w:t>
      </w:r>
      <w:proofErr w:type="spellStart"/>
      <w:r>
        <w:rPr>
          <w:rFonts w:ascii="Times New Roman" w:eastAsia="Times New Roman" w:hAnsi="Times New Roman" w:cs="Times New Roman"/>
          <w:sz w:val="24"/>
          <w:szCs w:val="24"/>
        </w:rPr>
        <w:t>Dabić</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Neher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Wuersch</w:t>
      </w:r>
      <w:proofErr w:type="spellEnd"/>
      <w:r>
        <w:rPr>
          <w:rFonts w:ascii="Times New Roman" w:eastAsia="Times New Roman" w:hAnsi="Times New Roman" w:cs="Times New Roman"/>
          <w:sz w:val="24"/>
          <w:szCs w:val="24"/>
        </w:rPr>
        <w:t xml:space="preserve">, L., Martin, L. and </w:t>
      </w:r>
      <w:proofErr w:type="spellStart"/>
      <w:r>
        <w:rPr>
          <w:rFonts w:ascii="Times New Roman" w:eastAsia="Times New Roman" w:hAnsi="Times New Roman" w:cs="Times New Roman"/>
          <w:sz w:val="24"/>
          <w:szCs w:val="24"/>
        </w:rPr>
        <w:t>Kiessling</w:t>
      </w:r>
      <w:proofErr w:type="spellEnd"/>
      <w:r>
        <w:rPr>
          <w:rFonts w:ascii="Times New Roman" w:eastAsia="Times New Roman" w:hAnsi="Times New Roman" w:cs="Times New Roman"/>
          <w:sz w:val="24"/>
          <w:szCs w:val="24"/>
        </w:rPr>
        <w:t>, T., (2024). Performance management in a rapidly changing world: implications for talent management. </w:t>
      </w:r>
      <w:r>
        <w:rPr>
          <w:rFonts w:ascii="Times New Roman" w:eastAsia="Times New Roman" w:hAnsi="Times New Roman" w:cs="Times New Roman"/>
          <w:i/>
          <w:iCs/>
          <w:sz w:val="24"/>
          <w:szCs w:val="24"/>
        </w:rPr>
        <w:t>Management decision</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62</w:t>
      </w:r>
      <w:r>
        <w:rPr>
          <w:rFonts w:ascii="Times New Roman" w:eastAsia="Times New Roman" w:hAnsi="Times New Roman" w:cs="Times New Roman"/>
          <w:sz w:val="24"/>
          <w:szCs w:val="24"/>
        </w:rPr>
        <w:t>(10), pp.3085-3108.</w:t>
      </w:r>
    </w:p>
    <w:p w14:paraId="1AAFB8D1"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Mavridopoulou</w:t>
      </w:r>
      <w:proofErr w:type="spellEnd"/>
      <w:r>
        <w:rPr>
          <w:rFonts w:ascii="Times New Roman" w:eastAsia="Times New Roman" w:hAnsi="Times New Roman" w:cs="Times New Roman"/>
          <w:sz w:val="24"/>
          <w:szCs w:val="24"/>
        </w:rPr>
        <w:t>, &amp; O’Mahoney, J. (2020). Elitism in Strategy Consulting: How Institutional Prestige Influences Recruitment. Management Consulting Journal, 3(1), 12–22.</w:t>
      </w:r>
    </w:p>
    <w:p w14:paraId="6251FBAC"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Mlambo, M., </w:t>
      </w:r>
      <w:proofErr w:type="spellStart"/>
      <w:r>
        <w:rPr>
          <w:rFonts w:ascii="Times New Roman" w:eastAsia="Times New Roman" w:hAnsi="Times New Roman" w:cs="Times New Roman"/>
          <w:sz w:val="24"/>
          <w:szCs w:val="24"/>
        </w:rPr>
        <w:t>Silén</w:t>
      </w:r>
      <w:proofErr w:type="spellEnd"/>
      <w:r>
        <w:rPr>
          <w:rFonts w:ascii="Times New Roman" w:eastAsia="Times New Roman" w:hAnsi="Times New Roman" w:cs="Times New Roman"/>
          <w:sz w:val="24"/>
          <w:szCs w:val="24"/>
        </w:rPr>
        <w:t xml:space="preserve">, C. and McGrath, C., (2021). Lifelong learning and nurses’ continuing professional development, a </w:t>
      </w:r>
      <w:proofErr w:type="spellStart"/>
      <w:r>
        <w:rPr>
          <w:rFonts w:ascii="Times New Roman" w:eastAsia="Times New Roman" w:hAnsi="Times New Roman" w:cs="Times New Roman"/>
          <w:sz w:val="24"/>
          <w:szCs w:val="24"/>
        </w:rPr>
        <w:t>metasynthesis</w:t>
      </w:r>
      <w:proofErr w:type="spellEnd"/>
      <w:r>
        <w:rPr>
          <w:rFonts w:ascii="Times New Roman" w:eastAsia="Times New Roman" w:hAnsi="Times New Roman" w:cs="Times New Roman"/>
          <w:sz w:val="24"/>
          <w:szCs w:val="24"/>
        </w:rPr>
        <w:t xml:space="preserve"> of the literature. </w:t>
      </w:r>
      <w:r>
        <w:rPr>
          <w:rFonts w:ascii="Times New Roman" w:eastAsia="Times New Roman" w:hAnsi="Times New Roman" w:cs="Times New Roman"/>
          <w:i/>
          <w:sz w:val="24"/>
          <w:szCs w:val="24"/>
        </w:rPr>
        <w:t>BMC nursing</w:t>
      </w:r>
      <w:r>
        <w:rPr>
          <w:rFonts w:ascii="Times New Roman" w:eastAsia="Times New Roman" w:hAnsi="Times New Roman" w:cs="Times New Roman"/>
          <w:sz w:val="24"/>
          <w:szCs w:val="24"/>
        </w:rPr>
        <w:t>, 20, pp.1-13.</w:t>
      </w:r>
    </w:p>
    <w:p w14:paraId="7E30D5D7"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Noordzife</w:t>
      </w:r>
      <w:proofErr w:type="spellEnd"/>
      <w:r>
        <w:rPr>
          <w:rFonts w:ascii="Times New Roman" w:eastAsia="Times New Roman" w:hAnsi="Times New Roman" w:cs="Times New Roman"/>
          <w:sz w:val="24"/>
          <w:szCs w:val="24"/>
        </w:rPr>
        <w:t>, G. (2014) Project Management of Hotel Opening Processes: Exploring Better Ways to Manage New Hotel Openings, CreateSpace</w:t>
      </w:r>
    </w:p>
    <w:p w14:paraId="32888993"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Omachi</w:t>
      </w:r>
      <w:proofErr w:type="spellEnd"/>
      <w:r>
        <w:rPr>
          <w:rFonts w:ascii="Times New Roman" w:eastAsia="Times New Roman" w:hAnsi="Times New Roman" w:cs="Times New Roman"/>
          <w:sz w:val="24"/>
          <w:szCs w:val="24"/>
        </w:rPr>
        <w:t xml:space="preserve">, V.O. and </w:t>
      </w:r>
      <w:proofErr w:type="spellStart"/>
      <w:r>
        <w:rPr>
          <w:rFonts w:ascii="Times New Roman" w:eastAsia="Times New Roman" w:hAnsi="Times New Roman" w:cs="Times New Roman"/>
          <w:sz w:val="24"/>
          <w:szCs w:val="24"/>
        </w:rPr>
        <w:t>Ajewumi</w:t>
      </w:r>
      <w:proofErr w:type="spellEnd"/>
      <w:r>
        <w:rPr>
          <w:rFonts w:ascii="Times New Roman" w:eastAsia="Times New Roman" w:hAnsi="Times New Roman" w:cs="Times New Roman"/>
          <w:sz w:val="24"/>
          <w:szCs w:val="24"/>
        </w:rPr>
        <w:t>, O.E., (2024). The influence of agile organizational design on employee engagement and performance in the digital age. </w:t>
      </w:r>
      <w:r>
        <w:rPr>
          <w:rFonts w:ascii="Times New Roman" w:eastAsia="Times New Roman" w:hAnsi="Times New Roman" w:cs="Times New Roman"/>
          <w:i/>
          <w:iCs/>
          <w:sz w:val="24"/>
          <w:szCs w:val="24"/>
        </w:rPr>
        <w:t>International Journal of Research Publication and Reviews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(10), pp.25-39.</w:t>
      </w:r>
    </w:p>
    <w:p w14:paraId="3B12989B"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Okon</w:t>
      </w:r>
      <w:proofErr w:type="spellEnd"/>
      <w:r>
        <w:rPr>
          <w:rFonts w:ascii="Times New Roman" w:eastAsia="Times New Roman" w:hAnsi="Times New Roman" w:cs="Times New Roman"/>
          <w:sz w:val="24"/>
          <w:szCs w:val="24"/>
        </w:rPr>
        <w:t xml:space="preserve">, R.I.C.H.A.R.D., </w:t>
      </w:r>
      <w:proofErr w:type="spellStart"/>
      <w:r>
        <w:rPr>
          <w:rFonts w:ascii="Times New Roman" w:eastAsia="Times New Roman" w:hAnsi="Times New Roman" w:cs="Times New Roman"/>
          <w:sz w:val="24"/>
          <w:szCs w:val="24"/>
        </w:rPr>
        <w:t>Odionu</w:t>
      </w:r>
      <w:proofErr w:type="spellEnd"/>
      <w:r>
        <w:rPr>
          <w:rFonts w:ascii="Times New Roman" w:eastAsia="Times New Roman" w:hAnsi="Times New Roman" w:cs="Times New Roman"/>
          <w:sz w:val="24"/>
          <w:szCs w:val="24"/>
        </w:rPr>
        <w:t>, C.S. and Bristol-</w:t>
      </w:r>
      <w:proofErr w:type="spellStart"/>
      <w:r>
        <w:rPr>
          <w:rFonts w:ascii="Times New Roman" w:eastAsia="Times New Roman" w:hAnsi="Times New Roman" w:cs="Times New Roman"/>
          <w:sz w:val="24"/>
          <w:szCs w:val="24"/>
        </w:rPr>
        <w:t>Alagbariya</w:t>
      </w:r>
      <w:proofErr w:type="spellEnd"/>
      <w:r>
        <w:rPr>
          <w:rFonts w:ascii="Times New Roman" w:eastAsia="Times New Roman" w:hAnsi="Times New Roman" w:cs="Times New Roman"/>
          <w:sz w:val="24"/>
          <w:szCs w:val="24"/>
        </w:rPr>
        <w:t xml:space="preserve">, B.E.R.N.A.D.E.T.T.E., (2024). Integrating technological tools in HR mental health initiatives. </w:t>
      </w:r>
      <w:r>
        <w:rPr>
          <w:rFonts w:ascii="Times New Roman" w:eastAsia="Times New Roman" w:hAnsi="Times New Roman" w:cs="Times New Roman"/>
          <w:i/>
          <w:sz w:val="24"/>
          <w:szCs w:val="24"/>
        </w:rPr>
        <w:t>IRE Journals</w:t>
      </w:r>
      <w:r>
        <w:rPr>
          <w:rFonts w:ascii="Times New Roman" w:eastAsia="Times New Roman" w:hAnsi="Times New Roman" w:cs="Times New Roman"/>
          <w:sz w:val="24"/>
          <w:szCs w:val="24"/>
        </w:rPr>
        <w:t>, 8(6), p.554.</w:t>
      </w:r>
    </w:p>
    <w:p w14:paraId="537541BB"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Palomäki</w:t>
      </w:r>
      <w:proofErr w:type="spellEnd"/>
      <w:r>
        <w:rPr>
          <w:rFonts w:ascii="Times New Roman" w:eastAsia="Times New Roman" w:hAnsi="Times New Roman" w:cs="Times New Roman"/>
          <w:sz w:val="24"/>
          <w:szCs w:val="24"/>
        </w:rPr>
        <w:t>, J., (2025). Recruitment vs. Development: examining organizations' professional talent acquisition &amp; training practices.</w:t>
      </w:r>
    </w:p>
    <w:p w14:paraId="54679174"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 G., </w:t>
      </w:r>
      <w:proofErr w:type="spellStart"/>
      <w:r>
        <w:rPr>
          <w:rFonts w:ascii="Times New Roman" w:eastAsia="Times New Roman" w:hAnsi="Times New Roman" w:cs="Times New Roman"/>
          <w:sz w:val="24"/>
          <w:szCs w:val="24"/>
        </w:rPr>
        <w:t>Shankararaman</w:t>
      </w:r>
      <w:proofErr w:type="spellEnd"/>
      <w:r>
        <w:rPr>
          <w:rFonts w:ascii="Times New Roman" w:eastAsia="Times New Roman" w:hAnsi="Times New Roman" w:cs="Times New Roman"/>
          <w:sz w:val="24"/>
          <w:szCs w:val="24"/>
        </w:rPr>
        <w:t xml:space="preserve">, V., Koh, K. and Gan, S., (2021). Students’ evaluation of teaching in the project-based learning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An instrument and a development process. </w:t>
      </w:r>
      <w:r>
        <w:rPr>
          <w:rFonts w:ascii="Times New Roman" w:eastAsia="Times New Roman" w:hAnsi="Times New Roman" w:cs="Times New Roman"/>
          <w:i/>
          <w:sz w:val="24"/>
          <w:szCs w:val="24"/>
        </w:rPr>
        <w:t xml:space="preserve">The International Journal of Management Education, </w:t>
      </w:r>
      <w:r>
        <w:rPr>
          <w:rFonts w:ascii="Times New Roman" w:eastAsia="Times New Roman" w:hAnsi="Times New Roman" w:cs="Times New Roman"/>
          <w:sz w:val="24"/>
          <w:szCs w:val="24"/>
        </w:rPr>
        <w:t>19(2), p.100501.</w:t>
      </w:r>
    </w:p>
    <w:p w14:paraId="2443E5E9"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Panteleiev</w:t>
      </w:r>
      <w:proofErr w:type="spellEnd"/>
      <w:r>
        <w:rPr>
          <w:rFonts w:ascii="Times New Roman" w:eastAsia="Times New Roman" w:hAnsi="Times New Roman" w:cs="Times New Roman"/>
          <w:sz w:val="24"/>
          <w:szCs w:val="24"/>
        </w:rPr>
        <w:t xml:space="preserve">, V., (2023). Application of SWOT analysis to justify the strategy of hotel business enterprises. </w:t>
      </w:r>
      <w:r>
        <w:rPr>
          <w:rFonts w:ascii="Times New Roman" w:eastAsia="Times New Roman" w:hAnsi="Times New Roman" w:cs="Times New Roman"/>
          <w:i/>
          <w:sz w:val="24"/>
          <w:szCs w:val="24"/>
        </w:rPr>
        <w:t>Technology audit and production reserves</w:t>
      </w:r>
      <w:r>
        <w:rPr>
          <w:rFonts w:ascii="Times New Roman" w:eastAsia="Times New Roman" w:hAnsi="Times New Roman" w:cs="Times New Roman"/>
          <w:sz w:val="24"/>
          <w:szCs w:val="24"/>
        </w:rPr>
        <w:t>, 1(4/69), pp.14-19.</w:t>
      </w:r>
    </w:p>
    <w:p w14:paraId="5BD7DC28"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Profusion-group, (2025), </w:t>
      </w:r>
      <w:r>
        <w:rPr>
          <w:rFonts w:ascii="Times New Roman" w:eastAsia="Times New Roman" w:hAnsi="Times New Roman" w:cs="Times New Roman"/>
          <w:i/>
          <w:sz w:val="24"/>
          <w:szCs w:val="24"/>
        </w:rPr>
        <w:t xml:space="preserve">Profusion Group,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https://www.hotel-online.com/tag/profusion-group/</w:t>
        </w:r>
      </w:hyperlink>
      <w:r>
        <w:rPr>
          <w:rFonts w:ascii="Times New Roman" w:eastAsia="Times New Roman" w:hAnsi="Times New Roman" w:cs="Times New Roman"/>
          <w:sz w:val="24"/>
          <w:szCs w:val="24"/>
        </w:rPr>
        <w:t xml:space="preserve"> [Accessed on: 13th </w:t>
      </w:r>
      <w:proofErr w:type="gramStart"/>
      <w:r>
        <w:rPr>
          <w:rFonts w:ascii="Times New Roman" w:eastAsia="Times New Roman" w:hAnsi="Times New Roman" w:cs="Times New Roman"/>
          <w:sz w:val="24"/>
          <w:szCs w:val="24"/>
        </w:rPr>
        <w:t>June,</w:t>
      </w:r>
      <w:proofErr w:type="gramEnd"/>
      <w:r>
        <w:rPr>
          <w:rFonts w:ascii="Times New Roman" w:eastAsia="Times New Roman" w:hAnsi="Times New Roman" w:cs="Times New Roman"/>
          <w:sz w:val="24"/>
          <w:szCs w:val="24"/>
        </w:rPr>
        <w:t xml:space="preserve"> 2025]</w:t>
      </w:r>
    </w:p>
    <w:p w14:paraId="0325D36F"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Rantamäki</w:t>
      </w:r>
      <w:proofErr w:type="spellEnd"/>
      <w:r>
        <w:rPr>
          <w:rFonts w:ascii="Times New Roman" w:eastAsia="Times New Roman" w:hAnsi="Times New Roman" w:cs="Times New Roman"/>
          <w:sz w:val="24"/>
          <w:szCs w:val="24"/>
        </w:rPr>
        <w:t>, P., (2025). Implementing a change process in a customer service team.</w:t>
      </w:r>
    </w:p>
    <w:p w14:paraId="5D2D0830"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Saleh, A.S. and </w:t>
      </w:r>
      <w:proofErr w:type="spellStart"/>
      <w:r>
        <w:rPr>
          <w:rFonts w:ascii="Times New Roman" w:eastAsia="Times New Roman" w:hAnsi="Times New Roman" w:cs="Times New Roman"/>
          <w:sz w:val="24"/>
          <w:szCs w:val="24"/>
        </w:rPr>
        <w:t>Zohry</w:t>
      </w:r>
      <w:proofErr w:type="spellEnd"/>
      <w:r>
        <w:rPr>
          <w:rFonts w:ascii="Times New Roman" w:eastAsia="Times New Roman" w:hAnsi="Times New Roman" w:cs="Times New Roman"/>
          <w:sz w:val="24"/>
          <w:szCs w:val="24"/>
        </w:rPr>
        <w:t xml:space="preserve">, M.A.E.F., (2022). Towards A Sustainable Hotel Education (An Analytical Strategic Study at The Faculty of Tourism and Hotels, Mansoura University-TOWS Matrix as A Model). </w:t>
      </w:r>
      <w:r>
        <w:rPr>
          <w:rFonts w:ascii="Times New Roman" w:eastAsia="Times New Roman" w:hAnsi="Times New Roman" w:cs="Times New Roman"/>
          <w:i/>
          <w:sz w:val="24"/>
          <w:szCs w:val="24"/>
        </w:rPr>
        <w:t>International Journal of Tourism, Archaeology and Hospitality</w:t>
      </w:r>
      <w:r>
        <w:rPr>
          <w:rFonts w:ascii="Times New Roman" w:eastAsia="Times New Roman" w:hAnsi="Times New Roman" w:cs="Times New Roman"/>
          <w:sz w:val="24"/>
          <w:szCs w:val="24"/>
        </w:rPr>
        <w:t>, 2(1), pp.45-74.</w:t>
      </w:r>
    </w:p>
    <w:p w14:paraId="23A0027E"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 Juan, N.V., </w:t>
      </w:r>
      <w:proofErr w:type="spellStart"/>
      <w:r>
        <w:rPr>
          <w:rFonts w:ascii="Times New Roman" w:eastAsia="Times New Roman" w:hAnsi="Times New Roman" w:cs="Times New Roman"/>
          <w:sz w:val="24"/>
          <w:szCs w:val="24"/>
        </w:rPr>
        <w:t>Aceituno</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Djellouli</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Sumray</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Regenold</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Syversen</w:t>
      </w:r>
      <w:proofErr w:type="spellEnd"/>
      <w:r>
        <w:rPr>
          <w:rFonts w:ascii="Times New Roman" w:eastAsia="Times New Roman" w:hAnsi="Times New Roman" w:cs="Times New Roman"/>
          <w:sz w:val="24"/>
          <w:szCs w:val="24"/>
        </w:rPr>
        <w:t xml:space="preserve">, A., Symmons, S.M., </w:t>
      </w:r>
      <w:proofErr w:type="spellStart"/>
      <w:r>
        <w:rPr>
          <w:rFonts w:ascii="Times New Roman" w:eastAsia="Times New Roman" w:hAnsi="Times New Roman" w:cs="Times New Roman"/>
          <w:sz w:val="24"/>
          <w:szCs w:val="24"/>
        </w:rPr>
        <w:t>Dowrick</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Mitchinson</w:t>
      </w:r>
      <w:proofErr w:type="spellEnd"/>
      <w:r>
        <w:rPr>
          <w:rFonts w:ascii="Times New Roman" w:eastAsia="Times New Roman" w:hAnsi="Times New Roman" w:cs="Times New Roman"/>
          <w:sz w:val="24"/>
          <w:szCs w:val="24"/>
        </w:rPr>
        <w:t xml:space="preserve">, L., Singleton, G. and </w:t>
      </w:r>
      <w:proofErr w:type="spellStart"/>
      <w:r>
        <w:rPr>
          <w:rFonts w:ascii="Times New Roman" w:eastAsia="Times New Roman" w:hAnsi="Times New Roman" w:cs="Times New Roman"/>
          <w:sz w:val="24"/>
          <w:szCs w:val="24"/>
        </w:rPr>
        <w:t>Vindrola-Padros</w:t>
      </w:r>
      <w:proofErr w:type="spellEnd"/>
      <w:r>
        <w:rPr>
          <w:rFonts w:ascii="Times New Roman" w:eastAsia="Times New Roman" w:hAnsi="Times New Roman" w:cs="Times New Roman"/>
          <w:sz w:val="24"/>
          <w:szCs w:val="24"/>
        </w:rPr>
        <w:t xml:space="preserve">, C., (2021). Mental health and well-being of healthcare workers during the COVID-19 pandemic in the UK: contrasting guidelines with experiences in practice. </w:t>
      </w:r>
      <w:proofErr w:type="spellStart"/>
      <w:r>
        <w:rPr>
          <w:rFonts w:ascii="Times New Roman" w:eastAsia="Times New Roman" w:hAnsi="Times New Roman" w:cs="Times New Roman"/>
          <w:i/>
          <w:sz w:val="24"/>
          <w:szCs w:val="24"/>
        </w:rPr>
        <w:t>BJPsych</w:t>
      </w:r>
      <w:proofErr w:type="spellEnd"/>
      <w:r>
        <w:rPr>
          <w:rFonts w:ascii="Times New Roman" w:eastAsia="Times New Roman" w:hAnsi="Times New Roman" w:cs="Times New Roman"/>
          <w:i/>
          <w:sz w:val="24"/>
          <w:szCs w:val="24"/>
        </w:rPr>
        <w:t xml:space="preserve"> open</w:t>
      </w:r>
      <w:r>
        <w:rPr>
          <w:rFonts w:ascii="Times New Roman" w:eastAsia="Times New Roman" w:hAnsi="Times New Roman" w:cs="Times New Roman"/>
          <w:sz w:val="24"/>
          <w:szCs w:val="24"/>
        </w:rPr>
        <w:t>, 7(1), p.e15.</w:t>
      </w:r>
    </w:p>
    <w:p w14:paraId="4C8C5937"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Sarwar, N., Afrin, K.H., Patnaik, R., </w:t>
      </w:r>
      <w:proofErr w:type="spellStart"/>
      <w:r>
        <w:rPr>
          <w:rFonts w:ascii="Times New Roman" w:eastAsia="Times New Roman" w:hAnsi="Times New Roman" w:cs="Times New Roman"/>
          <w:sz w:val="24"/>
          <w:szCs w:val="24"/>
        </w:rPr>
        <w:t>Pattanaik</w:t>
      </w:r>
      <w:proofErr w:type="spellEnd"/>
      <w:r>
        <w:rPr>
          <w:rFonts w:ascii="Times New Roman" w:eastAsia="Times New Roman" w:hAnsi="Times New Roman" w:cs="Times New Roman"/>
          <w:sz w:val="24"/>
          <w:szCs w:val="24"/>
        </w:rPr>
        <w:t>, S.R., Verma, N.K. and Shaw, S., (2024). Digital Media Impact on Employee Communication and HRM Practices.</w:t>
      </w:r>
      <w:r>
        <w:rPr>
          <w:rFonts w:ascii="Times New Roman" w:eastAsia="Times New Roman" w:hAnsi="Times New Roman" w:cs="Times New Roman"/>
          <w:i/>
          <w:sz w:val="24"/>
          <w:szCs w:val="24"/>
        </w:rPr>
        <w:t xml:space="preserve"> Journal of Informatics Education and Research,</w:t>
      </w:r>
      <w:r>
        <w:rPr>
          <w:rFonts w:ascii="Times New Roman" w:eastAsia="Times New Roman" w:hAnsi="Times New Roman" w:cs="Times New Roman"/>
          <w:sz w:val="24"/>
          <w:szCs w:val="24"/>
        </w:rPr>
        <w:t xml:space="preserve"> 4.</w:t>
      </w:r>
    </w:p>
    <w:p w14:paraId="3F476AB9"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Schwarzenegger, C. and </w:t>
      </w:r>
      <w:proofErr w:type="spellStart"/>
      <w:r>
        <w:rPr>
          <w:rFonts w:ascii="Times New Roman" w:eastAsia="Times New Roman" w:hAnsi="Times New Roman" w:cs="Times New Roman"/>
          <w:sz w:val="24"/>
          <w:szCs w:val="24"/>
        </w:rPr>
        <w:t>Lohmeier</w:t>
      </w:r>
      <w:proofErr w:type="spellEnd"/>
      <w:r>
        <w:rPr>
          <w:rFonts w:ascii="Times New Roman" w:eastAsia="Times New Roman" w:hAnsi="Times New Roman" w:cs="Times New Roman"/>
          <w:sz w:val="24"/>
          <w:szCs w:val="24"/>
        </w:rPr>
        <w:t xml:space="preserve">, C., (2021). Creating opportunities for temporary disconnection: How tourism professionals provide alternatives to being permanently online. </w:t>
      </w:r>
      <w:r>
        <w:rPr>
          <w:rFonts w:ascii="Times New Roman" w:eastAsia="Times New Roman" w:hAnsi="Times New Roman" w:cs="Times New Roman"/>
          <w:i/>
          <w:sz w:val="24"/>
          <w:szCs w:val="24"/>
        </w:rPr>
        <w:t>Convergence</w:t>
      </w:r>
      <w:r>
        <w:rPr>
          <w:rFonts w:ascii="Times New Roman" w:eastAsia="Times New Roman" w:hAnsi="Times New Roman" w:cs="Times New Roman"/>
          <w:sz w:val="24"/>
          <w:szCs w:val="24"/>
        </w:rPr>
        <w:t>, 27(6), pp.1631-1647.</w:t>
      </w:r>
    </w:p>
    <w:p w14:paraId="31D60995"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A.M., (2024). “Unmeasured” and never-ending working hours in UK higher education: time for workers, unions and employers to reinterpret the </w:t>
      </w:r>
      <w:proofErr w:type="gramStart"/>
      <w:r>
        <w:rPr>
          <w:rFonts w:ascii="Times New Roman" w:eastAsia="Times New Roman" w:hAnsi="Times New Roman" w:cs="Times New Roman"/>
          <w:sz w:val="24"/>
          <w:szCs w:val="24"/>
        </w:rPr>
        <w:t>law?.</w:t>
      </w:r>
      <w:proofErr w:type="gramEnd"/>
      <w:r>
        <w:rPr>
          <w:rFonts w:ascii="Times New Roman" w:eastAsia="Times New Roman" w:hAnsi="Times New Roman" w:cs="Times New Roman"/>
          <w:i/>
          <w:sz w:val="24"/>
          <w:szCs w:val="24"/>
        </w:rPr>
        <w:t xml:space="preserve"> Journal of Further and Higher Education,</w:t>
      </w:r>
      <w:r>
        <w:rPr>
          <w:rFonts w:ascii="Times New Roman" w:eastAsia="Times New Roman" w:hAnsi="Times New Roman" w:cs="Times New Roman"/>
          <w:sz w:val="24"/>
          <w:szCs w:val="24"/>
        </w:rPr>
        <w:t xml:space="preserve"> 48(4), pp.331-343.</w:t>
      </w:r>
    </w:p>
    <w:p w14:paraId="7B3A72D1"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Sonnentag</w:t>
      </w:r>
      <w:proofErr w:type="spellEnd"/>
      <w:r>
        <w:rPr>
          <w:rFonts w:ascii="Times New Roman" w:eastAsia="Times New Roman" w:hAnsi="Times New Roman" w:cs="Times New Roman"/>
          <w:sz w:val="24"/>
          <w:szCs w:val="24"/>
        </w:rPr>
        <w:t xml:space="preserve">, S., Tay, L. and Nesher </w:t>
      </w:r>
      <w:proofErr w:type="spellStart"/>
      <w:r>
        <w:rPr>
          <w:rFonts w:ascii="Times New Roman" w:eastAsia="Times New Roman" w:hAnsi="Times New Roman" w:cs="Times New Roman"/>
          <w:sz w:val="24"/>
          <w:szCs w:val="24"/>
        </w:rPr>
        <w:t>Shoshan</w:t>
      </w:r>
      <w:proofErr w:type="spellEnd"/>
      <w:r>
        <w:rPr>
          <w:rFonts w:ascii="Times New Roman" w:eastAsia="Times New Roman" w:hAnsi="Times New Roman" w:cs="Times New Roman"/>
          <w:sz w:val="24"/>
          <w:szCs w:val="24"/>
        </w:rPr>
        <w:t xml:space="preserve">, H., (2023). A review on health and well‐being at work: More than stressors and strains. </w:t>
      </w:r>
      <w:r>
        <w:rPr>
          <w:rFonts w:ascii="Times New Roman" w:eastAsia="Times New Roman" w:hAnsi="Times New Roman" w:cs="Times New Roman"/>
          <w:i/>
          <w:sz w:val="24"/>
          <w:szCs w:val="24"/>
        </w:rPr>
        <w:t>Personnel Psychology</w:t>
      </w:r>
      <w:r>
        <w:rPr>
          <w:rFonts w:ascii="Times New Roman" w:eastAsia="Times New Roman" w:hAnsi="Times New Roman" w:cs="Times New Roman"/>
          <w:sz w:val="24"/>
          <w:szCs w:val="24"/>
        </w:rPr>
        <w:t>, 76(2), pp.473-510.</w:t>
      </w:r>
    </w:p>
    <w:p w14:paraId="0C53A607"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(2025), </w:t>
      </w:r>
      <w:r>
        <w:rPr>
          <w:rFonts w:ascii="Times New Roman" w:eastAsia="Times New Roman" w:hAnsi="Times New Roman" w:cs="Times New Roman"/>
          <w:i/>
          <w:sz w:val="24"/>
          <w:szCs w:val="24"/>
        </w:rPr>
        <w:t xml:space="preserve">Hotel Business Turnover in UK,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https://www.statista.com/statistics/558099/hotel-business-turnover-uk-united-kingdom/</w:t>
        </w:r>
      </w:hyperlink>
      <w:r>
        <w:rPr>
          <w:rFonts w:ascii="Times New Roman" w:eastAsia="Times New Roman" w:hAnsi="Times New Roman" w:cs="Times New Roman"/>
          <w:sz w:val="24"/>
          <w:szCs w:val="24"/>
        </w:rPr>
        <w:t xml:space="preserve"> [Accessed on: 13th June, 2025]</w:t>
      </w:r>
    </w:p>
    <w:p w14:paraId="001515D1"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Suwaji</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Muliyadi</w:t>
      </w:r>
      <w:proofErr w:type="spellEnd"/>
      <w:r>
        <w:rPr>
          <w:rFonts w:ascii="Times New Roman" w:eastAsia="Times New Roman" w:hAnsi="Times New Roman" w:cs="Times New Roman"/>
          <w:sz w:val="24"/>
          <w:szCs w:val="24"/>
        </w:rPr>
        <w:t>, M. and Kusuma, I.A., (2024). The Role of HR Technology in HR Management Transformation: Improving Organizational Efficiency and Productivity. </w:t>
      </w:r>
      <w:proofErr w:type="spellStart"/>
      <w:r>
        <w:rPr>
          <w:rFonts w:ascii="Times New Roman" w:eastAsia="Times New Roman" w:hAnsi="Times New Roman" w:cs="Times New Roman"/>
          <w:i/>
          <w:iCs/>
          <w:sz w:val="24"/>
          <w:szCs w:val="24"/>
        </w:rPr>
        <w:t>Jurnal</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Informasi</w:t>
      </w:r>
      <w:proofErr w:type="spellEnd"/>
      <w:r>
        <w:rPr>
          <w:rFonts w:ascii="Times New Roman" w:eastAsia="Times New Roman" w:hAnsi="Times New Roman" w:cs="Times New Roman"/>
          <w:i/>
          <w:iCs/>
          <w:sz w:val="24"/>
          <w:szCs w:val="24"/>
        </w:rPr>
        <w:t xml:space="preserve"> dan </w:t>
      </w:r>
      <w:proofErr w:type="spellStart"/>
      <w:r>
        <w:rPr>
          <w:rFonts w:ascii="Times New Roman" w:eastAsia="Times New Roman" w:hAnsi="Times New Roman" w:cs="Times New Roman"/>
          <w:i/>
          <w:iCs/>
          <w:sz w:val="24"/>
          <w:szCs w:val="24"/>
        </w:rPr>
        <w:t>Teknologi</w:t>
      </w:r>
      <w:proofErr w:type="spellEnd"/>
      <w:r>
        <w:rPr>
          <w:rFonts w:ascii="Times New Roman" w:eastAsia="Times New Roman" w:hAnsi="Times New Roman" w:cs="Times New Roman"/>
          <w:sz w:val="24"/>
          <w:szCs w:val="24"/>
        </w:rPr>
        <w:t>, pp.83-91.</w:t>
      </w:r>
    </w:p>
    <w:p w14:paraId="43F29A0A" w14:textId="77777777" w:rsidR="005F292A" w:rsidRDefault="00000000">
      <w:pPr>
        <w:spacing w:line="360" w:lineRule="auto"/>
        <w:ind w:left="360"/>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Truesdale, C., (2021). Regulatory Team Development in Post-Merger Integration: A Survey of Views from Medical Product Companies. </w:t>
      </w:r>
      <w:r>
        <w:rPr>
          <w:rFonts w:ascii="Times New Roman" w:eastAsia="Times New Roman" w:hAnsi="Times New Roman" w:cs="Times New Roman"/>
          <w:i/>
          <w:sz w:val="24"/>
          <w:szCs w:val="24"/>
        </w:rPr>
        <w:t>University of Southern California.</w:t>
      </w:r>
    </w:p>
    <w:p w14:paraId="4D0C446E"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Ukhospitality</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i/>
          <w:sz w:val="24"/>
          <w:szCs w:val="24"/>
        </w:rPr>
        <w:t>Ukhospitality</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1155CC"/>
            <w:sz w:val="24"/>
            <w:szCs w:val="24"/>
            <w:u w:val="single"/>
          </w:rPr>
          <w:t>https://www.ukhospitality.org.uk/campaigns/workforce/</w:t>
        </w:r>
      </w:hyperlink>
      <w:r>
        <w:rPr>
          <w:rFonts w:ascii="Times New Roman" w:eastAsia="Times New Roman" w:hAnsi="Times New Roman" w:cs="Times New Roman"/>
          <w:sz w:val="24"/>
          <w:szCs w:val="24"/>
        </w:rPr>
        <w:t xml:space="preserve"> [Accessed on: 13th </w:t>
      </w:r>
      <w:proofErr w:type="gramStart"/>
      <w:r>
        <w:rPr>
          <w:rFonts w:ascii="Times New Roman" w:eastAsia="Times New Roman" w:hAnsi="Times New Roman" w:cs="Times New Roman"/>
          <w:sz w:val="24"/>
          <w:szCs w:val="24"/>
        </w:rPr>
        <w:t>June,</w:t>
      </w:r>
      <w:proofErr w:type="gramEnd"/>
      <w:r>
        <w:rPr>
          <w:rFonts w:ascii="Times New Roman" w:eastAsia="Times New Roman" w:hAnsi="Times New Roman" w:cs="Times New Roman"/>
          <w:sz w:val="24"/>
          <w:szCs w:val="24"/>
        </w:rPr>
        <w:t xml:space="preserve"> 2025]</w:t>
      </w:r>
    </w:p>
    <w:p w14:paraId="6AAA0C6C"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Ununger</w:t>
      </w:r>
      <w:proofErr w:type="spellEnd"/>
      <w:r>
        <w:rPr>
          <w:rFonts w:ascii="Times New Roman" w:eastAsia="Times New Roman" w:hAnsi="Times New Roman" w:cs="Times New Roman"/>
          <w:sz w:val="24"/>
          <w:szCs w:val="24"/>
        </w:rPr>
        <w:t xml:space="preserve">, F., (2021). Developing Sustainable Talent Management in the Hotel Industry: Can Sustainable Talent Management lower the turnover rates in </w:t>
      </w:r>
      <w:proofErr w:type="gramStart"/>
      <w:r>
        <w:rPr>
          <w:rFonts w:ascii="Times New Roman" w:eastAsia="Times New Roman" w:hAnsi="Times New Roman" w:cs="Times New Roman"/>
          <w:sz w:val="24"/>
          <w:szCs w:val="24"/>
        </w:rPr>
        <w:t>hotels?.</w:t>
      </w:r>
      <w:proofErr w:type="gramEnd"/>
    </w:p>
    <w:p w14:paraId="18AB6A9F"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Vergotte</w:t>
      </w:r>
      <w:proofErr w:type="spellEnd"/>
      <w:r>
        <w:rPr>
          <w:rFonts w:ascii="Times New Roman" w:eastAsia="Times New Roman" w:hAnsi="Times New Roman" w:cs="Times New Roman"/>
          <w:sz w:val="24"/>
          <w:szCs w:val="24"/>
        </w:rPr>
        <w:t>, S., (2023). Robustness versus stability measures in proactive scheduling for timetabling applications.</w:t>
      </w:r>
    </w:p>
    <w:p w14:paraId="03261202"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Waaje</w:t>
      </w:r>
      <w:proofErr w:type="spellEnd"/>
      <w:r>
        <w:rPr>
          <w:rFonts w:ascii="Times New Roman" w:eastAsia="Times New Roman" w:hAnsi="Times New Roman" w:cs="Times New Roman"/>
          <w:sz w:val="24"/>
          <w:szCs w:val="24"/>
        </w:rPr>
        <w:t xml:space="preserve">, A., Karim, R., </w:t>
      </w:r>
      <w:proofErr w:type="spellStart"/>
      <w:r>
        <w:rPr>
          <w:rFonts w:ascii="Times New Roman" w:eastAsia="Times New Roman" w:hAnsi="Times New Roman" w:cs="Times New Roman"/>
          <w:sz w:val="24"/>
          <w:szCs w:val="24"/>
        </w:rPr>
        <w:t>Roshid</w:t>
      </w:r>
      <w:proofErr w:type="spellEnd"/>
      <w:r>
        <w:rPr>
          <w:rFonts w:ascii="Times New Roman" w:eastAsia="Times New Roman" w:hAnsi="Times New Roman" w:cs="Times New Roman"/>
          <w:sz w:val="24"/>
          <w:szCs w:val="24"/>
        </w:rPr>
        <w:t xml:space="preserve">, M.M. and Meem, T.N., (2025). Minimizing Waste in the Hospitality Industry: The Opportunities and Challenges of Lean Tourism. Sustainable Waste </w:t>
      </w:r>
      <w:r>
        <w:rPr>
          <w:rFonts w:ascii="Times New Roman" w:eastAsia="Times New Roman" w:hAnsi="Times New Roman" w:cs="Times New Roman"/>
          <w:i/>
          <w:sz w:val="24"/>
          <w:szCs w:val="24"/>
        </w:rPr>
        <w:t>Management in the Tourism and Hospitality Sectors</w:t>
      </w:r>
      <w:r>
        <w:rPr>
          <w:rFonts w:ascii="Times New Roman" w:eastAsia="Times New Roman" w:hAnsi="Times New Roman" w:cs="Times New Roman"/>
          <w:sz w:val="24"/>
          <w:szCs w:val="24"/>
        </w:rPr>
        <w:t>, pp.125-166.</w:t>
      </w:r>
    </w:p>
    <w:p w14:paraId="668D8BB3"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Whittington, R. et al (2020) Exploring Strategy. Harlow: Pearson Education Limited.</w:t>
      </w:r>
    </w:p>
    <w:p w14:paraId="5F353BFA"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Xing, X., (2023). The Desert of Talent in Hospitality Industry: A Qualitative Analysis on High Staff Turnover in Chinese Hotels.</w:t>
      </w:r>
    </w:p>
    <w:p w14:paraId="184AD085" w14:textId="77777777" w:rsidR="005F292A" w:rsidRDefault="00000000">
      <w:pPr>
        <w:spacing w:line="360" w:lineRule="auto"/>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Zambon</w:t>
      </w:r>
      <w:proofErr w:type="spellEnd"/>
      <w:r>
        <w:rPr>
          <w:rFonts w:ascii="Times New Roman" w:eastAsia="Times New Roman" w:hAnsi="Times New Roman" w:cs="Times New Roman"/>
          <w:sz w:val="24"/>
          <w:szCs w:val="24"/>
        </w:rPr>
        <w:t>, M.V., (2024). Corporate Social Responsibility and Employer Branding: strategies for facing the new labor market dynamics.</w:t>
      </w:r>
    </w:p>
    <w:p w14:paraId="092E4AF9" w14:textId="77777777" w:rsidR="005F292A" w:rsidRDefault="0000000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Zeng, L., (2021). Analysis of Hilton Worldwide Hotel Group’s Transnational Operation Strategy. </w:t>
      </w:r>
      <w:r>
        <w:rPr>
          <w:rFonts w:ascii="Times New Roman" w:eastAsia="Times New Roman" w:hAnsi="Times New Roman" w:cs="Times New Roman"/>
          <w:i/>
          <w:sz w:val="24"/>
          <w:szCs w:val="24"/>
        </w:rPr>
        <w:t>Academic Journal of Business &amp; Management</w:t>
      </w:r>
      <w:r>
        <w:rPr>
          <w:rFonts w:ascii="Times New Roman" w:eastAsia="Times New Roman" w:hAnsi="Times New Roman" w:cs="Times New Roman"/>
          <w:sz w:val="24"/>
          <w:szCs w:val="24"/>
        </w:rPr>
        <w:t>, 3(11), pp.20-27.</w:t>
      </w:r>
    </w:p>
    <w:sectPr w:rsidR="005F292A" w:rsidSect="00B9161D">
      <w:footerReference w:type="even" r:id="rId15"/>
      <w:foot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5592C5" w14:textId="77777777" w:rsidR="00C341A2" w:rsidRDefault="00C341A2">
      <w:pPr>
        <w:spacing w:line="240" w:lineRule="auto"/>
      </w:pPr>
      <w:r>
        <w:separator/>
      </w:r>
    </w:p>
  </w:endnote>
  <w:endnote w:type="continuationSeparator" w:id="0">
    <w:p w14:paraId="4F5C1419" w14:textId="77777777" w:rsidR="00C341A2" w:rsidRDefault="00C341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default"/>
    <w:sig w:usb0="00000000" w:usb1="0000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57872418"/>
      <w:docPartObj>
        <w:docPartGallery w:val="Page Numbers (Bottom of Page)"/>
        <w:docPartUnique/>
      </w:docPartObj>
    </w:sdtPr>
    <w:sdtContent>
      <w:p w14:paraId="448F3DA8" w14:textId="32A1E3DC" w:rsidR="00B9161D" w:rsidRDefault="00B9161D" w:rsidP="00B916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F2B825" w14:textId="77777777" w:rsidR="00B9161D" w:rsidRDefault="00B9161D" w:rsidP="00B916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80805780"/>
      <w:docPartObj>
        <w:docPartGallery w:val="Page Numbers (Bottom of Page)"/>
        <w:docPartUnique/>
      </w:docPartObj>
    </w:sdtPr>
    <w:sdtContent>
      <w:p w14:paraId="50E7CCED" w14:textId="164E0905" w:rsidR="00B9161D" w:rsidRDefault="00B9161D" w:rsidP="00B916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6A450C" w14:textId="77777777" w:rsidR="00B9161D" w:rsidRDefault="00B9161D" w:rsidP="00B916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2D56F" w14:textId="77777777" w:rsidR="00C341A2" w:rsidRDefault="00C341A2">
      <w:r>
        <w:separator/>
      </w:r>
    </w:p>
  </w:footnote>
  <w:footnote w:type="continuationSeparator" w:id="0">
    <w:p w14:paraId="158369F5" w14:textId="77777777" w:rsidR="00C341A2" w:rsidRDefault="00C34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B43DBC"/>
    <w:multiLevelType w:val="multilevel"/>
    <w:tmpl w:val="5FB43D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4E5025"/>
    <w:multiLevelType w:val="multilevel"/>
    <w:tmpl w:val="644E50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AC1814"/>
    <w:multiLevelType w:val="multilevel"/>
    <w:tmpl w:val="6EAC1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0F6804"/>
    <w:multiLevelType w:val="multilevel"/>
    <w:tmpl w:val="7A0F6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6842444">
    <w:abstractNumId w:val="2"/>
  </w:num>
  <w:num w:numId="2" w16cid:durableId="1963807538">
    <w:abstractNumId w:val="0"/>
  </w:num>
  <w:num w:numId="3" w16cid:durableId="1746075725">
    <w:abstractNumId w:val="3"/>
  </w:num>
  <w:num w:numId="4" w16cid:durableId="1600942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AF9"/>
    <w:rsid w:val="A76C587D"/>
    <w:rsid w:val="00052395"/>
    <w:rsid w:val="0018004C"/>
    <w:rsid w:val="001C13E4"/>
    <w:rsid w:val="00292900"/>
    <w:rsid w:val="00314C10"/>
    <w:rsid w:val="00371A9D"/>
    <w:rsid w:val="00402F82"/>
    <w:rsid w:val="0041484B"/>
    <w:rsid w:val="00433D3F"/>
    <w:rsid w:val="00460663"/>
    <w:rsid w:val="00473EB2"/>
    <w:rsid w:val="004B1F2B"/>
    <w:rsid w:val="004B342D"/>
    <w:rsid w:val="004E0934"/>
    <w:rsid w:val="00501453"/>
    <w:rsid w:val="005A391A"/>
    <w:rsid w:val="005E5308"/>
    <w:rsid w:val="005F292A"/>
    <w:rsid w:val="00614C9D"/>
    <w:rsid w:val="006168CF"/>
    <w:rsid w:val="00691646"/>
    <w:rsid w:val="006F0176"/>
    <w:rsid w:val="007239CF"/>
    <w:rsid w:val="00776933"/>
    <w:rsid w:val="007774AD"/>
    <w:rsid w:val="007934A1"/>
    <w:rsid w:val="007A0A61"/>
    <w:rsid w:val="00862562"/>
    <w:rsid w:val="008C0E1F"/>
    <w:rsid w:val="008F2B21"/>
    <w:rsid w:val="00914EFB"/>
    <w:rsid w:val="00920F55"/>
    <w:rsid w:val="009A16FD"/>
    <w:rsid w:val="009D0923"/>
    <w:rsid w:val="00A5566A"/>
    <w:rsid w:val="00AD1674"/>
    <w:rsid w:val="00B207E8"/>
    <w:rsid w:val="00B602F0"/>
    <w:rsid w:val="00B70694"/>
    <w:rsid w:val="00B74B47"/>
    <w:rsid w:val="00B9161D"/>
    <w:rsid w:val="00C341A2"/>
    <w:rsid w:val="00C40AF9"/>
    <w:rsid w:val="00D62A9F"/>
    <w:rsid w:val="00E32C78"/>
    <w:rsid w:val="00E424E4"/>
    <w:rsid w:val="00EA6F98"/>
    <w:rsid w:val="00EF09B6"/>
    <w:rsid w:val="00F06131"/>
    <w:rsid w:val="00F973C7"/>
    <w:rsid w:val="00FB779A"/>
    <w:rsid w:val="00FE5F2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7318FE4"/>
  <w15:docId w15:val="{87CA70DE-84E2-6A4E-BC8C-E8814BFD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 w:eastAsia="en-IN"/>
    </w:rPr>
  </w:style>
  <w:style w:type="paragraph" w:styleId="Heading1">
    <w:name w:val="heading 1"/>
    <w:basedOn w:val="Normal"/>
    <w:next w:val="Normal"/>
    <w:uiPriority w:val="9"/>
    <w:qFormat/>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line="24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table" w:customStyle="1" w:styleId="TableNormal0">
    <w:name w:val="TableNormal"/>
    <w:qFormat/>
    <w:tblPr>
      <w:tblCellMar>
        <w:top w:w="0" w:type="dxa"/>
        <w:left w:w="0" w:type="dxa"/>
        <w:bottom w:w="0" w:type="dxa"/>
        <w:right w:w="0" w:type="dxa"/>
      </w:tblCellMar>
    </w:tblPr>
  </w:style>
  <w:style w:type="table" w:customStyle="1" w:styleId="Style12">
    <w:name w:val="_Style 12"/>
    <w:basedOn w:val="TableNormal0"/>
    <w:qFormat/>
    <w:tblPr>
      <w:tblCellMar>
        <w:top w:w="100" w:type="dxa"/>
        <w:left w:w="100" w:type="dxa"/>
        <w:bottom w:w="100" w:type="dxa"/>
        <w:right w:w="100" w:type="dxa"/>
      </w:tblCellMar>
    </w:tblPr>
  </w:style>
  <w:style w:type="table" w:customStyle="1" w:styleId="Style13">
    <w:name w:val="_Style 13"/>
    <w:basedOn w:val="TableNormal0"/>
    <w:qFormat/>
    <w:tblPr>
      <w:tblCellMar>
        <w:top w:w="100" w:type="dxa"/>
        <w:left w:w="100" w:type="dxa"/>
        <w:bottom w:w="100" w:type="dxa"/>
        <w:right w:w="100" w:type="dxa"/>
      </w:tblCellMar>
    </w:tblPr>
  </w:style>
  <w:style w:type="table" w:customStyle="1" w:styleId="Style14">
    <w:name w:val="_Style 14"/>
    <w:basedOn w:val="TableNormal0"/>
    <w:qFormat/>
    <w:tblPr>
      <w:tblCellMar>
        <w:top w:w="100" w:type="dxa"/>
        <w:left w:w="100" w:type="dxa"/>
        <w:bottom w:w="100" w:type="dxa"/>
        <w:right w:w="100" w:type="dxa"/>
      </w:tblCellMar>
    </w:tblPr>
  </w:style>
  <w:style w:type="table" w:customStyle="1" w:styleId="Style15">
    <w:name w:val="_Style 15"/>
    <w:basedOn w:val="TableNormal0"/>
    <w:qFormat/>
    <w:tblPr>
      <w:tblCellMar>
        <w:top w:w="100" w:type="dxa"/>
        <w:left w:w="100" w:type="dxa"/>
        <w:bottom w:w="100" w:type="dxa"/>
        <w:right w:w="100" w:type="dxa"/>
      </w:tblCellMar>
    </w:tblPr>
    <w:tcPr>
      <w:shd w:val="clear" w:color="auto" w:fill="FBE4D5"/>
    </w:tcPr>
  </w:style>
  <w:style w:type="table" w:customStyle="1" w:styleId="Style16">
    <w:name w:val="_Style 16"/>
    <w:basedOn w:val="TableNormal0"/>
    <w:qFormat/>
    <w:tblPr>
      <w:tblCellMar>
        <w:top w:w="100" w:type="dxa"/>
        <w:left w:w="100" w:type="dxa"/>
        <w:bottom w:w="100" w:type="dxa"/>
        <w:right w:w="100" w:type="dxa"/>
      </w:tblCellMar>
    </w:tblPr>
    <w:tcPr>
      <w:shd w:val="clear" w:color="auto" w:fill="FFF2CC"/>
    </w:tcPr>
  </w:style>
  <w:style w:type="table" w:customStyle="1" w:styleId="Style17">
    <w:name w:val="_Style 17"/>
    <w:basedOn w:val="TableNormal0"/>
    <w:qFormat/>
    <w:tblPr>
      <w:tblCellMar>
        <w:top w:w="100" w:type="dxa"/>
        <w:left w:w="100" w:type="dxa"/>
        <w:bottom w:w="100" w:type="dxa"/>
        <w:right w:w="100" w:type="dxa"/>
      </w:tblCellMar>
    </w:tblPr>
  </w:style>
  <w:style w:type="table" w:customStyle="1" w:styleId="Style18">
    <w:name w:val="_Style 18"/>
    <w:basedOn w:val="TableNormal0"/>
    <w:qFormat/>
    <w:tblPr>
      <w:tblCellMar>
        <w:top w:w="100" w:type="dxa"/>
        <w:left w:w="100" w:type="dxa"/>
        <w:bottom w:w="100" w:type="dxa"/>
        <w:right w:w="100" w:type="dxa"/>
      </w:tblCellMar>
    </w:tblPr>
    <w:tcPr>
      <w:shd w:val="clear" w:color="auto" w:fill="E2EFD9"/>
    </w:tcPr>
  </w:style>
  <w:style w:type="table" w:customStyle="1" w:styleId="Style19">
    <w:name w:val="_Style 19"/>
    <w:basedOn w:val="TableNormal0"/>
    <w:qFormat/>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paragraph" w:styleId="Footer">
    <w:name w:val="footer"/>
    <w:basedOn w:val="Normal"/>
    <w:link w:val="FooterChar"/>
    <w:uiPriority w:val="99"/>
    <w:unhideWhenUsed/>
    <w:rsid w:val="00B9161D"/>
    <w:pPr>
      <w:tabs>
        <w:tab w:val="center" w:pos="4513"/>
        <w:tab w:val="right" w:pos="9026"/>
      </w:tabs>
      <w:spacing w:line="240" w:lineRule="auto"/>
    </w:pPr>
  </w:style>
  <w:style w:type="character" w:customStyle="1" w:styleId="FooterChar">
    <w:name w:val="Footer Char"/>
    <w:basedOn w:val="DefaultParagraphFont"/>
    <w:link w:val="Footer"/>
    <w:uiPriority w:val="99"/>
    <w:rsid w:val="00B9161D"/>
    <w:rPr>
      <w:sz w:val="22"/>
      <w:szCs w:val="22"/>
      <w:lang w:val="en" w:eastAsia="en-IN"/>
    </w:rPr>
  </w:style>
  <w:style w:type="character" w:styleId="PageNumber">
    <w:name w:val="page number"/>
    <w:basedOn w:val="DefaultParagraphFont"/>
    <w:uiPriority w:val="99"/>
    <w:semiHidden/>
    <w:unhideWhenUsed/>
    <w:rsid w:val="00B91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atista.com/statistics/558099/hotel-business-turnover-uk-united-kingd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tel-online.com/tag/profusion-grou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lton.com/en/hotels/lonsbhi-hilton-london-bankside/?WT.mc_id=zINDA0EMEA1MB2PSH3Paid_ggl4ACBI_Brand_Destination5dkt6MULTIBR7EN8i81487387_121127567_71700000119475644&amp;&amp;&amp;&amp;&amp;gad_source=1&amp;gad_campaignid=21555213261&amp;gbraid=0AAAAADnjLGNN5BfMvlShgxo3K9unTfGMe&amp;gclid=Cj0KCQjwmK_CBhCEARIsAMKwcD4TYCa69RrRLcLrxVeSCDbukZMWrvO5_Baudocw6pz7-HzHRG2R7sEaAuBZEALw_wcB&amp;gclsrc=aw.d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khospitality.org.uk/campaigns/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31</Pages>
  <Words>8446</Words>
  <Characters>48144</Characters>
  <Application>Microsoft Office Word</Application>
  <DocSecurity>0</DocSecurity>
  <Lines>401</Lines>
  <Paragraphs>112</Paragraphs>
  <ScaleCrop>false</ScaleCrop>
  <Company/>
  <LinksUpToDate>false</LinksUpToDate>
  <CharactersWithSpaces>56478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Elena Caragicu (2244881)</cp:lastModifiedBy>
  <cp:revision>6</cp:revision>
  <dcterms:created xsi:type="dcterms:W3CDTF">2025-06-17T08:52:00Z</dcterms:created>
  <dcterms:modified xsi:type="dcterms:W3CDTF">2025-06-20T08:00:00Z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1033-5.7.2.8094</vt:lpwstr>
  </property>
</Properties>
</file>