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37226516"/>
        <w:docPartObj>
          <w:docPartGallery w:val="Cover Pages"/>
          <w:docPartUnique/>
        </w:docPartObj>
      </w:sdtPr>
      <w:sdtEndPr/>
      <w:sdtContent>
        <w:p w14:paraId="18557799" w14:textId="77777777" w:rsidR="009A67BE" w:rsidRDefault="009A67BE">
          <w:r>
            <w:rPr>
              <w:noProof/>
            </w:rPr>
            <mc:AlternateContent>
              <mc:Choice Requires="wpg">
                <w:drawing>
                  <wp:anchor distT="0" distB="0" distL="114300" distR="114300" simplePos="0" relativeHeight="251662336" behindDoc="0" locked="0" layoutInCell="1" allowOverlap="1" wp14:anchorId="535801E7" wp14:editId="724DD1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E11F9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e84c2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E63AE19" wp14:editId="411ACC3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296CDC" w14:textId="77777777" w:rsidR="009A67BE" w:rsidRDefault="009A67BE">
                                    <w:pPr>
                                      <w:pStyle w:val="NoSpacing"/>
                                      <w:jc w:val="right"/>
                                      <w:rPr>
                                        <w:color w:val="595959" w:themeColor="text1" w:themeTint="A6"/>
                                        <w:sz w:val="28"/>
                                        <w:szCs w:val="28"/>
                                      </w:rPr>
                                    </w:pPr>
                                    <w:r>
                                      <w:rPr>
                                        <w:color w:val="595959" w:themeColor="text1" w:themeTint="A6"/>
                                        <w:sz w:val="28"/>
                                        <w:szCs w:val="28"/>
                                      </w:rPr>
                                      <w:t>Curtis Cana</w:t>
                                    </w:r>
                                  </w:p>
                                </w:sdtContent>
                              </w:sdt>
                              <w:p w14:paraId="1141F7BC" w14:textId="77777777" w:rsidR="009A67BE" w:rsidRDefault="00A27C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A67BE">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63AE1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5296CDC" w14:textId="77777777" w:rsidR="009A67BE" w:rsidRDefault="009A67BE">
                              <w:pPr>
                                <w:pStyle w:val="NoSpacing"/>
                                <w:jc w:val="right"/>
                                <w:rPr>
                                  <w:color w:val="595959" w:themeColor="text1" w:themeTint="A6"/>
                                  <w:sz w:val="28"/>
                                  <w:szCs w:val="28"/>
                                </w:rPr>
                              </w:pPr>
                              <w:r>
                                <w:rPr>
                                  <w:color w:val="595959" w:themeColor="text1" w:themeTint="A6"/>
                                  <w:sz w:val="28"/>
                                  <w:szCs w:val="28"/>
                                </w:rPr>
                                <w:t>Curtis Cana</w:t>
                              </w:r>
                            </w:p>
                          </w:sdtContent>
                        </w:sdt>
                        <w:p w14:paraId="1141F7BC" w14:textId="77777777" w:rsidR="009A67BE" w:rsidRDefault="00A27CB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A67BE">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C198A10" wp14:editId="3AD25C1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4CBCCB" w14:textId="16E1D14C" w:rsidR="009A67BE" w:rsidRDefault="009A67BE">
                                <w:pPr>
                                  <w:pStyle w:val="NoSpacing"/>
                                  <w:jc w:val="right"/>
                                  <w:rPr>
                                    <w:color w:val="595959" w:themeColor="text1" w:themeTint="A6"/>
                                    <w:sz w:val="20"/>
                                    <w:szCs w:val="20"/>
                                  </w:rPr>
                                </w:pPr>
                                <w:r>
                                  <w:rPr>
                                    <w:rStyle w:val="normaltextrun"/>
                                    <w:rFonts w:ascii="Arial" w:hAnsi="Arial" w:cs="Arial"/>
                                    <w:color w:val="000000"/>
                                    <w:shd w:val="clear" w:color="auto" w:fill="FFFFFF"/>
                                  </w:rPr>
                                  <w:t>Learning for Life: a critical analysis of the evidence for which education in Wales prepares children and young people for a good life in a rapidly changing global context.  </w:t>
                                </w:r>
                                <w:r>
                                  <w:rPr>
                                    <w:rStyle w:val="eop"/>
                                    <w:rFonts w:ascii="Arial" w:hAnsi="Arial" w:cs="Arial"/>
                                    <w:color w:val="000000"/>
                                    <w:shd w:val="clear" w:color="auto" w:fill="FFFFFF"/>
                                  </w:rPr>
                                  <w:t> </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C198A1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94CBCCB" w14:textId="16E1D14C" w:rsidR="009A67BE" w:rsidRDefault="009A67BE">
                          <w:pPr>
                            <w:pStyle w:val="NoSpacing"/>
                            <w:jc w:val="right"/>
                            <w:rPr>
                              <w:color w:val="595959" w:themeColor="text1" w:themeTint="A6"/>
                              <w:sz w:val="20"/>
                              <w:szCs w:val="20"/>
                            </w:rPr>
                          </w:pPr>
                          <w:r>
                            <w:rPr>
                              <w:rStyle w:val="normaltextrun"/>
                              <w:rFonts w:ascii="Arial" w:hAnsi="Arial" w:cs="Arial"/>
                              <w:color w:val="000000"/>
                              <w:shd w:val="clear" w:color="auto" w:fill="FFFFFF"/>
                            </w:rPr>
                            <w:t>Learning for Life: a critical analysis of the evidence for which education in Wales prepares children and young people for a good life in a rapidly changing global context.  </w:t>
                          </w:r>
                          <w:r>
                            <w:rPr>
                              <w:rStyle w:val="eop"/>
                              <w:rFonts w:ascii="Arial" w:hAnsi="Arial" w:cs="Arial"/>
                              <w:color w:val="000000"/>
                              <w:shd w:val="clear" w:color="auto" w:fill="FFFFFF"/>
                            </w:rPr>
                            <w:t> </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3245EE9" wp14:editId="1559E81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7101E" w14:textId="0A9C305B" w:rsidR="009A67BE" w:rsidRDefault="00A27CB6">
                                <w:pPr>
                                  <w:jc w:val="right"/>
                                  <w:rPr>
                                    <w:color w:val="E84C22" w:themeColor="accent1"/>
                                    <w:sz w:val="64"/>
                                    <w:szCs w:val="64"/>
                                  </w:rPr>
                                </w:pPr>
                                <w:sdt>
                                  <w:sdtPr>
                                    <w:rPr>
                                      <w:caps/>
                                      <w:color w:val="E84C2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67BE">
                                      <w:rPr>
                                        <w:caps/>
                                        <w:color w:val="E84C22" w:themeColor="accent1"/>
                                        <w:sz w:val="64"/>
                                        <w:szCs w:val="64"/>
                                      </w:rPr>
                                      <w:t>Education for Health and well-being: ECCH7004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F202C0" w14:textId="2284516B" w:rsidR="009A67BE" w:rsidRDefault="009A67BE">
                                    <w:pPr>
                                      <w:jc w:val="right"/>
                                      <w:rPr>
                                        <w:smallCaps/>
                                        <w:color w:val="404040" w:themeColor="text1" w:themeTint="BF"/>
                                        <w:sz w:val="36"/>
                                        <w:szCs w:val="36"/>
                                      </w:rPr>
                                    </w:pPr>
                                    <w:r>
                                      <w:rPr>
                                        <w:color w:val="404040" w:themeColor="text1" w:themeTint="BF"/>
                                        <w:sz w:val="36"/>
                                        <w:szCs w:val="36"/>
                                      </w:rPr>
                                      <w:t>Curtis Cana 1500738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3245E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1B7101E" w14:textId="0A9C305B" w:rsidR="009A67BE" w:rsidRDefault="00A27CB6">
                          <w:pPr>
                            <w:jc w:val="right"/>
                            <w:rPr>
                              <w:color w:val="E84C22" w:themeColor="accent1"/>
                              <w:sz w:val="64"/>
                              <w:szCs w:val="64"/>
                            </w:rPr>
                          </w:pPr>
                          <w:sdt>
                            <w:sdtPr>
                              <w:rPr>
                                <w:caps/>
                                <w:color w:val="E84C2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67BE">
                                <w:rPr>
                                  <w:caps/>
                                  <w:color w:val="E84C22" w:themeColor="accent1"/>
                                  <w:sz w:val="64"/>
                                  <w:szCs w:val="64"/>
                                </w:rPr>
                                <w:t>Education for Health and well-being: ECCH7004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6F202C0" w14:textId="2284516B" w:rsidR="009A67BE" w:rsidRDefault="009A67BE">
                              <w:pPr>
                                <w:jc w:val="right"/>
                                <w:rPr>
                                  <w:smallCaps/>
                                  <w:color w:val="404040" w:themeColor="text1" w:themeTint="BF"/>
                                  <w:sz w:val="36"/>
                                  <w:szCs w:val="36"/>
                                </w:rPr>
                              </w:pPr>
                              <w:r>
                                <w:rPr>
                                  <w:color w:val="404040" w:themeColor="text1" w:themeTint="BF"/>
                                  <w:sz w:val="36"/>
                                  <w:szCs w:val="36"/>
                                </w:rPr>
                                <w:t>Curtis Cana 1500738</w:t>
                              </w:r>
                            </w:p>
                          </w:sdtContent>
                        </w:sdt>
                      </w:txbxContent>
                    </v:textbox>
                    <w10:wrap type="square" anchorx="page" anchory="page"/>
                  </v:shape>
                </w:pict>
              </mc:Fallback>
            </mc:AlternateContent>
          </w:r>
        </w:p>
        <w:p w14:paraId="21D9D4B8" w14:textId="77777777" w:rsidR="009A67BE" w:rsidRDefault="009A67BE">
          <w:r>
            <w:br w:type="page"/>
          </w:r>
        </w:p>
      </w:sdtContent>
    </w:sdt>
    <w:p w14:paraId="432490E6" w14:textId="58A59092" w:rsidR="00F96675" w:rsidRDefault="003F0BE5" w:rsidP="007F2856">
      <w:pPr>
        <w:spacing w:line="360" w:lineRule="auto"/>
        <w:rPr>
          <w:rFonts w:ascii="Arial" w:hAnsi="Arial" w:cs="Arial"/>
          <w:sz w:val="24"/>
          <w:szCs w:val="24"/>
        </w:rPr>
      </w:pPr>
      <w:r w:rsidRPr="007F2856">
        <w:rPr>
          <w:rFonts w:ascii="Arial" w:hAnsi="Arial" w:cs="Arial"/>
          <w:sz w:val="24"/>
          <w:szCs w:val="24"/>
        </w:rPr>
        <w:lastRenderedPageBreak/>
        <w:t xml:space="preserve">In this assignment </w:t>
      </w:r>
      <w:r w:rsidR="00817BBD" w:rsidRPr="007F2856">
        <w:rPr>
          <w:rFonts w:ascii="Arial" w:hAnsi="Arial" w:cs="Arial"/>
          <w:sz w:val="24"/>
          <w:szCs w:val="24"/>
        </w:rPr>
        <w:t>I will explore evidence for which education in Wales prepares children and young people for a good life in a rapidly changing global context.</w:t>
      </w:r>
      <w:r w:rsidR="00A83B8F">
        <w:rPr>
          <w:rFonts w:ascii="Arial" w:hAnsi="Arial" w:cs="Arial"/>
          <w:sz w:val="24"/>
          <w:szCs w:val="24"/>
        </w:rPr>
        <w:t xml:space="preserve"> </w:t>
      </w:r>
      <w:r w:rsidR="00901859" w:rsidRPr="007F2856">
        <w:rPr>
          <w:rFonts w:ascii="Arial" w:hAnsi="Arial" w:cs="Arial"/>
          <w:sz w:val="24"/>
          <w:szCs w:val="24"/>
        </w:rPr>
        <w:t xml:space="preserve"> The age range that I am going to look at is young people aged between 11 – 16 which is secondary school age.</w:t>
      </w:r>
      <w:r w:rsidR="00F96675">
        <w:rPr>
          <w:rFonts w:ascii="Arial" w:hAnsi="Arial" w:cs="Arial"/>
          <w:sz w:val="24"/>
          <w:szCs w:val="24"/>
        </w:rPr>
        <w:t xml:space="preserve"> The main path of focus of this will be looking at how education and mental health is linked to education preparing young people for a good life. Throughout the piece of work there will be relevant links made to my own practice in the youth work field and links to current policy and legislation in and around the topic area.</w:t>
      </w:r>
    </w:p>
    <w:p w14:paraId="3CC249CC" w14:textId="0D9C603C" w:rsidR="009A67BE" w:rsidRDefault="00363519" w:rsidP="007F2856">
      <w:pPr>
        <w:spacing w:line="360" w:lineRule="auto"/>
        <w:rPr>
          <w:rFonts w:ascii="Arial" w:hAnsi="Arial" w:cs="Arial"/>
          <w:sz w:val="24"/>
          <w:szCs w:val="24"/>
        </w:rPr>
      </w:pPr>
      <w:r w:rsidRPr="007F2856">
        <w:rPr>
          <w:rFonts w:ascii="Arial" w:hAnsi="Arial" w:cs="Arial"/>
          <w:sz w:val="24"/>
          <w:szCs w:val="24"/>
        </w:rPr>
        <w:t>Firstly, it needs to be explained what is meant by the term ‘good life’.</w:t>
      </w:r>
      <w:r w:rsidR="009660DC">
        <w:rPr>
          <w:rFonts w:ascii="Arial" w:hAnsi="Arial" w:cs="Arial"/>
          <w:sz w:val="24"/>
          <w:szCs w:val="24"/>
        </w:rPr>
        <w:t xml:space="preserve"> When someone has a </w:t>
      </w:r>
      <w:r w:rsidR="00E86CE7">
        <w:rPr>
          <w:rFonts w:ascii="Arial" w:hAnsi="Arial" w:cs="Arial"/>
          <w:sz w:val="24"/>
          <w:szCs w:val="24"/>
        </w:rPr>
        <w:t>‘good life’ this could mean a variety of things, for example, having money and being wealthy could mean someone lives a good life. The ability to have food on the table for some families in the world mean they are living a goo</w:t>
      </w:r>
      <w:r w:rsidR="002F27BA">
        <w:rPr>
          <w:rFonts w:ascii="Arial" w:hAnsi="Arial" w:cs="Arial"/>
          <w:sz w:val="24"/>
          <w:szCs w:val="24"/>
        </w:rPr>
        <w:t>d</w:t>
      </w:r>
      <w:r w:rsidR="00E86CE7">
        <w:rPr>
          <w:rFonts w:ascii="Arial" w:hAnsi="Arial" w:cs="Arial"/>
          <w:sz w:val="24"/>
          <w:szCs w:val="24"/>
        </w:rPr>
        <w:t xml:space="preserve"> life. We can use many different variations of what is meant by the term good life. However, I believe it all is drawn down to what Maslow (1943) states within his hierarchy of needs where he explains that one must achieve the basic psychological needs such as food, warmth and shelter, before they progress onto the other stages of the hierarchy, ending in the goal of achieving self-actualization.</w:t>
      </w:r>
    </w:p>
    <w:p w14:paraId="1376547F" w14:textId="02A78097" w:rsidR="007534C8" w:rsidRDefault="007534C8" w:rsidP="007F2856">
      <w:pPr>
        <w:spacing w:line="360" w:lineRule="auto"/>
        <w:rPr>
          <w:rFonts w:ascii="Arial" w:hAnsi="Arial" w:cs="Arial"/>
          <w:sz w:val="24"/>
          <w:szCs w:val="24"/>
        </w:rPr>
      </w:pPr>
      <w:r>
        <w:rPr>
          <w:rFonts w:ascii="Arial" w:hAnsi="Arial" w:cs="Arial"/>
          <w:sz w:val="24"/>
          <w:szCs w:val="24"/>
        </w:rPr>
        <w:t xml:space="preserve">A term that we can closely link </w:t>
      </w:r>
      <w:r w:rsidR="00FE469C">
        <w:rPr>
          <w:rFonts w:ascii="Arial" w:hAnsi="Arial" w:cs="Arial"/>
          <w:sz w:val="24"/>
          <w:szCs w:val="24"/>
        </w:rPr>
        <w:t>the ability to live a goo</w:t>
      </w:r>
      <w:r w:rsidR="00637A83">
        <w:rPr>
          <w:rFonts w:ascii="Arial" w:hAnsi="Arial" w:cs="Arial"/>
          <w:sz w:val="24"/>
          <w:szCs w:val="24"/>
        </w:rPr>
        <w:t>d</w:t>
      </w:r>
      <w:r w:rsidR="00FE469C">
        <w:rPr>
          <w:rFonts w:ascii="Arial" w:hAnsi="Arial" w:cs="Arial"/>
          <w:sz w:val="24"/>
          <w:szCs w:val="24"/>
        </w:rPr>
        <w:t xml:space="preserve"> life to is having a good level of health and wellbeing. </w:t>
      </w:r>
      <w:r w:rsidR="00586067">
        <w:rPr>
          <w:rFonts w:ascii="Arial" w:hAnsi="Arial" w:cs="Arial"/>
          <w:sz w:val="24"/>
          <w:szCs w:val="24"/>
        </w:rPr>
        <w:t>The term health means</w:t>
      </w:r>
      <w:r w:rsidR="002F27BA">
        <w:rPr>
          <w:rFonts w:ascii="Arial" w:hAnsi="Arial" w:cs="Arial"/>
          <w:sz w:val="24"/>
          <w:szCs w:val="24"/>
        </w:rPr>
        <w:t xml:space="preserve">, </w:t>
      </w:r>
      <w:r w:rsidR="00586067">
        <w:rPr>
          <w:rFonts w:ascii="Arial" w:hAnsi="Arial" w:cs="Arial"/>
          <w:sz w:val="24"/>
          <w:szCs w:val="24"/>
        </w:rPr>
        <w:t>the ability to be healthy</w:t>
      </w:r>
      <w:r w:rsidR="00871BCE">
        <w:rPr>
          <w:rFonts w:ascii="Arial" w:hAnsi="Arial" w:cs="Arial"/>
          <w:sz w:val="24"/>
          <w:szCs w:val="24"/>
        </w:rPr>
        <w:t xml:space="preserve">. Musgrave (2017, </w:t>
      </w:r>
      <w:r w:rsidR="00E07A2A">
        <w:rPr>
          <w:rFonts w:ascii="Arial" w:hAnsi="Arial" w:cs="Arial"/>
          <w:sz w:val="24"/>
          <w:szCs w:val="24"/>
        </w:rPr>
        <w:t>pg.</w:t>
      </w:r>
      <w:r w:rsidR="00871BCE">
        <w:rPr>
          <w:rFonts w:ascii="Arial" w:hAnsi="Arial" w:cs="Arial"/>
          <w:sz w:val="24"/>
          <w:szCs w:val="24"/>
        </w:rPr>
        <w:t xml:space="preserve"> 1) states that health is “the extent to which an individual or group is able, on the one hand, </w:t>
      </w:r>
      <w:r w:rsidR="00C92D89">
        <w:rPr>
          <w:rFonts w:ascii="Arial" w:hAnsi="Arial" w:cs="Arial"/>
          <w:sz w:val="24"/>
          <w:szCs w:val="24"/>
        </w:rPr>
        <w:t>to realise aspirations and satisfy needs; and, on the other hand, to change or cope with the environment. Health is, therefore, seen as a resource for everyday life, not the objective of living. It is a positive concept empathizing social and personal resources, as well as physical capacities”.</w:t>
      </w:r>
      <w:r w:rsidR="00B77610">
        <w:rPr>
          <w:rFonts w:ascii="Arial" w:hAnsi="Arial" w:cs="Arial"/>
          <w:sz w:val="24"/>
          <w:szCs w:val="24"/>
        </w:rPr>
        <w:t xml:space="preserve"> However, the World Health Organisation (1948) say that “</w:t>
      </w:r>
      <w:r w:rsidR="00B77610" w:rsidRPr="00B77610">
        <w:rPr>
          <w:rFonts w:ascii="Arial" w:hAnsi="Arial" w:cs="Arial"/>
          <w:sz w:val="24"/>
          <w:szCs w:val="24"/>
        </w:rPr>
        <w:t>Health is a state of complete physical, mental and social well-being and not merely the absence of disease or infirmity</w:t>
      </w:r>
      <w:r w:rsidR="00713818">
        <w:rPr>
          <w:rFonts w:ascii="Arial" w:hAnsi="Arial" w:cs="Arial"/>
          <w:sz w:val="24"/>
          <w:szCs w:val="24"/>
        </w:rPr>
        <w:t xml:space="preserve">”. As we can see from both these </w:t>
      </w:r>
      <w:r w:rsidR="00550F60">
        <w:rPr>
          <w:rFonts w:ascii="Arial" w:hAnsi="Arial" w:cs="Arial"/>
          <w:sz w:val="24"/>
          <w:szCs w:val="24"/>
        </w:rPr>
        <w:t>definitions,</w:t>
      </w:r>
      <w:r w:rsidR="00713818">
        <w:rPr>
          <w:rFonts w:ascii="Arial" w:hAnsi="Arial" w:cs="Arial"/>
          <w:sz w:val="24"/>
          <w:szCs w:val="24"/>
        </w:rPr>
        <w:t xml:space="preserve"> </w:t>
      </w:r>
      <w:r w:rsidR="00153EDF">
        <w:rPr>
          <w:rFonts w:ascii="Arial" w:hAnsi="Arial" w:cs="Arial"/>
          <w:sz w:val="24"/>
          <w:szCs w:val="24"/>
        </w:rPr>
        <w:t>they are completely different</w:t>
      </w:r>
      <w:r w:rsidR="00CE5551">
        <w:rPr>
          <w:rFonts w:ascii="Arial" w:hAnsi="Arial" w:cs="Arial"/>
          <w:sz w:val="24"/>
          <w:szCs w:val="24"/>
        </w:rPr>
        <w:t>, therefore we cannot truly define health but have a general understanding that it means the ability to live without any implications to our needs.</w:t>
      </w:r>
    </w:p>
    <w:p w14:paraId="0BC1DC19" w14:textId="2EDCEAB2" w:rsidR="00550F60" w:rsidRDefault="00550F60" w:rsidP="007F2856">
      <w:pPr>
        <w:spacing w:line="360" w:lineRule="auto"/>
        <w:rPr>
          <w:rFonts w:ascii="Arial" w:hAnsi="Arial" w:cs="Arial"/>
          <w:sz w:val="24"/>
          <w:szCs w:val="24"/>
        </w:rPr>
      </w:pPr>
      <w:r>
        <w:rPr>
          <w:rFonts w:ascii="Arial" w:hAnsi="Arial" w:cs="Arial"/>
          <w:sz w:val="24"/>
          <w:szCs w:val="24"/>
        </w:rPr>
        <w:t xml:space="preserve">Next, we need to define wellbeing, the term wellbeing as defined by Musgrave </w:t>
      </w:r>
      <w:r w:rsidR="00B4689A">
        <w:rPr>
          <w:rFonts w:ascii="Arial" w:hAnsi="Arial" w:cs="Arial"/>
          <w:sz w:val="24"/>
          <w:szCs w:val="24"/>
        </w:rPr>
        <w:t>(2017, pg. 3)</w:t>
      </w:r>
      <w:r w:rsidR="002F27BA">
        <w:rPr>
          <w:rFonts w:ascii="Arial" w:hAnsi="Arial" w:cs="Arial"/>
          <w:sz w:val="24"/>
          <w:szCs w:val="24"/>
        </w:rPr>
        <w:t xml:space="preserve"> who </w:t>
      </w:r>
      <w:r w:rsidR="00224175">
        <w:rPr>
          <w:rFonts w:ascii="Arial" w:hAnsi="Arial" w:cs="Arial"/>
          <w:sz w:val="24"/>
          <w:szCs w:val="24"/>
        </w:rPr>
        <w:t>says,</w:t>
      </w:r>
      <w:r w:rsidR="00AD6A81">
        <w:rPr>
          <w:rFonts w:ascii="Arial" w:hAnsi="Arial" w:cs="Arial"/>
          <w:sz w:val="24"/>
          <w:szCs w:val="24"/>
        </w:rPr>
        <w:t xml:space="preserve"> “Wellbeing can be examined from </w:t>
      </w:r>
      <w:r w:rsidR="0062727B">
        <w:rPr>
          <w:rFonts w:ascii="Arial" w:hAnsi="Arial" w:cs="Arial"/>
          <w:sz w:val="24"/>
          <w:szCs w:val="24"/>
        </w:rPr>
        <w:t>philosophical,</w:t>
      </w:r>
      <w:r w:rsidR="00446190">
        <w:rPr>
          <w:rFonts w:ascii="Arial" w:hAnsi="Arial" w:cs="Arial"/>
          <w:sz w:val="24"/>
          <w:szCs w:val="24"/>
        </w:rPr>
        <w:t xml:space="preserve"> economic, psychological, sociological and health perspectives”</w:t>
      </w:r>
      <w:r w:rsidR="0062727B">
        <w:rPr>
          <w:rFonts w:ascii="Arial" w:hAnsi="Arial" w:cs="Arial"/>
          <w:sz w:val="24"/>
          <w:szCs w:val="24"/>
        </w:rPr>
        <w:t xml:space="preserve">. The idea of wellbeing can mean </w:t>
      </w:r>
      <w:r w:rsidR="0062727B">
        <w:rPr>
          <w:rFonts w:ascii="Arial" w:hAnsi="Arial" w:cs="Arial"/>
          <w:sz w:val="24"/>
          <w:szCs w:val="24"/>
        </w:rPr>
        <w:lastRenderedPageBreak/>
        <w:t xml:space="preserve">different things to different individuals. Only an individual can define if they are truly well through means of wealth, </w:t>
      </w:r>
      <w:r w:rsidR="009B56FE">
        <w:rPr>
          <w:rFonts w:ascii="Arial" w:hAnsi="Arial" w:cs="Arial"/>
          <w:sz w:val="24"/>
          <w:szCs w:val="24"/>
        </w:rPr>
        <w:t>health,</w:t>
      </w:r>
      <w:r w:rsidR="0062727B">
        <w:rPr>
          <w:rFonts w:ascii="Arial" w:hAnsi="Arial" w:cs="Arial"/>
          <w:sz w:val="24"/>
          <w:szCs w:val="24"/>
        </w:rPr>
        <w:t xml:space="preserve"> family, career or other life necessities</w:t>
      </w:r>
      <w:r w:rsidR="00786C18">
        <w:rPr>
          <w:rFonts w:ascii="Arial" w:hAnsi="Arial" w:cs="Arial"/>
          <w:sz w:val="24"/>
          <w:szCs w:val="24"/>
        </w:rPr>
        <w:t>.</w:t>
      </w:r>
      <w:r w:rsidR="00756017">
        <w:rPr>
          <w:rFonts w:ascii="Arial" w:hAnsi="Arial" w:cs="Arial"/>
          <w:sz w:val="24"/>
          <w:szCs w:val="24"/>
        </w:rPr>
        <w:t xml:space="preserve"> In the field of professionals who work with young people an article by Youth Studies Australia, states </w:t>
      </w:r>
      <w:r w:rsidR="00756017" w:rsidRPr="00756017">
        <w:rPr>
          <w:rFonts w:ascii="Arial" w:hAnsi="Arial" w:cs="Arial"/>
          <w:sz w:val="24"/>
          <w:szCs w:val="24"/>
        </w:rPr>
        <w:t>“in the past decade, the youth field has placed great emphasis on young people’s wellbeing. Youth workers as well as policymakers, teachers, parents and researchers have highlighted concerns about young people’s wellbeing and the need for improvement in this area</w:t>
      </w:r>
      <w:r w:rsidR="008257D6">
        <w:rPr>
          <w:rFonts w:ascii="Arial" w:hAnsi="Arial" w:cs="Arial"/>
          <w:sz w:val="24"/>
          <w:szCs w:val="24"/>
        </w:rPr>
        <w:t>.</w:t>
      </w:r>
      <w:r w:rsidR="000460A4">
        <w:rPr>
          <w:rFonts w:ascii="Arial" w:hAnsi="Arial" w:cs="Arial"/>
          <w:sz w:val="24"/>
          <w:szCs w:val="24"/>
        </w:rPr>
        <w:t xml:space="preserve"> So how can we provide better wellbeing opportunities for young people</w:t>
      </w:r>
      <w:r w:rsidR="00F828E5">
        <w:rPr>
          <w:rFonts w:ascii="Arial" w:hAnsi="Arial" w:cs="Arial"/>
          <w:sz w:val="24"/>
          <w:szCs w:val="24"/>
        </w:rPr>
        <w:t xml:space="preserve"> </w:t>
      </w:r>
      <w:r w:rsidR="00D97CC8">
        <w:rPr>
          <w:rFonts w:ascii="Arial" w:hAnsi="Arial" w:cs="Arial"/>
          <w:sz w:val="24"/>
          <w:szCs w:val="24"/>
        </w:rPr>
        <w:t>using</w:t>
      </w:r>
      <w:r w:rsidR="00F828E5">
        <w:rPr>
          <w:rFonts w:ascii="Arial" w:hAnsi="Arial" w:cs="Arial"/>
          <w:sz w:val="24"/>
          <w:szCs w:val="24"/>
        </w:rPr>
        <w:t xml:space="preserve"> education?</w:t>
      </w:r>
    </w:p>
    <w:p w14:paraId="30FCE9C9" w14:textId="3CB74EC4" w:rsidR="00D1074F" w:rsidRDefault="00EE25E0" w:rsidP="006410C3">
      <w:pPr>
        <w:spacing w:before="240" w:line="360" w:lineRule="auto"/>
        <w:rPr>
          <w:rFonts w:ascii="Arial" w:hAnsi="Arial" w:cs="Arial"/>
          <w:sz w:val="24"/>
          <w:szCs w:val="24"/>
        </w:rPr>
      </w:pPr>
      <w:r>
        <w:rPr>
          <w:rFonts w:ascii="Arial" w:hAnsi="Arial" w:cs="Arial"/>
          <w:sz w:val="24"/>
          <w:szCs w:val="24"/>
        </w:rPr>
        <w:t>I am now going to look at the idea of education and preparation for a good life</w:t>
      </w:r>
      <w:r w:rsidR="00680BA7">
        <w:rPr>
          <w:rFonts w:ascii="Arial" w:hAnsi="Arial" w:cs="Arial"/>
          <w:sz w:val="24"/>
          <w:szCs w:val="24"/>
        </w:rPr>
        <w:t xml:space="preserve"> and a rapidly changing global context</w:t>
      </w:r>
      <w:r w:rsidR="00D1074F">
        <w:rPr>
          <w:rFonts w:ascii="Arial" w:hAnsi="Arial" w:cs="Arial"/>
          <w:sz w:val="24"/>
          <w:szCs w:val="24"/>
        </w:rPr>
        <w:t xml:space="preserve">. Preparation for a good life begins at a young age, the point where an </w:t>
      </w:r>
      <w:r w:rsidR="0015469B">
        <w:rPr>
          <w:rFonts w:ascii="Arial" w:hAnsi="Arial" w:cs="Arial"/>
          <w:sz w:val="24"/>
          <w:szCs w:val="24"/>
        </w:rPr>
        <w:t>individual’s</w:t>
      </w:r>
      <w:r w:rsidR="00D1074F">
        <w:rPr>
          <w:rFonts w:ascii="Arial" w:hAnsi="Arial" w:cs="Arial"/>
          <w:sz w:val="24"/>
          <w:szCs w:val="24"/>
        </w:rPr>
        <w:t xml:space="preserve"> perspective of their future starts to take an impact </w:t>
      </w:r>
      <w:r w:rsidR="0028182D">
        <w:rPr>
          <w:rFonts w:ascii="Arial" w:hAnsi="Arial" w:cs="Arial"/>
          <w:sz w:val="24"/>
          <w:szCs w:val="24"/>
        </w:rPr>
        <w:t xml:space="preserve">on </w:t>
      </w:r>
      <w:r w:rsidR="00D1074F">
        <w:rPr>
          <w:rFonts w:ascii="Arial" w:hAnsi="Arial" w:cs="Arial"/>
          <w:sz w:val="24"/>
          <w:szCs w:val="24"/>
        </w:rPr>
        <w:t xml:space="preserve">their life. The impact can affect the individual in many ways, both positive and negative aspects </w:t>
      </w:r>
      <w:r w:rsidR="00FD5168">
        <w:rPr>
          <w:rFonts w:ascii="Arial" w:hAnsi="Arial" w:cs="Arial"/>
          <w:sz w:val="24"/>
          <w:szCs w:val="24"/>
        </w:rPr>
        <w:t>must be evaluated by the individual and weighed out in order to create a strong foundation for themselves to develop holistically. A positive progression route would always be the best start. Throughout education</w:t>
      </w:r>
      <w:r w:rsidR="00BC7480">
        <w:rPr>
          <w:rFonts w:ascii="Arial" w:hAnsi="Arial" w:cs="Arial"/>
          <w:sz w:val="24"/>
          <w:szCs w:val="24"/>
        </w:rPr>
        <w:t xml:space="preserve">, </w:t>
      </w:r>
      <w:r w:rsidR="00FD5168">
        <w:rPr>
          <w:rFonts w:ascii="Arial" w:hAnsi="Arial" w:cs="Arial"/>
          <w:sz w:val="24"/>
          <w:szCs w:val="24"/>
        </w:rPr>
        <w:t>schools follow the national curriculum</w:t>
      </w:r>
      <w:r w:rsidR="0028182D">
        <w:rPr>
          <w:rFonts w:ascii="Arial" w:hAnsi="Arial" w:cs="Arial"/>
          <w:sz w:val="24"/>
          <w:szCs w:val="24"/>
        </w:rPr>
        <w:t xml:space="preserve"> which</w:t>
      </w:r>
      <w:r w:rsidR="00BC7480">
        <w:rPr>
          <w:rFonts w:ascii="Arial" w:hAnsi="Arial" w:cs="Arial"/>
          <w:sz w:val="24"/>
          <w:szCs w:val="24"/>
        </w:rPr>
        <w:t xml:space="preserve"> encompasses the </w:t>
      </w:r>
      <w:r w:rsidR="00FD5168">
        <w:rPr>
          <w:rFonts w:ascii="Arial" w:hAnsi="Arial" w:cs="Arial"/>
          <w:sz w:val="24"/>
          <w:szCs w:val="24"/>
        </w:rPr>
        <w:t>tea</w:t>
      </w:r>
      <w:r w:rsidR="00BC7480">
        <w:rPr>
          <w:rFonts w:ascii="Arial" w:hAnsi="Arial" w:cs="Arial"/>
          <w:sz w:val="24"/>
          <w:szCs w:val="24"/>
        </w:rPr>
        <w:t>ching</w:t>
      </w:r>
      <w:r w:rsidR="00FD5168">
        <w:rPr>
          <w:rFonts w:ascii="Arial" w:hAnsi="Arial" w:cs="Arial"/>
          <w:sz w:val="24"/>
          <w:szCs w:val="24"/>
        </w:rPr>
        <w:t xml:space="preserve"> practice of personal social education</w:t>
      </w:r>
      <w:r w:rsidR="0028182D">
        <w:rPr>
          <w:rFonts w:ascii="Arial" w:hAnsi="Arial" w:cs="Arial"/>
          <w:sz w:val="24"/>
          <w:szCs w:val="24"/>
        </w:rPr>
        <w:t xml:space="preserve"> </w:t>
      </w:r>
      <w:r w:rsidR="00FD5168">
        <w:rPr>
          <w:rFonts w:ascii="Arial" w:hAnsi="Arial" w:cs="Arial"/>
          <w:sz w:val="24"/>
          <w:szCs w:val="24"/>
        </w:rPr>
        <w:t xml:space="preserve">(PSE), this </w:t>
      </w:r>
      <w:r w:rsidR="0028182D">
        <w:rPr>
          <w:rFonts w:ascii="Arial" w:hAnsi="Arial" w:cs="Arial"/>
          <w:sz w:val="24"/>
          <w:szCs w:val="24"/>
        </w:rPr>
        <w:t>subject</w:t>
      </w:r>
      <w:r w:rsidR="00FD5168">
        <w:rPr>
          <w:rFonts w:ascii="Arial" w:hAnsi="Arial" w:cs="Arial"/>
          <w:sz w:val="24"/>
          <w:szCs w:val="24"/>
        </w:rPr>
        <w:t xml:space="preserve"> explores the ideas and practices that enable children and young people to develop.</w:t>
      </w:r>
      <w:r w:rsidR="00F40265">
        <w:rPr>
          <w:rFonts w:ascii="Arial" w:hAnsi="Arial" w:cs="Arial"/>
          <w:sz w:val="24"/>
          <w:szCs w:val="24"/>
        </w:rPr>
        <w:t xml:space="preserve"> As a article by </w:t>
      </w:r>
      <w:r w:rsidR="00A34B24">
        <w:rPr>
          <w:rFonts w:ascii="Arial" w:hAnsi="Arial" w:cs="Arial"/>
          <w:sz w:val="24"/>
          <w:szCs w:val="24"/>
        </w:rPr>
        <w:t>Brown et al</w:t>
      </w:r>
      <w:r w:rsidR="00F40265">
        <w:rPr>
          <w:rFonts w:ascii="Arial" w:hAnsi="Arial" w:cs="Arial"/>
          <w:sz w:val="24"/>
          <w:szCs w:val="24"/>
        </w:rPr>
        <w:t xml:space="preserve"> (2011) states “ </w:t>
      </w:r>
      <w:r w:rsidR="00F40265" w:rsidRPr="00F40265">
        <w:rPr>
          <w:rFonts w:ascii="Arial" w:hAnsi="Arial" w:cs="Arial"/>
          <w:sz w:val="24"/>
          <w:szCs w:val="24"/>
        </w:rPr>
        <w:t>The wider value placed upon Personal, Social, Health and Economic education (PSHE) by both policy-makers and campaign groups was confirmed when plans to make it a statutory element of the National Curriculum were introduced into the Children, Schools and Families Bill, which had its first reading in the House of Commons in November 2009.</w:t>
      </w:r>
      <w:r w:rsidR="003E1CD4">
        <w:rPr>
          <w:rFonts w:ascii="Arial" w:hAnsi="Arial" w:cs="Arial"/>
          <w:sz w:val="24"/>
          <w:szCs w:val="24"/>
        </w:rPr>
        <w:t xml:space="preserve"> An important aspect we need to take into consideration is the thoughts of </w:t>
      </w:r>
      <w:r w:rsidR="006410C3">
        <w:rPr>
          <w:rFonts w:ascii="Arial" w:hAnsi="Arial" w:cs="Arial"/>
          <w:sz w:val="24"/>
          <w:szCs w:val="24"/>
        </w:rPr>
        <w:t xml:space="preserve">students who have taken part in PSHE lessons. </w:t>
      </w:r>
      <w:r w:rsidR="006410C3" w:rsidRPr="0001149B">
        <w:rPr>
          <w:rFonts w:ascii="Arial" w:hAnsi="Arial" w:cs="Arial"/>
          <w:sz w:val="24"/>
          <w:szCs w:val="24"/>
        </w:rPr>
        <w:t>In a paper published by Spurgeon (2015) who says that “ It seems clear that this is a subject that when taught well, is valued highly by students; they enjoy it, find it really useful, it does develop them personally and they feel better equipped for the future.”</w:t>
      </w:r>
    </w:p>
    <w:p w14:paraId="5F55902B" w14:textId="3BC867BD" w:rsidR="002F02B0" w:rsidRDefault="002F02B0" w:rsidP="006410C3">
      <w:pPr>
        <w:spacing w:before="240" w:line="360" w:lineRule="auto"/>
        <w:rPr>
          <w:rFonts w:ascii="Arial" w:hAnsi="Arial" w:cs="Arial"/>
          <w:sz w:val="24"/>
          <w:szCs w:val="24"/>
        </w:rPr>
      </w:pPr>
      <w:r>
        <w:rPr>
          <w:rFonts w:ascii="Arial" w:hAnsi="Arial" w:cs="Arial"/>
          <w:sz w:val="24"/>
          <w:szCs w:val="24"/>
        </w:rPr>
        <w:t>Looking at an informal education approach by youth and community workers, the teachings of PSHE lessons are delivered in a different way to formal school settings.</w:t>
      </w:r>
      <w:r w:rsidR="00305968">
        <w:rPr>
          <w:rFonts w:ascii="Arial" w:hAnsi="Arial" w:cs="Arial"/>
          <w:sz w:val="24"/>
          <w:szCs w:val="24"/>
        </w:rPr>
        <w:t xml:space="preserve"> For example, youth club workers would deliver a planned session to young people in a fun way that is both engaging and interactive and the session can be based upon the needs of the young person or group of young people.</w:t>
      </w:r>
      <w:r w:rsidR="00877028">
        <w:rPr>
          <w:rFonts w:ascii="Arial" w:hAnsi="Arial" w:cs="Arial"/>
          <w:sz w:val="24"/>
          <w:szCs w:val="24"/>
        </w:rPr>
        <w:t xml:space="preserve"> A recent example shows </w:t>
      </w:r>
      <w:r w:rsidR="00877028">
        <w:rPr>
          <w:rFonts w:ascii="Arial" w:hAnsi="Arial" w:cs="Arial"/>
          <w:sz w:val="24"/>
          <w:szCs w:val="24"/>
        </w:rPr>
        <w:lastRenderedPageBreak/>
        <w:t>the benefits of this style of education and the long-lasting effects it can have on young people. Recently in youth club, we have identified some major issues with a group of young people who appear to have low self-esteem around their body image and confidence when it comes to relationships. Through successful planning we have been able to plan sessions that will have aims and goals that hopefully will solve some of the issues for the young people within this group.</w:t>
      </w:r>
    </w:p>
    <w:p w14:paraId="7C555E90" w14:textId="5423427E" w:rsidR="002B761E" w:rsidRDefault="002B761E" w:rsidP="006410C3">
      <w:pPr>
        <w:spacing w:before="240" w:line="360" w:lineRule="auto"/>
        <w:rPr>
          <w:rFonts w:ascii="Arial" w:hAnsi="Arial" w:cs="Arial"/>
          <w:sz w:val="24"/>
          <w:szCs w:val="24"/>
        </w:rPr>
      </w:pPr>
      <w:r w:rsidRPr="00571B14">
        <w:rPr>
          <w:rFonts w:ascii="Arial" w:hAnsi="Arial" w:cs="Arial"/>
          <w:sz w:val="24"/>
          <w:szCs w:val="24"/>
        </w:rPr>
        <w:t xml:space="preserve">When looking at how Wales, compares to others in the world on a global level, we can see that </w:t>
      </w:r>
      <w:r w:rsidR="00571B14" w:rsidRPr="00571B14">
        <w:rPr>
          <w:rFonts w:ascii="Arial" w:hAnsi="Arial" w:cs="Arial"/>
          <w:sz w:val="24"/>
          <w:szCs w:val="24"/>
        </w:rPr>
        <w:t xml:space="preserve">there are elements of work and legislation in place to guide these pieces of work such as, The United Nations Sustainable Development Goals </w:t>
      </w:r>
      <w:r w:rsidR="00571B14">
        <w:rPr>
          <w:rFonts w:ascii="Arial" w:hAnsi="Arial" w:cs="Arial"/>
          <w:sz w:val="24"/>
          <w:szCs w:val="24"/>
        </w:rPr>
        <w:t>(20</w:t>
      </w:r>
      <w:r w:rsidR="00F00593">
        <w:rPr>
          <w:rFonts w:ascii="Arial" w:hAnsi="Arial" w:cs="Arial"/>
          <w:sz w:val="24"/>
          <w:szCs w:val="24"/>
        </w:rPr>
        <w:t>02</w:t>
      </w:r>
      <w:r w:rsidR="00571B14">
        <w:rPr>
          <w:rFonts w:ascii="Arial" w:hAnsi="Arial" w:cs="Arial"/>
          <w:sz w:val="24"/>
          <w:szCs w:val="24"/>
        </w:rPr>
        <w:t xml:space="preserve">). The development goals were set up by UN countries in order to improve quality of life and </w:t>
      </w:r>
      <w:r w:rsidR="00E54C5D">
        <w:rPr>
          <w:rFonts w:ascii="Arial" w:hAnsi="Arial" w:cs="Arial"/>
          <w:sz w:val="24"/>
          <w:szCs w:val="24"/>
        </w:rPr>
        <w:t xml:space="preserve">allow countries to prosper. There are seventeen goals as apart of the sustainable development goals which include, eradication of poverty, good levels of education and good health and wellbeing, among many others. These goals, the UN hopes will be met by 2030. However, whilst writing this piece of work each of the goals are </w:t>
      </w:r>
      <w:r w:rsidR="00D5133F">
        <w:rPr>
          <w:rFonts w:ascii="Arial" w:hAnsi="Arial" w:cs="Arial"/>
          <w:sz w:val="24"/>
          <w:szCs w:val="24"/>
        </w:rPr>
        <w:t>yet</w:t>
      </w:r>
      <w:r w:rsidR="00E54C5D">
        <w:rPr>
          <w:rFonts w:ascii="Arial" w:hAnsi="Arial" w:cs="Arial"/>
          <w:sz w:val="24"/>
          <w:szCs w:val="24"/>
        </w:rPr>
        <w:t xml:space="preserve"> to be met and we are a long way away from achieving any of them.</w:t>
      </w:r>
    </w:p>
    <w:p w14:paraId="67BAB10A" w14:textId="0675A653" w:rsidR="003A326E" w:rsidRPr="00571B14" w:rsidRDefault="003A326E" w:rsidP="006410C3">
      <w:pPr>
        <w:spacing w:before="240" w:line="360" w:lineRule="auto"/>
        <w:rPr>
          <w:rFonts w:ascii="Arial" w:hAnsi="Arial" w:cs="Arial"/>
          <w:sz w:val="24"/>
          <w:szCs w:val="24"/>
        </w:rPr>
      </w:pPr>
      <w:r>
        <w:rPr>
          <w:rFonts w:ascii="Arial" w:hAnsi="Arial" w:cs="Arial"/>
          <w:sz w:val="24"/>
          <w:szCs w:val="24"/>
        </w:rPr>
        <w:t>Although locally, I think there are lots of things being done and measures put into place to improve the quality of life for young people, with a greater emphasis on mental health and wellbeing now than there has ever been, but nationally there are still greater issues that are arising and not being addressed.</w:t>
      </w:r>
      <w:r w:rsidR="00C2091D">
        <w:rPr>
          <w:rFonts w:ascii="Arial" w:hAnsi="Arial" w:cs="Arial"/>
          <w:sz w:val="24"/>
          <w:szCs w:val="24"/>
        </w:rPr>
        <w:t xml:space="preserve"> Some of these issues being having an out of date curriculum which doesn’t teach our young people </w:t>
      </w:r>
      <w:r w:rsidR="00D810E4">
        <w:rPr>
          <w:rFonts w:ascii="Arial" w:hAnsi="Arial" w:cs="Arial"/>
          <w:sz w:val="24"/>
          <w:szCs w:val="24"/>
        </w:rPr>
        <w:t>subjects of relevance, it just prepares them for an exam that they will sit once in their life and get a grade from to apply to the next chapter of their life.</w:t>
      </w:r>
      <w:r w:rsidR="0004254B">
        <w:rPr>
          <w:rFonts w:ascii="Arial" w:hAnsi="Arial" w:cs="Arial"/>
          <w:sz w:val="24"/>
          <w:szCs w:val="24"/>
        </w:rPr>
        <w:t xml:space="preserve"> I will briefly discuss the EOTAS provision in Wales. EOTAS is when a child is permanently excluded from school for multiple reasons. The idea of the EOTAS provision is great as it allows children who don’t necessarily engage with school to be in an alternative environment, however, they do not get the same opportunities in terms of learning as what young people from mainstream education in schools receive.</w:t>
      </w:r>
      <w:r w:rsidR="00D53596">
        <w:rPr>
          <w:rFonts w:ascii="Arial" w:hAnsi="Arial" w:cs="Arial"/>
          <w:sz w:val="24"/>
          <w:szCs w:val="24"/>
        </w:rPr>
        <w:t xml:space="preserve"> </w:t>
      </w:r>
      <w:proofErr w:type="spellStart"/>
      <w:r w:rsidR="00D53596">
        <w:rPr>
          <w:rFonts w:ascii="Arial" w:hAnsi="Arial" w:cs="Arial"/>
          <w:sz w:val="24"/>
          <w:szCs w:val="24"/>
        </w:rPr>
        <w:t>Gellard</w:t>
      </w:r>
      <w:proofErr w:type="spellEnd"/>
      <w:r w:rsidR="00D53596">
        <w:rPr>
          <w:rFonts w:ascii="Arial" w:hAnsi="Arial" w:cs="Arial"/>
          <w:sz w:val="24"/>
          <w:szCs w:val="24"/>
        </w:rPr>
        <w:t xml:space="preserve"> et al (2016, pg. 36) discusses the effect that a child who faces exclusion might face by saying “one important aspect of a young person’s school experience is the level of inclusion they encounter. The degree of inclusion or exclusion, experienced within the school environment has been linked to </w:t>
      </w:r>
      <w:r w:rsidR="00DC7552">
        <w:rPr>
          <w:rFonts w:ascii="Arial" w:hAnsi="Arial" w:cs="Arial"/>
          <w:sz w:val="24"/>
          <w:szCs w:val="24"/>
        </w:rPr>
        <w:t>adolescents’</w:t>
      </w:r>
      <w:r w:rsidR="00D53596">
        <w:rPr>
          <w:rFonts w:ascii="Arial" w:hAnsi="Arial" w:cs="Arial"/>
          <w:sz w:val="24"/>
          <w:szCs w:val="24"/>
        </w:rPr>
        <w:t xml:space="preserve"> levels of substance use, behaviour and academic achievement”.</w:t>
      </w:r>
    </w:p>
    <w:p w14:paraId="7AAEC2A0" w14:textId="1AD3171C" w:rsidR="00FD5168" w:rsidRPr="00571B14" w:rsidRDefault="007760D1" w:rsidP="007F2856">
      <w:pPr>
        <w:spacing w:line="360" w:lineRule="auto"/>
        <w:rPr>
          <w:rFonts w:ascii="Arial" w:hAnsi="Arial" w:cs="Arial"/>
          <w:sz w:val="24"/>
          <w:szCs w:val="24"/>
        </w:rPr>
      </w:pPr>
      <w:r w:rsidRPr="00571B14">
        <w:rPr>
          <w:rFonts w:ascii="Arial" w:hAnsi="Arial" w:cs="Arial"/>
          <w:sz w:val="24"/>
          <w:szCs w:val="24"/>
        </w:rPr>
        <w:lastRenderedPageBreak/>
        <w:t>.</w:t>
      </w:r>
    </w:p>
    <w:p w14:paraId="5EF0001D" w14:textId="61A7F13B" w:rsidR="007760D1" w:rsidRDefault="007760D1" w:rsidP="007F2856">
      <w:pPr>
        <w:spacing w:line="360" w:lineRule="auto"/>
        <w:rPr>
          <w:rFonts w:ascii="Arial" w:hAnsi="Arial" w:cs="Arial"/>
          <w:sz w:val="24"/>
          <w:szCs w:val="24"/>
        </w:rPr>
      </w:pPr>
      <w:r>
        <w:rPr>
          <w:rFonts w:ascii="Arial" w:hAnsi="Arial" w:cs="Arial"/>
          <w:sz w:val="24"/>
          <w:szCs w:val="24"/>
        </w:rPr>
        <w:t>Main body</w:t>
      </w:r>
    </w:p>
    <w:p w14:paraId="02DE46D2" w14:textId="214D7606" w:rsidR="007760D1" w:rsidRDefault="007760D1" w:rsidP="007F2856">
      <w:pPr>
        <w:spacing w:line="360" w:lineRule="auto"/>
        <w:rPr>
          <w:rFonts w:ascii="Arial" w:hAnsi="Arial" w:cs="Arial"/>
          <w:sz w:val="24"/>
          <w:szCs w:val="24"/>
        </w:rPr>
      </w:pPr>
      <w:r>
        <w:rPr>
          <w:rFonts w:ascii="Arial" w:hAnsi="Arial" w:cs="Arial"/>
          <w:sz w:val="24"/>
          <w:szCs w:val="24"/>
        </w:rPr>
        <w:t xml:space="preserve">I am now going to look at evidence which highlights the strengths and weaknesses of education in </w:t>
      </w:r>
      <w:r w:rsidR="00D91D70">
        <w:rPr>
          <w:rFonts w:ascii="Arial" w:hAnsi="Arial" w:cs="Arial"/>
          <w:sz w:val="24"/>
          <w:szCs w:val="24"/>
        </w:rPr>
        <w:t>W</w:t>
      </w:r>
      <w:r>
        <w:rPr>
          <w:rFonts w:ascii="Arial" w:hAnsi="Arial" w:cs="Arial"/>
          <w:sz w:val="24"/>
          <w:szCs w:val="24"/>
        </w:rPr>
        <w:t>ales.</w:t>
      </w:r>
      <w:r w:rsidR="00D91D70">
        <w:rPr>
          <w:rFonts w:ascii="Arial" w:hAnsi="Arial" w:cs="Arial"/>
          <w:sz w:val="24"/>
          <w:szCs w:val="24"/>
        </w:rPr>
        <w:t xml:space="preserve"> As mentioned above, PSHE lessons which are a part of the national curriculum in Wales, and are a part of each secondary </w:t>
      </w:r>
      <w:r w:rsidR="008C66FA">
        <w:rPr>
          <w:rFonts w:ascii="Arial" w:hAnsi="Arial" w:cs="Arial"/>
          <w:sz w:val="24"/>
          <w:szCs w:val="24"/>
        </w:rPr>
        <w:t>schools’</w:t>
      </w:r>
      <w:r w:rsidR="00D91D70">
        <w:rPr>
          <w:rFonts w:ascii="Arial" w:hAnsi="Arial" w:cs="Arial"/>
          <w:sz w:val="24"/>
          <w:szCs w:val="24"/>
        </w:rPr>
        <w:t xml:space="preserve"> timetable, which explore the issues that young people may be facing on a daily or weekly basis</w:t>
      </w:r>
      <w:r w:rsidR="008C66FA">
        <w:rPr>
          <w:rFonts w:ascii="Arial" w:hAnsi="Arial" w:cs="Arial"/>
          <w:sz w:val="24"/>
          <w:szCs w:val="24"/>
        </w:rPr>
        <w:t xml:space="preserve">. These topics can include, however are not limited to, drugs &amp; alcohol abuse, sexual health, mental health, homelessness &amp; poverty, and many other fields of work which </w:t>
      </w:r>
      <w:r w:rsidR="0087527E">
        <w:rPr>
          <w:rFonts w:ascii="Arial" w:hAnsi="Arial" w:cs="Arial"/>
          <w:sz w:val="24"/>
          <w:szCs w:val="24"/>
        </w:rPr>
        <w:t>that are</w:t>
      </w:r>
      <w:r w:rsidR="008C66FA">
        <w:rPr>
          <w:rFonts w:ascii="Arial" w:hAnsi="Arial" w:cs="Arial"/>
          <w:sz w:val="24"/>
          <w:szCs w:val="24"/>
        </w:rPr>
        <w:t xml:space="preserve"> </w:t>
      </w:r>
      <w:proofErr w:type="gramStart"/>
      <w:r w:rsidR="008C66FA">
        <w:rPr>
          <w:rFonts w:ascii="Arial" w:hAnsi="Arial" w:cs="Arial"/>
          <w:sz w:val="24"/>
          <w:szCs w:val="24"/>
        </w:rPr>
        <w:t>similar to</w:t>
      </w:r>
      <w:proofErr w:type="gramEnd"/>
      <w:r w:rsidR="008C66FA">
        <w:rPr>
          <w:rFonts w:ascii="Arial" w:hAnsi="Arial" w:cs="Arial"/>
          <w:sz w:val="24"/>
          <w:szCs w:val="24"/>
        </w:rPr>
        <w:t xml:space="preserve"> the role of an informal educator (i.e., youth workers)</w:t>
      </w:r>
      <w:r w:rsidR="009123BC">
        <w:rPr>
          <w:rFonts w:ascii="Arial" w:hAnsi="Arial" w:cs="Arial"/>
          <w:sz w:val="24"/>
          <w:szCs w:val="24"/>
        </w:rPr>
        <w:t xml:space="preserve">. Upon reflecting on my own PSHE lessons that I attended in school, the lessons were almost seen as, on some occasions ‘free time’. Where students who were revising for core subject exams or have music lessons, etc, this would be the lesson that they </w:t>
      </w:r>
      <w:proofErr w:type="gramStart"/>
      <w:r w:rsidR="009123BC">
        <w:rPr>
          <w:rFonts w:ascii="Arial" w:hAnsi="Arial" w:cs="Arial"/>
          <w:sz w:val="24"/>
          <w:szCs w:val="24"/>
        </w:rPr>
        <w:t>were allowed to</w:t>
      </w:r>
      <w:proofErr w:type="gramEnd"/>
      <w:r w:rsidR="009123BC">
        <w:rPr>
          <w:rFonts w:ascii="Arial" w:hAnsi="Arial" w:cs="Arial"/>
          <w:sz w:val="24"/>
          <w:szCs w:val="24"/>
        </w:rPr>
        <w:t xml:space="preserve"> skip because of</w:t>
      </w:r>
      <w:r w:rsidR="00F404B0">
        <w:rPr>
          <w:rFonts w:ascii="Arial" w:hAnsi="Arial" w:cs="Arial"/>
          <w:sz w:val="24"/>
          <w:szCs w:val="24"/>
        </w:rPr>
        <w:t xml:space="preserve"> their inter curricular commitments. When we did have PSHE lessons, if delivered by for example our form tutor who had a mathematics degree and no experience of dealing with some of these issues, the PSHE lessons would be very dull and boring. However, on the odd occasion we would have outside guest speakers such as youth workers or professionals from different fields such as sexual health or mental health, who would come in and deliver sessions that were both fun and engaging.</w:t>
      </w:r>
      <w:r w:rsidR="00D5753C">
        <w:rPr>
          <w:rFonts w:ascii="Arial" w:hAnsi="Arial" w:cs="Arial"/>
          <w:sz w:val="24"/>
          <w:szCs w:val="24"/>
        </w:rPr>
        <w:t xml:space="preserve"> According to Deer &amp; Wolfe (2001, pg. 54) “informal educators work in </w:t>
      </w:r>
      <w:proofErr w:type="gramStart"/>
      <w:r w:rsidR="00D5753C">
        <w:rPr>
          <w:rFonts w:ascii="Arial" w:hAnsi="Arial" w:cs="Arial"/>
          <w:sz w:val="24"/>
          <w:szCs w:val="24"/>
        </w:rPr>
        <w:t>many different kinds of</w:t>
      </w:r>
      <w:proofErr w:type="gramEnd"/>
      <w:r w:rsidR="00D5753C">
        <w:rPr>
          <w:rFonts w:ascii="Arial" w:hAnsi="Arial" w:cs="Arial"/>
          <w:sz w:val="24"/>
          <w:szCs w:val="24"/>
        </w:rPr>
        <w:t xml:space="preserve"> settings with individuals and groups who choose to engage with them. Their purpose is to work in ways which encourage people to use their experiences of everyday living as opportunities for learning about themselves and others”.</w:t>
      </w:r>
    </w:p>
    <w:p w14:paraId="666423F0" w14:textId="04B00134" w:rsidR="009E46EA" w:rsidRDefault="009E46EA" w:rsidP="007F2856">
      <w:pPr>
        <w:spacing w:line="360" w:lineRule="auto"/>
        <w:rPr>
          <w:rFonts w:ascii="Arial" w:hAnsi="Arial" w:cs="Arial"/>
          <w:sz w:val="24"/>
          <w:szCs w:val="24"/>
        </w:rPr>
      </w:pPr>
      <w:r w:rsidRPr="00FB5121">
        <w:rPr>
          <w:rFonts w:ascii="Arial" w:hAnsi="Arial" w:cs="Arial"/>
          <w:sz w:val="24"/>
          <w:szCs w:val="24"/>
        </w:rPr>
        <w:t>Health inequalities can also be a major element that effects the ‘good life; that a young person will have.</w:t>
      </w:r>
      <w:r w:rsidR="00FF6801" w:rsidRPr="00FB5121">
        <w:rPr>
          <w:rFonts w:ascii="Arial" w:hAnsi="Arial" w:cs="Arial"/>
          <w:sz w:val="24"/>
          <w:szCs w:val="24"/>
        </w:rPr>
        <w:t xml:space="preserve"> Health inequalities can include young people with special educational needs (SEN) or additional learning needs (ALN).</w:t>
      </w:r>
      <w:r w:rsidR="002C0603" w:rsidRPr="00FB5121">
        <w:rPr>
          <w:rFonts w:ascii="Arial" w:hAnsi="Arial" w:cs="Arial"/>
          <w:sz w:val="24"/>
          <w:szCs w:val="24"/>
        </w:rPr>
        <w:t xml:space="preserve"> These needs can range from </w:t>
      </w:r>
      <w:r w:rsidR="00FB5121" w:rsidRPr="00FB5121">
        <w:rPr>
          <w:rFonts w:ascii="Arial" w:hAnsi="Arial" w:cs="Arial"/>
          <w:sz w:val="24"/>
          <w:szCs w:val="24"/>
        </w:rPr>
        <w:t>speech and language difficulties, vision and learning difficulties, developmental impairments such as dyslexia or dyspraxia.</w:t>
      </w:r>
      <w:r w:rsidR="007F227C">
        <w:rPr>
          <w:rFonts w:ascii="Arial" w:hAnsi="Arial" w:cs="Arial"/>
          <w:sz w:val="24"/>
          <w:szCs w:val="24"/>
        </w:rPr>
        <w:t xml:space="preserve"> When discussing how these additional learning needs can have an impact on a young </w:t>
      </w:r>
      <w:r w:rsidR="0041293E">
        <w:rPr>
          <w:rFonts w:ascii="Arial" w:hAnsi="Arial" w:cs="Arial"/>
          <w:sz w:val="24"/>
          <w:szCs w:val="24"/>
        </w:rPr>
        <w:t>person’s</w:t>
      </w:r>
      <w:r w:rsidR="007F227C">
        <w:rPr>
          <w:rFonts w:ascii="Arial" w:hAnsi="Arial" w:cs="Arial"/>
          <w:sz w:val="24"/>
          <w:szCs w:val="24"/>
        </w:rPr>
        <w:t xml:space="preserve"> education, Peer &amp; Reid (2012, pg. 112) state that </w:t>
      </w:r>
      <w:r w:rsidR="004172E1">
        <w:rPr>
          <w:rFonts w:ascii="Arial" w:hAnsi="Arial" w:cs="Arial"/>
          <w:sz w:val="24"/>
          <w:szCs w:val="24"/>
        </w:rPr>
        <w:t>“identifying</w:t>
      </w:r>
      <w:r w:rsidR="007F227C">
        <w:rPr>
          <w:rFonts w:ascii="Arial" w:hAnsi="Arial" w:cs="Arial"/>
          <w:sz w:val="24"/>
          <w:szCs w:val="24"/>
        </w:rPr>
        <w:t xml:space="preserve"> and taking appropriate corrective action can have a significant impact on this child’s educational </w:t>
      </w:r>
      <w:r w:rsidR="00391BAC">
        <w:rPr>
          <w:rFonts w:ascii="Arial" w:hAnsi="Arial" w:cs="Arial"/>
          <w:sz w:val="24"/>
          <w:szCs w:val="24"/>
        </w:rPr>
        <w:t>process and</w:t>
      </w:r>
      <w:r w:rsidR="007F227C">
        <w:rPr>
          <w:rFonts w:ascii="Arial" w:hAnsi="Arial" w:cs="Arial"/>
          <w:sz w:val="24"/>
          <w:szCs w:val="24"/>
        </w:rPr>
        <w:t xml:space="preserve"> make a big difference to their quality of life”.</w:t>
      </w:r>
      <w:r w:rsidR="0041293E">
        <w:rPr>
          <w:rFonts w:ascii="Arial" w:hAnsi="Arial" w:cs="Arial"/>
          <w:sz w:val="24"/>
          <w:szCs w:val="24"/>
        </w:rPr>
        <w:t xml:space="preserve"> Other health inequalities can include the </w:t>
      </w:r>
      <w:r w:rsidR="0041293E">
        <w:rPr>
          <w:rFonts w:ascii="Arial" w:hAnsi="Arial" w:cs="Arial"/>
          <w:sz w:val="24"/>
          <w:szCs w:val="24"/>
        </w:rPr>
        <w:lastRenderedPageBreak/>
        <w:t xml:space="preserve">physical environment in which young people grow and develop within. For </w:t>
      </w:r>
      <w:r w:rsidR="000B4DAC">
        <w:rPr>
          <w:rFonts w:ascii="Arial" w:hAnsi="Arial" w:cs="Arial"/>
          <w:sz w:val="24"/>
          <w:szCs w:val="24"/>
        </w:rPr>
        <w:t>example,</w:t>
      </w:r>
      <w:r w:rsidR="0041293E">
        <w:rPr>
          <w:rFonts w:ascii="Arial" w:hAnsi="Arial" w:cs="Arial"/>
          <w:sz w:val="24"/>
          <w:szCs w:val="24"/>
        </w:rPr>
        <w:t xml:space="preserve"> according to the Welsh Index </w:t>
      </w:r>
      <w:r w:rsidR="00391BAC">
        <w:rPr>
          <w:rFonts w:ascii="Arial" w:hAnsi="Arial" w:cs="Arial"/>
          <w:sz w:val="24"/>
          <w:szCs w:val="24"/>
        </w:rPr>
        <w:t>of Multiple Deprivation (2014) which displays evidence that shows a large majority of areas in Wales have high levels of unemployment, poor health and education, this could have a negative impact on young people.</w:t>
      </w:r>
    </w:p>
    <w:p w14:paraId="6F2AD7EB" w14:textId="7CE257E5" w:rsidR="00C7054D" w:rsidRDefault="00C7054D" w:rsidP="007F2856">
      <w:pPr>
        <w:spacing w:line="360" w:lineRule="auto"/>
        <w:rPr>
          <w:rFonts w:ascii="Arial" w:hAnsi="Arial" w:cs="Arial"/>
          <w:sz w:val="24"/>
          <w:szCs w:val="24"/>
        </w:rPr>
      </w:pPr>
      <w:r>
        <w:rPr>
          <w:rFonts w:ascii="Arial" w:hAnsi="Arial" w:cs="Arial"/>
          <w:sz w:val="24"/>
          <w:szCs w:val="24"/>
        </w:rPr>
        <w:t>As discussed previously in this assignment, schools also play a part in producing health inequalities by permanently excluding pupils.</w:t>
      </w:r>
      <w:r w:rsidR="00513480">
        <w:rPr>
          <w:rFonts w:ascii="Arial" w:hAnsi="Arial" w:cs="Arial"/>
          <w:sz w:val="24"/>
          <w:szCs w:val="24"/>
        </w:rPr>
        <w:t xml:space="preserve"> In practice we have several young people who come to youth club, who have been excluded for multiple reasons. This changes the young people’s </w:t>
      </w:r>
      <w:r w:rsidR="00D5753C">
        <w:rPr>
          <w:rFonts w:ascii="Arial" w:hAnsi="Arial" w:cs="Arial"/>
          <w:sz w:val="24"/>
          <w:szCs w:val="24"/>
        </w:rPr>
        <w:t>attitudes;</w:t>
      </w:r>
      <w:r w:rsidR="00513480">
        <w:rPr>
          <w:rFonts w:ascii="Arial" w:hAnsi="Arial" w:cs="Arial"/>
          <w:sz w:val="24"/>
          <w:szCs w:val="24"/>
        </w:rPr>
        <w:t xml:space="preserve"> they automatically think they are not good enough and they are not going to get anywhere in life because they ‘messed up’. These are the common sayings that young people present to us within club and it is also reflected in their behaviours within the club and wider community with a careless attitude.</w:t>
      </w:r>
      <w:r w:rsidR="00C35F59">
        <w:rPr>
          <w:rFonts w:ascii="Arial" w:hAnsi="Arial" w:cs="Arial"/>
          <w:sz w:val="24"/>
          <w:szCs w:val="24"/>
        </w:rPr>
        <w:t xml:space="preserve"> When discussing inclusion within schools and the national curriculum Knowles (2001, </w:t>
      </w:r>
      <w:r w:rsidR="0090790F">
        <w:rPr>
          <w:rFonts w:ascii="Arial" w:hAnsi="Arial" w:cs="Arial"/>
          <w:sz w:val="24"/>
          <w:szCs w:val="24"/>
        </w:rPr>
        <w:t>pg.</w:t>
      </w:r>
      <w:r w:rsidR="00C35F59">
        <w:rPr>
          <w:rFonts w:ascii="Arial" w:hAnsi="Arial" w:cs="Arial"/>
          <w:sz w:val="24"/>
          <w:szCs w:val="24"/>
        </w:rPr>
        <w:t xml:space="preserve"> 7) says that “The revised National Curriculum, published in 1999, came into effect in schools in 2000. The principles that underpin the National Curriculum clearly define what is meant by inclusion, namely that all children, whatever their needs, have an entitlement to effective learning opportunities”.</w:t>
      </w:r>
    </w:p>
    <w:p w14:paraId="0E8D0F85" w14:textId="77777777" w:rsidR="005822BE" w:rsidRDefault="007A3075" w:rsidP="007F2856">
      <w:pPr>
        <w:spacing w:line="360" w:lineRule="auto"/>
        <w:rPr>
          <w:rFonts w:ascii="Arial" w:hAnsi="Arial" w:cs="Arial"/>
          <w:sz w:val="24"/>
          <w:szCs w:val="24"/>
          <w:shd w:val="clear" w:color="auto" w:fill="FFFFFF"/>
        </w:rPr>
      </w:pPr>
      <w:r w:rsidRPr="0008495C">
        <w:rPr>
          <w:rFonts w:ascii="Arial" w:hAnsi="Arial" w:cs="Arial"/>
          <w:sz w:val="24"/>
          <w:szCs w:val="24"/>
        </w:rPr>
        <w:t xml:space="preserve">Most schools in Wales are health promoting schools which factor certain things into place so that young people can perform and achieve the best that they can. </w:t>
      </w:r>
      <w:r w:rsidR="0008495C">
        <w:rPr>
          <w:rFonts w:ascii="Arial" w:hAnsi="Arial" w:cs="Arial"/>
          <w:sz w:val="24"/>
          <w:szCs w:val="24"/>
        </w:rPr>
        <w:t xml:space="preserve">According to the World Health Organisation (2019) </w:t>
      </w:r>
      <w:r w:rsidR="001F2E2B">
        <w:rPr>
          <w:rFonts w:ascii="Arial" w:hAnsi="Arial" w:cs="Arial"/>
          <w:sz w:val="24"/>
          <w:szCs w:val="24"/>
        </w:rPr>
        <w:t>that</w:t>
      </w:r>
      <w:r w:rsidR="0008495C">
        <w:rPr>
          <w:rFonts w:ascii="Arial" w:hAnsi="Arial" w:cs="Arial"/>
          <w:sz w:val="24"/>
          <w:szCs w:val="24"/>
        </w:rPr>
        <w:t xml:space="preserve"> </w:t>
      </w:r>
      <w:r w:rsidR="001F2E2B">
        <w:rPr>
          <w:rFonts w:ascii="Arial" w:hAnsi="Arial" w:cs="Arial"/>
          <w:sz w:val="24"/>
          <w:szCs w:val="24"/>
        </w:rPr>
        <w:t>says,</w:t>
      </w:r>
      <w:r w:rsidR="0008495C">
        <w:rPr>
          <w:rFonts w:ascii="Arial" w:hAnsi="Arial" w:cs="Arial"/>
          <w:sz w:val="24"/>
          <w:szCs w:val="24"/>
        </w:rPr>
        <w:t xml:space="preserve"> </w:t>
      </w:r>
      <w:r w:rsidR="0008495C" w:rsidRPr="0008495C">
        <w:rPr>
          <w:rFonts w:ascii="Arial" w:hAnsi="Arial" w:cs="Arial"/>
          <w:sz w:val="24"/>
          <w:szCs w:val="24"/>
        </w:rPr>
        <w:t>“</w:t>
      </w:r>
      <w:r w:rsidR="0008495C" w:rsidRPr="0008495C">
        <w:rPr>
          <w:rFonts w:ascii="Arial" w:hAnsi="Arial" w:cs="Arial"/>
          <w:sz w:val="24"/>
          <w:szCs w:val="24"/>
          <w:shd w:val="clear" w:color="auto" w:fill="FFFFFF"/>
        </w:rPr>
        <w:t>A health promoting school is one that constantly strengthens its capacity as a healthy setting for living, learning and working</w:t>
      </w:r>
      <w:r w:rsidR="0008495C">
        <w:rPr>
          <w:rFonts w:ascii="Arial" w:hAnsi="Arial" w:cs="Arial"/>
          <w:sz w:val="24"/>
          <w:szCs w:val="24"/>
          <w:shd w:val="clear" w:color="auto" w:fill="FFFFFF"/>
        </w:rPr>
        <w:t>”.</w:t>
      </w:r>
      <w:r w:rsidR="00512163">
        <w:rPr>
          <w:rFonts w:ascii="Arial" w:hAnsi="Arial" w:cs="Arial"/>
          <w:sz w:val="24"/>
          <w:szCs w:val="24"/>
          <w:shd w:val="clear" w:color="auto" w:fill="FFFFFF"/>
        </w:rPr>
        <w:t xml:space="preserve"> Each school will have its own ethos on being able to deliver on the health promoting schools framework, this could include </w:t>
      </w:r>
      <w:r w:rsidR="00B7191B">
        <w:rPr>
          <w:rFonts w:ascii="Arial" w:hAnsi="Arial" w:cs="Arial"/>
          <w:sz w:val="24"/>
          <w:szCs w:val="24"/>
          <w:shd w:val="clear" w:color="auto" w:fill="FFFFFF"/>
        </w:rPr>
        <w:t>promoting young peoples voice through electing a young peoples school council, investing more funds and resources into areas that improve the health and wellbeing of young people such as catering facilities for healthier meals as options at lunch time. Providing more lessons around the dangers of underage drinking, smoking and solvent abuse, and keeping safe when engaging in risky behaviours such as sex</w:t>
      </w:r>
      <w:r w:rsidR="004F1050">
        <w:rPr>
          <w:rFonts w:ascii="Arial" w:hAnsi="Arial" w:cs="Arial"/>
          <w:sz w:val="24"/>
          <w:szCs w:val="24"/>
          <w:shd w:val="clear" w:color="auto" w:fill="FFFFFF"/>
        </w:rPr>
        <w:t>ual activity</w:t>
      </w:r>
      <w:r w:rsidR="00B7191B">
        <w:rPr>
          <w:rFonts w:ascii="Arial" w:hAnsi="Arial" w:cs="Arial"/>
          <w:sz w:val="24"/>
          <w:szCs w:val="24"/>
          <w:shd w:val="clear" w:color="auto" w:fill="FFFFFF"/>
        </w:rPr>
        <w:t>.</w:t>
      </w:r>
      <w:r w:rsidR="00F04991">
        <w:rPr>
          <w:rFonts w:ascii="Arial" w:hAnsi="Arial" w:cs="Arial"/>
          <w:sz w:val="24"/>
          <w:szCs w:val="24"/>
          <w:shd w:val="clear" w:color="auto" w:fill="FFFFFF"/>
        </w:rPr>
        <w:t xml:space="preserve"> All of these are provided to an extent in schools in Wales as they meet the agendas of various Welsh Government Policies and Frameworks which all work towards meeting the Wellbeing of Future Generations Act (2014).</w:t>
      </w:r>
      <w:r w:rsidR="00C3338D">
        <w:rPr>
          <w:rFonts w:ascii="Arial" w:hAnsi="Arial" w:cs="Arial"/>
          <w:sz w:val="24"/>
          <w:szCs w:val="24"/>
          <w:shd w:val="clear" w:color="auto" w:fill="FFFFFF"/>
        </w:rPr>
        <w:t xml:space="preserve"> </w:t>
      </w:r>
    </w:p>
    <w:p w14:paraId="01BFA4EA" w14:textId="71AE8AE0" w:rsidR="00071665" w:rsidRPr="00071665" w:rsidRDefault="00C3338D" w:rsidP="00071665">
      <w:pPr>
        <w:spacing w:line="360" w:lineRule="auto"/>
        <w:rPr>
          <w:rFonts w:ascii="Arial" w:hAnsi="Arial" w:cs="Arial"/>
          <w:color w:val="000000"/>
          <w:sz w:val="24"/>
          <w:szCs w:val="24"/>
          <w:shd w:val="clear" w:color="auto" w:fill="FFFFFF"/>
        </w:rPr>
      </w:pPr>
      <w:r>
        <w:rPr>
          <w:rFonts w:ascii="Arial" w:hAnsi="Arial" w:cs="Arial"/>
          <w:sz w:val="24"/>
          <w:szCs w:val="24"/>
          <w:shd w:val="clear" w:color="auto" w:fill="FFFFFF"/>
        </w:rPr>
        <w:lastRenderedPageBreak/>
        <w:t>Schools who are based in socio economically deprived communities often score low on the board when it comes to academic attainment, however, they more often than not have departments within the schools such as pastoral support officers who are responsible for the ensuring the wellbeing of young people within their schools. For example, in Swan</w:t>
      </w:r>
      <w:r w:rsidR="004E5A00">
        <w:rPr>
          <w:rFonts w:ascii="Arial" w:hAnsi="Arial" w:cs="Arial"/>
          <w:sz w:val="24"/>
          <w:szCs w:val="24"/>
          <w:shd w:val="clear" w:color="auto" w:fill="FFFFFF"/>
        </w:rPr>
        <w:t>sea within the majority of schools there are pastoral officers whose role according to an advert posted on Swansea Council</w:t>
      </w:r>
      <w:r w:rsidR="00100A12">
        <w:rPr>
          <w:rFonts w:ascii="Arial" w:hAnsi="Arial" w:cs="Arial"/>
          <w:sz w:val="24"/>
          <w:szCs w:val="24"/>
          <w:shd w:val="clear" w:color="auto" w:fill="FFFFFF"/>
        </w:rPr>
        <w:t xml:space="preserve"> (2019)</w:t>
      </w:r>
      <w:r w:rsidR="004E5A00">
        <w:rPr>
          <w:rFonts w:ascii="Arial" w:hAnsi="Arial" w:cs="Arial"/>
          <w:sz w:val="24"/>
          <w:szCs w:val="24"/>
          <w:shd w:val="clear" w:color="auto" w:fill="FFFFFF"/>
        </w:rPr>
        <w:t xml:space="preserve"> website </w:t>
      </w:r>
      <w:r w:rsidR="004E5A00" w:rsidRPr="004E5A00">
        <w:rPr>
          <w:rFonts w:ascii="Arial" w:hAnsi="Arial" w:cs="Arial"/>
          <w:sz w:val="24"/>
          <w:szCs w:val="24"/>
          <w:shd w:val="clear" w:color="auto" w:fill="FFFFFF"/>
        </w:rPr>
        <w:t>is “</w:t>
      </w:r>
      <w:r w:rsidR="004E5A00" w:rsidRPr="004E5A00">
        <w:rPr>
          <w:rFonts w:ascii="Arial" w:hAnsi="Arial" w:cs="Arial"/>
          <w:color w:val="000000"/>
          <w:sz w:val="24"/>
          <w:szCs w:val="24"/>
          <w:shd w:val="clear" w:color="auto" w:fill="FFFFFF"/>
        </w:rPr>
        <w:t>The purpose of the PSO (Nurture) post is to support and strengthen the work of the wellbeing team, work closely with our Raising Standards Leaders (RSLs) and other senior members of staff to drive up standards, pupil behaviour and attitudes to learning, through direct work with pupils and their families</w:t>
      </w:r>
      <w:r w:rsidR="00EE57BC">
        <w:rPr>
          <w:rFonts w:ascii="Arial" w:hAnsi="Arial" w:cs="Arial"/>
          <w:color w:val="000000"/>
          <w:sz w:val="24"/>
          <w:szCs w:val="24"/>
          <w:shd w:val="clear" w:color="auto" w:fill="FFFFFF"/>
        </w:rPr>
        <w:t>”.</w:t>
      </w:r>
      <w:r w:rsidR="00071665">
        <w:rPr>
          <w:rFonts w:ascii="Arial" w:hAnsi="Arial" w:cs="Arial"/>
          <w:color w:val="000000"/>
          <w:sz w:val="24"/>
          <w:szCs w:val="24"/>
          <w:shd w:val="clear" w:color="auto" w:fill="FFFFFF"/>
        </w:rPr>
        <w:t xml:space="preserve"> On the reverse side of this however</w:t>
      </w:r>
      <w:r w:rsidR="0020004B">
        <w:rPr>
          <w:rFonts w:ascii="Arial" w:hAnsi="Arial" w:cs="Arial"/>
          <w:color w:val="000000"/>
          <w:sz w:val="24"/>
          <w:szCs w:val="24"/>
          <w:shd w:val="clear" w:color="auto" w:fill="FFFFFF"/>
        </w:rPr>
        <w:t xml:space="preserve">, </w:t>
      </w:r>
      <w:r w:rsidR="00071665">
        <w:rPr>
          <w:rFonts w:ascii="Arial" w:hAnsi="Arial" w:cs="Arial"/>
          <w:color w:val="000000"/>
          <w:sz w:val="24"/>
          <w:szCs w:val="24"/>
          <w:shd w:val="clear" w:color="auto" w:fill="FFFFFF"/>
        </w:rPr>
        <w:t xml:space="preserve"> </w:t>
      </w:r>
      <w:r w:rsidR="00071665" w:rsidRPr="00071665">
        <w:rPr>
          <w:rFonts w:ascii="Arial" w:hAnsi="Arial" w:cs="Arial"/>
          <w:color w:val="000000"/>
          <w:sz w:val="24"/>
          <w:szCs w:val="24"/>
          <w:shd w:val="clear" w:color="auto" w:fill="FFFFFF"/>
        </w:rPr>
        <w:t>Illich</w:t>
      </w:r>
      <w:r w:rsidR="0020004B">
        <w:rPr>
          <w:rFonts w:ascii="Arial" w:hAnsi="Arial" w:cs="Arial"/>
          <w:color w:val="000000"/>
          <w:sz w:val="24"/>
          <w:szCs w:val="24"/>
          <w:shd w:val="clear" w:color="auto" w:fill="FFFFFF"/>
        </w:rPr>
        <w:t xml:space="preserve"> (1970, pg. 1) </w:t>
      </w:r>
      <w:r w:rsidR="00071665" w:rsidRPr="00071665">
        <w:rPr>
          <w:rFonts w:ascii="Arial" w:hAnsi="Arial" w:cs="Arial"/>
          <w:color w:val="000000"/>
          <w:sz w:val="24"/>
          <w:szCs w:val="24"/>
          <w:shd w:val="clear" w:color="auto" w:fill="FFFFFF"/>
        </w:rPr>
        <w:t xml:space="preserve"> takes a</w:t>
      </w:r>
      <w:r w:rsidR="0020004B">
        <w:rPr>
          <w:rFonts w:ascii="Arial" w:hAnsi="Arial" w:cs="Arial"/>
          <w:color w:val="000000"/>
          <w:sz w:val="24"/>
          <w:szCs w:val="24"/>
          <w:shd w:val="clear" w:color="auto" w:fill="FFFFFF"/>
        </w:rPr>
        <w:t xml:space="preserve"> different</w:t>
      </w:r>
      <w:r w:rsidR="00071665" w:rsidRPr="00071665">
        <w:rPr>
          <w:rFonts w:ascii="Arial" w:hAnsi="Arial" w:cs="Arial"/>
          <w:color w:val="000000"/>
          <w:sz w:val="24"/>
          <w:szCs w:val="24"/>
          <w:shd w:val="clear" w:color="auto" w:fill="FFFFFF"/>
        </w:rPr>
        <w:t xml:space="preserve"> </w:t>
      </w:r>
      <w:r w:rsidR="0020004B">
        <w:rPr>
          <w:rFonts w:ascii="Arial" w:hAnsi="Arial" w:cs="Arial"/>
          <w:color w:val="000000"/>
          <w:sz w:val="24"/>
          <w:szCs w:val="24"/>
          <w:shd w:val="clear" w:color="auto" w:fill="FFFFFF"/>
        </w:rPr>
        <w:t>view</w:t>
      </w:r>
      <w:r w:rsidR="00071665" w:rsidRPr="00071665">
        <w:rPr>
          <w:rFonts w:ascii="Arial" w:hAnsi="Arial" w:cs="Arial"/>
          <w:color w:val="000000"/>
          <w:sz w:val="24"/>
          <w:szCs w:val="24"/>
          <w:shd w:val="clear" w:color="auto" w:fill="FFFFFF"/>
        </w:rPr>
        <w:t xml:space="preserve"> at the idea of a school</w:t>
      </w:r>
      <w:r w:rsidR="0020004B">
        <w:rPr>
          <w:rFonts w:ascii="Arial" w:hAnsi="Arial" w:cs="Arial"/>
          <w:color w:val="000000"/>
          <w:sz w:val="24"/>
          <w:szCs w:val="24"/>
          <w:shd w:val="clear" w:color="auto" w:fill="FFFFFF"/>
        </w:rPr>
        <w:t xml:space="preserve"> curriculum</w:t>
      </w:r>
      <w:r w:rsidR="00071665" w:rsidRPr="00071665">
        <w:rPr>
          <w:rFonts w:ascii="Arial" w:hAnsi="Arial" w:cs="Arial"/>
          <w:color w:val="000000"/>
          <w:sz w:val="24"/>
          <w:szCs w:val="24"/>
          <w:shd w:val="clear" w:color="auto" w:fill="FFFFFF"/>
        </w:rPr>
        <w:t xml:space="preserve"> and education in and suggests that we should disestablish school altogether by stating “many students, especially those who are poor, intuitively know what schools do for them. They school them to confuse process and substance, once these become blurred a new logic is assumed”.</w:t>
      </w:r>
      <w:r w:rsidR="00C35F59">
        <w:rPr>
          <w:rFonts w:ascii="Arial" w:hAnsi="Arial" w:cs="Arial"/>
          <w:color w:val="000000"/>
          <w:sz w:val="24"/>
          <w:szCs w:val="24"/>
          <w:shd w:val="clear" w:color="auto" w:fill="FFFFFF"/>
        </w:rPr>
        <w:t xml:space="preserve"> </w:t>
      </w:r>
    </w:p>
    <w:p w14:paraId="6F03029E" w14:textId="067D1F04" w:rsidR="007A3075" w:rsidRPr="004E5A00" w:rsidRDefault="007A3075" w:rsidP="007F2856">
      <w:pPr>
        <w:spacing w:line="360" w:lineRule="auto"/>
        <w:rPr>
          <w:rFonts w:ascii="Arial" w:hAnsi="Arial" w:cs="Arial"/>
          <w:sz w:val="24"/>
          <w:szCs w:val="24"/>
        </w:rPr>
      </w:pPr>
    </w:p>
    <w:p w14:paraId="63349BE3" w14:textId="3C23945E" w:rsidR="009957ED" w:rsidRDefault="009957ED" w:rsidP="007F2856">
      <w:pPr>
        <w:spacing w:line="360" w:lineRule="auto"/>
        <w:rPr>
          <w:rFonts w:ascii="Arial" w:hAnsi="Arial" w:cs="Arial"/>
          <w:sz w:val="24"/>
          <w:szCs w:val="24"/>
        </w:rPr>
      </w:pPr>
      <w:r>
        <w:rPr>
          <w:rFonts w:ascii="Arial" w:hAnsi="Arial" w:cs="Arial"/>
          <w:sz w:val="24"/>
          <w:szCs w:val="24"/>
        </w:rPr>
        <w:t>Wales, has its own specific legislation which encompasses seven key elements that work towards making Wales and the people of Wales thrive towards living a more happy and prosperous life. The Wellbeing of Future Generations Act (2015) sets a standard of seven goals that the Government aim to work towards.</w:t>
      </w:r>
    </w:p>
    <w:p w14:paraId="3BFFB902" w14:textId="7D59470C" w:rsidR="00382C43" w:rsidRDefault="00FF69C4" w:rsidP="007F2856">
      <w:pPr>
        <w:spacing w:line="360" w:lineRule="auto"/>
        <w:rPr>
          <w:rFonts w:ascii="Arial" w:hAnsi="Arial" w:cs="Arial"/>
          <w:sz w:val="24"/>
          <w:szCs w:val="24"/>
        </w:rPr>
      </w:pPr>
      <w:r>
        <w:rPr>
          <w:rFonts w:ascii="Arial" w:hAnsi="Arial" w:cs="Arial"/>
          <w:sz w:val="24"/>
          <w:szCs w:val="24"/>
        </w:rPr>
        <w:t xml:space="preserve">There are many legislative documents in place both locally and globally that strive </w:t>
      </w:r>
      <w:proofErr w:type="spellStart"/>
      <w:r>
        <w:rPr>
          <w:rFonts w:ascii="Arial" w:hAnsi="Arial" w:cs="Arial"/>
          <w:sz w:val="24"/>
          <w:szCs w:val="24"/>
        </w:rPr>
        <w:t>ti</w:t>
      </w:r>
      <w:proofErr w:type="spellEnd"/>
      <w:r>
        <w:rPr>
          <w:rFonts w:ascii="Arial" w:hAnsi="Arial" w:cs="Arial"/>
          <w:sz w:val="24"/>
          <w:szCs w:val="24"/>
        </w:rPr>
        <w:t xml:space="preserve"> improve the health and wellbeing of young people. </w:t>
      </w:r>
      <w:r w:rsidR="00382C43">
        <w:rPr>
          <w:rFonts w:ascii="Arial" w:hAnsi="Arial" w:cs="Arial"/>
          <w:sz w:val="24"/>
          <w:szCs w:val="24"/>
        </w:rPr>
        <w:t>The United Nations Convention of the Rights of the Child</w:t>
      </w:r>
      <w:r w:rsidR="00AB2A6F">
        <w:rPr>
          <w:rFonts w:ascii="Arial" w:hAnsi="Arial" w:cs="Arial"/>
          <w:sz w:val="24"/>
          <w:szCs w:val="24"/>
        </w:rPr>
        <w:t xml:space="preserve"> (UNCRC)</w:t>
      </w:r>
      <w:r w:rsidR="00382C43">
        <w:rPr>
          <w:rFonts w:ascii="Arial" w:hAnsi="Arial" w:cs="Arial"/>
          <w:sz w:val="24"/>
          <w:szCs w:val="24"/>
        </w:rPr>
        <w:t>, takes a more global look at improving the quality of life for children and young people in Wales and the wider world.</w:t>
      </w:r>
      <w:r w:rsidR="00D549DD">
        <w:rPr>
          <w:rFonts w:ascii="Arial" w:hAnsi="Arial" w:cs="Arial"/>
          <w:sz w:val="24"/>
          <w:szCs w:val="24"/>
        </w:rPr>
        <w:t xml:space="preserve"> The UNCRC consists of 42 articles which United Nations countries says every child under the age of 18, is entitled too.</w:t>
      </w:r>
      <w:r w:rsidR="00A028B2">
        <w:rPr>
          <w:rFonts w:ascii="Arial" w:hAnsi="Arial" w:cs="Arial"/>
          <w:sz w:val="24"/>
          <w:szCs w:val="24"/>
        </w:rPr>
        <w:t xml:space="preserve"> In Wales, there is an emphasis for schools and informal education settings to provide participation opportunities for young people to make them more self-aware about their rights and becoming more active members of society.</w:t>
      </w:r>
      <w:r w:rsidR="00701981">
        <w:rPr>
          <w:rFonts w:ascii="Arial" w:hAnsi="Arial" w:cs="Arial"/>
          <w:sz w:val="24"/>
          <w:szCs w:val="24"/>
        </w:rPr>
        <w:t xml:space="preserve"> According to Booth (2011, pg. 22) who when discussing rights says “A focus on rights builds on a concern with equality. It is a way of expressing the equal worth of people since they hold rights equally”.</w:t>
      </w:r>
    </w:p>
    <w:p w14:paraId="0E71E538" w14:textId="74D35D37" w:rsidR="002E09C9" w:rsidRDefault="002E09C9" w:rsidP="007F2856">
      <w:pPr>
        <w:spacing w:line="360" w:lineRule="auto"/>
        <w:rPr>
          <w:rFonts w:ascii="Arial" w:hAnsi="Arial" w:cs="Arial"/>
          <w:sz w:val="24"/>
          <w:szCs w:val="24"/>
        </w:rPr>
      </w:pPr>
      <w:r>
        <w:rPr>
          <w:rFonts w:ascii="Arial" w:hAnsi="Arial" w:cs="Arial"/>
          <w:sz w:val="24"/>
          <w:szCs w:val="24"/>
        </w:rPr>
        <w:lastRenderedPageBreak/>
        <w:t>The Social Services and Wellbeing Act 2014 according to Social Care Wales (2014) states that “the act provides the legal framework for improving the wellbeing of people who need care and support and carers who need support and for transforming social services in Wales</w:t>
      </w:r>
      <w:r w:rsidR="00593245">
        <w:rPr>
          <w:rFonts w:ascii="Arial" w:hAnsi="Arial" w:cs="Arial"/>
          <w:sz w:val="24"/>
          <w:szCs w:val="24"/>
        </w:rPr>
        <w:t>”. The act is there to protect all young people from danger and harm and allow them to grow within a safe environment.</w:t>
      </w:r>
    </w:p>
    <w:p w14:paraId="78FD49F5" w14:textId="0CD46835" w:rsidR="004F1050" w:rsidRDefault="004D5A51" w:rsidP="007F2856">
      <w:pPr>
        <w:spacing w:line="360" w:lineRule="auto"/>
        <w:rPr>
          <w:rFonts w:ascii="Arial" w:hAnsi="Arial" w:cs="Arial"/>
          <w:sz w:val="24"/>
          <w:szCs w:val="24"/>
        </w:rPr>
      </w:pPr>
      <w:r>
        <w:rPr>
          <w:rFonts w:ascii="Arial" w:hAnsi="Arial" w:cs="Arial"/>
          <w:sz w:val="24"/>
          <w:szCs w:val="24"/>
        </w:rPr>
        <w:t xml:space="preserve">The </w:t>
      </w:r>
      <w:r w:rsidR="004F1050">
        <w:rPr>
          <w:rFonts w:ascii="Arial" w:hAnsi="Arial" w:cs="Arial"/>
          <w:sz w:val="24"/>
          <w:szCs w:val="24"/>
        </w:rPr>
        <w:t xml:space="preserve">Social </w:t>
      </w:r>
      <w:r w:rsidR="002E09C9">
        <w:rPr>
          <w:rFonts w:ascii="Arial" w:hAnsi="Arial" w:cs="Arial"/>
          <w:sz w:val="24"/>
          <w:szCs w:val="24"/>
        </w:rPr>
        <w:t>S</w:t>
      </w:r>
      <w:r w:rsidR="004F1050">
        <w:rPr>
          <w:rFonts w:ascii="Arial" w:hAnsi="Arial" w:cs="Arial"/>
          <w:sz w:val="24"/>
          <w:szCs w:val="24"/>
        </w:rPr>
        <w:t xml:space="preserve">ervices and </w:t>
      </w:r>
      <w:r w:rsidR="002E09C9">
        <w:rPr>
          <w:rFonts w:ascii="Arial" w:hAnsi="Arial" w:cs="Arial"/>
          <w:sz w:val="24"/>
          <w:szCs w:val="24"/>
        </w:rPr>
        <w:t>W</w:t>
      </w:r>
      <w:r w:rsidR="004F1050">
        <w:rPr>
          <w:rFonts w:ascii="Arial" w:hAnsi="Arial" w:cs="Arial"/>
          <w:sz w:val="24"/>
          <w:szCs w:val="24"/>
        </w:rPr>
        <w:t xml:space="preserve">ellbeing act 2014 </w:t>
      </w:r>
      <w:r w:rsidR="00B514F4">
        <w:rPr>
          <w:rFonts w:ascii="Arial" w:hAnsi="Arial" w:cs="Arial"/>
          <w:sz w:val="24"/>
          <w:szCs w:val="24"/>
        </w:rPr>
        <w:t>underline’s</w:t>
      </w:r>
      <w:r w:rsidR="004F1050">
        <w:rPr>
          <w:rFonts w:ascii="Arial" w:hAnsi="Arial" w:cs="Arial"/>
          <w:sz w:val="24"/>
          <w:szCs w:val="24"/>
        </w:rPr>
        <w:t xml:space="preserve"> a huge variety of key problems that are dominating </w:t>
      </w:r>
      <w:r w:rsidR="0062356D">
        <w:rPr>
          <w:rFonts w:ascii="Arial" w:hAnsi="Arial" w:cs="Arial"/>
          <w:sz w:val="24"/>
          <w:szCs w:val="24"/>
        </w:rPr>
        <w:t xml:space="preserve">the younger generation, in how local authorities tackle the ongoing and </w:t>
      </w:r>
      <w:r w:rsidR="002E09C9">
        <w:rPr>
          <w:rFonts w:ascii="Arial" w:hAnsi="Arial" w:cs="Arial"/>
          <w:sz w:val="24"/>
          <w:szCs w:val="24"/>
        </w:rPr>
        <w:t>ever-growing</w:t>
      </w:r>
      <w:r w:rsidR="0062356D">
        <w:rPr>
          <w:rFonts w:ascii="Arial" w:hAnsi="Arial" w:cs="Arial"/>
          <w:sz w:val="24"/>
          <w:szCs w:val="24"/>
        </w:rPr>
        <w:t xml:space="preserve"> issues young people </w:t>
      </w:r>
      <w:proofErr w:type="gramStart"/>
      <w:r w:rsidR="0062356D">
        <w:rPr>
          <w:rFonts w:ascii="Arial" w:hAnsi="Arial" w:cs="Arial"/>
          <w:sz w:val="24"/>
          <w:szCs w:val="24"/>
        </w:rPr>
        <w:t>have to</w:t>
      </w:r>
      <w:proofErr w:type="gramEnd"/>
      <w:r w:rsidR="0062356D">
        <w:rPr>
          <w:rFonts w:ascii="Arial" w:hAnsi="Arial" w:cs="Arial"/>
          <w:sz w:val="24"/>
          <w:szCs w:val="24"/>
        </w:rPr>
        <w:t xml:space="preserve"> face on a daily basis. Some of these issues include but are not limited to, depression, suicide, mental health, isolation/ segregation, anxieties as well as societal issues such as drugs, alcohol, domestic violence, county lines and sexual exploitation. All of these are headlines we see far more than we would like to admit but luckily there are people and services available to overcome or intervene as and when necessary. Social services </w:t>
      </w:r>
      <w:r w:rsidR="00B514F4">
        <w:rPr>
          <w:rFonts w:ascii="Arial" w:hAnsi="Arial" w:cs="Arial"/>
          <w:sz w:val="24"/>
          <w:szCs w:val="24"/>
        </w:rPr>
        <w:t xml:space="preserve">show incredible rates of success in dealing with these matters although it is inevitable that no guarantee for prosperity in 100% of the cases. Bearing in mind social services and other relevant available services can only help if/when made aware of an individual’s life problems. This is the struggle we find in </w:t>
      </w:r>
      <w:proofErr w:type="gramStart"/>
      <w:r w:rsidR="00B514F4">
        <w:rPr>
          <w:rFonts w:ascii="Arial" w:hAnsi="Arial" w:cs="Arial"/>
          <w:sz w:val="24"/>
          <w:szCs w:val="24"/>
        </w:rPr>
        <w:t>the majority of</w:t>
      </w:r>
      <w:proofErr w:type="gramEnd"/>
      <w:r w:rsidR="00B514F4">
        <w:rPr>
          <w:rFonts w:ascii="Arial" w:hAnsi="Arial" w:cs="Arial"/>
          <w:sz w:val="24"/>
          <w:szCs w:val="24"/>
        </w:rPr>
        <w:t xml:space="preserve"> cases, is that it </w:t>
      </w:r>
      <w:r w:rsidR="002E09C9">
        <w:rPr>
          <w:rFonts w:ascii="Arial" w:hAnsi="Arial" w:cs="Arial"/>
          <w:sz w:val="24"/>
          <w:szCs w:val="24"/>
        </w:rPr>
        <w:t>can sometimes be an</w:t>
      </w:r>
      <w:r w:rsidR="00B514F4">
        <w:rPr>
          <w:rFonts w:ascii="Arial" w:hAnsi="Arial" w:cs="Arial"/>
          <w:sz w:val="24"/>
          <w:szCs w:val="24"/>
        </w:rPr>
        <w:t xml:space="preserve"> extremely difficult</w:t>
      </w:r>
      <w:r w:rsidR="002E09C9">
        <w:rPr>
          <w:rFonts w:ascii="Arial" w:hAnsi="Arial" w:cs="Arial"/>
          <w:sz w:val="24"/>
          <w:szCs w:val="24"/>
        </w:rPr>
        <w:t xml:space="preserve"> </w:t>
      </w:r>
      <w:r w:rsidR="001361E0">
        <w:rPr>
          <w:rFonts w:ascii="Arial" w:hAnsi="Arial" w:cs="Arial"/>
          <w:sz w:val="24"/>
          <w:szCs w:val="24"/>
        </w:rPr>
        <w:t>task for</w:t>
      </w:r>
      <w:r w:rsidR="002E09C9">
        <w:rPr>
          <w:rFonts w:ascii="Arial" w:hAnsi="Arial" w:cs="Arial"/>
          <w:sz w:val="24"/>
          <w:szCs w:val="24"/>
        </w:rPr>
        <w:t xml:space="preserve"> relationships to be built with young people that enables them to develop a trusting and meaningful bond allowing them to make disclosures if necessary.</w:t>
      </w:r>
      <w:r w:rsidR="00981076">
        <w:rPr>
          <w:rFonts w:ascii="Arial" w:hAnsi="Arial" w:cs="Arial"/>
          <w:sz w:val="24"/>
          <w:szCs w:val="24"/>
        </w:rPr>
        <w:t xml:space="preserve"> Within this model we can include the windscreen of prevention, protection and provision as seen below.</w:t>
      </w:r>
    </w:p>
    <w:p w14:paraId="4BAE641D" w14:textId="75CFC85B" w:rsidR="00981076" w:rsidRDefault="00981076" w:rsidP="007F2856">
      <w:pPr>
        <w:spacing w:line="360" w:lineRule="auto"/>
        <w:rPr>
          <w:rFonts w:ascii="Arial" w:hAnsi="Arial" w:cs="Arial"/>
          <w:sz w:val="24"/>
          <w:szCs w:val="24"/>
        </w:rPr>
      </w:pPr>
      <w:r>
        <w:rPr>
          <w:noProof/>
        </w:rPr>
        <w:lastRenderedPageBreak/>
        <w:drawing>
          <wp:inline distT="0" distB="0" distL="0" distR="0" wp14:anchorId="3F46487D" wp14:editId="29B8FBC7">
            <wp:extent cx="5731510" cy="3503930"/>
            <wp:effectExtent l="0" t="0" r="2540" b="127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3503930"/>
                    </a:xfrm>
                    <a:prstGeom prst="rect">
                      <a:avLst/>
                    </a:prstGeom>
                  </pic:spPr>
                </pic:pic>
              </a:graphicData>
            </a:graphic>
          </wp:inline>
        </w:drawing>
      </w:r>
    </w:p>
    <w:p w14:paraId="66EC80F0" w14:textId="05FC7812" w:rsidR="00981076" w:rsidRDefault="00981076" w:rsidP="00E94411">
      <w:pPr>
        <w:shd w:val="clear" w:color="auto" w:fill="FFFFFF"/>
        <w:spacing w:after="120" w:line="360" w:lineRule="auto"/>
        <w:rPr>
          <w:rFonts w:ascii="Arial" w:hAnsi="Arial" w:cs="Arial"/>
          <w:sz w:val="24"/>
          <w:szCs w:val="24"/>
        </w:rPr>
      </w:pPr>
      <w:r>
        <w:rPr>
          <w:rFonts w:ascii="Arial" w:hAnsi="Arial" w:cs="Arial"/>
          <w:sz w:val="24"/>
          <w:szCs w:val="24"/>
        </w:rPr>
        <w:t xml:space="preserve">The windscreen model outlines four key stages of prevention and provision for young people. As a Young </w:t>
      </w:r>
      <w:r w:rsidR="00DA22B5">
        <w:rPr>
          <w:rFonts w:ascii="Arial" w:hAnsi="Arial" w:cs="Arial"/>
          <w:sz w:val="24"/>
          <w:szCs w:val="24"/>
        </w:rPr>
        <w:t>People’s</w:t>
      </w:r>
      <w:r>
        <w:rPr>
          <w:rFonts w:ascii="Arial" w:hAnsi="Arial" w:cs="Arial"/>
          <w:sz w:val="24"/>
          <w:szCs w:val="24"/>
        </w:rPr>
        <w:t xml:space="preserve"> Development </w:t>
      </w:r>
      <w:r w:rsidR="002C4EB4">
        <w:rPr>
          <w:rFonts w:ascii="Arial" w:hAnsi="Arial" w:cs="Arial"/>
          <w:sz w:val="24"/>
          <w:szCs w:val="24"/>
        </w:rPr>
        <w:t>Officer,</w:t>
      </w:r>
      <w:r>
        <w:rPr>
          <w:rFonts w:ascii="Arial" w:hAnsi="Arial" w:cs="Arial"/>
          <w:sz w:val="24"/>
          <w:szCs w:val="24"/>
        </w:rPr>
        <w:t xml:space="preserve"> I would sit in level one of the </w:t>
      </w:r>
      <w:proofErr w:type="gramStart"/>
      <w:r>
        <w:rPr>
          <w:rFonts w:ascii="Arial" w:hAnsi="Arial" w:cs="Arial"/>
          <w:sz w:val="24"/>
          <w:szCs w:val="24"/>
        </w:rPr>
        <w:t>model</w:t>
      </w:r>
      <w:proofErr w:type="gramEnd"/>
      <w:r>
        <w:rPr>
          <w:rFonts w:ascii="Arial" w:hAnsi="Arial" w:cs="Arial"/>
          <w:sz w:val="24"/>
          <w:szCs w:val="24"/>
        </w:rPr>
        <w:t xml:space="preserve"> which works with young people whose needs are met. However, there are times where myself and my staff identify some issues </w:t>
      </w:r>
      <w:r w:rsidR="00BA4089">
        <w:rPr>
          <w:rFonts w:ascii="Arial" w:hAnsi="Arial" w:cs="Arial"/>
          <w:sz w:val="24"/>
          <w:szCs w:val="24"/>
        </w:rPr>
        <w:t>with individual young people where we may have to signpost or refer them to specialist services such as drug / alcohol workers, mental health workers or in some cases directly to social services.</w:t>
      </w:r>
      <w:r w:rsidR="002C4EB4">
        <w:rPr>
          <w:rFonts w:ascii="Arial" w:hAnsi="Arial" w:cs="Arial"/>
          <w:sz w:val="24"/>
          <w:szCs w:val="24"/>
        </w:rPr>
        <w:t xml:space="preserve"> Within the needs of levels two and three, this would be independent work via support organisations to address certain problems such as drug abuse, mental health issues. Level four intervention would be high risk social services cases.</w:t>
      </w:r>
    </w:p>
    <w:p w14:paraId="62B9E31E" w14:textId="071DD827" w:rsidR="0069305C" w:rsidRDefault="00AA6B86" w:rsidP="00E94411">
      <w:pPr>
        <w:shd w:val="clear" w:color="auto" w:fill="FFFFFF"/>
        <w:spacing w:after="120" w:line="360" w:lineRule="auto"/>
        <w:rPr>
          <w:rFonts w:ascii="Arial" w:eastAsia="Times New Roman" w:hAnsi="Arial" w:cs="Arial"/>
          <w:sz w:val="24"/>
          <w:szCs w:val="24"/>
          <w:lang w:eastAsia="en-GB"/>
        </w:rPr>
      </w:pPr>
      <w:r w:rsidRPr="00E94411">
        <w:rPr>
          <w:rFonts w:ascii="Arial" w:hAnsi="Arial" w:cs="Arial"/>
          <w:sz w:val="24"/>
          <w:szCs w:val="24"/>
        </w:rPr>
        <w:t>A strategy developed by the Welsh Government</w:t>
      </w:r>
      <w:r w:rsidR="00FE7D91" w:rsidRPr="00E94411">
        <w:rPr>
          <w:rFonts w:ascii="Arial" w:hAnsi="Arial" w:cs="Arial"/>
          <w:sz w:val="24"/>
          <w:szCs w:val="24"/>
        </w:rPr>
        <w:t xml:space="preserve"> focusing on mental health and wellbeing in Wales </w:t>
      </w:r>
      <w:r w:rsidR="00BD4AE5" w:rsidRPr="00E94411">
        <w:rPr>
          <w:rFonts w:ascii="Arial" w:hAnsi="Arial" w:cs="Arial"/>
          <w:sz w:val="24"/>
          <w:szCs w:val="24"/>
        </w:rPr>
        <w:t xml:space="preserve">has been put in place for a </w:t>
      </w:r>
      <w:r w:rsidR="00E94411" w:rsidRPr="00E94411">
        <w:rPr>
          <w:rFonts w:ascii="Arial" w:hAnsi="Arial" w:cs="Arial"/>
          <w:sz w:val="24"/>
          <w:szCs w:val="24"/>
        </w:rPr>
        <w:t>ten-year</w:t>
      </w:r>
      <w:r w:rsidR="00BD4AE5" w:rsidRPr="00E94411">
        <w:rPr>
          <w:rFonts w:ascii="Arial" w:hAnsi="Arial" w:cs="Arial"/>
          <w:sz w:val="24"/>
          <w:szCs w:val="24"/>
        </w:rPr>
        <w:t xml:space="preserve"> period. The aim of this strategy according to </w:t>
      </w:r>
      <w:r w:rsidR="003A6E03">
        <w:rPr>
          <w:rFonts w:ascii="Arial" w:hAnsi="Arial" w:cs="Arial"/>
          <w:sz w:val="24"/>
          <w:szCs w:val="24"/>
        </w:rPr>
        <w:t>W</w:t>
      </w:r>
      <w:r w:rsidR="00BD4AE5" w:rsidRPr="00E94411">
        <w:rPr>
          <w:rFonts w:ascii="Arial" w:hAnsi="Arial" w:cs="Arial"/>
          <w:sz w:val="24"/>
          <w:szCs w:val="24"/>
        </w:rPr>
        <w:t xml:space="preserve">elsh </w:t>
      </w:r>
      <w:r w:rsidR="003A6E03">
        <w:rPr>
          <w:rFonts w:ascii="Arial" w:hAnsi="Arial" w:cs="Arial"/>
          <w:sz w:val="24"/>
          <w:szCs w:val="24"/>
        </w:rPr>
        <w:t>G</w:t>
      </w:r>
      <w:r w:rsidR="00BD4AE5" w:rsidRPr="00E94411">
        <w:rPr>
          <w:rFonts w:ascii="Arial" w:hAnsi="Arial" w:cs="Arial"/>
          <w:sz w:val="24"/>
          <w:szCs w:val="24"/>
        </w:rPr>
        <w:t xml:space="preserve">overnment (2018) is to </w:t>
      </w:r>
      <w:r w:rsidR="00A56183" w:rsidRPr="00E94411">
        <w:rPr>
          <w:rFonts w:ascii="Arial" w:eastAsia="Times New Roman" w:hAnsi="Arial" w:cs="Arial"/>
          <w:sz w:val="24"/>
          <w:szCs w:val="24"/>
          <w:lang w:eastAsia="en-GB"/>
        </w:rPr>
        <w:t>promote</w:t>
      </w:r>
      <w:r w:rsidR="00E94411" w:rsidRPr="00E94411">
        <w:rPr>
          <w:rFonts w:ascii="Arial" w:eastAsia="Times New Roman" w:hAnsi="Arial" w:cs="Arial"/>
          <w:sz w:val="24"/>
          <w:szCs w:val="24"/>
          <w:lang w:eastAsia="en-GB"/>
        </w:rPr>
        <w:t xml:space="preserve"> mental wellbeing and, where possible, preventing mental health problems as well as delivering a well-designed, fully integrated network of care. This will be based on the recovery and enablement of service users in order to live as fulfilled and independent a life as possible.</w:t>
      </w:r>
      <w:r w:rsidR="00A54E5B">
        <w:rPr>
          <w:rFonts w:ascii="Arial" w:eastAsia="Times New Roman" w:hAnsi="Arial" w:cs="Arial"/>
          <w:sz w:val="24"/>
          <w:szCs w:val="24"/>
          <w:lang w:eastAsia="en-GB"/>
        </w:rPr>
        <w:t xml:space="preserve"> Again, in Wales it is being identified that Mental Health is a prominent issue </w:t>
      </w:r>
      <w:r w:rsidR="00383CEC">
        <w:rPr>
          <w:rFonts w:ascii="Arial" w:eastAsia="Times New Roman" w:hAnsi="Arial" w:cs="Arial"/>
          <w:sz w:val="24"/>
          <w:szCs w:val="24"/>
          <w:lang w:eastAsia="en-GB"/>
        </w:rPr>
        <w:t xml:space="preserve">that effects all aspects of a young </w:t>
      </w:r>
      <w:r w:rsidR="00B11FAF">
        <w:rPr>
          <w:rFonts w:ascii="Arial" w:eastAsia="Times New Roman" w:hAnsi="Arial" w:cs="Arial"/>
          <w:sz w:val="24"/>
          <w:szCs w:val="24"/>
          <w:lang w:eastAsia="en-GB"/>
        </w:rPr>
        <w:t>person’s</w:t>
      </w:r>
      <w:r w:rsidR="00383CEC">
        <w:rPr>
          <w:rFonts w:ascii="Arial" w:eastAsia="Times New Roman" w:hAnsi="Arial" w:cs="Arial"/>
          <w:sz w:val="24"/>
          <w:szCs w:val="24"/>
          <w:lang w:eastAsia="en-GB"/>
        </w:rPr>
        <w:t xml:space="preserve"> life from education, relationships with peers and families.</w:t>
      </w:r>
      <w:r w:rsidR="0069305C">
        <w:rPr>
          <w:rFonts w:ascii="Arial" w:eastAsia="Times New Roman" w:hAnsi="Arial" w:cs="Arial"/>
          <w:sz w:val="24"/>
          <w:szCs w:val="24"/>
          <w:lang w:eastAsia="en-GB"/>
        </w:rPr>
        <w:t xml:space="preserve"> Musgrave (2017, </w:t>
      </w:r>
      <w:r w:rsidR="00D07DBF">
        <w:rPr>
          <w:rFonts w:ascii="Arial" w:eastAsia="Times New Roman" w:hAnsi="Arial" w:cs="Arial"/>
          <w:sz w:val="24"/>
          <w:szCs w:val="24"/>
          <w:lang w:eastAsia="en-GB"/>
        </w:rPr>
        <w:t>pg.</w:t>
      </w:r>
      <w:r w:rsidR="0069305C">
        <w:rPr>
          <w:rFonts w:ascii="Arial" w:eastAsia="Times New Roman" w:hAnsi="Arial" w:cs="Arial"/>
          <w:sz w:val="24"/>
          <w:szCs w:val="24"/>
          <w:lang w:eastAsia="en-GB"/>
        </w:rPr>
        <w:t xml:space="preserve"> 80) states “Early childhood should be a time for firm foundations to be built for future good mental health and wellbeing, and for </w:t>
      </w:r>
      <w:r w:rsidR="0069305C">
        <w:rPr>
          <w:rFonts w:ascii="Arial" w:eastAsia="Times New Roman" w:hAnsi="Arial" w:cs="Arial"/>
          <w:sz w:val="24"/>
          <w:szCs w:val="24"/>
          <w:lang w:eastAsia="en-GB"/>
        </w:rPr>
        <w:lastRenderedPageBreak/>
        <w:t>the majority, this happens successfully. However, some children find the periods of growth and change through the life stages difficult”.</w:t>
      </w:r>
    </w:p>
    <w:p w14:paraId="1FA67E1B" w14:textId="7E822B09" w:rsidR="000A7CC0" w:rsidRDefault="00C544D3" w:rsidP="00E94411">
      <w:pPr>
        <w:shd w:val="clear" w:color="auto" w:fill="FFFFFF"/>
        <w:spacing w:after="120" w:line="360" w:lineRule="auto"/>
        <w:rPr>
          <w:rFonts w:ascii="Arial" w:hAnsi="Arial" w:cs="Arial"/>
          <w:sz w:val="24"/>
          <w:szCs w:val="24"/>
        </w:rPr>
      </w:pPr>
      <w:r>
        <w:rPr>
          <w:rFonts w:ascii="Arial" w:eastAsia="Times New Roman" w:hAnsi="Arial" w:cs="Arial"/>
          <w:sz w:val="24"/>
          <w:szCs w:val="24"/>
          <w:lang w:eastAsia="en-GB"/>
        </w:rPr>
        <w:t>Finally, within Wales, a</w:t>
      </w:r>
      <w:r w:rsidR="000A7CC0">
        <w:rPr>
          <w:rFonts w:ascii="Arial" w:eastAsia="Times New Roman" w:hAnsi="Arial" w:cs="Arial"/>
          <w:sz w:val="24"/>
          <w:szCs w:val="24"/>
          <w:lang w:eastAsia="en-GB"/>
        </w:rPr>
        <w:t xml:space="preserve">nother plan devised by the </w:t>
      </w:r>
      <w:r>
        <w:rPr>
          <w:rFonts w:ascii="Arial" w:eastAsia="Times New Roman" w:hAnsi="Arial" w:cs="Arial"/>
          <w:sz w:val="24"/>
          <w:szCs w:val="24"/>
          <w:lang w:eastAsia="en-GB"/>
        </w:rPr>
        <w:t>W</w:t>
      </w:r>
      <w:r w:rsidR="000A7CC0">
        <w:rPr>
          <w:rFonts w:ascii="Arial" w:eastAsia="Times New Roman" w:hAnsi="Arial" w:cs="Arial"/>
          <w:sz w:val="24"/>
          <w:szCs w:val="24"/>
          <w:lang w:eastAsia="en-GB"/>
        </w:rPr>
        <w:t xml:space="preserve">elsh </w:t>
      </w:r>
      <w:r>
        <w:rPr>
          <w:rFonts w:ascii="Arial" w:eastAsia="Times New Roman" w:hAnsi="Arial" w:cs="Arial"/>
          <w:sz w:val="24"/>
          <w:szCs w:val="24"/>
          <w:lang w:eastAsia="en-GB"/>
        </w:rPr>
        <w:t>G</w:t>
      </w:r>
      <w:r w:rsidR="000A7CC0">
        <w:rPr>
          <w:rFonts w:ascii="Arial" w:eastAsia="Times New Roman" w:hAnsi="Arial" w:cs="Arial"/>
          <w:sz w:val="24"/>
          <w:szCs w:val="24"/>
          <w:lang w:eastAsia="en-GB"/>
        </w:rPr>
        <w:t xml:space="preserve">overnment is the suicide and </w:t>
      </w:r>
      <w:r>
        <w:rPr>
          <w:rFonts w:ascii="Arial" w:eastAsia="Times New Roman" w:hAnsi="Arial" w:cs="Arial"/>
          <w:sz w:val="24"/>
          <w:szCs w:val="24"/>
          <w:lang w:eastAsia="en-GB"/>
        </w:rPr>
        <w:t>self-harm</w:t>
      </w:r>
      <w:r w:rsidR="000A7CC0">
        <w:rPr>
          <w:rFonts w:ascii="Arial" w:eastAsia="Times New Roman" w:hAnsi="Arial" w:cs="Arial"/>
          <w:sz w:val="24"/>
          <w:szCs w:val="24"/>
          <w:lang w:eastAsia="en-GB"/>
        </w:rPr>
        <w:t xml:space="preserve"> strategy. This overlooks the increasing rate of </w:t>
      </w:r>
      <w:r w:rsidR="00F25C60">
        <w:rPr>
          <w:rFonts w:ascii="Arial" w:eastAsia="Times New Roman" w:hAnsi="Arial" w:cs="Arial"/>
          <w:sz w:val="24"/>
          <w:szCs w:val="24"/>
          <w:lang w:eastAsia="en-GB"/>
        </w:rPr>
        <w:t xml:space="preserve">individual young people who may have or may be considering these options. </w:t>
      </w:r>
      <w:r>
        <w:rPr>
          <w:rFonts w:ascii="Arial" w:eastAsia="Times New Roman" w:hAnsi="Arial" w:cs="Arial"/>
          <w:sz w:val="24"/>
          <w:szCs w:val="24"/>
          <w:lang w:eastAsia="en-GB"/>
        </w:rPr>
        <w:t>According to the Talk 2 Me Suicide and Self Harm Prevention Strategy (201</w:t>
      </w:r>
      <w:r w:rsidR="00237EDC">
        <w:rPr>
          <w:rFonts w:ascii="Arial" w:eastAsia="Times New Roman" w:hAnsi="Arial" w:cs="Arial"/>
          <w:sz w:val="24"/>
          <w:szCs w:val="24"/>
          <w:lang w:eastAsia="en-GB"/>
        </w:rPr>
        <w:t>5)</w:t>
      </w:r>
      <w:r>
        <w:rPr>
          <w:rFonts w:ascii="Arial" w:eastAsia="Times New Roman" w:hAnsi="Arial" w:cs="Arial"/>
          <w:sz w:val="24"/>
          <w:szCs w:val="24"/>
          <w:lang w:eastAsia="en-GB"/>
        </w:rPr>
        <w:t xml:space="preserve"> which says that “</w:t>
      </w:r>
      <w:r w:rsidRPr="00C544D3">
        <w:rPr>
          <w:rFonts w:ascii="Arial" w:hAnsi="Arial" w:cs="Arial"/>
          <w:sz w:val="24"/>
          <w:szCs w:val="24"/>
        </w:rPr>
        <w:t>Suicide is a major cause of death amongst the 15 to 44 age group. In Wales over the period 2010 – 2012 it accounted for almost one in five deaths in males aged 15 to 24 years and just over one in ten deaths amongst women of that age</w:t>
      </w:r>
      <w:r>
        <w:rPr>
          <w:rFonts w:ascii="Arial" w:hAnsi="Arial" w:cs="Arial"/>
          <w:sz w:val="24"/>
          <w:szCs w:val="24"/>
        </w:rPr>
        <w:t>”.</w:t>
      </w:r>
    </w:p>
    <w:p w14:paraId="5A2A500A" w14:textId="3E826915" w:rsidR="0021660B" w:rsidRDefault="00604E00" w:rsidP="0021660B">
      <w:pPr>
        <w:shd w:val="clear" w:color="auto" w:fill="FFFFFF"/>
        <w:spacing w:after="120" w:line="360" w:lineRule="auto"/>
        <w:rPr>
          <w:rFonts w:ascii="Arial" w:eastAsia="Times New Roman" w:hAnsi="Arial" w:cs="Arial"/>
          <w:bCs/>
          <w:sz w:val="24"/>
          <w:szCs w:val="21"/>
          <w:lang w:eastAsia="en-GB"/>
        </w:rPr>
      </w:pPr>
      <w:r>
        <w:rPr>
          <w:rFonts w:ascii="Arial" w:hAnsi="Arial" w:cs="Arial"/>
          <w:sz w:val="24"/>
          <w:szCs w:val="24"/>
        </w:rPr>
        <w:t>Finally, I am going to look at how the discussion above fits into the world o</w:t>
      </w:r>
      <w:r w:rsidR="003F7896">
        <w:rPr>
          <w:rFonts w:ascii="Arial" w:hAnsi="Arial" w:cs="Arial"/>
          <w:sz w:val="24"/>
          <w:szCs w:val="24"/>
        </w:rPr>
        <w:t>n a global scale</w:t>
      </w:r>
      <w:r w:rsidR="00072ACD">
        <w:rPr>
          <w:rFonts w:ascii="Arial" w:hAnsi="Arial" w:cs="Arial"/>
          <w:sz w:val="24"/>
          <w:szCs w:val="24"/>
        </w:rPr>
        <w:t>. T</w:t>
      </w:r>
      <w:r w:rsidR="003F7896">
        <w:rPr>
          <w:rFonts w:ascii="Arial" w:hAnsi="Arial" w:cs="Arial"/>
          <w:sz w:val="24"/>
          <w:szCs w:val="24"/>
        </w:rPr>
        <w:t xml:space="preserve">he Bill and Melinda Gates Foundation invests resources into </w:t>
      </w:r>
      <w:r w:rsidR="00B96B3D">
        <w:rPr>
          <w:rFonts w:ascii="Arial" w:hAnsi="Arial" w:cs="Arial"/>
          <w:sz w:val="24"/>
          <w:szCs w:val="24"/>
        </w:rPr>
        <w:t xml:space="preserve">supporting children and young people of third world countries to develop and be allowed the same opportunities that young people in a western world would have. Their foundations aim state </w:t>
      </w:r>
      <w:r w:rsidR="00B96B3D" w:rsidRPr="00B75B46">
        <w:rPr>
          <w:rFonts w:ascii="Arial" w:hAnsi="Arial" w:cs="Arial"/>
          <w:sz w:val="24"/>
          <w:szCs w:val="24"/>
        </w:rPr>
        <w:t>“</w:t>
      </w:r>
      <w:r w:rsidR="00B96B3D" w:rsidRPr="00B75B46">
        <w:rPr>
          <w:rFonts w:ascii="Arial" w:hAnsi="Arial" w:cs="Arial"/>
          <w:sz w:val="24"/>
          <w:szCs w:val="24"/>
          <w:shd w:val="clear" w:color="auto" w:fill="F1EFEC"/>
        </w:rPr>
        <w:t>We work with partners worldwide to tackle critical problems in five program areas. Our Global Health Division aims to reduce inequities in health by developing new tools and strategies to reduce the burden of infectious disease and the leading causes of child mortality in developing countries</w:t>
      </w:r>
      <w:r w:rsidR="00B96B3D" w:rsidRPr="00B75B46">
        <w:rPr>
          <w:rFonts w:ascii="Arial" w:hAnsi="Arial" w:cs="Arial"/>
          <w:sz w:val="24"/>
          <w:szCs w:val="24"/>
          <w:shd w:val="clear" w:color="auto" w:fill="F1EFEC"/>
        </w:rPr>
        <w:t>”.</w:t>
      </w:r>
      <w:r w:rsidR="0021660B" w:rsidRPr="00B75B46">
        <w:rPr>
          <w:rFonts w:ascii="Arial" w:hAnsi="Arial" w:cs="Arial"/>
          <w:sz w:val="24"/>
          <w:szCs w:val="24"/>
          <w:shd w:val="clear" w:color="auto" w:fill="F1EFEC"/>
        </w:rPr>
        <w:t xml:space="preserve"> Similarly there is the Movement for Global Mental Health (MGMH) which according to their website </w:t>
      </w:r>
      <w:r w:rsidR="0021660B" w:rsidRPr="0021660B">
        <w:rPr>
          <w:rFonts w:ascii="Arial" w:eastAsia="Times New Roman" w:hAnsi="Arial" w:cs="Arial"/>
          <w:bCs/>
          <w:sz w:val="24"/>
          <w:szCs w:val="21"/>
          <w:lang w:eastAsia="en-GB"/>
        </w:rPr>
        <w:t>The Movement for Global Mental Health is a virtual network of individuals and organisations that aim to improve services for people living with mental health problems and psychosocial disabilities worldwide, especially in low- and middle-income countries (LMIC) where effective services are often scarce.</w:t>
      </w:r>
    </w:p>
    <w:p w14:paraId="1DD8E8F6" w14:textId="77777777" w:rsidR="00C35F59" w:rsidRDefault="00C35F59" w:rsidP="007F2856">
      <w:pPr>
        <w:spacing w:line="360" w:lineRule="auto"/>
        <w:rPr>
          <w:rFonts w:ascii="Arial" w:hAnsi="Arial" w:cs="Arial"/>
          <w:sz w:val="24"/>
          <w:szCs w:val="24"/>
        </w:rPr>
      </w:pPr>
    </w:p>
    <w:p w14:paraId="15593DE0" w14:textId="224A778C" w:rsidR="00530015" w:rsidRDefault="00530015" w:rsidP="007F2856">
      <w:pPr>
        <w:spacing w:line="360" w:lineRule="auto"/>
        <w:rPr>
          <w:rFonts w:ascii="Arial" w:hAnsi="Arial" w:cs="Arial"/>
          <w:sz w:val="24"/>
          <w:szCs w:val="24"/>
        </w:rPr>
      </w:pPr>
      <w:r>
        <w:rPr>
          <w:rFonts w:ascii="Arial" w:hAnsi="Arial" w:cs="Arial"/>
          <w:sz w:val="24"/>
          <w:szCs w:val="24"/>
        </w:rPr>
        <w:t>Conclusion</w:t>
      </w:r>
    </w:p>
    <w:p w14:paraId="7D194AE6" w14:textId="783EC8AF" w:rsidR="00732B1D" w:rsidRDefault="00530015" w:rsidP="007F2856">
      <w:pPr>
        <w:spacing w:line="360" w:lineRule="auto"/>
        <w:rPr>
          <w:rFonts w:ascii="Arial" w:hAnsi="Arial" w:cs="Arial"/>
          <w:sz w:val="24"/>
          <w:szCs w:val="24"/>
        </w:rPr>
      </w:pPr>
      <w:r>
        <w:rPr>
          <w:rFonts w:ascii="Arial" w:hAnsi="Arial" w:cs="Arial"/>
          <w:sz w:val="24"/>
          <w:szCs w:val="24"/>
        </w:rPr>
        <w:t xml:space="preserve">In order to conclude this piece of work, </w:t>
      </w:r>
      <w:r w:rsidR="0061648F">
        <w:rPr>
          <w:rFonts w:ascii="Arial" w:hAnsi="Arial" w:cs="Arial"/>
          <w:sz w:val="24"/>
          <w:szCs w:val="24"/>
        </w:rPr>
        <w:t>I have explored evidence for which education in Wales prepares children and young people for a good life by exploring the PSHE framework which is a part of school’s curriculum. I have also explored health inequalities that are posed through the fault of the school such as the exclusion of pupils leading them to access education other than at school (EOTAS).</w:t>
      </w:r>
      <w:r w:rsidR="00DC173C">
        <w:rPr>
          <w:rFonts w:ascii="Arial" w:hAnsi="Arial" w:cs="Arial"/>
          <w:sz w:val="24"/>
          <w:szCs w:val="24"/>
        </w:rPr>
        <w:t xml:space="preserve"> I have made relevant links to local policies, frameworks and legislation and explored what programmes and initiatives are in place globally that can link to the work that is being done throughout Wales.</w:t>
      </w:r>
    </w:p>
    <w:p w14:paraId="17FE70E5" w14:textId="5BF9114B" w:rsidR="00530015" w:rsidRDefault="00530015" w:rsidP="007F2856">
      <w:pPr>
        <w:spacing w:line="360" w:lineRule="auto"/>
        <w:rPr>
          <w:rFonts w:ascii="Arial" w:hAnsi="Arial" w:cs="Arial"/>
          <w:sz w:val="24"/>
          <w:szCs w:val="24"/>
        </w:rPr>
      </w:pPr>
      <w:r>
        <w:rPr>
          <w:rFonts w:ascii="Arial" w:hAnsi="Arial" w:cs="Arial"/>
          <w:sz w:val="24"/>
          <w:szCs w:val="24"/>
        </w:rPr>
        <w:lastRenderedPageBreak/>
        <w:t>I believe that education in Wales does to an extent, prepare young people to lead a good life. However, there are still some barriers that the curriculum within education doesn’t adhere too. For example, education doesn’t prepare young people for the outside world when they get older. Education doesn’t teach young people how to best manage their finances, teach them to avoid debt, explain what is meant by mortgages and loans. Instead, the curriculum offers the alternative of algebra and finding the square root of pie. Education doesn’t explore what is meant for young people to have relationships and fall in love, it teaches them about what sex and relationships are, but doesn’t prepare them for the emotions and feelings that come attached to which ultimately could lead too mental health issues or other implications later on in life.</w:t>
      </w:r>
    </w:p>
    <w:p w14:paraId="6C6B9D18" w14:textId="7FA6E44F" w:rsidR="001F51FA" w:rsidRDefault="001F51FA" w:rsidP="007F2856">
      <w:pPr>
        <w:spacing w:line="360" w:lineRule="auto"/>
        <w:rPr>
          <w:rFonts w:ascii="Arial" w:hAnsi="Arial" w:cs="Arial"/>
          <w:sz w:val="24"/>
          <w:szCs w:val="24"/>
        </w:rPr>
      </w:pPr>
      <w:r>
        <w:rPr>
          <w:rFonts w:ascii="Arial" w:hAnsi="Arial" w:cs="Arial"/>
          <w:sz w:val="24"/>
          <w:szCs w:val="24"/>
        </w:rPr>
        <w:t>However, in light of education providing only the stepping stones for strengthening the quality of life, governments do have a main end goal that they wish to reach via the publication of the Wellbeing of Future Generations Act 2014</w:t>
      </w:r>
      <w:r w:rsidR="00B7116F">
        <w:rPr>
          <w:rFonts w:ascii="Arial" w:hAnsi="Arial" w:cs="Arial"/>
          <w:sz w:val="24"/>
          <w:szCs w:val="24"/>
        </w:rPr>
        <w:t xml:space="preserve"> which outlines several wellbeing goals that the Welsh Government believe will make people happier and Wales a more prosperous place to live.</w:t>
      </w:r>
      <w:r w:rsidR="00A2609D">
        <w:rPr>
          <w:rFonts w:ascii="Arial" w:hAnsi="Arial" w:cs="Arial"/>
          <w:sz w:val="24"/>
          <w:szCs w:val="24"/>
        </w:rPr>
        <w:t xml:space="preserve"> I personally don’t believe that any of these goals will ever be met as young people are in a society where technology is at the top of their priorities and not creating a better Wales or a better life for themselves.</w:t>
      </w:r>
    </w:p>
    <w:p w14:paraId="4091AEB9" w14:textId="5FA870B7" w:rsidR="00732B1D" w:rsidRDefault="00732B1D" w:rsidP="007F2856">
      <w:pPr>
        <w:spacing w:line="360" w:lineRule="auto"/>
        <w:rPr>
          <w:rFonts w:ascii="Arial" w:hAnsi="Arial" w:cs="Arial"/>
          <w:sz w:val="24"/>
          <w:szCs w:val="24"/>
        </w:rPr>
      </w:pPr>
      <w:r>
        <w:rPr>
          <w:rFonts w:ascii="Arial" w:hAnsi="Arial" w:cs="Arial"/>
          <w:sz w:val="24"/>
          <w:szCs w:val="24"/>
        </w:rPr>
        <w:t>In terms of preparing children and young people for the world outside Wales, I think that education fails young people in this area. Young people need to become more globally aware of what’s happening in the world and the only way they can become more globally aware is through education, whether it’s in a formal or informal setting.</w:t>
      </w:r>
    </w:p>
    <w:p w14:paraId="553CCCFD" w14:textId="77777777" w:rsidR="00051927" w:rsidRPr="00051927" w:rsidRDefault="00051927" w:rsidP="00051927">
      <w:pPr>
        <w:spacing w:line="360" w:lineRule="auto"/>
        <w:rPr>
          <w:rFonts w:ascii="Arial" w:hAnsi="Arial" w:cs="Arial"/>
          <w:sz w:val="24"/>
          <w:szCs w:val="24"/>
        </w:rPr>
      </w:pPr>
    </w:p>
    <w:p w14:paraId="1637589A" w14:textId="77777777" w:rsidR="004F7782" w:rsidRDefault="004F7782" w:rsidP="007F2856">
      <w:pPr>
        <w:spacing w:line="360" w:lineRule="auto"/>
        <w:rPr>
          <w:rFonts w:ascii="Arial" w:hAnsi="Arial" w:cs="Arial"/>
          <w:sz w:val="24"/>
          <w:szCs w:val="24"/>
        </w:rPr>
      </w:pPr>
    </w:p>
    <w:p w14:paraId="09321801" w14:textId="61CFA552" w:rsidR="00410E1A" w:rsidRDefault="00410E1A" w:rsidP="007F2856">
      <w:pPr>
        <w:spacing w:line="360" w:lineRule="auto"/>
        <w:rPr>
          <w:rFonts w:ascii="Arial" w:hAnsi="Arial" w:cs="Arial"/>
          <w:sz w:val="24"/>
          <w:szCs w:val="24"/>
        </w:rPr>
      </w:pPr>
    </w:p>
    <w:p w14:paraId="76061526" w14:textId="77777777" w:rsidR="00410E1A" w:rsidRPr="007F2856" w:rsidRDefault="00410E1A" w:rsidP="007F2856">
      <w:pPr>
        <w:spacing w:line="360" w:lineRule="auto"/>
        <w:rPr>
          <w:rFonts w:ascii="Arial" w:hAnsi="Arial" w:cs="Arial"/>
          <w:sz w:val="24"/>
          <w:szCs w:val="24"/>
        </w:rPr>
      </w:pPr>
    </w:p>
    <w:p w14:paraId="3ACE3097" w14:textId="2348E8EF" w:rsidR="00817BBD" w:rsidRPr="007F2856" w:rsidRDefault="00817BBD" w:rsidP="007F2856">
      <w:pPr>
        <w:spacing w:line="360" w:lineRule="auto"/>
        <w:rPr>
          <w:rFonts w:ascii="Arial" w:hAnsi="Arial" w:cs="Arial"/>
          <w:sz w:val="24"/>
          <w:szCs w:val="24"/>
        </w:rPr>
      </w:pPr>
    </w:p>
    <w:p w14:paraId="3F1CDDD5" w14:textId="51771962" w:rsidR="00817BBD" w:rsidRDefault="00817BBD"/>
    <w:p w14:paraId="0495DE5F" w14:textId="77777777" w:rsidR="009A67BE" w:rsidRDefault="009A67BE">
      <w:r>
        <w:br w:type="page"/>
      </w:r>
    </w:p>
    <w:p w14:paraId="04808C07" w14:textId="26FCC3BE" w:rsidR="00DC03FF" w:rsidRDefault="00E04B97">
      <w:pPr>
        <w:rPr>
          <w:u w:val="single"/>
        </w:rPr>
      </w:pPr>
      <w:r w:rsidRPr="00E04B97">
        <w:rPr>
          <w:u w:val="single"/>
        </w:rPr>
        <w:lastRenderedPageBreak/>
        <w:t>Reference List</w:t>
      </w:r>
    </w:p>
    <w:p w14:paraId="49EE2405" w14:textId="3B6B23AC" w:rsidR="001344A1" w:rsidRPr="001344A1" w:rsidRDefault="001344A1">
      <w:r w:rsidRPr="001344A1">
        <w:t>Booth, T (2011) Index for Inclusion, Bristol, Centre for Studies on Inclusive Education</w:t>
      </w:r>
    </w:p>
    <w:p w14:paraId="42B37B34" w14:textId="07FB944C" w:rsidR="00AA61B7" w:rsidRDefault="00AA61B7">
      <w:pPr>
        <w:rPr>
          <w:rStyle w:val="Hyperlink"/>
        </w:rPr>
      </w:pPr>
      <w:r>
        <w:t xml:space="preserve">Brown et al (2011) </w:t>
      </w:r>
      <w:r w:rsidRPr="00AA61B7">
        <w:rPr>
          <w:sz w:val="24"/>
          <w:szCs w:val="24"/>
        </w:rPr>
        <w:t>Pastoral Care in Education Vol. 29, No. 2, June 2011, pp. 117–131</w:t>
      </w:r>
      <w:r>
        <w:rPr>
          <w:sz w:val="24"/>
          <w:szCs w:val="24"/>
        </w:rPr>
        <w:t xml:space="preserve">, Available at: </w:t>
      </w:r>
      <w:hyperlink r:id="rId11" w:history="1">
        <w:r>
          <w:rPr>
            <w:rStyle w:val="Hyperlink"/>
          </w:rPr>
          <w:t>https://moodle.uwtsd.ac.uk/pluginfile.php/241049/mod_resource/content/1/School%20ethos%20and%20personal%2C%20social%20and%20health%20education.pdf</w:t>
        </w:r>
      </w:hyperlink>
    </w:p>
    <w:p w14:paraId="5974CA26" w14:textId="547811AD" w:rsidR="00C472C0" w:rsidRPr="00C472C0" w:rsidRDefault="00C472C0">
      <w:pPr>
        <w:rPr>
          <w:rStyle w:val="Hyperlink"/>
          <w:color w:val="auto"/>
          <w:u w:val="none"/>
        </w:rPr>
      </w:pPr>
      <w:r w:rsidRPr="00C472C0">
        <w:rPr>
          <w:rStyle w:val="Hyperlink"/>
          <w:color w:val="auto"/>
          <w:u w:val="none"/>
        </w:rPr>
        <w:t>Deer, R (2001) Principles and Practice of Informal Education, Oxon, Routledge Falmer.</w:t>
      </w:r>
    </w:p>
    <w:p w14:paraId="423FA9E2" w14:textId="6663C47E" w:rsidR="00514F49" w:rsidRDefault="00451014">
      <w:pPr>
        <w:rPr>
          <w:rStyle w:val="Hyperlink"/>
          <w:color w:val="auto"/>
          <w:u w:val="none"/>
        </w:rPr>
      </w:pPr>
      <w:proofErr w:type="spellStart"/>
      <w:r w:rsidRPr="00451014">
        <w:rPr>
          <w:rStyle w:val="Hyperlink"/>
          <w:color w:val="auto"/>
          <w:u w:val="none"/>
        </w:rPr>
        <w:t>Gellard</w:t>
      </w:r>
      <w:proofErr w:type="spellEnd"/>
      <w:r w:rsidRPr="00451014">
        <w:rPr>
          <w:rStyle w:val="Hyperlink"/>
          <w:color w:val="auto"/>
          <w:u w:val="none"/>
        </w:rPr>
        <w:t xml:space="preserve"> et al (2016) Counselling Adolescents, London, SAGE Publications Ltd.</w:t>
      </w:r>
    </w:p>
    <w:p w14:paraId="1912FC9D" w14:textId="1C75FFE0" w:rsidR="000C6870" w:rsidRDefault="000C6870">
      <w:pPr>
        <w:rPr>
          <w:rStyle w:val="Hyperlink"/>
          <w:color w:val="auto"/>
          <w:u w:val="none"/>
        </w:rPr>
      </w:pPr>
      <w:r>
        <w:rPr>
          <w:rStyle w:val="Hyperlink"/>
          <w:color w:val="auto"/>
          <w:u w:val="none"/>
        </w:rPr>
        <w:t xml:space="preserve">Illich, I (1972) </w:t>
      </w:r>
      <w:proofErr w:type="spellStart"/>
      <w:r>
        <w:rPr>
          <w:rStyle w:val="Hyperlink"/>
          <w:color w:val="auto"/>
          <w:u w:val="none"/>
        </w:rPr>
        <w:t>Deschooling</w:t>
      </w:r>
      <w:proofErr w:type="spellEnd"/>
      <w:r>
        <w:rPr>
          <w:rStyle w:val="Hyperlink"/>
          <w:color w:val="auto"/>
          <w:u w:val="none"/>
        </w:rPr>
        <w:t xml:space="preserve"> Society, London, Marion Boyars Publishers Ltd.</w:t>
      </w:r>
    </w:p>
    <w:p w14:paraId="75E5EFA4" w14:textId="36F9F709" w:rsidR="00514F49" w:rsidRPr="00451014" w:rsidRDefault="00514F49">
      <w:r>
        <w:rPr>
          <w:rStyle w:val="Hyperlink"/>
          <w:color w:val="auto"/>
          <w:u w:val="none"/>
        </w:rPr>
        <w:t>Knowles, G (2011) Supporting Inclusive Practice, Oxon, Routledge.</w:t>
      </w:r>
      <w:bookmarkStart w:id="0" w:name="_GoBack"/>
      <w:bookmarkEnd w:id="0"/>
    </w:p>
    <w:p w14:paraId="4E85645A" w14:textId="68290726" w:rsidR="001C169D" w:rsidRDefault="001C169D">
      <w:r w:rsidRPr="0046506F">
        <w:t>Maslow (1943) Maslow’s Hierarchy of Basic Human Needs</w:t>
      </w:r>
    </w:p>
    <w:p w14:paraId="09042DE0" w14:textId="047E35FE" w:rsidR="00B374ED" w:rsidRDefault="00B374ED">
      <w:r>
        <w:t>Movement for Global Mental Health (2017) About the movement, Available at:</w:t>
      </w:r>
      <w:r w:rsidRPr="00B374ED">
        <w:t xml:space="preserve"> </w:t>
      </w:r>
      <w:hyperlink r:id="rId12" w:history="1">
        <w:r>
          <w:rPr>
            <w:rStyle w:val="Hyperlink"/>
          </w:rPr>
          <w:t>http://www.globalmentalhealth.org/about</w:t>
        </w:r>
      </w:hyperlink>
      <w:r>
        <w:t xml:space="preserve"> Accessed: 05/05/2019</w:t>
      </w:r>
    </w:p>
    <w:p w14:paraId="74E2F684" w14:textId="14A32427" w:rsidR="00821FAE" w:rsidRDefault="00821FAE">
      <w:r>
        <w:t>Musgrave, J (2017) Supporting Children’s Health &amp; Wellbeing, London, SAGE Publications Ltd.</w:t>
      </w:r>
    </w:p>
    <w:p w14:paraId="51AEAFE7" w14:textId="4C131476" w:rsidR="00DE4ED2" w:rsidRDefault="00DE4ED2">
      <w:r>
        <w:t>Peer &amp; Reid (2012) Special Educational Needs: A guide for inclusive practice, London, SAGE Publications Ltd.</w:t>
      </w:r>
    </w:p>
    <w:p w14:paraId="1304CEBB" w14:textId="74E39160" w:rsidR="003A0C98" w:rsidRDefault="003A0C98">
      <w:r>
        <w:t xml:space="preserve">Social Care Wales, (2014) Social Services &amp; Wellbeing Act. Available at: </w:t>
      </w:r>
      <w:hyperlink r:id="rId13" w:history="1">
        <w:r>
          <w:rPr>
            <w:rStyle w:val="Hyperlink"/>
          </w:rPr>
          <w:t>https://socialcare.wales/hub/sswbact</w:t>
        </w:r>
      </w:hyperlink>
      <w:r>
        <w:t xml:space="preserve"> Accessed: 03/05/2019</w:t>
      </w:r>
    </w:p>
    <w:p w14:paraId="24BDC104" w14:textId="11330F59" w:rsidR="00160471" w:rsidRDefault="00160471">
      <w:pPr>
        <w:rPr>
          <w:rStyle w:val="Hyperlink"/>
        </w:rPr>
      </w:pPr>
      <w:r>
        <w:t xml:space="preserve">Spurgeon , B (2015) Student perspectives and reflections on specialist PSHE provision in secondary school, available at: </w:t>
      </w:r>
      <w:hyperlink r:id="rId14" w:history="1">
        <w:r>
          <w:rPr>
            <w:rStyle w:val="Hyperlink"/>
          </w:rPr>
          <w:t>https://web-b-ebscohost-com.ezproxy.uwtsd.ac.uk/ehost/pdfviewer/pdfviewer?vid=1&amp;sid=30c9a523-5bae-421b-bdcb-340ee940aa69%40pdc-v-sessmgr06</w:t>
        </w:r>
      </w:hyperlink>
    </w:p>
    <w:p w14:paraId="6EE081D3" w14:textId="080A1460" w:rsidR="0021005B" w:rsidRDefault="0021005B">
      <w:r w:rsidRPr="0021005B">
        <w:rPr>
          <w:rStyle w:val="Hyperlink"/>
          <w:color w:val="auto"/>
          <w:u w:val="none"/>
        </w:rPr>
        <w:t>Stats Wales (2014) Welsh Index of Multiple Deprivation</w:t>
      </w:r>
      <w:r>
        <w:rPr>
          <w:rStyle w:val="Hyperlink"/>
          <w:color w:val="auto"/>
          <w:u w:val="none"/>
        </w:rPr>
        <w:t xml:space="preserve">, Available at: </w:t>
      </w:r>
      <w:hyperlink r:id="rId15" w:history="1">
        <w:r>
          <w:rPr>
            <w:rStyle w:val="Hyperlink"/>
          </w:rPr>
          <w:t>https://statswales.gov.wales/Catalogue/Community-Safety-and-Social-Inclusion/Welsh-Index-of-Multiple-Deprivation/WIMD-2014/wimd2014</w:t>
        </w:r>
      </w:hyperlink>
      <w:r>
        <w:t>, accessed: 03/05/2019</w:t>
      </w:r>
    </w:p>
    <w:p w14:paraId="05BC643F" w14:textId="17FCD98A" w:rsidR="00B60DE4" w:rsidRDefault="00B60DE4">
      <w:r>
        <w:t xml:space="preserve">Swansea Council (2019) Pastoral Support Officer, Available at: </w:t>
      </w:r>
      <w:hyperlink r:id="rId16" w:history="1">
        <w:r>
          <w:rPr>
            <w:rStyle w:val="Hyperlink"/>
          </w:rPr>
          <w:t>https://www.swansea.gov.uk/article/49957/Dylan-Thomas-Community-School-Pastoral-Support-Officer-Nurture</w:t>
        </w:r>
      </w:hyperlink>
      <w:r>
        <w:t xml:space="preserve"> Accessed: 03/05/2019</w:t>
      </w:r>
    </w:p>
    <w:p w14:paraId="5A32394E" w14:textId="36787C13" w:rsidR="00281D9F" w:rsidRDefault="00281D9F">
      <w:r>
        <w:t xml:space="preserve">The Bill &amp; Melinda Gates Foundation (1999) Aims and Objectives, Available at: </w:t>
      </w:r>
      <w:hyperlink r:id="rId17" w:history="1">
        <w:r>
          <w:rPr>
            <w:rStyle w:val="Hyperlink"/>
          </w:rPr>
          <w:t>https://www.gatesfoundation.org/What-We-Do</w:t>
        </w:r>
      </w:hyperlink>
      <w:r>
        <w:t xml:space="preserve"> Accessed: 05/05/2019</w:t>
      </w:r>
    </w:p>
    <w:p w14:paraId="649A93D0" w14:textId="26A3645E" w:rsidR="008E6307" w:rsidRPr="0021005B" w:rsidRDefault="008E6307">
      <w:pPr>
        <w:rPr>
          <w:rStyle w:val="Hyperlink"/>
          <w:color w:val="auto"/>
          <w:u w:val="none"/>
        </w:rPr>
      </w:pPr>
      <w:r>
        <w:t>United Nations (20</w:t>
      </w:r>
      <w:r w:rsidR="00F00593">
        <w:t>02</w:t>
      </w:r>
      <w:r>
        <w:t xml:space="preserve">) Goals for Sustainable Development, Available at: </w:t>
      </w:r>
      <w:hyperlink r:id="rId18" w:history="1">
        <w:r>
          <w:rPr>
            <w:rStyle w:val="Hyperlink"/>
          </w:rPr>
          <w:t>https://www.un.org/sustainabledevelopment/development-agenda/</w:t>
        </w:r>
      </w:hyperlink>
      <w:r>
        <w:t xml:space="preserve"> Accessed: 03/05/2019</w:t>
      </w:r>
    </w:p>
    <w:p w14:paraId="5E76F740" w14:textId="17173D8F" w:rsidR="0021005B" w:rsidRDefault="007A27FB">
      <w:pPr>
        <w:rPr>
          <w:rStyle w:val="Hyperlink"/>
          <w:color w:val="auto"/>
          <w:u w:val="none"/>
        </w:rPr>
      </w:pPr>
      <w:r w:rsidRPr="007A27FB">
        <w:rPr>
          <w:rStyle w:val="Hyperlink"/>
          <w:color w:val="auto"/>
          <w:u w:val="none"/>
        </w:rPr>
        <w:t xml:space="preserve">Welsh Government (2015) The Wellbeing of Future Generations Act </w:t>
      </w:r>
    </w:p>
    <w:p w14:paraId="71A167CB" w14:textId="6413AF1B" w:rsidR="00C877F0" w:rsidRDefault="00C877F0">
      <w:pPr>
        <w:rPr>
          <w:rStyle w:val="Hyperlink"/>
          <w:color w:val="auto"/>
          <w:u w:val="none"/>
        </w:rPr>
      </w:pPr>
      <w:r>
        <w:rPr>
          <w:rStyle w:val="Hyperlink"/>
          <w:color w:val="auto"/>
          <w:u w:val="none"/>
        </w:rPr>
        <w:t xml:space="preserve">Welsh Government (2015) Suicide and Self Harm Prevention Strategy, Available at: </w:t>
      </w:r>
      <w:hyperlink r:id="rId19" w:history="1">
        <w:r>
          <w:rPr>
            <w:rStyle w:val="Hyperlink"/>
          </w:rPr>
          <w:t>https://gweddill.gov.wales/docs/dhss/publications/150716strategyen.pdf</w:t>
        </w:r>
      </w:hyperlink>
      <w:r>
        <w:t xml:space="preserve"> Accessed: 05/05/2019</w:t>
      </w:r>
    </w:p>
    <w:p w14:paraId="044EFEFA" w14:textId="79751C6E" w:rsidR="00A56183" w:rsidRPr="007A27FB" w:rsidRDefault="00A56183">
      <w:r>
        <w:rPr>
          <w:rStyle w:val="Hyperlink"/>
          <w:color w:val="auto"/>
          <w:u w:val="none"/>
        </w:rPr>
        <w:lastRenderedPageBreak/>
        <w:t xml:space="preserve">Welsh Government (2018) Together for Mental Health: A health and wellbeing strategy for Wales. Available at: </w:t>
      </w:r>
      <w:hyperlink r:id="rId20" w:history="1">
        <w:r>
          <w:rPr>
            <w:rStyle w:val="Hyperlink"/>
          </w:rPr>
          <w:t>https://gweddill.gov.wales/topics/health/nhswales/mental-health-services/policy/strategy/?lang=en</w:t>
        </w:r>
      </w:hyperlink>
      <w:r>
        <w:t xml:space="preserve"> Accessed: 03/05/2019</w:t>
      </w:r>
    </w:p>
    <w:p w14:paraId="447DDB26" w14:textId="113FF131" w:rsidR="004428E5" w:rsidRDefault="004428E5">
      <w:r>
        <w:t>World Health Organisation (19</w:t>
      </w:r>
      <w:r w:rsidR="007F411F">
        <w:t>48</w:t>
      </w:r>
      <w:r>
        <w:t>)</w:t>
      </w:r>
      <w:r w:rsidR="007F411F">
        <w:t xml:space="preserve"> </w:t>
      </w:r>
      <w:r w:rsidR="000C5208">
        <w:t>Definition of Health</w:t>
      </w:r>
    </w:p>
    <w:p w14:paraId="3C3CAAD7" w14:textId="59271F46" w:rsidR="00C1685D" w:rsidRDefault="00C1685D">
      <w:r>
        <w:t xml:space="preserve">World Health Organisation (2019) What is a Health Promoting School, Available at: </w:t>
      </w:r>
      <w:hyperlink r:id="rId21" w:history="1">
        <w:r>
          <w:rPr>
            <w:rStyle w:val="Hyperlink"/>
          </w:rPr>
          <w:t>https://www.who.int/school_youth_health/gshi/hps/en/</w:t>
        </w:r>
      </w:hyperlink>
      <w:r>
        <w:t xml:space="preserve"> Accessed: 03/05/2019</w:t>
      </w:r>
    </w:p>
    <w:p w14:paraId="4750009D" w14:textId="789E9A88" w:rsidR="00AA4FD9" w:rsidRDefault="00AA4FD9">
      <w:pPr>
        <w:rPr>
          <w:rStyle w:val="Hyperlink"/>
        </w:rPr>
      </w:pPr>
      <w:r>
        <w:t xml:space="preserve">Youth Studies Australia (2007) What does wellbeing mean? Available at: </w:t>
      </w:r>
      <w:hyperlink r:id="rId22" w:history="1">
        <w:r>
          <w:rPr>
            <w:rStyle w:val="Hyperlink"/>
          </w:rPr>
          <w:t>https://web-a-ebscohost-com.ezproxy.uwtsd.ac.uk/ehost/pdfviewer/pdfviewer?vid=1&amp;sid=9f42d15c-8cb2-4304-b4c4-81ccfa0200cb%40sdc-v-sessmgr05</w:t>
        </w:r>
      </w:hyperlink>
    </w:p>
    <w:p w14:paraId="779B3902" w14:textId="6D42873F" w:rsidR="007A27FB" w:rsidRPr="0046506F" w:rsidRDefault="007A27FB"/>
    <w:p w14:paraId="51704D0A" w14:textId="77777777" w:rsidR="00E04B97" w:rsidRDefault="00E04B97"/>
    <w:sectPr w:rsidR="00E04B97" w:rsidSect="009A67BE">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6ABD7" w14:textId="77777777" w:rsidR="00A27CB6" w:rsidRDefault="00A27CB6" w:rsidP="003F0BE5">
      <w:pPr>
        <w:spacing w:after="0" w:line="240" w:lineRule="auto"/>
      </w:pPr>
      <w:r>
        <w:separator/>
      </w:r>
    </w:p>
  </w:endnote>
  <w:endnote w:type="continuationSeparator" w:id="0">
    <w:p w14:paraId="5BE0E219" w14:textId="77777777" w:rsidR="00A27CB6" w:rsidRDefault="00A27CB6" w:rsidP="003F0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CD5EA9" w14:textId="77777777" w:rsidR="00A27CB6" w:rsidRDefault="00A27CB6" w:rsidP="003F0BE5">
      <w:pPr>
        <w:spacing w:after="0" w:line="240" w:lineRule="auto"/>
      </w:pPr>
      <w:r>
        <w:separator/>
      </w:r>
    </w:p>
  </w:footnote>
  <w:footnote w:type="continuationSeparator" w:id="0">
    <w:p w14:paraId="221F0F4D" w14:textId="77777777" w:rsidR="00A27CB6" w:rsidRDefault="00A27CB6" w:rsidP="003F0B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828782" w14:textId="4058B6B1" w:rsidR="003F0BE5" w:rsidRDefault="003F0BE5">
    <w:pPr>
      <w:pStyle w:val="Header"/>
    </w:pPr>
    <w:r>
      <w:t>Curtis Cana</w:t>
    </w:r>
  </w:p>
  <w:p w14:paraId="7D33028B" w14:textId="77777777" w:rsidR="003F0BE5" w:rsidRDefault="003F0B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D47BD8"/>
    <w:multiLevelType w:val="hybridMultilevel"/>
    <w:tmpl w:val="9A5E724A"/>
    <w:lvl w:ilvl="0" w:tplc="90D260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E51C91"/>
    <w:multiLevelType w:val="multilevel"/>
    <w:tmpl w:val="1E609A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382796"/>
    <w:multiLevelType w:val="hybridMultilevel"/>
    <w:tmpl w:val="A8C078DC"/>
    <w:lvl w:ilvl="0" w:tplc="1A98C3F8">
      <w:start w:val="1"/>
      <w:numFmt w:val="bullet"/>
      <w:lvlText w:val=""/>
      <w:lvlJc w:val="left"/>
      <w:pPr>
        <w:tabs>
          <w:tab w:val="num" w:pos="720"/>
        </w:tabs>
        <w:ind w:left="720" w:hanging="360"/>
      </w:pPr>
      <w:rPr>
        <w:rFonts w:ascii="Wingdings 3" w:hAnsi="Wingdings 3" w:hint="default"/>
      </w:rPr>
    </w:lvl>
    <w:lvl w:ilvl="1" w:tplc="AED0EEF0" w:tentative="1">
      <w:start w:val="1"/>
      <w:numFmt w:val="bullet"/>
      <w:lvlText w:val=""/>
      <w:lvlJc w:val="left"/>
      <w:pPr>
        <w:tabs>
          <w:tab w:val="num" w:pos="1440"/>
        </w:tabs>
        <w:ind w:left="1440" w:hanging="360"/>
      </w:pPr>
      <w:rPr>
        <w:rFonts w:ascii="Wingdings 3" w:hAnsi="Wingdings 3" w:hint="default"/>
      </w:rPr>
    </w:lvl>
    <w:lvl w:ilvl="2" w:tplc="1166B8FA" w:tentative="1">
      <w:start w:val="1"/>
      <w:numFmt w:val="bullet"/>
      <w:lvlText w:val=""/>
      <w:lvlJc w:val="left"/>
      <w:pPr>
        <w:tabs>
          <w:tab w:val="num" w:pos="2160"/>
        </w:tabs>
        <w:ind w:left="2160" w:hanging="360"/>
      </w:pPr>
      <w:rPr>
        <w:rFonts w:ascii="Wingdings 3" w:hAnsi="Wingdings 3" w:hint="default"/>
      </w:rPr>
    </w:lvl>
    <w:lvl w:ilvl="3" w:tplc="F0104638" w:tentative="1">
      <w:start w:val="1"/>
      <w:numFmt w:val="bullet"/>
      <w:lvlText w:val=""/>
      <w:lvlJc w:val="left"/>
      <w:pPr>
        <w:tabs>
          <w:tab w:val="num" w:pos="2880"/>
        </w:tabs>
        <w:ind w:left="2880" w:hanging="360"/>
      </w:pPr>
      <w:rPr>
        <w:rFonts w:ascii="Wingdings 3" w:hAnsi="Wingdings 3" w:hint="default"/>
      </w:rPr>
    </w:lvl>
    <w:lvl w:ilvl="4" w:tplc="504E4636" w:tentative="1">
      <w:start w:val="1"/>
      <w:numFmt w:val="bullet"/>
      <w:lvlText w:val=""/>
      <w:lvlJc w:val="left"/>
      <w:pPr>
        <w:tabs>
          <w:tab w:val="num" w:pos="3600"/>
        </w:tabs>
        <w:ind w:left="3600" w:hanging="360"/>
      </w:pPr>
      <w:rPr>
        <w:rFonts w:ascii="Wingdings 3" w:hAnsi="Wingdings 3" w:hint="default"/>
      </w:rPr>
    </w:lvl>
    <w:lvl w:ilvl="5" w:tplc="11228920" w:tentative="1">
      <w:start w:val="1"/>
      <w:numFmt w:val="bullet"/>
      <w:lvlText w:val=""/>
      <w:lvlJc w:val="left"/>
      <w:pPr>
        <w:tabs>
          <w:tab w:val="num" w:pos="4320"/>
        </w:tabs>
        <w:ind w:left="4320" w:hanging="360"/>
      </w:pPr>
      <w:rPr>
        <w:rFonts w:ascii="Wingdings 3" w:hAnsi="Wingdings 3" w:hint="default"/>
      </w:rPr>
    </w:lvl>
    <w:lvl w:ilvl="6" w:tplc="0026F792" w:tentative="1">
      <w:start w:val="1"/>
      <w:numFmt w:val="bullet"/>
      <w:lvlText w:val=""/>
      <w:lvlJc w:val="left"/>
      <w:pPr>
        <w:tabs>
          <w:tab w:val="num" w:pos="5040"/>
        </w:tabs>
        <w:ind w:left="5040" w:hanging="360"/>
      </w:pPr>
      <w:rPr>
        <w:rFonts w:ascii="Wingdings 3" w:hAnsi="Wingdings 3" w:hint="default"/>
      </w:rPr>
    </w:lvl>
    <w:lvl w:ilvl="7" w:tplc="5428141C" w:tentative="1">
      <w:start w:val="1"/>
      <w:numFmt w:val="bullet"/>
      <w:lvlText w:val=""/>
      <w:lvlJc w:val="left"/>
      <w:pPr>
        <w:tabs>
          <w:tab w:val="num" w:pos="5760"/>
        </w:tabs>
        <w:ind w:left="5760" w:hanging="360"/>
      </w:pPr>
      <w:rPr>
        <w:rFonts w:ascii="Wingdings 3" w:hAnsi="Wingdings 3" w:hint="default"/>
      </w:rPr>
    </w:lvl>
    <w:lvl w:ilvl="8" w:tplc="ED0ED970"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7BE"/>
    <w:rsid w:val="0001149B"/>
    <w:rsid w:val="00011D79"/>
    <w:rsid w:val="0004150F"/>
    <w:rsid w:val="0004254B"/>
    <w:rsid w:val="000437FA"/>
    <w:rsid w:val="000460A4"/>
    <w:rsid w:val="00051927"/>
    <w:rsid w:val="00051F2E"/>
    <w:rsid w:val="00071665"/>
    <w:rsid w:val="00072ACD"/>
    <w:rsid w:val="0008495C"/>
    <w:rsid w:val="000A7CC0"/>
    <w:rsid w:val="000B4DAC"/>
    <w:rsid w:val="000C5208"/>
    <w:rsid w:val="000C6870"/>
    <w:rsid w:val="00100A12"/>
    <w:rsid w:val="001344A1"/>
    <w:rsid w:val="001361E0"/>
    <w:rsid w:val="00153EDF"/>
    <w:rsid w:val="0015469B"/>
    <w:rsid w:val="00160471"/>
    <w:rsid w:val="00173BDE"/>
    <w:rsid w:val="001875FD"/>
    <w:rsid w:val="00196025"/>
    <w:rsid w:val="001C169D"/>
    <w:rsid w:val="001F2E2B"/>
    <w:rsid w:val="001F51FA"/>
    <w:rsid w:val="0020004B"/>
    <w:rsid w:val="0021005B"/>
    <w:rsid w:val="0021660B"/>
    <w:rsid w:val="00224175"/>
    <w:rsid w:val="00237EDC"/>
    <w:rsid w:val="00254A6B"/>
    <w:rsid w:val="0027204E"/>
    <w:rsid w:val="0028182D"/>
    <w:rsid w:val="00281D9F"/>
    <w:rsid w:val="002B761E"/>
    <w:rsid w:val="002C0603"/>
    <w:rsid w:val="002C4EB4"/>
    <w:rsid w:val="002E09C9"/>
    <w:rsid w:val="002F02B0"/>
    <w:rsid w:val="002F27BA"/>
    <w:rsid w:val="00305968"/>
    <w:rsid w:val="00324E73"/>
    <w:rsid w:val="00363519"/>
    <w:rsid w:val="00372DA5"/>
    <w:rsid w:val="00375FD4"/>
    <w:rsid w:val="00382C43"/>
    <w:rsid w:val="00383CEC"/>
    <w:rsid w:val="00391BAC"/>
    <w:rsid w:val="00393C64"/>
    <w:rsid w:val="003A0C98"/>
    <w:rsid w:val="003A326E"/>
    <w:rsid w:val="003A63D9"/>
    <w:rsid w:val="003A6E03"/>
    <w:rsid w:val="003E1CD4"/>
    <w:rsid w:val="003F0BE5"/>
    <w:rsid w:val="003F7896"/>
    <w:rsid w:val="00410E1A"/>
    <w:rsid w:val="0041293E"/>
    <w:rsid w:val="004172E1"/>
    <w:rsid w:val="00430CCC"/>
    <w:rsid w:val="004428E5"/>
    <w:rsid w:val="00446190"/>
    <w:rsid w:val="00451014"/>
    <w:rsid w:val="0046506F"/>
    <w:rsid w:val="004B2F69"/>
    <w:rsid w:val="004C1E26"/>
    <w:rsid w:val="004D5A51"/>
    <w:rsid w:val="004D5FEF"/>
    <w:rsid w:val="004E5A00"/>
    <w:rsid w:val="004F1050"/>
    <w:rsid w:val="004F7782"/>
    <w:rsid w:val="00512163"/>
    <w:rsid w:val="00513480"/>
    <w:rsid w:val="00514F49"/>
    <w:rsid w:val="00530015"/>
    <w:rsid w:val="0054540E"/>
    <w:rsid w:val="00550F60"/>
    <w:rsid w:val="00571B14"/>
    <w:rsid w:val="005822BE"/>
    <w:rsid w:val="00586067"/>
    <w:rsid w:val="00593245"/>
    <w:rsid w:val="00604E00"/>
    <w:rsid w:val="0061648F"/>
    <w:rsid w:val="0062356D"/>
    <w:rsid w:val="0062727B"/>
    <w:rsid w:val="006324C8"/>
    <w:rsid w:val="00637A83"/>
    <w:rsid w:val="006410C3"/>
    <w:rsid w:val="00645EB3"/>
    <w:rsid w:val="00680BA7"/>
    <w:rsid w:val="0069305C"/>
    <w:rsid w:val="006C4596"/>
    <w:rsid w:val="00701981"/>
    <w:rsid w:val="00713818"/>
    <w:rsid w:val="00732B1D"/>
    <w:rsid w:val="007534C8"/>
    <w:rsid w:val="00756017"/>
    <w:rsid w:val="007760D1"/>
    <w:rsid w:val="00786C18"/>
    <w:rsid w:val="007A27FB"/>
    <w:rsid w:val="007A3075"/>
    <w:rsid w:val="007F227C"/>
    <w:rsid w:val="007F2856"/>
    <w:rsid w:val="007F411F"/>
    <w:rsid w:val="00817BBD"/>
    <w:rsid w:val="00821FAE"/>
    <w:rsid w:val="008257D6"/>
    <w:rsid w:val="00871BCE"/>
    <w:rsid w:val="0087527E"/>
    <w:rsid w:val="00877028"/>
    <w:rsid w:val="008C66FA"/>
    <w:rsid w:val="008D0B38"/>
    <w:rsid w:val="008E6307"/>
    <w:rsid w:val="00901859"/>
    <w:rsid w:val="0090790F"/>
    <w:rsid w:val="009123BC"/>
    <w:rsid w:val="009233CD"/>
    <w:rsid w:val="009660DC"/>
    <w:rsid w:val="00981076"/>
    <w:rsid w:val="009957ED"/>
    <w:rsid w:val="009A67BE"/>
    <w:rsid w:val="009B56FE"/>
    <w:rsid w:val="009E46EA"/>
    <w:rsid w:val="00A028B2"/>
    <w:rsid w:val="00A2609D"/>
    <w:rsid w:val="00A27CB6"/>
    <w:rsid w:val="00A34B24"/>
    <w:rsid w:val="00A54E5B"/>
    <w:rsid w:val="00A56183"/>
    <w:rsid w:val="00A83B8F"/>
    <w:rsid w:val="00AA4FD9"/>
    <w:rsid w:val="00AA61B7"/>
    <w:rsid w:val="00AA6B86"/>
    <w:rsid w:val="00AB2A6F"/>
    <w:rsid w:val="00AD6A81"/>
    <w:rsid w:val="00AE3A0B"/>
    <w:rsid w:val="00B11FAF"/>
    <w:rsid w:val="00B374ED"/>
    <w:rsid w:val="00B4689A"/>
    <w:rsid w:val="00B514F4"/>
    <w:rsid w:val="00B60DE4"/>
    <w:rsid w:val="00B7116F"/>
    <w:rsid w:val="00B7191B"/>
    <w:rsid w:val="00B75B46"/>
    <w:rsid w:val="00B77610"/>
    <w:rsid w:val="00B96B3D"/>
    <w:rsid w:val="00BA4089"/>
    <w:rsid w:val="00BC7480"/>
    <w:rsid w:val="00BD0B34"/>
    <w:rsid w:val="00BD4AE5"/>
    <w:rsid w:val="00C1685D"/>
    <w:rsid w:val="00C2091D"/>
    <w:rsid w:val="00C3338D"/>
    <w:rsid w:val="00C35F59"/>
    <w:rsid w:val="00C45FBB"/>
    <w:rsid w:val="00C472C0"/>
    <w:rsid w:val="00C544D3"/>
    <w:rsid w:val="00C7054D"/>
    <w:rsid w:val="00C877F0"/>
    <w:rsid w:val="00C92D89"/>
    <w:rsid w:val="00CE5551"/>
    <w:rsid w:val="00D07DBF"/>
    <w:rsid w:val="00D1074F"/>
    <w:rsid w:val="00D5133F"/>
    <w:rsid w:val="00D52C1E"/>
    <w:rsid w:val="00D53596"/>
    <w:rsid w:val="00D549DD"/>
    <w:rsid w:val="00D5753C"/>
    <w:rsid w:val="00D810E4"/>
    <w:rsid w:val="00D91D70"/>
    <w:rsid w:val="00D97CC8"/>
    <w:rsid w:val="00DA22B5"/>
    <w:rsid w:val="00DC03FF"/>
    <w:rsid w:val="00DC173C"/>
    <w:rsid w:val="00DC7552"/>
    <w:rsid w:val="00DE4ED2"/>
    <w:rsid w:val="00E04B97"/>
    <w:rsid w:val="00E07A2A"/>
    <w:rsid w:val="00E54C5D"/>
    <w:rsid w:val="00E86CE7"/>
    <w:rsid w:val="00E94411"/>
    <w:rsid w:val="00EE25E0"/>
    <w:rsid w:val="00EE57BC"/>
    <w:rsid w:val="00F00593"/>
    <w:rsid w:val="00F04991"/>
    <w:rsid w:val="00F10BB5"/>
    <w:rsid w:val="00F25C60"/>
    <w:rsid w:val="00F40265"/>
    <w:rsid w:val="00F404B0"/>
    <w:rsid w:val="00F507F3"/>
    <w:rsid w:val="00F828E5"/>
    <w:rsid w:val="00F96675"/>
    <w:rsid w:val="00FB5121"/>
    <w:rsid w:val="00FB73B5"/>
    <w:rsid w:val="00FD4A03"/>
    <w:rsid w:val="00FD5168"/>
    <w:rsid w:val="00FE469C"/>
    <w:rsid w:val="00FE7D91"/>
    <w:rsid w:val="00FF6801"/>
    <w:rsid w:val="00FF6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A4074"/>
  <w15:chartTrackingRefBased/>
  <w15:docId w15:val="{CBE1F4F1-997E-45FF-B162-8D165D1A6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1660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67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A67BE"/>
    <w:rPr>
      <w:rFonts w:eastAsiaTheme="minorEastAsia"/>
      <w:lang w:val="en-US"/>
    </w:rPr>
  </w:style>
  <w:style w:type="character" w:customStyle="1" w:styleId="normaltextrun">
    <w:name w:val="normaltextrun"/>
    <w:basedOn w:val="DefaultParagraphFont"/>
    <w:rsid w:val="009A67BE"/>
  </w:style>
  <w:style w:type="character" w:customStyle="1" w:styleId="eop">
    <w:name w:val="eop"/>
    <w:basedOn w:val="DefaultParagraphFont"/>
    <w:rsid w:val="009A67BE"/>
  </w:style>
  <w:style w:type="paragraph" w:styleId="Header">
    <w:name w:val="header"/>
    <w:basedOn w:val="Normal"/>
    <w:link w:val="HeaderChar"/>
    <w:uiPriority w:val="99"/>
    <w:unhideWhenUsed/>
    <w:rsid w:val="003F0B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BE5"/>
  </w:style>
  <w:style w:type="paragraph" w:styleId="Footer">
    <w:name w:val="footer"/>
    <w:basedOn w:val="Normal"/>
    <w:link w:val="FooterChar"/>
    <w:uiPriority w:val="99"/>
    <w:unhideWhenUsed/>
    <w:rsid w:val="003F0B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BE5"/>
  </w:style>
  <w:style w:type="paragraph" w:styleId="ListParagraph">
    <w:name w:val="List Paragraph"/>
    <w:basedOn w:val="Normal"/>
    <w:uiPriority w:val="34"/>
    <w:qFormat/>
    <w:rsid w:val="007760D1"/>
    <w:pPr>
      <w:ind w:left="720"/>
      <w:contextualSpacing/>
    </w:pPr>
  </w:style>
  <w:style w:type="character" w:styleId="Hyperlink">
    <w:name w:val="Hyperlink"/>
    <w:basedOn w:val="DefaultParagraphFont"/>
    <w:uiPriority w:val="99"/>
    <w:semiHidden/>
    <w:unhideWhenUsed/>
    <w:rsid w:val="00AA4FD9"/>
    <w:rPr>
      <w:color w:val="0000FF"/>
      <w:u w:val="single"/>
    </w:rPr>
  </w:style>
  <w:style w:type="character" w:customStyle="1" w:styleId="Heading3Char">
    <w:name w:val="Heading 3 Char"/>
    <w:basedOn w:val="DefaultParagraphFont"/>
    <w:link w:val="Heading3"/>
    <w:uiPriority w:val="9"/>
    <w:rsid w:val="0021660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7186">
      <w:bodyDiv w:val="1"/>
      <w:marLeft w:val="0"/>
      <w:marRight w:val="0"/>
      <w:marTop w:val="0"/>
      <w:marBottom w:val="0"/>
      <w:divBdr>
        <w:top w:val="none" w:sz="0" w:space="0" w:color="auto"/>
        <w:left w:val="none" w:sz="0" w:space="0" w:color="auto"/>
        <w:bottom w:val="none" w:sz="0" w:space="0" w:color="auto"/>
        <w:right w:val="none" w:sz="0" w:space="0" w:color="auto"/>
      </w:divBdr>
    </w:div>
    <w:div w:id="242377449">
      <w:bodyDiv w:val="1"/>
      <w:marLeft w:val="0"/>
      <w:marRight w:val="0"/>
      <w:marTop w:val="0"/>
      <w:marBottom w:val="0"/>
      <w:divBdr>
        <w:top w:val="none" w:sz="0" w:space="0" w:color="auto"/>
        <w:left w:val="none" w:sz="0" w:space="0" w:color="auto"/>
        <w:bottom w:val="none" w:sz="0" w:space="0" w:color="auto"/>
        <w:right w:val="none" w:sz="0" w:space="0" w:color="auto"/>
      </w:divBdr>
    </w:div>
    <w:div w:id="571624634">
      <w:bodyDiv w:val="1"/>
      <w:marLeft w:val="0"/>
      <w:marRight w:val="0"/>
      <w:marTop w:val="0"/>
      <w:marBottom w:val="0"/>
      <w:divBdr>
        <w:top w:val="none" w:sz="0" w:space="0" w:color="auto"/>
        <w:left w:val="none" w:sz="0" w:space="0" w:color="auto"/>
        <w:bottom w:val="none" w:sz="0" w:space="0" w:color="auto"/>
        <w:right w:val="none" w:sz="0" w:space="0" w:color="auto"/>
      </w:divBdr>
    </w:div>
    <w:div w:id="1549029294">
      <w:bodyDiv w:val="1"/>
      <w:marLeft w:val="0"/>
      <w:marRight w:val="0"/>
      <w:marTop w:val="0"/>
      <w:marBottom w:val="0"/>
      <w:divBdr>
        <w:top w:val="none" w:sz="0" w:space="0" w:color="auto"/>
        <w:left w:val="none" w:sz="0" w:space="0" w:color="auto"/>
        <w:bottom w:val="none" w:sz="0" w:space="0" w:color="auto"/>
        <w:right w:val="none" w:sz="0" w:space="0" w:color="auto"/>
      </w:divBdr>
    </w:div>
    <w:div w:id="1550609925">
      <w:bodyDiv w:val="1"/>
      <w:marLeft w:val="0"/>
      <w:marRight w:val="0"/>
      <w:marTop w:val="0"/>
      <w:marBottom w:val="0"/>
      <w:divBdr>
        <w:top w:val="none" w:sz="0" w:space="0" w:color="auto"/>
        <w:left w:val="none" w:sz="0" w:space="0" w:color="auto"/>
        <w:bottom w:val="none" w:sz="0" w:space="0" w:color="auto"/>
        <w:right w:val="none" w:sz="0" w:space="0" w:color="auto"/>
      </w:divBdr>
    </w:div>
    <w:div w:id="1585726327">
      <w:bodyDiv w:val="1"/>
      <w:marLeft w:val="0"/>
      <w:marRight w:val="0"/>
      <w:marTop w:val="0"/>
      <w:marBottom w:val="0"/>
      <w:divBdr>
        <w:top w:val="none" w:sz="0" w:space="0" w:color="auto"/>
        <w:left w:val="none" w:sz="0" w:space="0" w:color="auto"/>
        <w:bottom w:val="none" w:sz="0" w:space="0" w:color="auto"/>
        <w:right w:val="none" w:sz="0" w:space="0" w:color="auto"/>
      </w:divBdr>
      <w:divsChild>
        <w:div w:id="85638412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ocialcare.wales/hub/sswbact" TargetMode="External"/><Relationship Id="rId18" Type="http://schemas.openxmlformats.org/officeDocument/2006/relationships/hyperlink" Target="https://www.un.org/sustainabledevelopment/development-agenda/" TargetMode="External"/><Relationship Id="rId3" Type="http://schemas.openxmlformats.org/officeDocument/2006/relationships/styles" Target="styles.xml"/><Relationship Id="rId21" Type="http://schemas.openxmlformats.org/officeDocument/2006/relationships/hyperlink" Target="https://www.who.int/school_youth_health/gshi/hps/en/" TargetMode="External"/><Relationship Id="rId7" Type="http://schemas.openxmlformats.org/officeDocument/2006/relationships/endnotes" Target="endnotes.xml"/><Relationship Id="rId12" Type="http://schemas.openxmlformats.org/officeDocument/2006/relationships/hyperlink" Target="http://www.globalmentalhealth.org/about" TargetMode="External"/><Relationship Id="rId17" Type="http://schemas.openxmlformats.org/officeDocument/2006/relationships/hyperlink" Target="https://www.gatesfoundation.org/What-We-Do"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wansea.gov.uk/article/49957/Dylan-Thomas-Community-School-Pastoral-Support-Officer-Nurture" TargetMode="External"/><Relationship Id="rId20" Type="http://schemas.openxmlformats.org/officeDocument/2006/relationships/hyperlink" Target="https://gweddill.gov.wales/topics/health/nhswales/mental-health-services/policy/strategy/?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241049/mod_resource/content/1/School%20ethos%20and%20personal%2C%20social%20and%20health%20education.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tatswales.gov.wales/Catalogue/Community-Safety-and-Social-Inclusion/Welsh-Index-of-Multiple-Deprivation/WIMD-2014/wimd2014" TargetMode="External"/><Relationship Id="rId23" Type="http://schemas.openxmlformats.org/officeDocument/2006/relationships/header" Target="header1.xml"/><Relationship Id="rId10" Type="http://schemas.openxmlformats.org/officeDocument/2006/relationships/image" Target="media/image2.jpg"/><Relationship Id="rId19" Type="http://schemas.openxmlformats.org/officeDocument/2006/relationships/hyperlink" Target="https://gweddill.gov.wales/docs/dhss/publications/150716strategye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eb-b-ebscohost-com.ezproxy.uwtsd.ac.uk/ehost/pdfviewer/pdfviewer?vid=1&amp;sid=30c9a523-5bae-421b-bdcb-340ee940aa69%40pdc-v-sessmgr06" TargetMode="External"/><Relationship Id="rId22" Type="http://schemas.openxmlformats.org/officeDocument/2006/relationships/hyperlink" Target="https://web-a-ebscohost-com.ezproxy.uwtsd.ac.uk/ehost/pdfviewer/pdfviewer?vid=1&amp;sid=9f42d15c-8cb2-4304-b4c4-81ccfa0200cb%40sdc-v-sessmgr05"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DE032-09E4-4101-B767-EFAABB36E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547</TotalTime>
  <Pages>13</Pages>
  <Words>3960</Words>
  <Characters>22578</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Education for Health and well-being: ECCH7004</vt:lpstr>
    </vt:vector>
  </TitlesOfParts>
  <Company/>
  <LinksUpToDate>false</LinksUpToDate>
  <CharactersWithSpaces>26486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for Health and well-being: ECCH7004</dc:title>
  <dc:subject>Curtis Cana 1500738</dc:subject>
  <dc:creator>Curtis Cana</dc:creator>
  <cp:keywords/>
  <dc:description/>
  <cp:lastModifiedBy>Curtis Cana</cp:lastModifiedBy>
  <cp:revision>205</cp:revision>
  <dcterms:created xsi:type="dcterms:W3CDTF">2019-03-09T19:19:00Z</dcterms:created>
  <dcterms:modified xsi:type="dcterms:W3CDTF">2019-05-05T21:23:00Z</dcterms:modified>
</cp:coreProperties>
</file>