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D33E2" w14:textId="77777777" w:rsidR="00793E4B" w:rsidRDefault="00AF3BC1" w:rsidP="00AF3BC1">
      <w:pPr>
        <w:jc w:val="center"/>
        <w:rPr>
          <w:sz w:val="32"/>
          <w:szCs w:val="32"/>
          <w:u w:val="single"/>
        </w:rPr>
      </w:pPr>
      <w:r w:rsidRPr="00AF3BC1">
        <w:rPr>
          <w:sz w:val="32"/>
          <w:szCs w:val="32"/>
          <w:u w:val="single"/>
        </w:rPr>
        <w:t xml:space="preserve">The </w:t>
      </w:r>
      <w:r w:rsidRPr="00E500B4">
        <w:rPr>
          <w:i/>
          <w:iCs/>
          <w:sz w:val="32"/>
          <w:szCs w:val="32"/>
          <w:u w:val="single"/>
        </w:rPr>
        <w:t>Chronicon Anglicanum</w:t>
      </w:r>
    </w:p>
    <w:p w14:paraId="6A7C586A" w14:textId="77777777" w:rsidR="00AF3BC1" w:rsidRDefault="00AF3BC1" w:rsidP="00AF3BC1">
      <w:pPr>
        <w:jc w:val="center"/>
        <w:rPr>
          <w:sz w:val="32"/>
          <w:szCs w:val="32"/>
          <w:u w:val="single"/>
        </w:rPr>
      </w:pPr>
    </w:p>
    <w:p w14:paraId="4C3067CB" w14:textId="0D00E753" w:rsidR="00E500B4" w:rsidRPr="002F6F01" w:rsidRDefault="00E500B4" w:rsidP="00E500B4">
      <w:pPr>
        <w:spacing w:after="0"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Concerning a merman taken from the sea</w:t>
      </w:r>
      <w:r w:rsidR="00FC6748">
        <w:rPr>
          <w:rStyle w:val="FootnoteReference"/>
          <w:rFonts w:ascii="Times New Roman" w:hAnsi="Times New Roman" w:cs="Times New Roman"/>
          <w:color w:val="FF0000"/>
          <w:sz w:val="24"/>
          <w:szCs w:val="24"/>
        </w:rPr>
        <w:footnoteReference w:id="1"/>
      </w:r>
      <w:r>
        <w:rPr>
          <w:rFonts w:ascii="Times New Roman" w:hAnsi="Times New Roman" w:cs="Times New Roman"/>
          <w:color w:val="FF0000"/>
          <w:sz w:val="24"/>
          <w:szCs w:val="24"/>
        </w:rPr>
        <w:t xml:space="preserve">.              </w:t>
      </w:r>
    </w:p>
    <w:p w14:paraId="780AAD23" w14:textId="40A05CEA" w:rsidR="00E500B4" w:rsidRDefault="00E500B4" w:rsidP="00E500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time of the </w:t>
      </w:r>
      <w:r w:rsidRPr="00174372">
        <w:rPr>
          <w:rFonts w:ascii="Times New Roman" w:hAnsi="Times New Roman" w:cs="Times New Roman"/>
          <w:sz w:val="24"/>
          <w:szCs w:val="24"/>
        </w:rPr>
        <w:t>King Henry II</w:t>
      </w:r>
      <w:r w:rsidR="00193826">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when </w:t>
      </w:r>
      <w:r w:rsidRPr="005224C6">
        <w:rPr>
          <w:rFonts w:ascii="Times New Roman" w:hAnsi="Times New Roman" w:cs="Times New Roman"/>
          <w:sz w:val="24"/>
          <w:szCs w:val="24"/>
        </w:rPr>
        <w:t>Bartholomew de Glanville</w:t>
      </w:r>
      <w:r w:rsidR="005224C6">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was </w:t>
      </w:r>
      <w:r w:rsidRPr="00A747CA">
        <w:rPr>
          <w:rFonts w:ascii="Times New Roman" w:hAnsi="Times New Roman" w:cs="Times New Roman"/>
          <w:sz w:val="24"/>
          <w:szCs w:val="24"/>
        </w:rPr>
        <w:t>custodian</w:t>
      </w:r>
      <w:r w:rsidR="00A747CA">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of </w:t>
      </w:r>
      <w:r w:rsidRPr="009A6EE5">
        <w:rPr>
          <w:rFonts w:ascii="Times New Roman" w:hAnsi="Times New Roman" w:cs="Times New Roman"/>
          <w:sz w:val="24"/>
          <w:szCs w:val="24"/>
        </w:rPr>
        <w:t>the castle of Orford</w:t>
      </w:r>
      <w:r w:rsidR="00622152" w:rsidRPr="009A6EE5">
        <w:rPr>
          <w:rStyle w:val="FootnoteReference"/>
          <w:rFonts w:ascii="Times New Roman" w:hAnsi="Times New Roman" w:cs="Times New Roman"/>
          <w:sz w:val="24"/>
          <w:szCs w:val="24"/>
        </w:rPr>
        <w:footnoteReference w:id="5"/>
      </w:r>
      <w:r w:rsidRPr="009A6EE5">
        <w:rPr>
          <w:rFonts w:ascii="Times New Roman" w:hAnsi="Times New Roman" w:cs="Times New Roman"/>
          <w:sz w:val="24"/>
          <w:szCs w:val="24"/>
        </w:rPr>
        <w:t>, it happened that fisherman, fishing in the sea there</w:t>
      </w:r>
      <w:r w:rsidR="009A6EE5">
        <w:rPr>
          <w:rStyle w:val="FootnoteReference"/>
          <w:rFonts w:ascii="Times New Roman" w:hAnsi="Times New Roman" w:cs="Times New Roman"/>
          <w:sz w:val="24"/>
          <w:szCs w:val="24"/>
        </w:rPr>
        <w:footnoteReference w:id="6"/>
      </w:r>
      <w:r w:rsidRPr="009A6EE5">
        <w:rPr>
          <w:rFonts w:ascii="Times New Roman" w:hAnsi="Times New Roman" w:cs="Times New Roman"/>
          <w:sz w:val="24"/>
          <w:szCs w:val="24"/>
        </w:rPr>
        <w:t>, caught in their net a merman,</w:t>
      </w:r>
      <w:r>
        <w:rPr>
          <w:rFonts w:ascii="Times New Roman" w:hAnsi="Times New Roman" w:cs="Times New Roman"/>
          <w:sz w:val="24"/>
          <w:szCs w:val="24"/>
        </w:rPr>
        <w:t xml:space="preserve"> who was handed over to the aforesaid castellan as a spectacle, he was entirely nude, and he had the appearance of human form in all his members. He even had hair, but on the </w:t>
      </w:r>
      <w:proofErr w:type="gramStart"/>
      <w:r>
        <w:rPr>
          <w:rFonts w:ascii="Times New Roman" w:hAnsi="Times New Roman" w:cs="Times New Roman"/>
          <w:sz w:val="24"/>
          <w:szCs w:val="24"/>
        </w:rPr>
        <w:t>top</w:t>
      </w:r>
      <w:proofErr w:type="gramEnd"/>
      <w:r>
        <w:rPr>
          <w:rFonts w:ascii="Times New Roman" w:hAnsi="Times New Roman" w:cs="Times New Roman"/>
          <w:sz w:val="24"/>
          <w:szCs w:val="24"/>
        </w:rPr>
        <w:t xml:space="preserve"> it seemed as if it had </w:t>
      </w:r>
      <w:r w:rsidRPr="004B1977">
        <w:rPr>
          <w:rFonts w:ascii="Times New Roman" w:hAnsi="Times New Roman" w:cs="Times New Roman"/>
          <w:sz w:val="24"/>
          <w:szCs w:val="24"/>
        </w:rPr>
        <w:t>been torn and destroyed</w:t>
      </w:r>
      <w:r w:rsidR="006A662C">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Pr="002B3A01">
        <w:rPr>
          <w:rFonts w:ascii="Times New Roman" w:hAnsi="Times New Roman" w:cs="Times New Roman"/>
          <w:sz w:val="24"/>
          <w:szCs w:val="24"/>
        </w:rPr>
        <w:t>his beard was luxuriant and pointed</w:t>
      </w:r>
      <w:r>
        <w:rPr>
          <w:rFonts w:ascii="Times New Roman" w:hAnsi="Times New Roman" w:cs="Times New Roman"/>
          <w:sz w:val="24"/>
          <w:szCs w:val="24"/>
        </w:rPr>
        <w:t xml:space="preserve">, around his chest he </w:t>
      </w:r>
      <w:r>
        <w:rPr>
          <w:rFonts w:ascii="Times New Roman" w:hAnsi="Times New Roman" w:cs="Times New Roman"/>
          <w:sz w:val="24"/>
          <w:szCs w:val="24"/>
        </w:rPr>
        <w:lastRenderedPageBreak/>
        <w:t xml:space="preserve">was very </w:t>
      </w:r>
      <w:r w:rsidRPr="002B3A01">
        <w:rPr>
          <w:rFonts w:ascii="Times New Roman" w:hAnsi="Times New Roman" w:cs="Times New Roman"/>
          <w:sz w:val="24"/>
          <w:szCs w:val="24"/>
        </w:rPr>
        <w:t>hairy and shaggy</w:t>
      </w:r>
      <w:r w:rsidR="00D039E2">
        <w:rPr>
          <w:rStyle w:val="FootnoteReference"/>
          <w:rFonts w:ascii="Times New Roman" w:hAnsi="Times New Roman" w:cs="Times New Roman"/>
          <w:sz w:val="24"/>
          <w:szCs w:val="24"/>
        </w:rPr>
        <w:footnoteReference w:id="8"/>
      </w:r>
      <w:r w:rsidRPr="002B3A01">
        <w:rPr>
          <w:rFonts w:ascii="Times New Roman" w:hAnsi="Times New Roman" w:cs="Times New Roman"/>
          <w:sz w:val="24"/>
          <w:szCs w:val="24"/>
        </w:rPr>
        <w:t>.</w:t>
      </w:r>
      <w:r>
        <w:rPr>
          <w:rFonts w:ascii="Times New Roman" w:hAnsi="Times New Roman" w:cs="Times New Roman"/>
          <w:sz w:val="24"/>
          <w:szCs w:val="24"/>
        </w:rPr>
        <w:t xml:space="preserve"> Then the afore said knight had him guarded for a long time, for days and nights, so that he could not get to the sea. He ate avidly whatever was placed before him. He consumed fish whether it was raw or cooked, but he squeezed the raw fish very firmly in his hands until all the wetness was wrung out, and then he ate them. But he was unwilling to speak any language, or rather he could not, he was even hung by his feet and often savagely tortured. He was taken to a certain church, </w:t>
      </w:r>
      <w:r w:rsidRPr="008238F0">
        <w:rPr>
          <w:rFonts w:ascii="Times New Roman" w:hAnsi="Times New Roman" w:cs="Times New Roman"/>
          <w:sz w:val="24"/>
          <w:szCs w:val="24"/>
        </w:rPr>
        <w:t>but he showed no signs at all of devotion or any kind of belief</w:t>
      </w:r>
      <w:r w:rsidR="008238F0">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either by bending his knees or bowing his head, however often he saw anything sacred. He always hastily went to his bed at sunset and stayed in it until sunrise.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it came about that they took him once to the sea port, and released him into the sea, having placed in front of him strong nets in three layers. He, soon seeking the depths of the sea and going through all the nets, came to the surface again and again from the bottom of the sea, the onlookers on the seashore watched for a long time, he frequently immersing himself, and then after a little coming up again, as if mocking the spectators because he had escaped their nets. After he had played in this way in the sea for a long time, and when all hope of his recovery had been given up, he came back again to them of his own accord swimming through the waves, and he stayed with them again for two months. But since afterwards he was carelessly guarded and he was now held in aversion, he secretly fled to the sea, and never appeared again. Whether there was indeed a mortal man her, or whether it was some kind of fish assuming human form, or whether it was </w:t>
      </w:r>
      <w:r w:rsidRPr="00520531">
        <w:rPr>
          <w:rFonts w:ascii="Times New Roman" w:hAnsi="Times New Roman" w:cs="Times New Roman"/>
          <w:sz w:val="24"/>
          <w:szCs w:val="24"/>
        </w:rPr>
        <w:t>an evil spirit laying in the body of a drowned man</w:t>
      </w:r>
      <w:r w:rsidR="00520531">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as one reads of a certain case in the </w:t>
      </w:r>
      <w:r>
        <w:rPr>
          <w:rFonts w:ascii="Times New Roman" w:hAnsi="Times New Roman" w:cs="Times New Roman"/>
          <w:sz w:val="24"/>
          <w:szCs w:val="24"/>
        </w:rPr>
        <w:lastRenderedPageBreak/>
        <w:t xml:space="preserve">life of the blessed </w:t>
      </w:r>
      <w:r w:rsidRPr="001156BC">
        <w:rPr>
          <w:rFonts w:ascii="Times New Roman" w:hAnsi="Times New Roman" w:cs="Times New Roman"/>
          <w:sz w:val="24"/>
          <w:szCs w:val="24"/>
        </w:rPr>
        <w:t>Audoenus</w:t>
      </w:r>
      <w:r w:rsidR="00F73298" w:rsidRPr="001156BC">
        <w:rPr>
          <w:rStyle w:val="FootnoteReference"/>
          <w:rFonts w:ascii="Times New Roman" w:hAnsi="Times New Roman" w:cs="Times New Roman"/>
          <w:sz w:val="24"/>
          <w:szCs w:val="24"/>
        </w:rPr>
        <w:footnoteReference w:id="11"/>
      </w:r>
      <w:r w:rsidRPr="001156BC">
        <w:rPr>
          <w:rFonts w:ascii="Times New Roman" w:hAnsi="Times New Roman" w:cs="Times New Roman"/>
          <w:sz w:val="24"/>
          <w:szCs w:val="24"/>
        </w:rPr>
        <w:t>,</w:t>
      </w:r>
      <w:r>
        <w:rPr>
          <w:rFonts w:ascii="Times New Roman" w:hAnsi="Times New Roman" w:cs="Times New Roman"/>
          <w:sz w:val="24"/>
          <w:szCs w:val="24"/>
        </w:rPr>
        <w:t xml:space="preserve"> cannot easily be determined, especially since </w:t>
      </w:r>
      <w:r w:rsidRPr="001156BC">
        <w:rPr>
          <w:rFonts w:ascii="Times New Roman" w:hAnsi="Times New Roman" w:cs="Times New Roman"/>
          <w:sz w:val="24"/>
          <w:szCs w:val="24"/>
        </w:rPr>
        <w:t>so many astonishing things are told by so many people about events of this kind.</w:t>
      </w:r>
    </w:p>
    <w:p w14:paraId="03AA03B0" w14:textId="77777777" w:rsidR="00B965DC" w:rsidRDefault="00B965DC" w:rsidP="00E500B4">
      <w:pPr>
        <w:spacing w:after="0" w:line="360" w:lineRule="auto"/>
        <w:jc w:val="both"/>
        <w:rPr>
          <w:rFonts w:ascii="Times New Roman" w:hAnsi="Times New Roman" w:cs="Times New Roman"/>
          <w:sz w:val="24"/>
          <w:szCs w:val="24"/>
        </w:rPr>
      </w:pPr>
    </w:p>
    <w:p w14:paraId="04437535" w14:textId="0F3F6754" w:rsidR="00E500B4" w:rsidRPr="002F6F01" w:rsidRDefault="00E500B4" w:rsidP="00E500B4">
      <w:pPr>
        <w:spacing w:after="0"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Concerning a certain boy and girl coming out of the ground.</w:t>
      </w:r>
    </w:p>
    <w:p w14:paraId="7283922C" w14:textId="15E38A93" w:rsidR="00E500B4" w:rsidRDefault="00E500B4" w:rsidP="000F408A">
      <w:pPr>
        <w:tabs>
          <w:tab w:val="left" w:pos="4678"/>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marvel too happened earlier not unlike this in </w:t>
      </w:r>
      <w:r w:rsidRPr="00D94244">
        <w:rPr>
          <w:rFonts w:ascii="Times New Roman" w:hAnsi="Times New Roman" w:cs="Times New Roman"/>
          <w:sz w:val="24"/>
          <w:szCs w:val="24"/>
        </w:rPr>
        <w:t>Suffolk at St Mary of Woolpit</w:t>
      </w:r>
      <w:r w:rsidR="00D94244">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A certain boy was found with his sister by the inhabitants of that </w:t>
      </w:r>
      <w:r w:rsidRPr="006D2E44">
        <w:rPr>
          <w:rFonts w:ascii="Times New Roman" w:hAnsi="Times New Roman" w:cs="Times New Roman"/>
          <w:sz w:val="24"/>
          <w:szCs w:val="24"/>
        </w:rPr>
        <w:t>place, near the mouth of some kind of pit</w:t>
      </w:r>
      <w:r w:rsidR="00262CE5">
        <w:rPr>
          <w:rStyle w:val="FootnoteReference"/>
          <w:rFonts w:ascii="Times New Roman" w:hAnsi="Times New Roman" w:cs="Times New Roman"/>
          <w:sz w:val="24"/>
          <w:szCs w:val="24"/>
        </w:rPr>
        <w:footnoteReference w:id="13"/>
      </w:r>
      <w:r w:rsidRPr="006D2E44">
        <w:rPr>
          <w:rFonts w:ascii="Times New Roman" w:hAnsi="Times New Roman" w:cs="Times New Roman"/>
          <w:sz w:val="24"/>
          <w:szCs w:val="24"/>
        </w:rPr>
        <w:t xml:space="preserve"> which</w:t>
      </w:r>
      <w:r w:rsidRPr="00763294">
        <w:rPr>
          <w:rFonts w:ascii="Times New Roman" w:hAnsi="Times New Roman" w:cs="Times New Roman"/>
          <w:sz w:val="24"/>
          <w:szCs w:val="24"/>
        </w:rPr>
        <w:t xml:space="preserve"> was there</w:t>
      </w:r>
      <w:r>
        <w:rPr>
          <w:rFonts w:ascii="Times New Roman" w:hAnsi="Times New Roman" w:cs="Times New Roman"/>
          <w:sz w:val="24"/>
          <w:szCs w:val="24"/>
        </w:rPr>
        <w:t xml:space="preserve">, who had the same shape as other man in all their limbs, but were different from all mortals of our knowledge in the colour of their </w:t>
      </w:r>
      <w:r w:rsidRPr="00602E04">
        <w:rPr>
          <w:rFonts w:ascii="Times New Roman" w:hAnsi="Times New Roman" w:cs="Times New Roman"/>
          <w:sz w:val="24"/>
          <w:szCs w:val="24"/>
        </w:rPr>
        <w:t>skin. For all the surface of their skin was tinged with green</w:t>
      </w:r>
      <w:r w:rsidR="00602E04">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r w:rsidRPr="000524E7">
        <w:rPr>
          <w:rFonts w:ascii="Times New Roman" w:hAnsi="Times New Roman" w:cs="Times New Roman"/>
          <w:sz w:val="24"/>
          <w:szCs w:val="24"/>
        </w:rPr>
        <w:t>No one could understand their language</w:t>
      </w:r>
      <w:r w:rsidR="000524E7">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These children, </w:t>
      </w:r>
      <w:r>
        <w:rPr>
          <w:rFonts w:ascii="Times New Roman" w:hAnsi="Times New Roman" w:cs="Times New Roman"/>
          <w:sz w:val="24"/>
          <w:szCs w:val="24"/>
        </w:rPr>
        <w:lastRenderedPageBreak/>
        <w:t xml:space="preserve">therefore, were taken to the home </w:t>
      </w:r>
      <w:r w:rsidRPr="00602E04">
        <w:rPr>
          <w:rFonts w:ascii="Times New Roman" w:hAnsi="Times New Roman" w:cs="Times New Roman"/>
          <w:sz w:val="24"/>
          <w:szCs w:val="24"/>
        </w:rPr>
        <w:t>at Wakes [</w:t>
      </w:r>
      <w:proofErr w:type="spellStart"/>
      <w:r w:rsidRPr="00602E04">
        <w:rPr>
          <w:rFonts w:ascii="Times New Roman" w:hAnsi="Times New Roman" w:cs="Times New Roman"/>
          <w:sz w:val="24"/>
          <w:szCs w:val="24"/>
        </w:rPr>
        <w:t>Esssex</w:t>
      </w:r>
      <w:proofErr w:type="spellEnd"/>
      <w:r w:rsidRPr="00602E04">
        <w:rPr>
          <w:rFonts w:ascii="Times New Roman" w:hAnsi="Times New Roman" w:cs="Times New Roman"/>
          <w:sz w:val="24"/>
          <w:szCs w:val="24"/>
        </w:rPr>
        <w:t>] of Richard of Colne</w:t>
      </w:r>
      <w:r w:rsidR="009B576D">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a certain knight, as a source of astonishment, and they wept inconsolably. Bread and other food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placed before them, but they did not wish to eat any of the food which was given to them, then as a result they were tortured by </w:t>
      </w:r>
      <w:r w:rsidRPr="00FB3BAB">
        <w:rPr>
          <w:rFonts w:ascii="Times New Roman" w:hAnsi="Times New Roman" w:cs="Times New Roman"/>
          <w:sz w:val="24"/>
          <w:szCs w:val="24"/>
        </w:rPr>
        <w:t>terrible pangs of hunger</w:t>
      </w:r>
      <w:r w:rsidR="00256D8B" w:rsidRPr="00FB3BAB">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for a long time, because they believed all food of this kind was inedible, as the girl later confessed. Eventually, when some newly cut beans on their stalks were brought into the house, they made signs with greatest of eagerness that those beans should be given to them. These having been brought to them, they opened the stalks, not the pods of the beans, thinking that the beans were contained in the hollow of the stalks. But not finding the beans in the stalks, they again began to weep. When those standing by noticed this, they opened the pods, and showed them the uncovered beans, having been shown they ate them with great joyfulness, for a long time they scarcely touched any other food. Then the boy, always laid low as if by lassitude, within a short time died. Then the girl enjoying continuing good health, became accustomed to various foods and almost that the leek-green </w:t>
      </w:r>
      <w:r w:rsidRPr="00806E5A">
        <w:rPr>
          <w:rFonts w:ascii="Times New Roman" w:hAnsi="Times New Roman" w:cs="Times New Roman"/>
          <w:sz w:val="24"/>
          <w:szCs w:val="24"/>
        </w:rPr>
        <w:t>colour and gradually recovered the usual blood-colour over her whole body</w:t>
      </w:r>
      <w:r w:rsidR="00806E5A">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After she had been born again in the </w:t>
      </w:r>
      <w:r w:rsidRPr="00385B16">
        <w:rPr>
          <w:rFonts w:ascii="Times New Roman" w:hAnsi="Times New Roman" w:cs="Times New Roman"/>
          <w:sz w:val="24"/>
          <w:szCs w:val="24"/>
        </w:rPr>
        <w:t>font of holy baptism</w:t>
      </w:r>
      <w:r w:rsidR="00385B16">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and remained for many years in the service of the aforesaid knight, (as we have heard often from that knight himself and his household) she lived excessively wantonly and pertly. She was frequently asked about the men of her </w:t>
      </w:r>
      <w:r>
        <w:rPr>
          <w:rFonts w:ascii="Times New Roman" w:hAnsi="Times New Roman" w:cs="Times New Roman"/>
          <w:sz w:val="24"/>
          <w:szCs w:val="24"/>
        </w:rPr>
        <w:lastRenderedPageBreak/>
        <w:t xml:space="preserve">region, she asserted that all </w:t>
      </w:r>
      <w:proofErr w:type="spellStart"/>
      <w:r>
        <w:rPr>
          <w:rFonts w:ascii="Times New Roman" w:hAnsi="Times New Roman" w:cs="Times New Roman"/>
          <w:sz w:val="24"/>
          <w:szCs w:val="24"/>
        </w:rPr>
        <w:t>rho</w:t>
      </w:r>
      <w:proofErr w:type="spellEnd"/>
      <w:r>
        <w:rPr>
          <w:rFonts w:ascii="Times New Roman" w:hAnsi="Times New Roman" w:cs="Times New Roman"/>
          <w:sz w:val="24"/>
          <w:szCs w:val="24"/>
        </w:rPr>
        <w:t xml:space="preserve"> lived there and everything that there was in that area was green complexioned, and that they saw no sun, but that they enjoyed a kind of light, such as there is after the setting of the sun. Questioned about how she had come to be in that area with the aforesaid boy, he replied because they had been following </w:t>
      </w:r>
      <w:r w:rsidRPr="003A5791">
        <w:rPr>
          <w:rFonts w:ascii="Times New Roman" w:hAnsi="Times New Roman" w:cs="Times New Roman"/>
          <w:sz w:val="24"/>
          <w:szCs w:val="24"/>
        </w:rPr>
        <w:t>the herd</w:t>
      </w:r>
      <w:r w:rsidR="003A5791">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they </w:t>
      </w:r>
      <w:r w:rsidRPr="00E51D21">
        <w:rPr>
          <w:rFonts w:ascii="Times New Roman" w:hAnsi="Times New Roman" w:cs="Times New Roman"/>
          <w:sz w:val="24"/>
          <w:szCs w:val="24"/>
        </w:rPr>
        <w:t>had come into a certain cavern. Having gone into this, they heard some delightful kind of sound of bells</w:t>
      </w:r>
      <w:r w:rsidR="00E51D21">
        <w:rPr>
          <w:rStyle w:val="FootnoteReference"/>
          <w:rFonts w:ascii="Times New Roman" w:hAnsi="Times New Roman" w:cs="Times New Roman"/>
          <w:sz w:val="24"/>
          <w:szCs w:val="24"/>
        </w:rPr>
        <w:footnoteReference w:id="21"/>
      </w:r>
      <w:r w:rsidRPr="00E51D21">
        <w:rPr>
          <w:rFonts w:ascii="Times New Roman" w:hAnsi="Times New Roman" w:cs="Times New Roman"/>
          <w:sz w:val="24"/>
          <w:szCs w:val="24"/>
        </w:rPr>
        <w:t>;</w:t>
      </w:r>
      <w:r>
        <w:rPr>
          <w:rFonts w:ascii="Times New Roman" w:hAnsi="Times New Roman" w:cs="Times New Roman"/>
          <w:sz w:val="24"/>
          <w:szCs w:val="24"/>
        </w:rPr>
        <w:t xml:space="preserve"> captivated by the sweetness of this sound they walked about in a wandering way through the cavern, until they came to the way out. Then coming put from there, because of the brightness of the sun and the unaccustomed temperature of the air they down for a long time at the mouth of the cave, as if </w:t>
      </w:r>
      <w:r w:rsidRPr="00624CEC">
        <w:rPr>
          <w:rFonts w:ascii="Times New Roman" w:hAnsi="Times New Roman" w:cs="Times New Roman"/>
          <w:sz w:val="24"/>
          <w:szCs w:val="24"/>
        </w:rPr>
        <w:t>stupefied and made lifeless</w:t>
      </w:r>
      <w:r w:rsidR="00624CEC">
        <w:rPr>
          <w:rStyle w:val="FootnoteReference"/>
          <w:rFonts w:ascii="Times New Roman" w:hAnsi="Times New Roman" w:cs="Times New Roman"/>
          <w:sz w:val="24"/>
          <w:szCs w:val="24"/>
        </w:rPr>
        <w:footnoteReference w:id="22"/>
      </w:r>
      <w:r>
        <w:rPr>
          <w:rFonts w:ascii="Times New Roman" w:hAnsi="Times New Roman" w:cs="Times New Roman"/>
          <w:sz w:val="24"/>
          <w:szCs w:val="24"/>
        </w:rPr>
        <w:t>. Since they were terrified by fear of what might happen to them, they wanted to escape, but they could not find the entrance to the cave at all, until they were caught by them</w:t>
      </w:r>
      <w:r w:rsidR="000F408A">
        <w:rPr>
          <w:rFonts w:ascii="Times New Roman" w:hAnsi="Times New Roman" w:cs="Times New Roman"/>
          <w:sz w:val="24"/>
          <w:szCs w:val="24"/>
        </w:rPr>
        <w:t>.</w:t>
      </w:r>
      <w:r w:rsidR="00A01699">
        <w:rPr>
          <w:rStyle w:val="FootnoteReference"/>
          <w:rFonts w:ascii="Times New Roman" w:hAnsi="Times New Roman" w:cs="Times New Roman"/>
          <w:sz w:val="24"/>
          <w:szCs w:val="24"/>
        </w:rPr>
        <w:footnoteReference w:id="23"/>
      </w:r>
    </w:p>
    <w:p w14:paraId="1B7E1519" w14:textId="77777777" w:rsidR="00884978" w:rsidRDefault="00884978" w:rsidP="000F408A">
      <w:pPr>
        <w:tabs>
          <w:tab w:val="left" w:pos="4678"/>
        </w:tabs>
        <w:spacing w:after="0" w:line="360" w:lineRule="auto"/>
        <w:jc w:val="both"/>
        <w:rPr>
          <w:rFonts w:ascii="Times New Roman" w:hAnsi="Times New Roman" w:cs="Times New Roman"/>
          <w:sz w:val="24"/>
          <w:szCs w:val="24"/>
        </w:rPr>
      </w:pPr>
    </w:p>
    <w:p w14:paraId="3B3BBBF2" w14:textId="77777777" w:rsidR="00884978" w:rsidRDefault="00884978" w:rsidP="000F408A">
      <w:pPr>
        <w:tabs>
          <w:tab w:val="left" w:pos="4678"/>
        </w:tabs>
        <w:spacing w:after="0" w:line="360" w:lineRule="auto"/>
        <w:jc w:val="both"/>
        <w:rPr>
          <w:rFonts w:ascii="Times New Roman" w:hAnsi="Times New Roman" w:cs="Times New Roman"/>
          <w:sz w:val="24"/>
          <w:szCs w:val="24"/>
        </w:rPr>
      </w:pPr>
    </w:p>
    <w:p w14:paraId="344DF351" w14:textId="77777777" w:rsidR="007F49F1" w:rsidRDefault="007F49F1" w:rsidP="00E500B4">
      <w:pPr>
        <w:spacing w:after="0" w:line="360" w:lineRule="auto"/>
        <w:jc w:val="both"/>
        <w:rPr>
          <w:rFonts w:ascii="Times New Roman" w:hAnsi="Times New Roman" w:cs="Times New Roman"/>
          <w:color w:val="FF0000"/>
          <w:sz w:val="24"/>
          <w:szCs w:val="24"/>
        </w:rPr>
      </w:pPr>
    </w:p>
    <w:p w14:paraId="537DE152" w14:textId="2EE57889" w:rsidR="00E500B4" w:rsidRPr="000F408A" w:rsidRDefault="00E500B4" w:rsidP="00E500B4">
      <w:pPr>
        <w:spacing w:after="0"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lastRenderedPageBreak/>
        <w:t>Concerning giant teeth.</w:t>
      </w:r>
    </w:p>
    <w:p w14:paraId="1CC788C9" w14:textId="45924895" w:rsidR="00E51D21" w:rsidRDefault="00E500B4" w:rsidP="00E500B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time </w:t>
      </w:r>
      <w:r w:rsidRPr="008F6570">
        <w:rPr>
          <w:rFonts w:ascii="Times New Roman" w:hAnsi="Times New Roman" w:cs="Times New Roman"/>
          <w:sz w:val="24"/>
          <w:szCs w:val="24"/>
        </w:rPr>
        <w:t>of King Richard, in Essex</w:t>
      </w:r>
      <w:r w:rsidR="008F6570">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on the sea shore, in a village which is called </w:t>
      </w:r>
      <w:proofErr w:type="spellStart"/>
      <w:r w:rsidRPr="008F6570">
        <w:rPr>
          <w:rFonts w:ascii="Times New Roman" w:hAnsi="Times New Roman" w:cs="Times New Roman"/>
          <w:sz w:val="24"/>
          <w:szCs w:val="24"/>
        </w:rPr>
        <w:t>Edolfsness</w:t>
      </w:r>
      <w:proofErr w:type="spellEnd"/>
      <w:r w:rsidRPr="008F6570">
        <w:rPr>
          <w:rFonts w:ascii="Times New Roman" w:hAnsi="Times New Roman" w:cs="Times New Roman"/>
          <w:sz w:val="24"/>
          <w:szCs w:val="24"/>
          <w:u w:val="single"/>
        </w:rPr>
        <w:t>,</w:t>
      </w:r>
      <w:r>
        <w:rPr>
          <w:rFonts w:ascii="Times New Roman" w:hAnsi="Times New Roman" w:cs="Times New Roman"/>
          <w:sz w:val="24"/>
          <w:szCs w:val="24"/>
        </w:rPr>
        <w:t xml:space="preserve"> two teeth belonging to </w:t>
      </w:r>
      <w:r w:rsidRPr="00F32D7A">
        <w:rPr>
          <w:rFonts w:ascii="Times New Roman" w:hAnsi="Times New Roman" w:cs="Times New Roman"/>
          <w:sz w:val="24"/>
          <w:szCs w:val="24"/>
        </w:rPr>
        <w:t>some kind of giant teeth</w:t>
      </w:r>
      <w:r w:rsidR="00F32D7A">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belonging to </w:t>
      </w:r>
      <w:r w:rsidRPr="00F32D7A">
        <w:rPr>
          <w:rFonts w:ascii="Times New Roman" w:hAnsi="Times New Roman" w:cs="Times New Roman"/>
          <w:sz w:val="24"/>
          <w:szCs w:val="24"/>
        </w:rPr>
        <w:t>some kind of giant</w:t>
      </w:r>
      <w:r w:rsidR="00F32D7A">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were found, they were of such size that two hundred teeth such as men now have could have been made out if them. At </w:t>
      </w:r>
      <w:r w:rsidRPr="00F32D7A">
        <w:rPr>
          <w:rFonts w:ascii="Times New Roman" w:hAnsi="Times New Roman" w:cs="Times New Roman"/>
          <w:sz w:val="24"/>
          <w:szCs w:val="24"/>
        </w:rPr>
        <w:t>Coggeshall</w:t>
      </w:r>
      <w:r w:rsidR="00F32D7A">
        <w:rPr>
          <w:rStyle w:val="FootnoteReference"/>
          <w:rFonts w:ascii="Times New Roman" w:hAnsi="Times New Roman" w:cs="Times New Roman"/>
          <w:sz w:val="24"/>
          <w:szCs w:val="24"/>
        </w:rPr>
        <w:footnoteReference w:id="27"/>
      </w:r>
      <w:r w:rsidRPr="00F32D7A">
        <w:rPr>
          <w:rFonts w:ascii="Times New Roman" w:hAnsi="Times New Roman" w:cs="Times New Roman"/>
          <w:sz w:val="24"/>
          <w:szCs w:val="24"/>
        </w:rPr>
        <w:t xml:space="preserve"> w</w:t>
      </w:r>
      <w:r>
        <w:rPr>
          <w:rFonts w:ascii="Times New Roman" w:hAnsi="Times New Roman" w:cs="Times New Roman"/>
          <w:sz w:val="24"/>
          <w:szCs w:val="24"/>
        </w:rPr>
        <w:t xml:space="preserve">e have both seen these teeth and handled them enough to be amazed.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a </w:t>
      </w:r>
      <w:r w:rsidRPr="00F32D7A">
        <w:rPr>
          <w:rFonts w:ascii="Times New Roman" w:hAnsi="Times New Roman" w:cs="Times New Roman"/>
          <w:sz w:val="24"/>
          <w:szCs w:val="24"/>
        </w:rPr>
        <w:t>rib of this giant</w:t>
      </w:r>
      <w:r w:rsidR="00F32D7A">
        <w:rPr>
          <w:rStyle w:val="FootnoteReference"/>
          <w:rFonts w:ascii="Times New Roman" w:hAnsi="Times New Roman" w:cs="Times New Roman"/>
          <w:sz w:val="24"/>
          <w:szCs w:val="24"/>
        </w:rPr>
        <w:footnoteReference w:id="28"/>
      </w:r>
      <w:r w:rsidRPr="00F32D7A">
        <w:rPr>
          <w:rFonts w:ascii="Times New Roman" w:hAnsi="Times New Roman" w:cs="Times New Roman"/>
          <w:sz w:val="24"/>
          <w:szCs w:val="24"/>
        </w:rPr>
        <w:t xml:space="preserve"> was found there, of incredible size and breadth. Then </w:t>
      </w:r>
      <w:proofErr w:type="spellStart"/>
      <w:r w:rsidRPr="00F32D7A">
        <w:rPr>
          <w:rFonts w:ascii="Times New Roman" w:hAnsi="Times New Roman" w:cs="Times New Roman"/>
          <w:sz w:val="24"/>
          <w:szCs w:val="24"/>
        </w:rPr>
        <w:t>too</w:t>
      </w:r>
      <w:proofErr w:type="spellEnd"/>
      <w:r w:rsidRPr="00F32D7A">
        <w:rPr>
          <w:rFonts w:ascii="Times New Roman" w:hAnsi="Times New Roman" w:cs="Times New Roman"/>
          <w:sz w:val="24"/>
          <w:szCs w:val="24"/>
        </w:rPr>
        <w:t xml:space="preserve"> a gigantic head</w:t>
      </w:r>
      <w:r>
        <w:rPr>
          <w:rFonts w:ascii="Times New Roman" w:hAnsi="Times New Roman" w:cs="Times New Roman"/>
          <w:sz w:val="24"/>
          <w:szCs w:val="24"/>
        </w:rPr>
        <w:t xml:space="preserve"> was found in </w:t>
      </w:r>
      <w:r w:rsidRPr="00562873">
        <w:rPr>
          <w:rFonts w:ascii="Times New Roman" w:hAnsi="Times New Roman" w:cs="Times New Roman"/>
          <w:sz w:val="24"/>
          <w:szCs w:val="24"/>
        </w:rPr>
        <w:t>the province of York</w:t>
      </w:r>
      <w:r w:rsidR="00562873">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on the sea shore, the capacity of that head was such that it could take a load of corn. </w:t>
      </w:r>
      <w:r w:rsidRPr="00562873">
        <w:rPr>
          <w:rFonts w:ascii="Times New Roman" w:hAnsi="Times New Roman" w:cs="Times New Roman"/>
          <w:sz w:val="24"/>
          <w:szCs w:val="24"/>
        </w:rPr>
        <w:t xml:space="preserve">All </w:t>
      </w:r>
      <w:r w:rsidRPr="008F3C22">
        <w:rPr>
          <w:rFonts w:ascii="Times New Roman" w:hAnsi="Times New Roman" w:cs="Times New Roman"/>
          <w:sz w:val="24"/>
          <w:szCs w:val="24"/>
        </w:rPr>
        <w:t>these things are proved to be true, because in ancient history books we read about giants</w:t>
      </w:r>
      <w:r w:rsidR="00562873" w:rsidRPr="008F3C22">
        <w:rPr>
          <w:rStyle w:val="FootnoteReference"/>
          <w:rFonts w:ascii="Times New Roman" w:hAnsi="Times New Roman" w:cs="Times New Roman"/>
          <w:sz w:val="24"/>
          <w:szCs w:val="24"/>
        </w:rPr>
        <w:footnoteReference w:id="30"/>
      </w:r>
      <w:r w:rsidRPr="008F3C22">
        <w:rPr>
          <w:rFonts w:ascii="Times New Roman" w:hAnsi="Times New Roman" w:cs="Times New Roman"/>
          <w:sz w:val="24"/>
          <w:szCs w:val="24"/>
        </w:rPr>
        <w:t xml:space="preserve">. </w:t>
      </w:r>
      <w:proofErr w:type="gramStart"/>
      <w:r w:rsidRPr="008F3C22">
        <w:rPr>
          <w:rFonts w:ascii="Times New Roman" w:hAnsi="Times New Roman" w:cs="Times New Roman"/>
          <w:sz w:val="24"/>
          <w:szCs w:val="24"/>
        </w:rPr>
        <w:t>Indeed</w:t>
      </w:r>
      <w:proofErr w:type="gramEnd"/>
      <w:r w:rsidRPr="008F3C22">
        <w:rPr>
          <w:rFonts w:ascii="Times New Roman" w:hAnsi="Times New Roman" w:cs="Times New Roman"/>
          <w:sz w:val="24"/>
          <w:szCs w:val="24"/>
        </w:rPr>
        <w:t xml:space="preserve"> some of our people in Wales have seen a certain young man of immense size, whose height was five cubits, the</w:t>
      </w:r>
      <w:r>
        <w:rPr>
          <w:rFonts w:ascii="Times New Roman" w:hAnsi="Times New Roman" w:cs="Times New Roman"/>
          <w:sz w:val="24"/>
          <w:szCs w:val="24"/>
        </w:rPr>
        <w:t xml:space="preserve"> length and breadth of whose fingers was very great, but who had lost his strength in his youth for some reason. In that same province </w:t>
      </w:r>
      <w:r>
        <w:rPr>
          <w:rFonts w:ascii="Times New Roman" w:hAnsi="Times New Roman" w:cs="Times New Roman"/>
          <w:sz w:val="24"/>
          <w:szCs w:val="24"/>
        </w:rPr>
        <w:lastRenderedPageBreak/>
        <w:t xml:space="preserve">there appeared in the same year footprints of unusual size; and wherever these footprints were imprinted, the grass was left scorched as if by fire. </w:t>
      </w:r>
    </w:p>
    <w:p w14:paraId="35E8E06E" w14:textId="77777777" w:rsidR="00E51D21" w:rsidRDefault="00E51D21" w:rsidP="00E500B4">
      <w:pPr>
        <w:spacing w:after="0" w:line="360" w:lineRule="auto"/>
        <w:jc w:val="both"/>
        <w:rPr>
          <w:rFonts w:ascii="Times New Roman" w:hAnsi="Times New Roman" w:cs="Times New Roman"/>
          <w:sz w:val="24"/>
          <w:szCs w:val="24"/>
        </w:rPr>
      </w:pPr>
    </w:p>
    <w:p w14:paraId="5C34D5CE" w14:textId="1B3EF55E" w:rsidR="00E500B4" w:rsidRPr="002F6F01" w:rsidRDefault="00E500B4" w:rsidP="00E500B4">
      <w:pPr>
        <w:spacing w:after="0"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Concerning a certain fantastical spirit.</w:t>
      </w:r>
    </w:p>
    <w:p w14:paraId="71FB1CE5" w14:textId="7640EA8E" w:rsidR="00AF3BC1" w:rsidRPr="00AF3BC1" w:rsidRDefault="00E500B4" w:rsidP="00E500B4">
      <w:pPr>
        <w:rPr>
          <w:sz w:val="32"/>
          <w:szCs w:val="32"/>
        </w:rPr>
      </w:pPr>
      <w:r>
        <w:rPr>
          <w:rFonts w:ascii="Times New Roman" w:hAnsi="Times New Roman" w:cs="Times New Roman"/>
          <w:sz w:val="24"/>
          <w:szCs w:val="24"/>
        </w:rPr>
        <w:t xml:space="preserve">In the time of </w:t>
      </w:r>
      <w:r w:rsidRPr="00CE1DF7">
        <w:rPr>
          <w:rFonts w:ascii="Times New Roman" w:hAnsi="Times New Roman" w:cs="Times New Roman"/>
          <w:sz w:val="24"/>
          <w:szCs w:val="24"/>
        </w:rPr>
        <w:t xml:space="preserve">King Richard at </w:t>
      </w:r>
      <w:proofErr w:type="spellStart"/>
      <w:r w:rsidRPr="00CE1DF7">
        <w:rPr>
          <w:rFonts w:ascii="Times New Roman" w:hAnsi="Times New Roman" w:cs="Times New Roman"/>
          <w:sz w:val="24"/>
          <w:szCs w:val="24"/>
        </w:rPr>
        <w:t>Dagworth</w:t>
      </w:r>
      <w:proofErr w:type="spellEnd"/>
      <w:r w:rsidR="00CE1DF7">
        <w:rPr>
          <w:rStyle w:val="FootnoteReference"/>
          <w:rFonts w:ascii="Times New Roman" w:hAnsi="Times New Roman" w:cs="Times New Roman"/>
          <w:sz w:val="24"/>
          <w:szCs w:val="24"/>
        </w:rPr>
        <w:footnoteReference w:id="31"/>
      </w:r>
      <w:r w:rsidRPr="00CE1DF7">
        <w:rPr>
          <w:rFonts w:ascii="Times New Roman" w:hAnsi="Times New Roman" w:cs="Times New Roman"/>
          <w:sz w:val="24"/>
          <w:szCs w:val="24"/>
        </w:rPr>
        <w:t>, in Suffolk, a certain fantastical spirit</w:t>
      </w:r>
      <w:r w:rsidR="00584FA1">
        <w:rPr>
          <w:rStyle w:val="FootnoteReference"/>
          <w:rFonts w:ascii="Times New Roman" w:hAnsi="Times New Roman" w:cs="Times New Roman"/>
          <w:sz w:val="24"/>
          <w:szCs w:val="24"/>
        </w:rPr>
        <w:footnoteReference w:id="32"/>
      </w:r>
      <w:r w:rsidRPr="00CE1DF7">
        <w:rPr>
          <w:rFonts w:ascii="Times New Roman" w:hAnsi="Times New Roman" w:cs="Times New Roman"/>
          <w:sz w:val="24"/>
          <w:szCs w:val="24"/>
        </w:rPr>
        <w:t xml:space="preserve"> appeared many times and often in the house of </w:t>
      </w:r>
      <w:proofErr w:type="spellStart"/>
      <w:r w:rsidRPr="00CE1DF7">
        <w:rPr>
          <w:rFonts w:ascii="Times New Roman" w:hAnsi="Times New Roman" w:cs="Times New Roman"/>
          <w:sz w:val="24"/>
          <w:szCs w:val="24"/>
        </w:rPr>
        <w:t>Osbern</w:t>
      </w:r>
      <w:proofErr w:type="spellEnd"/>
      <w:r w:rsidRPr="00CE1DF7">
        <w:rPr>
          <w:rFonts w:ascii="Times New Roman" w:hAnsi="Times New Roman" w:cs="Times New Roman"/>
          <w:sz w:val="24"/>
          <w:szCs w:val="24"/>
        </w:rPr>
        <w:t xml:space="preserve"> of Bradwell</w:t>
      </w:r>
      <w:r w:rsidR="00403FEB">
        <w:rPr>
          <w:rStyle w:val="FootnoteReference"/>
          <w:rFonts w:ascii="Times New Roman" w:hAnsi="Times New Roman" w:cs="Times New Roman"/>
          <w:sz w:val="24"/>
          <w:szCs w:val="24"/>
        </w:rPr>
        <w:footnoteReference w:id="33"/>
      </w:r>
      <w:r w:rsidRPr="00CE1DF7">
        <w:rPr>
          <w:rFonts w:ascii="Times New Roman" w:hAnsi="Times New Roman" w:cs="Times New Roman"/>
          <w:sz w:val="24"/>
          <w:szCs w:val="24"/>
        </w:rPr>
        <w:t>, speaking</w:t>
      </w:r>
      <w:r>
        <w:rPr>
          <w:rFonts w:ascii="Times New Roman" w:hAnsi="Times New Roman" w:cs="Times New Roman"/>
          <w:sz w:val="24"/>
          <w:szCs w:val="24"/>
        </w:rPr>
        <w:t xml:space="preserve"> to the household of that knight, assuming in tone and the voice of a one-year-old infant, and it called </w:t>
      </w:r>
      <w:r w:rsidRPr="00584FA1">
        <w:rPr>
          <w:rFonts w:ascii="Times New Roman" w:hAnsi="Times New Roman" w:cs="Times New Roman"/>
          <w:sz w:val="24"/>
          <w:szCs w:val="24"/>
        </w:rPr>
        <w:t>itself Malkin</w:t>
      </w:r>
      <w:r w:rsidR="00267CE9">
        <w:rPr>
          <w:rStyle w:val="FootnoteReference"/>
          <w:rFonts w:ascii="Times New Roman" w:hAnsi="Times New Roman" w:cs="Times New Roman"/>
          <w:sz w:val="24"/>
          <w:szCs w:val="24"/>
        </w:rPr>
        <w:footnoteReference w:id="34"/>
      </w:r>
      <w:r w:rsidRPr="00D205D4">
        <w:rPr>
          <w:rFonts w:ascii="Times New Roman" w:hAnsi="Times New Roman" w:cs="Times New Roman"/>
          <w:sz w:val="24"/>
          <w:szCs w:val="24"/>
        </w:rPr>
        <w:t>.</w:t>
      </w:r>
      <w:r>
        <w:rPr>
          <w:rFonts w:ascii="Times New Roman" w:hAnsi="Times New Roman" w:cs="Times New Roman"/>
          <w:sz w:val="24"/>
          <w:szCs w:val="24"/>
        </w:rPr>
        <w:t xml:space="preserve"> She asserted that her mother lived in a nearby house with her brother, and she said that she was often scolded by them, and so, leaving them, she ventured to talk to men. She did and said wonderful and laughable things, often exposing other people’s secret activities. At first the wife of the knight and the whole household were really terrified by these meetings with her, but afterwards they became accustomed to her speech and ridiculous antics, and they talked confidently and freely to her, asking her lots of questions. She spoke in English in the dialect of that area, but now and then she spoke in Latin, and discussed the scriptures with the </w:t>
      </w:r>
      <w:r w:rsidRPr="00FD6459">
        <w:rPr>
          <w:rFonts w:ascii="Times New Roman" w:hAnsi="Times New Roman" w:cs="Times New Roman"/>
          <w:sz w:val="24"/>
          <w:szCs w:val="24"/>
        </w:rPr>
        <w:t>chaplain</w:t>
      </w:r>
      <w:r w:rsidR="00FD6459">
        <w:rPr>
          <w:rStyle w:val="FootnoteReference"/>
          <w:rFonts w:ascii="Times New Roman" w:hAnsi="Times New Roman" w:cs="Times New Roman"/>
          <w:sz w:val="24"/>
          <w:szCs w:val="24"/>
        </w:rPr>
        <w:footnoteReference w:id="35"/>
      </w:r>
      <w:r w:rsidRPr="00FD6459">
        <w:rPr>
          <w:rFonts w:ascii="Times New Roman" w:hAnsi="Times New Roman" w:cs="Times New Roman"/>
          <w:sz w:val="24"/>
          <w:szCs w:val="24"/>
        </w:rPr>
        <w:t xml:space="preserve"> of that knight</w:t>
      </w:r>
      <w:r>
        <w:rPr>
          <w:rFonts w:ascii="Times New Roman" w:hAnsi="Times New Roman" w:cs="Times New Roman"/>
          <w:sz w:val="24"/>
          <w:szCs w:val="24"/>
        </w:rPr>
        <w:t xml:space="preserve">, as he himself truthfully declared to us. She could be heard and felt, but could not be seen by a certain chambermaid in the shape of a very small baby, dressed in a sort of white tunic, before this she had been strongly requested and begged by the girl, to make herself visible to her. But she would not agree at all to this request, until the girl swore by God that she would not touch her or take hold of her. She also admitted that she was born </w:t>
      </w:r>
      <w:r w:rsidRPr="00584FA1">
        <w:rPr>
          <w:rFonts w:ascii="Times New Roman" w:hAnsi="Times New Roman" w:cs="Times New Roman"/>
          <w:sz w:val="24"/>
          <w:szCs w:val="24"/>
        </w:rPr>
        <w:t xml:space="preserve">at </w:t>
      </w:r>
      <w:proofErr w:type="spellStart"/>
      <w:r w:rsidRPr="00584FA1">
        <w:rPr>
          <w:rFonts w:ascii="Times New Roman" w:hAnsi="Times New Roman" w:cs="Times New Roman"/>
          <w:sz w:val="24"/>
          <w:szCs w:val="24"/>
        </w:rPr>
        <w:t>Lanaham</w:t>
      </w:r>
      <w:proofErr w:type="spellEnd"/>
      <w:r w:rsidRPr="00584FA1">
        <w:rPr>
          <w:rFonts w:ascii="Times New Roman" w:hAnsi="Times New Roman" w:cs="Times New Roman"/>
          <w:sz w:val="24"/>
          <w:szCs w:val="24"/>
        </w:rPr>
        <w:t>, and while</w:t>
      </w:r>
      <w:r>
        <w:rPr>
          <w:rFonts w:ascii="Times New Roman" w:hAnsi="Times New Roman" w:cs="Times New Roman"/>
          <w:sz w:val="24"/>
          <w:szCs w:val="24"/>
        </w:rPr>
        <w:t xml:space="preserve"> her mother was taking her with her to the fields, which she was harvesting with other people, and when she left her alone in part of the field, she had been carried off by someone else, and she had now lived with her for seven years; and she said that after another seven years she would be returned to her former life with men. She said that she and the others wore a certain hat, which made them invisible. Very often she demanded food and drink from the servants, which were not found any more after they had been placed on top of a certain chest.</w:t>
      </w:r>
    </w:p>
    <w:sectPr w:rsidR="00AF3BC1" w:rsidRPr="00AF3B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BEAFA" w14:textId="77777777" w:rsidR="00193826" w:rsidRDefault="00193826" w:rsidP="00193826">
      <w:pPr>
        <w:spacing w:after="0" w:line="240" w:lineRule="auto"/>
      </w:pPr>
      <w:r>
        <w:separator/>
      </w:r>
    </w:p>
  </w:endnote>
  <w:endnote w:type="continuationSeparator" w:id="0">
    <w:p w14:paraId="1F22E4DC" w14:textId="77777777" w:rsidR="00193826" w:rsidRDefault="00193826" w:rsidP="00193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BA92F" w14:textId="77777777" w:rsidR="00193826" w:rsidRDefault="00193826" w:rsidP="00193826">
      <w:pPr>
        <w:spacing w:after="0" w:line="240" w:lineRule="auto"/>
      </w:pPr>
      <w:r>
        <w:separator/>
      </w:r>
    </w:p>
  </w:footnote>
  <w:footnote w:type="continuationSeparator" w:id="0">
    <w:p w14:paraId="518AF9E3" w14:textId="77777777" w:rsidR="00193826" w:rsidRDefault="00193826" w:rsidP="00193826">
      <w:pPr>
        <w:spacing w:after="0" w:line="240" w:lineRule="auto"/>
      </w:pPr>
      <w:r>
        <w:continuationSeparator/>
      </w:r>
    </w:p>
  </w:footnote>
  <w:footnote w:id="1">
    <w:p w14:paraId="05F0D025" w14:textId="0DD698A2" w:rsidR="00FC6748" w:rsidRPr="0046752D" w:rsidRDefault="00FC6748" w:rsidP="00532E5F">
      <w:pPr>
        <w:pStyle w:val="FootnoteText"/>
        <w:rPr>
          <w:rFonts w:cstheme="minorHAnsi"/>
          <w:sz w:val="22"/>
          <w:szCs w:val="22"/>
        </w:rPr>
      </w:pPr>
      <w:r w:rsidRPr="0046752D">
        <w:rPr>
          <w:rStyle w:val="FootnoteReference"/>
          <w:rFonts w:cstheme="minorHAnsi"/>
          <w:sz w:val="22"/>
          <w:szCs w:val="22"/>
        </w:rPr>
        <w:footnoteRef/>
      </w:r>
      <w:r w:rsidRPr="0046752D">
        <w:rPr>
          <w:rFonts w:cstheme="minorHAnsi"/>
          <w:sz w:val="22"/>
          <w:szCs w:val="22"/>
        </w:rPr>
        <w:t xml:space="preserve"> </w:t>
      </w:r>
      <w:r w:rsidR="00D62499" w:rsidRPr="0046752D">
        <w:rPr>
          <w:rFonts w:cstheme="minorHAnsi"/>
          <w:sz w:val="22"/>
          <w:szCs w:val="22"/>
        </w:rPr>
        <w:t>Ralph of Coggeshall and the incident were roughly 40 years apart</w:t>
      </w:r>
    </w:p>
  </w:footnote>
  <w:footnote w:id="2">
    <w:p w14:paraId="6A998765" w14:textId="10D2B5D8" w:rsidR="00245956" w:rsidRPr="0046752D" w:rsidRDefault="00193826" w:rsidP="00532E5F">
      <w:pPr>
        <w:spacing w:line="240" w:lineRule="auto"/>
        <w:rPr>
          <w:rFonts w:cstheme="minorHAnsi"/>
        </w:rPr>
      </w:pPr>
      <w:r w:rsidRPr="0046752D">
        <w:rPr>
          <w:rStyle w:val="FootnoteReference"/>
          <w:rFonts w:cstheme="minorHAnsi"/>
        </w:rPr>
        <w:footnoteRef/>
      </w:r>
      <w:r w:rsidRPr="0046752D">
        <w:rPr>
          <w:rFonts w:cstheme="minorHAnsi"/>
        </w:rPr>
        <w:t xml:space="preserve"> The time of King Henry II was between the 5th of March 1133 and the 6th of July 1189. Also known as Henry of Anjou, Henry would be named Duke of Normandy from 1150 by King Louis VII of France. His marriage to Eleanor of Aquitaine in 1152 would secure vast French territories. Later in 1154 Henry would be crowned King of England. Henry would unite a divided nation and build an empire however his reign was constantly put under strain by family disputes surrounding inheritance of the throne eventually concluding with Richard I driving Henry from the throne in 1189</w:t>
      </w:r>
    </w:p>
    <w:p w14:paraId="6ACCB694" w14:textId="10CC5E88" w:rsidR="00FF783D" w:rsidRPr="0046752D" w:rsidRDefault="00FF783D" w:rsidP="00532E5F">
      <w:pPr>
        <w:pStyle w:val="NormalWeb"/>
        <w:numPr>
          <w:ilvl w:val="0"/>
          <w:numId w:val="1"/>
        </w:numPr>
        <w:spacing w:before="0" w:beforeAutospacing="0" w:after="0" w:afterAutospacing="0"/>
        <w:rPr>
          <w:rFonts w:asciiTheme="minorHAnsi" w:hAnsiTheme="minorHAnsi" w:cstheme="minorHAnsi"/>
          <w:sz w:val="22"/>
          <w:szCs w:val="22"/>
        </w:rPr>
      </w:pPr>
      <w:r w:rsidRPr="0046752D">
        <w:rPr>
          <w:rFonts w:asciiTheme="minorHAnsi" w:hAnsiTheme="minorHAnsi" w:cstheme="minorHAnsi"/>
          <w:sz w:val="22"/>
          <w:szCs w:val="22"/>
        </w:rPr>
        <w:t xml:space="preserve">Further reading for </w:t>
      </w:r>
      <w:r w:rsidR="0022474A" w:rsidRPr="0046752D">
        <w:rPr>
          <w:rFonts w:asciiTheme="minorHAnsi" w:hAnsiTheme="minorHAnsi" w:cstheme="minorHAnsi"/>
          <w:sz w:val="22"/>
          <w:szCs w:val="22"/>
        </w:rPr>
        <w:t xml:space="preserve">more of an insight into </w:t>
      </w:r>
      <w:r w:rsidRPr="0046752D">
        <w:rPr>
          <w:rFonts w:asciiTheme="minorHAnsi" w:hAnsiTheme="minorHAnsi" w:cstheme="minorHAnsi"/>
          <w:sz w:val="22"/>
          <w:szCs w:val="22"/>
        </w:rPr>
        <w:t xml:space="preserve">Henry II - Urbanski, C. (2013). Henry II. In </w:t>
      </w:r>
      <w:r w:rsidRPr="0046752D">
        <w:rPr>
          <w:rFonts w:asciiTheme="minorHAnsi" w:hAnsiTheme="minorHAnsi" w:cstheme="minorHAnsi"/>
          <w:i/>
          <w:iCs/>
          <w:sz w:val="22"/>
          <w:szCs w:val="22"/>
        </w:rPr>
        <w:t>Writing History for the King: Henry II and the Politics of Vernacular Historiography</w:t>
      </w:r>
      <w:r w:rsidRPr="0046752D">
        <w:rPr>
          <w:rFonts w:asciiTheme="minorHAnsi" w:hAnsiTheme="minorHAnsi" w:cstheme="minorHAnsi"/>
          <w:sz w:val="22"/>
          <w:szCs w:val="22"/>
        </w:rPr>
        <w:t xml:space="preserve"> (pp. 38–82). Cornell University Press. </w:t>
      </w:r>
      <w:hyperlink r:id="rId1" w:history="1">
        <w:r w:rsidRPr="0046752D">
          <w:rPr>
            <w:rStyle w:val="Hyperlink"/>
            <w:rFonts w:asciiTheme="minorHAnsi" w:hAnsiTheme="minorHAnsi" w:cstheme="minorHAnsi"/>
            <w:sz w:val="22"/>
            <w:szCs w:val="22"/>
          </w:rPr>
          <w:t>http://www.jstor.org/stable/10.7591/j.ctt32b522.9</w:t>
        </w:r>
      </w:hyperlink>
    </w:p>
    <w:p w14:paraId="0CC58AA4" w14:textId="5590B753" w:rsidR="00193826" w:rsidRPr="0046752D" w:rsidRDefault="00193826" w:rsidP="00532E5F">
      <w:pPr>
        <w:pStyle w:val="FootnoteText"/>
        <w:rPr>
          <w:rFonts w:cstheme="minorHAnsi"/>
          <w:sz w:val="22"/>
          <w:szCs w:val="22"/>
        </w:rPr>
      </w:pPr>
    </w:p>
  </w:footnote>
  <w:footnote w:id="3">
    <w:p w14:paraId="313A1195" w14:textId="4CF55523" w:rsidR="006E1C89" w:rsidRPr="0046752D" w:rsidRDefault="005224C6" w:rsidP="00532E5F">
      <w:pPr>
        <w:pStyle w:val="FootnoteText"/>
        <w:rPr>
          <w:rFonts w:cstheme="minorHAnsi"/>
          <w:sz w:val="22"/>
          <w:szCs w:val="22"/>
        </w:rPr>
      </w:pPr>
      <w:r w:rsidRPr="0046752D">
        <w:rPr>
          <w:rStyle w:val="FootnoteReference"/>
          <w:rFonts w:cstheme="minorHAnsi"/>
          <w:sz w:val="22"/>
          <w:szCs w:val="22"/>
        </w:rPr>
        <w:footnoteRef/>
      </w:r>
      <w:r w:rsidRPr="0046752D">
        <w:rPr>
          <w:rFonts w:cstheme="minorHAnsi"/>
          <w:sz w:val="22"/>
          <w:szCs w:val="22"/>
        </w:rPr>
        <w:t xml:space="preserve"> Sir Bartholomew de Glanville, Viscount of Norfolk, and Suffolk (1169,1175), Governor of Orford Castle in 1167 was the son of William “Earl Glanville” 1113 and Beatrix de Sackville, Co-heiress of Sir William de Sackville. Glanville would have overseen the construction of the castle</w:t>
      </w:r>
    </w:p>
    <w:p w14:paraId="16DC5750" w14:textId="7B46B4BC" w:rsidR="006E1C89" w:rsidRPr="0046752D" w:rsidRDefault="006E1C89" w:rsidP="00532E5F">
      <w:pPr>
        <w:pStyle w:val="ListParagraph"/>
        <w:numPr>
          <w:ilvl w:val="0"/>
          <w:numId w:val="1"/>
        </w:numPr>
        <w:spacing w:line="240" w:lineRule="auto"/>
        <w:rPr>
          <w:rFonts w:cstheme="minorHAnsi"/>
        </w:rPr>
      </w:pPr>
      <w:r w:rsidRPr="0046752D">
        <w:rPr>
          <w:rFonts w:cstheme="minorHAnsi"/>
        </w:rPr>
        <w:t>Highly useful source for Glandville - Glanville-Richards, W. U. S. (1882). Records of the Anglo-Norman House of Glanville from A.D. 1050 to 1880. United Kingdom: Mitchell and Hughes.</w:t>
      </w:r>
    </w:p>
  </w:footnote>
  <w:footnote w:id="4">
    <w:p w14:paraId="39AB108D" w14:textId="00E6CAB2" w:rsidR="00A747CA" w:rsidRPr="0046752D" w:rsidRDefault="00A747CA" w:rsidP="00532E5F">
      <w:pPr>
        <w:pStyle w:val="FootnoteText"/>
        <w:rPr>
          <w:rFonts w:cstheme="minorHAnsi"/>
          <w:sz w:val="22"/>
          <w:szCs w:val="22"/>
        </w:rPr>
      </w:pPr>
      <w:r w:rsidRPr="0046752D">
        <w:rPr>
          <w:rStyle w:val="FootnoteReference"/>
          <w:rFonts w:cstheme="minorHAnsi"/>
          <w:sz w:val="22"/>
          <w:szCs w:val="22"/>
        </w:rPr>
        <w:footnoteRef/>
      </w:r>
      <w:r w:rsidRPr="0046752D">
        <w:rPr>
          <w:rFonts w:cstheme="minorHAnsi"/>
          <w:sz w:val="22"/>
          <w:szCs w:val="22"/>
        </w:rPr>
        <w:t xml:space="preserve"> A custodian or castellan was the resident owner or person in charge of the Castle and its grounds</w:t>
      </w:r>
    </w:p>
  </w:footnote>
  <w:footnote w:id="5">
    <w:p w14:paraId="3CAB8F7C" w14:textId="21E96CE1" w:rsidR="00622152" w:rsidRPr="0046752D" w:rsidRDefault="00622152" w:rsidP="00532E5F">
      <w:pPr>
        <w:pStyle w:val="FootnoteText"/>
        <w:rPr>
          <w:rFonts w:cstheme="minorHAnsi"/>
          <w:sz w:val="22"/>
          <w:szCs w:val="22"/>
        </w:rPr>
      </w:pPr>
      <w:r w:rsidRPr="0046752D">
        <w:rPr>
          <w:rStyle w:val="FootnoteReference"/>
          <w:rFonts w:cstheme="minorHAnsi"/>
          <w:sz w:val="22"/>
          <w:szCs w:val="22"/>
        </w:rPr>
        <w:footnoteRef/>
      </w:r>
      <w:r w:rsidRPr="0046752D">
        <w:rPr>
          <w:rFonts w:cstheme="minorHAnsi"/>
          <w:sz w:val="22"/>
          <w:szCs w:val="22"/>
        </w:rPr>
        <w:t xml:space="preserve"> Orford Castle is located in Suffolk and it was supposedly constructed between 1165 and 1173 by Henry II in attempt to consolidate royal power and prevent lords such as Hugh Bigod whom had previously fought against him during the reign of King Stephen</w:t>
      </w:r>
    </w:p>
  </w:footnote>
  <w:footnote w:id="6">
    <w:p w14:paraId="39C59E4F" w14:textId="5807E4E0" w:rsidR="009A6EE5" w:rsidRPr="0046752D" w:rsidRDefault="009A6EE5" w:rsidP="00532E5F">
      <w:pPr>
        <w:pStyle w:val="FootnoteText"/>
        <w:rPr>
          <w:rFonts w:cstheme="minorHAnsi"/>
          <w:sz w:val="22"/>
          <w:szCs w:val="22"/>
        </w:rPr>
      </w:pPr>
      <w:r w:rsidRPr="0046752D">
        <w:rPr>
          <w:rStyle w:val="FootnoteReference"/>
          <w:rFonts w:cstheme="minorHAnsi"/>
          <w:sz w:val="22"/>
          <w:szCs w:val="22"/>
        </w:rPr>
        <w:footnoteRef/>
      </w:r>
      <w:r w:rsidRPr="0046752D">
        <w:rPr>
          <w:rFonts w:cstheme="minorHAnsi"/>
          <w:sz w:val="22"/>
          <w:szCs w:val="22"/>
        </w:rPr>
        <w:t xml:space="preserve"> The English Channel is located between the United Kingdom and the Netherlands in present day geography, the bay in which the fisherman was most likely fishing in when capturing this mysterious creature is most likely Hollesley Bay as it is known today as this is the Bay closest located to Orford Castle</w:t>
      </w:r>
    </w:p>
  </w:footnote>
  <w:footnote w:id="7">
    <w:p w14:paraId="2BCAD630" w14:textId="77777777" w:rsidR="006A662C" w:rsidRPr="0046752D" w:rsidRDefault="006A662C" w:rsidP="00532E5F">
      <w:pPr>
        <w:pStyle w:val="NormalWeb"/>
        <w:spacing w:before="0" w:beforeAutospacing="0" w:after="160" w:afterAutospacing="0"/>
        <w:rPr>
          <w:rFonts w:asciiTheme="minorHAnsi" w:hAnsiTheme="minorHAnsi" w:cstheme="minorHAnsi"/>
          <w:sz w:val="22"/>
          <w:szCs w:val="22"/>
        </w:rPr>
      </w:pPr>
      <w:r w:rsidRPr="0046752D">
        <w:rPr>
          <w:rStyle w:val="FootnoteReference"/>
          <w:rFonts w:asciiTheme="minorHAnsi" w:hAnsiTheme="minorHAnsi" w:cstheme="minorHAnsi"/>
          <w:sz w:val="22"/>
          <w:szCs w:val="22"/>
        </w:rPr>
        <w:footnoteRef/>
      </w:r>
      <w:r w:rsidRPr="0046752D">
        <w:rPr>
          <w:rFonts w:asciiTheme="minorHAnsi" w:hAnsiTheme="minorHAnsi" w:cstheme="minorHAnsi"/>
          <w:sz w:val="22"/>
          <w:szCs w:val="22"/>
        </w:rPr>
        <w:t xml:space="preserve"> The extra detail surrounding the merman’s hair, beard and chest hair may seem odd however in the medieval period a person’s hair could tell us a lot as it carried both religious and cultural significance. The fact that the creature’s hair on his head had been destroyed demonstrate the foreign nature of this creature as it was popular for noblemen to grow their hair at varying points during the Middle Ages.  </w:t>
      </w:r>
    </w:p>
    <w:p w14:paraId="1F87B25A" w14:textId="77777777" w:rsidR="006A662C" w:rsidRPr="0046752D" w:rsidRDefault="006A662C" w:rsidP="00532E5F">
      <w:pPr>
        <w:pStyle w:val="NormalWeb"/>
        <w:numPr>
          <w:ilvl w:val="0"/>
          <w:numId w:val="1"/>
        </w:numPr>
        <w:spacing w:before="0" w:beforeAutospacing="0" w:after="0" w:afterAutospacing="0"/>
        <w:rPr>
          <w:rFonts w:asciiTheme="minorHAnsi" w:hAnsiTheme="minorHAnsi" w:cstheme="minorHAnsi"/>
          <w:sz w:val="22"/>
          <w:szCs w:val="22"/>
        </w:rPr>
      </w:pPr>
      <w:r w:rsidRPr="0046752D">
        <w:rPr>
          <w:rFonts w:asciiTheme="minorHAnsi" w:hAnsiTheme="minorHAnsi" w:cstheme="minorHAnsi"/>
          <w:sz w:val="22"/>
          <w:szCs w:val="22"/>
        </w:rPr>
        <w:t>Additional resource for body hair- Newman, P. B. (2018). Daily Life in the Middle Ages. United States: McFarland, Incorporated, Publishers.</w:t>
      </w:r>
    </w:p>
    <w:p w14:paraId="6DD05D72" w14:textId="33D1E20A" w:rsidR="006A662C" w:rsidRPr="0046752D" w:rsidRDefault="006A662C">
      <w:pPr>
        <w:pStyle w:val="FootnoteText"/>
        <w:rPr>
          <w:rFonts w:cstheme="minorHAnsi"/>
          <w:sz w:val="22"/>
          <w:szCs w:val="22"/>
        </w:rPr>
      </w:pPr>
    </w:p>
  </w:footnote>
  <w:footnote w:id="8">
    <w:p w14:paraId="5B75EFD4" w14:textId="664F381A" w:rsidR="00532E5F" w:rsidRPr="0046752D" w:rsidRDefault="00D039E2" w:rsidP="00532E5F">
      <w:pPr>
        <w:pStyle w:val="FootnoteText"/>
        <w:rPr>
          <w:rFonts w:cstheme="minorHAnsi"/>
          <w:sz w:val="22"/>
          <w:szCs w:val="22"/>
        </w:rPr>
      </w:pPr>
      <w:r w:rsidRPr="0046752D">
        <w:rPr>
          <w:rStyle w:val="FootnoteReference"/>
          <w:rFonts w:cstheme="minorHAnsi"/>
          <w:sz w:val="22"/>
          <w:szCs w:val="22"/>
        </w:rPr>
        <w:footnoteRef/>
      </w:r>
      <w:r w:rsidRPr="0046752D">
        <w:rPr>
          <w:rFonts w:cstheme="minorHAnsi"/>
          <w:sz w:val="22"/>
          <w:szCs w:val="22"/>
        </w:rPr>
        <w:t xml:space="preserve"> Hairy men</w:t>
      </w:r>
      <w:r w:rsidR="00AA15AF" w:rsidRPr="0046752D">
        <w:rPr>
          <w:rFonts w:cstheme="minorHAnsi"/>
          <w:sz w:val="22"/>
          <w:szCs w:val="22"/>
        </w:rPr>
        <w:t xml:space="preserve">, </w:t>
      </w:r>
      <w:r w:rsidRPr="0046752D">
        <w:rPr>
          <w:rFonts w:cstheme="minorHAnsi"/>
          <w:sz w:val="22"/>
          <w:szCs w:val="22"/>
        </w:rPr>
        <w:t xml:space="preserve">Wild men </w:t>
      </w:r>
      <w:r w:rsidR="00AA15AF" w:rsidRPr="0046752D">
        <w:rPr>
          <w:rFonts w:cstheme="minorHAnsi"/>
          <w:sz w:val="22"/>
          <w:szCs w:val="22"/>
        </w:rPr>
        <w:t>or ‘woodwoes</w:t>
      </w:r>
      <w:r w:rsidR="006175CA" w:rsidRPr="0046752D">
        <w:rPr>
          <w:rFonts w:cstheme="minorHAnsi"/>
          <w:sz w:val="22"/>
          <w:szCs w:val="22"/>
        </w:rPr>
        <w:t xml:space="preserve">’ </w:t>
      </w:r>
      <w:r w:rsidRPr="0046752D">
        <w:rPr>
          <w:rFonts w:cstheme="minorHAnsi"/>
          <w:sz w:val="22"/>
          <w:szCs w:val="22"/>
        </w:rPr>
        <w:t>are an archetype that occur in medieval literature, this often aggressive and bestial creature typically symbolised men’s darker and more destructive sides. The creature’s description of being hairy, unable to speak and no devotion are all signs to the audience of its savagery. Typically, these styles of hairy wild men were of the woods so the difference of this one being of the sea is unique</w:t>
      </w:r>
    </w:p>
    <w:p w14:paraId="11C6C1F3" w14:textId="3AEB632D" w:rsidR="005378AF" w:rsidRPr="0046752D" w:rsidRDefault="005378AF" w:rsidP="00532E5F">
      <w:pPr>
        <w:pStyle w:val="ListParagraph"/>
        <w:numPr>
          <w:ilvl w:val="0"/>
          <w:numId w:val="1"/>
        </w:numPr>
        <w:spacing w:line="240" w:lineRule="auto"/>
        <w:rPr>
          <w:rFonts w:cstheme="minorHAnsi"/>
        </w:rPr>
      </w:pPr>
      <w:r w:rsidRPr="0046752D">
        <w:rPr>
          <w:rFonts w:cstheme="minorHAnsi"/>
        </w:rPr>
        <w:t>Further reading on Wild men and their own place in mythology- Husband, T., Gilmore-House, G. (1980). The Wild Man: Medieval Myth and Symbolism. United States: Metropolitan Museum of Art.</w:t>
      </w:r>
    </w:p>
  </w:footnote>
  <w:footnote w:id="9">
    <w:p w14:paraId="7C63263D" w14:textId="11E4C810" w:rsidR="008238F0" w:rsidRPr="0046752D" w:rsidRDefault="008238F0" w:rsidP="00532E5F">
      <w:pPr>
        <w:spacing w:line="240" w:lineRule="auto"/>
        <w:rPr>
          <w:rFonts w:cstheme="minorHAnsi"/>
        </w:rPr>
      </w:pPr>
      <w:r w:rsidRPr="0046752D">
        <w:rPr>
          <w:rStyle w:val="FootnoteReference"/>
          <w:rFonts w:cstheme="minorHAnsi"/>
        </w:rPr>
        <w:footnoteRef/>
      </w:r>
      <w:r w:rsidRPr="0046752D">
        <w:rPr>
          <w:rFonts w:cstheme="minorHAnsi"/>
        </w:rPr>
        <w:t xml:space="preserve"> The significance of the strange creature showing no belief further demonstrate to the audience the foreign nature of the creature. This lack of devotion might have other implications to the audience of the creature being the work of dark divine intervention explaining this form. A speculation that could be made is that this creature was once a man that due to his dismissal of </w:t>
      </w:r>
      <w:r w:rsidR="00787F81" w:rsidRPr="0046752D">
        <w:rPr>
          <w:rFonts w:cstheme="minorHAnsi"/>
        </w:rPr>
        <w:t>God</w:t>
      </w:r>
      <w:r w:rsidRPr="0046752D">
        <w:rPr>
          <w:rFonts w:cstheme="minorHAnsi"/>
        </w:rPr>
        <w:t xml:space="preserve"> and lack of devotion to religion lead to celestial intervention turning him into a creature as punishment. </w:t>
      </w:r>
    </w:p>
  </w:footnote>
  <w:footnote w:id="10">
    <w:p w14:paraId="1DE37224" w14:textId="7BD3CB39" w:rsidR="00520531" w:rsidRPr="0046752D" w:rsidRDefault="00520531" w:rsidP="00532E5F">
      <w:pPr>
        <w:spacing w:line="240" w:lineRule="auto"/>
      </w:pPr>
      <w:r w:rsidRPr="0046752D">
        <w:rPr>
          <w:rStyle w:val="FootnoteReference"/>
        </w:rPr>
        <w:footnoteRef/>
      </w:r>
      <w:r w:rsidRPr="0046752D">
        <w:t xml:space="preserve"> </w:t>
      </w:r>
      <w:r w:rsidR="00D05E8B" w:rsidRPr="0046752D">
        <w:t xml:space="preserve">There is extensive folklore from all corners of the earth surrounding evil spirits and drowned men. One of these evil spirits was referred to as a Revenant however it is unlikely this is what the creature is supposed to be as it shows no signs of aggression or corpse like features. </w:t>
      </w:r>
    </w:p>
  </w:footnote>
  <w:footnote w:id="11">
    <w:p w14:paraId="32B20F73" w14:textId="77777777" w:rsidR="00F73298" w:rsidRPr="0046752D" w:rsidRDefault="00F73298" w:rsidP="00F73298">
      <w:r w:rsidRPr="0046752D">
        <w:rPr>
          <w:rStyle w:val="FootnoteReference"/>
        </w:rPr>
        <w:footnoteRef/>
      </w:r>
      <w:r w:rsidRPr="0046752D">
        <w:t xml:space="preserve"> The blessed Audoenus may be reference to The Life of St. Audoenus where it is said that an evil spirit entered the body of a drowned man and changed into a seaman or merman.</w:t>
      </w:r>
    </w:p>
    <w:p w14:paraId="63195F16" w14:textId="787910D2" w:rsidR="00F73298" w:rsidRPr="002F6F01" w:rsidRDefault="007F49F1" w:rsidP="002F6F01">
      <w:pPr>
        <w:pStyle w:val="ListParagraph"/>
        <w:numPr>
          <w:ilvl w:val="0"/>
          <w:numId w:val="1"/>
        </w:numPr>
      </w:pPr>
      <w:r w:rsidRPr="0046752D">
        <w:t>For further reading on this- Memorials of Old Suffolk. (1908). United Kingdom: Bemrose &amp; sons, limited.</w:t>
      </w:r>
    </w:p>
  </w:footnote>
  <w:footnote w:id="12">
    <w:p w14:paraId="43A41D64" w14:textId="77777777" w:rsidR="00D94244" w:rsidRPr="0046752D" w:rsidRDefault="00D94244" w:rsidP="00D94244">
      <w:r w:rsidRPr="0046752D">
        <w:rPr>
          <w:rStyle w:val="FootnoteReference"/>
        </w:rPr>
        <w:footnoteRef/>
      </w:r>
      <w:r w:rsidRPr="0046752D">
        <w:t xml:space="preserve"> Woolpit or Wulf-</w:t>
      </w:r>
      <w:proofErr w:type="spellStart"/>
      <w:r w:rsidRPr="0046752D">
        <w:t>pyyt</w:t>
      </w:r>
      <w:proofErr w:type="spellEnd"/>
      <w:r w:rsidRPr="0046752D">
        <w:t xml:space="preserve"> in old English named after the traps built to catch the wolves that roamed the surrounding area of the countryside, The Blessed Virgin Mary church has records as early as 1005 in regards to the Earl of the East Angles giving the church to the Monks of St </w:t>
      </w:r>
      <w:proofErr w:type="spellStart"/>
      <w:r w:rsidRPr="0046752D">
        <w:t>Edmundbury</w:t>
      </w:r>
      <w:proofErr w:type="spellEnd"/>
      <w:r w:rsidRPr="0046752D">
        <w:t>. This church was home to Our Lady of Woolpit and was a site of medieval pilgrimage on account of the holy well that was said to have healing properties for ailments to the eyes.</w:t>
      </w:r>
    </w:p>
    <w:p w14:paraId="70BDA2EA" w14:textId="5B11E01A" w:rsidR="00D94244" w:rsidRPr="002F6F01" w:rsidRDefault="00D94244" w:rsidP="002F6F01">
      <w:pPr>
        <w:pStyle w:val="ListParagraph"/>
        <w:numPr>
          <w:ilvl w:val="0"/>
          <w:numId w:val="1"/>
        </w:numPr>
      </w:pPr>
      <w:r w:rsidRPr="0046752D">
        <w:t xml:space="preserve">Further reading the </w:t>
      </w:r>
      <w:proofErr w:type="spellStart"/>
      <w:r w:rsidRPr="0046752D">
        <w:t>Woolpits</w:t>
      </w:r>
      <w:proofErr w:type="spellEnd"/>
      <w:r w:rsidRPr="0046752D">
        <w:t xml:space="preserve"> connection to Mary and the holy well- Santoro, N. J. (2011). Mary in Our Life: Atlas of the Names and Titles of Mary, the mother of Jesus, and Their Place in Marian Devotion. United Kingdom: iUniverse.</w:t>
      </w:r>
    </w:p>
  </w:footnote>
  <w:footnote w:id="13">
    <w:p w14:paraId="66EB9FD6" w14:textId="77777777" w:rsidR="00262CE5" w:rsidRPr="0046752D" w:rsidRDefault="00262CE5" w:rsidP="00262CE5">
      <w:r w:rsidRPr="0046752D">
        <w:rPr>
          <w:rStyle w:val="FootnoteReference"/>
        </w:rPr>
        <w:footnoteRef/>
      </w:r>
      <w:r w:rsidRPr="0046752D">
        <w:t xml:space="preserve"> In regards to the pit in which they allegedly emerged from it is possible that this is in reference to unknown underground passages or mines from the flint mines that had been in the area possibly Neolithic however this is purely speculatory.</w:t>
      </w:r>
    </w:p>
    <w:p w14:paraId="1D583DD5" w14:textId="785FCD39" w:rsidR="00262CE5" w:rsidRDefault="00262CE5" w:rsidP="00262CE5">
      <w:pPr>
        <w:pStyle w:val="FootnoteText"/>
        <w:numPr>
          <w:ilvl w:val="0"/>
          <w:numId w:val="1"/>
        </w:numPr>
      </w:pPr>
      <w:r w:rsidRPr="0046752D">
        <w:rPr>
          <w:sz w:val="22"/>
          <w:szCs w:val="22"/>
        </w:rPr>
        <w:t>For further reading on this theory- Barber, M., Field, D., Topping, P. (2014). The Neolithic Flint Mines of England. United Kingdom: Historic England.</w:t>
      </w:r>
    </w:p>
  </w:footnote>
  <w:footnote w:id="14">
    <w:p w14:paraId="1FC662FC" w14:textId="309177DF" w:rsidR="00602E04" w:rsidRDefault="00602E04">
      <w:pPr>
        <w:pStyle w:val="FootnoteText"/>
      </w:pPr>
      <w:r>
        <w:rPr>
          <w:rStyle w:val="FootnoteReference"/>
        </w:rPr>
        <w:footnoteRef/>
      </w:r>
      <w:r>
        <w:t xml:space="preserve"> </w:t>
      </w:r>
      <w:r w:rsidRPr="00602E04">
        <w:rPr>
          <w:sz w:val="22"/>
          <w:szCs w:val="22"/>
        </w:rPr>
        <w:t>Due to the infamy of this tale, there have been many theories around these children’s green skin. One of the explanations could be that the children were suffering with arsenic poisoning, matching symptoms include lack of appetite (seen by both children by their refusal to eat). During this period arsenic was a common ingredient for the production of green dyes and continuous handling of the substance would lead to discolouration of the skin as well as deadly illness. Another theory that may more tangible is that the children were suffering with Chlorosis a form of anemia that presents as a green tint of the skin of those suffering from it. This iron deficiency can cause a lack of energy and lack of appetite as seen in the children</w:t>
      </w:r>
    </w:p>
  </w:footnote>
  <w:footnote w:id="15">
    <w:p w14:paraId="7B325AC7" w14:textId="4E67D58C" w:rsidR="000524E7" w:rsidRDefault="000524E7" w:rsidP="000524E7">
      <w:r>
        <w:rPr>
          <w:rStyle w:val="FootnoteReference"/>
        </w:rPr>
        <w:footnoteRef/>
      </w:r>
      <w:r>
        <w:t xml:space="preserve"> The lack of communication between the children and the inhabitants of the village may be explained in various ways for example during the 12</w:t>
      </w:r>
      <w:r w:rsidRPr="00F60AD3">
        <w:rPr>
          <w:vertAlign w:val="superscript"/>
        </w:rPr>
        <w:t>th</w:t>
      </w:r>
      <w:r>
        <w:t xml:space="preserve"> century a wave of Belgium migrants attempting to escape floods came to England so it is possible the children were of Belgian, in addition to this many Flemish people fled to England to avoid religious prosecution under Spanish and Catholic rule so this also may explain the language gap. However, a more likely alternative is that due to lack of standardised education and language differences the children simply spoke their villages own unique dialect that </w:t>
      </w:r>
      <w:proofErr w:type="gramStart"/>
      <w:r>
        <w:t>wouldn’t</w:t>
      </w:r>
      <w:proofErr w:type="gramEnd"/>
      <w:r>
        <w:t xml:space="preserve"> have been used in outside the village. </w:t>
      </w:r>
    </w:p>
  </w:footnote>
  <w:footnote w:id="16">
    <w:p w14:paraId="1C33FD58" w14:textId="3A2C97AA" w:rsidR="009B576D" w:rsidRDefault="009B576D" w:rsidP="00327EC0">
      <w:r>
        <w:rPr>
          <w:rStyle w:val="FootnoteReference"/>
        </w:rPr>
        <w:footnoteRef/>
      </w:r>
      <w:r>
        <w:t xml:space="preserve"> </w:t>
      </w:r>
      <w:r w:rsidR="00327EC0" w:rsidRPr="00864CCD">
        <w:t xml:space="preserve">the home of Wakes most likely refers to the manor of </w:t>
      </w:r>
      <w:proofErr w:type="spellStart"/>
      <w:r w:rsidR="00327EC0" w:rsidRPr="00864CCD">
        <w:t>Wikes</w:t>
      </w:r>
      <w:proofErr w:type="spellEnd"/>
      <w:r w:rsidR="00327EC0" w:rsidRPr="00864CCD">
        <w:t xml:space="preserve">, the children were given to the custody of the Constable of the neighbouring hundred, </w:t>
      </w:r>
      <w:proofErr w:type="spellStart"/>
      <w:r w:rsidR="00327EC0" w:rsidRPr="00864CCD">
        <w:t>Blackbourn</w:t>
      </w:r>
      <w:proofErr w:type="spellEnd"/>
      <w:r w:rsidR="00327EC0" w:rsidRPr="00864CCD">
        <w:t xml:space="preserve">, Richard de Calne. He was certainly a real person however not much is known about him, </w:t>
      </w:r>
      <w:proofErr w:type="gramStart"/>
      <w:r w:rsidR="00327EC0" w:rsidRPr="00864CCD">
        <w:t>Yet</w:t>
      </w:r>
      <w:proofErr w:type="gramEnd"/>
      <w:r w:rsidR="00327EC0" w:rsidRPr="00864CCD">
        <w:t xml:space="preserve"> he definitely held a manor at Bardwell.</w:t>
      </w:r>
    </w:p>
  </w:footnote>
  <w:footnote w:id="17">
    <w:p w14:paraId="347FAC44" w14:textId="5B79F7EE" w:rsidR="00256D8B" w:rsidRDefault="00256D8B">
      <w:pPr>
        <w:pStyle w:val="FootnoteText"/>
      </w:pPr>
      <w:r>
        <w:rPr>
          <w:rStyle w:val="FootnoteReference"/>
        </w:rPr>
        <w:footnoteRef/>
      </w:r>
      <w:r>
        <w:t xml:space="preserve"> </w:t>
      </w:r>
      <w:r w:rsidRPr="00602E04">
        <w:rPr>
          <w:sz w:val="22"/>
          <w:szCs w:val="22"/>
        </w:rPr>
        <w:t xml:space="preserve">These </w:t>
      </w:r>
      <w:r w:rsidR="00602E04" w:rsidRPr="00602E04">
        <w:rPr>
          <w:sz w:val="22"/>
          <w:szCs w:val="22"/>
        </w:rPr>
        <w:t>terrible</w:t>
      </w:r>
      <w:r w:rsidRPr="00602E04">
        <w:rPr>
          <w:sz w:val="22"/>
          <w:szCs w:val="22"/>
        </w:rPr>
        <w:t xml:space="preserve"> pangs of hunger may have been </w:t>
      </w:r>
      <w:r w:rsidR="00602E04" w:rsidRPr="00602E04">
        <w:rPr>
          <w:sz w:val="22"/>
          <w:szCs w:val="22"/>
        </w:rPr>
        <w:t xml:space="preserve">hunger however they may also have been a symptom of arsenic poisoning </w:t>
      </w:r>
    </w:p>
  </w:footnote>
  <w:footnote w:id="18">
    <w:p w14:paraId="09F6FDA1" w14:textId="321C20A4" w:rsidR="00806E5A" w:rsidRDefault="00806E5A" w:rsidP="00806E5A">
      <w:r>
        <w:rPr>
          <w:rStyle w:val="FootnoteReference"/>
        </w:rPr>
        <w:footnoteRef/>
      </w:r>
      <w:r>
        <w:t xml:space="preserve"> The fact that the girl recovered from this strange affliction over time supports the idea that this was more a treatable illness rather than a supernatural spectacle. The girl’s recovery is a unique inclusion from Ralph as it takes some of the fantastical and strange elements away from the story however the mystery and questions surrounding the children and their affliction are still strange enough </w:t>
      </w:r>
    </w:p>
  </w:footnote>
  <w:footnote w:id="19">
    <w:p w14:paraId="0A21521A" w14:textId="47B9C35E" w:rsidR="00385B16" w:rsidRDefault="00385B16" w:rsidP="00385B16">
      <w:r>
        <w:rPr>
          <w:rStyle w:val="FootnoteReference"/>
        </w:rPr>
        <w:footnoteRef/>
      </w:r>
      <w:r>
        <w:t xml:space="preserve"> </w:t>
      </w:r>
      <w:r w:rsidRPr="00B341F5">
        <w:t>The font is used during the sacrament of baptism, also known as christening. According to the Church, all infants are born with Original Sin. The font held the water, which was then poured over the child's head. The ritual was modelled by the New Testament rite. Baptism also acted as a welcome ritual for a new member by the church community.</w:t>
      </w:r>
    </w:p>
    <w:p w14:paraId="56DAD8BF" w14:textId="7CF396B9" w:rsidR="005E6070" w:rsidRDefault="005E6070" w:rsidP="00385B16">
      <w:pPr>
        <w:pStyle w:val="ListParagraph"/>
        <w:numPr>
          <w:ilvl w:val="0"/>
          <w:numId w:val="1"/>
        </w:numPr>
      </w:pPr>
      <w:r>
        <w:t xml:space="preserve">For further reading on religious rituals in England- </w:t>
      </w:r>
      <w:r w:rsidRPr="008A47EE">
        <w:t>Devotional Interaction in Medieval England and Its Afterlives. (2018). Netherlands: Brill.</w:t>
      </w:r>
    </w:p>
  </w:footnote>
  <w:footnote w:id="20">
    <w:p w14:paraId="1964CF25" w14:textId="77777777" w:rsidR="003A5791" w:rsidRDefault="003A5791" w:rsidP="003A5791">
      <w:r>
        <w:rPr>
          <w:rStyle w:val="FootnoteReference"/>
        </w:rPr>
        <w:footnoteRef/>
      </w:r>
      <w:r>
        <w:t xml:space="preserve"> From the information that they were either herding or following cattle it is safe to assume that their family were farmers which may explain the children’s poor diet as well as their lack of taught language. </w:t>
      </w:r>
    </w:p>
    <w:p w14:paraId="42493860" w14:textId="1EE3C6FE" w:rsidR="003A5791" w:rsidRDefault="003A5791" w:rsidP="003A5791">
      <w:pPr>
        <w:pStyle w:val="ListParagraph"/>
        <w:numPr>
          <w:ilvl w:val="0"/>
          <w:numId w:val="1"/>
        </w:numPr>
      </w:pPr>
      <w:r>
        <w:t xml:space="preserve">For further reading of medieval farming- </w:t>
      </w:r>
      <w:proofErr w:type="spellStart"/>
      <w:r w:rsidRPr="00D02A5C">
        <w:t>Postan</w:t>
      </w:r>
      <w:proofErr w:type="spellEnd"/>
      <w:r w:rsidRPr="00D02A5C">
        <w:t>, M. M. (2008). Essays on Medieval Agriculture and General Problems of the Medieval Economy. United Kingdom: Cambridge University Press.</w:t>
      </w:r>
    </w:p>
  </w:footnote>
  <w:footnote w:id="21">
    <w:p w14:paraId="49FC5A25" w14:textId="4F274225" w:rsidR="00E51D21" w:rsidRDefault="00E51D21" w:rsidP="00E51D21">
      <w:r>
        <w:rPr>
          <w:rStyle w:val="FootnoteReference"/>
        </w:rPr>
        <w:footnoteRef/>
      </w:r>
      <w:r>
        <w:t xml:space="preserve"> The girls’ reference to the sound of bells that both her and the boy heard while traversing the caves may have been the bells from the church of St. Edmunds which was located not too far away from where the children were said to have emerged from</w:t>
      </w:r>
    </w:p>
  </w:footnote>
  <w:footnote w:id="22">
    <w:p w14:paraId="4869E6D1" w14:textId="574D992E" w:rsidR="00624CEC" w:rsidRDefault="00624CEC">
      <w:pPr>
        <w:pStyle w:val="FootnoteText"/>
      </w:pPr>
      <w:r>
        <w:rPr>
          <w:rStyle w:val="FootnoteReference"/>
        </w:rPr>
        <w:footnoteRef/>
      </w:r>
      <w:r>
        <w:t xml:space="preserve"> </w:t>
      </w:r>
      <w:r w:rsidR="009E19CC">
        <w:t xml:space="preserve">The children’s </w:t>
      </w:r>
      <w:r w:rsidR="009866F2">
        <w:t xml:space="preserve">lack of energy and faintness may have been one of the </w:t>
      </w:r>
      <w:r w:rsidR="00B866C5">
        <w:t>symptoms</w:t>
      </w:r>
      <w:r w:rsidR="009866F2">
        <w:t xml:space="preserve"> from </w:t>
      </w:r>
      <w:r w:rsidR="00B866C5">
        <w:t xml:space="preserve">their alleged </w:t>
      </w:r>
      <w:r w:rsidR="006E404E">
        <w:t>Ch</w:t>
      </w:r>
      <w:r w:rsidR="00BA7749">
        <w:t>lorosis after travelling what may have been a long distance</w:t>
      </w:r>
    </w:p>
  </w:footnote>
  <w:footnote w:id="23">
    <w:p w14:paraId="5547DA1B" w14:textId="4DBE20A4" w:rsidR="00A01699" w:rsidRDefault="00A01699" w:rsidP="00A01699">
      <w:r>
        <w:rPr>
          <w:rStyle w:val="FootnoteReference"/>
        </w:rPr>
        <w:footnoteRef/>
      </w:r>
      <w:r>
        <w:t xml:space="preserve"> It is important to note that Ralph of Coggeshall was not the only writer to talk about these strange green children as William of </w:t>
      </w:r>
      <w:proofErr w:type="spellStart"/>
      <w:r>
        <w:t>Newbururgh</w:t>
      </w:r>
      <w:proofErr w:type="spellEnd"/>
      <w:r>
        <w:t xml:space="preserve"> in his Historia Rerum Anglicanum also wrote of them. As he wrote some time after Ralph it may be a fair assumption to draw that William took inspiration from his work there are some notable differences in the stories, for example William makes note of their strangely coloured clothes made from a strange material. This may be significant in the aiding of modern historians identifying the cause of their illness as this signal arsenic dyeing. The other change of details is the asking of Christian belief in the Chronicon Anglicanum Ralph makes no reference to the girl being asked this question in addition to this William explains that the boy died after being baptised with does not line up with the story of Ralph. A conclusion could be made that William’s rendition of the story is the more dramatized version of the two. </w:t>
      </w:r>
    </w:p>
    <w:p w14:paraId="47C5418C" w14:textId="77777777" w:rsidR="00AA7407" w:rsidRDefault="00AA7407" w:rsidP="00AA7407">
      <w:pPr>
        <w:pStyle w:val="ListParagraph"/>
        <w:numPr>
          <w:ilvl w:val="0"/>
          <w:numId w:val="1"/>
        </w:numPr>
      </w:pPr>
      <w:r>
        <w:t xml:space="preserve">For further reading of Williams works- </w:t>
      </w:r>
      <w:r w:rsidRPr="00AC25C8">
        <w:t xml:space="preserve">Newburgh), W. (. (2018). Historia Rerum </w:t>
      </w:r>
      <w:proofErr w:type="spellStart"/>
      <w:r w:rsidRPr="00AC25C8">
        <w:t>Anglicarum</w:t>
      </w:r>
      <w:proofErr w:type="spellEnd"/>
      <w:r w:rsidRPr="00AC25C8">
        <w:t xml:space="preserve">, </w:t>
      </w:r>
      <w:proofErr w:type="spellStart"/>
      <w:r w:rsidRPr="00AC25C8">
        <w:t>Recens</w:t>
      </w:r>
      <w:proofErr w:type="spellEnd"/>
      <w:r w:rsidRPr="00AC25C8">
        <w:t xml:space="preserve">. </w:t>
      </w:r>
      <w:proofErr w:type="spellStart"/>
      <w:r w:rsidRPr="00AC25C8">
        <w:t>H.c.</w:t>
      </w:r>
      <w:proofErr w:type="spellEnd"/>
      <w:r w:rsidRPr="00AC25C8">
        <w:t xml:space="preserve"> Hamilton. United States: Creative Media Partners, LLC.</w:t>
      </w:r>
    </w:p>
    <w:p w14:paraId="4EDE5B1A" w14:textId="77777777" w:rsidR="00AA7407" w:rsidRDefault="00AA7407" w:rsidP="00A01699"/>
  </w:footnote>
  <w:footnote w:id="24">
    <w:p w14:paraId="53B788EC" w14:textId="56842941" w:rsidR="008F6570" w:rsidRDefault="008F6570" w:rsidP="008F6570">
      <w:r>
        <w:rPr>
          <w:rStyle w:val="FootnoteReference"/>
        </w:rPr>
        <w:footnoteRef/>
      </w:r>
      <w:r>
        <w:t xml:space="preserve">Richard I or Richard Lionheart was the King of England between 1189 and 1199. </w:t>
      </w:r>
      <w:r w:rsidRPr="003205E5">
        <w:t>His knightly conduct and achievements in the Third Crusade (1189-92) made him a highly regarded ruler in his own time and the hero of various romantic narratives. More contemporary historians and researchers have had a less positive view of him.</w:t>
      </w:r>
    </w:p>
    <w:p w14:paraId="2F095E8F" w14:textId="49DDBBB5" w:rsidR="008F6570" w:rsidRDefault="008F6570" w:rsidP="008F6570">
      <w:pPr>
        <w:pStyle w:val="ListParagraph"/>
        <w:numPr>
          <w:ilvl w:val="0"/>
          <w:numId w:val="2"/>
        </w:numPr>
      </w:pPr>
      <w:r>
        <w:t xml:space="preserve">For further reading on Richard I- </w:t>
      </w:r>
      <w:r w:rsidRPr="0087277F">
        <w:t>History, H. (2017). Richard the Lionheart: A Life from Beginning to End. (</w:t>
      </w:r>
      <w:r>
        <w:t>Hourly History)</w:t>
      </w:r>
      <w:r w:rsidRPr="0087277F">
        <w:t>: CreateSpace Independent Publishing Platform.</w:t>
      </w:r>
    </w:p>
  </w:footnote>
  <w:footnote w:id="25">
    <w:p w14:paraId="5B01D094" w14:textId="1D991024" w:rsidR="00F32D7A" w:rsidRDefault="00F32D7A" w:rsidP="00F32D7A">
      <w:r>
        <w:rPr>
          <w:rStyle w:val="FootnoteReference"/>
        </w:rPr>
        <w:footnoteRef/>
      </w:r>
      <w:r>
        <w:t xml:space="preserve"> It is likely that instead of giant teeth they were actually witnessing oddly shaped white stone, another alternative to this is that they were handling fossilised dinosaur or mammoth teeth or in similar thinking the oversized teeth found in neanderthal skeletons however these teeth would not have been hugely larger than modern human teeth. </w:t>
      </w:r>
    </w:p>
  </w:footnote>
  <w:footnote w:id="26">
    <w:p w14:paraId="7E0014E6" w14:textId="77777777" w:rsidR="00F32D7A" w:rsidRDefault="00F32D7A" w:rsidP="00F32D7A">
      <w:r>
        <w:rPr>
          <w:rStyle w:val="FootnoteReference"/>
        </w:rPr>
        <w:footnoteRef/>
      </w:r>
      <w:r>
        <w:t xml:space="preserve"> There are references to giants in many areas of medieval myth, an example would be found in Geoffrey’s of Monmouth’s Historia </w:t>
      </w:r>
      <w:proofErr w:type="spellStart"/>
      <w:r>
        <w:t>Rugum</w:t>
      </w:r>
      <w:proofErr w:type="spellEnd"/>
      <w:r>
        <w:t xml:space="preserve"> Britanniae. </w:t>
      </w:r>
      <w:r w:rsidRPr="005751CE">
        <w:t>Because mediaeval anatomical knowledge was limited, every case from a creature of unusual size was naturally labelled as giants' bones.</w:t>
      </w:r>
    </w:p>
    <w:p w14:paraId="7922CBF2" w14:textId="1BF363AC" w:rsidR="00F32D7A" w:rsidRDefault="00F32D7A" w:rsidP="00F32D7A">
      <w:pPr>
        <w:pStyle w:val="ListParagraph"/>
        <w:numPr>
          <w:ilvl w:val="0"/>
          <w:numId w:val="2"/>
        </w:numPr>
      </w:pPr>
      <w:r>
        <w:t xml:space="preserve">Further reading for Geoffrey of Monmouth- </w:t>
      </w:r>
      <w:r w:rsidRPr="00A05366">
        <w:t>of Monmouth, G. (2015). The History of the Kings of Britain. United Kingdom: Penguin Books Limited.</w:t>
      </w:r>
    </w:p>
  </w:footnote>
  <w:footnote w:id="27">
    <w:p w14:paraId="0A0CB05E" w14:textId="31266900" w:rsidR="00F32D7A" w:rsidRDefault="00F32D7A" w:rsidP="00F32D7A">
      <w:r>
        <w:rPr>
          <w:rStyle w:val="FootnoteReference"/>
        </w:rPr>
        <w:footnoteRef/>
      </w:r>
      <w:r>
        <w:t xml:space="preserve"> Coggeshall is a small town located in Essex, its founding and beginnings can be tracked back to the reign of King Stephan when Coggeshall abbey was founded around 1140. </w:t>
      </w:r>
    </w:p>
  </w:footnote>
  <w:footnote w:id="28">
    <w:p w14:paraId="58B70E63" w14:textId="7ED14315" w:rsidR="00F32D7A" w:rsidRDefault="00F32D7A">
      <w:pPr>
        <w:pStyle w:val="FootnoteText"/>
      </w:pPr>
      <w:r>
        <w:rPr>
          <w:rStyle w:val="FootnoteReference"/>
        </w:rPr>
        <w:footnoteRef/>
      </w:r>
      <w:r>
        <w:t xml:space="preserve"> </w:t>
      </w:r>
      <w:r w:rsidRPr="00F32D7A">
        <w:rPr>
          <w:sz w:val="22"/>
          <w:szCs w:val="22"/>
        </w:rPr>
        <w:t xml:space="preserve">The significance of a Giant rib being found can be seen in the original tales of giants in England where </w:t>
      </w:r>
      <w:proofErr w:type="spellStart"/>
      <w:r w:rsidRPr="00F32D7A">
        <w:rPr>
          <w:sz w:val="22"/>
          <w:szCs w:val="22"/>
        </w:rPr>
        <w:t>Corineus</w:t>
      </w:r>
      <w:proofErr w:type="spellEnd"/>
      <w:r w:rsidRPr="00F32D7A">
        <w:rPr>
          <w:sz w:val="22"/>
          <w:szCs w:val="22"/>
        </w:rPr>
        <w:t xml:space="preserve"> of Cornwall wrestled with </w:t>
      </w:r>
      <w:proofErr w:type="spellStart"/>
      <w:r w:rsidRPr="00F32D7A">
        <w:rPr>
          <w:sz w:val="22"/>
          <w:szCs w:val="22"/>
        </w:rPr>
        <w:t>Gogmagog</w:t>
      </w:r>
      <w:proofErr w:type="spellEnd"/>
      <w:r w:rsidRPr="00F32D7A">
        <w:rPr>
          <w:sz w:val="22"/>
          <w:szCs w:val="22"/>
        </w:rPr>
        <w:t xml:space="preserve"> breaking three of his ribs. However, it is possible that these ribs where a part of the prehistoric bones found by the inhabitants or even the ribs of a deceased whale</w:t>
      </w:r>
    </w:p>
  </w:footnote>
  <w:footnote w:id="29">
    <w:p w14:paraId="5A592D4C" w14:textId="06E3C056" w:rsidR="00562873" w:rsidRDefault="00562873">
      <w:pPr>
        <w:pStyle w:val="FootnoteText"/>
      </w:pPr>
      <w:r>
        <w:rPr>
          <w:rStyle w:val="FootnoteReference"/>
        </w:rPr>
        <w:footnoteRef/>
      </w:r>
      <w:r>
        <w:t xml:space="preserve"> </w:t>
      </w:r>
      <w:r w:rsidRPr="00562873">
        <w:rPr>
          <w:sz w:val="22"/>
          <w:szCs w:val="22"/>
        </w:rPr>
        <w:t>The Province of York, often known as the Northern Province, is one of the two ecclesiastical districts that comprise the Church of England. It is made up of 12 dioceses that include the northern part of England and the Isle of Man</w:t>
      </w:r>
    </w:p>
  </w:footnote>
  <w:footnote w:id="30">
    <w:p w14:paraId="4D10B776" w14:textId="28262D70" w:rsidR="00562873" w:rsidRDefault="00562873">
      <w:pPr>
        <w:pStyle w:val="FootnoteText"/>
      </w:pPr>
      <w:r>
        <w:rPr>
          <w:rStyle w:val="FootnoteReference"/>
        </w:rPr>
        <w:footnoteRef/>
      </w:r>
      <w:r>
        <w:t xml:space="preserve"> </w:t>
      </w:r>
      <w:r w:rsidR="00736AA2" w:rsidRPr="00736AA2">
        <w:rPr>
          <w:sz w:val="22"/>
          <w:szCs w:val="22"/>
        </w:rPr>
        <w:t>Authors in antiquity like that of Apollodorus, Hesiod and Ovid as well as Homers Odyssey all tell tales of the giants in Greek mythology. Monks with access to these writings would have been able to take these creatures and apply them to strange goings on in medieval times</w:t>
      </w:r>
    </w:p>
  </w:footnote>
  <w:footnote w:id="31">
    <w:p w14:paraId="0E73A1DD" w14:textId="5EAC7717" w:rsidR="00CE1DF7" w:rsidRPr="00FD6459" w:rsidRDefault="00CE1DF7">
      <w:pPr>
        <w:pStyle w:val="FootnoteText"/>
        <w:rPr>
          <w:sz w:val="22"/>
          <w:szCs w:val="22"/>
        </w:rPr>
      </w:pPr>
      <w:r>
        <w:rPr>
          <w:rStyle w:val="FootnoteReference"/>
        </w:rPr>
        <w:footnoteRef/>
      </w:r>
      <w:r>
        <w:t xml:space="preserve"> </w:t>
      </w:r>
      <w:proofErr w:type="spellStart"/>
      <w:r w:rsidRPr="00FD6459">
        <w:rPr>
          <w:sz w:val="22"/>
          <w:szCs w:val="22"/>
        </w:rPr>
        <w:t>Dagworth</w:t>
      </w:r>
      <w:proofErr w:type="spellEnd"/>
      <w:r w:rsidRPr="00FD6459">
        <w:rPr>
          <w:sz w:val="22"/>
          <w:szCs w:val="22"/>
        </w:rPr>
        <w:t xml:space="preserve"> is a hamlet with around a dozen residences on the upper reaches of the River Gipping in central Suffolk, between the towns of </w:t>
      </w:r>
      <w:proofErr w:type="spellStart"/>
      <w:r w:rsidRPr="00FD6459">
        <w:rPr>
          <w:sz w:val="22"/>
          <w:szCs w:val="22"/>
        </w:rPr>
        <w:t>Haughley</w:t>
      </w:r>
      <w:proofErr w:type="spellEnd"/>
      <w:r w:rsidRPr="00FD6459">
        <w:rPr>
          <w:sz w:val="22"/>
          <w:szCs w:val="22"/>
        </w:rPr>
        <w:t xml:space="preserve"> and Old Newton, about 2 miles north of Stowmarket</w:t>
      </w:r>
    </w:p>
  </w:footnote>
  <w:footnote w:id="32">
    <w:p w14:paraId="243AF975" w14:textId="77777777" w:rsidR="00BF3599" w:rsidRDefault="00584FA1" w:rsidP="00BF3599">
      <w:r>
        <w:rPr>
          <w:rStyle w:val="FootnoteReference"/>
        </w:rPr>
        <w:footnoteRef/>
      </w:r>
      <w:r>
        <w:t xml:space="preserve"> </w:t>
      </w:r>
      <w:r w:rsidR="00BF3599">
        <w:t>It is possible that this story may be referring to fairies</w:t>
      </w:r>
    </w:p>
    <w:p w14:paraId="62184AD4" w14:textId="2D6FA186" w:rsidR="00584FA1" w:rsidRDefault="00BF3599" w:rsidP="00BF3599">
      <w:pPr>
        <w:pStyle w:val="ListParagraph"/>
        <w:numPr>
          <w:ilvl w:val="0"/>
          <w:numId w:val="2"/>
        </w:numPr>
      </w:pPr>
      <w:r w:rsidRPr="00E63D63">
        <w:t xml:space="preserve">For further reading on medieval fairies – </w:t>
      </w:r>
      <w:proofErr w:type="spellStart"/>
      <w:r w:rsidRPr="00E63D63">
        <w:t>Berti</w:t>
      </w:r>
      <w:proofErr w:type="spellEnd"/>
      <w:r w:rsidRPr="00E63D63">
        <w:t>, B. (2022). Fairies and the Fairy World in Middle English Literature: the Orpheus Tradition from the Classical Era to the Middle Ages. Unipd.it. [online] doi: http://hdl.handle.net/20.500.12608/27833.</w:t>
      </w:r>
    </w:p>
  </w:footnote>
  <w:footnote w:id="33">
    <w:p w14:paraId="559FE923" w14:textId="6C0320E5" w:rsidR="00403FEB" w:rsidRDefault="00403FEB">
      <w:pPr>
        <w:pStyle w:val="FootnoteText"/>
      </w:pPr>
      <w:r>
        <w:rPr>
          <w:rStyle w:val="FootnoteReference"/>
        </w:rPr>
        <w:footnoteRef/>
      </w:r>
      <w:r>
        <w:t xml:space="preserve"> </w:t>
      </w:r>
      <w:r w:rsidR="00BF3599" w:rsidRPr="00BF3599">
        <w:rPr>
          <w:sz w:val="22"/>
          <w:szCs w:val="22"/>
        </w:rPr>
        <w:t xml:space="preserve">Osbert </w:t>
      </w:r>
      <w:proofErr w:type="spellStart"/>
      <w:r w:rsidR="00BF3599" w:rsidRPr="00BF3599">
        <w:rPr>
          <w:sz w:val="22"/>
          <w:szCs w:val="22"/>
        </w:rPr>
        <w:t>fitz</w:t>
      </w:r>
      <w:proofErr w:type="spellEnd"/>
      <w:r w:rsidR="00BF3599" w:rsidRPr="00BF3599">
        <w:rPr>
          <w:sz w:val="22"/>
          <w:szCs w:val="22"/>
        </w:rPr>
        <w:t xml:space="preserve"> Hervey (deceased 1206) possessed the estate of </w:t>
      </w:r>
      <w:proofErr w:type="spellStart"/>
      <w:r w:rsidR="00BF3599" w:rsidRPr="00BF3599">
        <w:rPr>
          <w:sz w:val="22"/>
          <w:szCs w:val="22"/>
        </w:rPr>
        <w:t>Dagworth</w:t>
      </w:r>
      <w:proofErr w:type="spellEnd"/>
      <w:r w:rsidR="00BF3599" w:rsidRPr="00BF3599">
        <w:rPr>
          <w:sz w:val="22"/>
          <w:szCs w:val="22"/>
        </w:rPr>
        <w:t xml:space="preserve"> and is the line's earliest known ancestor. We also know that when Osbert's grandson Osbert de </w:t>
      </w:r>
      <w:proofErr w:type="spellStart"/>
      <w:r w:rsidR="00BF3599" w:rsidRPr="00BF3599">
        <w:rPr>
          <w:sz w:val="22"/>
          <w:szCs w:val="22"/>
        </w:rPr>
        <w:t>Dagworth</w:t>
      </w:r>
      <w:proofErr w:type="spellEnd"/>
      <w:r w:rsidR="00BF3599" w:rsidRPr="00BF3599">
        <w:rPr>
          <w:sz w:val="22"/>
          <w:szCs w:val="22"/>
        </w:rPr>
        <w:t xml:space="preserve"> died in 1260, he owned the manor of Bradwell juxta Coggeshall. At the date Ralph was creating the Chronicon Anglicanum, we have a definite link from Osbert </w:t>
      </w:r>
      <w:proofErr w:type="spellStart"/>
      <w:r w:rsidR="00BF3599" w:rsidRPr="00BF3599">
        <w:rPr>
          <w:sz w:val="22"/>
          <w:szCs w:val="22"/>
        </w:rPr>
        <w:t>fitz</w:t>
      </w:r>
      <w:proofErr w:type="spellEnd"/>
      <w:r w:rsidR="00BF3599" w:rsidRPr="00BF3599">
        <w:rPr>
          <w:sz w:val="22"/>
          <w:szCs w:val="22"/>
        </w:rPr>
        <w:t xml:space="preserve"> Hervey in </w:t>
      </w:r>
      <w:proofErr w:type="spellStart"/>
      <w:r w:rsidR="00BF3599" w:rsidRPr="00BF3599">
        <w:rPr>
          <w:sz w:val="22"/>
          <w:szCs w:val="22"/>
        </w:rPr>
        <w:t>Dagworth</w:t>
      </w:r>
      <w:proofErr w:type="spellEnd"/>
      <w:r w:rsidR="00BF3599" w:rsidRPr="00BF3599">
        <w:rPr>
          <w:sz w:val="22"/>
          <w:szCs w:val="22"/>
        </w:rPr>
        <w:t xml:space="preserve"> to Bradwell, 3 miles from Coggeshall Abbey.</w:t>
      </w:r>
    </w:p>
  </w:footnote>
  <w:footnote w:id="34">
    <w:p w14:paraId="33733B7A" w14:textId="1D836C22" w:rsidR="00267CE9" w:rsidRDefault="00267CE9" w:rsidP="00267CE9">
      <w:r>
        <w:rPr>
          <w:rStyle w:val="FootnoteReference"/>
        </w:rPr>
        <w:footnoteRef/>
      </w:r>
      <w:r>
        <w:t xml:space="preserve"> Malkin </w:t>
      </w:r>
      <w:r w:rsidRPr="00666E0B">
        <w:t>was a (stereotypical name for a) lower-class or </w:t>
      </w:r>
      <w:r w:rsidRPr="00267CE9">
        <w:t>uncultured</w:t>
      </w:r>
      <w:r w:rsidRPr="00666E0B">
        <w:t> </w:t>
      </w:r>
      <w:r w:rsidRPr="00267CE9">
        <w:t>woman</w:t>
      </w:r>
      <w:r w:rsidRPr="00666E0B">
        <w:t>; a </w:t>
      </w:r>
      <w:proofErr w:type="spellStart"/>
      <w:r w:rsidRPr="00267CE9">
        <w:t>kitchenmaid</w:t>
      </w:r>
      <w:proofErr w:type="spellEnd"/>
      <w:r w:rsidRPr="00666E0B">
        <w:t>; a </w:t>
      </w:r>
      <w:r w:rsidRPr="00267CE9">
        <w:t>slattern</w:t>
      </w:r>
      <w:r w:rsidRPr="00666E0B">
        <w:t>.</w:t>
      </w:r>
    </w:p>
  </w:footnote>
  <w:footnote w:id="35">
    <w:p w14:paraId="10E50CC0" w14:textId="4F6B398D" w:rsidR="00FD6459" w:rsidRDefault="00FD6459" w:rsidP="00FD6459">
      <w:r w:rsidRPr="00FD6459">
        <w:rPr>
          <w:rStyle w:val="FootnoteReference"/>
        </w:rPr>
        <w:footnoteRef/>
      </w:r>
      <w:r w:rsidRPr="00FD6459">
        <w:t xml:space="preserve"> A chaplain refers to a servant who were ordained priests and were responsible for the knights’ spiritual needs such as praying and confessional needs.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537A"/>
    <w:multiLevelType w:val="hybridMultilevel"/>
    <w:tmpl w:val="6338F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17F22"/>
    <w:multiLevelType w:val="hybridMultilevel"/>
    <w:tmpl w:val="DFE2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385545">
    <w:abstractNumId w:val="0"/>
  </w:num>
  <w:num w:numId="2" w16cid:durableId="1056466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xMDQ2NTGzNDMwNzJR0lEKTi0uzszPAykwrgUAFvtQviwAAAA="/>
  </w:docVars>
  <w:rsids>
    <w:rsidRoot w:val="00AF3BC1"/>
    <w:rsid w:val="00050B6F"/>
    <w:rsid w:val="000524E7"/>
    <w:rsid w:val="00060E63"/>
    <w:rsid w:val="000A7727"/>
    <w:rsid w:val="000C07BC"/>
    <w:rsid w:val="000F408A"/>
    <w:rsid w:val="0011173B"/>
    <w:rsid w:val="001156BC"/>
    <w:rsid w:val="00174372"/>
    <w:rsid w:val="001841DC"/>
    <w:rsid w:val="00193826"/>
    <w:rsid w:val="001F73D3"/>
    <w:rsid w:val="00206345"/>
    <w:rsid w:val="0022474A"/>
    <w:rsid w:val="00245956"/>
    <w:rsid w:val="00256D8B"/>
    <w:rsid w:val="00262CE5"/>
    <w:rsid w:val="00267CE9"/>
    <w:rsid w:val="00271B07"/>
    <w:rsid w:val="002B3A01"/>
    <w:rsid w:val="002F6461"/>
    <w:rsid w:val="002F6F01"/>
    <w:rsid w:val="00327EC0"/>
    <w:rsid w:val="00385B16"/>
    <w:rsid w:val="003A5791"/>
    <w:rsid w:val="003F7D91"/>
    <w:rsid w:val="00403FEB"/>
    <w:rsid w:val="00441CFF"/>
    <w:rsid w:val="00460D8F"/>
    <w:rsid w:val="0046752D"/>
    <w:rsid w:val="004A5159"/>
    <w:rsid w:val="004B1977"/>
    <w:rsid w:val="00520531"/>
    <w:rsid w:val="005224C6"/>
    <w:rsid w:val="00532E5F"/>
    <w:rsid w:val="005378AF"/>
    <w:rsid w:val="00562873"/>
    <w:rsid w:val="00584FA1"/>
    <w:rsid w:val="005B659D"/>
    <w:rsid w:val="005E6070"/>
    <w:rsid w:val="00602E04"/>
    <w:rsid w:val="006170F7"/>
    <w:rsid w:val="006175CA"/>
    <w:rsid w:val="00622152"/>
    <w:rsid w:val="00624CEC"/>
    <w:rsid w:val="006A662C"/>
    <w:rsid w:val="006D2E44"/>
    <w:rsid w:val="006D72FF"/>
    <w:rsid w:val="006E1C89"/>
    <w:rsid w:val="006E404E"/>
    <w:rsid w:val="00721175"/>
    <w:rsid w:val="00736AA2"/>
    <w:rsid w:val="00763294"/>
    <w:rsid w:val="00787F81"/>
    <w:rsid w:val="00793E4B"/>
    <w:rsid w:val="007A69CC"/>
    <w:rsid w:val="007B0F09"/>
    <w:rsid w:val="007F49F1"/>
    <w:rsid w:val="00806E5A"/>
    <w:rsid w:val="008238F0"/>
    <w:rsid w:val="0083676B"/>
    <w:rsid w:val="00884978"/>
    <w:rsid w:val="008F3762"/>
    <w:rsid w:val="008F3C22"/>
    <w:rsid w:val="008F6570"/>
    <w:rsid w:val="0094468E"/>
    <w:rsid w:val="00975B21"/>
    <w:rsid w:val="00980246"/>
    <w:rsid w:val="009866F2"/>
    <w:rsid w:val="009A6EE5"/>
    <w:rsid w:val="009B576D"/>
    <w:rsid w:val="009E19CC"/>
    <w:rsid w:val="00A01699"/>
    <w:rsid w:val="00A452CB"/>
    <w:rsid w:val="00A54E6E"/>
    <w:rsid w:val="00A718F7"/>
    <w:rsid w:val="00A747CA"/>
    <w:rsid w:val="00AA15AF"/>
    <w:rsid w:val="00AA7407"/>
    <w:rsid w:val="00AD2CDF"/>
    <w:rsid w:val="00AF3BC1"/>
    <w:rsid w:val="00B64E58"/>
    <w:rsid w:val="00B866C5"/>
    <w:rsid w:val="00B87A38"/>
    <w:rsid w:val="00B965DC"/>
    <w:rsid w:val="00BA7749"/>
    <w:rsid w:val="00BF3599"/>
    <w:rsid w:val="00C07084"/>
    <w:rsid w:val="00C21057"/>
    <w:rsid w:val="00C87C84"/>
    <w:rsid w:val="00C9696B"/>
    <w:rsid w:val="00CA552B"/>
    <w:rsid w:val="00CD1FA2"/>
    <w:rsid w:val="00CE1DF7"/>
    <w:rsid w:val="00CE32B2"/>
    <w:rsid w:val="00CE67C8"/>
    <w:rsid w:val="00D039E2"/>
    <w:rsid w:val="00D05E8B"/>
    <w:rsid w:val="00D205D4"/>
    <w:rsid w:val="00D3324F"/>
    <w:rsid w:val="00D42071"/>
    <w:rsid w:val="00D55688"/>
    <w:rsid w:val="00D62499"/>
    <w:rsid w:val="00D7056C"/>
    <w:rsid w:val="00D94244"/>
    <w:rsid w:val="00DA774D"/>
    <w:rsid w:val="00DD26EB"/>
    <w:rsid w:val="00E13212"/>
    <w:rsid w:val="00E500B4"/>
    <w:rsid w:val="00E51D21"/>
    <w:rsid w:val="00F21324"/>
    <w:rsid w:val="00F21B2C"/>
    <w:rsid w:val="00F32D7A"/>
    <w:rsid w:val="00F42E98"/>
    <w:rsid w:val="00F563D1"/>
    <w:rsid w:val="00F73298"/>
    <w:rsid w:val="00FB3BAB"/>
    <w:rsid w:val="00FC6748"/>
    <w:rsid w:val="00FD6459"/>
    <w:rsid w:val="00FF1C93"/>
    <w:rsid w:val="00FF7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BAE88"/>
  <w15:chartTrackingRefBased/>
  <w15:docId w15:val="{8002DC41-27C2-4358-936C-726635111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6EB"/>
    <w:rPr>
      <w:rFonts w:eastAsiaTheme="minorEastAsia"/>
      <w:lang w:val="en-US"/>
    </w:rPr>
  </w:style>
  <w:style w:type="paragraph" w:styleId="FootnoteText">
    <w:name w:val="footnote text"/>
    <w:basedOn w:val="Normal"/>
    <w:link w:val="FootnoteTextChar"/>
    <w:uiPriority w:val="99"/>
    <w:semiHidden/>
    <w:unhideWhenUsed/>
    <w:rsid w:val="001938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3826"/>
    <w:rPr>
      <w:sz w:val="20"/>
      <w:szCs w:val="20"/>
    </w:rPr>
  </w:style>
  <w:style w:type="character" w:styleId="FootnoteReference">
    <w:name w:val="footnote reference"/>
    <w:basedOn w:val="DefaultParagraphFont"/>
    <w:uiPriority w:val="99"/>
    <w:semiHidden/>
    <w:unhideWhenUsed/>
    <w:rsid w:val="00193826"/>
    <w:rPr>
      <w:vertAlign w:val="superscript"/>
    </w:rPr>
  </w:style>
  <w:style w:type="paragraph" w:styleId="NormalWeb">
    <w:name w:val="Normal (Web)"/>
    <w:basedOn w:val="Normal"/>
    <w:uiPriority w:val="99"/>
    <w:unhideWhenUsed/>
    <w:rsid w:val="00FF7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783D"/>
    <w:rPr>
      <w:color w:val="0000FF"/>
      <w:u w:val="single"/>
    </w:rPr>
  </w:style>
  <w:style w:type="paragraph" w:styleId="ListParagraph">
    <w:name w:val="List Paragraph"/>
    <w:basedOn w:val="Normal"/>
    <w:uiPriority w:val="34"/>
    <w:qFormat/>
    <w:rsid w:val="006E1C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09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stable/10.7591/j.ctt32b522.9" TargetMode="Externa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85A50C-C290-44D3-8475-2EAA7A416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7</Pages>
  <Words>1303</Words>
  <Characters>7428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131</cp:revision>
  <dcterms:created xsi:type="dcterms:W3CDTF">2022-12-13T10:35:00Z</dcterms:created>
  <dcterms:modified xsi:type="dcterms:W3CDTF">2022-12-16T12:12:00Z</dcterms:modified>
</cp:coreProperties>
</file>