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E2E6D" w:rsidRDefault="003E2E6D">
      <w:pPr>
        <w:spacing w:line="360" w:lineRule="auto"/>
        <w:jc w:val="center"/>
        <w:rPr>
          <w:rFonts w:ascii="Times New Roman" w:eastAsia="Times New Roman" w:hAnsi="Times New Roman" w:cs="Times New Roman"/>
          <w:b/>
          <w:sz w:val="32"/>
          <w:szCs w:val="32"/>
        </w:rPr>
      </w:pPr>
    </w:p>
    <w:p w14:paraId="22B8C34A" w14:textId="77777777" w:rsidR="00536A07" w:rsidRPr="00536A07" w:rsidRDefault="00536A07" w:rsidP="00536A07">
      <w:pPr>
        <w:pStyle w:val="Normal1"/>
        <w:rPr>
          <w:b/>
          <w:sz w:val="32"/>
          <w:szCs w:val="32"/>
        </w:rPr>
      </w:pPr>
      <w:r w:rsidRPr="00536A07">
        <w:rPr>
          <w:b/>
          <w:sz w:val="32"/>
          <w:szCs w:val="32"/>
        </w:rPr>
        <w:t>LCBB5005</w:t>
      </w:r>
    </w:p>
    <w:p w14:paraId="00000002" w14:textId="77777777" w:rsidR="003E2E6D" w:rsidRDefault="003E2E6D" w:rsidP="00536A07">
      <w:pPr>
        <w:spacing w:line="360" w:lineRule="auto"/>
        <w:rPr>
          <w:rFonts w:ascii="Times New Roman" w:eastAsia="Times New Roman" w:hAnsi="Times New Roman" w:cs="Times New Roman"/>
          <w:b/>
          <w:sz w:val="32"/>
          <w:szCs w:val="32"/>
        </w:rPr>
      </w:pPr>
    </w:p>
    <w:p w14:paraId="00000003" w14:textId="77777777" w:rsidR="003E2E6D" w:rsidRDefault="003E2E6D">
      <w:pPr>
        <w:spacing w:line="360" w:lineRule="auto"/>
        <w:jc w:val="center"/>
        <w:rPr>
          <w:rFonts w:ascii="Times New Roman" w:eastAsia="Times New Roman" w:hAnsi="Times New Roman" w:cs="Times New Roman"/>
          <w:b/>
          <w:sz w:val="32"/>
          <w:szCs w:val="32"/>
        </w:rPr>
      </w:pPr>
    </w:p>
    <w:p w14:paraId="00000004" w14:textId="77777777" w:rsidR="003E2E6D" w:rsidRDefault="003E2E6D">
      <w:pPr>
        <w:spacing w:line="360" w:lineRule="auto"/>
        <w:jc w:val="center"/>
        <w:rPr>
          <w:rFonts w:ascii="Times New Roman" w:eastAsia="Times New Roman" w:hAnsi="Times New Roman" w:cs="Times New Roman"/>
          <w:b/>
          <w:sz w:val="32"/>
          <w:szCs w:val="32"/>
        </w:rPr>
      </w:pPr>
    </w:p>
    <w:p w14:paraId="5E2600F6" w14:textId="77777777" w:rsidR="00536A07" w:rsidRDefault="00536A07" w:rsidP="00536A07">
      <w:pPr>
        <w:pStyle w:val="Normal1"/>
        <w:jc w:val="center"/>
        <w:rPr>
          <w:rFonts w:ascii="Times New Roman" w:hAnsi="Times New Roman" w:cs="Times New Roman"/>
          <w:b/>
          <w:sz w:val="36"/>
          <w:szCs w:val="36"/>
        </w:rPr>
      </w:pPr>
      <w:bookmarkStart w:id="0" w:name="_3bgkdc92m9g1" w:colFirst="0" w:colLast="0"/>
      <w:bookmarkEnd w:id="0"/>
    </w:p>
    <w:p w14:paraId="5C29241E" w14:textId="77777777" w:rsidR="00536A07" w:rsidRDefault="00536A07" w:rsidP="00536A07">
      <w:pPr>
        <w:pStyle w:val="Normal1"/>
        <w:jc w:val="center"/>
        <w:rPr>
          <w:rFonts w:ascii="Times New Roman" w:hAnsi="Times New Roman" w:cs="Times New Roman"/>
          <w:b/>
          <w:sz w:val="36"/>
          <w:szCs w:val="36"/>
        </w:rPr>
      </w:pPr>
    </w:p>
    <w:p w14:paraId="1B3F2225" w14:textId="77777777" w:rsidR="00536A07" w:rsidRDefault="00536A07" w:rsidP="00536A07">
      <w:pPr>
        <w:pStyle w:val="Normal1"/>
        <w:jc w:val="center"/>
        <w:rPr>
          <w:rFonts w:ascii="Times New Roman" w:hAnsi="Times New Roman" w:cs="Times New Roman"/>
          <w:b/>
          <w:sz w:val="36"/>
          <w:szCs w:val="36"/>
        </w:rPr>
      </w:pPr>
    </w:p>
    <w:p w14:paraId="47815030" w14:textId="315B6BB1" w:rsidR="00536A07" w:rsidRPr="00536A07" w:rsidRDefault="00536A07" w:rsidP="00536A07">
      <w:pPr>
        <w:pStyle w:val="Normal1"/>
        <w:jc w:val="center"/>
        <w:rPr>
          <w:rFonts w:ascii="Times New Roman" w:hAnsi="Times New Roman" w:cs="Times New Roman"/>
          <w:b/>
          <w:sz w:val="40"/>
          <w:szCs w:val="40"/>
        </w:rPr>
      </w:pPr>
      <w:r w:rsidRPr="00536A07">
        <w:rPr>
          <w:rFonts w:ascii="Times New Roman" w:hAnsi="Times New Roman" w:cs="Times New Roman"/>
          <w:b/>
          <w:sz w:val="40"/>
          <w:szCs w:val="40"/>
        </w:rPr>
        <w:t xml:space="preserve">PROJECT MANAGEMENT </w:t>
      </w:r>
    </w:p>
    <w:p w14:paraId="46EE2431" w14:textId="77777777" w:rsidR="00536A07" w:rsidRPr="00536A07" w:rsidRDefault="00536A07" w:rsidP="00536A07">
      <w:pPr>
        <w:pStyle w:val="Normal1"/>
        <w:jc w:val="center"/>
        <w:rPr>
          <w:rFonts w:ascii="Times New Roman" w:hAnsi="Times New Roman" w:cs="Times New Roman"/>
          <w:b/>
          <w:sz w:val="40"/>
          <w:szCs w:val="40"/>
        </w:rPr>
      </w:pPr>
      <w:r w:rsidRPr="00536A07">
        <w:rPr>
          <w:rFonts w:ascii="Times New Roman" w:hAnsi="Times New Roman" w:cs="Times New Roman"/>
          <w:b/>
          <w:sz w:val="40"/>
          <w:szCs w:val="40"/>
        </w:rPr>
        <w:t>ASSESSMENT 2</w:t>
      </w:r>
    </w:p>
    <w:p w14:paraId="6303A63B" w14:textId="77777777" w:rsidR="00536A07" w:rsidRDefault="00536A07" w:rsidP="00536A07">
      <w:pPr>
        <w:pStyle w:val="Heading1"/>
        <w:jc w:val="center"/>
      </w:pPr>
    </w:p>
    <w:p w14:paraId="74CC4509" w14:textId="77777777" w:rsidR="00536A07" w:rsidRDefault="00536A07" w:rsidP="00536A07">
      <w:pPr>
        <w:pStyle w:val="Heading1"/>
        <w:jc w:val="center"/>
      </w:pPr>
    </w:p>
    <w:p w14:paraId="0FAA8C9A" w14:textId="77777777" w:rsidR="00536A07" w:rsidRDefault="00536A07" w:rsidP="00536A07">
      <w:pPr>
        <w:pStyle w:val="Heading1"/>
        <w:jc w:val="center"/>
      </w:pPr>
    </w:p>
    <w:p w14:paraId="6F54EA23" w14:textId="77777777" w:rsidR="00536A07" w:rsidRDefault="00536A07" w:rsidP="00536A07">
      <w:pPr>
        <w:pStyle w:val="Heading1"/>
        <w:jc w:val="center"/>
      </w:pPr>
    </w:p>
    <w:p w14:paraId="5738A01E" w14:textId="77777777" w:rsidR="00536A07" w:rsidRDefault="00536A07" w:rsidP="00536A07">
      <w:pPr>
        <w:pStyle w:val="Heading1"/>
        <w:jc w:val="center"/>
      </w:pPr>
    </w:p>
    <w:p w14:paraId="306BB62F" w14:textId="77777777" w:rsidR="00536A07" w:rsidRDefault="00536A07" w:rsidP="00536A07">
      <w:pPr>
        <w:pStyle w:val="Heading1"/>
        <w:jc w:val="center"/>
      </w:pPr>
    </w:p>
    <w:p w14:paraId="3529AB1C" w14:textId="77777777" w:rsidR="00536A07" w:rsidRDefault="00536A07" w:rsidP="00536A07">
      <w:pPr>
        <w:pStyle w:val="Heading1"/>
        <w:jc w:val="center"/>
      </w:pPr>
    </w:p>
    <w:p w14:paraId="7D882134" w14:textId="77777777" w:rsidR="00536A07" w:rsidRDefault="00536A07" w:rsidP="00536A07">
      <w:pPr>
        <w:pStyle w:val="Heading1"/>
      </w:pPr>
    </w:p>
    <w:p w14:paraId="3704D235" w14:textId="77777777" w:rsidR="00536A07" w:rsidRDefault="00536A07" w:rsidP="00536A07">
      <w:pPr>
        <w:pStyle w:val="Heading1"/>
        <w:jc w:val="center"/>
      </w:pPr>
    </w:p>
    <w:p w14:paraId="7750EE5D" w14:textId="77777777" w:rsidR="00536A07" w:rsidRDefault="00536A07" w:rsidP="00536A07">
      <w:pPr>
        <w:pStyle w:val="Heading1"/>
        <w:jc w:val="center"/>
      </w:pPr>
    </w:p>
    <w:p w14:paraId="709A308D" w14:textId="77777777" w:rsidR="00536A07" w:rsidRDefault="00536A07" w:rsidP="00536A07">
      <w:pPr>
        <w:pStyle w:val="Heading1"/>
        <w:jc w:val="center"/>
      </w:pPr>
    </w:p>
    <w:p w14:paraId="1689CD1B" w14:textId="77777777" w:rsidR="00536A07" w:rsidRDefault="00536A07" w:rsidP="00536A07">
      <w:pPr>
        <w:pStyle w:val="Heading1"/>
        <w:jc w:val="center"/>
      </w:pPr>
    </w:p>
    <w:p w14:paraId="4EF52FF9" w14:textId="77777777" w:rsidR="00536A07" w:rsidRDefault="00536A07" w:rsidP="00536A07">
      <w:pPr>
        <w:pStyle w:val="Heading1"/>
        <w:jc w:val="center"/>
      </w:pPr>
    </w:p>
    <w:p w14:paraId="04A51D0C" w14:textId="77777777" w:rsidR="00536A07" w:rsidRDefault="00536A07" w:rsidP="00536A07">
      <w:pPr>
        <w:pStyle w:val="Heading1"/>
        <w:jc w:val="center"/>
      </w:pPr>
    </w:p>
    <w:p w14:paraId="47885232" w14:textId="77777777" w:rsidR="00536A07" w:rsidRDefault="00536A07" w:rsidP="00536A07">
      <w:pPr>
        <w:pStyle w:val="Heading1"/>
        <w:jc w:val="center"/>
      </w:pPr>
    </w:p>
    <w:p w14:paraId="53C62393" w14:textId="77777777" w:rsidR="00536A07" w:rsidRDefault="00536A07" w:rsidP="00536A07">
      <w:pPr>
        <w:pStyle w:val="Normal1"/>
      </w:pPr>
    </w:p>
    <w:p w14:paraId="734FAF51" w14:textId="77777777" w:rsidR="00536A07" w:rsidRDefault="00536A07" w:rsidP="00536A07">
      <w:pPr>
        <w:pStyle w:val="Normal1"/>
      </w:pPr>
    </w:p>
    <w:p w14:paraId="5305AC5D" w14:textId="77777777" w:rsidR="00536A07" w:rsidRDefault="00536A07" w:rsidP="00536A07">
      <w:pPr>
        <w:pStyle w:val="Normal1"/>
      </w:pPr>
    </w:p>
    <w:p w14:paraId="1BB24208" w14:textId="77777777" w:rsidR="00536A07" w:rsidRPr="002C30DE" w:rsidRDefault="00536A07" w:rsidP="00536A07">
      <w:pPr>
        <w:pStyle w:val="Normal1"/>
        <w:rPr>
          <w:sz w:val="32"/>
          <w:szCs w:val="32"/>
        </w:rPr>
      </w:pPr>
      <w:r w:rsidRPr="005039F1">
        <w:rPr>
          <w:sz w:val="32"/>
          <w:szCs w:val="32"/>
        </w:rPr>
        <w:t xml:space="preserve">Module Tutor: </w:t>
      </w:r>
      <w:r w:rsidRPr="002C30DE">
        <w:rPr>
          <w:sz w:val="32"/>
          <w:szCs w:val="32"/>
        </w:rPr>
        <w:t>Mr Sadeque Shaikh</w:t>
      </w:r>
    </w:p>
    <w:p w14:paraId="209BE302" w14:textId="77777777" w:rsidR="00536A07" w:rsidRPr="005039F1" w:rsidRDefault="00536A07" w:rsidP="00536A07">
      <w:pPr>
        <w:jc w:val="both"/>
        <w:rPr>
          <w:sz w:val="32"/>
          <w:szCs w:val="32"/>
        </w:rPr>
      </w:pPr>
      <w:r w:rsidRPr="005039F1">
        <w:rPr>
          <w:sz w:val="32"/>
          <w:szCs w:val="32"/>
        </w:rPr>
        <w:t xml:space="preserve">Student: Bogdan </w:t>
      </w:r>
      <w:proofErr w:type="spellStart"/>
      <w:r w:rsidRPr="005039F1">
        <w:rPr>
          <w:sz w:val="32"/>
          <w:szCs w:val="32"/>
        </w:rPr>
        <w:t>Radulescu</w:t>
      </w:r>
      <w:proofErr w:type="spellEnd"/>
      <w:r>
        <w:rPr>
          <w:sz w:val="32"/>
          <w:szCs w:val="32"/>
        </w:rPr>
        <w:t xml:space="preserve">        2022697</w:t>
      </w:r>
    </w:p>
    <w:p w14:paraId="0000000B" w14:textId="4D581772" w:rsidR="003E2E6D" w:rsidRDefault="001908C3" w:rsidP="00536A07">
      <w:pPr>
        <w:pStyle w:val="Heading1"/>
        <w:jc w:val="left"/>
      </w:pPr>
      <w:r>
        <w:br w:type="page"/>
      </w:r>
    </w:p>
    <w:p w14:paraId="4B0C90DB" w14:textId="77777777" w:rsidR="00536A07" w:rsidRDefault="00536A07">
      <w:pPr>
        <w:jc w:val="center"/>
        <w:rPr>
          <w:rFonts w:ascii="Times New Roman" w:eastAsia="Times New Roman" w:hAnsi="Times New Roman" w:cs="Times New Roman"/>
          <w:b/>
          <w:sz w:val="24"/>
          <w:szCs w:val="24"/>
        </w:rPr>
      </w:pPr>
    </w:p>
    <w:p w14:paraId="648BC1E6" w14:textId="77777777" w:rsidR="00536A07" w:rsidRDefault="00536A07">
      <w:pPr>
        <w:jc w:val="center"/>
        <w:rPr>
          <w:rFonts w:ascii="Times New Roman" w:eastAsia="Times New Roman" w:hAnsi="Times New Roman" w:cs="Times New Roman"/>
          <w:b/>
          <w:sz w:val="24"/>
          <w:szCs w:val="24"/>
        </w:rPr>
      </w:pPr>
    </w:p>
    <w:p w14:paraId="0000000C" w14:textId="3C1DF6A4" w:rsidR="003E2E6D" w:rsidRDefault="001908C3">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of contents </w:t>
      </w:r>
    </w:p>
    <w:p w14:paraId="0000000D" w14:textId="77777777" w:rsidR="003E2E6D" w:rsidRDefault="003E2E6D">
      <w:pPr>
        <w:rPr>
          <w:rFonts w:ascii="Times New Roman" w:eastAsia="Times New Roman" w:hAnsi="Times New Roman" w:cs="Times New Roman"/>
          <w:b/>
          <w:sz w:val="24"/>
          <w:szCs w:val="24"/>
        </w:rPr>
      </w:pPr>
    </w:p>
    <w:sdt>
      <w:sdtPr>
        <w:id w:val="1986121277"/>
        <w:docPartObj>
          <w:docPartGallery w:val="Table of Contents"/>
          <w:docPartUnique/>
        </w:docPartObj>
      </w:sdtPr>
      <w:sdtEndPr/>
      <w:sdtContent>
        <w:p w14:paraId="0000000E" w14:textId="77777777" w:rsidR="003E2E6D" w:rsidRDefault="001908C3">
          <w:pPr>
            <w:tabs>
              <w:tab w:val="right" w:pos="9025"/>
            </w:tabs>
            <w:spacing w:before="80" w:line="360" w:lineRule="auto"/>
            <w:jc w:val="both"/>
            <w:rPr>
              <w:rFonts w:ascii="Times New Roman" w:eastAsia="Times New Roman" w:hAnsi="Times New Roman" w:cs="Times New Roman"/>
              <w:sz w:val="24"/>
              <w:szCs w:val="24"/>
            </w:rPr>
          </w:pPr>
          <w:r>
            <w:fldChar w:fldCharType="begin"/>
          </w:r>
          <w:r>
            <w:instrText xml:space="preserve"> TOC \h \u \z </w:instrText>
          </w:r>
          <w:r>
            <w:fldChar w:fldCharType="separate"/>
          </w:r>
          <w:hyperlink w:anchor="_tsj497p4ajwl">
            <w:r>
              <w:rPr>
                <w:rFonts w:ascii="Times New Roman" w:eastAsia="Times New Roman" w:hAnsi="Times New Roman" w:cs="Times New Roman"/>
                <w:sz w:val="24"/>
                <w:szCs w:val="24"/>
              </w:rPr>
              <w:t>Introduction</w:t>
            </w:r>
          </w:hyperlink>
          <w:r>
            <w:rPr>
              <w:rFonts w:ascii="Times New Roman" w:eastAsia="Times New Roman" w:hAnsi="Times New Roman" w:cs="Times New Roman"/>
              <w:sz w:val="24"/>
              <w:szCs w:val="24"/>
            </w:rPr>
            <w:tab/>
          </w:r>
          <w:r>
            <w:fldChar w:fldCharType="begin"/>
          </w:r>
          <w:r>
            <w:instrText xml:space="preserve"> PAGEREF _tsj497p4ajwl \h </w:instrText>
          </w:r>
          <w:r>
            <w:fldChar w:fldCharType="separate"/>
          </w:r>
          <w:r>
            <w:rPr>
              <w:rFonts w:ascii="Times New Roman" w:eastAsia="Times New Roman" w:hAnsi="Times New Roman" w:cs="Times New Roman"/>
              <w:sz w:val="24"/>
              <w:szCs w:val="24"/>
            </w:rPr>
            <w:t>4</w:t>
          </w:r>
          <w:r>
            <w:fldChar w:fldCharType="end"/>
          </w:r>
        </w:p>
        <w:p w14:paraId="0000000F" w14:textId="77777777" w:rsidR="003E2E6D" w:rsidRDefault="00536A07">
          <w:pPr>
            <w:tabs>
              <w:tab w:val="right" w:pos="9025"/>
            </w:tabs>
            <w:spacing w:before="200" w:line="360" w:lineRule="auto"/>
            <w:jc w:val="both"/>
            <w:rPr>
              <w:rFonts w:ascii="Times New Roman" w:eastAsia="Times New Roman" w:hAnsi="Times New Roman" w:cs="Times New Roman"/>
              <w:sz w:val="24"/>
              <w:szCs w:val="24"/>
            </w:rPr>
          </w:pPr>
          <w:hyperlink w:anchor="_i9ab9zuwmwod">
            <w:r w:rsidR="001908C3">
              <w:rPr>
                <w:rFonts w:ascii="Times New Roman" w:eastAsia="Times New Roman" w:hAnsi="Times New Roman" w:cs="Times New Roman"/>
                <w:sz w:val="24"/>
                <w:szCs w:val="24"/>
              </w:rPr>
              <w:t>Discussion</w:t>
            </w:r>
          </w:hyperlink>
          <w:r w:rsidR="001908C3">
            <w:rPr>
              <w:rFonts w:ascii="Times New Roman" w:eastAsia="Times New Roman" w:hAnsi="Times New Roman" w:cs="Times New Roman"/>
              <w:sz w:val="24"/>
              <w:szCs w:val="24"/>
            </w:rPr>
            <w:tab/>
          </w:r>
          <w:r w:rsidR="001908C3">
            <w:fldChar w:fldCharType="begin"/>
          </w:r>
          <w:r w:rsidR="001908C3">
            <w:instrText xml:space="preserve"> PAGEREF _i9ab9zuwmwod \h </w:instrText>
          </w:r>
          <w:r w:rsidR="001908C3">
            <w:fldChar w:fldCharType="separate"/>
          </w:r>
          <w:r w:rsidR="001908C3">
            <w:rPr>
              <w:rFonts w:ascii="Times New Roman" w:eastAsia="Times New Roman" w:hAnsi="Times New Roman" w:cs="Times New Roman"/>
              <w:sz w:val="24"/>
              <w:szCs w:val="24"/>
            </w:rPr>
            <w:t>4</w:t>
          </w:r>
          <w:r w:rsidR="001908C3">
            <w:fldChar w:fldCharType="end"/>
          </w:r>
        </w:p>
        <w:p w14:paraId="00000010" w14:textId="77777777" w:rsidR="003E2E6D" w:rsidRDefault="00536A07">
          <w:pPr>
            <w:tabs>
              <w:tab w:val="right" w:pos="9025"/>
            </w:tabs>
            <w:spacing w:before="200" w:line="360" w:lineRule="auto"/>
            <w:jc w:val="both"/>
            <w:rPr>
              <w:rFonts w:ascii="Times New Roman" w:eastAsia="Times New Roman" w:hAnsi="Times New Roman" w:cs="Times New Roman"/>
              <w:sz w:val="24"/>
              <w:szCs w:val="24"/>
            </w:rPr>
          </w:pPr>
          <w:hyperlink w:anchor="_4xfi18e74f01">
            <w:r w:rsidR="001908C3">
              <w:rPr>
                <w:rFonts w:ascii="Times New Roman" w:eastAsia="Times New Roman" w:hAnsi="Times New Roman" w:cs="Times New Roman"/>
                <w:sz w:val="24"/>
                <w:szCs w:val="24"/>
              </w:rPr>
              <w:t>Conclusion and Recommendations</w:t>
            </w:r>
          </w:hyperlink>
          <w:r w:rsidR="001908C3">
            <w:rPr>
              <w:rFonts w:ascii="Times New Roman" w:eastAsia="Times New Roman" w:hAnsi="Times New Roman" w:cs="Times New Roman"/>
              <w:sz w:val="24"/>
              <w:szCs w:val="24"/>
            </w:rPr>
            <w:tab/>
          </w:r>
          <w:r w:rsidR="001908C3">
            <w:fldChar w:fldCharType="begin"/>
          </w:r>
          <w:r w:rsidR="001908C3">
            <w:instrText xml:space="preserve"> PAGEREF _4xfi18e74f01 \h </w:instrText>
          </w:r>
          <w:r w:rsidR="001908C3">
            <w:fldChar w:fldCharType="separate"/>
          </w:r>
          <w:r w:rsidR="001908C3">
            <w:rPr>
              <w:rFonts w:ascii="Times New Roman" w:eastAsia="Times New Roman" w:hAnsi="Times New Roman" w:cs="Times New Roman"/>
              <w:sz w:val="24"/>
              <w:szCs w:val="24"/>
            </w:rPr>
            <w:t>8</w:t>
          </w:r>
          <w:r w:rsidR="001908C3">
            <w:fldChar w:fldCharType="end"/>
          </w:r>
        </w:p>
        <w:p w14:paraId="00000011" w14:textId="77777777" w:rsidR="003E2E6D" w:rsidRDefault="00536A07">
          <w:pPr>
            <w:tabs>
              <w:tab w:val="right" w:pos="9025"/>
            </w:tabs>
            <w:spacing w:before="200" w:after="80" w:line="360" w:lineRule="auto"/>
            <w:jc w:val="both"/>
            <w:rPr>
              <w:rFonts w:ascii="Times New Roman" w:eastAsia="Times New Roman" w:hAnsi="Times New Roman" w:cs="Times New Roman"/>
              <w:sz w:val="24"/>
              <w:szCs w:val="24"/>
            </w:rPr>
          </w:pPr>
          <w:hyperlink w:anchor="_qaqx2kvlmps4">
            <w:r w:rsidR="001908C3">
              <w:rPr>
                <w:rFonts w:ascii="Times New Roman" w:eastAsia="Times New Roman" w:hAnsi="Times New Roman" w:cs="Times New Roman"/>
                <w:sz w:val="24"/>
                <w:szCs w:val="24"/>
              </w:rPr>
              <w:t>Reference List</w:t>
            </w:r>
          </w:hyperlink>
          <w:r w:rsidR="001908C3">
            <w:rPr>
              <w:rFonts w:ascii="Times New Roman" w:eastAsia="Times New Roman" w:hAnsi="Times New Roman" w:cs="Times New Roman"/>
              <w:sz w:val="24"/>
              <w:szCs w:val="24"/>
            </w:rPr>
            <w:tab/>
          </w:r>
          <w:r w:rsidR="001908C3">
            <w:fldChar w:fldCharType="begin"/>
          </w:r>
          <w:r w:rsidR="001908C3">
            <w:instrText xml:space="preserve"> PAGEREF _qaqx2kvlmps4 \h </w:instrText>
          </w:r>
          <w:r w:rsidR="001908C3">
            <w:fldChar w:fldCharType="separate"/>
          </w:r>
          <w:r w:rsidR="001908C3">
            <w:rPr>
              <w:rFonts w:ascii="Times New Roman" w:eastAsia="Times New Roman" w:hAnsi="Times New Roman" w:cs="Times New Roman"/>
              <w:sz w:val="24"/>
              <w:szCs w:val="24"/>
            </w:rPr>
            <w:t>11</w:t>
          </w:r>
          <w:r w:rsidR="001908C3">
            <w:fldChar w:fldCharType="end"/>
          </w:r>
          <w:r w:rsidR="001908C3">
            <w:fldChar w:fldCharType="end"/>
          </w:r>
        </w:p>
      </w:sdtContent>
    </w:sdt>
    <w:p w14:paraId="00000012" w14:textId="77777777" w:rsidR="003E2E6D" w:rsidRDefault="003E2E6D">
      <w:pPr>
        <w:spacing w:line="360" w:lineRule="auto"/>
        <w:jc w:val="both"/>
        <w:rPr>
          <w:rFonts w:ascii="Times New Roman" w:eastAsia="Times New Roman" w:hAnsi="Times New Roman" w:cs="Times New Roman"/>
          <w:sz w:val="24"/>
          <w:szCs w:val="24"/>
        </w:rPr>
      </w:pPr>
    </w:p>
    <w:p w14:paraId="00000013" w14:textId="77777777" w:rsidR="003E2E6D" w:rsidRDefault="001908C3">
      <w:pPr>
        <w:spacing w:line="360" w:lineRule="auto"/>
        <w:jc w:val="both"/>
        <w:rPr>
          <w:rFonts w:ascii="Times New Roman" w:eastAsia="Times New Roman" w:hAnsi="Times New Roman" w:cs="Times New Roman"/>
          <w:sz w:val="24"/>
          <w:szCs w:val="24"/>
        </w:rPr>
      </w:pPr>
      <w:r>
        <w:br w:type="page"/>
      </w:r>
    </w:p>
    <w:p w14:paraId="23ABBAC6" w14:textId="77777777" w:rsidR="00536A07" w:rsidRDefault="00536A07">
      <w:pPr>
        <w:pStyle w:val="Heading1"/>
      </w:pPr>
      <w:bookmarkStart w:id="1" w:name="_tsj497p4ajwl" w:colFirst="0" w:colLast="0"/>
      <w:bookmarkEnd w:id="1"/>
    </w:p>
    <w:p w14:paraId="00000014" w14:textId="0E2902F1" w:rsidR="003E2E6D" w:rsidRDefault="001908C3">
      <w:pPr>
        <w:pStyle w:val="Heading1"/>
      </w:pPr>
      <w:r>
        <w:t xml:space="preserve">Introduction </w:t>
      </w:r>
    </w:p>
    <w:p w14:paraId="56629631" w14:textId="77777777" w:rsidR="00536A07" w:rsidRPr="00536A07" w:rsidRDefault="00536A07" w:rsidP="00536A07"/>
    <w:p w14:paraId="00000015" w14:textId="1DF99F6B"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guidelines that must be followed for effective project management are the construction project principles. The Body of Knowledge for Project Management still lacks a defined collection of project success concepts. A formal blueprint for managing projects, a committed and dedicated project sponsor, clear objectives and results, roles and responsibilities with paperwork, successful change strategic planning, risk assessment, the growth of capabilities for providing quality, a baseline for performance management, and a communication plan are just a few of the project management principles. The project of Crossrail project has been covered in the report. Elizabeth Branch East-West Railroad Network is also known as Crossrail, and it is the biggest building project in Europe (</w:t>
      </w:r>
      <w:proofErr w:type="spellStart"/>
      <w:r>
        <w:rPr>
          <w:rFonts w:ascii="Times New Roman" w:eastAsia="Times New Roman" w:hAnsi="Times New Roman" w:cs="Times New Roman"/>
          <w:color w:val="222222"/>
          <w:sz w:val="24"/>
          <w:szCs w:val="24"/>
          <w:highlight w:val="white"/>
        </w:rPr>
        <w:t>Moerdianto</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Suryani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Dinariana</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10-year period is specified within the 2008 Crossrail Act, which also laid out the fundamentals of an implementation plan, with the brand name becoming operational in 2019. At the </w:t>
      </w:r>
      <w:r w:rsidR="00536A07">
        <w:rPr>
          <w:rFonts w:ascii="Times New Roman" w:eastAsia="Times New Roman" w:hAnsi="Times New Roman" w:cs="Times New Roman"/>
          <w:sz w:val="24"/>
          <w:szCs w:val="24"/>
        </w:rPr>
        <w:t>centre</w:t>
      </w:r>
      <w:r>
        <w:rPr>
          <w:rFonts w:ascii="Times New Roman" w:eastAsia="Times New Roman" w:hAnsi="Times New Roman" w:cs="Times New Roman"/>
          <w:sz w:val="24"/>
          <w:szCs w:val="24"/>
        </w:rPr>
        <w:t xml:space="preserve"> of the plan was a vision for how the railway would be constructed using industry standards and ethical procurement, with the help of an integrator, a project collaborator, programmers, and subcontractors, as well as ongoing experiments with relevant parties. Since the </w:t>
      </w:r>
      <w:r w:rsidR="00536A07">
        <w:rPr>
          <w:rFonts w:ascii="Times New Roman" w:eastAsia="Times New Roman" w:hAnsi="Times New Roman" w:cs="Times New Roman"/>
          <w:sz w:val="24"/>
          <w:szCs w:val="24"/>
        </w:rPr>
        <w:t>tunnelling</w:t>
      </w:r>
      <w:r>
        <w:rPr>
          <w:rFonts w:ascii="Times New Roman" w:eastAsia="Times New Roman" w:hAnsi="Times New Roman" w:cs="Times New Roman"/>
          <w:sz w:val="24"/>
          <w:szCs w:val="24"/>
        </w:rPr>
        <w:t xml:space="preserve"> was completed in 2015 and integrated into the systems and structural finishing works, this concept has not been altered (</w:t>
      </w:r>
      <w:r>
        <w:rPr>
          <w:rFonts w:ascii="Times New Roman" w:eastAsia="Times New Roman" w:hAnsi="Times New Roman" w:cs="Times New Roman"/>
          <w:color w:val="222222"/>
          <w:sz w:val="24"/>
          <w:szCs w:val="24"/>
          <w:highlight w:val="white"/>
        </w:rPr>
        <w:t>Kumar, 2022)</w:t>
      </w:r>
      <w:r>
        <w:rPr>
          <w:rFonts w:ascii="Times New Roman" w:eastAsia="Times New Roman" w:hAnsi="Times New Roman" w:cs="Times New Roman"/>
          <w:sz w:val="24"/>
          <w:szCs w:val="24"/>
        </w:rPr>
        <w:t>. This paper explains the strategy is essential and how it was able to retain the project's delivery framework the whole time. Nine additional stations will be added to the core stretch's 21 km of deep excavations, which also include five entrances, five intermediate shafts, and a ninth train facility at Abbey Wood. At Old Oak Forest, Ilford, and Plumstead, new depots and repair facilities are being constructed. The project was able to get the required approvals and funding thanks to the Crossrail Act, which was passed by parliament in April 2008, as well as an agreement with its joint backers, Connectivity for Londoners and the Department for Transport (</w:t>
      </w:r>
      <w:r>
        <w:rPr>
          <w:rFonts w:ascii="Times New Roman" w:eastAsia="Times New Roman" w:hAnsi="Times New Roman" w:cs="Times New Roman"/>
          <w:color w:val="222222"/>
          <w:sz w:val="24"/>
          <w:szCs w:val="24"/>
          <w:highlight w:val="white"/>
        </w:rPr>
        <w:t xml:space="preserve">Zhang, </w:t>
      </w: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and Zheng, 2021)</w:t>
      </w:r>
      <w:r>
        <w:rPr>
          <w:rFonts w:ascii="Times New Roman" w:eastAsia="Times New Roman" w:hAnsi="Times New Roman" w:cs="Times New Roman"/>
          <w:sz w:val="24"/>
          <w:szCs w:val="24"/>
        </w:rPr>
        <w:t xml:space="preserve">. The following are the main components of the $14.8 billion financing package for the project. The essay aims to focus on the success of the cross-rail project and its sustainability success. </w:t>
      </w:r>
    </w:p>
    <w:p w14:paraId="00000016" w14:textId="77777777" w:rsidR="003E2E6D" w:rsidRDefault="001908C3">
      <w:pPr>
        <w:pStyle w:val="Heading1"/>
      </w:pPr>
      <w:bookmarkStart w:id="2" w:name="_i9ab9zuwmwod" w:colFirst="0" w:colLast="0"/>
      <w:bookmarkEnd w:id="2"/>
      <w:r>
        <w:t xml:space="preserve">Discussion </w:t>
      </w:r>
    </w:p>
    <w:p w14:paraId="00000017" w14:textId="2ED8B3BA"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Cross-rail project has, in my opinion, been satisfactorily carried out. The Crossrail integrated system was used from the beginning to make it one of the first projects of this size. Making a sustainability plan was an important first step. This strategy was made public in 2009 </w:t>
      </w:r>
      <w:r>
        <w:rPr>
          <w:rFonts w:ascii="Times New Roman" w:eastAsia="Times New Roman" w:hAnsi="Times New Roman" w:cs="Times New Roman"/>
          <w:sz w:val="24"/>
          <w:szCs w:val="24"/>
        </w:rPr>
        <w:lastRenderedPageBreak/>
        <w:t>when Canary Wharf's Elizabeth Line construction got underway. With the aim of promoting social, ecological, and economic sustainability, the plan devised a thorough approach. It produced seven core themes that were in line with the goals of its creators, TfL and the Department for Transport, with a few adjustments that were acceptable for the type of initiative but did not part of the sponsors' requirements, such as the environmental impact of materials (</w:t>
      </w:r>
      <w:r>
        <w:rPr>
          <w:rFonts w:ascii="Times New Roman" w:eastAsia="Times New Roman" w:hAnsi="Times New Roman" w:cs="Times New Roman"/>
          <w:color w:val="222222"/>
          <w:sz w:val="24"/>
          <w:szCs w:val="24"/>
          <w:highlight w:val="white"/>
        </w:rPr>
        <w:t>Gil, and Fu, 2022)</w:t>
      </w:r>
      <w:r>
        <w:rPr>
          <w:rFonts w:ascii="Times New Roman" w:eastAsia="Times New Roman" w:hAnsi="Times New Roman" w:cs="Times New Roman"/>
          <w:sz w:val="24"/>
          <w:szCs w:val="24"/>
        </w:rPr>
        <w:t xml:space="preserve">. In circumstances when none could be satisfied, considerable sustainability initiatives, objectives, and targets were set. The strategy was either to define an aim with a view to seeing what might be accomplished and giving benchmark data for other projects to utilize, or to set a goal with a view to using informed judgment to choose a nominal target on page 9 of Crossrail. According to estimates, the project will benefit the UK economy for more than a 60-year period with around £42 billion in net present value. Reducing traffic, reducing travel times, and improving accessibility, will increase London's competitiveness. Crossrail is also the first major transport initiative in the UK to build stations, their surroundings, and any potential for expansion all at once. The highly </w:t>
      </w:r>
      <w:r w:rsidR="00536A07">
        <w:rPr>
          <w:rFonts w:ascii="Times New Roman" w:eastAsia="Times New Roman" w:hAnsi="Times New Roman" w:cs="Times New Roman"/>
          <w:sz w:val="24"/>
          <w:szCs w:val="24"/>
        </w:rPr>
        <w:t>centred</w:t>
      </w:r>
      <w:r>
        <w:rPr>
          <w:rFonts w:ascii="Times New Roman" w:eastAsia="Times New Roman" w:hAnsi="Times New Roman" w:cs="Times New Roman"/>
          <w:sz w:val="24"/>
          <w:szCs w:val="24"/>
        </w:rPr>
        <w:t xml:space="preserve"> stations will include two hundred thousand square feet of industrial, apartment, and floor space in addition to good public space (</w:t>
      </w:r>
      <w:proofErr w:type="spellStart"/>
      <w:r>
        <w:rPr>
          <w:rFonts w:ascii="Times New Roman" w:eastAsia="Times New Roman" w:hAnsi="Times New Roman" w:cs="Times New Roman"/>
          <w:color w:val="222222"/>
          <w:sz w:val="24"/>
          <w:szCs w:val="24"/>
          <w:highlight w:val="white"/>
        </w:rPr>
        <w:t>Kapogiannis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Mlilo</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This strategy and comprehensive master planning maximise revitalization throughout the project's path. According to independent estimates, the project will increase or unlock the present supply with over 90,000 dwellings and significantly more than 4.4 million square feet of a dwelling, business, and floorspace, driving up real estate costs in London by £10.6 billion. Crossrail's development was guided by strict environmental standards. A million tonnes of excavated material were utilised to create new ponds, forest reserves, recreational areas, and industrial and agricultural land. The natural reserve is already a well-known location for observing migratory birds throughout Europe. Since 80 percent of these things were supplied by train and water, there was a huge reduction in the amount of automobile traffic on England's streets (</w:t>
      </w:r>
      <w:proofErr w:type="spellStart"/>
      <w:r>
        <w:rPr>
          <w:rFonts w:ascii="Times New Roman" w:eastAsia="Times New Roman" w:hAnsi="Times New Roman" w:cs="Times New Roman"/>
          <w:color w:val="222222"/>
          <w:sz w:val="24"/>
          <w:szCs w:val="24"/>
          <w:highlight w:val="white"/>
        </w:rPr>
        <w:t>Nyarirangwe</w:t>
      </w:r>
      <w:proofErr w:type="spellEnd"/>
      <w:r>
        <w:rPr>
          <w:rFonts w:ascii="Times New Roman" w:eastAsia="Times New Roman" w:hAnsi="Times New Roman" w:cs="Times New Roman"/>
          <w:color w:val="222222"/>
          <w:sz w:val="24"/>
          <w:szCs w:val="24"/>
          <w:highlight w:val="white"/>
        </w:rPr>
        <w:t>, and Babatunde, 2019)</w:t>
      </w:r>
      <w:r>
        <w:rPr>
          <w:rFonts w:ascii="Times New Roman" w:eastAsia="Times New Roman" w:hAnsi="Times New Roman" w:cs="Times New Roman"/>
          <w:sz w:val="24"/>
          <w:szCs w:val="24"/>
        </w:rPr>
        <w:t>. Crossrail actively collaborated with regional suppliers and supported more than 55,000 jobs throughout construction in order to increase overall economic benefits to UK companies. This was accomplished by making an effort to draw in a wide and varied variety of possible investors for the Crossrail and by making sure that all UK firms, irrespective of size, were conscious of the prospects available. 39% of the garbage was reused or recycled, above the objective of 20%, and 99.6% of it was kept out of the landfill. By reaching the aim of 80% and fitting pollution controls to 83% of construction equipment, the project also reduced its negative effect on air quality (</w:t>
      </w:r>
      <w:proofErr w:type="spellStart"/>
      <w:r>
        <w:rPr>
          <w:rFonts w:ascii="Times New Roman" w:eastAsia="Times New Roman" w:hAnsi="Times New Roman" w:cs="Times New Roman"/>
          <w:color w:val="222222"/>
          <w:sz w:val="24"/>
          <w:szCs w:val="24"/>
          <w:highlight w:val="white"/>
        </w:rPr>
        <w:t>Naldi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Using the ecological accounting method created by the Ministry </w:t>
      </w:r>
      <w:r>
        <w:rPr>
          <w:rFonts w:ascii="Times New Roman" w:eastAsia="Times New Roman" w:hAnsi="Times New Roman" w:cs="Times New Roman"/>
          <w:sz w:val="24"/>
          <w:szCs w:val="24"/>
        </w:rPr>
        <w:lastRenderedPageBreak/>
        <w:t>for Environmental and Rural Affairs, Crossrail as well as Network Rail determined the value of the ecosystems lost, gained, and generated as a result of the project (DEFRA). The construction of a 42-kilometer tunnel and 10 new stops in the middle section results in a net loss of diversity units. The team explored ways to use landscaping and rooftop plants to somewhat mitigate this loss. The project is now 91% complete, surpassing its original target of completing 80% of the identification of potential biodiversity units. Without any major negative diversity unit just on rail's ground section was the objective set by Network Rail (</w:t>
      </w:r>
      <w:r>
        <w:rPr>
          <w:rFonts w:ascii="Times New Roman" w:eastAsia="Times New Roman" w:hAnsi="Times New Roman" w:cs="Times New Roman"/>
          <w:color w:val="222222"/>
          <w:sz w:val="24"/>
          <w:szCs w:val="24"/>
          <w:highlight w:val="white"/>
        </w:rPr>
        <w:t>Glinka, 2022)</w:t>
      </w:r>
      <w:r>
        <w:rPr>
          <w:rFonts w:ascii="Times New Roman" w:eastAsia="Times New Roman" w:hAnsi="Times New Roman" w:cs="Times New Roman"/>
          <w:sz w:val="24"/>
          <w:szCs w:val="24"/>
        </w:rPr>
        <w:t>. At 59% of the surface rail's completion, the project is on schedule to increase biodiversity in areas already managed by local wildlife trusts, and it is projected that it will do the same in the remaining 41% of the surface rail.</w:t>
      </w:r>
    </w:p>
    <w:p w14:paraId="00000018" w14:textId="53A9A4D6"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is committed to reducing its carbon footprint by consuming fewer energy throughout construction, less electricity used to power building supplies, and less energy required to run the train. Crossrail has cut the carbon emissions related to construction by 18.6% compared to its target of 8%. Now that Crossrail Ltd (</w:t>
      </w:r>
      <w:r>
        <w:rPr>
          <w:rFonts w:ascii="Times New Roman" w:eastAsia="Times New Roman" w:hAnsi="Times New Roman" w:cs="Times New Roman"/>
          <w:color w:val="222222"/>
          <w:sz w:val="24"/>
          <w:szCs w:val="24"/>
          <w:highlight w:val="white"/>
        </w:rPr>
        <w:t>Singhal, 2020)</w:t>
      </w:r>
      <w:r>
        <w:rPr>
          <w:rFonts w:ascii="Times New Roman" w:eastAsia="Times New Roman" w:hAnsi="Times New Roman" w:cs="Times New Roman"/>
          <w:sz w:val="24"/>
          <w:szCs w:val="24"/>
        </w:rPr>
        <w:t>. has established certain technology, contractors are able to predict the carbon emissions produced by their equipment. Contractors may use the tool to determine the best equipment to utilise in order to meet the agreement's carbon reduction goals. The latent environmental cost of concrete made using cement replacements may now be reduced. Although the project is possible to enhance this amount to as high as 72% in certain areas, the Crossrail specification requires cement alternatives to make up at least 50% of the concrete. Crossrail set objectives for the train cars' weight and energy efficiency (</w:t>
      </w:r>
      <w:r>
        <w:rPr>
          <w:rFonts w:ascii="Times New Roman" w:eastAsia="Times New Roman" w:hAnsi="Times New Roman" w:cs="Times New Roman"/>
          <w:color w:val="222222"/>
          <w:sz w:val="24"/>
          <w:szCs w:val="24"/>
          <w:highlight w:val="white"/>
        </w:rPr>
        <w:t xml:space="preserve">Tao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These goals were, respectively, 24 kilowatt-hours per train and 350 tonnes of unladen weight for every train of ten cars. The most recent statistic was 55 g of Carbon dioxide per customer per </w:t>
      </w:r>
      <w:r w:rsidR="00536A07">
        <w:rPr>
          <w:rFonts w:ascii="Times New Roman" w:eastAsia="Times New Roman" w:hAnsi="Times New Roman" w:cs="Times New Roman"/>
          <w:sz w:val="24"/>
          <w:szCs w:val="24"/>
        </w:rPr>
        <w:t>kilometre</w:t>
      </w:r>
      <w:r>
        <w:rPr>
          <w:rFonts w:ascii="Times New Roman" w:eastAsia="Times New Roman" w:hAnsi="Times New Roman" w:cs="Times New Roman"/>
          <w:sz w:val="24"/>
          <w:szCs w:val="24"/>
        </w:rPr>
        <w:t>. With just less than 319 tonnes of unladen weight, the weight goal has been surpassed. The energy efficiency goal has been helped by the lighter train. The effectiveness of the trains is still being tested, but the most recent data points to an efficiency of about 14 kWh/train (</w:t>
      </w:r>
      <w:proofErr w:type="spellStart"/>
      <w:r>
        <w:rPr>
          <w:rFonts w:ascii="Times New Roman" w:eastAsia="Times New Roman" w:hAnsi="Times New Roman" w:cs="Times New Roman"/>
          <w:color w:val="222222"/>
          <w:sz w:val="24"/>
          <w:szCs w:val="24"/>
          <w:highlight w:val="white"/>
        </w:rPr>
        <w:t>Sepasgozar</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new trains are among the most energy-efficient in their class with an equivalent of 32 g of Carbon dioxide for every passenger km. </w:t>
      </w:r>
    </w:p>
    <w:p w14:paraId="00000019" w14:textId="77777777"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Crossrail program's corporate responsibility program, in my opinion, has been effectively started, and the project has been implemented properly. The Crossrail lethal injection strategy was laid out in the internal Crossrail Contract Strategy document in 2009 and was also based on a model in which frequent updates of work would be created and implemented, obtained, crafted, and obtained by Crossrail in addition to its partner companies, third parties relevant </w:t>
      </w:r>
      <w:r>
        <w:rPr>
          <w:rFonts w:ascii="Times New Roman" w:eastAsia="Times New Roman" w:hAnsi="Times New Roman" w:cs="Times New Roman"/>
          <w:sz w:val="24"/>
          <w:szCs w:val="24"/>
        </w:rPr>
        <w:lastRenderedPageBreak/>
        <w:t>individuals, as well as the supply chain in a series of stages. An integrated care team, which aimed to do this, was to include Crossrail (</w:t>
      </w:r>
      <w:r>
        <w:rPr>
          <w:rFonts w:ascii="Times New Roman" w:eastAsia="Times New Roman" w:hAnsi="Times New Roman" w:cs="Times New Roman"/>
          <w:color w:val="222222"/>
          <w:sz w:val="24"/>
          <w:szCs w:val="24"/>
          <w:highlight w:val="white"/>
        </w:rPr>
        <w:t>Simpson, 2021)</w:t>
      </w:r>
      <w:r>
        <w:rPr>
          <w:rFonts w:ascii="Times New Roman" w:eastAsia="Times New Roman" w:hAnsi="Times New Roman" w:cs="Times New Roman"/>
          <w:sz w:val="24"/>
          <w:szCs w:val="24"/>
        </w:rPr>
        <w:t>. The guiding principles of the project have been successfully applied.</w:t>
      </w:r>
    </w:p>
    <w:p w14:paraId="0000001A" w14:textId="77777777" w:rsidR="003E2E6D" w:rsidRDefault="001908C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Remained in the responsibility of ensuring delivery and observing adherence to the sponsor's requirements</w:t>
      </w:r>
    </w:p>
    <w:p w14:paraId="0000001B" w14:textId="77777777" w:rsidR="003E2E6D" w:rsidRDefault="001908C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Defined the physical safety, ecologic, and quality government within which the curriculum will be delivered and managed financially. </w:t>
      </w:r>
    </w:p>
    <w:p w14:paraId="0000001C" w14:textId="77777777" w:rsidR="003E2E6D" w:rsidRDefault="001908C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program's delivery methods were characterised and put into practise by the funding, which also incorporated the complete system's created and controlled program width and purchased design, construction, and other services (</w:t>
      </w:r>
      <w:proofErr w:type="spellStart"/>
      <w:r>
        <w:rPr>
          <w:rFonts w:ascii="Times New Roman" w:eastAsia="Times New Roman" w:hAnsi="Times New Roman" w:cs="Times New Roman"/>
          <w:color w:val="222222"/>
          <w:sz w:val="24"/>
          <w:szCs w:val="24"/>
          <w:highlight w:val="white"/>
        </w:rPr>
        <w:t>Akponeware</w:t>
      </w:r>
      <w:proofErr w:type="spellEnd"/>
      <w:r>
        <w:rPr>
          <w:rFonts w:ascii="Times New Roman" w:eastAsia="Times New Roman" w:hAnsi="Times New Roman" w:cs="Times New Roman"/>
          <w:i/>
          <w:color w:val="222222"/>
          <w:sz w:val="24"/>
          <w:szCs w:val="24"/>
          <w:highlight w:val="white"/>
        </w:rPr>
        <w:t xml:space="preserve"> 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w:t>
      </w:r>
    </w:p>
    <w:p w14:paraId="0000001D" w14:textId="0B9866F5"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Crossrail recruited an overall project associate to oversee the day and execution of a central part and its individual contracts on time, at a sufficient condition, and within the budgeted amount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w:t>
      </w:r>
      <w:r w:rsidR="00536A07">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its obligations under the enabling law. This contract was also awarded to Bechtel Ltd. in 2009, together with its chosen subcontractors Halcrow and </w:t>
      </w:r>
      <w:proofErr w:type="spellStart"/>
      <w:r>
        <w:rPr>
          <w:rFonts w:ascii="Times New Roman" w:eastAsia="Times New Roman" w:hAnsi="Times New Roman" w:cs="Times New Roman"/>
          <w:sz w:val="24"/>
          <w:szCs w:val="24"/>
        </w:rPr>
        <w:t>Systra</w:t>
      </w:r>
      <w:proofErr w:type="spellEnd"/>
      <w:r>
        <w:rPr>
          <w:rFonts w:ascii="Times New Roman" w:eastAsia="Times New Roman" w:hAnsi="Times New Roman" w:cs="Times New Roman"/>
          <w:sz w:val="24"/>
          <w:szCs w:val="24"/>
        </w:rPr>
        <w:t>. Crossrail also recognised the need to having able to start advanced, or "enabling," activities before the start of the primary focus section construction. An authorising works supervision agent arrangement was issued in 2008 to supervise the organisation and implementation of all uses of new, including utilities detours, traffic control, inspections, and other protective measures.  In 2011, these projects were completed (</w:t>
      </w:r>
      <w:r>
        <w:rPr>
          <w:rFonts w:ascii="Times New Roman" w:eastAsia="Times New Roman" w:hAnsi="Times New Roman" w:cs="Times New Roman"/>
          <w:color w:val="222222"/>
          <w:sz w:val="24"/>
          <w:szCs w:val="24"/>
          <w:highlight w:val="white"/>
        </w:rPr>
        <w:t>Kozak-Holland, and Procter, 2019)</w:t>
      </w:r>
      <w:r>
        <w:rPr>
          <w:rFonts w:ascii="Times New Roman" w:eastAsia="Times New Roman" w:hAnsi="Times New Roman" w:cs="Times New Roman"/>
          <w:sz w:val="24"/>
          <w:szCs w:val="24"/>
        </w:rPr>
        <w:t xml:space="preserve">. As a result, more than 500 new recruits were hired, over 10,000 people received training in </w:t>
      </w:r>
      <w:r w:rsidR="00536A07">
        <w:rPr>
          <w:rFonts w:ascii="Times New Roman" w:eastAsia="Times New Roman" w:hAnsi="Times New Roman" w:cs="Times New Roman"/>
          <w:sz w:val="24"/>
          <w:szCs w:val="24"/>
        </w:rPr>
        <w:t>tunnelling</w:t>
      </w:r>
      <w:r>
        <w:rPr>
          <w:rFonts w:ascii="Times New Roman" w:eastAsia="Times New Roman" w:hAnsi="Times New Roman" w:cs="Times New Roman"/>
          <w:sz w:val="24"/>
          <w:szCs w:val="24"/>
        </w:rPr>
        <w:t xml:space="preserve"> and underground construction, over 10,000 heavy goods car users received training in accordance with new and improved driver safety regulations, more than 1,000 young people participated in employment opportunities, and more than 4000 local or heretofore unemployed individuals received job starts. Nearly 95% of the contracts for Crossrail were given to UK-based businesses, while 61% of the UK suppliers were located outside of London (</w:t>
      </w:r>
      <w:proofErr w:type="spellStart"/>
      <w:r>
        <w:rPr>
          <w:rFonts w:ascii="Times New Roman" w:eastAsia="Times New Roman" w:hAnsi="Times New Roman" w:cs="Times New Roman"/>
          <w:color w:val="222222"/>
          <w:sz w:val="24"/>
          <w:szCs w:val="24"/>
          <w:highlight w:val="white"/>
        </w:rPr>
        <w:t>Mangioni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w:t>
      </w:r>
    </w:p>
    <w:p w14:paraId="0000001E" w14:textId="77777777"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98% of the excavated material that was handled over 6 </w:t>
      </w:r>
      <w:proofErr w:type="spellStart"/>
      <w:r>
        <w:rPr>
          <w:rFonts w:ascii="Times New Roman" w:eastAsia="Times New Roman" w:hAnsi="Times New Roman" w:cs="Times New Roman"/>
          <w:sz w:val="24"/>
          <w:szCs w:val="24"/>
        </w:rPr>
        <w:t>mt</w:t>
      </w:r>
      <w:proofErr w:type="spellEnd"/>
      <w:r>
        <w:rPr>
          <w:rFonts w:ascii="Times New Roman" w:eastAsia="Times New Roman" w:hAnsi="Times New Roman" w:cs="Times New Roman"/>
          <w:sz w:val="24"/>
          <w:szCs w:val="24"/>
        </w:rPr>
        <w:t xml:space="preserve"> was usefully repurposed, with 3 </w:t>
      </w:r>
      <w:proofErr w:type="spellStart"/>
      <w:r>
        <w:rPr>
          <w:rFonts w:ascii="Times New Roman" w:eastAsia="Times New Roman" w:hAnsi="Times New Roman" w:cs="Times New Roman"/>
          <w:sz w:val="24"/>
          <w:szCs w:val="24"/>
        </w:rPr>
        <w:t>mt</w:t>
      </w:r>
      <w:proofErr w:type="spellEnd"/>
      <w:r>
        <w:rPr>
          <w:rFonts w:ascii="Times New Roman" w:eastAsia="Times New Roman" w:hAnsi="Times New Roman" w:cs="Times New Roman"/>
          <w:sz w:val="24"/>
          <w:szCs w:val="24"/>
        </w:rPr>
        <w:t xml:space="preserve"> going toward constructing a new bird sanctuary for such RSPB preserve at </w:t>
      </w:r>
      <w:proofErr w:type="spellStart"/>
      <w:r>
        <w:rPr>
          <w:rFonts w:ascii="Times New Roman" w:eastAsia="Times New Roman" w:hAnsi="Times New Roman" w:cs="Times New Roman"/>
          <w:sz w:val="24"/>
          <w:szCs w:val="24"/>
        </w:rPr>
        <w:t>Wallasea</w:t>
      </w:r>
      <w:proofErr w:type="spellEnd"/>
      <w:r>
        <w:rPr>
          <w:rFonts w:ascii="Times New Roman" w:eastAsia="Times New Roman" w:hAnsi="Times New Roman" w:cs="Times New Roman"/>
          <w:sz w:val="24"/>
          <w:szCs w:val="24"/>
        </w:rPr>
        <w:t xml:space="preserve"> Islands in Essex. The central operational section's launch in December 2018 serves as the focal point for the services' gradual implementation. An attempt was undertaken to prepare for starting the early dynamic analysis of a segment of the route in November 2017 in order to provide more float and assurance at that stage. This gave the total commissioning program a 2-month float extension (</w:t>
      </w:r>
      <w:r>
        <w:rPr>
          <w:rFonts w:ascii="Times New Roman" w:eastAsia="Times New Roman" w:hAnsi="Times New Roman" w:cs="Times New Roman"/>
          <w:color w:val="222222"/>
          <w:sz w:val="24"/>
          <w:szCs w:val="24"/>
          <w:highlight w:val="white"/>
        </w:rPr>
        <w:t xml:space="preserve">Shenoy, and </w:t>
      </w:r>
      <w:proofErr w:type="spellStart"/>
      <w:r>
        <w:rPr>
          <w:rFonts w:ascii="Times New Roman" w:eastAsia="Times New Roman" w:hAnsi="Times New Roman" w:cs="Times New Roman"/>
          <w:color w:val="222222"/>
          <w:sz w:val="24"/>
          <w:szCs w:val="24"/>
          <w:highlight w:val="white"/>
        </w:rPr>
        <w:t>Mahanty</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To facilitate early testing and incorporate the </w:t>
      </w:r>
      <w:r>
        <w:rPr>
          <w:rFonts w:ascii="Times New Roman" w:eastAsia="Times New Roman" w:hAnsi="Times New Roman" w:cs="Times New Roman"/>
          <w:sz w:val="24"/>
          <w:szCs w:val="24"/>
        </w:rPr>
        <w:lastRenderedPageBreak/>
        <w:t>operations of the many subcontractors into a unified program for the end-to-end railway, precise testing, and completion schedules are indeed being established.</w:t>
      </w:r>
    </w:p>
    <w:p w14:paraId="0000001F" w14:textId="77777777" w:rsidR="003E2E6D" w:rsidRDefault="003E2E6D">
      <w:pPr>
        <w:spacing w:line="360" w:lineRule="auto"/>
        <w:jc w:val="both"/>
        <w:rPr>
          <w:rFonts w:ascii="Times New Roman" w:eastAsia="Times New Roman" w:hAnsi="Times New Roman" w:cs="Times New Roman"/>
          <w:sz w:val="24"/>
          <w:szCs w:val="24"/>
        </w:rPr>
      </w:pPr>
    </w:p>
    <w:p w14:paraId="00000020" w14:textId="523D9AF8"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successfully a programme manager accomplishes the project's objectives and objectives determines the success of the project. The project manager places a lot of emphasis on a project's timetable and financial restrictions. Making the best possible use of a limited number of resources is the key. However, they must also establish a good rapport with each </w:t>
      </w:r>
      <w:r w:rsidR="00536A07">
        <w:rPr>
          <w:rFonts w:ascii="Times New Roman" w:eastAsia="Times New Roman" w:hAnsi="Times New Roman" w:cs="Times New Roman"/>
          <w:sz w:val="24"/>
          <w:szCs w:val="24"/>
        </w:rPr>
        <w:t>stakeholder. The</w:t>
      </w:r>
      <w:r>
        <w:rPr>
          <w:rFonts w:ascii="Times New Roman" w:eastAsia="Times New Roman" w:hAnsi="Times New Roman" w:cs="Times New Roman"/>
          <w:sz w:val="24"/>
          <w:szCs w:val="24"/>
        </w:rPr>
        <w:t xml:space="preserve"> success criteria of the project are, </w:t>
      </w:r>
    </w:p>
    <w:p w14:paraId="00000021" w14:textId="77777777" w:rsidR="003E2E6D" w:rsidRDefault="001908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Scope of the project; the Intended result of the project should be achieved. </w:t>
      </w:r>
    </w:p>
    <w:p w14:paraId="00000022" w14:textId="77777777" w:rsidR="003E2E6D" w:rsidRDefault="001908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Schedule: The project management schedule is concretely designed based on project meeting deadlines and timelines. </w:t>
      </w:r>
    </w:p>
    <w:p w14:paraId="00000023" w14:textId="77777777" w:rsidR="003E2E6D" w:rsidRDefault="001908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Budget of the project: Crossrail project has met this criterion to implement the project successfully. </w:t>
      </w:r>
    </w:p>
    <w:p w14:paraId="00000024" w14:textId="77777777" w:rsidR="003E2E6D" w:rsidRDefault="001908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Satisfaction of the team: Team satisfaction must be implemented for project execution satisfaction (</w:t>
      </w:r>
      <w:proofErr w:type="spellStart"/>
      <w:r>
        <w:rPr>
          <w:rFonts w:ascii="Times New Roman" w:eastAsia="Times New Roman" w:hAnsi="Times New Roman" w:cs="Times New Roman"/>
          <w:color w:val="222222"/>
          <w:sz w:val="24"/>
          <w:szCs w:val="24"/>
          <w:highlight w:val="white"/>
        </w:rPr>
        <w:t>Prastowo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Purba</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w:t>
      </w:r>
    </w:p>
    <w:p w14:paraId="00000025" w14:textId="77777777" w:rsidR="003E2E6D" w:rsidRDefault="001908C3">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 satisfaction: Positive response from stakeholders, clients, and sponsors. </w:t>
      </w:r>
    </w:p>
    <w:p w14:paraId="00000026" w14:textId="5C2B4001"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Crossrail project's completion and transfer will be a challenging task. The assets in the </w:t>
      </w:r>
      <w:r w:rsidR="00536A07">
        <w:rPr>
          <w:rFonts w:ascii="Times New Roman" w:eastAsia="Times New Roman" w:hAnsi="Times New Roman" w:cs="Times New Roman"/>
          <w:sz w:val="24"/>
          <w:szCs w:val="24"/>
        </w:rPr>
        <w:t>centre</w:t>
      </w:r>
      <w:r>
        <w:rPr>
          <w:rFonts w:ascii="Times New Roman" w:eastAsia="Times New Roman" w:hAnsi="Times New Roman" w:cs="Times New Roman"/>
          <w:sz w:val="24"/>
          <w:szCs w:val="24"/>
        </w:rPr>
        <w:t xml:space="preserve"> area will be under the overall control of Rail for London. As the infrastructure manager, either Channel Tunnel or Rail for London will be given control of specific stations, portals, and shafts. The experimental railroad operations will be run by Rail for Londoners and the rail concession. To assist with it, a detailed handover, property file transfer, and training course are being developed. Crossrail is obliged to train the trainer through its suppliers in order for the operations and airport authorities to have their staff ready for trial operations (</w:t>
      </w:r>
      <w:proofErr w:type="spellStart"/>
      <w:r>
        <w:rPr>
          <w:rFonts w:ascii="Times New Roman" w:eastAsia="Times New Roman" w:hAnsi="Times New Roman" w:cs="Times New Roman"/>
          <w:color w:val="222222"/>
          <w:sz w:val="24"/>
          <w:szCs w:val="24"/>
          <w:highlight w:val="white"/>
        </w:rPr>
        <w:t>Adamska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Blahak</w:t>
      </w:r>
      <w:proofErr w:type="spellEnd"/>
      <w:r>
        <w:rPr>
          <w:rFonts w:ascii="Times New Roman" w:eastAsia="Times New Roman" w:hAnsi="Times New Roman" w:cs="Times New Roman"/>
          <w:color w:val="222222"/>
          <w:sz w:val="24"/>
          <w:szCs w:val="24"/>
          <w:highlight w:val="white"/>
        </w:rPr>
        <w:t>, and Abanda, 2021)</w:t>
      </w:r>
      <w:r>
        <w:rPr>
          <w:rFonts w:ascii="Times New Roman" w:eastAsia="Times New Roman" w:hAnsi="Times New Roman" w:cs="Times New Roman"/>
          <w:sz w:val="24"/>
          <w:szCs w:val="24"/>
        </w:rPr>
        <w:t xml:space="preserve">. When Crossrail selected its operational director in 2011, a group of specialists in procedures, repairs, and planning was put together to be ready for trial operations. In keeping with its goals and core principles, Crossrail has pledged to create teaching legacies that will gather and share creative concepts, valuable lessons, and practice guidelines throughout the entire Crossrail construction undertaking. A cloud-based program called </w:t>
      </w:r>
      <w:proofErr w:type="spellStart"/>
      <w:r>
        <w:rPr>
          <w:rFonts w:ascii="Times New Roman" w:eastAsia="Times New Roman" w:hAnsi="Times New Roman" w:cs="Times New Roman"/>
          <w:sz w:val="24"/>
          <w:szCs w:val="24"/>
        </w:rPr>
        <w:t>ProjectManager</w:t>
      </w:r>
      <w:proofErr w:type="spellEnd"/>
      <w:r>
        <w:rPr>
          <w:rFonts w:ascii="Times New Roman" w:eastAsia="Times New Roman" w:hAnsi="Times New Roman" w:cs="Times New Roman"/>
          <w:sz w:val="24"/>
          <w:szCs w:val="24"/>
        </w:rPr>
        <w:t xml:space="preserve"> provides real-time data so they can stay on track and make wiser choices. As crucial as setting project success criteria is keeping track of the project. The manager may check to see whether the project manager meeting the project's baseline by employing a project management program.</w:t>
      </w:r>
    </w:p>
    <w:p w14:paraId="00000027" w14:textId="77777777" w:rsidR="003E2E6D" w:rsidRDefault="003E2E6D">
      <w:pPr>
        <w:spacing w:line="360" w:lineRule="auto"/>
        <w:jc w:val="both"/>
        <w:rPr>
          <w:rFonts w:ascii="Times New Roman" w:eastAsia="Times New Roman" w:hAnsi="Times New Roman" w:cs="Times New Roman"/>
          <w:sz w:val="24"/>
          <w:szCs w:val="24"/>
        </w:rPr>
      </w:pPr>
    </w:p>
    <w:p w14:paraId="00000028" w14:textId="77777777" w:rsidR="003E2E6D" w:rsidRDefault="001908C3">
      <w:pPr>
        <w:pStyle w:val="Heading1"/>
      </w:pPr>
      <w:bookmarkStart w:id="3" w:name="_4xfi18e74f01" w:colFirst="0" w:colLast="0"/>
      <w:bookmarkEnd w:id="3"/>
      <w:r>
        <w:lastRenderedPageBreak/>
        <w:t xml:space="preserve">Conclusion and Recommendations </w:t>
      </w:r>
    </w:p>
    <w:p w14:paraId="00000029" w14:textId="698436BE"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program has been more than 75% finished there at the time this analysis was produced, as all of the bore </w:t>
      </w:r>
      <w:r w:rsidR="00536A07">
        <w:rPr>
          <w:rFonts w:ascii="Times New Roman" w:eastAsia="Times New Roman" w:hAnsi="Times New Roman" w:cs="Times New Roman"/>
          <w:sz w:val="24"/>
          <w:szCs w:val="24"/>
        </w:rPr>
        <w:t>tunnelling</w:t>
      </w:r>
      <w:r>
        <w:rPr>
          <w:rFonts w:ascii="Times New Roman" w:eastAsia="Times New Roman" w:hAnsi="Times New Roman" w:cs="Times New Roman"/>
          <w:sz w:val="24"/>
          <w:szCs w:val="24"/>
        </w:rPr>
        <w:t xml:space="preserve"> were </w:t>
      </w:r>
      <w:proofErr w:type="gramStart"/>
      <w:r>
        <w:rPr>
          <w:rFonts w:ascii="Times New Roman" w:eastAsia="Times New Roman" w:hAnsi="Times New Roman" w:cs="Times New Roman"/>
          <w:sz w:val="24"/>
          <w:szCs w:val="24"/>
        </w:rPr>
        <w:t>finished</w:t>
      </w:r>
      <w:proofErr w:type="gramEnd"/>
      <w:r>
        <w:rPr>
          <w:rFonts w:ascii="Times New Roman" w:eastAsia="Times New Roman" w:hAnsi="Times New Roman" w:cs="Times New Roman"/>
          <w:sz w:val="24"/>
          <w:szCs w:val="24"/>
        </w:rPr>
        <w:t xml:space="preserve"> and the construction of the railway lines was underway. The creation, testing, licensing, and delivery of systems are now the focus of the project. The key concepts envisaged in 2008 remain to be the cornerstone of Crossrail's execution plan. Other conclusions may be drawn, and they can then be used as direction or lessons for essential infrastructure projects in the future. Ample time must be set aside to consider a comprehensive execution strategy before creating a solid blueprint or concept for a company (</w:t>
      </w:r>
      <w:proofErr w:type="spellStart"/>
      <w:r>
        <w:rPr>
          <w:rFonts w:ascii="Times New Roman" w:eastAsia="Times New Roman" w:hAnsi="Times New Roman" w:cs="Times New Roman"/>
          <w:color w:val="222222"/>
          <w:sz w:val="24"/>
          <w:szCs w:val="24"/>
          <w:highlight w:val="white"/>
        </w:rPr>
        <w:t>Hammarberg</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 In order to comprehend how to use business relationships and their delivery system inside an implementation project, a client must objectively examine its own capabilities and capacities. The policies of the organisation must take into account the whole project to ensure that they are strong enough to withstand the changes in priorities that occur over the course of a project's many stages. The customer must manage a growing number of interfaces as the schedule is increasingly divided. Before employing the execution method, a thorough interface management and oversight approach must be created and released. unclouded vision (</w:t>
      </w:r>
      <w:r>
        <w:rPr>
          <w:rFonts w:ascii="Times New Roman" w:eastAsia="Times New Roman" w:hAnsi="Times New Roman" w:cs="Times New Roman"/>
          <w:color w:val="222222"/>
          <w:sz w:val="24"/>
          <w:szCs w:val="24"/>
          <w:highlight w:val="white"/>
        </w:rPr>
        <w:t>Thapa, and Joshi, 2021).</w:t>
      </w:r>
      <w:r>
        <w:rPr>
          <w:rFonts w:ascii="Times New Roman" w:eastAsia="Times New Roman" w:hAnsi="Times New Roman" w:cs="Times New Roman"/>
          <w:sz w:val="24"/>
          <w:szCs w:val="24"/>
        </w:rPr>
        <w:t xml:space="preserve"> It is crucial to have a set of company values that affect how customers behave and make choices. A project's purpose and successfully introduce must be consistent across all of the project's operations and in how success is measured. The customer's aims and objectives must be outlined in the agreement and maintained throughout that supply chain. The performance of the supply business in relation to each of those goals and objectives must be thoroughly evaluated. The performance will improve by promoting competition throughout the supply chain (</w:t>
      </w:r>
      <w:r>
        <w:rPr>
          <w:rFonts w:ascii="Times New Roman" w:eastAsia="Times New Roman" w:hAnsi="Times New Roman" w:cs="Times New Roman"/>
          <w:color w:val="222222"/>
          <w:sz w:val="24"/>
          <w:szCs w:val="24"/>
          <w:highlight w:val="white"/>
        </w:rPr>
        <w:t>Fayyaz, and Johnson, 2020)</w:t>
      </w:r>
      <w:r>
        <w:rPr>
          <w:rFonts w:ascii="Times New Roman" w:eastAsia="Times New Roman" w:hAnsi="Times New Roman" w:cs="Times New Roman"/>
          <w:sz w:val="24"/>
          <w:szCs w:val="24"/>
        </w:rPr>
        <w:t>. The evaluation, approval, and handover of a difficult project must be decided in full as soon as practicable. The information supplied will serve as the foundation for the overall execution plan and the project delivery timetable. End users and other stakeholders must be included in this process (</w:t>
      </w:r>
      <w:proofErr w:type="spellStart"/>
      <w:r>
        <w:rPr>
          <w:rFonts w:ascii="Times New Roman" w:eastAsia="Times New Roman" w:hAnsi="Times New Roman" w:cs="Times New Roman"/>
          <w:color w:val="222222"/>
          <w:sz w:val="24"/>
          <w:szCs w:val="24"/>
          <w:highlight w:val="white"/>
        </w:rPr>
        <w:t>Akçay</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İliş</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Öktem</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The less probable it is that modifications and disagreements would arise during implementation, the more design completeness that may be achieved before selecting construction firms, including the process of getting all interaction needs among several architects and third parties.</w:t>
      </w:r>
    </w:p>
    <w:p w14:paraId="0000002A" w14:textId="77777777" w:rsidR="003E2E6D" w:rsidRDefault="003E2E6D">
      <w:pPr>
        <w:spacing w:line="360" w:lineRule="auto"/>
        <w:jc w:val="both"/>
        <w:rPr>
          <w:rFonts w:ascii="Times New Roman" w:eastAsia="Times New Roman" w:hAnsi="Times New Roman" w:cs="Times New Roman"/>
          <w:sz w:val="24"/>
          <w:szCs w:val="24"/>
        </w:rPr>
      </w:pPr>
    </w:p>
    <w:p w14:paraId="0000002B" w14:textId="77777777" w:rsidR="003E2E6D" w:rsidRDefault="001908C3">
      <w:pPr>
        <w:spacing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It can be recommended for this type of similar project that, they should also maintain the following points, like</w:t>
      </w:r>
    </w:p>
    <w:p w14:paraId="0000002C" w14:textId="1BD4EEE1"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Lay the groundwork for success:</w:t>
      </w:r>
      <w:r>
        <w:rPr>
          <w:rFonts w:ascii="Times New Roman" w:eastAsia="Times New Roman" w:hAnsi="Times New Roman" w:cs="Times New Roman"/>
          <w:sz w:val="24"/>
          <w:szCs w:val="24"/>
        </w:rPr>
        <w:t xml:space="preserve"> A specific project organisation should handle the delivery of large, complicated programs. This organization's organisational structure must be designed from the project's genesis forward. As a result, the risk may be reduced and a purpose-built corporate culture can evolve, and the project won't be derailed by interruptions from operational departments (</w:t>
      </w:r>
      <w:r>
        <w:rPr>
          <w:rFonts w:ascii="Times New Roman" w:eastAsia="Times New Roman" w:hAnsi="Times New Roman" w:cs="Times New Roman"/>
          <w:color w:val="222222"/>
          <w:sz w:val="24"/>
          <w:szCs w:val="24"/>
          <w:highlight w:val="white"/>
        </w:rPr>
        <w:t>Ahmed</w:t>
      </w:r>
      <w:r w:rsidR="00536A07">
        <w:rPr>
          <w:rFonts w:ascii="Times New Roman" w:eastAsia="Times New Roman" w:hAnsi="Times New Roman" w:cs="Times New Roman"/>
          <w:color w:val="222222"/>
          <w:sz w:val="24"/>
          <w:szCs w:val="24"/>
          <w:highlight w:val="white"/>
        </w:rPr>
        <w:t xml:space="preserve"> and</w:t>
      </w:r>
      <w:r>
        <w:rPr>
          <w:rFonts w:ascii="Times New Roman" w:eastAsia="Times New Roman" w:hAnsi="Times New Roman" w:cs="Times New Roman"/>
          <w:color w:val="222222"/>
          <w:sz w:val="24"/>
          <w:szCs w:val="24"/>
          <w:highlight w:val="white"/>
        </w:rPr>
        <w:t xml:space="preserve"> Chowdhury, 2020)</w:t>
      </w:r>
      <w:r>
        <w:rPr>
          <w:rFonts w:ascii="Times New Roman" w:eastAsia="Times New Roman" w:hAnsi="Times New Roman" w:cs="Times New Roman"/>
          <w:sz w:val="24"/>
          <w:szCs w:val="24"/>
        </w:rPr>
        <w:t>. Establishing a thorough set of project procedures is the next difficulty.</w:t>
      </w:r>
    </w:p>
    <w:p w14:paraId="0000002D" w14:textId="77777777" w:rsidR="003E2E6D" w:rsidRDefault="003E2E6D">
      <w:pPr>
        <w:spacing w:line="360" w:lineRule="auto"/>
        <w:jc w:val="both"/>
        <w:rPr>
          <w:rFonts w:ascii="Times New Roman" w:eastAsia="Times New Roman" w:hAnsi="Times New Roman" w:cs="Times New Roman"/>
          <w:sz w:val="24"/>
          <w:szCs w:val="24"/>
        </w:rPr>
      </w:pPr>
    </w:p>
    <w:p w14:paraId="0000002E" w14:textId="77777777" w:rsidR="003E2E6D" w:rsidRDefault="001908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Establishing a distinct vision and goals should be the first step in this process</w:t>
      </w:r>
      <w:r>
        <w:rPr>
          <w:rFonts w:ascii="Times New Roman" w:eastAsia="Times New Roman" w:hAnsi="Times New Roman" w:cs="Times New Roman"/>
          <w:sz w:val="24"/>
          <w:szCs w:val="24"/>
        </w:rPr>
        <w:t>: To manage the budget, schedule, quality, risk, and change, thorough governance must be formed (</w:t>
      </w:r>
      <w:r>
        <w:rPr>
          <w:rFonts w:ascii="Times New Roman" w:eastAsia="Times New Roman" w:hAnsi="Times New Roman" w:cs="Times New Roman"/>
          <w:color w:val="222222"/>
          <w:sz w:val="24"/>
          <w:szCs w:val="24"/>
          <w:highlight w:val="white"/>
        </w:rPr>
        <w:t>Brinson, 2019)</w:t>
      </w:r>
      <w:r>
        <w:rPr>
          <w:rFonts w:ascii="Times New Roman" w:eastAsia="Times New Roman" w:hAnsi="Times New Roman" w:cs="Times New Roman"/>
          <w:sz w:val="24"/>
          <w:szCs w:val="24"/>
        </w:rPr>
        <w:t>. The subsequent success of a project depends on the consistent use of these procedures.</w:t>
      </w:r>
    </w:p>
    <w:p w14:paraId="0000002F" w14:textId="77777777" w:rsidR="003E2E6D" w:rsidRDefault="003E2E6D">
      <w:pPr>
        <w:spacing w:line="360" w:lineRule="auto"/>
        <w:jc w:val="both"/>
        <w:rPr>
          <w:rFonts w:ascii="Times New Roman" w:eastAsia="Times New Roman" w:hAnsi="Times New Roman" w:cs="Times New Roman"/>
          <w:sz w:val="24"/>
          <w:szCs w:val="24"/>
        </w:rPr>
      </w:pPr>
    </w:p>
    <w:p w14:paraId="00000030" w14:textId="77777777" w:rsidR="003E2E6D" w:rsidRDefault="001908C3">
      <w:pPr>
        <w:spacing w:line="360" w:lineRule="auto"/>
        <w:jc w:val="both"/>
        <w:rPr>
          <w:rFonts w:ascii="Times New Roman" w:eastAsia="Times New Roman" w:hAnsi="Times New Roman" w:cs="Times New Roman"/>
          <w:sz w:val="24"/>
          <w:szCs w:val="24"/>
        </w:rPr>
      </w:pPr>
      <w:r>
        <w:br w:type="page"/>
      </w:r>
    </w:p>
    <w:p w14:paraId="00000031" w14:textId="77777777" w:rsidR="003E2E6D" w:rsidRDefault="001908C3">
      <w:pPr>
        <w:pStyle w:val="Heading1"/>
      </w:pPr>
      <w:bookmarkStart w:id="4" w:name="_qaqx2kvlmps4" w:colFirst="0" w:colLast="0"/>
      <w:bookmarkEnd w:id="4"/>
      <w:r>
        <w:lastRenderedPageBreak/>
        <w:t xml:space="preserve">Reference List </w:t>
      </w:r>
    </w:p>
    <w:p w14:paraId="6A6F7772" w14:textId="77777777" w:rsidR="001908C3" w:rsidRDefault="001908C3">
      <w:pPr>
        <w:spacing w:line="360" w:lineRule="auto"/>
        <w:jc w:val="both"/>
        <w:rPr>
          <w:color w:val="222222"/>
          <w:sz w:val="20"/>
          <w:szCs w:val="20"/>
          <w:highlight w:val="white"/>
        </w:rPr>
      </w:pPr>
    </w:p>
    <w:p w14:paraId="5146512D"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Adamska</w:t>
      </w:r>
      <w:proofErr w:type="spellEnd"/>
      <w:r>
        <w:rPr>
          <w:rFonts w:ascii="Times New Roman" w:eastAsia="Times New Roman" w:hAnsi="Times New Roman" w:cs="Times New Roman"/>
          <w:color w:val="222222"/>
          <w:sz w:val="24"/>
          <w:szCs w:val="24"/>
          <w:highlight w:val="white"/>
        </w:rPr>
        <w:t xml:space="preserve">, B.A., </w:t>
      </w:r>
      <w:proofErr w:type="spellStart"/>
      <w:r>
        <w:rPr>
          <w:rFonts w:ascii="Times New Roman" w:eastAsia="Times New Roman" w:hAnsi="Times New Roman" w:cs="Times New Roman"/>
          <w:color w:val="222222"/>
          <w:sz w:val="24"/>
          <w:szCs w:val="24"/>
          <w:highlight w:val="white"/>
        </w:rPr>
        <w:t>Blahak</w:t>
      </w:r>
      <w:proofErr w:type="spellEnd"/>
      <w:r>
        <w:rPr>
          <w:rFonts w:ascii="Times New Roman" w:eastAsia="Times New Roman" w:hAnsi="Times New Roman" w:cs="Times New Roman"/>
          <w:color w:val="222222"/>
          <w:sz w:val="24"/>
          <w:szCs w:val="24"/>
          <w:highlight w:val="white"/>
        </w:rPr>
        <w:t xml:space="preserve">, D. and Abanda, F.H., 2021. Blockchain in construction practice. In </w:t>
      </w:r>
      <w:r>
        <w:rPr>
          <w:rFonts w:ascii="Times New Roman" w:eastAsia="Times New Roman" w:hAnsi="Times New Roman" w:cs="Times New Roman"/>
          <w:i/>
          <w:color w:val="222222"/>
          <w:sz w:val="24"/>
          <w:szCs w:val="24"/>
          <w:highlight w:val="white"/>
        </w:rPr>
        <w:t>Collaboration and integration in construction, engineering, management and technology</w:t>
      </w:r>
      <w:r>
        <w:rPr>
          <w:rFonts w:ascii="Times New Roman" w:eastAsia="Times New Roman" w:hAnsi="Times New Roman" w:cs="Times New Roman"/>
          <w:color w:val="222222"/>
          <w:sz w:val="24"/>
          <w:szCs w:val="24"/>
          <w:highlight w:val="white"/>
        </w:rPr>
        <w:t xml:space="preserve"> (pp. 339-343). Springer, Cham.</w:t>
      </w:r>
      <w:hyperlink r:id="rId7" w:anchor="page=352">
        <w:r>
          <w:rPr>
            <w:rFonts w:ascii="Times New Roman" w:eastAsia="Times New Roman" w:hAnsi="Times New Roman" w:cs="Times New Roman"/>
            <w:color w:val="1155CC"/>
            <w:sz w:val="24"/>
            <w:szCs w:val="24"/>
            <w:highlight w:val="white"/>
            <w:u w:val="single"/>
          </w:rPr>
          <w:t>https://www.researchgate.net/profile/Keith-Hampson/publication/347788825_Digital_Asset_Information_Management_for_Transport_Infrastructure_Framework_and_Implementation/links/6216e5541857671d0d8af800/Digital-Asset-Information-Management-for-Transport-Infrastructure-Framework-and-Implementation.pdf#page=352</w:t>
        </w:r>
      </w:hyperlink>
      <w:r>
        <w:rPr>
          <w:rFonts w:ascii="Times New Roman" w:eastAsia="Times New Roman" w:hAnsi="Times New Roman" w:cs="Times New Roman"/>
          <w:color w:val="222222"/>
          <w:sz w:val="24"/>
          <w:szCs w:val="24"/>
          <w:highlight w:val="white"/>
        </w:rPr>
        <w:t xml:space="preserve"> </w:t>
      </w:r>
    </w:p>
    <w:p w14:paraId="11A51E24"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T. and Chowdhury, I., 2020, July. Into the binary world of zero death toll by implementing a sustainable powered automatic railway gate control system. In </w:t>
      </w:r>
      <w:r>
        <w:rPr>
          <w:rFonts w:ascii="Times New Roman" w:eastAsia="Times New Roman" w:hAnsi="Times New Roman" w:cs="Times New Roman"/>
          <w:i/>
          <w:color w:val="222222"/>
          <w:sz w:val="24"/>
          <w:szCs w:val="24"/>
          <w:highlight w:val="white"/>
        </w:rPr>
        <w:t>2020 IEEE International Conference on Electronics, Computing and Communication Technologies (CONECCT)</w:t>
      </w:r>
      <w:r>
        <w:rPr>
          <w:rFonts w:ascii="Times New Roman" w:eastAsia="Times New Roman" w:hAnsi="Times New Roman" w:cs="Times New Roman"/>
          <w:color w:val="222222"/>
          <w:sz w:val="24"/>
          <w:szCs w:val="24"/>
          <w:highlight w:val="white"/>
        </w:rPr>
        <w:t xml:space="preserve"> (pp. 1-6). IEEE.</w:t>
      </w:r>
      <w:hyperlink r:id="rId8">
        <w:r>
          <w:rPr>
            <w:rFonts w:ascii="Times New Roman" w:eastAsia="Times New Roman" w:hAnsi="Times New Roman" w:cs="Times New Roman"/>
            <w:color w:val="1155CC"/>
            <w:sz w:val="24"/>
            <w:szCs w:val="24"/>
            <w:highlight w:val="white"/>
            <w:u w:val="single"/>
          </w:rPr>
          <w:t>https://www.researchgate.net/profile/Imran-Chowdhury-5/publication/345085994_Into_the_Binary_World_of_Zero_Death_Toll_by_Implementing_a_Sustainable_Powered_Automatic_Railway_Gate_Control_System/links/6009c1ab92851c13fe2a7cf0/Into-the-Binary-World-of-Zero-Death-Toll-by-Implementing-a-Sustainable-Powered-Automatic-Railway-Gate-Control-System.pdf</w:t>
        </w:r>
      </w:hyperlink>
      <w:r>
        <w:rPr>
          <w:rFonts w:ascii="Times New Roman" w:eastAsia="Times New Roman" w:hAnsi="Times New Roman" w:cs="Times New Roman"/>
          <w:color w:val="222222"/>
          <w:sz w:val="24"/>
          <w:szCs w:val="24"/>
          <w:highlight w:val="white"/>
        </w:rPr>
        <w:t xml:space="preserve"> </w:t>
      </w:r>
    </w:p>
    <w:p w14:paraId="0682090C"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Akçay</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İliş</w:t>
      </w:r>
      <w:proofErr w:type="spellEnd"/>
      <w:r>
        <w:rPr>
          <w:rFonts w:ascii="Times New Roman" w:eastAsia="Times New Roman" w:hAnsi="Times New Roman" w:cs="Times New Roman"/>
          <w:color w:val="222222"/>
          <w:sz w:val="24"/>
          <w:szCs w:val="24"/>
          <w:highlight w:val="white"/>
        </w:rPr>
        <w:t xml:space="preserve">, İ.A. and </w:t>
      </w:r>
      <w:proofErr w:type="spellStart"/>
      <w:r>
        <w:rPr>
          <w:rFonts w:ascii="Times New Roman" w:eastAsia="Times New Roman" w:hAnsi="Times New Roman" w:cs="Times New Roman"/>
          <w:color w:val="222222"/>
          <w:sz w:val="24"/>
          <w:szCs w:val="24"/>
          <w:highlight w:val="white"/>
        </w:rPr>
        <w:t>Öktem</w:t>
      </w:r>
      <w:proofErr w:type="spellEnd"/>
      <w:r>
        <w:rPr>
          <w:rFonts w:ascii="Times New Roman" w:eastAsia="Times New Roman" w:hAnsi="Times New Roman" w:cs="Times New Roman"/>
          <w:color w:val="222222"/>
          <w:sz w:val="24"/>
          <w:szCs w:val="24"/>
          <w:highlight w:val="white"/>
        </w:rPr>
        <w:t xml:space="preserve">, S., 2020. A public BIM project: </w:t>
      </w:r>
      <w:proofErr w:type="spellStart"/>
      <w:r>
        <w:rPr>
          <w:rFonts w:ascii="Times New Roman" w:eastAsia="Times New Roman" w:hAnsi="Times New Roman" w:cs="Times New Roman"/>
          <w:color w:val="222222"/>
          <w:sz w:val="24"/>
          <w:szCs w:val="24"/>
          <w:highlight w:val="white"/>
        </w:rPr>
        <w:t>Cerrahpaşa</w:t>
      </w:r>
      <w:proofErr w:type="spellEnd"/>
      <w:r>
        <w:rPr>
          <w:rFonts w:ascii="Times New Roman" w:eastAsia="Times New Roman" w:hAnsi="Times New Roman" w:cs="Times New Roman"/>
          <w:color w:val="222222"/>
          <w:sz w:val="24"/>
          <w:szCs w:val="24"/>
          <w:highlight w:val="white"/>
        </w:rPr>
        <w:t xml:space="preserve"> healthcare and education facility. In </w:t>
      </w:r>
      <w:r>
        <w:rPr>
          <w:rFonts w:ascii="Times New Roman" w:eastAsia="Times New Roman" w:hAnsi="Times New Roman" w:cs="Times New Roman"/>
          <w:i/>
          <w:color w:val="222222"/>
          <w:sz w:val="24"/>
          <w:szCs w:val="24"/>
          <w:highlight w:val="white"/>
        </w:rPr>
        <w:t>Eurasian BIM Forum</w:t>
      </w:r>
      <w:r>
        <w:rPr>
          <w:rFonts w:ascii="Times New Roman" w:eastAsia="Times New Roman" w:hAnsi="Times New Roman" w:cs="Times New Roman"/>
          <w:color w:val="222222"/>
          <w:sz w:val="24"/>
          <w:szCs w:val="24"/>
          <w:highlight w:val="white"/>
        </w:rPr>
        <w:t xml:space="preserve"> (pp. 40-53). Springer, Cham.</w:t>
      </w:r>
      <w:hyperlink r:id="rId9">
        <w:r>
          <w:rPr>
            <w:rFonts w:ascii="Times New Roman" w:eastAsia="Times New Roman" w:hAnsi="Times New Roman" w:cs="Times New Roman"/>
            <w:color w:val="1155CC"/>
            <w:sz w:val="24"/>
            <w:szCs w:val="24"/>
            <w:highlight w:val="white"/>
            <w:u w:val="single"/>
          </w:rPr>
          <w:t>https://link.springer.com/chapter/10.1007/978-3-030-42852-5_4</w:t>
        </w:r>
      </w:hyperlink>
      <w:r>
        <w:rPr>
          <w:rFonts w:ascii="Times New Roman" w:eastAsia="Times New Roman" w:hAnsi="Times New Roman" w:cs="Times New Roman"/>
          <w:color w:val="222222"/>
          <w:sz w:val="24"/>
          <w:szCs w:val="24"/>
          <w:highlight w:val="white"/>
        </w:rPr>
        <w:t xml:space="preserve"> </w:t>
      </w:r>
    </w:p>
    <w:p w14:paraId="45A1CD27"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Akponeware</w:t>
      </w:r>
      <w:proofErr w:type="spellEnd"/>
      <w:r>
        <w:rPr>
          <w:rFonts w:ascii="Times New Roman" w:eastAsia="Times New Roman" w:hAnsi="Times New Roman" w:cs="Times New Roman"/>
          <w:color w:val="222222"/>
          <w:sz w:val="24"/>
          <w:szCs w:val="24"/>
          <w:highlight w:val="white"/>
        </w:rPr>
        <w:t xml:space="preserve">, A., Dawood, N., Rodriguez-Trejo, S. and Dawood, H., 2022. An integrated empirical analysis of UK rail industry’s carbon assessment: An industry perspective. </w:t>
      </w:r>
      <w:r>
        <w:rPr>
          <w:rFonts w:ascii="Times New Roman" w:eastAsia="Times New Roman" w:hAnsi="Times New Roman" w:cs="Times New Roman"/>
          <w:i/>
          <w:color w:val="222222"/>
          <w:sz w:val="24"/>
          <w:szCs w:val="24"/>
          <w:highlight w:val="white"/>
        </w:rPr>
        <w:t>Case Studies on Transport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pp.315-330.</w:t>
      </w:r>
      <w:hyperlink r:id="rId10">
        <w:r>
          <w:rPr>
            <w:rFonts w:ascii="Times New Roman" w:eastAsia="Times New Roman" w:hAnsi="Times New Roman" w:cs="Times New Roman"/>
            <w:color w:val="1155CC"/>
            <w:sz w:val="24"/>
            <w:szCs w:val="24"/>
            <w:highlight w:val="white"/>
            <w:u w:val="single"/>
          </w:rPr>
          <w:t>https://www.sciencedirect.com/science/article/pii/S2213624X2100211X</w:t>
        </w:r>
      </w:hyperlink>
      <w:r>
        <w:rPr>
          <w:rFonts w:ascii="Times New Roman" w:eastAsia="Times New Roman" w:hAnsi="Times New Roman" w:cs="Times New Roman"/>
          <w:color w:val="222222"/>
          <w:sz w:val="24"/>
          <w:szCs w:val="24"/>
          <w:highlight w:val="white"/>
        </w:rPr>
        <w:t xml:space="preserve"> </w:t>
      </w:r>
    </w:p>
    <w:p w14:paraId="6B48290E"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Brinson, A., 2019, June. The circular economy: international case studies and best practices. In </w:t>
      </w:r>
      <w:r>
        <w:rPr>
          <w:rFonts w:ascii="Times New Roman" w:eastAsia="Times New Roman" w:hAnsi="Times New Roman" w:cs="Times New Roman"/>
          <w:i/>
          <w:color w:val="222222"/>
          <w:sz w:val="24"/>
          <w:szCs w:val="24"/>
          <w:highlight w:val="white"/>
        </w:rPr>
        <w:t>Journal and Proceedings of the Royal Society of New South Wales</w:t>
      </w:r>
      <w:r>
        <w:rPr>
          <w:rFonts w:ascii="Times New Roman" w:eastAsia="Times New Roman" w:hAnsi="Times New Roman" w:cs="Times New Roman"/>
          <w:color w:val="222222"/>
          <w:sz w:val="24"/>
          <w:szCs w:val="24"/>
          <w:highlight w:val="white"/>
        </w:rPr>
        <w:t xml:space="preserve"> (Vol. 152, No. 471/472, pp. 82-93).</w:t>
      </w:r>
      <w:hyperlink r:id="rId11">
        <w:r>
          <w:rPr>
            <w:rFonts w:ascii="Times New Roman" w:eastAsia="Times New Roman" w:hAnsi="Times New Roman" w:cs="Times New Roman"/>
            <w:color w:val="1155CC"/>
            <w:sz w:val="24"/>
            <w:szCs w:val="24"/>
            <w:highlight w:val="white"/>
            <w:u w:val="single"/>
          </w:rPr>
          <w:t>https://www.royalsoc.org.au/images/pdf/journal/152-1-Brinson.pdf</w:t>
        </w:r>
      </w:hyperlink>
      <w:r>
        <w:rPr>
          <w:rFonts w:ascii="Times New Roman" w:eastAsia="Times New Roman" w:hAnsi="Times New Roman" w:cs="Times New Roman"/>
          <w:color w:val="222222"/>
          <w:sz w:val="24"/>
          <w:szCs w:val="24"/>
          <w:highlight w:val="white"/>
        </w:rPr>
        <w:t xml:space="preserve"> </w:t>
      </w:r>
    </w:p>
    <w:p w14:paraId="4A5C00C3"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Fayyaz, M.A.B. and Johnson, C., 2020. Object detection at level crossing using deep learning. </w:t>
      </w:r>
      <w:r>
        <w:rPr>
          <w:rFonts w:ascii="Times New Roman" w:eastAsia="Times New Roman" w:hAnsi="Times New Roman" w:cs="Times New Roman"/>
          <w:i/>
          <w:color w:val="222222"/>
          <w:sz w:val="24"/>
          <w:szCs w:val="24"/>
          <w:highlight w:val="white"/>
        </w:rPr>
        <w:t>Micromachines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(12), p.1055.</w:t>
      </w:r>
      <w:hyperlink r:id="rId12">
        <w:r>
          <w:rPr>
            <w:rFonts w:ascii="Times New Roman" w:eastAsia="Times New Roman" w:hAnsi="Times New Roman" w:cs="Times New Roman"/>
            <w:color w:val="1155CC"/>
            <w:sz w:val="24"/>
            <w:szCs w:val="24"/>
            <w:highlight w:val="white"/>
            <w:u w:val="single"/>
          </w:rPr>
          <w:t>https://www.mdpi.com/2072-666X/11/12/1055/pdf</w:t>
        </w:r>
      </w:hyperlink>
      <w:r>
        <w:rPr>
          <w:rFonts w:ascii="Times New Roman" w:eastAsia="Times New Roman" w:hAnsi="Times New Roman" w:cs="Times New Roman"/>
          <w:color w:val="222222"/>
          <w:sz w:val="24"/>
          <w:szCs w:val="24"/>
          <w:highlight w:val="white"/>
        </w:rPr>
        <w:t xml:space="preserve"> </w:t>
      </w:r>
    </w:p>
    <w:p w14:paraId="46960A49"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Gil, N. and Fu, Y., 2022. Megaproject Performance, Value Creation, and Value Distribution: An Organizational Governance Perspective. </w:t>
      </w:r>
      <w:r>
        <w:rPr>
          <w:rFonts w:ascii="Times New Roman" w:eastAsia="Times New Roman" w:hAnsi="Times New Roman" w:cs="Times New Roman"/>
          <w:i/>
          <w:color w:val="222222"/>
          <w:sz w:val="24"/>
          <w:szCs w:val="24"/>
          <w:highlight w:val="white"/>
        </w:rPr>
        <w:t>Academy of Management Discoveries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 pp.224-</w:t>
      </w:r>
      <w:r>
        <w:rPr>
          <w:rFonts w:ascii="Times New Roman" w:eastAsia="Times New Roman" w:hAnsi="Times New Roman" w:cs="Times New Roman"/>
          <w:color w:val="222222"/>
          <w:sz w:val="24"/>
          <w:szCs w:val="24"/>
          <w:highlight w:val="white"/>
        </w:rPr>
        <w:lastRenderedPageBreak/>
        <w:t>251.</w:t>
      </w:r>
      <w:hyperlink r:id="rId13">
        <w:r>
          <w:rPr>
            <w:rFonts w:ascii="Times New Roman" w:eastAsia="Times New Roman" w:hAnsi="Times New Roman" w:cs="Times New Roman"/>
            <w:color w:val="1155CC"/>
            <w:sz w:val="24"/>
            <w:szCs w:val="24"/>
            <w:highlight w:val="white"/>
            <w:u w:val="single"/>
          </w:rPr>
          <w:t>https://personalpages.manchester.ac.uk/staff/nuno.gil/Journal%20articles/MegaprojectPerformance.pdf</w:t>
        </w:r>
      </w:hyperlink>
      <w:r>
        <w:rPr>
          <w:rFonts w:ascii="Times New Roman" w:eastAsia="Times New Roman" w:hAnsi="Times New Roman" w:cs="Times New Roman"/>
          <w:color w:val="222222"/>
          <w:sz w:val="24"/>
          <w:szCs w:val="24"/>
          <w:highlight w:val="white"/>
        </w:rPr>
        <w:t xml:space="preserve"> </w:t>
      </w:r>
    </w:p>
    <w:p w14:paraId="05157D5F"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Glinka, S., 2022. Cross-sectional SWOT Analysis of BIM and GIS Integration. </w:t>
      </w:r>
      <w:r>
        <w:rPr>
          <w:rFonts w:ascii="Times New Roman" w:eastAsia="Times New Roman" w:hAnsi="Times New Roman" w:cs="Times New Roman"/>
          <w:i/>
          <w:color w:val="222222"/>
          <w:sz w:val="24"/>
          <w:szCs w:val="24"/>
          <w:highlight w:val="white"/>
        </w:rPr>
        <w:t>Geomatics and Environmental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w:t>
      </w:r>
      <w:r>
        <w:rPr>
          <w:rFonts w:ascii="Times New Roman" w:eastAsia="Times New Roman" w:hAnsi="Times New Roman" w:cs="Times New Roman"/>
          <w:color w:val="222222"/>
          <w:sz w:val="24"/>
          <w:szCs w:val="24"/>
          <w:highlight w:val="white"/>
        </w:rPr>
        <w:t>(3).</w:t>
      </w:r>
      <w:hyperlink r:id="rId14">
        <w:r>
          <w:rPr>
            <w:rFonts w:ascii="Times New Roman" w:eastAsia="Times New Roman" w:hAnsi="Times New Roman" w:cs="Times New Roman"/>
            <w:color w:val="1155CC"/>
            <w:sz w:val="24"/>
            <w:szCs w:val="24"/>
            <w:highlight w:val="white"/>
            <w:u w:val="single"/>
          </w:rPr>
          <w:t>https://bibliotekanauki.pl/articles/2105522.pdf</w:t>
        </w:r>
      </w:hyperlink>
      <w:r>
        <w:rPr>
          <w:rFonts w:ascii="Times New Roman" w:eastAsia="Times New Roman" w:hAnsi="Times New Roman" w:cs="Times New Roman"/>
          <w:color w:val="222222"/>
          <w:sz w:val="24"/>
          <w:szCs w:val="24"/>
          <w:highlight w:val="white"/>
        </w:rPr>
        <w:t xml:space="preserve"> </w:t>
      </w:r>
    </w:p>
    <w:p w14:paraId="247759BD"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Hammarberg</w:t>
      </w:r>
      <w:proofErr w:type="spellEnd"/>
      <w:r>
        <w:rPr>
          <w:rFonts w:ascii="Times New Roman" w:eastAsia="Times New Roman" w:hAnsi="Times New Roman" w:cs="Times New Roman"/>
          <w:color w:val="222222"/>
          <w:sz w:val="24"/>
          <w:szCs w:val="24"/>
          <w:highlight w:val="white"/>
        </w:rPr>
        <w:t xml:space="preserve">, P., Vinogradova, J., </w:t>
      </w:r>
      <w:proofErr w:type="spellStart"/>
      <w:r>
        <w:rPr>
          <w:rFonts w:ascii="Times New Roman" w:eastAsia="Times New Roman" w:hAnsi="Times New Roman" w:cs="Times New Roman"/>
          <w:color w:val="222222"/>
          <w:sz w:val="24"/>
          <w:szCs w:val="24"/>
          <w:highlight w:val="white"/>
        </w:rPr>
        <w:t>Fodor</w:t>
      </w:r>
      <w:proofErr w:type="spellEnd"/>
      <w:r>
        <w:rPr>
          <w:rFonts w:ascii="Times New Roman" w:eastAsia="Times New Roman" w:hAnsi="Times New Roman" w:cs="Times New Roman"/>
          <w:color w:val="222222"/>
          <w:sz w:val="24"/>
          <w:szCs w:val="24"/>
          <w:highlight w:val="white"/>
        </w:rPr>
        <w:t xml:space="preserve">, G., </w:t>
      </w:r>
      <w:proofErr w:type="spellStart"/>
      <w:r>
        <w:rPr>
          <w:rFonts w:ascii="Times New Roman" w:eastAsia="Times New Roman" w:hAnsi="Times New Roman" w:cs="Times New Roman"/>
          <w:color w:val="222222"/>
          <w:sz w:val="24"/>
          <w:szCs w:val="24"/>
          <w:highlight w:val="white"/>
        </w:rPr>
        <w:t>Shreevastav</w:t>
      </w:r>
      <w:proofErr w:type="spellEnd"/>
      <w:r>
        <w:rPr>
          <w:rFonts w:ascii="Times New Roman" w:eastAsia="Times New Roman" w:hAnsi="Times New Roman" w:cs="Times New Roman"/>
          <w:color w:val="222222"/>
          <w:sz w:val="24"/>
          <w:szCs w:val="24"/>
          <w:highlight w:val="white"/>
        </w:rPr>
        <w:t xml:space="preserve">, R., Dwivedi, S. and Gunnarsson, F., 2022. Architecture, Protocols, and Algorithms for Location-Aware Services in Beyond 5G Networks. </w:t>
      </w:r>
      <w:proofErr w:type="spellStart"/>
      <w:r>
        <w:rPr>
          <w:rFonts w:ascii="Times New Roman" w:eastAsia="Times New Roman" w:hAnsi="Times New Roman" w:cs="Times New Roman"/>
          <w:i/>
          <w:color w:val="222222"/>
          <w:sz w:val="24"/>
          <w:szCs w:val="24"/>
          <w:highlight w:val="white"/>
        </w:rPr>
        <w:t>arXiv</w:t>
      </w:r>
      <w:proofErr w:type="spellEnd"/>
      <w:r>
        <w:rPr>
          <w:rFonts w:ascii="Times New Roman" w:eastAsia="Times New Roman" w:hAnsi="Times New Roman" w:cs="Times New Roman"/>
          <w:i/>
          <w:color w:val="222222"/>
          <w:sz w:val="24"/>
          <w:szCs w:val="24"/>
          <w:highlight w:val="white"/>
        </w:rPr>
        <w:t xml:space="preserve"> preprint arXiv:2211.14781</w:t>
      </w:r>
      <w:r>
        <w:rPr>
          <w:rFonts w:ascii="Times New Roman" w:eastAsia="Times New Roman" w:hAnsi="Times New Roman" w:cs="Times New Roman"/>
          <w:color w:val="222222"/>
          <w:sz w:val="24"/>
          <w:szCs w:val="24"/>
          <w:highlight w:val="white"/>
        </w:rPr>
        <w:t>.</w:t>
      </w:r>
      <w:hyperlink r:id="rId15">
        <w:r>
          <w:rPr>
            <w:rFonts w:ascii="Times New Roman" w:eastAsia="Times New Roman" w:hAnsi="Times New Roman" w:cs="Times New Roman"/>
            <w:color w:val="1155CC"/>
            <w:sz w:val="24"/>
            <w:szCs w:val="24"/>
            <w:highlight w:val="white"/>
            <w:u w:val="single"/>
          </w:rPr>
          <w:t>https://arxiv.org/pdf/2211.14781</w:t>
        </w:r>
      </w:hyperlink>
      <w:r>
        <w:rPr>
          <w:rFonts w:ascii="Times New Roman" w:eastAsia="Times New Roman" w:hAnsi="Times New Roman" w:cs="Times New Roman"/>
          <w:color w:val="222222"/>
          <w:sz w:val="24"/>
          <w:szCs w:val="24"/>
          <w:highlight w:val="white"/>
        </w:rPr>
        <w:t xml:space="preserve"> </w:t>
      </w:r>
    </w:p>
    <w:p w14:paraId="11BA724B"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Joshi, B.T.J., Review of Underground Space Utilization and its Relevance in Nepal.</w:t>
      </w:r>
      <w:hyperlink r:id="rId16">
        <w:r>
          <w:rPr>
            <w:rFonts w:ascii="Times New Roman" w:eastAsia="Times New Roman" w:hAnsi="Times New Roman" w:cs="Times New Roman"/>
            <w:color w:val="1155CC"/>
            <w:sz w:val="24"/>
            <w:szCs w:val="24"/>
            <w:highlight w:val="white"/>
            <w:u w:val="single"/>
          </w:rPr>
          <w:t>https://www.nepjol.info/index.php/joetp/article/download/39228/30082/114172</w:t>
        </w:r>
      </w:hyperlink>
      <w:r>
        <w:rPr>
          <w:rFonts w:ascii="Times New Roman" w:eastAsia="Times New Roman" w:hAnsi="Times New Roman" w:cs="Times New Roman"/>
          <w:color w:val="222222"/>
          <w:sz w:val="24"/>
          <w:szCs w:val="24"/>
          <w:highlight w:val="white"/>
        </w:rPr>
        <w:t xml:space="preserve"> </w:t>
      </w:r>
    </w:p>
    <w:p w14:paraId="38BF576D"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Kapogiannis</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Mlilo</w:t>
      </w:r>
      <w:proofErr w:type="spellEnd"/>
      <w:r>
        <w:rPr>
          <w:rFonts w:ascii="Times New Roman" w:eastAsia="Times New Roman" w:hAnsi="Times New Roman" w:cs="Times New Roman"/>
          <w:color w:val="222222"/>
          <w:sz w:val="24"/>
          <w:szCs w:val="24"/>
          <w:highlight w:val="white"/>
        </w:rPr>
        <w:t xml:space="preserve">, A., 2019. Digital Construction Strategies and BIM in Railway Tunnelling Engineering. In </w:t>
      </w:r>
      <w:r>
        <w:rPr>
          <w:rFonts w:ascii="Times New Roman" w:eastAsia="Times New Roman" w:hAnsi="Times New Roman" w:cs="Times New Roman"/>
          <w:i/>
          <w:color w:val="222222"/>
          <w:sz w:val="24"/>
          <w:szCs w:val="24"/>
          <w:highlight w:val="white"/>
        </w:rPr>
        <w:t>Tunnel Engineering-Selected Topics</w:t>
      </w:r>
      <w:r>
        <w:rPr>
          <w:rFonts w:ascii="Times New Roman" w:eastAsia="Times New Roman" w:hAnsi="Times New Roman" w:cs="Times New Roman"/>
          <w:color w:val="222222"/>
          <w:sz w:val="24"/>
          <w:szCs w:val="24"/>
          <w:highlight w:val="white"/>
        </w:rPr>
        <w:t xml:space="preserve">. London, UK: </w:t>
      </w:r>
      <w:proofErr w:type="spellStart"/>
      <w:r>
        <w:rPr>
          <w:rFonts w:ascii="Times New Roman" w:eastAsia="Times New Roman" w:hAnsi="Times New Roman" w:cs="Times New Roman"/>
          <w:color w:val="222222"/>
          <w:sz w:val="24"/>
          <w:szCs w:val="24"/>
          <w:highlight w:val="white"/>
        </w:rPr>
        <w:t>IntechOpen.</w:t>
      </w:r>
      <w:hyperlink r:id="rId17">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://www.intechopen.com/chapters/68102</w:t>
        </w:r>
      </w:hyperlink>
      <w:r>
        <w:rPr>
          <w:rFonts w:ascii="Times New Roman" w:eastAsia="Times New Roman" w:hAnsi="Times New Roman" w:cs="Times New Roman"/>
          <w:color w:val="222222"/>
          <w:sz w:val="24"/>
          <w:szCs w:val="24"/>
          <w:highlight w:val="white"/>
        </w:rPr>
        <w:t xml:space="preserve"> </w:t>
      </w:r>
    </w:p>
    <w:p w14:paraId="1F89C292"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Kozak-Holland, M. and Procter, C., 2019. </w:t>
      </w:r>
      <w:r>
        <w:rPr>
          <w:rFonts w:ascii="Times New Roman" w:eastAsia="Times New Roman" w:hAnsi="Times New Roman" w:cs="Times New Roman"/>
          <w:i/>
          <w:color w:val="222222"/>
          <w:sz w:val="24"/>
          <w:szCs w:val="24"/>
          <w:highlight w:val="white"/>
        </w:rPr>
        <w:t>Managing transformation projects: tracing lessons from the industrial to the digital revolution</w:t>
      </w:r>
      <w:r>
        <w:rPr>
          <w:rFonts w:ascii="Times New Roman" w:eastAsia="Times New Roman" w:hAnsi="Times New Roman" w:cs="Times New Roman"/>
          <w:color w:val="222222"/>
          <w:sz w:val="24"/>
          <w:szCs w:val="24"/>
          <w:highlight w:val="white"/>
        </w:rPr>
        <w:t xml:space="preserve">. Springer Nature. </w:t>
      </w:r>
      <w:hyperlink r:id="rId18">
        <w:r>
          <w:rPr>
            <w:rFonts w:ascii="Times New Roman" w:eastAsia="Times New Roman" w:hAnsi="Times New Roman" w:cs="Times New Roman"/>
            <w:color w:val="1155CC"/>
            <w:sz w:val="24"/>
            <w:szCs w:val="24"/>
            <w:highlight w:val="white"/>
            <w:u w:val="single"/>
          </w:rPr>
          <w:t>https://link.springer.com/content/pdf/10.1007/978-3-030-33035-4.pdf</w:t>
        </w:r>
      </w:hyperlink>
      <w:r>
        <w:rPr>
          <w:rFonts w:ascii="Times New Roman" w:eastAsia="Times New Roman" w:hAnsi="Times New Roman" w:cs="Times New Roman"/>
          <w:color w:val="222222"/>
          <w:sz w:val="24"/>
          <w:szCs w:val="24"/>
          <w:highlight w:val="white"/>
        </w:rPr>
        <w:t xml:space="preserve"> </w:t>
      </w:r>
    </w:p>
    <w:p w14:paraId="02FA29F1"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Kumar, B.R., 2022. Case 8: London Cross Rail Project. In </w:t>
      </w:r>
      <w:r>
        <w:rPr>
          <w:rFonts w:ascii="Times New Roman" w:eastAsia="Times New Roman" w:hAnsi="Times New Roman" w:cs="Times New Roman"/>
          <w:i/>
          <w:color w:val="222222"/>
          <w:sz w:val="24"/>
          <w:szCs w:val="24"/>
          <w:highlight w:val="white"/>
        </w:rPr>
        <w:t>Project Finance</w:t>
      </w:r>
      <w:r>
        <w:rPr>
          <w:rFonts w:ascii="Times New Roman" w:eastAsia="Times New Roman" w:hAnsi="Times New Roman" w:cs="Times New Roman"/>
          <w:color w:val="222222"/>
          <w:sz w:val="24"/>
          <w:szCs w:val="24"/>
          <w:highlight w:val="white"/>
        </w:rPr>
        <w:t xml:space="preserve"> (pp. 131-137). Springer, Cham.</w:t>
      </w:r>
      <w:hyperlink r:id="rId19">
        <w:r>
          <w:rPr>
            <w:rFonts w:ascii="Times New Roman" w:eastAsia="Times New Roman" w:hAnsi="Times New Roman" w:cs="Times New Roman"/>
            <w:color w:val="1155CC"/>
            <w:sz w:val="24"/>
            <w:szCs w:val="24"/>
            <w:highlight w:val="white"/>
            <w:u w:val="single"/>
          </w:rPr>
          <w:t>https://link.springer.com/chapter/10.1007/978-3-030-96725-3_12</w:t>
        </w:r>
      </w:hyperlink>
      <w:r>
        <w:rPr>
          <w:rFonts w:ascii="Times New Roman" w:eastAsia="Times New Roman" w:hAnsi="Times New Roman" w:cs="Times New Roman"/>
          <w:color w:val="222222"/>
          <w:sz w:val="24"/>
          <w:szCs w:val="24"/>
          <w:highlight w:val="white"/>
        </w:rPr>
        <w:t xml:space="preserve"> </w:t>
      </w:r>
    </w:p>
    <w:p w14:paraId="5227C04A"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Mangioni</w:t>
      </w:r>
      <w:proofErr w:type="spellEnd"/>
      <w:r>
        <w:rPr>
          <w:rFonts w:ascii="Times New Roman" w:eastAsia="Times New Roman" w:hAnsi="Times New Roman" w:cs="Times New Roman"/>
          <w:color w:val="222222"/>
          <w:sz w:val="24"/>
          <w:szCs w:val="24"/>
          <w:highlight w:val="white"/>
        </w:rPr>
        <w:t xml:space="preserve">, V., 2020. Building supply chain capacity between urban and regional Australia through the development of inland rail: Lessons from abroad. </w:t>
      </w:r>
      <w:r>
        <w:rPr>
          <w:rFonts w:ascii="Times New Roman" w:eastAsia="Times New Roman" w:hAnsi="Times New Roman" w:cs="Times New Roman"/>
          <w:i/>
          <w:color w:val="222222"/>
          <w:sz w:val="24"/>
          <w:szCs w:val="24"/>
          <w:highlight w:val="white"/>
        </w:rPr>
        <w:t>Australasian Journal of Regional Studies, The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pp.293-322.</w:t>
      </w:r>
      <w:hyperlink r:id="rId20">
        <w:r>
          <w:rPr>
            <w:rFonts w:ascii="Times New Roman" w:eastAsia="Times New Roman" w:hAnsi="Times New Roman" w:cs="Times New Roman"/>
            <w:color w:val="1155CC"/>
            <w:sz w:val="24"/>
            <w:szCs w:val="24"/>
            <w:highlight w:val="white"/>
            <w:u w:val="single"/>
          </w:rPr>
          <w:t>https://opus.lib.uts.edu.au/bitstream/10453/148172/2/Published%20Paper%20AJRS-26.3-pages-293-to-322.pdf</w:t>
        </w:r>
      </w:hyperlink>
      <w:r>
        <w:rPr>
          <w:rFonts w:ascii="Times New Roman" w:eastAsia="Times New Roman" w:hAnsi="Times New Roman" w:cs="Times New Roman"/>
          <w:color w:val="222222"/>
          <w:sz w:val="24"/>
          <w:szCs w:val="24"/>
          <w:highlight w:val="white"/>
        </w:rPr>
        <w:t xml:space="preserve"> </w:t>
      </w:r>
    </w:p>
    <w:p w14:paraId="5A08CA80"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Moerdianto</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Suryani</w:t>
      </w:r>
      <w:proofErr w:type="spellEnd"/>
      <w:r>
        <w:rPr>
          <w:rFonts w:ascii="Times New Roman" w:eastAsia="Times New Roman" w:hAnsi="Times New Roman" w:cs="Times New Roman"/>
          <w:color w:val="222222"/>
          <w:sz w:val="24"/>
          <w:szCs w:val="24"/>
          <w:highlight w:val="white"/>
        </w:rPr>
        <w:t xml:space="preserve">, F. and </w:t>
      </w:r>
      <w:proofErr w:type="spellStart"/>
      <w:r>
        <w:rPr>
          <w:rFonts w:ascii="Times New Roman" w:eastAsia="Times New Roman" w:hAnsi="Times New Roman" w:cs="Times New Roman"/>
          <w:color w:val="222222"/>
          <w:sz w:val="24"/>
          <w:szCs w:val="24"/>
          <w:highlight w:val="white"/>
        </w:rPr>
        <w:t>Dinariana</w:t>
      </w:r>
      <w:proofErr w:type="spellEnd"/>
      <w:r>
        <w:rPr>
          <w:rFonts w:ascii="Times New Roman" w:eastAsia="Times New Roman" w:hAnsi="Times New Roman" w:cs="Times New Roman"/>
          <w:color w:val="222222"/>
          <w:sz w:val="24"/>
          <w:szCs w:val="24"/>
          <w:highlight w:val="white"/>
        </w:rPr>
        <w:t xml:space="preserve">, D., 2022. THE RISK MANAGEMENT OF THE BOGOR-SUKABUMI CROSS-RAIL DUAL-TRACK CONSTRUCTION PROJECT ON TIME CONTROL. </w:t>
      </w:r>
      <w:r>
        <w:rPr>
          <w:rFonts w:ascii="Times New Roman" w:eastAsia="Times New Roman" w:hAnsi="Times New Roman" w:cs="Times New Roman"/>
          <w:i/>
          <w:color w:val="222222"/>
          <w:sz w:val="24"/>
          <w:szCs w:val="24"/>
          <w:highlight w:val="white"/>
        </w:rPr>
        <w:t>Interdisciplinary Social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(8), pp.1128-1143.</w:t>
      </w:r>
      <w:hyperlink r:id="rId21">
        <w:r>
          <w:rPr>
            <w:rFonts w:ascii="Times New Roman" w:eastAsia="Times New Roman" w:hAnsi="Times New Roman" w:cs="Times New Roman"/>
            <w:color w:val="1155CC"/>
            <w:sz w:val="24"/>
            <w:szCs w:val="24"/>
            <w:highlight w:val="white"/>
            <w:u w:val="single"/>
          </w:rPr>
          <w:t>https://iss.internationaljournallabs.com/index.php/iss/article/download/182/218</w:t>
        </w:r>
      </w:hyperlink>
      <w:r>
        <w:rPr>
          <w:rFonts w:ascii="Times New Roman" w:eastAsia="Times New Roman" w:hAnsi="Times New Roman" w:cs="Times New Roman"/>
          <w:color w:val="222222"/>
          <w:sz w:val="24"/>
          <w:szCs w:val="24"/>
          <w:highlight w:val="white"/>
        </w:rPr>
        <w:t xml:space="preserve"> </w:t>
      </w:r>
    </w:p>
    <w:p w14:paraId="1E4D6565"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Naldi</w:t>
      </w:r>
      <w:proofErr w:type="spellEnd"/>
      <w:r>
        <w:rPr>
          <w:rFonts w:ascii="Times New Roman" w:eastAsia="Times New Roman" w:hAnsi="Times New Roman" w:cs="Times New Roman"/>
          <w:color w:val="222222"/>
          <w:sz w:val="24"/>
          <w:szCs w:val="24"/>
          <w:highlight w:val="white"/>
        </w:rPr>
        <w:t xml:space="preserve">, P., 2021. Managing arcadia: From the King’s cross estate to the Bretton estate. In </w:t>
      </w:r>
      <w:r>
        <w:rPr>
          <w:rFonts w:ascii="Times New Roman" w:eastAsia="Times New Roman" w:hAnsi="Times New Roman" w:cs="Times New Roman"/>
          <w:i/>
          <w:color w:val="222222"/>
          <w:sz w:val="24"/>
          <w:szCs w:val="24"/>
          <w:highlight w:val="white"/>
        </w:rPr>
        <w:t>British Art and the Environment</w:t>
      </w:r>
      <w:r>
        <w:rPr>
          <w:rFonts w:ascii="Times New Roman" w:eastAsia="Times New Roman" w:hAnsi="Times New Roman" w:cs="Times New Roman"/>
          <w:color w:val="222222"/>
          <w:sz w:val="24"/>
          <w:szCs w:val="24"/>
          <w:highlight w:val="white"/>
        </w:rPr>
        <w:t xml:space="preserve"> (pp. 119-135). Routledge.</w:t>
      </w:r>
      <w:hyperlink r:id="rId22">
        <w:r>
          <w:rPr>
            <w:rFonts w:ascii="Times New Roman" w:eastAsia="Times New Roman" w:hAnsi="Times New Roman" w:cs="Times New Roman"/>
            <w:color w:val="1155CC"/>
            <w:sz w:val="24"/>
            <w:szCs w:val="24"/>
            <w:highlight w:val="white"/>
            <w:u w:val="single"/>
          </w:rPr>
          <w:t>https://ualresearchonline.arts.ac.uk/id/eprint/16731/6/PatNaldi_Chapter%20Eight.pdf</w:t>
        </w:r>
      </w:hyperlink>
      <w:r>
        <w:rPr>
          <w:rFonts w:ascii="Times New Roman" w:eastAsia="Times New Roman" w:hAnsi="Times New Roman" w:cs="Times New Roman"/>
          <w:color w:val="222222"/>
          <w:sz w:val="24"/>
          <w:szCs w:val="24"/>
          <w:highlight w:val="white"/>
        </w:rPr>
        <w:t xml:space="preserve"> </w:t>
      </w:r>
    </w:p>
    <w:p w14:paraId="1A37A5D1"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Nyarirangwe</w:t>
      </w:r>
      <w:proofErr w:type="spellEnd"/>
      <w:r>
        <w:rPr>
          <w:rFonts w:ascii="Times New Roman" w:eastAsia="Times New Roman" w:hAnsi="Times New Roman" w:cs="Times New Roman"/>
          <w:color w:val="222222"/>
          <w:sz w:val="24"/>
          <w:szCs w:val="24"/>
          <w:highlight w:val="white"/>
        </w:rPr>
        <w:t xml:space="preserve">, M. and Babatunde, O.K., 2019. Megaproject complexity attributes and competences: lessons from IT and construction projects. </w:t>
      </w:r>
      <w:r>
        <w:rPr>
          <w:rFonts w:ascii="Times New Roman" w:eastAsia="Times New Roman" w:hAnsi="Times New Roman" w:cs="Times New Roman"/>
          <w:i/>
          <w:color w:val="222222"/>
          <w:sz w:val="24"/>
          <w:szCs w:val="24"/>
          <w:highlight w:val="white"/>
        </w:rPr>
        <w:t xml:space="preserve">International Journal of Information </w:t>
      </w:r>
      <w:r>
        <w:rPr>
          <w:rFonts w:ascii="Times New Roman" w:eastAsia="Times New Roman" w:hAnsi="Times New Roman" w:cs="Times New Roman"/>
          <w:i/>
          <w:color w:val="222222"/>
          <w:sz w:val="24"/>
          <w:szCs w:val="24"/>
          <w:highlight w:val="white"/>
        </w:rPr>
        <w:lastRenderedPageBreak/>
        <w:t>Systems and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(4), pp.77-99.</w:t>
      </w:r>
      <w:hyperlink r:id="rId23">
        <w:r>
          <w:rPr>
            <w:rFonts w:ascii="Times New Roman" w:eastAsia="Times New Roman" w:hAnsi="Times New Roman" w:cs="Times New Roman"/>
            <w:color w:val="1155CC"/>
            <w:sz w:val="24"/>
            <w:szCs w:val="24"/>
            <w:highlight w:val="white"/>
            <w:u w:val="single"/>
          </w:rPr>
          <w:t>https://revistas.uminho.pt/index.php/ijispm/article/download/3630/3662</w:t>
        </w:r>
      </w:hyperlink>
      <w:r>
        <w:rPr>
          <w:rFonts w:ascii="Times New Roman" w:eastAsia="Times New Roman" w:hAnsi="Times New Roman" w:cs="Times New Roman"/>
          <w:color w:val="222222"/>
          <w:sz w:val="24"/>
          <w:szCs w:val="24"/>
          <w:highlight w:val="white"/>
        </w:rPr>
        <w:t xml:space="preserve"> </w:t>
      </w:r>
    </w:p>
    <w:p w14:paraId="63E0F966"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Prastowo</w:t>
      </w:r>
      <w:proofErr w:type="spellEnd"/>
      <w:r>
        <w:rPr>
          <w:rFonts w:ascii="Times New Roman" w:eastAsia="Times New Roman" w:hAnsi="Times New Roman" w:cs="Times New Roman"/>
          <w:color w:val="222222"/>
          <w:sz w:val="24"/>
          <w:szCs w:val="24"/>
          <w:highlight w:val="white"/>
        </w:rPr>
        <w:t xml:space="preserve">, T.Y. and </w:t>
      </w:r>
      <w:proofErr w:type="spellStart"/>
      <w:r>
        <w:rPr>
          <w:rFonts w:ascii="Times New Roman" w:eastAsia="Times New Roman" w:hAnsi="Times New Roman" w:cs="Times New Roman"/>
          <w:color w:val="222222"/>
          <w:sz w:val="24"/>
          <w:szCs w:val="24"/>
          <w:highlight w:val="white"/>
        </w:rPr>
        <w:t>Purba</w:t>
      </w:r>
      <w:proofErr w:type="spellEnd"/>
      <w:r>
        <w:rPr>
          <w:rFonts w:ascii="Times New Roman" w:eastAsia="Times New Roman" w:hAnsi="Times New Roman" w:cs="Times New Roman"/>
          <w:color w:val="222222"/>
          <w:sz w:val="24"/>
          <w:szCs w:val="24"/>
          <w:highlight w:val="white"/>
        </w:rPr>
        <w:t xml:space="preserve">, H.H., 2021. Risk management on railway projects: a literature view. </w:t>
      </w:r>
      <w:proofErr w:type="spellStart"/>
      <w:r>
        <w:rPr>
          <w:rFonts w:ascii="Times New Roman" w:eastAsia="Times New Roman" w:hAnsi="Times New Roman" w:cs="Times New Roman"/>
          <w:i/>
          <w:color w:val="222222"/>
          <w:sz w:val="24"/>
          <w:szCs w:val="24"/>
          <w:highlight w:val="white"/>
        </w:rPr>
        <w:t>Facta</w:t>
      </w:r>
      <w:proofErr w:type="spellEnd"/>
      <w:r>
        <w:rPr>
          <w:rFonts w:ascii="Times New Roman" w:eastAsia="Times New Roman" w:hAnsi="Times New Roman" w:cs="Times New Roman"/>
          <w:i/>
          <w:color w:val="222222"/>
          <w:sz w:val="24"/>
          <w:szCs w:val="24"/>
          <w:highlight w:val="white"/>
        </w:rPr>
        <w:t xml:space="preserve"> Universitatis. Series: Architecture and Civil Engineering</w:t>
      </w:r>
      <w:r>
        <w:rPr>
          <w:rFonts w:ascii="Times New Roman" w:eastAsia="Times New Roman" w:hAnsi="Times New Roman" w:cs="Times New Roman"/>
          <w:color w:val="222222"/>
          <w:sz w:val="24"/>
          <w:szCs w:val="24"/>
          <w:highlight w:val="white"/>
        </w:rPr>
        <w:t>, pp.231-240.</w:t>
      </w:r>
      <w:hyperlink r:id="rId24">
        <w:r>
          <w:rPr>
            <w:rFonts w:ascii="Times New Roman" w:eastAsia="Times New Roman" w:hAnsi="Times New Roman" w:cs="Times New Roman"/>
            <w:color w:val="1155CC"/>
            <w:sz w:val="24"/>
            <w:szCs w:val="24"/>
            <w:highlight w:val="white"/>
            <w:u w:val="single"/>
          </w:rPr>
          <w:t>http://casopisi.junis.ni.ac.rs/index.php/FUArchCivEng/article/download/5956/4053</w:t>
        </w:r>
      </w:hyperlink>
      <w:r>
        <w:rPr>
          <w:rFonts w:ascii="Times New Roman" w:eastAsia="Times New Roman" w:hAnsi="Times New Roman" w:cs="Times New Roman"/>
          <w:color w:val="222222"/>
          <w:sz w:val="24"/>
          <w:szCs w:val="24"/>
          <w:highlight w:val="white"/>
        </w:rPr>
        <w:t xml:space="preserve"> </w:t>
      </w:r>
    </w:p>
    <w:p w14:paraId="48CC99EB"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Sepasgozar</w:t>
      </w:r>
      <w:proofErr w:type="spellEnd"/>
      <w:r>
        <w:rPr>
          <w:rFonts w:ascii="Times New Roman" w:eastAsia="Times New Roman" w:hAnsi="Times New Roman" w:cs="Times New Roman"/>
          <w:color w:val="222222"/>
          <w:sz w:val="24"/>
          <w:szCs w:val="24"/>
          <w:highlight w:val="white"/>
        </w:rPr>
        <w:t xml:space="preserve">, S.M., 2020. Digital twin and web-based virtual gaming technologies for online education: A case of construction management and engineering. </w:t>
      </w:r>
      <w:r>
        <w:rPr>
          <w:rFonts w:ascii="Times New Roman" w:eastAsia="Times New Roman" w:hAnsi="Times New Roman" w:cs="Times New Roman"/>
          <w:i/>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(13), p.4678.</w:t>
      </w:r>
      <w:hyperlink r:id="rId25">
        <w:r>
          <w:rPr>
            <w:rFonts w:ascii="Times New Roman" w:eastAsia="Times New Roman" w:hAnsi="Times New Roman" w:cs="Times New Roman"/>
            <w:color w:val="1155CC"/>
            <w:sz w:val="24"/>
            <w:szCs w:val="24"/>
            <w:highlight w:val="white"/>
            <w:u w:val="single"/>
          </w:rPr>
          <w:t>https://www.mdpi.com/2076-3417/10/13/4678/pdf</w:t>
        </w:r>
      </w:hyperlink>
      <w:r>
        <w:rPr>
          <w:rFonts w:ascii="Times New Roman" w:eastAsia="Times New Roman" w:hAnsi="Times New Roman" w:cs="Times New Roman"/>
          <w:color w:val="222222"/>
          <w:sz w:val="24"/>
          <w:szCs w:val="24"/>
          <w:highlight w:val="white"/>
        </w:rPr>
        <w:t xml:space="preserve"> </w:t>
      </w:r>
    </w:p>
    <w:p w14:paraId="6C399A5E"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Shenoy, D. and </w:t>
      </w:r>
      <w:proofErr w:type="spellStart"/>
      <w:r>
        <w:rPr>
          <w:rFonts w:ascii="Times New Roman" w:eastAsia="Times New Roman" w:hAnsi="Times New Roman" w:cs="Times New Roman"/>
          <w:color w:val="222222"/>
          <w:sz w:val="24"/>
          <w:szCs w:val="24"/>
          <w:highlight w:val="white"/>
        </w:rPr>
        <w:t>Mahanty</w:t>
      </w:r>
      <w:proofErr w:type="spellEnd"/>
      <w:r>
        <w:rPr>
          <w:rFonts w:ascii="Times New Roman" w:eastAsia="Times New Roman" w:hAnsi="Times New Roman" w:cs="Times New Roman"/>
          <w:color w:val="222222"/>
          <w:sz w:val="24"/>
          <w:szCs w:val="24"/>
          <w:highlight w:val="white"/>
        </w:rPr>
        <w:t xml:space="preserve">, B., 2021. Measuring the readiness of a megaproject. </w:t>
      </w:r>
      <w:r>
        <w:rPr>
          <w:rFonts w:ascii="Times New Roman" w:eastAsia="Times New Roman" w:hAnsi="Times New Roman" w:cs="Times New Roman"/>
          <w:i/>
          <w:color w:val="222222"/>
          <w:sz w:val="24"/>
          <w:szCs w:val="24"/>
          <w:highlight w:val="white"/>
        </w:rPr>
        <w:t>International Journal of Managing Projects in Business</w:t>
      </w:r>
      <w:r>
        <w:rPr>
          <w:rFonts w:ascii="Times New Roman" w:eastAsia="Times New Roman" w:hAnsi="Times New Roman" w:cs="Times New Roman"/>
          <w:color w:val="222222"/>
          <w:sz w:val="24"/>
          <w:szCs w:val="24"/>
          <w:highlight w:val="white"/>
        </w:rPr>
        <w:t>.</w:t>
      </w:r>
      <w:hyperlink r:id="rId26">
        <w:r>
          <w:rPr>
            <w:rFonts w:ascii="Times New Roman" w:eastAsia="Times New Roman" w:hAnsi="Times New Roman" w:cs="Times New Roman"/>
            <w:color w:val="1155CC"/>
            <w:sz w:val="24"/>
            <w:szCs w:val="24"/>
            <w:highlight w:val="white"/>
            <w:u w:val="single"/>
          </w:rPr>
          <w:t>https://www.emerald.com/insight/content/doi/10.1108/IJMPB-05-2020-0154/full/html</w:t>
        </w:r>
      </w:hyperlink>
      <w:r>
        <w:rPr>
          <w:rFonts w:ascii="Times New Roman" w:eastAsia="Times New Roman" w:hAnsi="Times New Roman" w:cs="Times New Roman"/>
          <w:color w:val="222222"/>
          <w:sz w:val="24"/>
          <w:szCs w:val="24"/>
          <w:highlight w:val="white"/>
        </w:rPr>
        <w:t xml:space="preserve"> </w:t>
      </w:r>
    </w:p>
    <w:p w14:paraId="78E40BB8"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Simpson, A., 2021. The Origins and Development of the City of London. In </w:t>
      </w:r>
      <w:r>
        <w:rPr>
          <w:rFonts w:ascii="Times New Roman" w:eastAsia="Times New Roman" w:hAnsi="Times New Roman" w:cs="Times New Roman"/>
          <w:i/>
          <w:color w:val="222222"/>
          <w:sz w:val="24"/>
          <w:szCs w:val="24"/>
          <w:highlight w:val="white"/>
        </w:rPr>
        <w:t>Harm Production and the Moral Dislocation of Finance in the City of London: An Ethnography</w:t>
      </w:r>
      <w:r>
        <w:rPr>
          <w:rFonts w:ascii="Times New Roman" w:eastAsia="Times New Roman" w:hAnsi="Times New Roman" w:cs="Times New Roman"/>
          <w:color w:val="222222"/>
          <w:sz w:val="24"/>
          <w:szCs w:val="24"/>
          <w:highlight w:val="white"/>
        </w:rPr>
        <w:t>. Emerald Publishing Limited.</w:t>
      </w:r>
      <w:hyperlink r:id="rId27">
        <w:r>
          <w:rPr>
            <w:rFonts w:ascii="Times New Roman" w:eastAsia="Times New Roman" w:hAnsi="Times New Roman" w:cs="Times New Roman"/>
            <w:color w:val="1155CC"/>
            <w:sz w:val="24"/>
            <w:szCs w:val="24"/>
            <w:highlight w:val="white"/>
            <w:u w:val="single"/>
          </w:rPr>
          <w:t>https://www.emerald.com/insight/content/doi/10.1108/978-1-83909-494-120211002</w:t>
        </w:r>
      </w:hyperlink>
      <w:r>
        <w:rPr>
          <w:rFonts w:ascii="Times New Roman" w:eastAsia="Times New Roman" w:hAnsi="Times New Roman" w:cs="Times New Roman"/>
          <w:color w:val="222222"/>
          <w:sz w:val="24"/>
          <w:szCs w:val="24"/>
          <w:highlight w:val="white"/>
        </w:rPr>
        <w:t xml:space="preserve"> </w:t>
      </w:r>
    </w:p>
    <w:p w14:paraId="5FA2908C"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Singhal, V., 2020. </w:t>
      </w:r>
      <w:r>
        <w:rPr>
          <w:rFonts w:ascii="Times New Roman" w:eastAsia="Times New Roman" w:hAnsi="Times New Roman" w:cs="Times New Roman"/>
          <w:i/>
          <w:color w:val="222222"/>
          <w:sz w:val="24"/>
          <w:szCs w:val="24"/>
          <w:highlight w:val="white"/>
        </w:rPr>
        <w:t>A Conceptual Framework for effective BIM-enabled Information Management in Railways</w:t>
      </w:r>
      <w:r>
        <w:rPr>
          <w:rFonts w:ascii="Times New Roman" w:eastAsia="Times New Roman" w:hAnsi="Times New Roman" w:cs="Times New Roman"/>
          <w:color w:val="222222"/>
          <w:sz w:val="24"/>
          <w:szCs w:val="24"/>
          <w:highlight w:val="white"/>
        </w:rPr>
        <w:t xml:space="preserve"> (Doctoral dissertation, </w:t>
      </w:r>
      <w:proofErr w:type="spellStart"/>
      <w:r>
        <w:rPr>
          <w:rFonts w:ascii="Times New Roman" w:eastAsia="Times New Roman" w:hAnsi="Times New Roman" w:cs="Times New Roman"/>
          <w:color w:val="222222"/>
          <w:sz w:val="24"/>
          <w:szCs w:val="24"/>
          <w:highlight w:val="white"/>
        </w:rPr>
        <w:t>Universidade</w:t>
      </w:r>
      <w:proofErr w:type="spellEnd"/>
      <w:r>
        <w:rPr>
          <w:rFonts w:ascii="Times New Roman" w:eastAsia="Times New Roman" w:hAnsi="Times New Roman" w:cs="Times New Roman"/>
          <w:color w:val="222222"/>
          <w:sz w:val="24"/>
          <w:szCs w:val="24"/>
          <w:highlight w:val="white"/>
        </w:rPr>
        <w:t xml:space="preserve"> do Minho (Portugal)).</w:t>
      </w:r>
      <w:hyperlink r:id="rId28">
        <w:r>
          <w:rPr>
            <w:rFonts w:ascii="Times New Roman" w:eastAsia="Times New Roman" w:hAnsi="Times New Roman" w:cs="Times New Roman"/>
            <w:color w:val="1155CC"/>
            <w:sz w:val="24"/>
            <w:szCs w:val="24"/>
            <w:highlight w:val="white"/>
            <w:u w:val="single"/>
          </w:rPr>
          <w:t>https://repositorium.sdum.uminho.pt/bitstream/1822/74958/1/Vikas%2BSinghal_Dissertation%2BBIM%2BA_.pdf</w:t>
        </w:r>
      </w:hyperlink>
      <w:r>
        <w:rPr>
          <w:rFonts w:ascii="Times New Roman" w:eastAsia="Times New Roman" w:hAnsi="Times New Roman" w:cs="Times New Roman"/>
          <w:color w:val="222222"/>
          <w:sz w:val="24"/>
          <w:szCs w:val="24"/>
          <w:highlight w:val="white"/>
        </w:rPr>
        <w:t xml:space="preserve"> </w:t>
      </w:r>
    </w:p>
    <w:p w14:paraId="7A902AB0"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Tao, B., Zhang, J., Hu, X. and Wu, J., 2020, October. Design of Intelligent Clothes Hanger System Based on Rainfall Data Analysis. In </w:t>
      </w:r>
      <w:r>
        <w:rPr>
          <w:rFonts w:ascii="Times New Roman" w:eastAsia="Times New Roman" w:hAnsi="Times New Roman" w:cs="Times New Roman"/>
          <w:i/>
          <w:color w:val="222222"/>
          <w:sz w:val="24"/>
          <w:szCs w:val="24"/>
          <w:highlight w:val="white"/>
        </w:rPr>
        <w:t>International Conference on Computer Engineering and Networks</w:t>
      </w:r>
      <w:r>
        <w:rPr>
          <w:rFonts w:ascii="Times New Roman" w:eastAsia="Times New Roman" w:hAnsi="Times New Roman" w:cs="Times New Roman"/>
          <w:color w:val="222222"/>
          <w:sz w:val="24"/>
          <w:szCs w:val="24"/>
          <w:highlight w:val="white"/>
        </w:rPr>
        <w:t xml:space="preserve"> (pp. 1308-1318). Springer, Singapore.</w:t>
      </w:r>
      <w:hyperlink r:id="rId29">
        <w:r>
          <w:rPr>
            <w:rFonts w:ascii="Times New Roman" w:eastAsia="Times New Roman" w:hAnsi="Times New Roman" w:cs="Times New Roman"/>
            <w:color w:val="1155CC"/>
            <w:sz w:val="24"/>
            <w:szCs w:val="24"/>
            <w:highlight w:val="white"/>
            <w:u w:val="single"/>
          </w:rPr>
          <w:t>https://link.springer.com/chapter/10.1007/978-981-15-8462-6_150</w:t>
        </w:r>
      </w:hyperlink>
      <w:r>
        <w:rPr>
          <w:rFonts w:ascii="Times New Roman" w:eastAsia="Times New Roman" w:hAnsi="Times New Roman" w:cs="Times New Roman"/>
          <w:color w:val="222222"/>
          <w:sz w:val="24"/>
          <w:szCs w:val="24"/>
          <w:highlight w:val="white"/>
        </w:rPr>
        <w:t xml:space="preserve"> </w:t>
      </w:r>
    </w:p>
    <w:p w14:paraId="07C2AE5B"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Thapa, B. and Joshi, J., 2021. Review of Underground Space Utilization and its Relevance in Nepal. </w:t>
      </w:r>
      <w:r>
        <w:rPr>
          <w:rFonts w:ascii="Times New Roman" w:eastAsia="Times New Roman" w:hAnsi="Times New Roman" w:cs="Times New Roman"/>
          <w:i/>
          <w:color w:val="222222"/>
          <w:sz w:val="24"/>
          <w:szCs w:val="24"/>
          <w:highlight w:val="white"/>
        </w:rPr>
        <w:t>Journal of Engineering Technology and Planning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pp.46-54.</w:t>
      </w:r>
      <w:hyperlink r:id="rId30">
        <w:r>
          <w:rPr>
            <w:rFonts w:ascii="Times New Roman" w:eastAsia="Times New Roman" w:hAnsi="Times New Roman" w:cs="Times New Roman"/>
            <w:color w:val="1155CC"/>
            <w:sz w:val="24"/>
            <w:szCs w:val="24"/>
            <w:highlight w:val="white"/>
            <w:u w:val="single"/>
          </w:rPr>
          <w:t>https://www.nepjol.info/index.php/joetp/article/download/39228/30082</w:t>
        </w:r>
      </w:hyperlink>
      <w:r>
        <w:rPr>
          <w:rFonts w:ascii="Times New Roman" w:eastAsia="Times New Roman" w:hAnsi="Times New Roman" w:cs="Times New Roman"/>
          <w:color w:val="222222"/>
          <w:sz w:val="24"/>
          <w:szCs w:val="24"/>
          <w:highlight w:val="white"/>
        </w:rPr>
        <w:t xml:space="preserve"> </w:t>
      </w:r>
    </w:p>
    <w:p w14:paraId="52A79BD2" w14:textId="77777777" w:rsidR="001908C3" w:rsidRDefault="001908C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Zhang, H., </w:t>
      </w: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xml:space="preserve">, X. and Zheng, X., 2021. Safety Management Strategies for Cross-railway Interchange Widening Project in Highway Reconstruction and Extension. </w:t>
      </w:r>
      <w:r>
        <w:rPr>
          <w:rFonts w:ascii="Times New Roman" w:eastAsia="Times New Roman" w:hAnsi="Times New Roman" w:cs="Times New Roman"/>
          <w:i/>
          <w:color w:val="222222"/>
          <w:sz w:val="24"/>
          <w:szCs w:val="24"/>
          <w:highlight w:val="white"/>
        </w:rPr>
        <w:t>Journal of World Architecture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w:t>
      </w:r>
      <w:hyperlink r:id="rId31">
        <w:r>
          <w:rPr>
            <w:rFonts w:ascii="Times New Roman" w:eastAsia="Times New Roman" w:hAnsi="Times New Roman" w:cs="Times New Roman"/>
            <w:color w:val="1155CC"/>
            <w:sz w:val="24"/>
            <w:szCs w:val="24"/>
            <w:highlight w:val="white"/>
            <w:u w:val="single"/>
          </w:rPr>
          <w:t>https://ojs.bbwpublisher.com/index.php/JWA/article/download/1963/1744</w:t>
        </w:r>
      </w:hyperlink>
      <w:r>
        <w:rPr>
          <w:rFonts w:ascii="Times New Roman" w:eastAsia="Times New Roman" w:hAnsi="Times New Roman" w:cs="Times New Roman"/>
          <w:color w:val="222222"/>
          <w:sz w:val="24"/>
          <w:szCs w:val="24"/>
          <w:highlight w:val="white"/>
        </w:rPr>
        <w:t xml:space="preserve"> </w:t>
      </w:r>
    </w:p>
    <w:sectPr w:rsidR="001908C3" w:rsidSect="001908C3">
      <w:headerReference w:type="default" r:id="rId32"/>
      <w:footerReference w:type="default" r:id="rId3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5CE39" w14:textId="77777777" w:rsidR="00734A39" w:rsidRDefault="001908C3">
      <w:pPr>
        <w:spacing w:line="240" w:lineRule="auto"/>
      </w:pPr>
      <w:r>
        <w:separator/>
      </w:r>
    </w:p>
  </w:endnote>
  <w:endnote w:type="continuationSeparator" w:id="0">
    <w:p w14:paraId="7EB4478A" w14:textId="77777777" w:rsidR="00734A39" w:rsidRDefault="001908C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D" w14:textId="5630808D" w:rsidR="003E2E6D" w:rsidRDefault="001908C3">
    <w:pPr>
      <w:ind w:left="8640"/>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75B11" w14:textId="77777777" w:rsidR="00734A39" w:rsidRDefault="001908C3">
      <w:pPr>
        <w:spacing w:line="240" w:lineRule="auto"/>
      </w:pPr>
      <w:r>
        <w:separator/>
      </w:r>
    </w:p>
  </w:footnote>
  <w:footnote w:type="continuationSeparator" w:id="0">
    <w:p w14:paraId="282E8D2C" w14:textId="77777777" w:rsidR="00734A39" w:rsidRDefault="001908C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C" w14:textId="367DC2B3" w:rsidR="003E2E6D" w:rsidRDefault="00536A07">
    <w:r w:rsidRPr="007B5AC3">
      <w:rPr>
        <w:noProof/>
      </w:rPr>
      <w:drawing>
        <wp:inline distT="0" distB="0" distL="0" distR="0" wp14:anchorId="11A32F43" wp14:editId="3C58D5D6">
          <wp:extent cx="1809750" cy="600075"/>
          <wp:effectExtent l="0" t="0" r="0" b="0"/>
          <wp:docPr id="6"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B14"/>
    <w:multiLevelType w:val="multilevel"/>
    <w:tmpl w:val="FA22B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209596D"/>
    <w:multiLevelType w:val="multilevel"/>
    <w:tmpl w:val="D24641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4346411">
    <w:abstractNumId w:val="1"/>
  </w:num>
  <w:num w:numId="2" w16cid:durableId="1211187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E6D"/>
    <w:rsid w:val="001908C3"/>
    <w:rsid w:val="003E2E6D"/>
    <w:rsid w:val="00536A07"/>
    <w:rsid w:val="00734A39"/>
    <w:rsid w:val="00E042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CE70"/>
  <w15:docId w15:val="{04FBAD08-C1B5-4C06-9E5A-054803402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536A07"/>
    <w:pPr>
      <w:tabs>
        <w:tab w:val="center" w:pos="4513"/>
        <w:tab w:val="right" w:pos="9026"/>
      </w:tabs>
      <w:spacing w:line="240" w:lineRule="auto"/>
    </w:pPr>
  </w:style>
  <w:style w:type="character" w:customStyle="1" w:styleId="HeaderChar">
    <w:name w:val="Header Char"/>
    <w:basedOn w:val="DefaultParagraphFont"/>
    <w:link w:val="Header"/>
    <w:uiPriority w:val="99"/>
    <w:rsid w:val="00536A07"/>
  </w:style>
  <w:style w:type="paragraph" w:styleId="Footer">
    <w:name w:val="footer"/>
    <w:basedOn w:val="Normal"/>
    <w:link w:val="FooterChar"/>
    <w:uiPriority w:val="99"/>
    <w:unhideWhenUsed/>
    <w:rsid w:val="00536A07"/>
    <w:pPr>
      <w:tabs>
        <w:tab w:val="center" w:pos="4513"/>
        <w:tab w:val="right" w:pos="9026"/>
      </w:tabs>
      <w:spacing w:line="240" w:lineRule="auto"/>
    </w:pPr>
  </w:style>
  <w:style w:type="character" w:customStyle="1" w:styleId="FooterChar">
    <w:name w:val="Footer Char"/>
    <w:basedOn w:val="DefaultParagraphFont"/>
    <w:link w:val="Footer"/>
    <w:uiPriority w:val="99"/>
    <w:rsid w:val="00536A07"/>
  </w:style>
  <w:style w:type="paragraph" w:customStyle="1" w:styleId="Normal1">
    <w:name w:val="Normal1"/>
    <w:rsid w:val="00536A07"/>
    <w:rPr>
      <w:lang w:val=""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personalpages.manchester.ac.uk/staff/nuno.gil/Journal%20articles/MegaprojectPerformance.pdf" TargetMode="External"/><Relationship Id="rId18" Type="http://schemas.openxmlformats.org/officeDocument/2006/relationships/hyperlink" Target="https://link.springer.com/content/pdf/10.1007/978-3-030-33035-4.pdf" TargetMode="External"/><Relationship Id="rId26" Type="http://schemas.openxmlformats.org/officeDocument/2006/relationships/hyperlink" Target="https://www.emerald.com/insight/content/doi/10.1108/IJMPB-05-2020-0154/full/html" TargetMode="External"/><Relationship Id="rId3" Type="http://schemas.openxmlformats.org/officeDocument/2006/relationships/settings" Target="settings.xml"/><Relationship Id="rId21" Type="http://schemas.openxmlformats.org/officeDocument/2006/relationships/hyperlink" Target="https://iss.internationaljournallabs.com/index.php/iss/article/download/182/218" TargetMode="External"/><Relationship Id="rId34" Type="http://schemas.openxmlformats.org/officeDocument/2006/relationships/fontTable" Target="fontTable.xml"/><Relationship Id="rId7" Type="http://schemas.openxmlformats.org/officeDocument/2006/relationships/hyperlink" Target="https://www.researchgate.net/profile/Keith-Hampson/publication/347788825_Digital_Asset_Information_Management_for_Transport_Infrastructure_Framework_and_Implementation/links/6216e5541857671d0d8af800/Digital-Asset-Information-Management-for-Transport-Infrastructure-Framework-and-Implementation.pdf" TargetMode="External"/><Relationship Id="rId12" Type="http://schemas.openxmlformats.org/officeDocument/2006/relationships/hyperlink" Target="https://www.mdpi.com/2072-666X/11/12/1055/pdf" TargetMode="External"/><Relationship Id="rId17" Type="http://schemas.openxmlformats.org/officeDocument/2006/relationships/hyperlink" Target="https://www.intechopen.com/chapters/68102" TargetMode="External"/><Relationship Id="rId25" Type="http://schemas.openxmlformats.org/officeDocument/2006/relationships/hyperlink" Target="https://www.mdpi.com/2076-3417/10/13/4678/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epjol.info/index.php/joetp/article/download/39228/30082/114172" TargetMode="External"/><Relationship Id="rId20" Type="http://schemas.openxmlformats.org/officeDocument/2006/relationships/hyperlink" Target="https://opus.lib.uts.edu.au/bitstream/10453/148172/2/Published%20Paper%20AJRS-26.3-pages-293-to-322.pdf" TargetMode="External"/><Relationship Id="rId29" Type="http://schemas.openxmlformats.org/officeDocument/2006/relationships/hyperlink" Target="https://link.springer.com/chapter/10.1007/978-981-15-8462-6_15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yalsoc.org.au/images/pdf/journal/152-1-Brinson.pdf" TargetMode="External"/><Relationship Id="rId24" Type="http://schemas.openxmlformats.org/officeDocument/2006/relationships/hyperlink" Target="http://casopisi.junis.ni.ac.rs/index.php/FUArchCivEng/article/download/5956/4053"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rxiv.org/pdf/2211.14781" TargetMode="External"/><Relationship Id="rId23" Type="http://schemas.openxmlformats.org/officeDocument/2006/relationships/hyperlink" Target="https://revistas.uminho.pt/index.php/ijispm/article/download/3630/3662" TargetMode="External"/><Relationship Id="rId28" Type="http://schemas.openxmlformats.org/officeDocument/2006/relationships/hyperlink" Target="https://repositorium.sdum.uminho.pt/bitstream/1822/74958/1/Vikas%2BSinghal_Dissertation%2BBIM%2BA_.pdf" TargetMode="External"/><Relationship Id="rId10" Type="http://schemas.openxmlformats.org/officeDocument/2006/relationships/hyperlink" Target="https://www.sciencedirect.com/science/article/pii/S2213624X2100211X" TargetMode="External"/><Relationship Id="rId19" Type="http://schemas.openxmlformats.org/officeDocument/2006/relationships/hyperlink" Target="https://link.springer.com/chapter/10.1007/978-3-030-96725-3_12" TargetMode="External"/><Relationship Id="rId31" Type="http://schemas.openxmlformats.org/officeDocument/2006/relationships/hyperlink" Target="https://ojs.bbwpublisher.com/index.php/JWA/article/download/1963/1744" TargetMode="External"/><Relationship Id="rId4" Type="http://schemas.openxmlformats.org/officeDocument/2006/relationships/webSettings" Target="webSettings.xml"/><Relationship Id="rId9" Type="http://schemas.openxmlformats.org/officeDocument/2006/relationships/hyperlink" Target="https://link.springer.com/chapter/10.1007/978-3-030-42852-5_4" TargetMode="External"/><Relationship Id="rId14" Type="http://schemas.openxmlformats.org/officeDocument/2006/relationships/hyperlink" Target="https://bibliotekanauki.pl/articles/2105522.pdf" TargetMode="External"/><Relationship Id="rId22" Type="http://schemas.openxmlformats.org/officeDocument/2006/relationships/hyperlink" Target="https://ualresearchonline.arts.ac.uk/id/eprint/16731/6/PatNaldi_Chapter%20Eight.pdf" TargetMode="External"/><Relationship Id="rId27" Type="http://schemas.openxmlformats.org/officeDocument/2006/relationships/hyperlink" Target="https://www.emerald.com/insight/content/doi/10.1108/978-1-83909-494-120211002" TargetMode="External"/><Relationship Id="rId30" Type="http://schemas.openxmlformats.org/officeDocument/2006/relationships/hyperlink" Target="https://www.nepjol.info/index.php/joetp/article/download/39228/30082" TargetMode="External"/><Relationship Id="rId35" Type="http://schemas.openxmlformats.org/officeDocument/2006/relationships/theme" Target="theme/theme1.xml"/><Relationship Id="rId8" Type="http://schemas.openxmlformats.org/officeDocument/2006/relationships/hyperlink" Target="https://www.researchgate.net/profile/Imran-Chowdhury-5/publication/345085994_Into_the_Binary_World_of_Zero_Death_Toll_by_Implementing_a_Sustainable_Powered_Automatic_Railway_Gate_Control_System/links/6009c1ab92851c13fe2a7cf0/Into-the-Binary-World-of-Zero-Death-Toll-by-Implementing-a-Sustainable-Powered-Automatic-Railway-Gate-Control-System.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4082</Words>
  <Characters>23273</Characters>
  <Application>Microsoft Office Word</Application>
  <DocSecurity>0</DocSecurity>
  <Lines>193</Lines>
  <Paragraphs>54</Paragraphs>
  <ScaleCrop>false</ScaleCrop>
  <Company/>
  <LinksUpToDate>false</LinksUpToDate>
  <CharactersWithSpaces>27301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pallabi Roy</dc:creator>
  <cp:lastModifiedBy>Bogdan Adrian Radulescu (2022697)</cp:lastModifiedBy>
  <cp:revision>3</cp:revision>
  <dcterms:created xsi:type="dcterms:W3CDTF">2023-01-18T21:13:00Z</dcterms:created>
  <dcterms:modified xsi:type="dcterms:W3CDTF">2023-01-18T21:19:00Z</dcterms:modified>
</cp:coreProperties>
</file>