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59904905"/>
        <w:docPartObj>
          <w:docPartGallery w:val="Cover Pages"/>
          <w:docPartUnique/>
        </w:docPartObj>
      </w:sdtPr>
      <w:sdtEndPr>
        <w:rPr>
          <w:sz w:val="44"/>
          <w:szCs w:val="44"/>
        </w:rPr>
      </w:sdtEndPr>
      <w:sdtContent>
        <w:p w14:paraId="19B53A77" w14:textId="35A78FBC" w:rsidR="005E5C7E" w:rsidRDefault="005E5C7E"/>
        <w:p w14:paraId="3B89DDA7" w14:textId="235B5049" w:rsidR="005E5C7E" w:rsidRDefault="00CC1175">
          <w:pPr>
            <w:rPr>
              <w:sz w:val="44"/>
              <w:szCs w:val="44"/>
            </w:rPr>
          </w:pPr>
          <w:r>
            <w:rPr>
              <w:noProof/>
            </w:rPr>
            <w:pict w14:anchorId="567DAD6B">
              <v:group id="Group 125" o:spid="_x0000_s1029" style="position:absolute;margin-left:0;margin-top:0;width:540pt;height:556.55pt;z-index:-251659264;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30"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36D1C2D" w14:textId="494F86FB" w:rsidR="005E5C7E" w:rsidRDefault="00CC1175">
                        <w:pPr>
                          <w:rPr>
                            <w:color w:val="FFFFFF" w:themeColor="background1"/>
                            <w:sz w:val="72"/>
                            <w:szCs w:val="72"/>
                          </w:rPr>
                        </w:pPr>
                        <w:sdt>
                          <w:sdtPr>
                            <w:rPr>
                              <w:sz w:val="44"/>
                              <w:szCs w:val="44"/>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75BA3">
                              <w:rPr>
                                <w:sz w:val="44"/>
                                <w:szCs w:val="44"/>
                              </w:rPr>
                              <w:t>A</w:t>
                            </w:r>
                            <w:r w:rsidR="005E5C7E" w:rsidRPr="005E5C7E">
                              <w:rPr>
                                <w:sz w:val="44"/>
                                <w:szCs w:val="44"/>
                              </w:rPr>
                              <w:t>ssignment</w:t>
                            </w:r>
                          </w:sdtContent>
                        </w:sdt>
                        <w:r w:rsidR="00A75BA3">
                          <w:rPr>
                            <w:sz w:val="44"/>
                            <w:szCs w:val="44"/>
                          </w:rPr>
                          <w:t xml:space="preserve"> 2: Review a business using their financial statements.</w:t>
                        </w:r>
                      </w:p>
                    </w:txbxContent>
                  </v:textbox>
                </v:shape>
                <v:shape id="Freeform 11" o:spid="_x0000_s1031"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r>
            <w:rPr>
              <w:noProof/>
            </w:rPr>
            <w:pict w14:anchorId="07A6A2EA">
              <v:shapetype id="_x0000_t202" coordsize="21600,21600" o:spt="202" path="m,l,21600r21600,l21600,xe">
                <v:stroke joinstyle="miter"/>
                <v:path gradientshapeok="t" o:connecttype="rect"/>
              </v:shapetype>
              <v:shape id="Text Box 128" o:spid="_x0000_s1028" type="#_x0000_t202" style="position:absolute;margin-left:0;margin-top:0;width:453pt;height:11.5pt;z-index:251660288;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76033D33" w14:textId="4134565C" w:rsidR="005E5C7E" w:rsidRDefault="00CC1175">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5E5C7E">
                            <w:rPr>
                              <w:caps/>
                              <w:color w:val="7F7F7F" w:themeColor="text1" w:themeTint="80"/>
                              <w:sz w:val="18"/>
                              <w:szCs w:val="18"/>
                            </w:rPr>
                            <w:t xml:space="preserve">     </w:t>
                          </w:r>
                        </w:sdtContent>
                      </w:sdt>
                      <w:r w:rsidR="005E5C7E">
                        <w:rPr>
                          <w:caps/>
                          <w:color w:val="7F7F7F" w:themeColor="text1" w:themeTint="80"/>
                          <w:sz w:val="18"/>
                          <w:szCs w:val="18"/>
                        </w:rPr>
                        <w:t> </w:t>
                      </w:r>
                      <w:r w:rsidR="005E5C7E">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5E5C7E">
                            <w:rPr>
                              <w:color w:val="7F7F7F" w:themeColor="text1" w:themeTint="80"/>
                              <w:sz w:val="18"/>
                              <w:szCs w:val="18"/>
                            </w:rPr>
                            <w:t xml:space="preserve">     </w:t>
                          </w:r>
                        </w:sdtContent>
                      </w:sdt>
                    </w:p>
                  </w:txbxContent>
                </v:textbox>
                <w10:wrap type="square" anchorx="page" anchory="margin"/>
              </v:shape>
            </w:pict>
          </w:r>
          <w:r>
            <w:rPr>
              <w:noProof/>
            </w:rPr>
            <w:pict w14:anchorId="1D342D03">
              <v:shape id="Text Box 129" o:spid="_x0000_s1027" type="#_x0000_t202" style="position:absolute;margin-left:0;margin-top:0;width:453pt;height:38.15pt;z-index:251659264;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sz w:val="44"/>
                          <w:szCs w:val="4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2CAC2B7" w14:textId="2502E6B4" w:rsidR="005E5C7E" w:rsidRDefault="005E5C7E">
                          <w:pPr>
                            <w:pStyle w:val="NoSpacing"/>
                            <w:spacing w:before="40" w:after="40"/>
                            <w:rPr>
                              <w:caps/>
                              <w:color w:val="4472C4" w:themeColor="accent1"/>
                              <w:sz w:val="28"/>
                              <w:szCs w:val="28"/>
                            </w:rPr>
                          </w:pPr>
                          <w:r w:rsidRPr="005E5C7E">
                            <w:rPr>
                              <w:sz w:val="44"/>
                              <w:szCs w:val="44"/>
                            </w:rPr>
                            <w:t xml:space="preserve">Lecturer </w:t>
                          </w:r>
                          <w:r w:rsidRPr="005E5C7E">
                            <w:rPr>
                              <w:sz w:val="44"/>
                              <w:szCs w:val="44"/>
                            </w:rPr>
                            <w:tab/>
                          </w:r>
                          <w:r w:rsidRPr="005E5C7E">
                            <w:rPr>
                              <w:sz w:val="44"/>
                              <w:szCs w:val="44"/>
                            </w:rPr>
                            <w:tab/>
                            <w:t>Howard Davies</w:t>
                          </w:r>
                        </w:p>
                      </w:sdtContent>
                    </w:sdt>
                    <w:sdt>
                      <w:sdtPr>
                        <w:rPr>
                          <w:rFonts w:eastAsiaTheme="minorHAnsi"/>
                          <w:sz w:val="44"/>
                          <w:szCs w:val="44"/>
                          <w:lang w:val="en-GB"/>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79CAFD7" w14:textId="11F413DE" w:rsidR="005E5C7E" w:rsidRDefault="005E5C7E" w:rsidP="005E5C7E">
                          <w:pPr>
                            <w:pStyle w:val="NoSpacing"/>
                            <w:spacing w:before="40" w:after="40"/>
                            <w:rPr>
                              <w:caps/>
                              <w:color w:val="5B9BD5" w:themeColor="accent5"/>
                              <w:sz w:val="24"/>
                              <w:szCs w:val="24"/>
                            </w:rPr>
                          </w:pPr>
                          <w:r w:rsidRPr="005E5C7E">
                            <w:rPr>
                              <w:rFonts w:eastAsiaTheme="minorHAnsi"/>
                              <w:sz w:val="44"/>
                              <w:szCs w:val="44"/>
                              <w:lang w:val="en-GB"/>
                            </w:rPr>
                            <w:t xml:space="preserve">Student </w:t>
                          </w:r>
                          <w:r w:rsidRPr="005E5C7E">
                            <w:rPr>
                              <w:rFonts w:eastAsiaTheme="minorHAnsi"/>
                              <w:sz w:val="44"/>
                              <w:szCs w:val="44"/>
                              <w:lang w:val="en-GB"/>
                            </w:rPr>
                            <w:tab/>
                          </w:r>
                          <w:r w:rsidRPr="005E5C7E">
                            <w:rPr>
                              <w:rFonts w:eastAsiaTheme="minorHAnsi"/>
                              <w:sz w:val="44"/>
                              <w:szCs w:val="44"/>
                              <w:lang w:val="en-GB"/>
                            </w:rPr>
                            <w:tab/>
                            <w:t>James</w:t>
                          </w:r>
                          <w:r>
                            <w:rPr>
                              <w:rFonts w:eastAsiaTheme="minorHAnsi"/>
                              <w:sz w:val="44"/>
                              <w:szCs w:val="44"/>
                              <w:lang w:val="en-GB"/>
                            </w:rPr>
                            <w:t xml:space="preserve"> </w:t>
                          </w:r>
                          <w:r w:rsidRPr="005E5C7E">
                            <w:rPr>
                              <w:rFonts w:eastAsiaTheme="minorHAnsi"/>
                              <w:sz w:val="44"/>
                              <w:szCs w:val="44"/>
                              <w:lang w:val="en-GB"/>
                            </w:rPr>
                            <w:t>Evans</w:t>
                          </w:r>
                          <w:r>
                            <w:rPr>
                              <w:rFonts w:eastAsiaTheme="minorHAnsi"/>
                              <w:sz w:val="44"/>
                              <w:szCs w:val="44"/>
                              <w:lang w:val="en-GB"/>
                            </w:rPr>
                            <w:t xml:space="preserve">   </w:t>
                          </w:r>
                          <w:r w:rsidRPr="005E5C7E">
                            <w:rPr>
                              <w:rFonts w:eastAsiaTheme="minorHAnsi"/>
                              <w:sz w:val="44"/>
                              <w:szCs w:val="44"/>
                              <w:lang w:val="en-GB"/>
                            </w:rPr>
                            <w:t xml:space="preserve">Submission </w:t>
                          </w:r>
                          <w:r w:rsidRPr="005E5C7E">
                            <w:rPr>
                              <w:rFonts w:eastAsiaTheme="minorHAnsi"/>
                              <w:sz w:val="44"/>
                              <w:szCs w:val="44"/>
                              <w:lang w:val="en-GB"/>
                            </w:rPr>
                            <w:tab/>
                          </w:r>
                          <w:r w:rsidRPr="005E5C7E">
                            <w:rPr>
                              <w:rFonts w:eastAsiaTheme="minorHAnsi"/>
                              <w:sz w:val="44"/>
                              <w:szCs w:val="44"/>
                              <w:lang w:val="en-GB"/>
                            </w:rPr>
                            <w:tab/>
                            <w:t>06/06/22</w:t>
                          </w:r>
                        </w:p>
                      </w:sdtContent>
                    </w:sdt>
                  </w:txbxContent>
                </v:textbox>
                <w10:wrap type="square" anchorx="page" anchory="page"/>
              </v:shape>
            </w:pict>
          </w:r>
          <w:r>
            <w:rPr>
              <w:noProof/>
            </w:rPr>
            <w:pict w14:anchorId="4EF64A14">
              <v:rect id="Rectangle 130" o:spid="_x0000_s1026" style="position:absolute;margin-left:-26.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5C8F174F" w14:textId="5C47822A" w:rsidR="005E5C7E" w:rsidRDefault="005E5C7E">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w:r>
          <w:r w:rsidR="005E5C7E">
            <w:rPr>
              <w:sz w:val="44"/>
              <w:szCs w:val="44"/>
            </w:rPr>
            <w:br w:type="page"/>
          </w:r>
        </w:p>
      </w:sdtContent>
    </w:sdt>
    <w:p w14:paraId="51615B2E" w14:textId="0EFA7CE9" w:rsidR="00E948BB" w:rsidRPr="00B121CC" w:rsidRDefault="00E948BB">
      <w:r w:rsidRPr="00DA5FF7">
        <w:rPr>
          <w:sz w:val="36"/>
          <w:szCs w:val="36"/>
        </w:rPr>
        <w:lastRenderedPageBreak/>
        <w:t>Contents page</w:t>
      </w:r>
    </w:p>
    <w:p w14:paraId="098ED27E" w14:textId="58EA26E6" w:rsidR="00E948BB" w:rsidRDefault="00E948BB"/>
    <w:p w14:paraId="4F0F397B" w14:textId="731CBA7F" w:rsidR="00BB753B" w:rsidRPr="00662F01" w:rsidRDefault="00BB753B">
      <w:pPr>
        <w:rPr>
          <w:sz w:val="24"/>
          <w:szCs w:val="24"/>
        </w:rPr>
      </w:pPr>
      <w:r w:rsidRPr="00662F01">
        <w:rPr>
          <w:sz w:val="24"/>
          <w:szCs w:val="24"/>
        </w:rPr>
        <w:t>Executive summary</w:t>
      </w:r>
      <w:r w:rsidRPr="00662F01">
        <w:rPr>
          <w:sz w:val="24"/>
          <w:szCs w:val="24"/>
        </w:rPr>
        <w:tab/>
      </w:r>
      <w:r w:rsidRPr="00662F01">
        <w:rPr>
          <w:sz w:val="24"/>
          <w:szCs w:val="24"/>
        </w:rPr>
        <w:tab/>
      </w:r>
      <w:r w:rsidRPr="00662F01">
        <w:rPr>
          <w:sz w:val="24"/>
          <w:szCs w:val="24"/>
        </w:rPr>
        <w:tab/>
      </w:r>
      <w:r w:rsidR="00662F01">
        <w:rPr>
          <w:sz w:val="24"/>
          <w:szCs w:val="24"/>
        </w:rPr>
        <w:tab/>
      </w:r>
      <w:r w:rsidRPr="00662F01">
        <w:rPr>
          <w:sz w:val="24"/>
          <w:szCs w:val="24"/>
        </w:rPr>
        <w:t>2</w:t>
      </w:r>
    </w:p>
    <w:p w14:paraId="29E31CEC" w14:textId="302B7E51" w:rsidR="002603F8" w:rsidRPr="00662F01" w:rsidRDefault="002603F8">
      <w:pPr>
        <w:rPr>
          <w:sz w:val="24"/>
          <w:szCs w:val="24"/>
        </w:rPr>
      </w:pPr>
      <w:r w:rsidRPr="00662F01">
        <w:rPr>
          <w:sz w:val="24"/>
          <w:szCs w:val="24"/>
        </w:rPr>
        <w:t xml:space="preserve">Introduction </w:t>
      </w:r>
      <w:r w:rsidRPr="00662F01">
        <w:rPr>
          <w:sz w:val="24"/>
          <w:szCs w:val="24"/>
        </w:rPr>
        <w:tab/>
      </w:r>
      <w:r w:rsidRPr="00662F01">
        <w:rPr>
          <w:sz w:val="24"/>
          <w:szCs w:val="24"/>
        </w:rPr>
        <w:tab/>
      </w:r>
      <w:r w:rsidRPr="00662F01">
        <w:rPr>
          <w:sz w:val="24"/>
          <w:szCs w:val="24"/>
        </w:rPr>
        <w:tab/>
      </w:r>
      <w:r w:rsidRPr="00662F01">
        <w:rPr>
          <w:sz w:val="24"/>
          <w:szCs w:val="24"/>
        </w:rPr>
        <w:tab/>
      </w:r>
      <w:r w:rsidR="00662F01">
        <w:rPr>
          <w:sz w:val="24"/>
          <w:szCs w:val="24"/>
        </w:rPr>
        <w:tab/>
      </w:r>
      <w:r w:rsidR="00BB753B" w:rsidRPr="00662F01">
        <w:rPr>
          <w:sz w:val="24"/>
          <w:szCs w:val="24"/>
        </w:rPr>
        <w:t>2</w:t>
      </w:r>
    </w:p>
    <w:p w14:paraId="0AAB60F8" w14:textId="0F99BDB9" w:rsidR="00BB753B" w:rsidRPr="00662F01" w:rsidRDefault="00662F01">
      <w:pPr>
        <w:rPr>
          <w:sz w:val="24"/>
          <w:szCs w:val="24"/>
        </w:rPr>
      </w:pPr>
      <w:r w:rsidRPr="00662F01">
        <w:rPr>
          <w:sz w:val="24"/>
          <w:szCs w:val="24"/>
        </w:rPr>
        <w:t>Profitability</w:t>
      </w:r>
      <w:r w:rsidR="00BB753B" w:rsidRPr="00662F01">
        <w:rPr>
          <w:sz w:val="24"/>
          <w:szCs w:val="24"/>
        </w:rPr>
        <w:t xml:space="preserve"> ratios</w:t>
      </w:r>
      <w:r w:rsidRPr="00662F01">
        <w:rPr>
          <w:sz w:val="24"/>
          <w:szCs w:val="24"/>
        </w:rPr>
        <w:tab/>
      </w:r>
      <w:r w:rsidRPr="00662F01">
        <w:rPr>
          <w:sz w:val="24"/>
          <w:szCs w:val="24"/>
        </w:rPr>
        <w:tab/>
      </w:r>
      <w:r w:rsidRPr="00662F01">
        <w:rPr>
          <w:sz w:val="24"/>
          <w:szCs w:val="24"/>
        </w:rPr>
        <w:tab/>
      </w:r>
      <w:r>
        <w:rPr>
          <w:sz w:val="24"/>
          <w:szCs w:val="24"/>
        </w:rPr>
        <w:tab/>
      </w:r>
      <w:r w:rsidRPr="00662F01">
        <w:rPr>
          <w:sz w:val="24"/>
          <w:szCs w:val="24"/>
        </w:rPr>
        <w:t>3</w:t>
      </w:r>
    </w:p>
    <w:p w14:paraId="0F49087C" w14:textId="436CF0D4" w:rsidR="00BB753B" w:rsidRPr="00662F01" w:rsidRDefault="00662F01">
      <w:pPr>
        <w:rPr>
          <w:sz w:val="24"/>
          <w:szCs w:val="24"/>
        </w:rPr>
      </w:pPr>
      <w:r w:rsidRPr="00662F01">
        <w:rPr>
          <w:sz w:val="24"/>
          <w:szCs w:val="24"/>
        </w:rPr>
        <w:t>Liquidity ratios</w:t>
      </w:r>
      <w:r w:rsidRPr="00662F01">
        <w:rPr>
          <w:sz w:val="24"/>
          <w:szCs w:val="24"/>
        </w:rPr>
        <w:tab/>
      </w:r>
      <w:r w:rsidRPr="00662F01">
        <w:rPr>
          <w:sz w:val="24"/>
          <w:szCs w:val="24"/>
        </w:rPr>
        <w:tab/>
      </w:r>
      <w:r w:rsidRPr="00662F01">
        <w:rPr>
          <w:sz w:val="24"/>
          <w:szCs w:val="24"/>
        </w:rPr>
        <w:tab/>
      </w:r>
      <w:r w:rsidRPr="00662F01">
        <w:rPr>
          <w:sz w:val="24"/>
          <w:szCs w:val="24"/>
        </w:rPr>
        <w:tab/>
        <w:t>3</w:t>
      </w:r>
    </w:p>
    <w:p w14:paraId="61782B99" w14:textId="181022F3" w:rsidR="00662F01" w:rsidRPr="00662F01" w:rsidRDefault="00662F01">
      <w:pPr>
        <w:rPr>
          <w:sz w:val="24"/>
          <w:szCs w:val="24"/>
        </w:rPr>
      </w:pPr>
      <w:r w:rsidRPr="00662F01">
        <w:rPr>
          <w:sz w:val="24"/>
          <w:szCs w:val="24"/>
        </w:rPr>
        <w:t xml:space="preserve">Activity ratios </w:t>
      </w:r>
      <w:r w:rsidRPr="00662F01">
        <w:rPr>
          <w:sz w:val="24"/>
          <w:szCs w:val="24"/>
        </w:rPr>
        <w:tab/>
      </w:r>
      <w:r w:rsidRPr="00662F01">
        <w:rPr>
          <w:sz w:val="24"/>
          <w:szCs w:val="24"/>
        </w:rPr>
        <w:tab/>
      </w:r>
      <w:r w:rsidRPr="00662F01">
        <w:rPr>
          <w:sz w:val="24"/>
          <w:szCs w:val="24"/>
        </w:rPr>
        <w:tab/>
      </w:r>
      <w:r w:rsidRPr="00662F01">
        <w:rPr>
          <w:sz w:val="24"/>
          <w:szCs w:val="24"/>
        </w:rPr>
        <w:tab/>
      </w:r>
      <w:r>
        <w:rPr>
          <w:sz w:val="24"/>
          <w:szCs w:val="24"/>
        </w:rPr>
        <w:tab/>
      </w:r>
      <w:r w:rsidRPr="00662F01">
        <w:rPr>
          <w:sz w:val="24"/>
          <w:szCs w:val="24"/>
        </w:rPr>
        <w:t>4</w:t>
      </w:r>
    </w:p>
    <w:p w14:paraId="797DC550" w14:textId="647244E6" w:rsidR="00662F01" w:rsidRPr="00662F01" w:rsidRDefault="00662F01">
      <w:pPr>
        <w:rPr>
          <w:sz w:val="24"/>
          <w:szCs w:val="24"/>
        </w:rPr>
      </w:pPr>
      <w:r w:rsidRPr="00662F01">
        <w:rPr>
          <w:sz w:val="24"/>
          <w:szCs w:val="24"/>
        </w:rPr>
        <w:t>Leverage ratios</w:t>
      </w:r>
      <w:r w:rsidRPr="00662F01">
        <w:rPr>
          <w:sz w:val="24"/>
          <w:szCs w:val="24"/>
        </w:rPr>
        <w:tab/>
      </w:r>
      <w:r w:rsidRPr="00662F01">
        <w:rPr>
          <w:sz w:val="24"/>
          <w:szCs w:val="24"/>
        </w:rPr>
        <w:tab/>
      </w:r>
      <w:r w:rsidRPr="00662F01">
        <w:rPr>
          <w:sz w:val="24"/>
          <w:szCs w:val="24"/>
        </w:rPr>
        <w:tab/>
      </w:r>
      <w:r w:rsidRPr="00662F01">
        <w:rPr>
          <w:sz w:val="24"/>
          <w:szCs w:val="24"/>
        </w:rPr>
        <w:tab/>
        <w:t>4</w:t>
      </w:r>
    </w:p>
    <w:p w14:paraId="4E68062C" w14:textId="3E19755B" w:rsidR="00662F01" w:rsidRPr="00662F01" w:rsidRDefault="00662F01">
      <w:pPr>
        <w:rPr>
          <w:sz w:val="24"/>
          <w:szCs w:val="24"/>
        </w:rPr>
      </w:pPr>
      <w:r w:rsidRPr="00662F01">
        <w:rPr>
          <w:sz w:val="24"/>
          <w:szCs w:val="24"/>
        </w:rPr>
        <w:t>Shareholders ratios</w:t>
      </w:r>
      <w:r w:rsidRPr="00662F01">
        <w:rPr>
          <w:sz w:val="24"/>
          <w:szCs w:val="24"/>
        </w:rPr>
        <w:tab/>
      </w:r>
      <w:r w:rsidRPr="00662F01">
        <w:rPr>
          <w:sz w:val="24"/>
          <w:szCs w:val="24"/>
        </w:rPr>
        <w:tab/>
      </w:r>
      <w:r w:rsidRPr="00662F01">
        <w:rPr>
          <w:sz w:val="24"/>
          <w:szCs w:val="24"/>
        </w:rPr>
        <w:tab/>
      </w:r>
      <w:r>
        <w:rPr>
          <w:sz w:val="24"/>
          <w:szCs w:val="24"/>
        </w:rPr>
        <w:tab/>
      </w:r>
      <w:r w:rsidRPr="00662F01">
        <w:rPr>
          <w:sz w:val="24"/>
          <w:szCs w:val="24"/>
        </w:rPr>
        <w:t>4</w:t>
      </w:r>
    </w:p>
    <w:p w14:paraId="6BCBCB4C" w14:textId="71B7FCEC" w:rsidR="00662F01" w:rsidRPr="00662F01" w:rsidRDefault="00662F01" w:rsidP="00662F01">
      <w:pPr>
        <w:rPr>
          <w:sz w:val="24"/>
          <w:szCs w:val="24"/>
        </w:rPr>
      </w:pPr>
      <w:r w:rsidRPr="00662F01">
        <w:rPr>
          <w:sz w:val="24"/>
          <w:szCs w:val="24"/>
        </w:rPr>
        <w:t>Use and limitations of ratios</w:t>
      </w:r>
      <w:r w:rsidRPr="00662F01">
        <w:rPr>
          <w:sz w:val="24"/>
          <w:szCs w:val="24"/>
        </w:rPr>
        <w:tab/>
      </w:r>
      <w:r w:rsidRPr="00662F01">
        <w:rPr>
          <w:sz w:val="24"/>
          <w:szCs w:val="24"/>
        </w:rPr>
        <w:tab/>
      </w:r>
      <w:r>
        <w:rPr>
          <w:sz w:val="24"/>
          <w:szCs w:val="24"/>
        </w:rPr>
        <w:tab/>
      </w:r>
      <w:r w:rsidRPr="00662F01">
        <w:rPr>
          <w:sz w:val="24"/>
          <w:szCs w:val="24"/>
        </w:rPr>
        <w:t>5</w:t>
      </w:r>
      <w:r w:rsidRPr="00662F01">
        <w:rPr>
          <w:sz w:val="24"/>
          <w:szCs w:val="24"/>
        </w:rPr>
        <w:tab/>
      </w:r>
      <w:r w:rsidRPr="00662F01">
        <w:rPr>
          <w:sz w:val="24"/>
          <w:szCs w:val="24"/>
        </w:rPr>
        <w:tab/>
      </w:r>
    </w:p>
    <w:p w14:paraId="27946ECD" w14:textId="3A6ED3E9" w:rsidR="00BB753B" w:rsidRPr="00662F01" w:rsidRDefault="00BB753B">
      <w:pPr>
        <w:rPr>
          <w:sz w:val="24"/>
          <w:szCs w:val="24"/>
        </w:rPr>
      </w:pPr>
      <w:r w:rsidRPr="00662F01">
        <w:rPr>
          <w:sz w:val="24"/>
          <w:szCs w:val="24"/>
        </w:rPr>
        <w:t>Ratio analysis</w:t>
      </w:r>
      <w:r w:rsidR="00662F01" w:rsidRPr="00662F01">
        <w:rPr>
          <w:sz w:val="24"/>
          <w:szCs w:val="24"/>
        </w:rPr>
        <w:tab/>
      </w:r>
      <w:r w:rsidR="00662F01" w:rsidRPr="00662F01">
        <w:rPr>
          <w:sz w:val="24"/>
          <w:szCs w:val="24"/>
        </w:rPr>
        <w:tab/>
      </w:r>
      <w:r w:rsidR="00662F01" w:rsidRPr="00662F01">
        <w:rPr>
          <w:sz w:val="24"/>
          <w:szCs w:val="24"/>
        </w:rPr>
        <w:tab/>
      </w:r>
      <w:r w:rsidR="00662F01" w:rsidRPr="00662F01">
        <w:rPr>
          <w:sz w:val="24"/>
          <w:szCs w:val="24"/>
        </w:rPr>
        <w:tab/>
      </w:r>
      <w:r w:rsidR="00662F01">
        <w:rPr>
          <w:sz w:val="24"/>
          <w:szCs w:val="24"/>
        </w:rPr>
        <w:tab/>
      </w:r>
      <w:r w:rsidR="00662F01" w:rsidRPr="00662F01">
        <w:rPr>
          <w:sz w:val="24"/>
          <w:szCs w:val="24"/>
        </w:rPr>
        <w:t>6</w:t>
      </w:r>
    </w:p>
    <w:p w14:paraId="660BA32A" w14:textId="48C453F5" w:rsidR="00BB753B" w:rsidRPr="00662F01" w:rsidRDefault="00BB753B">
      <w:pPr>
        <w:rPr>
          <w:sz w:val="24"/>
          <w:szCs w:val="24"/>
        </w:rPr>
      </w:pPr>
      <w:r w:rsidRPr="00662F01">
        <w:rPr>
          <w:sz w:val="24"/>
          <w:szCs w:val="24"/>
        </w:rPr>
        <w:t xml:space="preserve">Summary of findings </w:t>
      </w:r>
      <w:r w:rsidR="00662F01" w:rsidRPr="00662F01">
        <w:rPr>
          <w:sz w:val="24"/>
          <w:szCs w:val="24"/>
        </w:rPr>
        <w:tab/>
      </w:r>
      <w:r w:rsidR="00662F01" w:rsidRPr="00662F01">
        <w:rPr>
          <w:sz w:val="24"/>
          <w:szCs w:val="24"/>
        </w:rPr>
        <w:tab/>
      </w:r>
      <w:r w:rsidR="00662F01" w:rsidRPr="00662F01">
        <w:rPr>
          <w:sz w:val="24"/>
          <w:szCs w:val="24"/>
        </w:rPr>
        <w:tab/>
      </w:r>
      <w:r w:rsidR="00662F01">
        <w:rPr>
          <w:sz w:val="24"/>
          <w:szCs w:val="24"/>
        </w:rPr>
        <w:tab/>
      </w:r>
      <w:r w:rsidR="00662F01" w:rsidRPr="00662F01">
        <w:rPr>
          <w:sz w:val="24"/>
          <w:szCs w:val="24"/>
        </w:rPr>
        <w:t>7</w:t>
      </w:r>
    </w:p>
    <w:p w14:paraId="327E6D40" w14:textId="2ED5AE54" w:rsidR="00BB753B" w:rsidRPr="00662F01" w:rsidRDefault="00BB753B">
      <w:pPr>
        <w:rPr>
          <w:sz w:val="24"/>
          <w:szCs w:val="24"/>
        </w:rPr>
      </w:pPr>
      <w:r w:rsidRPr="00662F01">
        <w:rPr>
          <w:sz w:val="24"/>
          <w:szCs w:val="24"/>
        </w:rPr>
        <w:t xml:space="preserve">Conclusion </w:t>
      </w:r>
      <w:r w:rsidR="00662F01" w:rsidRPr="00662F01">
        <w:rPr>
          <w:sz w:val="24"/>
          <w:szCs w:val="24"/>
        </w:rPr>
        <w:tab/>
      </w:r>
      <w:r w:rsidR="00662F01" w:rsidRPr="00662F01">
        <w:rPr>
          <w:sz w:val="24"/>
          <w:szCs w:val="24"/>
        </w:rPr>
        <w:tab/>
      </w:r>
      <w:r w:rsidR="00662F01" w:rsidRPr="00662F01">
        <w:rPr>
          <w:sz w:val="24"/>
          <w:szCs w:val="24"/>
        </w:rPr>
        <w:tab/>
      </w:r>
      <w:r w:rsidR="00662F01" w:rsidRPr="00662F01">
        <w:rPr>
          <w:sz w:val="24"/>
          <w:szCs w:val="24"/>
        </w:rPr>
        <w:tab/>
      </w:r>
      <w:r w:rsidR="00662F01">
        <w:rPr>
          <w:sz w:val="24"/>
          <w:szCs w:val="24"/>
        </w:rPr>
        <w:tab/>
      </w:r>
      <w:r w:rsidR="00662F01" w:rsidRPr="00662F01">
        <w:rPr>
          <w:sz w:val="24"/>
          <w:szCs w:val="24"/>
        </w:rPr>
        <w:t>9</w:t>
      </w:r>
    </w:p>
    <w:p w14:paraId="588623EE" w14:textId="568D9B90" w:rsidR="00BB753B" w:rsidRPr="00662F01" w:rsidRDefault="00662F01">
      <w:pPr>
        <w:rPr>
          <w:sz w:val="24"/>
          <w:szCs w:val="24"/>
        </w:rPr>
      </w:pPr>
      <w:r w:rsidRPr="00662F01">
        <w:rPr>
          <w:sz w:val="24"/>
          <w:szCs w:val="24"/>
        </w:rPr>
        <w:t xml:space="preserve">Recommendation </w:t>
      </w:r>
      <w:r w:rsidRPr="00662F01">
        <w:rPr>
          <w:sz w:val="24"/>
          <w:szCs w:val="24"/>
        </w:rPr>
        <w:tab/>
      </w:r>
      <w:r w:rsidRPr="00662F01">
        <w:rPr>
          <w:sz w:val="24"/>
          <w:szCs w:val="24"/>
        </w:rPr>
        <w:tab/>
      </w:r>
      <w:r w:rsidRPr="00662F01">
        <w:rPr>
          <w:sz w:val="24"/>
          <w:szCs w:val="24"/>
        </w:rPr>
        <w:tab/>
      </w:r>
      <w:r>
        <w:rPr>
          <w:sz w:val="24"/>
          <w:szCs w:val="24"/>
        </w:rPr>
        <w:tab/>
      </w:r>
      <w:r w:rsidRPr="00662F01">
        <w:rPr>
          <w:sz w:val="24"/>
          <w:szCs w:val="24"/>
        </w:rPr>
        <w:t>9</w:t>
      </w:r>
    </w:p>
    <w:p w14:paraId="59EDF74D" w14:textId="1DD9D113" w:rsidR="00BB753B" w:rsidRPr="00662F01" w:rsidRDefault="00BB753B">
      <w:pPr>
        <w:rPr>
          <w:sz w:val="24"/>
          <w:szCs w:val="24"/>
        </w:rPr>
      </w:pPr>
      <w:r w:rsidRPr="00662F01">
        <w:rPr>
          <w:sz w:val="24"/>
          <w:szCs w:val="24"/>
        </w:rPr>
        <w:t>References</w:t>
      </w:r>
      <w:r w:rsidR="00662F01" w:rsidRPr="00662F01">
        <w:rPr>
          <w:sz w:val="24"/>
          <w:szCs w:val="24"/>
        </w:rPr>
        <w:tab/>
      </w:r>
      <w:r w:rsidR="00662F01" w:rsidRPr="00662F01">
        <w:rPr>
          <w:sz w:val="24"/>
          <w:szCs w:val="24"/>
        </w:rPr>
        <w:tab/>
      </w:r>
      <w:r w:rsidR="00662F01" w:rsidRPr="00662F01">
        <w:rPr>
          <w:sz w:val="24"/>
          <w:szCs w:val="24"/>
        </w:rPr>
        <w:tab/>
      </w:r>
      <w:r w:rsidR="00662F01" w:rsidRPr="00662F01">
        <w:rPr>
          <w:sz w:val="24"/>
          <w:szCs w:val="24"/>
        </w:rPr>
        <w:tab/>
      </w:r>
      <w:r w:rsidR="00662F01">
        <w:rPr>
          <w:sz w:val="24"/>
          <w:szCs w:val="24"/>
        </w:rPr>
        <w:tab/>
      </w:r>
      <w:r w:rsidR="00662F01" w:rsidRPr="00662F01">
        <w:rPr>
          <w:sz w:val="24"/>
          <w:szCs w:val="24"/>
        </w:rPr>
        <w:t>1</w:t>
      </w:r>
      <w:r w:rsidR="006E22EF">
        <w:rPr>
          <w:sz w:val="24"/>
          <w:szCs w:val="24"/>
        </w:rPr>
        <w:t>1</w:t>
      </w:r>
    </w:p>
    <w:p w14:paraId="0B9B0DF0" w14:textId="257B1663" w:rsidR="00BB753B" w:rsidRPr="00662F01" w:rsidRDefault="00BB753B">
      <w:pPr>
        <w:rPr>
          <w:sz w:val="24"/>
          <w:szCs w:val="24"/>
        </w:rPr>
      </w:pPr>
      <w:r w:rsidRPr="00662F01">
        <w:rPr>
          <w:sz w:val="36"/>
          <w:szCs w:val="36"/>
        </w:rPr>
        <w:t xml:space="preserve">Appendix </w:t>
      </w:r>
      <w:r w:rsidR="00662F01" w:rsidRPr="00662F01">
        <w:rPr>
          <w:sz w:val="24"/>
          <w:szCs w:val="24"/>
        </w:rPr>
        <w:tab/>
      </w:r>
      <w:r w:rsidR="00662F01" w:rsidRPr="00662F01">
        <w:rPr>
          <w:sz w:val="24"/>
          <w:szCs w:val="24"/>
        </w:rPr>
        <w:tab/>
      </w:r>
      <w:r w:rsidR="00662F01" w:rsidRPr="00662F01">
        <w:rPr>
          <w:sz w:val="24"/>
          <w:szCs w:val="24"/>
        </w:rPr>
        <w:tab/>
      </w:r>
      <w:r w:rsidR="00662F01" w:rsidRPr="00662F01">
        <w:rPr>
          <w:sz w:val="24"/>
          <w:szCs w:val="24"/>
        </w:rPr>
        <w:tab/>
        <w:t>14</w:t>
      </w:r>
    </w:p>
    <w:p w14:paraId="781BCC80" w14:textId="3193A305" w:rsidR="00662F01" w:rsidRPr="006E22EF" w:rsidRDefault="00662F01">
      <w:pPr>
        <w:rPr>
          <w:sz w:val="24"/>
          <w:szCs w:val="24"/>
        </w:rPr>
      </w:pPr>
      <w:r w:rsidRPr="006E22EF">
        <w:rPr>
          <w:sz w:val="24"/>
          <w:szCs w:val="24"/>
        </w:rPr>
        <w:t>Modelling figures</w:t>
      </w:r>
      <w:r w:rsidRPr="006E22EF">
        <w:rPr>
          <w:sz w:val="24"/>
          <w:szCs w:val="24"/>
        </w:rPr>
        <w:tab/>
      </w:r>
      <w:r w:rsidRPr="006E22EF">
        <w:rPr>
          <w:sz w:val="24"/>
          <w:szCs w:val="24"/>
        </w:rPr>
        <w:tab/>
      </w:r>
      <w:r w:rsidRPr="006E22EF">
        <w:rPr>
          <w:sz w:val="24"/>
          <w:szCs w:val="24"/>
        </w:rPr>
        <w:tab/>
      </w:r>
      <w:r w:rsidRPr="006E22EF">
        <w:rPr>
          <w:sz w:val="24"/>
          <w:szCs w:val="24"/>
        </w:rPr>
        <w:tab/>
        <w:t>14</w:t>
      </w:r>
    </w:p>
    <w:p w14:paraId="34824FCA" w14:textId="7DEEF282" w:rsidR="006E22EF" w:rsidRPr="006E22EF" w:rsidRDefault="006E22EF">
      <w:pPr>
        <w:rPr>
          <w:sz w:val="24"/>
          <w:szCs w:val="24"/>
        </w:rPr>
      </w:pPr>
      <w:r w:rsidRPr="006E22EF">
        <w:rPr>
          <w:sz w:val="24"/>
          <w:szCs w:val="24"/>
        </w:rPr>
        <w:t>Ratio equations</w:t>
      </w:r>
      <w:r w:rsidRPr="006E22EF">
        <w:rPr>
          <w:sz w:val="24"/>
          <w:szCs w:val="24"/>
        </w:rPr>
        <w:tab/>
      </w:r>
      <w:r w:rsidRPr="006E22EF">
        <w:rPr>
          <w:sz w:val="24"/>
          <w:szCs w:val="24"/>
        </w:rPr>
        <w:tab/>
      </w:r>
      <w:r w:rsidRPr="006E22EF">
        <w:rPr>
          <w:sz w:val="24"/>
          <w:szCs w:val="24"/>
        </w:rPr>
        <w:tab/>
      </w:r>
      <w:r w:rsidRPr="006E22EF">
        <w:rPr>
          <w:sz w:val="24"/>
          <w:szCs w:val="24"/>
        </w:rPr>
        <w:tab/>
        <w:t>15</w:t>
      </w:r>
    </w:p>
    <w:p w14:paraId="3C6FDFFC" w14:textId="0D8805D3" w:rsidR="006E22EF" w:rsidRPr="006E22EF" w:rsidRDefault="006E22EF">
      <w:pPr>
        <w:rPr>
          <w:sz w:val="24"/>
          <w:szCs w:val="24"/>
        </w:rPr>
      </w:pPr>
      <w:r w:rsidRPr="006E22EF">
        <w:rPr>
          <w:sz w:val="24"/>
          <w:szCs w:val="24"/>
        </w:rPr>
        <w:t>Statements year 2019-2020</w:t>
      </w:r>
      <w:r w:rsidRPr="006E22EF">
        <w:rPr>
          <w:sz w:val="24"/>
          <w:szCs w:val="24"/>
        </w:rPr>
        <w:tab/>
      </w:r>
      <w:r w:rsidRPr="006E22EF">
        <w:rPr>
          <w:sz w:val="24"/>
          <w:szCs w:val="24"/>
        </w:rPr>
        <w:tab/>
      </w:r>
      <w:r w:rsidRPr="006E22EF">
        <w:rPr>
          <w:sz w:val="24"/>
          <w:szCs w:val="24"/>
        </w:rPr>
        <w:tab/>
        <w:t>16</w:t>
      </w:r>
    </w:p>
    <w:p w14:paraId="3177AB6E" w14:textId="5425228C" w:rsidR="002603F8" w:rsidRDefault="006E22EF">
      <w:r w:rsidRPr="006E22EF">
        <w:rPr>
          <w:sz w:val="24"/>
          <w:szCs w:val="24"/>
        </w:rPr>
        <w:t>Statements year 2020-2021</w:t>
      </w:r>
      <w:r w:rsidR="00662F01" w:rsidRPr="006E22EF">
        <w:rPr>
          <w:sz w:val="24"/>
          <w:szCs w:val="24"/>
        </w:rPr>
        <w:tab/>
      </w:r>
      <w:r w:rsidRPr="006E22EF">
        <w:rPr>
          <w:sz w:val="24"/>
          <w:szCs w:val="24"/>
        </w:rPr>
        <w:tab/>
      </w:r>
      <w:r w:rsidRPr="006E22EF">
        <w:rPr>
          <w:sz w:val="24"/>
          <w:szCs w:val="24"/>
        </w:rPr>
        <w:tab/>
        <w:t>20</w:t>
      </w:r>
      <w:r w:rsidR="002603F8">
        <w:br w:type="page"/>
      </w:r>
    </w:p>
    <w:p w14:paraId="05731330" w14:textId="77777777" w:rsidR="001B4D81" w:rsidRPr="001B4D81" w:rsidRDefault="001B4D81" w:rsidP="001B4D81">
      <w:pPr>
        <w:pStyle w:val="Default"/>
        <w:rPr>
          <w:rFonts w:asciiTheme="minorHAnsi" w:hAnsiTheme="minorHAnsi" w:cstheme="minorHAnsi"/>
          <w:b/>
          <w:bCs/>
          <w:color w:val="auto"/>
          <w:sz w:val="32"/>
          <w:szCs w:val="32"/>
        </w:rPr>
      </w:pPr>
      <w:r w:rsidRPr="001B4D81">
        <w:rPr>
          <w:rFonts w:asciiTheme="minorHAnsi" w:hAnsiTheme="minorHAnsi" w:cstheme="minorHAnsi"/>
          <w:b/>
          <w:bCs/>
          <w:color w:val="auto"/>
          <w:sz w:val="32"/>
          <w:szCs w:val="32"/>
        </w:rPr>
        <w:lastRenderedPageBreak/>
        <w:t xml:space="preserve">Executive Summary </w:t>
      </w:r>
    </w:p>
    <w:p w14:paraId="0FD36291" w14:textId="0514524D" w:rsidR="00E948BB" w:rsidRPr="001F4F7F" w:rsidRDefault="00E948BB">
      <w:pPr>
        <w:rPr>
          <w:sz w:val="24"/>
          <w:szCs w:val="24"/>
        </w:rPr>
      </w:pPr>
    </w:p>
    <w:p w14:paraId="2C4B1572" w14:textId="3291EE96" w:rsidR="0061169F" w:rsidRPr="001F4F7F" w:rsidRDefault="0061169F">
      <w:pPr>
        <w:rPr>
          <w:sz w:val="24"/>
          <w:szCs w:val="24"/>
        </w:rPr>
      </w:pPr>
      <w:r w:rsidRPr="001F4F7F">
        <w:rPr>
          <w:sz w:val="24"/>
          <w:szCs w:val="24"/>
        </w:rPr>
        <w:t xml:space="preserve">This is a report written using financial figures from McLaren from years 2019-2021 to analysis their suitability for a joint venture. Financial Ratios were applied and evaluated, coupled with external data sources of the current </w:t>
      </w:r>
      <w:r w:rsidR="008B57A9" w:rsidRPr="001F4F7F">
        <w:rPr>
          <w:sz w:val="24"/>
          <w:szCs w:val="24"/>
        </w:rPr>
        <w:t xml:space="preserve">manufacturing </w:t>
      </w:r>
      <w:r w:rsidR="001F4F7F">
        <w:rPr>
          <w:sz w:val="24"/>
          <w:szCs w:val="24"/>
        </w:rPr>
        <w:t xml:space="preserve">landscape incorporating </w:t>
      </w:r>
      <w:r w:rsidR="008B57A9" w:rsidRPr="001F4F7F">
        <w:rPr>
          <w:sz w:val="24"/>
          <w:szCs w:val="24"/>
        </w:rPr>
        <w:t xml:space="preserve">problems, such as the microchip shortage, covid-19 and McLaren’s restructuring of their business. </w:t>
      </w:r>
      <w:r w:rsidR="001F4F7F">
        <w:rPr>
          <w:sz w:val="24"/>
          <w:szCs w:val="24"/>
        </w:rPr>
        <w:t>This report c</w:t>
      </w:r>
      <w:r w:rsidRPr="001F4F7F">
        <w:rPr>
          <w:sz w:val="24"/>
          <w:szCs w:val="24"/>
        </w:rPr>
        <w:t>onclud</w:t>
      </w:r>
      <w:r w:rsidR="001F4F7F">
        <w:rPr>
          <w:sz w:val="24"/>
          <w:szCs w:val="24"/>
        </w:rPr>
        <w:t>es</w:t>
      </w:r>
      <w:r w:rsidRPr="001F4F7F">
        <w:rPr>
          <w:sz w:val="24"/>
          <w:szCs w:val="24"/>
        </w:rPr>
        <w:t xml:space="preserve"> McLaren are currently not suitable and would be deemed </w:t>
      </w:r>
      <w:r w:rsidR="008B57A9" w:rsidRPr="001F4F7F">
        <w:rPr>
          <w:sz w:val="24"/>
          <w:szCs w:val="24"/>
        </w:rPr>
        <w:t>currently a</w:t>
      </w:r>
      <w:r w:rsidR="000335E0">
        <w:rPr>
          <w:sz w:val="24"/>
          <w:szCs w:val="24"/>
        </w:rPr>
        <w:t>s a</w:t>
      </w:r>
      <w:r w:rsidRPr="001F4F7F">
        <w:rPr>
          <w:sz w:val="24"/>
          <w:szCs w:val="24"/>
        </w:rPr>
        <w:t xml:space="preserve"> risky venture at this time.</w:t>
      </w:r>
      <w:r w:rsidR="008B57A9" w:rsidRPr="001F4F7F">
        <w:rPr>
          <w:sz w:val="24"/>
          <w:szCs w:val="24"/>
        </w:rPr>
        <w:t xml:space="preserve"> Recommendations are located on the final page of this report.</w:t>
      </w:r>
    </w:p>
    <w:p w14:paraId="0F54CD56" w14:textId="47F3394D" w:rsidR="002603F8" w:rsidRPr="001B4D81" w:rsidRDefault="002603F8" w:rsidP="00E948BB">
      <w:pPr>
        <w:rPr>
          <w:rFonts w:cstheme="minorHAnsi"/>
          <w:b/>
          <w:bCs/>
          <w:sz w:val="36"/>
          <w:szCs w:val="36"/>
        </w:rPr>
      </w:pPr>
      <w:r w:rsidRPr="001B4D81">
        <w:rPr>
          <w:rFonts w:cstheme="minorHAnsi"/>
          <w:b/>
          <w:bCs/>
          <w:sz w:val="36"/>
          <w:szCs w:val="36"/>
        </w:rPr>
        <w:t>Introduction</w:t>
      </w:r>
    </w:p>
    <w:p w14:paraId="5B0430B7" w14:textId="44F137E0" w:rsidR="002603F8" w:rsidRDefault="001C6AF2" w:rsidP="00E948BB">
      <w:pPr>
        <w:rPr>
          <w:rFonts w:cstheme="minorHAnsi"/>
          <w:sz w:val="24"/>
          <w:szCs w:val="24"/>
        </w:rPr>
      </w:pPr>
      <w:r>
        <w:rPr>
          <w:rFonts w:cstheme="minorHAnsi"/>
          <w:sz w:val="24"/>
          <w:szCs w:val="24"/>
        </w:rPr>
        <w:t>This report will assess and evaluate the use of financial ratios using McLaren as a case study for their suitability for a joint venture. It will assess their financial health by examining their recent financial statements from recent years</w:t>
      </w:r>
      <w:r w:rsidR="00F33C47">
        <w:rPr>
          <w:rFonts w:cstheme="minorHAnsi"/>
          <w:sz w:val="24"/>
          <w:szCs w:val="24"/>
        </w:rPr>
        <w:t xml:space="preserve"> </w:t>
      </w:r>
      <w:r w:rsidR="000335E0">
        <w:rPr>
          <w:rFonts w:cstheme="minorHAnsi"/>
          <w:sz w:val="24"/>
          <w:szCs w:val="24"/>
        </w:rPr>
        <w:t xml:space="preserve">for the period </w:t>
      </w:r>
      <w:r w:rsidR="00F33C47">
        <w:rPr>
          <w:rFonts w:cstheme="minorHAnsi"/>
          <w:sz w:val="24"/>
          <w:szCs w:val="24"/>
        </w:rPr>
        <w:t>2019-2021</w:t>
      </w:r>
      <w:r>
        <w:rPr>
          <w:rFonts w:cstheme="minorHAnsi"/>
          <w:sz w:val="24"/>
          <w:szCs w:val="24"/>
        </w:rPr>
        <w:t>.</w:t>
      </w:r>
    </w:p>
    <w:p w14:paraId="285E0290" w14:textId="6E02B312" w:rsidR="00E948BB" w:rsidRPr="00971B87" w:rsidRDefault="00E948BB" w:rsidP="00E948BB">
      <w:pPr>
        <w:rPr>
          <w:rFonts w:cstheme="minorHAnsi"/>
          <w:sz w:val="24"/>
          <w:szCs w:val="24"/>
        </w:rPr>
      </w:pPr>
      <w:r w:rsidRPr="00971B87">
        <w:rPr>
          <w:rFonts w:cstheme="minorHAnsi"/>
          <w:sz w:val="24"/>
          <w:szCs w:val="24"/>
        </w:rPr>
        <w:t>McLaren was founded by New Zealander Bruce McLaren in 1963 as a racing company. Built on the back of expertise in racing</w:t>
      </w:r>
      <w:r w:rsidR="00BC5C87">
        <w:rPr>
          <w:rFonts w:cstheme="minorHAnsi"/>
          <w:sz w:val="24"/>
          <w:szCs w:val="24"/>
        </w:rPr>
        <w:t>,</w:t>
      </w:r>
      <w:r w:rsidRPr="00971B87">
        <w:rPr>
          <w:rFonts w:cstheme="minorHAnsi"/>
          <w:sz w:val="24"/>
          <w:szCs w:val="24"/>
        </w:rPr>
        <w:t xml:space="preserve"> the company diversified into the sports car business, manufacturing and supplying high performance cars. Part of the McLaren group is an advanced technology business that specialises in research, development and innovation for the automotive industry called McLaren applied</w:t>
      </w:r>
      <w:r>
        <w:rPr>
          <w:rFonts w:cstheme="minorHAnsi"/>
          <w:sz w:val="24"/>
          <w:szCs w:val="24"/>
        </w:rPr>
        <w:t xml:space="preserve"> </w:t>
      </w:r>
      <w:r w:rsidRPr="00971B87">
        <w:rPr>
          <w:rFonts w:cstheme="minorHAnsi"/>
          <w:sz w:val="24"/>
          <w:szCs w:val="24"/>
          <w:shd w:val="clear" w:color="auto" w:fill="FFFFFF"/>
        </w:rPr>
        <w:t>(Mclaren.com, 2018)</w:t>
      </w:r>
      <w:r w:rsidRPr="00971B87">
        <w:rPr>
          <w:rFonts w:cstheme="minorHAnsi"/>
          <w:sz w:val="24"/>
          <w:szCs w:val="24"/>
        </w:rPr>
        <w:t xml:space="preserve">. </w:t>
      </w:r>
    </w:p>
    <w:p w14:paraId="01332314" w14:textId="77777777" w:rsidR="001C6AF2" w:rsidRPr="001C6AF2" w:rsidRDefault="001C6AF2" w:rsidP="001C6AF2">
      <w:pPr>
        <w:rPr>
          <w:rFonts w:cstheme="minorHAnsi"/>
          <w:b/>
          <w:bCs/>
          <w:spacing w:val="1"/>
          <w:sz w:val="28"/>
          <w:szCs w:val="28"/>
          <w:shd w:val="clear" w:color="auto" w:fill="FFFFFF"/>
        </w:rPr>
      </w:pPr>
      <w:r w:rsidRPr="001C6AF2">
        <w:rPr>
          <w:rFonts w:cstheme="minorHAnsi"/>
          <w:b/>
          <w:bCs/>
          <w:spacing w:val="1"/>
          <w:sz w:val="28"/>
          <w:szCs w:val="28"/>
          <w:shd w:val="clear" w:color="auto" w:fill="FFFFFF"/>
        </w:rPr>
        <w:t>Why use ratios?</w:t>
      </w:r>
    </w:p>
    <w:p w14:paraId="11804422" w14:textId="41386E18" w:rsidR="001C6AF2" w:rsidRPr="00384FF5" w:rsidRDefault="001C6AF2" w:rsidP="001C6AF2">
      <w:pPr>
        <w:rPr>
          <w:rFonts w:cstheme="minorHAnsi"/>
          <w:sz w:val="24"/>
          <w:szCs w:val="24"/>
        </w:rPr>
      </w:pPr>
      <w:r w:rsidRPr="00384FF5">
        <w:rPr>
          <w:rFonts w:cstheme="minorHAnsi"/>
          <w:spacing w:val="1"/>
          <w:sz w:val="24"/>
          <w:szCs w:val="24"/>
          <w:shd w:val="clear" w:color="auto" w:fill="FFFFFF"/>
        </w:rPr>
        <w:t>By using ratios for analysis, it is possible to obtain the financial health of a company. Evaluating current and past statements can give an insight in to how the company is performing</w:t>
      </w:r>
      <w:r w:rsidR="000335E0">
        <w:rPr>
          <w:rFonts w:cstheme="minorHAnsi"/>
          <w:spacing w:val="1"/>
          <w:sz w:val="24"/>
          <w:szCs w:val="24"/>
          <w:shd w:val="clear" w:color="auto" w:fill="FFFFFF"/>
        </w:rPr>
        <w:t>,</w:t>
      </w:r>
      <w:r w:rsidRPr="00384FF5">
        <w:rPr>
          <w:rFonts w:cstheme="minorHAnsi"/>
          <w:spacing w:val="1"/>
          <w:sz w:val="24"/>
          <w:szCs w:val="24"/>
          <w:shd w:val="clear" w:color="auto" w:fill="FFFFFF"/>
        </w:rPr>
        <w:t xml:space="preserve"> which can be quantified into comparative data to be used for future predictions </w:t>
      </w:r>
      <w:r w:rsidR="000335E0">
        <w:rPr>
          <w:rFonts w:cstheme="minorHAnsi"/>
          <w:spacing w:val="1"/>
          <w:sz w:val="24"/>
          <w:szCs w:val="24"/>
          <w:shd w:val="clear" w:color="auto" w:fill="FFFFFF"/>
        </w:rPr>
        <w:t>for</w:t>
      </w:r>
      <w:r w:rsidRPr="00384FF5">
        <w:rPr>
          <w:rFonts w:cstheme="minorHAnsi"/>
          <w:spacing w:val="1"/>
          <w:sz w:val="24"/>
          <w:szCs w:val="24"/>
          <w:shd w:val="clear" w:color="auto" w:fill="FFFFFF"/>
        </w:rPr>
        <w:t xml:space="preserve"> how the company is comparing to their competitors and industr</w:t>
      </w:r>
      <w:r w:rsidR="00F33C47">
        <w:rPr>
          <w:rFonts w:cstheme="minorHAnsi"/>
          <w:spacing w:val="1"/>
          <w:sz w:val="24"/>
          <w:szCs w:val="24"/>
          <w:shd w:val="clear" w:color="auto" w:fill="FFFFFF"/>
        </w:rPr>
        <w:t>y</w:t>
      </w:r>
      <w:r w:rsidRPr="00384FF5">
        <w:rPr>
          <w:rFonts w:cstheme="minorHAnsi"/>
          <w:spacing w:val="1"/>
          <w:sz w:val="24"/>
          <w:szCs w:val="24"/>
          <w:shd w:val="clear" w:color="auto" w:fill="FFFFFF"/>
        </w:rPr>
        <w:t xml:space="preserve"> averages</w:t>
      </w:r>
      <w:r w:rsidRPr="00384FF5">
        <w:rPr>
          <w:rFonts w:cstheme="minorHAnsi"/>
          <w:sz w:val="24"/>
          <w:szCs w:val="24"/>
          <w:shd w:val="clear" w:color="auto" w:fill="FFFFFF"/>
        </w:rPr>
        <w:t xml:space="preserve"> (</w:t>
      </w:r>
      <w:proofErr w:type="spellStart"/>
      <w:r w:rsidRPr="00384FF5">
        <w:rPr>
          <w:rFonts w:cstheme="minorHAnsi"/>
          <w:sz w:val="24"/>
          <w:szCs w:val="24"/>
          <w:shd w:val="clear" w:color="auto" w:fill="FFFFFF"/>
        </w:rPr>
        <w:t>Bloomenthal</w:t>
      </w:r>
      <w:proofErr w:type="spellEnd"/>
      <w:r w:rsidRPr="00384FF5">
        <w:rPr>
          <w:rFonts w:cstheme="minorHAnsi"/>
          <w:sz w:val="24"/>
          <w:szCs w:val="24"/>
          <w:shd w:val="clear" w:color="auto" w:fill="FFFFFF"/>
        </w:rPr>
        <w:t>, 2021)</w:t>
      </w:r>
      <w:r w:rsidRPr="00384FF5">
        <w:rPr>
          <w:rFonts w:cstheme="minorHAnsi"/>
          <w:spacing w:val="1"/>
          <w:sz w:val="24"/>
          <w:szCs w:val="24"/>
          <w:shd w:val="clear" w:color="auto" w:fill="FFFFFF"/>
        </w:rPr>
        <w:t>.</w:t>
      </w:r>
      <w:r w:rsidR="00844B1B">
        <w:rPr>
          <w:rFonts w:cstheme="minorHAnsi"/>
          <w:spacing w:val="1"/>
          <w:sz w:val="24"/>
          <w:szCs w:val="24"/>
          <w:shd w:val="clear" w:color="auto" w:fill="FFFFFF"/>
        </w:rPr>
        <w:t xml:space="preserve"> In order to use these </w:t>
      </w:r>
      <w:r w:rsidR="00B121CC">
        <w:rPr>
          <w:rFonts w:cstheme="minorHAnsi"/>
          <w:spacing w:val="1"/>
          <w:sz w:val="24"/>
          <w:szCs w:val="24"/>
          <w:shd w:val="clear" w:color="auto" w:fill="FFFFFF"/>
        </w:rPr>
        <w:t>ratios,</w:t>
      </w:r>
      <w:r w:rsidR="00844B1B">
        <w:rPr>
          <w:rFonts w:cstheme="minorHAnsi"/>
          <w:spacing w:val="1"/>
          <w:sz w:val="24"/>
          <w:szCs w:val="24"/>
          <w:shd w:val="clear" w:color="auto" w:fill="FFFFFF"/>
        </w:rPr>
        <w:t xml:space="preserve"> you need to collect information which can be found in a company’s financial statements.</w:t>
      </w:r>
    </w:p>
    <w:p w14:paraId="181A751F" w14:textId="7194036F" w:rsidR="00E948BB" w:rsidRDefault="00E948BB"/>
    <w:p w14:paraId="2CFED34B" w14:textId="0C9A0E5D" w:rsidR="001C6AF2" w:rsidRPr="00662F01" w:rsidRDefault="001C6AF2">
      <w:pPr>
        <w:rPr>
          <w:b/>
          <w:bCs/>
          <w:sz w:val="28"/>
          <w:szCs w:val="28"/>
        </w:rPr>
      </w:pPr>
      <w:r w:rsidRPr="00662F01">
        <w:rPr>
          <w:b/>
          <w:bCs/>
          <w:sz w:val="28"/>
          <w:szCs w:val="28"/>
        </w:rPr>
        <w:t>F</w:t>
      </w:r>
      <w:r w:rsidR="00662F01">
        <w:rPr>
          <w:b/>
          <w:bCs/>
          <w:sz w:val="28"/>
          <w:szCs w:val="28"/>
        </w:rPr>
        <w:t>inancial</w:t>
      </w:r>
      <w:r w:rsidRPr="00662F01">
        <w:rPr>
          <w:b/>
          <w:bCs/>
          <w:sz w:val="28"/>
          <w:szCs w:val="28"/>
        </w:rPr>
        <w:t xml:space="preserve"> statements </w:t>
      </w:r>
    </w:p>
    <w:p w14:paraId="56C17870" w14:textId="0E6F9070" w:rsidR="00BC5C87" w:rsidRDefault="00831E5C" w:rsidP="00BC5C87">
      <w:pPr>
        <w:rPr>
          <w:sz w:val="24"/>
          <w:szCs w:val="24"/>
        </w:rPr>
      </w:pPr>
      <w:r w:rsidRPr="00BC5C87">
        <w:rPr>
          <w:sz w:val="24"/>
          <w:szCs w:val="24"/>
        </w:rPr>
        <w:t xml:space="preserve">This report will analysis key statements from </w:t>
      </w:r>
      <w:r w:rsidR="00BC5C87" w:rsidRPr="00BC5C87">
        <w:rPr>
          <w:sz w:val="24"/>
          <w:szCs w:val="24"/>
        </w:rPr>
        <w:t>McLaren</w:t>
      </w:r>
      <w:r w:rsidR="000335E0">
        <w:rPr>
          <w:sz w:val="24"/>
          <w:szCs w:val="24"/>
        </w:rPr>
        <w:t xml:space="preserve">, these can be found in (appendix </w:t>
      </w:r>
      <w:r w:rsidR="004B59A2">
        <w:rPr>
          <w:sz w:val="24"/>
          <w:szCs w:val="24"/>
        </w:rPr>
        <w:t xml:space="preserve">3 </w:t>
      </w:r>
      <w:r w:rsidR="000335E0">
        <w:rPr>
          <w:sz w:val="24"/>
          <w:szCs w:val="24"/>
        </w:rPr>
        <w:t xml:space="preserve">and </w:t>
      </w:r>
      <w:r w:rsidR="004B59A2">
        <w:rPr>
          <w:sz w:val="24"/>
          <w:szCs w:val="24"/>
        </w:rPr>
        <w:t>4</w:t>
      </w:r>
      <w:r w:rsidR="000335E0">
        <w:rPr>
          <w:sz w:val="24"/>
          <w:szCs w:val="24"/>
        </w:rPr>
        <w:t>)</w:t>
      </w:r>
      <w:r w:rsidR="00BC5C87" w:rsidRPr="00BC5C87">
        <w:rPr>
          <w:sz w:val="24"/>
          <w:szCs w:val="24"/>
        </w:rPr>
        <w:t>.</w:t>
      </w:r>
      <w:r w:rsidR="00881565" w:rsidRPr="00BC5C87">
        <w:rPr>
          <w:rFonts w:cstheme="minorHAnsi"/>
          <w:sz w:val="24"/>
          <w:szCs w:val="24"/>
        </w:rPr>
        <w:t xml:space="preserve"> </w:t>
      </w:r>
      <w:proofErr w:type="spellStart"/>
      <w:r w:rsidR="00881565" w:rsidRPr="00BC5C87">
        <w:rPr>
          <w:rFonts w:cstheme="minorHAnsi"/>
          <w:sz w:val="24"/>
          <w:szCs w:val="24"/>
          <w:shd w:val="clear" w:color="auto" w:fill="FFFFFF"/>
        </w:rPr>
        <w:t>Atrill</w:t>
      </w:r>
      <w:proofErr w:type="spellEnd"/>
      <w:r w:rsidR="00881565" w:rsidRPr="00BC5C87">
        <w:rPr>
          <w:rFonts w:cstheme="minorHAnsi"/>
          <w:sz w:val="24"/>
          <w:szCs w:val="24"/>
          <w:shd w:val="clear" w:color="auto" w:fill="FFFFFF"/>
        </w:rPr>
        <w:t xml:space="preserve"> and </w:t>
      </w:r>
      <w:proofErr w:type="spellStart"/>
      <w:r w:rsidR="00881565" w:rsidRPr="00BC5C87">
        <w:rPr>
          <w:rFonts w:cstheme="minorHAnsi"/>
          <w:sz w:val="24"/>
          <w:szCs w:val="24"/>
          <w:shd w:val="clear" w:color="auto" w:fill="FFFFFF"/>
        </w:rPr>
        <w:t>Mclaney</w:t>
      </w:r>
      <w:proofErr w:type="spellEnd"/>
      <w:r w:rsidR="00881565" w:rsidRPr="00BC5C87">
        <w:rPr>
          <w:rFonts w:cstheme="minorHAnsi"/>
          <w:sz w:val="24"/>
          <w:szCs w:val="24"/>
          <w:shd w:val="clear" w:color="auto" w:fill="FFFFFF"/>
        </w:rPr>
        <w:t xml:space="preserve">, (2017) discuss </w:t>
      </w:r>
      <w:r w:rsidR="00BC5C87">
        <w:rPr>
          <w:rFonts w:cstheme="minorHAnsi"/>
          <w:sz w:val="24"/>
          <w:szCs w:val="24"/>
          <w:shd w:val="clear" w:color="auto" w:fill="FFFFFF"/>
        </w:rPr>
        <w:t xml:space="preserve">that </w:t>
      </w:r>
      <w:r w:rsidR="00BC5C87" w:rsidRPr="00BC5C87">
        <w:rPr>
          <w:sz w:val="24"/>
          <w:szCs w:val="24"/>
        </w:rPr>
        <w:t>th</w:t>
      </w:r>
      <w:r w:rsidR="00BC5C87">
        <w:rPr>
          <w:sz w:val="24"/>
          <w:szCs w:val="24"/>
        </w:rPr>
        <w:t xml:space="preserve">ese statements can provide the picture of McLarens business performance and financial position. There are three statements that are released on a regular basis, in this case year on year. They can answer important questions of the health of a business such as, how much money was generated, what cash movements happened and the accumulated wealth at the end of the time period and </w:t>
      </w:r>
      <w:r w:rsidR="000335E0">
        <w:rPr>
          <w:sz w:val="24"/>
          <w:szCs w:val="24"/>
        </w:rPr>
        <w:t>show if the</w:t>
      </w:r>
      <w:r w:rsidR="00BC5C87">
        <w:rPr>
          <w:sz w:val="24"/>
          <w:szCs w:val="24"/>
        </w:rPr>
        <w:t xml:space="preserve"> wealth </w:t>
      </w:r>
      <w:r w:rsidR="000335E0">
        <w:rPr>
          <w:sz w:val="24"/>
          <w:szCs w:val="24"/>
        </w:rPr>
        <w:t xml:space="preserve">is </w:t>
      </w:r>
      <w:r w:rsidR="00BC5C87">
        <w:rPr>
          <w:sz w:val="24"/>
          <w:szCs w:val="24"/>
        </w:rPr>
        <w:t>in assets or cash.</w:t>
      </w:r>
    </w:p>
    <w:p w14:paraId="57363847" w14:textId="210A7202" w:rsidR="00BC5C87" w:rsidRPr="00F83264" w:rsidRDefault="00BC5C87" w:rsidP="00BC5C87">
      <w:pPr>
        <w:rPr>
          <w:sz w:val="24"/>
          <w:szCs w:val="24"/>
        </w:rPr>
      </w:pPr>
      <w:r w:rsidRPr="00F83264">
        <w:rPr>
          <w:sz w:val="24"/>
          <w:szCs w:val="24"/>
        </w:rPr>
        <w:t xml:space="preserve">Using three years statements </w:t>
      </w:r>
      <w:r w:rsidR="000335E0">
        <w:rPr>
          <w:sz w:val="24"/>
          <w:szCs w:val="24"/>
        </w:rPr>
        <w:t>can show</w:t>
      </w:r>
      <w:r w:rsidRPr="00F83264">
        <w:rPr>
          <w:sz w:val="24"/>
          <w:szCs w:val="24"/>
        </w:rPr>
        <w:t xml:space="preserve"> trend analysis and provide management with a forecast of future operating activity. Identifying trends will allow explanations of negative and positive changes in the accounts and business operations.</w:t>
      </w:r>
    </w:p>
    <w:p w14:paraId="41ADDE4C" w14:textId="77777777" w:rsidR="00BC5C87" w:rsidRDefault="00BC5C87">
      <w:pPr>
        <w:rPr>
          <w:b/>
          <w:bCs/>
          <w:sz w:val="24"/>
          <w:szCs w:val="24"/>
        </w:rPr>
      </w:pPr>
    </w:p>
    <w:p w14:paraId="3656FDDB" w14:textId="77777777" w:rsidR="00C06DBC" w:rsidRDefault="00C06DBC">
      <w:pPr>
        <w:rPr>
          <w:b/>
          <w:bCs/>
          <w:sz w:val="24"/>
          <w:szCs w:val="24"/>
        </w:rPr>
      </w:pPr>
    </w:p>
    <w:p w14:paraId="04A8129F" w14:textId="6F4E9FD7" w:rsidR="001C6AF2" w:rsidRPr="001C6AF2" w:rsidRDefault="001C6AF2">
      <w:pPr>
        <w:rPr>
          <w:b/>
          <w:bCs/>
          <w:sz w:val="24"/>
          <w:szCs w:val="24"/>
        </w:rPr>
      </w:pPr>
      <w:r w:rsidRPr="001C6AF2">
        <w:rPr>
          <w:b/>
          <w:bCs/>
          <w:sz w:val="24"/>
          <w:szCs w:val="24"/>
        </w:rPr>
        <w:t>Income statement</w:t>
      </w:r>
    </w:p>
    <w:p w14:paraId="6CDCF0C7" w14:textId="25A16166" w:rsidR="001C6AF2" w:rsidRPr="001C6AF2" w:rsidRDefault="001C6AF2" w:rsidP="001C6AF2">
      <w:pPr>
        <w:shd w:val="clear" w:color="auto" w:fill="FFFFFF"/>
        <w:spacing w:after="100" w:afterAutospacing="1" w:line="240" w:lineRule="auto"/>
        <w:rPr>
          <w:rFonts w:eastAsia="Times New Roman" w:cstheme="minorHAnsi"/>
          <w:spacing w:val="1"/>
          <w:sz w:val="24"/>
          <w:szCs w:val="24"/>
          <w:lang w:eastAsia="en-GB"/>
        </w:rPr>
      </w:pPr>
      <w:r w:rsidRPr="00384FF5">
        <w:rPr>
          <w:rFonts w:eastAsia="Times New Roman" w:cstheme="minorHAnsi"/>
          <w:spacing w:val="1"/>
          <w:sz w:val="24"/>
          <w:szCs w:val="24"/>
          <w:lang w:eastAsia="en-GB"/>
        </w:rPr>
        <w:t>The income statement is the first of three important </w:t>
      </w:r>
      <w:hyperlink r:id="rId7" w:history="1">
        <w:r w:rsidRPr="00384FF5">
          <w:rPr>
            <w:rFonts w:eastAsia="Times New Roman" w:cstheme="minorHAnsi"/>
            <w:spacing w:val="1"/>
            <w:sz w:val="24"/>
            <w:szCs w:val="24"/>
            <w:lang w:eastAsia="en-GB"/>
          </w:rPr>
          <w:t>financial statements</w:t>
        </w:r>
      </w:hyperlink>
      <w:r w:rsidRPr="00384FF5">
        <w:rPr>
          <w:rFonts w:eastAsia="Times New Roman" w:cstheme="minorHAnsi"/>
          <w:spacing w:val="1"/>
          <w:sz w:val="24"/>
          <w:szCs w:val="24"/>
          <w:lang w:eastAsia="en-GB"/>
        </w:rPr>
        <w:t> that are used for reporting a business’s </w:t>
      </w:r>
      <w:hyperlink r:id="rId8" w:history="1">
        <w:r w:rsidRPr="00384FF5">
          <w:rPr>
            <w:rFonts w:eastAsia="Times New Roman" w:cstheme="minorHAnsi"/>
            <w:spacing w:val="1"/>
            <w:sz w:val="24"/>
            <w:szCs w:val="24"/>
            <w:lang w:eastAsia="en-GB"/>
          </w:rPr>
          <w:t>financial performance</w:t>
        </w:r>
      </w:hyperlink>
      <w:r w:rsidRPr="00384FF5">
        <w:rPr>
          <w:rFonts w:eastAsia="Times New Roman" w:cstheme="minorHAnsi"/>
          <w:spacing w:val="1"/>
          <w:sz w:val="24"/>
          <w:szCs w:val="24"/>
          <w:lang w:eastAsia="en-GB"/>
        </w:rPr>
        <w:t xml:space="preserve"> over a period of time, another name for this document is the profit and loss statement and it provides data for the businesses revenues and expenses </w:t>
      </w:r>
      <w:r w:rsidRPr="00384FF5">
        <w:rPr>
          <w:rFonts w:cstheme="minorHAnsi"/>
          <w:sz w:val="24"/>
          <w:szCs w:val="24"/>
          <w:shd w:val="clear" w:color="auto" w:fill="FFFFFF"/>
        </w:rPr>
        <w:t>(Chen, 2021)</w:t>
      </w:r>
      <w:r w:rsidRPr="00384FF5">
        <w:rPr>
          <w:rFonts w:eastAsia="Times New Roman" w:cstheme="minorHAnsi"/>
          <w:spacing w:val="1"/>
          <w:sz w:val="24"/>
          <w:szCs w:val="24"/>
          <w:lang w:eastAsia="en-GB"/>
        </w:rPr>
        <w:t>.</w:t>
      </w:r>
      <w:r>
        <w:rPr>
          <w:rFonts w:eastAsia="Times New Roman" w:cstheme="minorHAnsi"/>
          <w:spacing w:val="1"/>
          <w:sz w:val="24"/>
          <w:szCs w:val="24"/>
          <w:lang w:eastAsia="en-GB"/>
        </w:rPr>
        <w:t xml:space="preserve"> </w:t>
      </w:r>
      <w:r w:rsidRPr="001C6AF2">
        <w:rPr>
          <w:sz w:val="24"/>
          <w:szCs w:val="24"/>
        </w:rPr>
        <w:t xml:space="preserve">The key metric from a financial statement </w:t>
      </w:r>
      <w:r>
        <w:rPr>
          <w:sz w:val="24"/>
          <w:szCs w:val="24"/>
        </w:rPr>
        <w:t>for a business is their</w:t>
      </w:r>
      <w:r w:rsidRPr="001C6AF2">
        <w:rPr>
          <w:sz w:val="24"/>
          <w:szCs w:val="24"/>
        </w:rPr>
        <w:t xml:space="preserve"> profitability not cashflow</w:t>
      </w:r>
      <w:r>
        <w:rPr>
          <w:sz w:val="24"/>
          <w:szCs w:val="24"/>
        </w:rPr>
        <w:t>.</w:t>
      </w:r>
    </w:p>
    <w:p w14:paraId="33E3AE26" w14:textId="51EC2F3C" w:rsidR="00FA78EB" w:rsidRPr="001C6AF2" w:rsidRDefault="001C6AF2">
      <w:pPr>
        <w:rPr>
          <w:b/>
          <w:bCs/>
          <w:sz w:val="24"/>
          <w:szCs w:val="24"/>
        </w:rPr>
      </w:pPr>
      <w:r w:rsidRPr="001C6AF2">
        <w:rPr>
          <w:b/>
          <w:bCs/>
          <w:sz w:val="24"/>
          <w:szCs w:val="24"/>
        </w:rPr>
        <w:t>Balance sheet</w:t>
      </w:r>
    </w:p>
    <w:p w14:paraId="31357CD8" w14:textId="28C48075" w:rsidR="001C6AF2" w:rsidRPr="00384FF5" w:rsidRDefault="001C6AF2" w:rsidP="001C6AF2">
      <w:pPr>
        <w:rPr>
          <w:rFonts w:ascii="Calibri" w:hAnsi="Calibri" w:cs="Calibri"/>
          <w:color w:val="111111"/>
          <w:spacing w:val="1"/>
          <w:sz w:val="24"/>
          <w:szCs w:val="24"/>
          <w:shd w:val="clear" w:color="auto" w:fill="FFFFFF"/>
        </w:rPr>
      </w:pPr>
      <w:r w:rsidRPr="00384FF5">
        <w:rPr>
          <w:rFonts w:ascii="Calibri" w:hAnsi="Calibri" w:cs="Calibri"/>
          <w:color w:val="111111"/>
          <w:spacing w:val="1"/>
          <w:sz w:val="24"/>
          <w:szCs w:val="24"/>
          <w:shd w:val="clear" w:color="auto" w:fill="FFFFFF"/>
        </w:rPr>
        <w:t xml:space="preserve">A balance sheet in terms of a financial statement will report a business’s asset, liabilities, and the shareholder equity for the year. Balance sheets can provide the data needed to </w:t>
      </w:r>
      <w:r w:rsidRPr="00384FF5">
        <w:rPr>
          <w:rFonts w:cstheme="minorHAnsi"/>
          <w:spacing w:val="1"/>
          <w:sz w:val="24"/>
          <w:szCs w:val="24"/>
          <w:shd w:val="clear" w:color="auto" w:fill="FFFFFF"/>
        </w:rPr>
        <w:t>compute rates of return for the investors while also evaluating the businesses’ capital structure. It outlines what a company owns and owes and the investment obtained by its shareholders</w:t>
      </w:r>
      <w:r w:rsidRPr="00384FF5">
        <w:rPr>
          <w:rFonts w:cstheme="minorHAnsi"/>
          <w:sz w:val="24"/>
          <w:szCs w:val="24"/>
          <w:shd w:val="clear" w:color="auto" w:fill="FFFFFF"/>
        </w:rPr>
        <w:t xml:space="preserve"> (Fernando, 2022)</w:t>
      </w:r>
      <w:r w:rsidRPr="00384FF5">
        <w:rPr>
          <w:rFonts w:cstheme="minorHAnsi"/>
          <w:spacing w:val="1"/>
          <w:sz w:val="24"/>
          <w:szCs w:val="24"/>
          <w:shd w:val="clear" w:color="auto" w:fill="FFFFFF"/>
        </w:rPr>
        <w:t>.</w:t>
      </w:r>
      <w:r w:rsidRPr="00384FF5">
        <w:rPr>
          <w:rFonts w:ascii="Calibri" w:hAnsi="Calibri" w:cs="Calibri"/>
          <w:spacing w:val="1"/>
          <w:sz w:val="24"/>
          <w:szCs w:val="24"/>
          <w:shd w:val="clear" w:color="auto" w:fill="FFFFFF"/>
        </w:rPr>
        <w:t xml:space="preserve"> </w:t>
      </w:r>
    </w:p>
    <w:p w14:paraId="584097A9" w14:textId="0BCAB7FB" w:rsidR="001C6AF2" w:rsidRPr="001C6AF2" w:rsidRDefault="001C6AF2">
      <w:pPr>
        <w:rPr>
          <w:b/>
          <w:bCs/>
          <w:sz w:val="24"/>
          <w:szCs w:val="24"/>
        </w:rPr>
      </w:pPr>
      <w:r w:rsidRPr="001C6AF2">
        <w:rPr>
          <w:b/>
          <w:bCs/>
          <w:sz w:val="24"/>
          <w:szCs w:val="24"/>
        </w:rPr>
        <w:t xml:space="preserve">Cashflow statement </w:t>
      </w:r>
    </w:p>
    <w:p w14:paraId="65D75A68" w14:textId="77777777" w:rsidR="00B121CC" w:rsidRDefault="001C6AF2" w:rsidP="00B121CC">
      <w:pPr>
        <w:rPr>
          <w:rFonts w:cstheme="minorHAnsi"/>
          <w:spacing w:val="1"/>
          <w:sz w:val="24"/>
          <w:szCs w:val="24"/>
          <w:shd w:val="clear" w:color="auto" w:fill="FFFFFF"/>
        </w:rPr>
      </w:pPr>
      <w:r w:rsidRPr="00384FF5">
        <w:rPr>
          <w:rFonts w:cstheme="minorHAnsi"/>
          <w:spacing w:val="1"/>
          <w:sz w:val="24"/>
          <w:szCs w:val="24"/>
          <w:shd w:val="clear" w:color="auto" w:fill="FFFFFF"/>
        </w:rPr>
        <w:t xml:space="preserve">A cashflow statement is a financial statement that can analysis the movement of cash and cash equivalent that are received and payable by a company. The cashflow statement can measure how the company manages its cash position, for example how well the business generates money to pay its debt obligations and fund its operating costs </w:t>
      </w:r>
      <w:r w:rsidRPr="00384FF5">
        <w:rPr>
          <w:rFonts w:cstheme="minorHAnsi"/>
          <w:sz w:val="24"/>
          <w:szCs w:val="24"/>
          <w:shd w:val="clear" w:color="auto" w:fill="FFFFFF"/>
        </w:rPr>
        <w:t>(Murphy, 2021)</w:t>
      </w:r>
      <w:r w:rsidRPr="00384FF5">
        <w:rPr>
          <w:rFonts w:cstheme="minorHAnsi"/>
          <w:spacing w:val="1"/>
          <w:sz w:val="24"/>
          <w:szCs w:val="24"/>
          <w:shd w:val="clear" w:color="auto" w:fill="FFFFFF"/>
        </w:rPr>
        <w:t xml:space="preserve">. </w:t>
      </w:r>
    </w:p>
    <w:p w14:paraId="4B518AB2" w14:textId="77777777" w:rsidR="00B121CC" w:rsidRDefault="00B121CC" w:rsidP="00B121CC">
      <w:pPr>
        <w:rPr>
          <w:rFonts w:cstheme="minorHAnsi"/>
          <w:spacing w:val="1"/>
          <w:sz w:val="24"/>
          <w:szCs w:val="24"/>
          <w:shd w:val="clear" w:color="auto" w:fill="FFFFFF"/>
        </w:rPr>
      </w:pPr>
    </w:p>
    <w:p w14:paraId="08644AEB" w14:textId="11B441EB" w:rsidR="00B121CC" w:rsidRPr="00B121CC" w:rsidRDefault="00B121CC" w:rsidP="00B121CC">
      <w:pPr>
        <w:rPr>
          <w:rFonts w:cstheme="minorHAnsi"/>
          <w:spacing w:val="1"/>
          <w:sz w:val="24"/>
          <w:szCs w:val="24"/>
          <w:shd w:val="clear" w:color="auto" w:fill="FFFFFF"/>
        </w:rPr>
      </w:pPr>
      <w:r w:rsidRPr="00B121CC">
        <w:rPr>
          <w:b/>
          <w:bCs/>
          <w:sz w:val="36"/>
          <w:szCs w:val="36"/>
        </w:rPr>
        <w:t>Ratio groups</w:t>
      </w:r>
    </w:p>
    <w:p w14:paraId="39F68FF2" w14:textId="4AA50CE4" w:rsidR="00D66402" w:rsidRPr="00D66402" w:rsidRDefault="00D66402" w:rsidP="00B121CC">
      <w:pPr>
        <w:rPr>
          <w:sz w:val="24"/>
          <w:szCs w:val="24"/>
        </w:rPr>
      </w:pPr>
      <w:r w:rsidRPr="00D66402">
        <w:rPr>
          <w:sz w:val="24"/>
          <w:szCs w:val="24"/>
        </w:rPr>
        <w:t xml:space="preserve">The ratio equations can be found in appendix </w:t>
      </w:r>
      <w:r w:rsidR="004B59A2">
        <w:rPr>
          <w:sz w:val="24"/>
          <w:szCs w:val="24"/>
        </w:rPr>
        <w:t>2</w:t>
      </w:r>
      <w:r>
        <w:rPr>
          <w:sz w:val="24"/>
          <w:szCs w:val="24"/>
        </w:rPr>
        <w:t>, below are an explanation of what can be evaluated while using these ratios.</w:t>
      </w:r>
    </w:p>
    <w:p w14:paraId="0A9AE0EE" w14:textId="42FD0211" w:rsidR="00B121CC" w:rsidRPr="001C6AF2" w:rsidRDefault="00B121CC" w:rsidP="00B121CC">
      <w:pPr>
        <w:rPr>
          <w:b/>
          <w:bCs/>
          <w:sz w:val="24"/>
          <w:szCs w:val="24"/>
        </w:rPr>
      </w:pPr>
      <w:r w:rsidRPr="001C6AF2">
        <w:rPr>
          <w:b/>
          <w:bCs/>
          <w:sz w:val="24"/>
          <w:szCs w:val="24"/>
        </w:rPr>
        <w:t>Profitability ratios</w:t>
      </w:r>
    </w:p>
    <w:p w14:paraId="773972F3" w14:textId="3F497CF6" w:rsidR="00B121CC" w:rsidRPr="00B121CC" w:rsidRDefault="000335E0" w:rsidP="00B121CC">
      <w:pPr>
        <w:rPr>
          <w:rFonts w:cstheme="minorHAnsi"/>
          <w:spacing w:val="1"/>
          <w:sz w:val="24"/>
          <w:szCs w:val="24"/>
          <w:shd w:val="clear" w:color="auto" w:fill="FFFFFF"/>
        </w:rPr>
      </w:pPr>
      <w:r>
        <w:rPr>
          <w:rFonts w:cstheme="minorHAnsi"/>
          <w:spacing w:val="1"/>
          <w:sz w:val="24"/>
          <w:szCs w:val="24"/>
          <w:shd w:val="clear" w:color="auto" w:fill="FFFFFF"/>
        </w:rPr>
        <w:t>Profitability ratios</w:t>
      </w:r>
      <w:r w:rsidR="00B121CC" w:rsidRPr="00B121CC">
        <w:rPr>
          <w:rFonts w:cstheme="minorHAnsi"/>
          <w:spacing w:val="1"/>
          <w:sz w:val="24"/>
          <w:szCs w:val="24"/>
          <w:shd w:val="clear" w:color="auto" w:fill="FFFFFF"/>
        </w:rPr>
        <w:t xml:space="preserve"> are metrics that show the ability of the business to generate earnings comparative to their, operating costs, balance sheet assets, revenue or equity of shareholders for a specific timeframe. They are normally split into two categories which are margin ratios and return ratios. Having an increased value compared to their competition or same periods of time would indicate the business is in a strong position. They are useful when using the companies’ historic data and the same industry competition </w:t>
      </w:r>
      <w:r w:rsidR="00B121CC" w:rsidRPr="00B121CC">
        <w:rPr>
          <w:rFonts w:cstheme="minorHAnsi"/>
          <w:sz w:val="24"/>
          <w:szCs w:val="24"/>
          <w:shd w:val="clear" w:color="auto" w:fill="FFFFFF"/>
        </w:rPr>
        <w:t>(Hayes, 2021).</w:t>
      </w:r>
    </w:p>
    <w:p w14:paraId="71FBBA41" w14:textId="77777777" w:rsidR="00B121CC" w:rsidRPr="00793A06" w:rsidRDefault="00B121CC" w:rsidP="00B121CC">
      <w:pPr>
        <w:rPr>
          <w:rFonts w:cstheme="minorHAnsi"/>
          <w:color w:val="111111"/>
          <w:spacing w:val="1"/>
          <w:sz w:val="24"/>
          <w:szCs w:val="24"/>
          <w:shd w:val="clear" w:color="auto" w:fill="FFFFFF"/>
        </w:rPr>
      </w:pPr>
      <w:r>
        <w:rPr>
          <w:rFonts w:cstheme="minorHAnsi"/>
          <w:color w:val="111111"/>
          <w:spacing w:val="1"/>
          <w:sz w:val="24"/>
          <w:szCs w:val="24"/>
          <w:shd w:val="clear" w:color="auto" w:fill="FFFFFF"/>
        </w:rPr>
        <w:t>.</w:t>
      </w:r>
    </w:p>
    <w:p w14:paraId="6AF04AA9" w14:textId="77777777" w:rsidR="00B121CC" w:rsidRPr="001C6AF2" w:rsidRDefault="00B121CC" w:rsidP="00B121CC">
      <w:pPr>
        <w:rPr>
          <w:b/>
          <w:bCs/>
          <w:sz w:val="24"/>
          <w:szCs w:val="24"/>
        </w:rPr>
      </w:pPr>
      <w:r w:rsidRPr="001C6AF2">
        <w:rPr>
          <w:b/>
          <w:bCs/>
          <w:sz w:val="24"/>
          <w:szCs w:val="24"/>
        </w:rPr>
        <w:t>Liquidity ratios</w:t>
      </w:r>
    </w:p>
    <w:p w14:paraId="7128AF09" w14:textId="0FF299A3" w:rsidR="001F3EFC" w:rsidRPr="001F3EFC" w:rsidRDefault="00B121CC" w:rsidP="001F3EFC">
      <w:pPr>
        <w:pStyle w:val="NormalWeb"/>
        <w:rPr>
          <w:rFonts w:asciiTheme="minorHAnsi" w:hAnsiTheme="minorHAnsi" w:cstheme="minorHAnsi"/>
          <w:color w:val="000000"/>
        </w:rPr>
      </w:pPr>
      <w:r w:rsidRPr="001F3EFC">
        <w:rPr>
          <w:rFonts w:asciiTheme="minorHAnsi" w:hAnsiTheme="minorHAnsi" w:cstheme="minorHAnsi"/>
          <w:color w:val="111111"/>
          <w:spacing w:val="1"/>
          <w:shd w:val="clear" w:color="auto" w:fill="FFFFFF"/>
        </w:rPr>
        <w:t xml:space="preserve">Liquidity ratios are financial metrics that can be used to determine a debtor's ability to pay </w:t>
      </w:r>
      <w:r w:rsidRPr="001F3EFC">
        <w:rPr>
          <w:rFonts w:asciiTheme="minorHAnsi" w:hAnsiTheme="minorHAnsi" w:cstheme="minorHAnsi"/>
          <w:spacing w:val="1"/>
          <w:shd w:val="clear" w:color="auto" w:fill="FFFFFF"/>
        </w:rPr>
        <w:t xml:space="preserve">their current debt obligations without the need to raise capital be external measures. They </w:t>
      </w:r>
      <w:r w:rsidRPr="001F3EFC">
        <w:rPr>
          <w:rFonts w:asciiTheme="minorHAnsi" w:hAnsiTheme="minorHAnsi" w:cstheme="minorHAnsi"/>
          <w:spacing w:val="1"/>
          <w:shd w:val="clear" w:color="auto" w:fill="FFFFFF"/>
        </w:rPr>
        <w:lastRenderedPageBreak/>
        <w:t>can measure the businesses’ ability to pay their debt obligations and gauge the margin of safety they have by calculating their quick ratio, current ratio and operating cash flow ratio. These can equate to the ability of the business convert their assets into cash easily and quickly. When used in comparative analysis internally and external they are most useful</w:t>
      </w:r>
      <w:r w:rsidR="001F3EFC" w:rsidRPr="001F3EFC">
        <w:rPr>
          <w:rFonts w:asciiTheme="minorHAnsi" w:hAnsiTheme="minorHAnsi" w:cstheme="minorHAnsi"/>
          <w:spacing w:val="1"/>
          <w:shd w:val="clear" w:color="auto" w:fill="FFFFFF"/>
        </w:rPr>
        <w:t xml:space="preserve"> </w:t>
      </w:r>
      <w:r w:rsidR="001F3EFC" w:rsidRPr="001F3EFC">
        <w:rPr>
          <w:rFonts w:asciiTheme="minorHAnsi" w:hAnsiTheme="minorHAnsi" w:cstheme="minorHAnsi"/>
          <w:shd w:val="clear" w:color="auto" w:fill="FFFFFF"/>
        </w:rPr>
        <w:t>(Fields, 2016).</w:t>
      </w:r>
    </w:p>
    <w:p w14:paraId="1F6D1CCC" w14:textId="68FCCD5E" w:rsidR="00B121CC" w:rsidRDefault="00B121CC" w:rsidP="00B121CC">
      <w:pPr>
        <w:rPr>
          <w:rFonts w:cstheme="minorHAnsi"/>
          <w:color w:val="111111"/>
          <w:spacing w:val="1"/>
          <w:sz w:val="24"/>
          <w:szCs w:val="24"/>
          <w:shd w:val="clear" w:color="auto" w:fill="FFFFFF"/>
        </w:rPr>
      </w:pPr>
      <w:r w:rsidRPr="00240795">
        <w:rPr>
          <w:rFonts w:cstheme="minorHAnsi"/>
          <w:spacing w:val="1"/>
          <w:sz w:val="24"/>
          <w:szCs w:val="24"/>
          <w:shd w:val="clear" w:color="auto" w:fill="FFFFFF"/>
        </w:rPr>
        <w:t xml:space="preserve"> </w:t>
      </w:r>
    </w:p>
    <w:p w14:paraId="37F68B10" w14:textId="0AE7701A" w:rsidR="00B121CC" w:rsidRDefault="00B121CC" w:rsidP="00B121CC">
      <w:pPr>
        <w:rPr>
          <w:rFonts w:cstheme="minorHAnsi"/>
          <w:color w:val="111111"/>
          <w:spacing w:val="1"/>
          <w:sz w:val="24"/>
          <w:szCs w:val="24"/>
          <w:shd w:val="clear" w:color="auto" w:fill="FFFFFF"/>
        </w:rPr>
      </w:pPr>
      <w:r>
        <w:rPr>
          <w:rFonts w:cstheme="minorHAnsi"/>
          <w:color w:val="111111"/>
          <w:spacing w:val="1"/>
          <w:sz w:val="24"/>
          <w:szCs w:val="24"/>
          <w:shd w:val="clear" w:color="auto" w:fill="FFFFFF"/>
        </w:rPr>
        <w:t xml:space="preserve">The quick ratio is useful if you have stock that could be deemed difficult to sell, an example would be perishable goods or stock that may be difficult to sell quickly. Choosing this ratio could provide useful in those scenarios but some businesses hold stock which can be sold quickly, for example the metal markets. </w:t>
      </w:r>
    </w:p>
    <w:p w14:paraId="0841AD32" w14:textId="77777777" w:rsidR="00B121CC" w:rsidRDefault="00B121CC" w:rsidP="00B121CC">
      <w:pPr>
        <w:rPr>
          <w:b/>
          <w:bCs/>
          <w:sz w:val="24"/>
          <w:szCs w:val="24"/>
        </w:rPr>
      </w:pPr>
    </w:p>
    <w:p w14:paraId="5A9E1C79" w14:textId="23B3D953" w:rsidR="00B121CC" w:rsidRPr="00916BC4" w:rsidRDefault="00B121CC" w:rsidP="00B121CC">
      <w:pPr>
        <w:rPr>
          <w:b/>
          <w:bCs/>
          <w:sz w:val="24"/>
          <w:szCs w:val="24"/>
        </w:rPr>
      </w:pPr>
      <w:r w:rsidRPr="00422BA5">
        <w:rPr>
          <w:b/>
          <w:bCs/>
          <w:sz w:val="32"/>
          <w:szCs w:val="32"/>
        </w:rPr>
        <w:t xml:space="preserve">Activity ratios </w:t>
      </w:r>
    </w:p>
    <w:p w14:paraId="7EB72878" w14:textId="44804454" w:rsidR="00B121CC" w:rsidRPr="002D7FC5" w:rsidRDefault="00B121CC" w:rsidP="00B121CC">
      <w:pPr>
        <w:rPr>
          <w:rFonts w:cstheme="minorHAnsi"/>
          <w:spacing w:val="1"/>
          <w:sz w:val="24"/>
          <w:szCs w:val="24"/>
          <w:shd w:val="clear" w:color="auto" w:fill="FFFFFF"/>
        </w:rPr>
      </w:pPr>
      <w:r w:rsidRPr="002D7FC5">
        <w:rPr>
          <w:rFonts w:cstheme="minorHAnsi"/>
          <w:spacing w:val="1"/>
          <w:sz w:val="24"/>
          <w:szCs w:val="24"/>
          <w:shd w:val="clear" w:color="auto" w:fill="FFFFFF"/>
        </w:rPr>
        <w:t xml:space="preserve">The activity ratios are metrics that can </w:t>
      </w:r>
      <w:r w:rsidR="002F796E">
        <w:rPr>
          <w:rFonts w:cstheme="minorHAnsi"/>
          <w:spacing w:val="1"/>
          <w:sz w:val="24"/>
          <w:szCs w:val="24"/>
          <w:shd w:val="clear" w:color="auto" w:fill="FFFFFF"/>
        </w:rPr>
        <w:t>evaluate</w:t>
      </w:r>
      <w:r w:rsidRPr="002D7FC5">
        <w:rPr>
          <w:rFonts w:cstheme="minorHAnsi"/>
          <w:spacing w:val="1"/>
          <w:sz w:val="24"/>
          <w:szCs w:val="24"/>
          <w:shd w:val="clear" w:color="auto" w:fill="FFFFFF"/>
        </w:rPr>
        <w:t xml:space="preserve"> how efficiently a business </w:t>
      </w:r>
      <w:r w:rsidR="002F796E">
        <w:rPr>
          <w:rFonts w:cstheme="minorHAnsi"/>
          <w:spacing w:val="1"/>
          <w:sz w:val="24"/>
          <w:szCs w:val="24"/>
          <w:shd w:val="clear" w:color="auto" w:fill="FFFFFF"/>
        </w:rPr>
        <w:t>is at</w:t>
      </w:r>
      <w:r w:rsidRPr="002D7FC5">
        <w:rPr>
          <w:rFonts w:cstheme="minorHAnsi"/>
          <w:spacing w:val="1"/>
          <w:sz w:val="24"/>
          <w:szCs w:val="24"/>
          <w:shd w:val="clear" w:color="auto" w:fill="FFFFFF"/>
        </w:rPr>
        <w:t xml:space="preserve"> leveraging their assets on their balance sheet </w:t>
      </w:r>
      <w:r w:rsidRPr="000426C5">
        <w:rPr>
          <w:rFonts w:cstheme="minorHAnsi"/>
          <w:spacing w:val="1"/>
          <w:sz w:val="24"/>
          <w:szCs w:val="24"/>
          <w:shd w:val="clear" w:color="auto" w:fill="FFFFFF"/>
        </w:rPr>
        <w:t xml:space="preserve">to increase revenues </w:t>
      </w:r>
      <w:r w:rsidR="00D66402">
        <w:rPr>
          <w:rFonts w:cstheme="minorHAnsi"/>
          <w:spacing w:val="1"/>
          <w:sz w:val="24"/>
          <w:szCs w:val="24"/>
          <w:shd w:val="clear" w:color="auto" w:fill="FFFFFF"/>
        </w:rPr>
        <w:t>or generate cash</w:t>
      </w:r>
      <w:r w:rsidRPr="000426C5">
        <w:rPr>
          <w:rFonts w:cstheme="minorHAnsi"/>
          <w:spacing w:val="1"/>
          <w:sz w:val="24"/>
          <w:szCs w:val="24"/>
          <w:shd w:val="clear" w:color="auto" w:fill="FFFFFF"/>
        </w:rPr>
        <w:t>. Commonly referred to as </w:t>
      </w:r>
      <w:hyperlink r:id="rId9" w:history="1">
        <w:r w:rsidRPr="000426C5">
          <w:rPr>
            <w:rFonts w:cstheme="minorHAnsi"/>
            <w:spacing w:val="1"/>
            <w:sz w:val="24"/>
            <w:szCs w:val="24"/>
            <w:shd w:val="clear" w:color="auto" w:fill="FFFFFF"/>
          </w:rPr>
          <w:t>efficiency ratios</w:t>
        </w:r>
      </w:hyperlink>
      <w:r w:rsidRPr="000426C5">
        <w:rPr>
          <w:rFonts w:cstheme="minorHAnsi"/>
          <w:spacing w:val="1"/>
          <w:sz w:val="24"/>
          <w:szCs w:val="24"/>
          <w:shd w:val="clear" w:color="auto" w:fill="FFFFFF"/>
        </w:rPr>
        <w:t xml:space="preserve">, </w:t>
      </w:r>
      <w:r w:rsidR="002F796E">
        <w:rPr>
          <w:rFonts w:cstheme="minorHAnsi"/>
          <w:spacing w:val="1"/>
          <w:sz w:val="24"/>
          <w:szCs w:val="24"/>
          <w:shd w:val="clear" w:color="auto" w:fill="FFFFFF"/>
        </w:rPr>
        <w:t>these</w:t>
      </w:r>
      <w:r w:rsidRPr="000426C5">
        <w:rPr>
          <w:rFonts w:cstheme="minorHAnsi"/>
          <w:spacing w:val="1"/>
          <w:sz w:val="24"/>
          <w:szCs w:val="24"/>
          <w:shd w:val="clear" w:color="auto" w:fill="FFFFFF"/>
        </w:rPr>
        <w:t xml:space="preserve"> ratios will help to analyse how they handle their </w:t>
      </w:r>
      <w:hyperlink r:id="rId10" w:history="1">
        <w:r w:rsidRPr="000426C5">
          <w:rPr>
            <w:rFonts w:cstheme="minorHAnsi"/>
            <w:spacing w:val="1"/>
            <w:sz w:val="24"/>
            <w:szCs w:val="24"/>
            <w:shd w:val="clear" w:color="auto" w:fill="FFFFFF"/>
          </w:rPr>
          <w:t>management</w:t>
        </w:r>
      </w:hyperlink>
      <w:r w:rsidR="002F796E">
        <w:rPr>
          <w:rFonts w:cstheme="minorHAnsi"/>
          <w:spacing w:val="1"/>
          <w:sz w:val="24"/>
          <w:szCs w:val="24"/>
          <w:shd w:val="clear" w:color="auto" w:fill="FFFFFF"/>
        </w:rPr>
        <w:t xml:space="preserve"> of the</w:t>
      </w:r>
      <w:r w:rsidR="002F796E" w:rsidRPr="002F796E">
        <w:t xml:space="preserve"> </w:t>
      </w:r>
      <w:r w:rsidR="002F796E" w:rsidRPr="002F796E">
        <w:rPr>
          <w:rFonts w:cstheme="minorHAnsi"/>
          <w:spacing w:val="1"/>
          <w:sz w:val="24"/>
          <w:szCs w:val="24"/>
          <w:shd w:val="clear" w:color="auto" w:fill="FFFFFF"/>
        </w:rPr>
        <w:t>inventory</w:t>
      </w:r>
      <w:r w:rsidRPr="000426C5">
        <w:rPr>
          <w:rFonts w:cstheme="minorHAnsi"/>
          <w:spacing w:val="1"/>
          <w:sz w:val="24"/>
          <w:szCs w:val="24"/>
          <w:shd w:val="clear" w:color="auto" w:fill="FFFFFF"/>
        </w:rPr>
        <w:t>, A key to</w:t>
      </w:r>
      <w:r w:rsidR="002F796E">
        <w:rPr>
          <w:rFonts w:cstheme="minorHAnsi"/>
          <w:spacing w:val="1"/>
          <w:sz w:val="24"/>
          <w:szCs w:val="24"/>
          <w:shd w:val="clear" w:color="auto" w:fill="FFFFFF"/>
        </w:rPr>
        <w:t xml:space="preserve"> the</w:t>
      </w:r>
      <w:r w:rsidRPr="000426C5">
        <w:rPr>
          <w:rFonts w:cstheme="minorHAnsi"/>
          <w:spacing w:val="1"/>
          <w:sz w:val="24"/>
          <w:szCs w:val="24"/>
          <w:shd w:val="clear" w:color="auto" w:fill="FFFFFF"/>
        </w:rPr>
        <w:t xml:space="preserve"> </w:t>
      </w:r>
      <w:r w:rsidR="002F796E" w:rsidRPr="000426C5">
        <w:rPr>
          <w:rFonts w:cstheme="minorHAnsi"/>
          <w:spacing w:val="1"/>
          <w:sz w:val="24"/>
          <w:szCs w:val="24"/>
          <w:shd w:val="clear" w:color="auto" w:fill="FFFFFF"/>
        </w:rPr>
        <w:t>fluidity</w:t>
      </w:r>
      <w:r w:rsidR="002F796E" w:rsidRPr="000426C5">
        <w:rPr>
          <w:rFonts w:cstheme="minorHAnsi"/>
          <w:spacing w:val="1"/>
          <w:sz w:val="24"/>
          <w:szCs w:val="24"/>
          <w:shd w:val="clear" w:color="auto" w:fill="FFFFFF"/>
        </w:rPr>
        <w:t xml:space="preserve"> </w:t>
      </w:r>
      <w:r w:rsidR="002F796E">
        <w:rPr>
          <w:rFonts w:cstheme="minorHAnsi"/>
          <w:spacing w:val="1"/>
          <w:sz w:val="24"/>
          <w:szCs w:val="24"/>
          <w:shd w:val="clear" w:color="auto" w:fill="FFFFFF"/>
        </w:rPr>
        <w:t xml:space="preserve">of their </w:t>
      </w:r>
      <w:r w:rsidRPr="000426C5">
        <w:rPr>
          <w:rFonts w:cstheme="minorHAnsi"/>
          <w:spacing w:val="1"/>
          <w:sz w:val="24"/>
          <w:szCs w:val="24"/>
          <w:shd w:val="clear" w:color="auto" w:fill="FFFFFF"/>
        </w:rPr>
        <w:t xml:space="preserve">operational and  financial health. These ratios are most useful when comparing </w:t>
      </w:r>
      <w:r w:rsidR="002F796E">
        <w:rPr>
          <w:rFonts w:cstheme="minorHAnsi"/>
          <w:spacing w:val="1"/>
          <w:sz w:val="24"/>
          <w:szCs w:val="24"/>
          <w:shd w:val="clear" w:color="auto" w:fill="FFFFFF"/>
        </w:rPr>
        <w:t>multiple</w:t>
      </w:r>
      <w:r w:rsidRPr="000426C5">
        <w:rPr>
          <w:rFonts w:cstheme="minorHAnsi"/>
          <w:spacing w:val="1"/>
          <w:sz w:val="24"/>
          <w:szCs w:val="24"/>
          <w:shd w:val="clear" w:color="auto" w:fill="FFFFFF"/>
        </w:rPr>
        <w:t xml:space="preserve"> businesses in the same industry</w:t>
      </w:r>
      <w:r w:rsidRPr="000426C5">
        <w:rPr>
          <w:rFonts w:cstheme="minorHAnsi"/>
          <w:sz w:val="24"/>
          <w:szCs w:val="24"/>
          <w:shd w:val="clear" w:color="auto" w:fill="FFFFFF"/>
        </w:rPr>
        <w:t xml:space="preserve"> (Kenton, 2020)</w:t>
      </w:r>
      <w:r w:rsidRPr="000426C5">
        <w:rPr>
          <w:rFonts w:cstheme="minorHAnsi"/>
          <w:spacing w:val="1"/>
          <w:sz w:val="24"/>
          <w:szCs w:val="24"/>
          <w:shd w:val="clear" w:color="auto" w:fill="FFFFFF"/>
        </w:rPr>
        <w:t xml:space="preserve">. </w:t>
      </w:r>
    </w:p>
    <w:p w14:paraId="53986D9E" w14:textId="7EEED4DB" w:rsidR="00B121CC" w:rsidRPr="004C7A64" w:rsidRDefault="00B121CC" w:rsidP="00B121CC">
      <w:pPr>
        <w:rPr>
          <w:sz w:val="24"/>
          <w:szCs w:val="24"/>
        </w:rPr>
      </w:pPr>
      <w:r w:rsidRPr="004C7A64">
        <w:rPr>
          <w:sz w:val="24"/>
          <w:szCs w:val="24"/>
        </w:rPr>
        <w:t>Inventory ratios</w:t>
      </w:r>
      <w:r>
        <w:rPr>
          <w:sz w:val="24"/>
          <w:szCs w:val="24"/>
        </w:rPr>
        <w:t xml:space="preserve"> will be different for different industries and the type of business within them. This report focuses on an automotive company supplying supercars, we can expect the inventory to be lower than an everyday car manufacturer due to the price of the products being sold.</w:t>
      </w:r>
    </w:p>
    <w:p w14:paraId="51C4921A" w14:textId="753316E4" w:rsidR="001C6AF2" w:rsidRPr="00894242" w:rsidRDefault="00894242">
      <w:pPr>
        <w:rPr>
          <w:b/>
          <w:bCs/>
          <w:sz w:val="32"/>
          <w:szCs w:val="32"/>
        </w:rPr>
      </w:pPr>
      <w:r w:rsidRPr="00894242">
        <w:rPr>
          <w:b/>
          <w:bCs/>
          <w:sz w:val="32"/>
          <w:szCs w:val="32"/>
        </w:rPr>
        <w:t>Leverage ratios</w:t>
      </w:r>
    </w:p>
    <w:p w14:paraId="57413FB5" w14:textId="6C0FD818" w:rsidR="00620363" w:rsidRPr="00D301CD" w:rsidRDefault="00620363" w:rsidP="00620363">
      <w:pPr>
        <w:rPr>
          <w:rFonts w:cstheme="minorHAnsi"/>
          <w:spacing w:val="1"/>
          <w:sz w:val="24"/>
          <w:szCs w:val="24"/>
          <w:shd w:val="clear" w:color="auto" w:fill="FFFFFF"/>
        </w:rPr>
      </w:pPr>
      <w:r w:rsidRPr="00D301CD">
        <w:rPr>
          <w:rFonts w:cstheme="minorHAnsi"/>
          <w:spacing w:val="1"/>
          <w:sz w:val="24"/>
          <w:szCs w:val="24"/>
          <w:shd w:val="clear" w:color="auto" w:fill="FFFFFF"/>
        </w:rPr>
        <w:t>leverage ratios are metrics that analysis the amount of capital that comes in the form of debt, such as loans or credit into a business and assesses the potential ability for the business to meet its financial commitments. These ratios are important because businesses predominantly rely on a mix of debt and equity to finance their operation. knowing the amount of debt, a business has is useful in evaluating if it can pay off its financial commitments when they come due. </w:t>
      </w:r>
    </w:p>
    <w:p w14:paraId="7D35E641" w14:textId="2D659149" w:rsidR="00620363" w:rsidRPr="00D301CD" w:rsidRDefault="00620363" w:rsidP="00620363">
      <w:pPr>
        <w:rPr>
          <w:rFonts w:cstheme="minorHAnsi"/>
          <w:spacing w:val="1"/>
          <w:sz w:val="24"/>
          <w:szCs w:val="24"/>
          <w:shd w:val="clear" w:color="auto" w:fill="FFFFFF"/>
        </w:rPr>
      </w:pPr>
      <w:r w:rsidRPr="00D301CD">
        <w:rPr>
          <w:rFonts w:cstheme="minorHAnsi"/>
          <w:spacing w:val="1"/>
          <w:sz w:val="24"/>
          <w:szCs w:val="24"/>
          <w:shd w:val="clear" w:color="auto" w:fill="FFFFFF"/>
        </w:rPr>
        <w:t xml:space="preserve">High debt could be dangerous for both businesses and their investors, </w:t>
      </w:r>
      <w:r w:rsidR="002502E5" w:rsidRPr="00D301CD">
        <w:rPr>
          <w:rFonts w:cstheme="minorHAnsi"/>
          <w:spacing w:val="1"/>
          <w:sz w:val="24"/>
          <w:szCs w:val="24"/>
          <w:shd w:val="clear" w:color="auto" w:fill="FFFFFF"/>
        </w:rPr>
        <w:t>if</w:t>
      </w:r>
      <w:r w:rsidRPr="00D301CD">
        <w:rPr>
          <w:rFonts w:cstheme="minorHAnsi"/>
          <w:spacing w:val="1"/>
          <w:sz w:val="24"/>
          <w:szCs w:val="24"/>
          <w:shd w:val="clear" w:color="auto" w:fill="FFFFFF"/>
        </w:rPr>
        <w:t xml:space="preserve"> a business operation can achieve higher rates of return than the interest rate attached to their loans, then this healthy debt could increase growth. But uncontrolled levels of debt could lead to downgrades of credit, furthermore, minimal debts could provoke questions about the operations, a hesitance to borrow could be a warning that operating margins are slender </w:t>
      </w:r>
      <w:r w:rsidRPr="00D301CD">
        <w:rPr>
          <w:rFonts w:cstheme="minorHAnsi"/>
          <w:sz w:val="24"/>
          <w:szCs w:val="24"/>
          <w:shd w:val="clear" w:color="auto" w:fill="FFFFFF"/>
        </w:rPr>
        <w:t>(Hayes, 2020)</w:t>
      </w:r>
      <w:r w:rsidRPr="00D301CD">
        <w:rPr>
          <w:rFonts w:cstheme="minorHAnsi"/>
          <w:spacing w:val="1"/>
          <w:sz w:val="24"/>
          <w:szCs w:val="24"/>
          <w:shd w:val="clear" w:color="auto" w:fill="FFFFFF"/>
        </w:rPr>
        <w:t>.</w:t>
      </w:r>
    </w:p>
    <w:p w14:paraId="4402134D" w14:textId="1EAB4F29" w:rsidR="00894242" w:rsidRPr="00894242" w:rsidRDefault="00894242">
      <w:pPr>
        <w:rPr>
          <w:b/>
          <w:bCs/>
          <w:sz w:val="32"/>
          <w:szCs w:val="32"/>
        </w:rPr>
      </w:pPr>
    </w:p>
    <w:p w14:paraId="18AD4B20" w14:textId="77777777" w:rsidR="00D66402" w:rsidRDefault="00D66402">
      <w:pPr>
        <w:rPr>
          <w:b/>
          <w:bCs/>
          <w:sz w:val="32"/>
          <w:szCs w:val="32"/>
        </w:rPr>
      </w:pPr>
    </w:p>
    <w:p w14:paraId="2D0897BC" w14:textId="36E20A2E" w:rsidR="00894242" w:rsidRPr="00894242" w:rsidRDefault="00894242">
      <w:pPr>
        <w:rPr>
          <w:b/>
          <w:bCs/>
          <w:sz w:val="32"/>
          <w:szCs w:val="32"/>
        </w:rPr>
      </w:pPr>
      <w:r w:rsidRPr="00894242">
        <w:rPr>
          <w:b/>
          <w:bCs/>
          <w:sz w:val="32"/>
          <w:szCs w:val="32"/>
        </w:rPr>
        <w:lastRenderedPageBreak/>
        <w:t>Shareholders ratios</w:t>
      </w:r>
    </w:p>
    <w:p w14:paraId="55F5711A" w14:textId="77777777" w:rsidR="00333203" w:rsidRDefault="00620363" w:rsidP="00333203">
      <w:pPr>
        <w:shd w:val="clear" w:color="auto" w:fill="FFFFFF"/>
        <w:spacing w:after="100" w:afterAutospacing="1" w:line="240" w:lineRule="auto"/>
        <w:rPr>
          <w:b/>
          <w:bCs/>
          <w:sz w:val="28"/>
          <w:szCs w:val="28"/>
        </w:rPr>
      </w:pPr>
      <w:r w:rsidRPr="00D301CD">
        <w:rPr>
          <w:rFonts w:eastAsia="Times New Roman" w:cstheme="minorHAnsi"/>
          <w:spacing w:val="1"/>
          <w:sz w:val="24"/>
          <w:szCs w:val="24"/>
          <w:lang w:eastAsia="en-GB"/>
        </w:rPr>
        <w:t>S</w:t>
      </w:r>
      <w:r w:rsidRPr="00180E14">
        <w:rPr>
          <w:rFonts w:eastAsia="Times New Roman" w:cstheme="minorHAnsi"/>
          <w:spacing w:val="1"/>
          <w:sz w:val="24"/>
          <w:szCs w:val="24"/>
          <w:lang w:eastAsia="en-GB"/>
        </w:rPr>
        <w:t>hareholder equity ratio</w:t>
      </w:r>
      <w:r w:rsidRPr="00D301CD">
        <w:rPr>
          <w:rFonts w:eastAsia="Times New Roman" w:cstheme="minorHAnsi"/>
          <w:spacing w:val="1"/>
          <w:sz w:val="24"/>
          <w:szCs w:val="24"/>
          <w:lang w:eastAsia="en-GB"/>
        </w:rPr>
        <w:t>s can</w:t>
      </w:r>
      <w:r w:rsidRPr="00180E14">
        <w:rPr>
          <w:rFonts w:eastAsia="Times New Roman" w:cstheme="minorHAnsi"/>
          <w:spacing w:val="1"/>
          <w:sz w:val="24"/>
          <w:szCs w:val="24"/>
          <w:lang w:eastAsia="en-GB"/>
        </w:rPr>
        <w:t xml:space="preserve"> </w:t>
      </w:r>
      <w:r w:rsidRPr="00D301CD">
        <w:rPr>
          <w:rFonts w:eastAsia="Times New Roman" w:cstheme="minorHAnsi"/>
          <w:spacing w:val="1"/>
          <w:sz w:val="24"/>
          <w:szCs w:val="24"/>
          <w:lang w:eastAsia="en-GB"/>
        </w:rPr>
        <w:t>show</w:t>
      </w:r>
      <w:r w:rsidRPr="00180E14">
        <w:rPr>
          <w:rFonts w:eastAsia="Times New Roman" w:cstheme="minorHAnsi"/>
          <w:spacing w:val="1"/>
          <w:sz w:val="24"/>
          <w:szCs w:val="24"/>
          <w:lang w:eastAsia="en-GB"/>
        </w:rPr>
        <w:t xml:space="preserve"> how much of </w:t>
      </w:r>
      <w:r w:rsidRPr="00D301CD">
        <w:rPr>
          <w:rFonts w:eastAsia="Times New Roman" w:cstheme="minorHAnsi"/>
          <w:spacing w:val="1"/>
          <w:sz w:val="24"/>
          <w:szCs w:val="24"/>
          <w:lang w:eastAsia="en-GB"/>
        </w:rPr>
        <w:t>the</w:t>
      </w:r>
      <w:r w:rsidRPr="00180E14">
        <w:rPr>
          <w:rFonts w:eastAsia="Times New Roman" w:cstheme="minorHAnsi"/>
          <w:spacing w:val="1"/>
          <w:sz w:val="24"/>
          <w:szCs w:val="24"/>
          <w:lang w:eastAsia="en-GB"/>
        </w:rPr>
        <w:t xml:space="preserve"> </w:t>
      </w:r>
      <w:r w:rsidRPr="00D301CD">
        <w:rPr>
          <w:rFonts w:eastAsia="Times New Roman" w:cstheme="minorHAnsi"/>
          <w:spacing w:val="1"/>
          <w:sz w:val="24"/>
          <w:szCs w:val="24"/>
          <w:lang w:eastAsia="en-GB"/>
        </w:rPr>
        <w:t>business assets will have been generated</w:t>
      </w:r>
      <w:r w:rsidRPr="00180E14">
        <w:rPr>
          <w:rFonts w:eastAsia="Times New Roman" w:cstheme="minorHAnsi"/>
          <w:spacing w:val="1"/>
          <w:sz w:val="24"/>
          <w:szCs w:val="24"/>
          <w:lang w:eastAsia="en-GB"/>
        </w:rPr>
        <w:t xml:space="preserve"> by </w:t>
      </w:r>
      <w:r w:rsidRPr="00D301CD">
        <w:rPr>
          <w:rFonts w:eastAsia="Times New Roman" w:cstheme="minorHAnsi"/>
          <w:spacing w:val="1"/>
          <w:sz w:val="24"/>
          <w:szCs w:val="24"/>
          <w:lang w:eastAsia="en-GB"/>
        </w:rPr>
        <w:t>creating</w:t>
      </w:r>
      <w:r w:rsidRPr="00180E14">
        <w:rPr>
          <w:rFonts w:eastAsia="Times New Roman" w:cstheme="minorHAnsi"/>
          <w:spacing w:val="1"/>
          <w:sz w:val="24"/>
          <w:szCs w:val="24"/>
          <w:lang w:eastAsia="en-GB"/>
        </w:rPr>
        <w:t xml:space="preserve"> equity shares </w:t>
      </w:r>
      <w:r w:rsidRPr="00D301CD">
        <w:rPr>
          <w:rFonts w:eastAsia="Times New Roman" w:cstheme="minorHAnsi"/>
          <w:spacing w:val="1"/>
          <w:sz w:val="24"/>
          <w:szCs w:val="24"/>
          <w:lang w:eastAsia="en-GB"/>
        </w:rPr>
        <w:t>instead of acquiring</w:t>
      </w:r>
      <w:r w:rsidRPr="00180E14">
        <w:rPr>
          <w:rFonts w:eastAsia="Times New Roman" w:cstheme="minorHAnsi"/>
          <w:spacing w:val="1"/>
          <w:sz w:val="24"/>
          <w:szCs w:val="24"/>
          <w:lang w:eastAsia="en-GB"/>
        </w:rPr>
        <w:t xml:space="preserve"> debt. </w:t>
      </w:r>
      <w:r w:rsidRPr="00D301CD">
        <w:rPr>
          <w:rFonts w:eastAsia="Times New Roman" w:cstheme="minorHAnsi"/>
          <w:spacing w:val="1"/>
          <w:sz w:val="24"/>
          <w:szCs w:val="24"/>
          <w:lang w:eastAsia="en-GB"/>
        </w:rPr>
        <w:t xml:space="preserve">A low result would suggest the company has more debt which it used to pay for the assets, moreover </w:t>
      </w:r>
      <w:r w:rsidRPr="00180E14">
        <w:rPr>
          <w:rFonts w:eastAsia="Times New Roman" w:cstheme="minorHAnsi"/>
          <w:spacing w:val="1"/>
          <w:sz w:val="24"/>
          <w:szCs w:val="24"/>
          <w:lang w:eastAsia="en-GB"/>
        </w:rPr>
        <w:t xml:space="preserve">It </w:t>
      </w:r>
      <w:r w:rsidRPr="00D301CD">
        <w:rPr>
          <w:rFonts w:eastAsia="Times New Roman" w:cstheme="minorHAnsi"/>
          <w:spacing w:val="1"/>
          <w:sz w:val="24"/>
          <w:szCs w:val="24"/>
          <w:lang w:eastAsia="en-GB"/>
        </w:rPr>
        <w:t>highlights</w:t>
      </w:r>
      <w:r w:rsidRPr="00180E14">
        <w:rPr>
          <w:rFonts w:eastAsia="Times New Roman" w:cstheme="minorHAnsi"/>
          <w:spacing w:val="1"/>
          <w:sz w:val="24"/>
          <w:szCs w:val="24"/>
          <w:lang w:eastAsia="en-GB"/>
        </w:rPr>
        <w:t xml:space="preserve"> how much </w:t>
      </w:r>
      <w:r w:rsidRPr="00D301CD">
        <w:rPr>
          <w:rFonts w:eastAsia="Times New Roman" w:cstheme="minorHAnsi"/>
          <w:spacing w:val="1"/>
          <w:sz w:val="24"/>
          <w:szCs w:val="24"/>
          <w:lang w:eastAsia="en-GB"/>
        </w:rPr>
        <w:t xml:space="preserve">the </w:t>
      </w:r>
      <w:r w:rsidRPr="00180E14">
        <w:rPr>
          <w:rFonts w:eastAsia="Times New Roman" w:cstheme="minorHAnsi"/>
          <w:spacing w:val="1"/>
          <w:sz w:val="24"/>
          <w:szCs w:val="24"/>
          <w:lang w:eastAsia="en-GB"/>
        </w:rPr>
        <w:t xml:space="preserve">shareholders </w:t>
      </w:r>
      <w:r w:rsidRPr="00D301CD">
        <w:rPr>
          <w:rFonts w:eastAsia="Times New Roman" w:cstheme="minorHAnsi"/>
          <w:spacing w:val="1"/>
          <w:sz w:val="24"/>
          <w:szCs w:val="24"/>
          <w:lang w:eastAsia="en-GB"/>
        </w:rPr>
        <w:t>could claim if the business were to be placed in liquidation and offers a representation of how much of the business assets the shareholders would be able to claim</w:t>
      </w:r>
      <w:r>
        <w:rPr>
          <w:rFonts w:eastAsia="Times New Roman" w:cstheme="minorHAnsi"/>
          <w:spacing w:val="1"/>
          <w:sz w:val="24"/>
          <w:szCs w:val="24"/>
          <w:lang w:eastAsia="en-GB"/>
        </w:rPr>
        <w:t xml:space="preserve"> </w:t>
      </w:r>
      <w:r w:rsidRPr="00240795">
        <w:rPr>
          <w:rFonts w:cstheme="minorHAnsi"/>
          <w:sz w:val="24"/>
          <w:szCs w:val="24"/>
          <w:shd w:val="clear" w:color="auto" w:fill="FFFFFF"/>
        </w:rPr>
        <w:t>(Hayes, 2021)</w:t>
      </w:r>
      <w:r w:rsidRPr="00240795">
        <w:rPr>
          <w:rFonts w:cstheme="minorHAnsi"/>
          <w:spacing w:val="1"/>
          <w:sz w:val="24"/>
          <w:szCs w:val="24"/>
          <w:shd w:val="clear" w:color="auto" w:fill="FFFFFF"/>
        </w:rPr>
        <w:t>.</w:t>
      </w:r>
      <w:r w:rsidR="00916BC4">
        <w:rPr>
          <w:rFonts w:cstheme="minorHAnsi"/>
          <w:spacing w:val="1"/>
          <w:sz w:val="24"/>
          <w:szCs w:val="24"/>
          <w:shd w:val="clear" w:color="auto" w:fill="FFFFFF"/>
        </w:rPr>
        <w:t xml:space="preserve"> </w:t>
      </w:r>
    </w:p>
    <w:p w14:paraId="7C206E49" w14:textId="4400DFB1" w:rsidR="001B4D81" w:rsidRPr="00333203" w:rsidRDefault="001B4D81" w:rsidP="00333203">
      <w:pPr>
        <w:shd w:val="clear" w:color="auto" w:fill="FFFFFF"/>
        <w:spacing w:after="100" w:afterAutospacing="1" w:line="240" w:lineRule="auto"/>
        <w:rPr>
          <w:b/>
          <w:bCs/>
          <w:sz w:val="28"/>
          <w:szCs w:val="28"/>
        </w:rPr>
      </w:pPr>
      <w:r w:rsidRPr="001B4D81">
        <w:rPr>
          <w:rFonts w:cstheme="minorHAnsi"/>
          <w:b/>
          <w:bCs/>
          <w:sz w:val="32"/>
          <w:szCs w:val="32"/>
        </w:rPr>
        <w:t xml:space="preserve">Use and Limitation of Ratios </w:t>
      </w:r>
    </w:p>
    <w:p w14:paraId="25D87580" w14:textId="4E5A80B6" w:rsidR="001B4D81" w:rsidRPr="001B4D81" w:rsidRDefault="00497042" w:rsidP="001C6AF2">
      <w:pPr>
        <w:rPr>
          <w:b/>
          <w:bCs/>
          <w:sz w:val="24"/>
          <w:szCs w:val="24"/>
        </w:rPr>
      </w:pPr>
      <w:r>
        <w:rPr>
          <w:b/>
          <w:bCs/>
          <w:sz w:val="24"/>
          <w:szCs w:val="24"/>
        </w:rPr>
        <w:t>Ratio uses.</w:t>
      </w:r>
    </w:p>
    <w:p w14:paraId="11DEC2DD" w14:textId="25E72A72" w:rsidR="001141FC" w:rsidRPr="005902F0" w:rsidRDefault="001B4D81" w:rsidP="001141FC">
      <w:pPr>
        <w:spacing w:before="100" w:beforeAutospacing="1" w:after="100" w:afterAutospacing="1" w:line="240" w:lineRule="auto"/>
        <w:rPr>
          <w:rFonts w:eastAsia="Times New Roman" w:cstheme="minorHAnsi"/>
          <w:color w:val="000000"/>
          <w:sz w:val="24"/>
          <w:szCs w:val="24"/>
          <w:lang w:eastAsia="en-GB"/>
        </w:rPr>
      </w:pPr>
      <w:r w:rsidRPr="001141FC">
        <w:rPr>
          <w:rFonts w:cstheme="minorHAnsi"/>
          <w:sz w:val="24"/>
          <w:szCs w:val="24"/>
        </w:rPr>
        <w:t xml:space="preserve">Ratios can highlight potential problems for a business </w:t>
      </w:r>
      <w:r w:rsidR="00497042">
        <w:rPr>
          <w:rFonts w:cstheme="minorHAnsi"/>
          <w:sz w:val="24"/>
          <w:szCs w:val="24"/>
        </w:rPr>
        <w:t>and</w:t>
      </w:r>
      <w:r w:rsidRPr="001141FC">
        <w:rPr>
          <w:rFonts w:cstheme="minorHAnsi"/>
          <w:sz w:val="24"/>
          <w:szCs w:val="24"/>
        </w:rPr>
        <w:t xml:space="preserve"> can hone in on certain areas that require attention. The data can be used for comparisons of the business ratios with the industry standards while highlighting the specific areas that can be improved to stay competitive. This method of evaluation of the businesses performance over a period of time with the industry benchmarks is known as comparative analysis (Woodruff, 2019). Financial ratios can act as warnings, they can tell if the businesses are running smoothly or if something needs attention. By using the ratios and paying close attention to the indicators it can help keep the business on the path to profits.</w:t>
      </w:r>
      <w:r w:rsidR="00825DDC" w:rsidRPr="001141FC">
        <w:rPr>
          <w:rFonts w:cstheme="minorHAnsi"/>
          <w:sz w:val="24"/>
          <w:szCs w:val="24"/>
        </w:rPr>
        <w:t xml:space="preserve"> Ratios have been used through industry revolutions, for example previously written by </w:t>
      </w:r>
      <w:r w:rsidR="00825DDC" w:rsidRPr="001141FC">
        <w:rPr>
          <w:rFonts w:cstheme="minorHAnsi"/>
          <w:sz w:val="24"/>
          <w:szCs w:val="24"/>
          <w:shd w:val="clear" w:color="auto" w:fill="FFFFFF"/>
        </w:rPr>
        <w:t>Beaver, (1966)</w:t>
      </w:r>
      <w:r w:rsidR="00E818E4" w:rsidRPr="001141FC">
        <w:rPr>
          <w:rFonts w:cstheme="minorHAnsi"/>
          <w:sz w:val="24"/>
          <w:szCs w:val="24"/>
          <w:shd w:val="clear" w:color="auto" w:fill="FFFFFF"/>
        </w:rPr>
        <w:t xml:space="preserve"> who discusses using financial ratios to predict business failure, its stated that you need a purpose to apply financial ratios for them to be most useful.  </w:t>
      </w:r>
      <w:proofErr w:type="spellStart"/>
      <w:r w:rsidR="001141FC" w:rsidRPr="001141FC">
        <w:rPr>
          <w:rFonts w:eastAsia="Times New Roman" w:cstheme="minorHAnsi"/>
          <w:sz w:val="24"/>
          <w:szCs w:val="24"/>
          <w:lang w:eastAsia="en-GB"/>
        </w:rPr>
        <w:t>Alothaim</w:t>
      </w:r>
      <w:proofErr w:type="spellEnd"/>
      <w:r w:rsidR="001141FC" w:rsidRPr="001141FC">
        <w:rPr>
          <w:rFonts w:eastAsia="Times New Roman" w:cstheme="minorHAnsi"/>
          <w:sz w:val="24"/>
          <w:szCs w:val="24"/>
          <w:lang w:eastAsia="en-GB"/>
        </w:rPr>
        <w:t xml:space="preserve">, (2019) research applied the ratios discussed previously in this report, </w:t>
      </w:r>
      <w:r w:rsidR="000E488E">
        <w:rPr>
          <w:rFonts w:eastAsia="Times New Roman" w:cstheme="minorHAnsi"/>
          <w:sz w:val="24"/>
          <w:szCs w:val="24"/>
          <w:lang w:eastAsia="en-GB"/>
        </w:rPr>
        <w:t>incorporating them into</w:t>
      </w:r>
      <w:r w:rsidR="001141FC" w:rsidRPr="001141FC">
        <w:rPr>
          <w:rFonts w:eastAsia="Times New Roman" w:cstheme="minorHAnsi"/>
          <w:sz w:val="24"/>
          <w:szCs w:val="24"/>
          <w:lang w:eastAsia="en-GB"/>
        </w:rPr>
        <w:t xml:space="preserve"> a prediction model that could analysis a company’s risk of going bankrupt, furthermore they discuss operating effect, turnover of assets, profitability and liquidity ratios are extremely “potent” tools to use to predict potential </w:t>
      </w:r>
      <w:r w:rsidR="000E488E">
        <w:rPr>
          <w:rFonts w:eastAsia="Times New Roman" w:cstheme="minorHAnsi"/>
          <w:sz w:val="24"/>
          <w:szCs w:val="24"/>
          <w:lang w:eastAsia="en-GB"/>
        </w:rPr>
        <w:t>financial business</w:t>
      </w:r>
      <w:r w:rsidR="001141FC" w:rsidRPr="001141FC">
        <w:rPr>
          <w:rFonts w:eastAsia="Times New Roman" w:cstheme="minorHAnsi"/>
          <w:sz w:val="24"/>
          <w:szCs w:val="24"/>
          <w:lang w:eastAsia="en-GB"/>
        </w:rPr>
        <w:t xml:space="preserve"> failures.</w:t>
      </w:r>
    </w:p>
    <w:p w14:paraId="4DAC2A83" w14:textId="29E64FF5" w:rsidR="001B4D81" w:rsidRPr="00384FF5" w:rsidRDefault="001B4D81" w:rsidP="001B4D81">
      <w:pPr>
        <w:rPr>
          <w:sz w:val="24"/>
          <w:szCs w:val="24"/>
        </w:rPr>
      </w:pPr>
    </w:p>
    <w:p w14:paraId="1B1F0658" w14:textId="49DD3DB9" w:rsidR="001B4D81" w:rsidRPr="001B4D81" w:rsidRDefault="001B4D81" w:rsidP="001C6AF2">
      <w:pPr>
        <w:rPr>
          <w:b/>
          <w:bCs/>
          <w:sz w:val="24"/>
          <w:szCs w:val="24"/>
        </w:rPr>
      </w:pPr>
      <w:r w:rsidRPr="001B4D81">
        <w:rPr>
          <w:b/>
          <w:bCs/>
          <w:sz w:val="24"/>
          <w:szCs w:val="24"/>
        </w:rPr>
        <w:t>Limitation</w:t>
      </w:r>
      <w:r w:rsidR="0003005A">
        <w:rPr>
          <w:b/>
          <w:bCs/>
          <w:sz w:val="24"/>
          <w:szCs w:val="24"/>
        </w:rPr>
        <w:t xml:space="preserve">s of ratio </w:t>
      </w:r>
      <w:r w:rsidR="002502E5">
        <w:rPr>
          <w:b/>
          <w:bCs/>
          <w:sz w:val="24"/>
          <w:szCs w:val="24"/>
        </w:rPr>
        <w:t>analysis</w:t>
      </w:r>
      <w:r w:rsidR="0003005A">
        <w:rPr>
          <w:b/>
          <w:bCs/>
          <w:sz w:val="24"/>
          <w:szCs w:val="24"/>
        </w:rPr>
        <w:t>.</w:t>
      </w:r>
    </w:p>
    <w:p w14:paraId="747D391F" w14:textId="16AFDBF6" w:rsidR="000C707C" w:rsidRPr="000C707C" w:rsidRDefault="006E04CA" w:rsidP="000C707C">
      <w:pPr>
        <w:shd w:val="clear" w:color="auto" w:fill="FFFFFF"/>
        <w:spacing w:after="0" w:line="240" w:lineRule="auto"/>
        <w:rPr>
          <w:rFonts w:cstheme="minorHAnsi"/>
          <w:sz w:val="24"/>
          <w:szCs w:val="24"/>
          <w:shd w:val="clear" w:color="auto" w:fill="FFFFFF"/>
        </w:rPr>
      </w:pPr>
      <w:r w:rsidRPr="000C707C">
        <w:rPr>
          <w:rFonts w:cstheme="minorHAnsi"/>
          <w:sz w:val="24"/>
          <w:szCs w:val="24"/>
        </w:rPr>
        <w:t xml:space="preserve">A </w:t>
      </w:r>
      <w:r w:rsidR="0003005A" w:rsidRPr="000C707C">
        <w:rPr>
          <w:rFonts w:cstheme="minorHAnsi"/>
          <w:sz w:val="24"/>
          <w:szCs w:val="24"/>
        </w:rPr>
        <w:t>key limitation that can arise from ratio analysis is potential Manipulation of financial statements, this data is supplied by the company in their financial statements</w:t>
      </w:r>
      <w:r w:rsidR="00497042">
        <w:rPr>
          <w:rFonts w:cstheme="minorHAnsi"/>
          <w:sz w:val="24"/>
          <w:szCs w:val="24"/>
        </w:rPr>
        <w:t xml:space="preserve">, </w:t>
      </w:r>
      <w:r w:rsidR="00364C21" w:rsidRPr="000C707C">
        <w:rPr>
          <w:rFonts w:cstheme="minorHAnsi"/>
          <w:sz w:val="24"/>
          <w:szCs w:val="24"/>
        </w:rPr>
        <w:t>the</w:t>
      </w:r>
      <w:r w:rsidR="0003005A" w:rsidRPr="000C707C">
        <w:rPr>
          <w:rFonts w:cstheme="minorHAnsi"/>
          <w:sz w:val="24"/>
          <w:szCs w:val="24"/>
        </w:rPr>
        <w:t xml:space="preserve"> information could be manipulated by management to display better result than the accurate performance data. Manipulated information wouldn’t be detected by simple analysis, so it would be imperative that an analyst would be aware of potential manipulations and complete </w:t>
      </w:r>
      <w:hyperlink r:id="rId11" w:history="1">
        <w:r w:rsidR="0003005A" w:rsidRPr="000C707C">
          <w:rPr>
            <w:rStyle w:val="Hyperlink"/>
            <w:rFonts w:cstheme="minorHAnsi"/>
            <w:color w:val="auto"/>
            <w:sz w:val="24"/>
            <w:szCs w:val="24"/>
            <w:u w:val="none"/>
          </w:rPr>
          <w:t>due diligence</w:t>
        </w:r>
      </w:hyperlink>
      <w:r w:rsidR="0003005A" w:rsidRPr="000C707C">
        <w:rPr>
          <w:rFonts w:cstheme="minorHAnsi"/>
          <w:sz w:val="24"/>
          <w:szCs w:val="24"/>
        </w:rPr>
        <w:t> before concluding on the data provided</w:t>
      </w:r>
      <w:r w:rsidR="002B0D71" w:rsidRPr="000C707C">
        <w:rPr>
          <w:rFonts w:cstheme="minorHAnsi"/>
          <w:sz w:val="24"/>
          <w:szCs w:val="24"/>
        </w:rPr>
        <w:t xml:space="preserve"> </w:t>
      </w:r>
      <w:r w:rsidR="002B0D71" w:rsidRPr="000C707C">
        <w:rPr>
          <w:rFonts w:cstheme="minorHAnsi"/>
          <w:sz w:val="24"/>
          <w:szCs w:val="24"/>
          <w:shd w:val="clear" w:color="auto" w:fill="FFFFFF"/>
        </w:rPr>
        <w:t>(CFI, 2021)</w:t>
      </w:r>
      <w:r w:rsidR="0003005A" w:rsidRPr="000C707C">
        <w:rPr>
          <w:rFonts w:cstheme="minorHAnsi"/>
          <w:sz w:val="24"/>
          <w:szCs w:val="24"/>
        </w:rPr>
        <w:t>.</w:t>
      </w:r>
      <w:r w:rsidR="000C707C" w:rsidRPr="000C707C">
        <w:rPr>
          <w:rFonts w:cstheme="minorHAnsi"/>
          <w:sz w:val="24"/>
          <w:szCs w:val="24"/>
        </w:rPr>
        <w:t xml:space="preserve"> McLaren use auditors, PricewaterhouseCoopers LLP, who are independent</w:t>
      </w:r>
      <w:r w:rsidR="0019348E">
        <w:rPr>
          <w:rFonts w:cstheme="minorHAnsi"/>
          <w:sz w:val="24"/>
          <w:szCs w:val="24"/>
        </w:rPr>
        <w:t xml:space="preserve"> and gives</w:t>
      </w:r>
      <w:r w:rsidR="000C707C" w:rsidRPr="000C707C">
        <w:rPr>
          <w:rFonts w:cstheme="minorHAnsi"/>
          <w:sz w:val="24"/>
          <w:szCs w:val="24"/>
        </w:rPr>
        <w:t xml:space="preserve"> </w:t>
      </w:r>
      <w:r w:rsidR="0019348E">
        <w:rPr>
          <w:rFonts w:cstheme="minorHAnsi"/>
          <w:sz w:val="24"/>
          <w:szCs w:val="24"/>
        </w:rPr>
        <w:t xml:space="preserve">their </w:t>
      </w:r>
      <w:r w:rsidR="000C707C" w:rsidRPr="000C707C">
        <w:rPr>
          <w:rFonts w:cstheme="minorHAnsi"/>
          <w:sz w:val="24"/>
          <w:szCs w:val="24"/>
        </w:rPr>
        <w:t>audit</w:t>
      </w:r>
      <w:r w:rsidR="0019348E">
        <w:rPr>
          <w:rFonts w:cstheme="minorHAnsi"/>
          <w:sz w:val="24"/>
          <w:szCs w:val="24"/>
        </w:rPr>
        <w:t>s</w:t>
      </w:r>
      <w:r w:rsidR="000C707C" w:rsidRPr="000C707C">
        <w:rPr>
          <w:rFonts w:cstheme="minorHAnsi"/>
          <w:sz w:val="24"/>
          <w:szCs w:val="24"/>
        </w:rPr>
        <w:t xml:space="preserve"> credibility to their statements and avoid potential conflicts of interest. This protects potential new and existing shareholders</w:t>
      </w:r>
      <w:r w:rsidR="000C707C" w:rsidRPr="000C707C">
        <w:rPr>
          <w:rFonts w:eastAsia="Times New Roman" w:cstheme="minorHAnsi"/>
          <w:sz w:val="24"/>
          <w:szCs w:val="24"/>
          <w:lang w:eastAsia="en-GB"/>
        </w:rPr>
        <w:t xml:space="preserve"> from fraudulent financial claims</w:t>
      </w:r>
      <w:r w:rsidR="000C707C" w:rsidRPr="000C707C">
        <w:rPr>
          <w:rFonts w:cstheme="minorHAnsi"/>
          <w:sz w:val="24"/>
          <w:szCs w:val="24"/>
          <w:shd w:val="clear" w:color="auto" w:fill="FFFFFF"/>
        </w:rPr>
        <w:t xml:space="preserve"> (</w:t>
      </w:r>
      <w:proofErr w:type="spellStart"/>
      <w:r w:rsidR="000C707C" w:rsidRPr="000C707C">
        <w:rPr>
          <w:rFonts w:cstheme="minorHAnsi"/>
          <w:sz w:val="24"/>
          <w:szCs w:val="24"/>
          <w:shd w:val="clear" w:color="auto" w:fill="FFFFFF"/>
        </w:rPr>
        <w:t>Godick</w:t>
      </w:r>
      <w:proofErr w:type="spellEnd"/>
      <w:r w:rsidR="000C707C" w:rsidRPr="000C707C">
        <w:rPr>
          <w:rFonts w:cstheme="minorHAnsi"/>
          <w:sz w:val="24"/>
          <w:szCs w:val="24"/>
          <w:shd w:val="clear" w:color="auto" w:fill="FFFFFF"/>
        </w:rPr>
        <w:t>, 2021)</w:t>
      </w:r>
      <w:r w:rsidR="000C707C" w:rsidRPr="000C707C">
        <w:rPr>
          <w:rFonts w:eastAsia="Times New Roman" w:cstheme="minorHAnsi"/>
          <w:sz w:val="24"/>
          <w:szCs w:val="24"/>
          <w:lang w:eastAsia="en-GB"/>
        </w:rPr>
        <w:t xml:space="preserve">. </w:t>
      </w:r>
    </w:p>
    <w:p w14:paraId="4EA520F0" w14:textId="03054F9A" w:rsidR="0003005A" w:rsidRPr="002B0D71" w:rsidRDefault="0003005A" w:rsidP="002B0D71">
      <w:pPr>
        <w:pStyle w:val="NormalWeb"/>
        <w:rPr>
          <w:rFonts w:asciiTheme="minorHAnsi" w:hAnsiTheme="minorHAnsi" w:cstheme="minorHAnsi"/>
        </w:rPr>
      </w:pPr>
    </w:p>
    <w:p w14:paraId="324657C2" w14:textId="3574E16A" w:rsidR="0087767C" w:rsidRPr="0093715D" w:rsidRDefault="0087767C" w:rsidP="0087767C">
      <w:pPr>
        <w:rPr>
          <w:rFonts w:cstheme="minorHAnsi"/>
          <w:spacing w:val="1"/>
          <w:sz w:val="24"/>
          <w:szCs w:val="24"/>
          <w:shd w:val="clear" w:color="auto" w:fill="FFFFFF"/>
        </w:rPr>
      </w:pPr>
      <w:r w:rsidRPr="002B0D71">
        <w:rPr>
          <w:rFonts w:cstheme="minorHAnsi"/>
          <w:sz w:val="24"/>
          <w:szCs w:val="24"/>
          <w:shd w:val="clear" w:color="auto" w:fill="FFFFFF"/>
        </w:rPr>
        <w:lastRenderedPageBreak/>
        <w:t>When making investment decisions from data collected from financial reports it would be naïve to not take into external factors</w:t>
      </w:r>
      <w:r w:rsidR="0019348E">
        <w:rPr>
          <w:rFonts w:cstheme="minorHAnsi"/>
          <w:sz w:val="24"/>
          <w:szCs w:val="24"/>
          <w:shd w:val="clear" w:color="auto" w:fill="FFFFFF"/>
        </w:rPr>
        <w:t xml:space="preserve">, </w:t>
      </w:r>
      <w:r w:rsidR="0019348E">
        <w:rPr>
          <w:rFonts w:cstheme="minorHAnsi"/>
          <w:sz w:val="24"/>
          <w:szCs w:val="24"/>
        </w:rPr>
        <w:t>r</w:t>
      </w:r>
      <w:r w:rsidRPr="002B0D71">
        <w:rPr>
          <w:rFonts w:cstheme="minorHAnsi"/>
          <w:sz w:val="24"/>
          <w:szCs w:val="24"/>
        </w:rPr>
        <w:t xml:space="preserve">atio analysis is commonly used by, investors, creditors and management, the data can reveal a lot about a business and its operational health. </w:t>
      </w:r>
      <w:proofErr w:type="spellStart"/>
      <w:r w:rsidRPr="002B0D71">
        <w:rPr>
          <w:rFonts w:cstheme="minorHAnsi"/>
          <w:sz w:val="24"/>
          <w:szCs w:val="24"/>
          <w:shd w:val="clear" w:color="auto" w:fill="FFFFFF"/>
        </w:rPr>
        <w:t>Lesáková</w:t>
      </w:r>
      <w:proofErr w:type="spellEnd"/>
      <w:r w:rsidRPr="002B0D71">
        <w:rPr>
          <w:rFonts w:cstheme="minorHAnsi"/>
          <w:sz w:val="24"/>
          <w:szCs w:val="24"/>
          <w:shd w:val="clear" w:color="auto" w:fill="FFFFFF"/>
        </w:rPr>
        <w:t>, (2007)</w:t>
      </w:r>
      <w:r w:rsidRPr="002B0D71">
        <w:rPr>
          <w:rFonts w:cstheme="minorHAnsi"/>
          <w:spacing w:val="1"/>
          <w:sz w:val="24"/>
          <w:szCs w:val="24"/>
          <w:shd w:val="clear" w:color="auto" w:fill="FFFFFF"/>
        </w:rPr>
        <w:t xml:space="preserve"> </w:t>
      </w:r>
      <w:r w:rsidRPr="002B0D71">
        <w:rPr>
          <w:rFonts w:cstheme="minorHAnsi"/>
          <w:sz w:val="24"/>
          <w:szCs w:val="24"/>
        </w:rPr>
        <w:t>highlights limitations to take in mind about ratios. Firstly, they are one figure divided by another, so it could be unreasonable to assume that the calculation of one ratio, or multiple ratios, would automatically give the important data into the company’s health. Using one or multiple ratios might give misleading information, but if combined with other data such as management, economic, or alternative</w:t>
      </w:r>
      <w:r w:rsidRPr="0093715D">
        <w:rPr>
          <w:rFonts w:cstheme="minorHAnsi"/>
          <w:sz w:val="24"/>
          <w:szCs w:val="24"/>
        </w:rPr>
        <w:t xml:space="preserve"> circumstances </w:t>
      </w:r>
      <w:r w:rsidRPr="0093715D">
        <w:rPr>
          <w:rFonts w:cstheme="minorHAnsi"/>
          <w:sz w:val="24"/>
          <w:szCs w:val="24"/>
          <w:shd w:val="clear" w:color="auto" w:fill="FFFFFF"/>
        </w:rPr>
        <w:t xml:space="preserve">such as </w:t>
      </w:r>
      <w:r w:rsidRPr="0093715D">
        <w:rPr>
          <w:rFonts w:cstheme="minorHAnsi"/>
          <w:sz w:val="24"/>
          <w:szCs w:val="24"/>
        </w:rPr>
        <w:t>recessions, inventory shortages, pandemics or geopolitics. they profitability ratio analysis would tell us a lot about the company and their operations.</w:t>
      </w:r>
    </w:p>
    <w:p w14:paraId="7973E366" w14:textId="19F0327A" w:rsidR="001B4D81" w:rsidRPr="002502E5" w:rsidRDefault="002502E5" w:rsidP="001C6AF2">
      <w:pPr>
        <w:rPr>
          <w:rFonts w:cstheme="minorHAnsi"/>
          <w:sz w:val="24"/>
          <w:szCs w:val="24"/>
        </w:rPr>
      </w:pPr>
      <w:r>
        <w:rPr>
          <w:rFonts w:cstheme="minorHAnsi"/>
          <w:sz w:val="24"/>
          <w:szCs w:val="24"/>
        </w:rPr>
        <w:t>Further limitations are</w:t>
      </w:r>
      <w:r w:rsidR="00F33C47">
        <w:rPr>
          <w:rFonts w:cstheme="minorHAnsi"/>
          <w:sz w:val="24"/>
          <w:szCs w:val="24"/>
        </w:rPr>
        <w:t xml:space="preserve"> the </w:t>
      </w:r>
      <w:r w:rsidR="001B4D81" w:rsidRPr="0093715D">
        <w:rPr>
          <w:rFonts w:cstheme="minorHAnsi"/>
          <w:sz w:val="24"/>
          <w:szCs w:val="24"/>
        </w:rPr>
        <w:t>data is historic</w:t>
      </w:r>
      <w:r w:rsidR="00F33C47">
        <w:rPr>
          <w:rFonts w:cstheme="minorHAnsi"/>
          <w:sz w:val="24"/>
          <w:szCs w:val="24"/>
        </w:rPr>
        <w:t>, its</w:t>
      </w:r>
      <w:r w:rsidR="0093715D" w:rsidRPr="0093715D">
        <w:rPr>
          <w:rFonts w:cstheme="minorHAnsi"/>
          <w:sz w:val="24"/>
          <w:szCs w:val="24"/>
        </w:rPr>
        <w:t xml:space="preserve"> collected </w:t>
      </w:r>
      <w:r w:rsidR="0019348E">
        <w:rPr>
          <w:rFonts w:cstheme="minorHAnsi"/>
          <w:sz w:val="24"/>
          <w:szCs w:val="24"/>
        </w:rPr>
        <w:t>and</w:t>
      </w:r>
      <w:r w:rsidR="0093715D" w:rsidRPr="0093715D">
        <w:rPr>
          <w:rFonts w:cstheme="minorHAnsi"/>
          <w:sz w:val="24"/>
          <w:szCs w:val="24"/>
        </w:rPr>
        <w:t xml:space="preserve"> released information by the company, it may not give a fair representation of their future profitability and performance.</w:t>
      </w:r>
      <w:r>
        <w:rPr>
          <w:rFonts w:cstheme="minorHAnsi"/>
          <w:sz w:val="24"/>
          <w:szCs w:val="24"/>
        </w:rPr>
        <w:t xml:space="preserve"> </w:t>
      </w:r>
      <w:r w:rsidR="001B4D81" w:rsidRPr="001B4D81">
        <w:rPr>
          <w:sz w:val="24"/>
          <w:szCs w:val="24"/>
        </w:rPr>
        <w:t xml:space="preserve">Ratios </w:t>
      </w:r>
      <w:r w:rsidR="00575279">
        <w:rPr>
          <w:sz w:val="24"/>
          <w:szCs w:val="24"/>
        </w:rPr>
        <w:t>should</w:t>
      </w:r>
      <w:r w:rsidR="001B4D81" w:rsidRPr="001B4D81">
        <w:rPr>
          <w:sz w:val="24"/>
          <w:szCs w:val="24"/>
        </w:rPr>
        <w:t xml:space="preserve"> only be used to measure against businesses of similar size and same industry.</w:t>
      </w:r>
    </w:p>
    <w:p w14:paraId="5A44AB4D" w14:textId="6C2A658A" w:rsidR="00B92307" w:rsidRDefault="00B92307" w:rsidP="00333203">
      <w:pPr>
        <w:rPr>
          <w:rFonts w:cstheme="minorHAnsi"/>
          <w:b/>
          <w:bCs/>
          <w:sz w:val="28"/>
          <w:szCs w:val="28"/>
        </w:rPr>
      </w:pPr>
      <w:r w:rsidRPr="001B4D81">
        <w:rPr>
          <w:rFonts w:cstheme="minorHAnsi"/>
          <w:b/>
          <w:bCs/>
          <w:sz w:val="28"/>
          <w:szCs w:val="28"/>
        </w:rPr>
        <w:t>Ratio Analysis</w:t>
      </w:r>
    </w:p>
    <w:p w14:paraId="06F544A3" w14:textId="6904DC32" w:rsidR="00EF1EA4" w:rsidRDefault="00EF1EA4" w:rsidP="00B92307">
      <w:pPr>
        <w:pStyle w:val="Default"/>
        <w:rPr>
          <w:rFonts w:asciiTheme="minorHAnsi" w:hAnsiTheme="minorHAnsi" w:cstheme="minorHAnsi"/>
          <w:b/>
          <w:bCs/>
          <w:color w:val="auto"/>
        </w:rPr>
      </w:pPr>
      <w:r w:rsidRPr="00EF1EA4">
        <w:rPr>
          <w:rFonts w:asciiTheme="minorHAnsi" w:hAnsiTheme="minorHAnsi" w:cstheme="minorHAnsi"/>
          <w:b/>
          <w:bCs/>
          <w:color w:val="auto"/>
        </w:rPr>
        <w:t>Table of ratio</w:t>
      </w:r>
      <w:r w:rsidR="00333203">
        <w:rPr>
          <w:rFonts w:asciiTheme="minorHAnsi" w:hAnsiTheme="minorHAnsi" w:cstheme="minorHAnsi"/>
          <w:b/>
          <w:bCs/>
          <w:color w:val="auto"/>
        </w:rPr>
        <w:t xml:space="preserve"> results for </w:t>
      </w:r>
      <w:r w:rsidRPr="00EF1EA4">
        <w:rPr>
          <w:rFonts w:asciiTheme="minorHAnsi" w:hAnsiTheme="minorHAnsi" w:cstheme="minorHAnsi"/>
          <w:b/>
          <w:bCs/>
          <w:color w:val="auto"/>
        </w:rPr>
        <w:t>year</w:t>
      </w:r>
      <w:r w:rsidR="00333203">
        <w:rPr>
          <w:rFonts w:asciiTheme="minorHAnsi" w:hAnsiTheme="minorHAnsi" w:cstheme="minorHAnsi"/>
          <w:b/>
          <w:bCs/>
          <w:color w:val="auto"/>
        </w:rPr>
        <w:t>s</w:t>
      </w:r>
      <w:r w:rsidRPr="00EF1EA4">
        <w:rPr>
          <w:rFonts w:asciiTheme="minorHAnsi" w:hAnsiTheme="minorHAnsi" w:cstheme="minorHAnsi"/>
          <w:b/>
          <w:bCs/>
          <w:color w:val="auto"/>
        </w:rPr>
        <w:t xml:space="preserve"> 19-21</w:t>
      </w:r>
    </w:p>
    <w:p w14:paraId="7A805D40" w14:textId="29866074" w:rsidR="004B59A2" w:rsidRDefault="004B59A2" w:rsidP="00B92307">
      <w:pPr>
        <w:pStyle w:val="Default"/>
        <w:rPr>
          <w:rFonts w:asciiTheme="minorHAnsi" w:hAnsiTheme="minorHAnsi" w:cstheme="minorHAnsi"/>
          <w:b/>
          <w:bCs/>
          <w:color w:val="auto"/>
        </w:rPr>
      </w:pPr>
    </w:p>
    <w:p w14:paraId="232F13E4" w14:textId="4DB2564E" w:rsidR="004B59A2" w:rsidRPr="00EF1EA4" w:rsidRDefault="004B59A2" w:rsidP="00B92307">
      <w:pPr>
        <w:pStyle w:val="Default"/>
        <w:rPr>
          <w:rFonts w:asciiTheme="minorHAnsi" w:hAnsiTheme="minorHAnsi" w:cstheme="minorHAnsi"/>
          <w:b/>
          <w:bCs/>
          <w:color w:val="auto"/>
        </w:rPr>
      </w:pPr>
      <w:r>
        <w:rPr>
          <w:rFonts w:asciiTheme="minorHAnsi" w:hAnsiTheme="minorHAnsi" w:cstheme="minorHAnsi"/>
          <w:b/>
          <w:bCs/>
          <w:color w:val="auto"/>
        </w:rPr>
        <w:t>The figures used to generate these ratios can be found in appendix 1 in the financial model.</w:t>
      </w:r>
    </w:p>
    <w:p w14:paraId="176C8EE1" w14:textId="77777777" w:rsidR="00B92307" w:rsidRDefault="00B92307" w:rsidP="00B92307">
      <w:pPr>
        <w:pStyle w:val="Default"/>
        <w:rPr>
          <w:rFonts w:asciiTheme="minorHAnsi" w:hAnsiTheme="minorHAnsi" w:cstheme="minorHAnsi"/>
          <w:b/>
          <w:bCs/>
          <w:color w:val="auto"/>
          <w:sz w:val="28"/>
          <w:szCs w:val="28"/>
        </w:rPr>
      </w:pPr>
    </w:p>
    <w:p w14:paraId="3AB2026A" w14:textId="77777777" w:rsidR="00B92307" w:rsidRDefault="00B92307" w:rsidP="00B92307">
      <w:pPr>
        <w:rPr>
          <w:rFonts w:cstheme="minorHAnsi"/>
          <w:spacing w:val="1"/>
          <w:sz w:val="24"/>
          <w:szCs w:val="24"/>
          <w:shd w:val="clear" w:color="auto" w:fill="FFFFFF"/>
        </w:rPr>
      </w:pPr>
    </w:p>
    <w:tbl>
      <w:tblPr>
        <w:tblW w:w="7400" w:type="dxa"/>
        <w:tblLook w:val="04A0" w:firstRow="1" w:lastRow="0" w:firstColumn="1" w:lastColumn="0" w:noHBand="0" w:noVBand="1"/>
      </w:tblPr>
      <w:tblGrid>
        <w:gridCol w:w="3800"/>
        <w:gridCol w:w="1200"/>
        <w:gridCol w:w="1360"/>
        <w:gridCol w:w="1040"/>
      </w:tblGrid>
      <w:tr w:rsidR="00B92307" w:rsidRPr="006D475D" w14:paraId="3DD1A76D" w14:textId="77777777" w:rsidTr="008879D1">
        <w:trPr>
          <w:trHeight w:val="288"/>
        </w:trPr>
        <w:tc>
          <w:tcPr>
            <w:tcW w:w="3800" w:type="dxa"/>
            <w:tcBorders>
              <w:top w:val="nil"/>
              <w:left w:val="nil"/>
              <w:bottom w:val="nil"/>
              <w:right w:val="nil"/>
            </w:tcBorders>
            <w:shd w:val="clear" w:color="auto" w:fill="auto"/>
            <w:noWrap/>
            <w:vAlign w:val="bottom"/>
            <w:hideMark/>
          </w:tcPr>
          <w:p w14:paraId="5A136A95" w14:textId="77777777" w:rsidR="00B92307" w:rsidRPr="006D475D" w:rsidRDefault="00B92307" w:rsidP="008879D1">
            <w:pPr>
              <w:spacing w:after="0" w:line="240" w:lineRule="auto"/>
              <w:rPr>
                <w:rFonts w:ascii="Times New Roman" w:eastAsia="Times New Roman" w:hAnsi="Times New Roman" w:cs="Times New Roman"/>
                <w:sz w:val="24"/>
                <w:szCs w:val="24"/>
                <w:lang w:eastAsia="en-GB"/>
              </w:rPr>
            </w:pPr>
          </w:p>
        </w:tc>
        <w:tc>
          <w:tcPr>
            <w:tcW w:w="1200"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35ECBA4F"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2021</w:t>
            </w:r>
          </w:p>
        </w:tc>
        <w:tc>
          <w:tcPr>
            <w:tcW w:w="1360" w:type="dxa"/>
            <w:tcBorders>
              <w:top w:val="single" w:sz="4" w:space="0" w:color="auto"/>
              <w:left w:val="nil"/>
              <w:bottom w:val="single" w:sz="4" w:space="0" w:color="auto"/>
              <w:right w:val="single" w:sz="4" w:space="0" w:color="auto"/>
            </w:tcBorders>
            <w:shd w:val="clear" w:color="000000" w:fill="D9E1F2"/>
            <w:noWrap/>
            <w:vAlign w:val="bottom"/>
            <w:hideMark/>
          </w:tcPr>
          <w:p w14:paraId="55B43CEB"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2020</w:t>
            </w:r>
          </w:p>
        </w:tc>
        <w:tc>
          <w:tcPr>
            <w:tcW w:w="1040" w:type="dxa"/>
            <w:tcBorders>
              <w:top w:val="single" w:sz="4" w:space="0" w:color="auto"/>
              <w:left w:val="nil"/>
              <w:bottom w:val="single" w:sz="4" w:space="0" w:color="auto"/>
              <w:right w:val="single" w:sz="4" w:space="0" w:color="auto"/>
            </w:tcBorders>
            <w:shd w:val="clear" w:color="000000" w:fill="D9E1F2"/>
            <w:noWrap/>
            <w:vAlign w:val="bottom"/>
            <w:hideMark/>
          </w:tcPr>
          <w:p w14:paraId="7E91E380"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2019</w:t>
            </w:r>
          </w:p>
        </w:tc>
      </w:tr>
      <w:tr w:rsidR="00B92307" w:rsidRPr="006D475D" w14:paraId="70EC3E3B" w14:textId="77777777" w:rsidTr="008879D1">
        <w:trPr>
          <w:trHeight w:val="288"/>
        </w:trPr>
        <w:tc>
          <w:tcPr>
            <w:tcW w:w="3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10D93D" w14:textId="77777777" w:rsidR="00B92307" w:rsidRPr="006D475D" w:rsidRDefault="00B92307" w:rsidP="008879D1">
            <w:pPr>
              <w:spacing w:after="0" w:line="240" w:lineRule="auto"/>
              <w:jc w:val="center"/>
              <w:rPr>
                <w:rFonts w:ascii="Calibri" w:eastAsia="Times New Roman" w:hAnsi="Calibri" w:cs="Calibri"/>
                <w:b/>
                <w:bCs/>
                <w:color w:val="000000"/>
                <w:lang w:eastAsia="en-GB"/>
              </w:rPr>
            </w:pPr>
            <w:r w:rsidRPr="006D475D">
              <w:rPr>
                <w:rFonts w:ascii="Calibri" w:eastAsia="Times New Roman" w:hAnsi="Calibri" w:cs="Calibri"/>
                <w:b/>
                <w:bCs/>
                <w:color w:val="000000"/>
                <w:lang w:eastAsia="en-GB"/>
              </w:rPr>
              <w:t>Ratios</w:t>
            </w:r>
          </w:p>
        </w:tc>
        <w:tc>
          <w:tcPr>
            <w:tcW w:w="1200" w:type="dxa"/>
            <w:tcBorders>
              <w:top w:val="nil"/>
              <w:left w:val="nil"/>
              <w:bottom w:val="single" w:sz="4" w:space="0" w:color="auto"/>
              <w:right w:val="single" w:sz="4" w:space="0" w:color="auto"/>
            </w:tcBorders>
            <w:shd w:val="clear" w:color="auto" w:fill="auto"/>
            <w:noWrap/>
            <w:vAlign w:val="bottom"/>
            <w:hideMark/>
          </w:tcPr>
          <w:p w14:paraId="346ACE6E" w14:textId="77777777" w:rsidR="00B92307" w:rsidRPr="006D475D" w:rsidRDefault="00B92307" w:rsidP="008879D1">
            <w:pPr>
              <w:spacing w:after="0" w:line="240" w:lineRule="auto"/>
              <w:rPr>
                <w:rFonts w:ascii="Calibri" w:eastAsia="Times New Roman" w:hAnsi="Calibri" w:cs="Calibri"/>
                <w:color w:val="000000"/>
                <w:lang w:eastAsia="en-GB"/>
              </w:rPr>
            </w:pPr>
            <w:r w:rsidRPr="006D475D">
              <w:rPr>
                <w:rFonts w:ascii="Calibri" w:eastAsia="Times New Roman" w:hAnsi="Calibri" w:cs="Calibri"/>
                <w:color w:val="000000"/>
                <w:lang w:eastAsia="en-GB"/>
              </w:rPr>
              <w:t> </w:t>
            </w:r>
          </w:p>
        </w:tc>
        <w:tc>
          <w:tcPr>
            <w:tcW w:w="1360" w:type="dxa"/>
            <w:tcBorders>
              <w:top w:val="nil"/>
              <w:left w:val="nil"/>
              <w:bottom w:val="single" w:sz="4" w:space="0" w:color="auto"/>
              <w:right w:val="single" w:sz="4" w:space="0" w:color="auto"/>
            </w:tcBorders>
            <w:shd w:val="clear" w:color="auto" w:fill="auto"/>
            <w:noWrap/>
            <w:vAlign w:val="bottom"/>
            <w:hideMark/>
          </w:tcPr>
          <w:p w14:paraId="007E2091" w14:textId="77777777" w:rsidR="00B92307" w:rsidRPr="006D475D" w:rsidRDefault="00B92307" w:rsidP="008879D1">
            <w:pPr>
              <w:spacing w:after="0" w:line="240" w:lineRule="auto"/>
              <w:rPr>
                <w:rFonts w:ascii="Calibri" w:eastAsia="Times New Roman" w:hAnsi="Calibri" w:cs="Calibri"/>
                <w:color w:val="000000"/>
                <w:lang w:eastAsia="en-GB"/>
              </w:rPr>
            </w:pPr>
            <w:r w:rsidRPr="006D475D">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auto" w:fill="auto"/>
            <w:noWrap/>
            <w:vAlign w:val="bottom"/>
            <w:hideMark/>
          </w:tcPr>
          <w:p w14:paraId="01B3FC8C" w14:textId="77777777" w:rsidR="00B92307" w:rsidRPr="006D475D" w:rsidRDefault="00B92307" w:rsidP="008879D1">
            <w:pPr>
              <w:spacing w:after="0" w:line="240" w:lineRule="auto"/>
              <w:rPr>
                <w:rFonts w:ascii="Calibri" w:eastAsia="Times New Roman" w:hAnsi="Calibri" w:cs="Calibri"/>
                <w:color w:val="000000"/>
                <w:lang w:eastAsia="en-GB"/>
              </w:rPr>
            </w:pPr>
            <w:r w:rsidRPr="006D475D">
              <w:rPr>
                <w:rFonts w:ascii="Calibri" w:eastAsia="Times New Roman" w:hAnsi="Calibri" w:cs="Calibri"/>
                <w:color w:val="000000"/>
                <w:lang w:eastAsia="en-GB"/>
              </w:rPr>
              <w:t> </w:t>
            </w:r>
          </w:p>
        </w:tc>
      </w:tr>
      <w:tr w:rsidR="00B92307" w:rsidRPr="006D475D" w14:paraId="5DFE39F4" w14:textId="77777777" w:rsidTr="008879D1">
        <w:trPr>
          <w:trHeight w:val="288"/>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321C4BB0" w14:textId="77777777" w:rsidR="00B92307" w:rsidRPr="006D475D" w:rsidRDefault="00B92307" w:rsidP="008879D1">
            <w:pPr>
              <w:spacing w:after="0" w:line="240" w:lineRule="auto"/>
              <w:jc w:val="center"/>
              <w:rPr>
                <w:rFonts w:ascii="Calibri" w:eastAsia="Times New Roman" w:hAnsi="Calibri" w:cs="Calibri"/>
                <w:b/>
                <w:bCs/>
                <w:color w:val="000000"/>
                <w:lang w:eastAsia="en-GB"/>
              </w:rPr>
            </w:pPr>
            <w:r w:rsidRPr="006D475D">
              <w:rPr>
                <w:rFonts w:ascii="Calibri" w:eastAsia="Times New Roman" w:hAnsi="Calibri" w:cs="Calibri"/>
                <w:b/>
                <w:bCs/>
                <w:color w:val="000000"/>
                <w:lang w:eastAsia="en-GB"/>
              </w:rPr>
              <w:t>Gross profit Margin %</w:t>
            </w:r>
          </w:p>
        </w:tc>
        <w:tc>
          <w:tcPr>
            <w:tcW w:w="1200" w:type="dxa"/>
            <w:tcBorders>
              <w:top w:val="nil"/>
              <w:left w:val="nil"/>
              <w:bottom w:val="single" w:sz="4" w:space="0" w:color="auto"/>
              <w:right w:val="single" w:sz="4" w:space="0" w:color="auto"/>
            </w:tcBorders>
            <w:shd w:val="clear" w:color="auto" w:fill="auto"/>
            <w:noWrap/>
            <w:vAlign w:val="bottom"/>
            <w:hideMark/>
          </w:tcPr>
          <w:p w14:paraId="02907FF9"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31.76</w:t>
            </w:r>
          </w:p>
        </w:tc>
        <w:tc>
          <w:tcPr>
            <w:tcW w:w="1360" w:type="dxa"/>
            <w:tcBorders>
              <w:top w:val="nil"/>
              <w:left w:val="nil"/>
              <w:bottom w:val="single" w:sz="4" w:space="0" w:color="auto"/>
              <w:right w:val="single" w:sz="4" w:space="0" w:color="auto"/>
            </w:tcBorders>
            <w:shd w:val="clear" w:color="auto" w:fill="auto"/>
            <w:noWrap/>
            <w:vAlign w:val="bottom"/>
            <w:hideMark/>
          </w:tcPr>
          <w:p w14:paraId="7C8A2F8C"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18.64</w:t>
            </w:r>
          </w:p>
        </w:tc>
        <w:tc>
          <w:tcPr>
            <w:tcW w:w="1040" w:type="dxa"/>
            <w:tcBorders>
              <w:top w:val="nil"/>
              <w:left w:val="nil"/>
              <w:bottom w:val="single" w:sz="4" w:space="0" w:color="auto"/>
              <w:right w:val="single" w:sz="4" w:space="0" w:color="auto"/>
            </w:tcBorders>
            <w:shd w:val="clear" w:color="auto" w:fill="auto"/>
            <w:noWrap/>
            <w:vAlign w:val="bottom"/>
            <w:hideMark/>
          </w:tcPr>
          <w:p w14:paraId="5C4F01A0"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30.42</w:t>
            </w:r>
          </w:p>
        </w:tc>
      </w:tr>
      <w:tr w:rsidR="00B92307" w:rsidRPr="006D475D" w14:paraId="6ABC7455" w14:textId="77777777" w:rsidTr="008879D1">
        <w:trPr>
          <w:trHeight w:val="288"/>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7D0235E1" w14:textId="77777777" w:rsidR="00B92307" w:rsidRPr="006D475D" w:rsidRDefault="00B92307" w:rsidP="008879D1">
            <w:pPr>
              <w:spacing w:after="0" w:line="240" w:lineRule="auto"/>
              <w:jc w:val="center"/>
              <w:rPr>
                <w:rFonts w:ascii="Calibri" w:eastAsia="Times New Roman" w:hAnsi="Calibri" w:cs="Calibri"/>
                <w:b/>
                <w:bCs/>
                <w:color w:val="000000"/>
                <w:lang w:eastAsia="en-GB"/>
              </w:rPr>
            </w:pPr>
            <w:r w:rsidRPr="006D475D">
              <w:rPr>
                <w:rFonts w:ascii="Calibri" w:eastAsia="Times New Roman" w:hAnsi="Calibri" w:cs="Calibri"/>
                <w:b/>
                <w:bCs/>
                <w:color w:val="000000"/>
                <w:lang w:eastAsia="en-GB"/>
              </w:rPr>
              <w:t>Operating Profit %</w:t>
            </w:r>
          </w:p>
        </w:tc>
        <w:tc>
          <w:tcPr>
            <w:tcW w:w="1200" w:type="dxa"/>
            <w:tcBorders>
              <w:top w:val="nil"/>
              <w:left w:val="nil"/>
              <w:bottom w:val="single" w:sz="4" w:space="0" w:color="auto"/>
              <w:right w:val="single" w:sz="4" w:space="0" w:color="auto"/>
            </w:tcBorders>
            <w:shd w:val="clear" w:color="auto" w:fill="auto"/>
            <w:noWrap/>
            <w:vAlign w:val="bottom"/>
            <w:hideMark/>
          </w:tcPr>
          <w:p w14:paraId="58D9FCB0"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4.80</w:t>
            </w:r>
          </w:p>
        </w:tc>
        <w:tc>
          <w:tcPr>
            <w:tcW w:w="1360" w:type="dxa"/>
            <w:tcBorders>
              <w:top w:val="nil"/>
              <w:left w:val="nil"/>
              <w:bottom w:val="single" w:sz="4" w:space="0" w:color="auto"/>
              <w:right w:val="single" w:sz="4" w:space="0" w:color="auto"/>
            </w:tcBorders>
            <w:shd w:val="clear" w:color="auto" w:fill="auto"/>
            <w:noWrap/>
            <w:vAlign w:val="bottom"/>
            <w:hideMark/>
          </w:tcPr>
          <w:p w14:paraId="3DBFC0D5"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-38.37</w:t>
            </w:r>
          </w:p>
        </w:tc>
        <w:tc>
          <w:tcPr>
            <w:tcW w:w="1040" w:type="dxa"/>
            <w:tcBorders>
              <w:top w:val="nil"/>
              <w:left w:val="nil"/>
              <w:bottom w:val="single" w:sz="4" w:space="0" w:color="auto"/>
              <w:right w:val="single" w:sz="4" w:space="0" w:color="auto"/>
            </w:tcBorders>
            <w:shd w:val="clear" w:color="auto" w:fill="auto"/>
            <w:noWrap/>
            <w:vAlign w:val="bottom"/>
            <w:hideMark/>
          </w:tcPr>
          <w:p w14:paraId="00557D81"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1.67</w:t>
            </w:r>
          </w:p>
        </w:tc>
      </w:tr>
      <w:tr w:rsidR="00B92307" w:rsidRPr="006D475D" w14:paraId="7A6561BC" w14:textId="77777777" w:rsidTr="008879D1">
        <w:trPr>
          <w:trHeight w:val="288"/>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5AC7E31B" w14:textId="77777777" w:rsidR="00B92307" w:rsidRPr="006D475D" w:rsidRDefault="00B92307" w:rsidP="008879D1">
            <w:pPr>
              <w:spacing w:after="0" w:line="240" w:lineRule="auto"/>
              <w:jc w:val="center"/>
              <w:rPr>
                <w:rFonts w:ascii="Calibri" w:eastAsia="Times New Roman" w:hAnsi="Calibri" w:cs="Calibri"/>
                <w:b/>
                <w:bCs/>
                <w:color w:val="000000"/>
                <w:lang w:eastAsia="en-GB"/>
              </w:rPr>
            </w:pPr>
            <w:r w:rsidRPr="006D475D">
              <w:rPr>
                <w:rFonts w:ascii="Calibri" w:eastAsia="Times New Roman" w:hAnsi="Calibri" w:cs="Calibri"/>
                <w:b/>
                <w:bCs/>
                <w:color w:val="000000"/>
                <w:lang w:eastAsia="en-GB"/>
              </w:rPr>
              <w:t>Net Profit %</w:t>
            </w:r>
          </w:p>
        </w:tc>
        <w:tc>
          <w:tcPr>
            <w:tcW w:w="1200" w:type="dxa"/>
            <w:tcBorders>
              <w:top w:val="nil"/>
              <w:left w:val="nil"/>
              <w:bottom w:val="single" w:sz="4" w:space="0" w:color="auto"/>
              <w:right w:val="single" w:sz="4" w:space="0" w:color="auto"/>
            </w:tcBorders>
            <w:shd w:val="clear" w:color="auto" w:fill="auto"/>
            <w:noWrap/>
            <w:vAlign w:val="bottom"/>
            <w:hideMark/>
          </w:tcPr>
          <w:p w14:paraId="41605F32"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-13.90</w:t>
            </w:r>
          </w:p>
        </w:tc>
        <w:tc>
          <w:tcPr>
            <w:tcW w:w="1360" w:type="dxa"/>
            <w:tcBorders>
              <w:top w:val="nil"/>
              <w:left w:val="nil"/>
              <w:bottom w:val="single" w:sz="4" w:space="0" w:color="auto"/>
              <w:right w:val="single" w:sz="4" w:space="0" w:color="auto"/>
            </w:tcBorders>
            <w:shd w:val="clear" w:color="auto" w:fill="auto"/>
            <w:noWrap/>
            <w:vAlign w:val="bottom"/>
            <w:hideMark/>
          </w:tcPr>
          <w:p w14:paraId="2930D995"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-83.09</w:t>
            </w:r>
          </w:p>
        </w:tc>
        <w:tc>
          <w:tcPr>
            <w:tcW w:w="1040" w:type="dxa"/>
            <w:tcBorders>
              <w:top w:val="nil"/>
              <w:left w:val="nil"/>
              <w:bottom w:val="single" w:sz="4" w:space="0" w:color="auto"/>
              <w:right w:val="single" w:sz="4" w:space="0" w:color="auto"/>
            </w:tcBorders>
            <w:shd w:val="clear" w:color="auto" w:fill="auto"/>
            <w:noWrap/>
            <w:vAlign w:val="bottom"/>
            <w:hideMark/>
          </w:tcPr>
          <w:p w14:paraId="5217E97E"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-2.30</w:t>
            </w:r>
          </w:p>
        </w:tc>
      </w:tr>
      <w:tr w:rsidR="00B92307" w:rsidRPr="006D475D" w14:paraId="6929EE26" w14:textId="77777777" w:rsidTr="008879D1">
        <w:trPr>
          <w:trHeight w:val="288"/>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1E6356C5" w14:textId="77777777" w:rsidR="00B92307" w:rsidRPr="006D475D" w:rsidRDefault="00B92307" w:rsidP="008879D1">
            <w:pPr>
              <w:spacing w:after="0" w:line="240" w:lineRule="auto"/>
              <w:jc w:val="center"/>
              <w:rPr>
                <w:rFonts w:ascii="Calibri" w:eastAsia="Times New Roman" w:hAnsi="Calibri" w:cs="Calibri"/>
                <w:b/>
                <w:bCs/>
                <w:color w:val="000000"/>
                <w:lang w:eastAsia="en-GB"/>
              </w:rPr>
            </w:pPr>
            <w:r w:rsidRPr="006D475D">
              <w:rPr>
                <w:rFonts w:ascii="Calibri" w:eastAsia="Times New Roman" w:hAnsi="Calibri" w:cs="Calibri"/>
                <w:b/>
                <w:bCs/>
                <w:color w:val="000000"/>
                <w:lang w:eastAsia="en-GB"/>
              </w:rPr>
              <w:t>Return on Assets</w:t>
            </w:r>
          </w:p>
        </w:tc>
        <w:tc>
          <w:tcPr>
            <w:tcW w:w="1200" w:type="dxa"/>
            <w:tcBorders>
              <w:top w:val="nil"/>
              <w:left w:val="nil"/>
              <w:bottom w:val="single" w:sz="4" w:space="0" w:color="auto"/>
              <w:right w:val="single" w:sz="4" w:space="0" w:color="auto"/>
            </w:tcBorders>
            <w:shd w:val="clear" w:color="auto" w:fill="auto"/>
            <w:noWrap/>
            <w:vAlign w:val="bottom"/>
            <w:hideMark/>
          </w:tcPr>
          <w:p w14:paraId="64048594"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-4.63</w:t>
            </w:r>
          </w:p>
        </w:tc>
        <w:tc>
          <w:tcPr>
            <w:tcW w:w="1360" w:type="dxa"/>
            <w:tcBorders>
              <w:top w:val="nil"/>
              <w:left w:val="nil"/>
              <w:bottom w:val="single" w:sz="4" w:space="0" w:color="auto"/>
              <w:right w:val="single" w:sz="4" w:space="0" w:color="auto"/>
            </w:tcBorders>
            <w:shd w:val="clear" w:color="auto" w:fill="auto"/>
            <w:noWrap/>
            <w:vAlign w:val="bottom"/>
            <w:hideMark/>
          </w:tcPr>
          <w:p w14:paraId="1C855995"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-38.30</w:t>
            </w:r>
          </w:p>
        </w:tc>
        <w:tc>
          <w:tcPr>
            <w:tcW w:w="1040" w:type="dxa"/>
            <w:tcBorders>
              <w:top w:val="nil"/>
              <w:left w:val="nil"/>
              <w:bottom w:val="single" w:sz="4" w:space="0" w:color="auto"/>
              <w:right w:val="single" w:sz="4" w:space="0" w:color="auto"/>
            </w:tcBorders>
            <w:shd w:val="clear" w:color="auto" w:fill="auto"/>
            <w:noWrap/>
            <w:vAlign w:val="bottom"/>
            <w:hideMark/>
          </w:tcPr>
          <w:p w14:paraId="42CA624D"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-1.91</w:t>
            </w:r>
          </w:p>
        </w:tc>
      </w:tr>
      <w:tr w:rsidR="00B92307" w:rsidRPr="006D475D" w14:paraId="47840F45" w14:textId="77777777" w:rsidTr="008879D1">
        <w:trPr>
          <w:trHeight w:val="288"/>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08A22144" w14:textId="77777777" w:rsidR="00B92307" w:rsidRPr="006D475D" w:rsidRDefault="00B92307" w:rsidP="008879D1">
            <w:pPr>
              <w:spacing w:after="0" w:line="240" w:lineRule="auto"/>
              <w:jc w:val="center"/>
              <w:rPr>
                <w:rFonts w:ascii="Calibri" w:eastAsia="Times New Roman" w:hAnsi="Calibri" w:cs="Calibri"/>
                <w:b/>
                <w:bCs/>
                <w:color w:val="000000"/>
                <w:lang w:eastAsia="en-GB"/>
              </w:rPr>
            </w:pPr>
            <w:r w:rsidRPr="006D475D">
              <w:rPr>
                <w:rFonts w:ascii="Calibri" w:eastAsia="Times New Roman" w:hAnsi="Calibri" w:cs="Calibri"/>
                <w:b/>
                <w:bCs/>
                <w:color w:val="000000"/>
                <w:lang w:eastAsia="en-GB"/>
              </w:rPr>
              <w:t>Return on Shareholder Equity</w:t>
            </w:r>
          </w:p>
        </w:tc>
        <w:tc>
          <w:tcPr>
            <w:tcW w:w="1200" w:type="dxa"/>
            <w:tcBorders>
              <w:top w:val="nil"/>
              <w:left w:val="nil"/>
              <w:bottom w:val="single" w:sz="4" w:space="0" w:color="auto"/>
              <w:right w:val="single" w:sz="4" w:space="0" w:color="auto"/>
            </w:tcBorders>
            <w:shd w:val="clear" w:color="auto" w:fill="auto"/>
            <w:noWrap/>
            <w:vAlign w:val="bottom"/>
            <w:hideMark/>
          </w:tcPr>
          <w:p w14:paraId="4EE2F20A"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-10.26</w:t>
            </w:r>
          </w:p>
        </w:tc>
        <w:tc>
          <w:tcPr>
            <w:tcW w:w="1360" w:type="dxa"/>
            <w:tcBorders>
              <w:top w:val="nil"/>
              <w:left w:val="nil"/>
              <w:bottom w:val="single" w:sz="4" w:space="0" w:color="auto"/>
              <w:right w:val="single" w:sz="4" w:space="0" w:color="auto"/>
            </w:tcBorders>
            <w:shd w:val="clear" w:color="auto" w:fill="auto"/>
            <w:noWrap/>
            <w:vAlign w:val="bottom"/>
            <w:hideMark/>
          </w:tcPr>
          <w:p w14:paraId="736C3648"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-207.72</w:t>
            </w:r>
          </w:p>
        </w:tc>
        <w:tc>
          <w:tcPr>
            <w:tcW w:w="1040" w:type="dxa"/>
            <w:tcBorders>
              <w:top w:val="nil"/>
              <w:left w:val="nil"/>
              <w:bottom w:val="single" w:sz="4" w:space="0" w:color="auto"/>
              <w:right w:val="single" w:sz="4" w:space="0" w:color="auto"/>
            </w:tcBorders>
            <w:shd w:val="clear" w:color="auto" w:fill="auto"/>
            <w:noWrap/>
            <w:vAlign w:val="bottom"/>
            <w:hideMark/>
          </w:tcPr>
          <w:p w14:paraId="196B6165"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-13.19</w:t>
            </w:r>
          </w:p>
        </w:tc>
      </w:tr>
      <w:tr w:rsidR="00B92307" w:rsidRPr="006D475D" w14:paraId="4E29B0AE" w14:textId="77777777" w:rsidTr="008879D1">
        <w:trPr>
          <w:trHeight w:val="288"/>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304AB105" w14:textId="77777777" w:rsidR="00B92307" w:rsidRPr="006D475D" w:rsidRDefault="00B92307" w:rsidP="008879D1">
            <w:pPr>
              <w:spacing w:after="0" w:line="240" w:lineRule="auto"/>
              <w:jc w:val="center"/>
              <w:rPr>
                <w:rFonts w:ascii="Calibri" w:eastAsia="Times New Roman" w:hAnsi="Calibri" w:cs="Calibri"/>
                <w:b/>
                <w:bCs/>
                <w:color w:val="000000"/>
                <w:lang w:eastAsia="en-GB"/>
              </w:rPr>
            </w:pPr>
            <w:r w:rsidRPr="006D475D">
              <w:rPr>
                <w:rFonts w:ascii="Calibri" w:eastAsia="Times New Roman" w:hAnsi="Calibri" w:cs="Calibri"/>
                <w:b/>
                <w:bCs/>
                <w:color w:val="000000"/>
                <w:lang w:eastAsia="en-GB"/>
              </w:rPr>
              <w:t>Current Ratio</w:t>
            </w:r>
          </w:p>
        </w:tc>
        <w:tc>
          <w:tcPr>
            <w:tcW w:w="1200" w:type="dxa"/>
            <w:tcBorders>
              <w:top w:val="nil"/>
              <w:left w:val="nil"/>
              <w:bottom w:val="single" w:sz="4" w:space="0" w:color="auto"/>
              <w:right w:val="single" w:sz="4" w:space="0" w:color="auto"/>
            </w:tcBorders>
            <w:shd w:val="clear" w:color="auto" w:fill="auto"/>
            <w:noWrap/>
            <w:vAlign w:val="bottom"/>
            <w:hideMark/>
          </w:tcPr>
          <w:p w14:paraId="3C75D652"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1.84</w:t>
            </w:r>
          </w:p>
        </w:tc>
        <w:tc>
          <w:tcPr>
            <w:tcW w:w="1360" w:type="dxa"/>
            <w:tcBorders>
              <w:top w:val="nil"/>
              <w:left w:val="nil"/>
              <w:bottom w:val="single" w:sz="4" w:space="0" w:color="auto"/>
              <w:right w:val="single" w:sz="4" w:space="0" w:color="auto"/>
            </w:tcBorders>
            <w:shd w:val="clear" w:color="auto" w:fill="auto"/>
            <w:noWrap/>
            <w:vAlign w:val="bottom"/>
            <w:hideMark/>
          </w:tcPr>
          <w:p w14:paraId="0FABE8E6"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0.84</w:t>
            </w:r>
          </w:p>
        </w:tc>
        <w:tc>
          <w:tcPr>
            <w:tcW w:w="1040" w:type="dxa"/>
            <w:tcBorders>
              <w:top w:val="nil"/>
              <w:left w:val="nil"/>
              <w:bottom w:val="single" w:sz="4" w:space="0" w:color="auto"/>
              <w:right w:val="single" w:sz="4" w:space="0" w:color="auto"/>
            </w:tcBorders>
            <w:shd w:val="clear" w:color="auto" w:fill="auto"/>
            <w:noWrap/>
            <w:vAlign w:val="bottom"/>
            <w:hideMark/>
          </w:tcPr>
          <w:p w14:paraId="5112829D"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0.81</w:t>
            </w:r>
          </w:p>
        </w:tc>
      </w:tr>
      <w:tr w:rsidR="00B92307" w:rsidRPr="006D475D" w14:paraId="381AE428" w14:textId="77777777" w:rsidTr="008879D1">
        <w:trPr>
          <w:trHeight w:val="288"/>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306BCF6A" w14:textId="77777777" w:rsidR="00B92307" w:rsidRPr="006D475D" w:rsidRDefault="00B92307" w:rsidP="008879D1">
            <w:pPr>
              <w:spacing w:after="0" w:line="240" w:lineRule="auto"/>
              <w:jc w:val="center"/>
              <w:rPr>
                <w:rFonts w:ascii="Calibri" w:eastAsia="Times New Roman" w:hAnsi="Calibri" w:cs="Calibri"/>
                <w:b/>
                <w:bCs/>
                <w:color w:val="000000"/>
                <w:lang w:eastAsia="en-GB"/>
              </w:rPr>
            </w:pPr>
            <w:r w:rsidRPr="006D475D">
              <w:rPr>
                <w:rFonts w:ascii="Calibri" w:eastAsia="Times New Roman" w:hAnsi="Calibri" w:cs="Calibri"/>
                <w:b/>
                <w:bCs/>
                <w:color w:val="000000"/>
                <w:lang w:eastAsia="en-GB"/>
              </w:rPr>
              <w:t>Quick Ratio</w:t>
            </w:r>
          </w:p>
        </w:tc>
        <w:tc>
          <w:tcPr>
            <w:tcW w:w="1200" w:type="dxa"/>
            <w:tcBorders>
              <w:top w:val="nil"/>
              <w:left w:val="nil"/>
              <w:bottom w:val="single" w:sz="4" w:space="0" w:color="auto"/>
              <w:right w:val="single" w:sz="4" w:space="0" w:color="auto"/>
            </w:tcBorders>
            <w:shd w:val="clear" w:color="auto" w:fill="auto"/>
            <w:noWrap/>
            <w:vAlign w:val="bottom"/>
            <w:hideMark/>
          </w:tcPr>
          <w:p w14:paraId="3300E4EF"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1.32</w:t>
            </w:r>
          </w:p>
        </w:tc>
        <w:tc>
          <w:tcPr>
            <w:tcW w:w="1360" w:type="dxa"/>
            <w:tcBorders>
              <w:top w:val="nil"/>
              <w:left w:val="nil"/>
              <w:bottom w:val="single" w:sz="4" w:space="0" w:color="auto"/>
              <w:right w:val="single" w:sz="4" w:space="0" w:color="auto"/>
            </w:tcBorders>
            <w:shd w:val="clear" w:color="auto" w:fill="auto"/>
            <w:noWrap/>
            <w:vAlign w:val="bottom"/>
            <w:hideMark/>
          </w:tcPr>
          <w:p w14:paraId="445B6CFB"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0.66</w:t>
            </w:r>
          </w:p>
        </w:tc>
        <w:tc>
          <w:tcPr>
            <w:tcW w:w="1040" w:type="dxa"/>
            <w:tcBorders>
              <w:top w:val="nil"/>
              <w:left w:val="nil"/>
              <w:bottom w:val="single" w:sz="4" w:space="0" w:color="auto"/>
              <w:right w:val="single" w:sz="4" w:space="0" w:color="auto"/>
            </w:tcBorders>
            <w:shd w:val="clear" w:color="auto" w:fill="auto"/>
            <w:noWrap/>
            <w:vAlign w:val="bottom"/>
            <w:hideMark/>
          </w:tcPr>
          <w:p w14:paraId="0270AFF4"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0.61</w:t>
            </w:r>
          </w:p>
        </w:tc>
      </w:tr>
      <w:tr w:rsidR="00B92307" w:rsidRPr="006D475D" w14:paraId="5F259F87" w14:textId="77777777" w:rsidTr="008879D1">
        <w:trPr>
          <w:trHeight w:val="288"/>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7AAF9511" w14:textId="77777777" w:rsidR="00B92307" w:rsidRPr="006D475D" w:rsidRDefault="00B92307" w:rsidP="008879D1">
            <w:pPr>
              <w:spacing w:after="0" w:line="240" w:lineRule="auto"/>
              <w:jc w:val="center"/>
              <w:rPr>
                <w:rFonts w:ascii="Calibri" w:eastAsia="Times New Roman" w:hAnsi="Calibri" w:cs="Calibri"/>
                <w:b/>
                <w:bCs/>
                <w:color w:val="000000"/>
                <w:lang w:eastAsia="en-GB"/>
              </w:rPr>
            </w:pPr>
            <w:r w:rsidRPr="006D475D">
              <w:rPr>
                <w:rFonts w:ascii="Calibri" w:eastAsia="Times New Roman" w:hAnsi="Calibri" w:cs="Calibri"/>
                <w:b/>
                <w:bCs/>
                <w:color w:val="000000"/>
                <w:lang w:eastAsia="en-GB"/>
              </w:rPr>
              <w:t xml:space="preserve">Days Sales Outstanding </w:t>
            </w:r>
          </w:p>
        </w:tc>
        <w:tc>
          <w:tcPr>
            <w:tcW w:w="1200" w:type="dxa"/>
            <w:tcBorders>
              <w:top w:val="nil"/>
              <w:left w:val="nil"/>
              <w:bottom w:val="single" w:sz="4" w:space="0" w:color="auto"/>
              <w:right w:val="single" w:sz="4" w:space="0" w:color="auto"/>
            </w:tcBorders>
            <w:shd w:val="clear" w:color="auto" w:fill="auto"/>
            <w:noWrap/>
            <w:vAlign w:val="bottom"/>
            <w:hideMark/>
          </w:tcPr>
          <w:p w14:paraId="3CF6A968"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42.62</w:t>
            </w:r>
          </w:p>
        </w:tc>
        <w:tc>
          <w:tcPr>
            <w:tcW w:w="1360" w:type="dxa"/>
            <w:tcBorders>
              <w:top w:val="nil"/>
              <w:left w:val="nil"/>
              <w:bottom w:val="single" w:sz="4" w:space="0" w:color="auto"/>
              <w:right w:val="single" w:sz="4" w:space="0" w:color="auto"/>
            </w:tcBorders>
            <w:shd w:val="clear" w:color="auto" w:fill="auto"/>
            <w:noWrap/>
            <w:vAlign w:val="bottom"/>
            <w:hideMark/>
          </w:tcPr>
          <w:p w14:paraId="5DCDDAEA"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78.28</w:t>
            </w:r>
          </w:p>
        </w:tc>
        <w:tc>
          <w:tcPr>
            <w:tcW w:w="1040" w:type="dxa"/>
            <w:tcBorders>
              <w:top w:val="nil"/>
              <w:left w:val="nil"/>
              <w:bottom w:val="single" w:sz="4" w:space="0" w:color="auto"/>
              <w:right w:val="single" w:sz="4" w:space="0" w:color="auto"/>
            </w:tcBorders>
            <w:shd w:val="clear" w:color="auto" w:fill="auto"/>
            <w:noWrap/>
            <w:vAlign w:val="bottom"/>
            <w:hideMark/>
          </w:tcPr>
          <w:p w14:paraId="3D541E92"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57.00</w:t>
            </w:r>
          </w:p>
        </w:tc>
      </w:tr>
      <w:tr w:rsidR="00B92307" w:rsidRPr="006D475D" w14:paraId="781A2CBB" w14:textId="77777777" w:rsidTr="008879D1">
        <w:trPr>
          <w:trHeight w:val="288"/>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4165EBBD" w14:textId="77777777" w:rsidR="00B92307" w:rsidRPr="006D475D" w:rsidRDefault="00B92307" w:rsidP="008879D1">
            <w:pPr>
              <w:spacing w:after="0" w:line="240" w:lineRule="auto"/>
              <w:jc w:val="center"/>
              <w:rPr>
                <w:rFonts w:ascii="Calibri" w:eastAsia="Times New Roman" w:hAnsi="Calibri" w:cs="Calibri"/>
                <w:b/>
                <w:bCs/>
                <w:color w:val="000000"/>
                <w:lang w:eastAsia="en-GB"/>
              </w:rPr>
            </w:pPr>
            <w:r w:rsidRPr="006D475D">
              <w:rPr>
                <w:rFonts w:ascii="Calibri" w:eastAsia="Times New Roman" w:hAnsi="Calibri" w:cs="Calibri"/>
                <w:b/>
                <w:bCs/>
                <w:color w:val="000000"/>
                <w:lang w:eastAsia="en-GB"/>
              </w:rPr>
              <w:t>Inventory Turns</w:t>
            </w:r>
          </w:p>
        </w:tc>
        <w:tc>
          <w:tcPr>
            <w:tcW w:w="1200" w:type="dxa"/>
            <w:tcBorders>
              <w:top w:val="nil"/>
              <w:left w:val="nil"/>
              <w:bottom w:val="single" w:sz="4" w:space="0" w:color="auto"/>
              <w:right w:val="single" w:sz="4" w:space="0" w:color="auto"/>
            </w:tcBorders>
            <w:shd w:val="clear" w:color="auto" w:fill="auto"/>
            <w:noWrap/>
            <w:vAlign w:val="bottom"/>
            <w:hideMark/>
          </w:tcPr>
          <w:p w14:paraId="7E118880"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2.44</w:t>
            </w:r>
          </w:p>
        </w:tc>
        <w:tc>
          <w:tcPr>
            <w:tcW w:w="1360" w:type="dxa"/>
            <w:tcBorders>
              <w:top w:val="nil"/>
              <w:left w:val="nil"/>
              <w:bottom w:val="single" w:sz="4" w:space="0" w:color="auto"/>
              <w:right w:val="single" w:sz="4" w:space="0" w:color="auto"/>
            </w:tcBorders>
            <w:shd w:val="clear" w:color="auto" w:fill="auto"/>
            <w:noWrap/>
            <w:vAlign w:val="bottom"/>
            <w:hideMark/>
          </w:tcPr>
          <w:p w14:paraId="01AE8459"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4.75</w:t>
            </w:r>
          </w:p>
        </w:tc>
        <w:tc>
          <w:tcPr>
            <w:tcW w:w="1040" w:type="dxa"/>
            <w:tcBorders>
              <w:top w:val="nil"/>
              <w:left w:val="nil"/>
              <w:bottom w:val="single" w:sz="4" w:space="0" w:color="auto"/>
              <w:right w:val="single" w:sz="4" w:space="0" w:color="auto"/>
            </w:tcBorders>
            <w:shd w:val="clear" w:color="auto" w:fill="auto"/>
            <w:noWrap/>
            <w:vAlign w:val="bottom"/>
            <w:hideMark/>
          </w:tcPr>
          <w:p w14:paraId="1F1808E6"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6.73</w:t>
            </w:r>
          </w:p>
        </w:tc>
      </w:tr>
      <w:tr w:rsidR="00B92307" w:rsidRPr="006D475D" w14:paraId="1ECF6A11" w14:textId="77777777" w:rsidTr="008879D1">
        <w:trPr>
          <w:trHeight w:val="288"/>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1F32F63A" w14:textId="77777777" w:rsidR="00B92307" w:rsidRPr="006D475D" w:rsidRDefault="00B92307" w:rsidP="008879D1">
            <w:pPr>
              <w:spacing w:after="0" w:line="240" w:lineRule="auto"/>
              <w:jc w:val="center"/>
              <w:rPr>
                <w:rFonts w:ascii="Calibri" w:eastAsia="Times New Roman" w:hAnsi="Calibri" w:cs="Calibri"/>
                <w:b/>
                <w:bCs/>
                <w:color w:val="000000"/>
                <w:lang w:eastAsia="en-GB"/>
              </w:rPr>
            </w:pPr>
            <w:r w:rsidRPr="006D475D">
              <w:rPr>
                <w:rFonts w:ascii="Calibri" w:eastAsia="Times New Roman" w:hAnsi="Calibri" w:cs="Calibri"/>
                <w:b/>
                <w:bCs/>
                <w:color w:val="000000"/>
                <w:lang w:eastAsia="en-GB"/>
              </w:rPr>
              <w:t>Days Payable Outstanding</w:t>
            </w:r>
          </w:p>
        </w:tc>
        <w:tc>
          <w:tcPr>
            <w:tcW w:w="1200" w:type="dxa"/>
            <w:tcBorders>
              <w:top w:val="nil"/>
              <w:left w:val="nil"/>
              <w:bottom w:val="single" w:sz="4" w:space="0" w:color="auto"/>
              <w:right w:val="single" w:sz="4" w:space="0" w:color="auto"/>
            </w:tcBorders>
            <w:shd w:val="clear" w:color="auto" w:fill="auto"/>
            <w:noWrap/>
            <w:vAlign w:val="bottom"/>
            <w:hideMark/>
          </w:tcPr>
          <w:p w14:paraId="011CBEF4"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254.49</w:t>
            </w:r>
          </w:p>
        </w:tc>
        <w:tc>
          <w:tcPr>
            <w:tcW w:w="1360" w:type="dxa"/>
            <w:tcBorders>
              <w:top w:val="nil"/>
              <w:left w:val="nil"/>
              <w:bottom w:val="single" w:sz="4" w:space="0" w:color="auto"/>
              <w:right w:val="single" w:sz="4" w:space="0" w:color="auto"/>
            </w:tcBorders>
            <w:shd w:val="clear" w:color="auto" w:fill="auto"/>
            <w:noWrap/>
            <w:vAlign w:val="bottom"/>
            <w:hideMark/>
          </w:tcPr>
          <w:p w14:paraId="46D64CBD"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356.72</w:t>
            </w:r>
          </w:p>
        </w:tc>
        <w:tc>
          <w:tcPr>
            <w:tcW w:w="1040" w:type="dxa"/>
            <w:tcBorders>
              <w:top w:val="nil"/>
              <w:left w:val="nil"/>
              <w:bottom w:val="single" w:sz="4" w:space="0" w:color="auto"/>
              <w:right w:val="single" w:sz="4" w:space="0" w:color="auto"/>
            </w:tcBorders>
            <w:shd w:val="clear" w:color="auto" w:fill="auto"/>
            <w:noWrap/>
            <w:vAlign w:val="bottom"/>
            <w:hideMark/>
          </w:tcPr>
          <w:p w14:paraId="264ACE0C"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263.92</w:t>
            </w:r>
          </w:p>
        </w:tc>
      </w:tr>
      <w:tr w:rsidR="00B92307" w:rsidRPr="006D475D" w14:paraId="2FA624DD" w14:textId="77777777" w:rsidTr="008879D1">
        <w:trPr>
          <w:trHeight w:val="288"/>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1624E180" w14:textId="77777777" w:rsidR="00B92307" w:rsidRPr="006D475D" w:rsidRDefault="00B92307" w:rsidP="008879D1">
            <w:pPr>
              <w:spacing w:after="0" w:line="240" w:lineRule="auto"/>
              <w:jc w:val="center"/>
              <w:rPr>
                <w:rFonts w:ascii="Calibri" w:eastAsia="Times New Roman" w:hAnsi="Calibri" w:cs="Calibri"/>
                <w:b/>
                <w:bCs/>
                <w:color w:val="000000"/>
                <w:lang w:eastAsia="en-GB"/>
              </w:rPr>
            </w:pPr>
            <w:r w:rsidRPr="006D475D">
              <w:rPr>
                <w:rFonts w:ascii="Calibri" w:eastAsia="Times New Roman" w:hAnsi="Calibri" w:cs="Calibri"/>
                <w:b/>
                <w:bCs/>
                <w:color w:val="000000"/>
                <w:lang w:eastAsia="en-GB"/>
              </w:rPr>
              <w:t>Debt / Equity Ratio</w:t>
            </w:r>
          </w:p>
        </w:tc>
        <w:tc>
          <w:tcPr>
            <w:tcW w:w="1200" w:type="dxa"/>
            <w:tcBorders>
              <w:top w:val="nil"/>
              <w:left w:val="nil"/>
              <w:bottom w:val="single" w:sz="4" w:space="0" w:color="auto"/>
              <w:right w:val="single" w:sz="4" w:space="0" w:color="auto"/>
            </w:tcBorders>
            <w:shd w:val="clear" w:color="auto" w:fill="auto"/>
            <w:noWrap/>
            <w:vAlign w:val="bottom"/>
            <w:hideMark/>
          </w:tcPr>
          <w:p w14:paraId="1FEB9E61"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67.02</w:t>
            </w:r>
          </w:p>
        </w:tc>
        <w:tc>
          <w:tcPr>
            <w:tcW w:w="1360" w:type="dxa"/>
            <w:tcBorders>
              <w:top w:val="nil"/>
              <w:left w:val="nil"/>
              <w:bottom w:val="single" w:sz="4" w:space="0" w:color="auto"/>
              <w:right w:val="single" w:sz="4" w:space="0" w:color="auto"/>
            </w:tcBorders>
            <w:shd w:val="clear" w:color="auto" w:fill="auto"/>
            <w:noWrap/>
            <w:vAlign w:val="bottom"/>
            <w:hideMark/>
          </w:tcPr>
          <w:p w14:paraId="2D27AF87"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243.61</w:t>
            </w:r>
          </w:p>
        </w:tc>
        <w:tc>
          <w:tcPr>
            <w:tcW w:w="1040" w:type="dxa"/>
            <w:tcBorders>
              <w:top w:val="nil"/>
              <w:left w:val="nil"/>
              <w:bottom w:val="single" w:sz="4" w:space="0" w:color="auto"/>
              <w:right w:val="single" w:sz="4" w:space="0" w:color="auto"/>
            </w:tcBorders>
            <w:shd w:val="clear" w:color="auto" w:fill="auto"/>
            <w:noWrap/>
            <w:vAlign w:val="bottom"/>
            <w:hideMark/>
          </w:tcPr>
          <w:p w14:paraId="6685A209"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301.71</w:t>
            </w:r>
          </w:p>
        </w:tc>
      </w:tr>
      <w:tr w:rsidR="00B92307" w:rsidRPr="006D475D" w14:paraId="175F8145" w14:textId="77777777" w:rsidTr="008879D1">
        <w:trPr>
          <w:trHeight w:val="288"/>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13E0F3DA" w14:textId="77777777" w:rsidR="00B92307" w:rsidRPr="006D475D" w:rsidRDefault="00B92307" w:rsidP="008879D1">
            <w:pPr>
              <w:spacing w:after="0" w:line="240" w:lineRule="auto"/>
              <w:jc w:val="center"/>
              <w:rPr>
                <w:rFonts w:ascii="Calibri" w:eastAsia="Times New Roman" w:hAnsi="Calibri" w:cs="Calibri"/>
                <w:b/>
                <w:bCs/>
                <w:color w:val="000000"/>
                <w:lang w:eastAsia="en-GB"/>
              </w:rPr>
            </w:pPr>
            <w:r w:rsidRPr="006D475D">
              <w:rPr>
                <w:rFonts w:ascii="Calibri" w:eastAsia="Times New Roman" w:hAnsi="Calibri" w:cs="Calibri"/>
                <w:b/>
                <w:bCs/>
                <w:color w:val="000000"/>
                <w:lang w:eastAsia="en-GB"/>
              </w:rPr>
              <w:t xml:space="preserve">Interest Coverage </w:t>
            </w:r>
          </w:p>
        </w:tc>
        <w:tc>
          <w:tcPr>
            <w:tcW w:w="1200" w:type="dxa"/>
            <w:tcBorders>
              <w:top w:val="nil"/>
              <w:left w:val="nil"/>
              <w:bottom w:val="single" w:sz="4" w:space="0" w:color="auto"/>
              <w:right w:val="single" w:sz="4" w:space="0" w:color="auto"/>
            </w:tcBorders>
            <w:shd w:val="clear" w:color="000000" w:fill="FF0000"/>
            <w:noWrap/>
            <w:vAlign w:val="bottom"/>
            <w:hideMark/>
          </w:tcPr>
          <w:p w14:paraId="37F7A333" w14:textId="77777777" w:rsidR="00B92307" w:rsidRPr="006D475D" w:rsidRDefault="00B92307" w:rsidP="008879D1">
            <w:pPr>
              <w:spacing w:after="0" w:line="240" w:lineRule="auto"/>
              <w:rPr>
                <w:rFonts w:ascii="Calibri" w:eastAsia="Times New Roman" w:hAnsi="Calibri" w:cs="Calibri"/>
                <w:color w:val="000000"/>
                <w:lang w:eastAsia="en-GB"/>
              </w:rPr>
            </w:pPr>
            <w:r w:rsidRPr="006D475D">
              <w:rPr>
                <w:rFonts w:ascii="Calibri" w:eastAsia="Times New Roman" w:hAnsi="Calibri" w:cs="Calibri"/>
                <w:color w:val="000000"/>
                <w:lang w:eastAsia="en-GB"/>
              </w:rPr>
              <w:t> </w:t>
            </w:r>
          </w:p>
        </w:tc>
        <w:tc>
          <w:tcPr>
            <w:tcW w:w="1360" w:type="dxa"/>
            <w:tcBorders>
              <w:top w:val="nil"/>
              <w:left w:val="nil"/>
              <w:bottom w:val="single" w:sz="4" w:space="0" w:color="auto"/>
              <w:right w:val="single" w:sz="4" w:space="0" w:color="auto"/>
            </w:tcBorders>
            <w:shd w:val="clear" w:color="auto" w:fill="auto"/>
            <w:noWrap/>
            <w:vAlign w:val="bottom"/>
            <w:hideMark/>
          </w:tcPr>
          <w:p w14:paraId="323CAD6D"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-11.54</w:t>
            </w:r>
          </w:p>
        </w:tc>
        <w:tc>
          <w:tcPr>
            <w:tcW w:w="1040" w:type="dxa"/>
            <w:tcBorders>
              <w:top w:val="nil"/>
              <w:left w:val="nil"/>
              <w:bottom w:val="single" w:sz="4" w:space="0" w:color="auto"/>
              <w:right w:val="single" w:sz="4" w:space="0" w:color="auto"/>
            </w:tcBorders>
            <w:shd w:val="clear" w:color="auto" w:fill="auto"/>
            <w:noWrap/>
            <w:vAlign w:val="bottom"/>
            <w:hideMark/>
          </w:tcPr>
          <w:p w14:paraId="5CD5F687" w14:textId="77777777" w:rsidR="00B92307" w:rsidRPr="006D475D" w:rsidRDefault="00B92307" w:rsidP="008879D1">
            <w:pPr>
              <w:spacing w:after="0" w:line="240" w:lineRule="auto"/>
              <w:jc w:val="right"/>
              <w:rPr>
                <w:rFonts w:ascii="Calibri" w:eastAsia="Times New Roman" w:hAnsi="Calibri" w:cs="Calibri"/>
                <w:color w:val="000000"/>
                <w:lang w:eastAsia="en-GB"/>
              </w:rPr>
            </w:pPr>
            <w:r w:rsidRPr="006D475D">
              <w:rPr>
                <w:rFonts w:ascii="Calibri" w:eastAsia="Times New Roman" w:hAnsi="Calibri" w:cs="Calibri"/>
                <w:color w:val="000000"/>
                <w:lang w:eastAsia="en-GB"/>
              </w:rPr>
              <w:t>253.24</w:t>
            </w:r>
          </w:p>
        </w:tc>
      </w:tr>
      <w:tr w:rsidR="00B92307" w:rsidRPr="006D475D" w14:paraId="5D657644" w14:textId="77777777" w:rsidTr="008879D1">
        <w:trPr>
          <w:trHeight w:val="288"/>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45EF00F1" w14:textId="77777777" w:rsidR="00B92307" w:rsidRPr="006D475D" w:rsidRDefault="00B92307" w:rsidP="008879D1">
            <w:pPr>
              <w:spacing w:after="0" w:line="240" w:lineRule="auto"/>
              <w:jc w:val="center"/>
              <w:rPr>
                <w:rFonts w:ascii="Calibri" w:eastAsia="Times New Roman" w:hAnsi="Calibri" w:cs="Calibri"/>
                <w:b/>
                <w:bCs/>
                <w:color w:val="000000"/>
                <w:lang w:eastAsia="en-GB"/>
              </w:rPr>
            </w:pPr>
            <w:r w:rsidRPr="006D475D">
              <w:rPr>
                <w:rFonts w:ascii="Calibri" w:eastAsia="Times New Roman" w:hAnsi="Calibri" w:cs="Calibri"/>
                <w:b/>
                <w:bCs/>
                <w:color w:val="000000"/>
                <w:lang w:eastAsia="en-GB"/>
              </w:rPr>
              <w:t>EPS</w:t>
            </w:r>
          </w:p>
        </w:tc>
        <w:tc>
          <w:tcPr>
            <w:tcW w:w="1200" w:type="dxa"/>
            <w:tcBorders>
              <w:top w:val="nil"/>
              <w:left w:val="nil"/>
              <w:bottom w:val="single" w:sz="4" w:space="0" w:color="auto"/>
              <w:right w:val="single" w:sz="4" w:space="0" w:color="auto"/>
            </w:tcBorders>
            <w:shd w:val="clear" w:color="auto" w:fill="auto"/>
            <w:noWrap/>
            <w:vAlign w:val="bottom"/>
            <w:hideMark/>
          </w:tcPr>
          <w:p w14:paraId="7D040553" w14:textId="77777777" w:rsidR="00B92307" w:rsidRPr="006D475D" w:rsidRDefault="00B92307" w:rsidP="008879D1">
            <w:pPr>
              <w:spacing w:after="0" w:line="240" w:lineRule="auto"/>
              <w:jc w:val="center"/>
              <w:rPr>
                <w:rFonts w:ascii="Calibri" w:eastAsia="Times New Roman" w:hAnsi="Calibri" w:cs="Calibri"/>
                <w:color w:val="000000"/>
                <w:lang w:eastAsia="en-GB"/>
              </w:rPr>
            </w:pPr>
            <w:r w:rsidRPr="006D475D">
              <w:rPr>
                <w:rFonts w:ascii="Calibri" w:eastAsia="Times New Roman" w:hAnsi="Calibri" w:cs="Calibri"/>
                <w:color w:val="000000"/>
                <w:lang w:eastAsia="en-GB"/>
              </w:rPr>
              <w:t>-6.3790</w:t>
            </w:r>
          </w:p>
        </w:tc>
        <w:tc>
          <w:tcPr>
            <w:tcW w:w="1360" w:type="dxa"/>
            <w:tcBorders>
              <w:top w:val="nil"/>
              <w:left w:val="nil"/>
              <w:bottom w:val="single" w:sz="4" w:space="0" w:color="auto"/>
              <w:right w:val="single" w:sz="4" w:space="0" w:color="auto"/>
            </w:tcBorders>
            <w:shd w:val="clear" w:color="auto" w:fill="auto"/>
            <w:noWrap/>
            <w:vAlign w:val="bottom"/>
            <w:hideMark/>
          </w:tcPr>
          <w:p w14:paraId="1E4D30F3" w14:textId="77777777" w:rsidR="00B92307" w:rsidRPr="006D475D" w:rsidRDefault="00B92307" w:rsidP="008879D1">
            <w:pPr>
              <w:spacing w:after="0" w:line="240" w:lineRule="auto"/>
              <w:jc w:val="center"/>
              <w:rPr>
                <w:rFonts w:ascii="Calibri" w:eastAsia="Times New Roman" w:hAnsi="Calibri" w:cs="Calibri"/>
                <w:color w:val="000000"/>
                <w:lang w:eastAsia="en-GB"/>
              </w:rPr>
            </w:pPr>
            <w:r w:rsidRPr="006D475D">
              <w:rPr>
                <w:rFonts w:ascii="Calibri" w:eastAsia="Times New Roman" w:hAnsi="Calibri" w:cs="Calibri"/>
                <w:color w:val="000000"/>
                <w:lang w:eastAsia="en-GB"/>
              </w:rPr>
              <w:t>-72.1379</w:t>
            </w:r>
          </w:p>
        </w:tc>
        <w:tc>
          <w:tcPr>
            <w:tcW w:w="1040" w:type="dxa"/>
            <w:tcBorders>
              <w:top w:val="nil"/>
              <w:left w:val="nil"/>
              <w:bottom w:val="single" w:sz="4" w:space="0" w:color="auto"/>
              <w:right w:val="single" w:sz="4" w:space="0" w:color="auto"/>
            </w:tcBorders>
            <w:shd w:val="clear" w:color="auto" w:fill="auto"/>
            <w:noWrap/>
            <w:vAlign w:val="bottom"/>
            <w:hideMark/>
          </w:tcPr>
          <w:p w14:paraId="125B8E0E" w14:textId="77777777" w:rsidR="00B92307" w:rsidRPr="006D475D" w:rsidRDefault="00B92307" w:rsidP="008879D1">
            <w:pPr>
              <w:spacing w:after="0" w:line="240" w:lineRule="auto"/>
              <w:jc w:val="center"/>
              <w:rPr>
                <w:rFonts w:ascii="Calibri" w:eastAsia="Times New Roman" w:hAnsi="Calibri" w:cs="Calibri"/>
                <w:color w:val="000000"/>
                <w:lang w:eastAsia="en-GB"/>
              </w:rPr>
            </w:pPr>
            <w:r w:rsidRPr="006D475D">
              <w:rPr>
                <w:rFonts w:ascii="Calibri" w:eastAsia="Times New Roman" w:hAnsi="Calibri" w:cs="Calibri"/>
                <w:color w:val="000000"/>
                <w:lang w:eastAsia="en-GB"/>
              </w:rPr>
              <w:t>-3.8328</w:t>
            </w:r>
          </w:p>
        </w:tc>
      </w:tr>
      <w:tr w:rsidR="00B92307" w:rsidRPr="006D475D" w14:paraId="3788B0B6" w14:textId="77777777" w:rsidTr="008879D1">
        <w:trPr>
          <w:trHeight w:val="288"/>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1876FDF9" w14:textId="77777777" w:rsidR="00B92307" w:rsidRPr="006D475D" w:rsidRDefault="00B92307" w:rsidP="008879D1">
            <w:pPr>
              <w:spacing w:after="0" w:line="240" w:lineRule="auto"/>
              <w:jc w:val="center"/>
              <w:rPr>
                <w:rFonts w:ascii="Calibri" w:eastAsia="Times New Roman" w:hAnsi="Calibri" w:cs="Calibri"/>
                <w:b/>
                <w:bCs/>
                <w:color w:val="000000"/>
                <w:lang w:eastAsia="en-GB"/>
              </w:rPr>
            </w:pPr>
            <w:r w:rsidRPr="006D475D">
              <w:rPr>
                <w:rFonts w:ascii="Calibri" w:eastAsia="Times New Roman" w:hAnsi="Calibri" w:cs="Calibri"/>
                <w:b/>
                <w:bCs/>
                <w:color w:val="000000"/>
                <w:lang w:eastAsia="en-GB"/>
              </w:rPr>
              <w:t>Dividend per Share</w:t>
            </w:r>
          </w:p>
        </w:tc>
        <w:tc>
          <w:tcPr>
            <w:tcW w:w="1200" w:type="dxa"/>
            <w:tcBorders>
              <w:top w:val="nil"/>
              <w:left w:val="nil"/>
              <w:bottom w:val="single" w:sz="4" w:space="0" w:color="auto"/>
              <w:right w:val="single" w:sz="4" w:space="0" w:color="auto"/>
            </w:tcBorders>
            <w:shd w:val="clear" w:color="000000" w:fill="FF0000"/>
            <w:noWrap/>
            <w:vAlign w:val="bottom"/>
            <w:hideMark/>
          </w:tcPr>
          <w:p w14:paraId="27FA092F" w14:textId="77777777" w:rsidR="00B92307" w:rsidRPr="006D475D" w:rsidRDefault="00B92307" w:rsidP="008879D1">
            <w:pPr>
              <w:spacing w:after="0" w:line="240" w:lineRule="auto"/>
              <w:jc w:val="center"/>
              <w:rPr>
                <w:rFonts w:ascii="Calibri" w:eastAsia="Times New Roman" w:hAnsi="Calibri" w:cs="Calibri"/>
                <w:color w:val="000000"/>
                <w:lang w:eastAsia="en-GB"/>
              </w:rPr>
            </w:pPr>
            <w:r w:rsidRPr="006D475D">
              <w:rPr>
                <w:rFonts w:ascii="Calibri" w:eastAsia="Times New Roman" w:hAnsi="Calibri" w:cs="Calibri"/>
                <w:color w:val="000000"/>
                <w:lang w:eastAsia="en-GB"/>
              </w:rPr>
              <w:t> </w:t>
            </w:r>
          </w:p>
        </w:tc>
        <w:tc>
          <w:tcPr>
            <w:tcW w:w="1360" w:type="dxa"/>
            <w:tcBorders>
              <w:top w:val="nil"/>
              <w:left w:val="nil"/>
              <w:bottom w:val="single" w:sz="4" w:space="0" w:color="auto"/>
              <w:right w:val="single" w:sz="4" w:space="0" w:color="auto"/>
            </w:tcBorders>
            <w:shd w:val="clear" w:color="000000" w:fill="FF0000"/>
            <w:noWrap/>
            <w:vAlign w:val="bottom"/>
            <w:hideMark/>
          </w:tcPr>
          <w:p w14:paraId="3E3F0DBE" w14:textId="77777777" w:rsidR="00B92307" w:rsidRPr="006D475D" w:rsidRDefault="00B92307" w:rsidP="008879D1">
            <w:pPr>
              <w:spacing w:after="0" w:line="240" w:lineRule="auto"/>
              <w:jc w:val="center"/>
              <w:rPr>
                <w:rFonts w:ascii="Calibri" w:eastAsia="Times New Roman" w:hAnsi="Calibri" w:cs="Calibri"/>
                <w:color w:val="000000"/>
                <w:lang w:eastAsia="en-GB"/>
              </w:rPr>
            </w:pPr>
            <w:r w:rsidRPr="006D475D">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000000" w:fill="FF0000"/>
            <w:noWrap/>
            <w:vAlign w:val="bottom"/>
            <w:hideMark/>
          </w:tcPr>
          <w:p w14:paraId="13FEF84F" w14:textId="77777777" w:rsidR="00B92307" w:rsidRPr="006D475D" w:rsidRDefault="00B92307" w:rsidP="008879D1">
            <w:pPr>
              <w:spacing w:after="0" w:line="240" w:lineRule="auto"/>
              <w:jc w:val="center"/>
              <w:rPr>
                <w:rFonts w:ascii="Calibri" w:eastAsia="Times New Roman" w:hAnsi="Calibri" w:cs="Calibri"/>
                <w:color w:val="000000"/>
                <w:lang w:eastAsia="en-GB"/>
              </w:rPr>
            </w:pPr>
            <w:r w:rsidRPr="006D475D">
              <w:rPr>
                <w:rFonts w:ascii="Calibri" w:eastAsia="Times New Roman" w:hAnsi="Calibri" w:cs="Calibri"/>
                <w:color w:val="000000"/>
                <w:lang w:eastAsia="en-GB"/>
              </w:rPr>
              <w:t> </w:t>
            </w:r>
          </w:p>
        </w:tc>
      </w:tr>
      <w:tr w:rsidR="00B92307" w:rsidRPr="006D475D" w14:paraId="2307D897" w14:textId="77777777" w:rsidTr="008879D1">
        <w:trPr>
          <w:trHeight w:val="288"/>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11F010EF" w14:textId="77777777" w:rsidR="00B92307" w:rsidRPr="006D475D" w:rsidRDefault="00B92307" w:rsidP="008879D1">
            <w:pPr>
              <w:spacing w:after="0" w:line="240" w:lineRule="auto"/>
              <w:jc w:val="center"/>
              <w:rPr>
                <w:rFonts w:ascii="Calibri" w:eastAsia="Times New Roman" w:hAnsi="Calibri" w:cs="Calibri"/>
                <w:b/>
                <w:bCs/>
                <w:color w:val="000000"/>
                <w:lang w:eastAsia="en-GB"/>
              </w:rPr>
            </w:pPr>
            <w:r w:rsidRPr="006D475D">
              <w:rPr>
                <w:rFonts w:ascii="Calibri" w:eastAsia="Times New Roman" w:hAnsi="Calibri" w:cs="Calibri"/>
                <w:b/>
                <w:bCs/>
                <w:color w:val="000000"/>
                <w:lang w:eastAsia="en-GB"/>
              </w:rPr>
              <w:t>Dividend</w:t>
            </w:r>
          </w:p>
        </w:tc>
        <w:tc>
          <w:tcPr>
            <w:tcW w:w="1200" w:type="dxa"/>
            <w:tcBorders>
              <w:top w:val="nil"/>
              <w:left w:val="nil"/>
              <w:bottom w:val="single" w:sz="4" w:space="0" w:color="auto"/>
              <w:right w:val="single" w:sz="4" w:space="0" w:color="auto"/>
            </w:tcBorders>
            <w:shd w:val="clear" w:color="000000" w:fill="FF0000"/>
            <w:noWrap/>
            <w:vAlign w:val="bottom"/>
            <w:hideMark/>
          </w:tcPr>
          <w:p w14:paraId="41C659FF" w14:textId="77777777" w:rsidR="00B92307" w:rsidRPr="006D475D" w:rsidRDefault="00B92307" w:rsidP="008879D1">
            <w:pPr>
              <w:spacing w:after="0" w:line="240" w:lineRule="auto"/>
              <w:jc w:val="center"/>
              <w:rPr>
                <w:rFonts w:ascii="Calibri" w:eastAsia="Times New Roman" w:hAnsi="Calibri" w:cs="Calibri"/>
                <w:color w:val="000000"/>
                <w:lang w:eastAsia="en-GB"/>
              </w:rPr>
            </w:pPr>
            <w:r w:rsidRPr="006D475D">
              <w:rPr>
                <w:rFonts w:ascii="Calibri" w:eastAsia="Times New Roman" w:hAnsi="Calibri" w:cs="Calibri"/>
                <w:color w:val="000000"/>
                <w:lang w:eastAsia="en-GB"/>
              </w:rPr>
              <w:t> </w:t>
            </w:r>
          </w:p>
        </w:tc>
        <w:tc>
          <w:tcPr>
            <w:tcW w:w="1360" w:type="dxa"/>
            <w:tcBorders>
              <w:top w:val="nil"/>
              <w:left w:val="nil"/>
              <w:bottom w:val="single" w:sz="4" w:space="0" w:color="auto"/>
              <w:right w:val="single" w:sz="4" w:space="0" w:color="auto"/>
            </w:tcBorders>
            <w:shd w:val="clear" w:color="000000" w:fill="FF0000"/>
            <w:noWrap/>
            <w:vAlign w:val="bottom"/>
            <w:hideMark/>
          </w:tcPr>
          <w:p w14:paraId="717755D0" w14:textId="77777777" w:rsidR="00B92307" w:rsidRPr="006D475D" w:rsidRDefault="00B92307" w:rsidP="008879D1">
            <w:pPr>
              <w:spacing w:after="0" w:line="240" w:lineRule="auto"/>
              <w:jc w:val="center"/>
              <w:rPr>
                <w:rFonts w:ascii="Calibri" w:eastAsia="Times New Roman" w:hAnsi="Calibri" w:cs="Calibri"/>
                <w:color w:val="000000"/>
                <w:lang w:eastAsia="en-GB"/>
              </w:rPr>
            </w:pPr>
            <w:r w:rsidRPr="006D475D">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000000" w:fill="FF0000"/>
            <w:noWrap/>
            <w:vAlign w:val="bottom"/>
            <w:hideMark/>
          </w:tcPr>
          <w:p w14:paraId="0A240606" w14:textId="77777777" w:rsidR="00B92307" w:rsidRPr="006D475D" w:rsidRDefault="00B92307" w:rsidP="008879D1">
            <w:pPr>
              <w:spacing w:after="0" w:line="240" w:lineRule="auto"/>
              <w:jc w:val="center"/>
              <w:rPr>
                <w:rFonts w:ascii="Calibri" w:eastAsia="Times New Roman" w:hAnsi="Calibri" w:cs="Calibri"/>
                <w:color w:val="000000"/>
                <w:lang w:eastAsia="en-GB"/>
              </w:rPr>
            </w:pPr>
            <w:r w:rsidRPr="006D475D">
              <w:rPr>
                <w:rFonts w:ascii="Calibri" w:eastAsia="Times New Roman" w:hAnsi="Calibri" w:cs="Calibri"/>
                <w:color w:val="000000"/>
                <w:lang w:eastAsia="en-GB"/>
              </w:rPr>
              <w:t> </w:t>
            </w:r>
          </w:p>
        </w:tc>
      </w:tr>
      <w:tr w:rsidR="00B92307" w:rsidRPr="006D475D" w14:paraId="36ECA66F" w14:textId="77777777" w:rsidTr="008879D1">
        <w:trPr>
          <w:trHeight w:val="288"/>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7F0CEC79" w14:textId="77777777" w:rsidR="00B92307" w:rsidRPr="006D475D" w:rsidRDefault="00B92307" w:rsidP="008879D1">
            <w:pPr>
              <w:spacing w:after="0" w:line="240" w:lineRule="auto"/>
              <w:jc w:val="center"/>
              <w:rPr>
                <w:rFonts w:ascii="Calibri" w:eastAsia="Times New Roman" w:hAnsi="Calibri" w:cs="Calibri"/>
                <w:b/>
                <w:bCs/>
                <w:color w:val="000000"/>
                <w:lang w:eastAsia="en-GB"/>
              </w:rPr>
            </w:pPr>
            <w:r w:rsidRPr="006D475D">
              <w:rPr>
                <w:rFonts w:ascii="Calibri" w:eastAsia="Times New Roman" w:hAnsi="Calibri" w:cs="Calibri"/>
                <w:b/>
                <w:bCs/>
                <w:color w:val="000000"/>
                <w:lang w:eastAsia="en-GB"/>
              </w:rPr>
              <w:t>Market Share Price</w:t>
            </w:r>
          </w:p>
        </w:tc>
        <w:tc>
          <w:tcPr>
            <w:tcW w:w="1200" w:type="dxa"/>
            <w:tcBorders>
              <w:top w:val="nil"/>
              <w:left w:val="nil"/>
              <w:bottom w:val="single" w:sz="4" w:space="0" w:color="auto"/>
              <w:right w:val="single" w:sz="4" w:space="0" w:color="auto"/>
            </w:tcBorders>
            <w:shd w:val="clear" w:color="000000" w:fill="FF0000"/>
            <w:noWrap/>
            <w:vAlign w:val="bottom"/>
            <w:hideMark/>
          </w:tcPr>
          <w:p w14:paraId="2DD8D312" w14:textId="77777777" w:rsidR="00B92307" w:rsidRPr="006D475D" w:rsidRDefault="00B92307" w:rsidP="008879D1">
            <w:pPr>
              <w:spacing w:after="0" w:line="240" w:lineRule="auto"/>
              <w:jc w:val="center"/>
              <w:rPr>
                <w:rFonts w:ascii="Calibri" w:eastAsia="Times New Roman" w:hAnsi="Calibri" w:cs="Calibri"/>
                <w:color w:val="000000"/>
                <w:lang w:eastAsia="en-GB"/>
              </w:rPr>
            </w:pPr>
            <w:r w:rsidRPr="006D475D">
              <w:rPr>
                <w:rFonts w:ascii="Calibri" w:eastAsia="Times New Roman" w:hAnsi="Calibri" w:cs="Calibri"/>
                <w:color w:val="000000"/>
                <w:lang w:eastAsia="en-GB"/>
              </w:rPr>
              <w:t> </w:t>
            </w:r>
          </w:p>
        </w:tc>
        <w:tc>
          <w:tcPr>
            <w:tcW w:w="1360" w:type="dxa"/>
            <w:tcBorders>
              <w:top w:val="nil"/>
              <w:left w:val="nil"/>
              <w:bottom w:val="single" w:sz="4" w:space="0" w:color="auto"/>
              <w:right w:val="single" w:sz="4" w:space="0" w:color="auto"/>
            </w:tcBorders>
            <w:shd w:val="clear" w:color="000000" w:fill="FF0000"/>
            <w:noWrap/>
            <w:vAlign w:val="bottom"/>
            <w:hideMark/>
          </w:tcPr>
          <w:p w14:paraId="72262FC7" w14:textId="77777777" w:rsidR="00B92307" w:rsidRPr="006D475D" w:rsidRDefault="00B92307" w:rsidP="008879D1">
            <w:pPr>
              <w:spacing w:after="0" w:line="240" w:lineRule="auto"/>
              <w:jc w:val="center"/>
              <w:rPr>
                <w:rFonts w:ascii="Calibri" w:eastAsia="Times New Roman" w:hAnsi="Calibri" w:cs="Calibri"/>
                <w:color w:val="000000"/>
                <w:lang w:eastAsia="en-GB"/>
              </w:rPr>
            </w:pPr>
            <w:r w:rsidRPr="006D475D">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000000" w:fill="FF0000"/>
            <w:noWrap/>
            <w:vAlign w:val="bottom"/>
            <w:hideMark/>
          </w:tcPr>
          <w:p w14:paraId="3E03E81E" w14:textId="77777777" w:rsidR="00B92307" w:rsidRPr="006D475D" w:rsidRDefault="00B92307" w:rsidP="008879D1">
            <w:pPr>
              <w:spacing w:after="0" w:line="240" w:lineRule="auto"/>
              <w:jc w:val="center"/>
              <w:rPr>
                <w:rFonts w:ascii="Calibri" w:eastAsia="Times New Roman" w:hAnsi="Calibri" w:cs="Calibri"/>
                <w:color w:val="000000"/>
                <w:lang w:eastAsia="en-GB"/>
              </w:rPr>
            </w:pPr>
            <w:r w:rsidRPr="006D475D">
              <w:rPr>
                <w:rFonts w:ascii="Calibri" w:eastAsia="Times New Roman" w:hAnsi="Calibri" w:cs="Calibri"/>
                <w:color w:val="000000"/>
                <w:lang w:eastAsia="en-GB"/>
              </w:rPr>
              <w:t> </w:t>
            </w:r>
          </w:p>
        </w:tc>
      </w:tr>
    </w:tbl>
    <w:p w14:paraId="2FB9BA81" w14:textId="3815B817" w:rsidR="00B92307" w:rsidRDefault="00EF1EA4" w:rsidP="00B92307">
      <w:pPr>
        <w:rPr>
          <w:rFonts w:cstheme="minorHAnsi"/>
          <w:spacing w:val="1"/>
          <w:sz w:val="24"/>
          <w:szCs w:val="24"/>
          <w:shd w:val="clear" w:color="auto" w:fill="FFFFFF"/>
        </w:rPr>
      </w:pPr>
      <w:r>
        <w:rPr>
          <w:rFonts w:cstheme="minorHAnsi"/>
          <w:spacing w:val="1"/>
          <w:sz w:val="24"/>
          <w:szCs w:val="24"/>
          <w:shd w:val="clear" w:color="auto" w:fill="FFFFFF"/>
        </w:rPr>
        <w:t>(Figure 1)</w:t>
      </w:r>
    </w:p>
    <w:p w14:paraId="0334B9F6" w14:textId="77777777" w:rsidR="00B92307" w:rsidRDefault="00B92307" w:rsidP="00B92307">
      <w:pPr>
        <w:rPr>
          <w:rFonts w:cstheme="minorHAnsi"/>
          <w:spacing w:val="1"/>
          <w:sz w:val="24"/>
          <w:szCs w:val="24"/>
          <w:shd w:val="clear" w:color="auto" w:fill="FFFFFF"/>
        </w:rPr>
      </w:pPr>
    </w:p>
    <w:p w14:paraId="787F7182" w14:textId="148CD970" w:rsidR="00BE244D" w:rsidRDefault="0019348E" w:rsidP="006E01E1">
      <w:pPr>
        <w:rPr>
          <w:sz w:val="24"/>
          <w:szCs w:val="24"/>
          <w:shd w:val="clear" w:color="auto" w:fill="FFFFFF"/>
        </w:rPr>
      </w:pPr>
      <w:r>
        <w:rPr>
          <w:sz w:val="24"/>
          <w:szCs w:val="24"/>
          <w:shd w:val="clear" w:color="auto" w:fill="FFFFFF"/>
        </w:rPr>
        <w:lastRenderedPageBreak/>
        <w:t xml:space="preserve">A </w:t>
      </w:r>
      <w:r w:rsidR="00BE244D">
        <w:rPr>
          <w:sz w:val="24"/>
          <w:szCs w:val="24"/>
          <w:shd w:val="clear" w:color="auto" w:fill="FFFFFF"/>
        </w:rPr>
        <w:t xml:space="preserve">limitation of these ratios </w:t>
      </w:r>
      <w:r w:rsidR="009332BF">
        <w:rPr>
          <w:sz w:val="24"/>
          <w:szCs w:val="24"/>
          <w:shd w:val="clear" w:color="auto" w:fill="FFFFFF"/>
        </w:rPr>
        <w:t>is</w:t>
      </w:r>
      <w:r w:rsidR="00BE244D">
        <w:rPr>
          <w:sz w:val="24"/>
          <w:szCs w:val="24"/>
          <w:shd w:val="clear" w:color="auto" w:fill="FFFFFF"/>
        </w:rPr>
        <w:t xml:space="preserve"> year 2021 </w:t>
      </w:r>
      <w:r>
        <w:rPr>
          <w:sz w:val="24"/>
          <w:szCs w:val="24"/>
          <w:shd w:val="clear" w:color="auto" w:fill="FFFFFF"/>
        </w:rPr>
        <w:t>is based on</w:t>
      </w:r>
      <w:r w:rsidR="00BE244D">
        <w:rPr>
          <w:sz w:val="24"/>
          <w:szCs w:val="24"/>
          <w:shd w:val="clear" w:color="auto" w:fill="FFFFFF"/>
        </w:rPr>
        <w:t xml:space="preserve"> the first 3 quarters, year 2019-2020 are full </w:t>
      </w:r>
      <w:r w:rsidR="00422BA5">
        <w:rPr>
          <w:sz w:val="24"/>
          <w:szCs w:val="24"/>
          <w:shd w:val="clear" w:color="auto" w:fill="FFFFFF"/>
        </w:rPr>
        <w:t xml:space="preserve">yearly </w:t>
      </w:r>
      <w:r w:rsidR="00BE244D">
        <w:rPr>
          <w:sz w:val="24"/>
          <w:szCs w:val="24"/>
          <w:shd w:val="clear" w:color="auto" w:fill="FFFFFF"/>
        </w:rPr>
        <w:t>figures</w:t>
      </w:r>
      <w:r w:rsidR="00422BA5">
        <w:rPr>
          <w:sz w:val="24"/>
          <w:szCs w:val="24"/>
          <w:shd w:val="clear" w:color="auto" w:fill="FFFFFF"/>
        </w:rPr>
        <w:t>, 2018 inventories figure w</w:t>
      </w:r>
      <w:r>
        <w:rPr>
          <w:sz w:val="24"/>
          <w:szCs w:val="24"/>
          <w:shd w:val="clear" w:color="auto" w:fill="FFFFFF"/>
        </w:rPr>
        <w:t>ere</w:t>
      </w:r>
      <w:r w:rsidR="00422BA5">
        <w:rPr>
          <w:sz w:val="24"/>
          <w:szCs w:val="24"/>
          <w:shd w:val="clear" w:color="auto" w:fill="FFFFFF"/>
        </w:rPr>
        <w:t xml:space="preserve"> added to give a clearly average figure in inventory turns.</w:t>
      </w:r>
    </w:p>
    <w:p w14:paraId="5FE1D013" w14:textId="431A1945" w:rsidR="000E488E" w:rsidRDefault="00B92307" w:rsidP="006E01E1">
      <w:pPr>
        <w:rPr>
          <w:sz w:val="24"/>
          <w:szCs w:val="24"/>
          <w:shd w:val="clear" w:color="auto" w:fill="FFFFFF"/>
        </w:rPr>
      </w:pPr>
      <w:r w:rsidRPr="00BE244D">
        <w:rPr>
          <w:sz w:val="24"/>
          <w:szCs w:val="24"/>
          <w:shd w:val="clear" w:color="auto" w:fill="FFFFFF"/>
        </w:rPr>
        <w:t xml:space="preserve">The ratios for years 2019 to 2021 show that </w:t>
      </w:r>
      <w:r w:rsidR="00FB43E6" w:rsidRPr="00BE244D">
        <w:rPr>
          <w:sz w:val="24"/>
          <w:szCs w:val="24"/>
          <w:shd w:val="clear" w:color="auto" w:fill="FFFFFF"/>
        </w:rPr>
        <w:t xml:space="preserve">McLaren had drastically poor performance for the year 2020, but 2019 was not </w:t>
      </w:r>
      <w:r w:rsidR="000E488E">
        <w:rPr>
          <w:sz w:val="24"/>
          <w:szCs w:val="24"/>
          <w:shd w:val="clear" w:color="auto" w:fill="FFFFFF"/>
        </w:rPr>
        <w:t>a finically sound</w:t>
      </w:r>
      <w:r w:rsidR="00FB43E6" w:rsidRPr="00BE244D">
        <w:rPr>
          <w:sz w:val="24"/>
          <w:szCs w:val="24"/>
          <w:shd w:val="clear" w:color="auto" w:fill="FFFFFF"/>
        </w:rPr>
        <w:t xml:space="preserve"> year either. </w:t>
      </w:r>
      <w:r w:rsidRPr="00BE244D">
        <w:rPr>
          <w:sz w:val="24"/>
          <w:szCs w:val="24"/>
          <w:shd w:val="clear" w:color="auto" w:fill="FFFFFF"/>
        </w:rPr>
        <w:t xml:space="preserve">McLaren’s Gross profit margin was lower in 2020 than 2019 indicating that they are not as profitable year on year based on these financial reports. Having a lower gross profit margin isn’t necessarily a negative for a supercar company that have high production costs. Furthermore, profitability can be increased by increasing the price of their products and/or purchasing their inventory cheaper by either changing suppliers or materials. </w:t>
      </w:r>
    </w:p>
    <w:p w14:paraId="081625CB" w14:textId="20F7D04F" w:rsidR="006E01E1" w:rsidRPr="00BE244D" w:rsidRDefault="00B92307" w:rsidP="006E01E1">
      <w:pPr>
        <w:rPr>
          <w:sz w:val="24"/>
          <w:szCs w:val="24"/>
        </w:rPr>
      </w:pPr>
      <w:r w:rsidRPr="00BE244D">
        <w:rPr>
          <w:sz w:val="24"/>
          <w:szCs w:val="24"/>
          <w:shd w:val="clear" w:color="auto" w:fill="FFFFFF"/>
        </w:rPr>
        <w:t>Looking deeper into the rest of the profitability ratios highlights bigger warning sign</w:t>
      </w:r>
      <w:r w:rsidR="0019348E">
        <w:rPr>
          <w:sz w:val="24"/>
          <w:szCs w:val="24"/>
          <w:shd w:val="clear" w:color="auto" w:fill="FFFFFF"/>
        </w:rPr>
        <w:t>s,</w:t>
      </w:r>
      <w:r w:rsidRPr="00BE244D">
        <w:rPr>
          <w:sz w:val="24"/>
          <w:szCs w:val="24"/>
          <w:shd w:val="clear" w:color="auto" w:fill="FFFFFF"/>
        </w:rPr>
        <w:t xml:space="preserve"> as they were predominantly negative for the years 2019 - 2020 with the exception of the gross profit margin, this is highlighted in figure 1.  Their operating costs were higher than their achieved sales, which has affected the profit margin. Having higher production costs than revenue indicates McLaren w</w:t>
      </w:r>
      <w:r w:rsidR="0019348E">
        <w:rPr>
          <w:sz w:val="24"/>
          <w:szCs w:val="24"/>
          <w:shd w:val="clear" w:color="auto" w:fill="FFFFFF"/>
        </w:rPr>
        <w:t>ere</w:t>
      </w:r>
      <w:r w:rsidRPr="00BE244D">
        <w:rPr>
          <w:sz w:val="24"/>
          <w:szCs w:val="24"/>
          <w:shd w:val="clear" w:color="auto" w:fill="FFFFFF"/>
        </w:rPr>
        <w:t xml:space="preserve"> spending more than they were making. Coupled with a negative return on assets it </w:t>
      </w:r>
      <w:r w:rsidRPr="00BE244D">
        <w:rPr>
          <w:sz w:val="24"/>
          <w:szCs w:val="24"/>
        </w:rPr>
        <w:t xml:space="preserve">suggests McLaren would not be able to make use of their assets to increase income. </w:t>
      </w:r>
    </w:p>
    <w:p w14:paraId="520F840B" w14:textId="5DFF1D78" w:rsidR="00B92307" w:rsidRPr="00BE244D" w:rsidRDefault="00B92307" w:rsidP="006E01E1">
      <w:pPr>
        <w:rPr>
          <w:sz w:val="24"/>
          <w:szCs w:val="24"/>
          <w:shd w:val="clear" w:color="auto" w:fill="FFFFFF"/>
        </w:rPr>
      </w:pPr>
      <w:r w:rsidRPr="00BE244D">
        <w:rPr>
          <w:sz w:val="24"/>
          <w:szCs w:val="24"/>
        </w:rPr>
        <w:t>To compound the negative findings with the profitability ratios, applying the liquidity ratios at this stage cements the poor financial health of McLaren</w:t>
      </w:r>
      <w:r w:rsidR="006E01E1" w:rsidRPr="00BE244D">
        <w:rPr>
          <w:sz w:val="24"/>
          <w:szCs w:val="24"/>
        </w:rPr>
        <w:t>, their trend for cash and cash equivalents were low in 2019 with a further decrease in 2020 with a ratio of less than 1 (0.8 and 0.6) year on year. However, a significant increase in 2021 to 1.84 for their current ratio,</w:t>
      </w:r>
      <w:r w:rsidR="00BE244D" w:rsidRPr="00BE244D">
        <w:rPr>
          <w:sz w:val="24"/>
          <w:szCs w:val="24"/>
        </w:rPr>
        <w:t xml:space="preserve"> </w:t>
      </w:r>
      <w:r w:rsidRPr="00BE244D">
        <w:rPr>
          <w:sz w:val="24"/>
          <w:szCs w:val="24"/>
        </w:rPr>
        <w:t>it would suggest they could satisfy their current obligations</w:t>
      </w:r>
      <w:r w:rsidR="0019348E">
        <w:rPr>
          <w:sz w:val="24"/>
          <w:szCs w:val="24"/>
        </w:rPr>
        <w:t>.</w:t>
      </w:r>
      <w:r w:rsidRPr="00BE244D">
        <w:rPr>
          <w:sz w:val="24"/>
          <w:szCs w:val="24"/>
          <w:shd w:val="clear" w:color="auto" w:fill="FFFFFF"/>
        </w:rPr>
        <w:t xml:space="preserve"> </w:t>
      </w:r>
    </w:p>
    <w:p w14:paraId="384983DF" w14:textId="0505B220" w:rsidR="00B92307" w:rsidRDefault="00B92307" w:rsidP="00B92307">
      <w:pPr>
        <w:rPr>
          <w:rFonts w:cstheme="minorHAnsi"/>
          <w:spacing w:val="1"/>
          <w:sz w:val="24"/>
          <w:szCs w:val="24"/>
          <w:shd w:val="clear" w:color="auto" w:fill="FFFFFF"/>
        </w:rPr>
      </w:pPr>
      <w:r>
        <w:rPr>
          <w:rFonts w:cstheme="minorHAnsi"/>
          <w:spacing w:val="1"/>
          <w:sz w:val="24"/>
          <w:szCs w:val="24"/>
          <w:shd w:val="clear" w:color="auto" w:fill="FFFFFF"/>
        </w:rPr>
        <w:t xml:space="preserve">Negative earnings per share </w:t>
      </w:r>
      <w:r w:rsidR="0019348E">
        <w:rPr>
          <w:rFonts w:cstheme="minorHAnsi"/>
          <w:spacing w:val="1"/>
          <w:sz w:val="24"/>
          <w:szCs w:val="24"/>
          <w:shd w:val="clear" w:color="auto" w:fill="FFFFFF"/>
        </w:rPr>
        <w:t xml:space="preserve">was at its </w:t>
      </w:r>
      <w:r>
        <w:rPr>
          <w:rFonts w:cstheme="minorHAnsi"/>
          <w:spacing w:val="1"/>
          <w:sz w:val="24"/>
          <w:szCs w:val="24"/>
          <w:shd w:val="clear" w:color="auto" w:fill="FFFFFF"/>
        </w:rPr>
        <w:t>highe</w:t>
      </w:r>
      <w:r w:rsidR="0019348E">
        <w:rPr>
          <w:rFonts w:cstheme="minorHAnsi"/>
          <w:spacing w:val="1"/>
          <w:sz w:val="24"/>
          <w:szCs w:val="24"/>
          <w:shd w:val="clear" w:color="auto" w:fill="FFFFFF"/>
        </w:rPr>
        <w:t>st</w:t>
      </w:r>
      <w:r>
        <w:rPr>
          <w:rFonts w:cstheme="minorHAnsi"/>
          <w:spacing w:val="1"/>
          <w:sz w:val="24"/>
          <w:szCs w:val="24"/>
          <w:shd w:val="clear" w:color="auto" w:fill="FFFFFF"/>
        </w:rPr>
        <w:t xml:space="preserve"> in 20</w:t>
      </w:r>
      <w:r w:rsidR="009C1167">
        <w:rPr>
          <w:rFonts w:cstheme="minorHAnsi"/>
          <w:spacing w:val="1"/>
          <w:sz w:val="24"/>
          <w:szCs w:val="24"/>
          <w:shd w:val="clear" w:color="auto" w:fill="FFFFFF"/>
        </w:rPr>
        <w:t>20</w:t>
      </w:r>
      <w:r w:rsidR="0019348E">
        <w:rPr>
          <w:rFonts w:cstheme="minorHAnsi"/>
          <w:spacing w:val="1"/>
          <w:sz w:val="24"/>
          <w:szCs w:val="24"/>
          <w:shd w:val="clear" w:color="auto" w:fill="FFFFFF"/>
        </w:rPr>
        <w:t xml:space="preserve">, </w:t>
      </w:r>
      <w:r w:rsidR="00916BC4">
        <w:rPr>
          <w:rFonts w:cstheme="minorHAnsi"/>
          <w:spacing w:val="1"/>
          <w:sz w:val="24"/>
          <w:szCs w:val="24"/>
          <w:shd w:val="clear" w:color="auto" w:fill="FFFFFF"/>
        </w:rPr>
        <w:t>compared to pre and post pandemic</w:t>
      </w:r>
      <w:r w:rsidR="006116D5">
        <w:rPr>
          <w:rFonts w:cstheme="minorHAnsi"/>
          <w:spacing w:val="1"/>
          <w:sz w:val="24"/>
          <w:szCs w:val="24"/>
          <w:shd w:val="clear" w:color="auto" w:fill="FFFFFF"/>
        </w:rPr>
        <w:t xml:space="preserve"> </w:t>
      </w:r>
      <w:r w:rsidR="0019348E">
        <w:rPr>
          <w:rFonts w:cstheme="minorHAnsi"/>
          <w:spacing w:val="1"/>
          <w:sz w:val="24"/>
          <w:szCs w:val="24"/>
          <w:shd w:val="clear" w:color="auto" w:fill="FFFFFF"/>
        </w:rPr>
        <w:t>years</w:t>
      </w:r>
      <w:r w:rsidR="009C1167">
        <w:rPr>
          <w:rFonts w:cstheme="minorHAnsi"/>
          <w:spacing w:val="1"/>
          <w:sz w:val="24"/>
          <w:szCs w:val="24"/>
          <w:shd w:val="clear" w:color="auto" w:fill="FFFFFF"/>
        </w:rPr>
        <w:t xml:space="preserve">, </w:t>
      </w:r>
      <w:r w:rsidR="006116D5">
        <w:rPr>
          <w:rFonts w:cstheme="minorHAnsi"/>
          <w:spacing w:val="1"/>
          <w:sz w:val="24"/>
          <w:szCs w:val="24"/>
          <w:shd w:val="clear" w:color="auto" w:fill="FFFFFF"/>
        </w:rPr>
        <w:t xml:space="preserve">but across </w:t>
      </w:r>
      <w:r w:rsidR="009C1167">
        <w:rPr>
          <w:rFonts w:cstheme="minorHAnsi"/>
          <w:spacing w:val="1"/>
          <w:sz w:val="24"/>
          <w:szCs w:val="24"/>
          <w:shd w:val="clear" w:color="auto" w:fill="FFFFFF"/>
        </w:rPr>
        <w:t>the full 3</w:t>
      </w:r>
      <w:r w:rsidR="006116D5">
        <w:rPr>
          <w:rFonts w:cstheme="minorHAnsi"/>
          <w:spacing w:val="1"/>
          <w:sz w:val="24"/>
          <w:szCs w:val="24"/>
          <w:shd w:val="clear" w:color="auto" w:fill="FFFFFF"/>
        </w:rPr>
        <w:t xml:space="preserve"> years they are negative</w:t>
      </w:r>
      <w:r w:rsidR="006A0AF6">
        <w:rPr>
          <w:rFonts w:cstheme="minorHAnsi"/>
          <w:spacing w:val="1"/>
          <w:sz w:val="24"/>
          <w:szCs w:val="24"/>
          <w:shd w:val="clear" w:color="auto" w:fill="FFFFFF"/>
        </w:rPr>
        <w:t xml:space="preserve">, this is indicative to McLaren making a loss, </w:t>
      </w:r>
      <w:r w:rsidR="009C1167">
        <w:rPr>
          <w:rFonts w:cstheme="minorHAnsi"/>
          <w:spacing w:val="1"/>
          <w:sz w:val="24"/>
          <w:szCs w:val="24"/>
          <w:shd w:val="clear" w:color="auto" w:fill="FFFFFF"/>
        </w:rPr>
        <w:t xml:space="preserve">so </w:t>
      </w:r>
      <w:r w:rsidR="006A0AF6">
        <w:rPr>
          <w:rFonts w:cstheme="minorHAnsi"/>
          <w:spacing w:val="1"/>
          <w:sz w:val="24"/>
          <w:szCs w:val="24"/>
          <w:shd w:val="clear" w:color="auto" w:fill="FFFFFF"/>
        </w:rPr>
        <w:t>this negative number should not be a surprise to investors or management.</w:t>
      </w:r>
    </w:p>
    <w:p w14:paraId="496E78C3" w14:textId="00ECEB84" w:rsidR="00422BA5" w:rsidRDefault="000247A5" w:rsidP="00B92307">
      <w:pPr>
        <w:rPr>
          <w:rFonts w:cstheme="minorHAnsi"/>
          <w:spacing w:val="1"/>
          <w:sz w:val="24"/>
          <w:szCs w:val="24"/>
          <w:shd w:val="clear" w:color="auto" w:fill="FFFFFF"/>
        </w:rPr>
      </w:pPr>
      <w:r>
        <w:rPr>
          <w:rFonts w:cstheme="minorHAnsi"/>
          <w:spacing w:val="1"/>
          <w:sz w:val="24"/>
          <w:szCs w:val="24"/>
          <w:shd w:val="clear" w:color="auto" w:fill="FFFFFF"/>
        </w:rPr>
        <w:t xml:space="preserve">Inventory turns are lowest in year 2021, as outlined earlier these figures are obscured by not incorporating the final quarter, however year 2019 inventory ratio was much higher at over 6 turns a year. </w:t>
      </w:r>
    </w:p>
    <w:p w14:paraId="2FA355CD" w14:textId="49721A6D" w:rsidR="001B3318" w:rsidRDefault="00FB43E6" w:rsidP="00B92307">
      <w:pPr>
        <w:rPr>
          <w:rFonts w:cstheme="minorHAnsi"/>
          <w:spacing w:val="1"/>
          <w:sz w:val="24"/>
          <w:szCs w:val="24"/>
          <w:shd w:val="clear" w:color="auto" w:fill="FFFFFF"/>
        </w:rPr>
      </w:pPr>
      <w:r>
        <w:rPr>
          <w:rFonts w:cstheme="minorHAnsi"/>
          <w:spacing w:val="1"/>
          <w:sz w:val="24"/>
          <w:szCs w:val="24"/>
          <w:shd w:val="clear" w:color="auto" w:fill="FFFFFF"/>
        </w:rPr>
        <w:t xml:space="preserve">For the 3 years their days sales ratio </w:t>
      </w:r>
      <w:r w:rsidR="00696362">
        <w:rPr>
          <w:rFonts w:cstheme="minorHAnsi"/>
          <w:spacing w:val="1"/>
          <w:sz w:val="24"/>
          <w:szCs w:val="24"/>
          <w:shd w:val="clear" w:color="auto" w:fill="FFFFFF"/>
        </w:rPr>
        <w:t>is</w:t>
      </w:r>
      <w:r>
        <w:rPr>
          <w:rFonts w:cstheme="minorHAnsi"/>
          <w:spacing w:val="1"/>
          <w:sz w:val="24"/>
          <w:szCs w:val="24"/>
          <w:shd w:val="clear" w:color="auto" w:fill="FFFFFF"/>
        </w:rPr>
        <w:t xml:space="preserve"> </w:t>
      </w:r>
      <w:r w:rsidR="001B3318">
        <w:rPr>
          <w:rFonts w:cstheme="minorHAnsi"/>
          <w:spacing w:val="1"/>
          <w:sz w:val="24"/>
          <w:szCs w:val="24"/>
          <w:shd w:val="clear" w:color="auto" w:fill="FFFFFF"/>
        </w:rPr>
        <w:t>consistent and are low ranging from 45 to 78.28 days meaning they obtain their debts well, this peaked in 2020</w:t>
      </w:r>
      <w:r w:rsidR="00BE244D">
        <w:rPr>
          <w:rFonts w:cstheme="minorHAnsi"/>
          <w:spacing w:val="1"/>
          <w:sz w:val="24"/>
          <w:szCs w:val="24"/>
          <w:shd w:val="clear" w:color="auto" w:fill="FFFFFF"/>
        </w:rPr>
        <w:t>, however the</w:t>
      </w:r>
      <w:r w:rsidR="009C1167">
        <w:rPr>
          <w:rFonts w:cstheme="minorHAnsi"/>
          <w:spacing w:val="1"/>
          <w:sz w:val="24"/>
          <w:szCs w:val="24"/>
          <w:shd w:val="clear" w:color="auto" w:fill="FFFFFF"/>
        </w:rPr>
        <w:t xml:space="preserve">y </w:t>
      </w:r>
      <w:r w:rsidR="00BE244D">
        <w:rPr>
          <w:rFonts w:cstheme="minorHAnsi"/>
          <w:spacing w:val="1"/>
          <w:sz w:val="24"/>
          <w:szCs w:val="24"/>
          <w:shd w:val="clear" w:color="auto" w:fill="FFFFFF"/>
        </w:rPr>
        <w:t>stated in their report that they had extended the payment dates for their debtors.</w:t>
      </w:r>
    </w:p>
    <w:p w14:paraId="22B2A4D2" w14:textId="51B1947F" w:rsidR="00916BC4" w:rsidRPr="00180E14" w:rsidRDefault="00916BC4" w:rsidP="00916BC4">
      <w:pPr>
        <w:shd w:val="clear" w:color="auto" w:fill="FFFFFF"/>
        <w:spacing w:after="100" w:afterAutospacing="1" w:line="240" w:lineRule="auto"/>
        <w:rPr>
          <w:rFonts w:eastAsia="Times New Roman" w:cstheme="minorHAnsi"/>
          <w:spacing w:val="1"/>
          <w:sz w:val="24"/>
          <w:szCs w:val="24"/>
          <w:lang w:eastAsia="en-GB"/>
        </w:rPr>
      </w:pPr>
      <w:r>
        <w:rPr>
          <w:rFonts w:cstheme="minorHAnsi"/>
          <w:spacing w:val="1"/>
          <w:sz w:val="24"/>
          <w:szCs w:val="24"/>
          <w:shd w:val="clear" w:color="auto" w:fill="FFFFFF"/>
        </w:rPr>
        <w:t xml:space="preserve">This report is limited to what shareholders ratios can be applied, for the years chosen dividends have not been issued and McLaren are not a public company so have flexibility </w:t>
      </w:r>
      <w:r w:rsidR="000E488E">
        <w:rPr>
          <w:rFonts w:cstheme="minorHAnsi"/>
          <w:spacing w:val="1"/>
          <w:sz w:val="24"/>
          <w:szCs w:val="24"/>
          <w:shd w:val="clear" w:color="auto" w:fill="FFFFFF"/>
        </w:rPr>
        <w:t xml:space="preserve">with </w:t>
      </w:r>
      <w:r>
        <w:rPr>
          <w:rFonts w:cstheme="minorHAnsi"/>
          <w:spacing w:val="1"/>
          <w:sz w:val="24"/>
          <w:szCs w:val="24"/>
          <w:shd w:val="clear" w:color="auto" w:fill="FFFFFF"/>
        </w:rPr>
        <w:t>what figures they release</w:t>
      </w:r>
      <w:r w:rsidR="009C1167">
        <w:rPr>
          <w:rFonts w:cstheme="minorHAnsi"/>
          <w:spacing w:val="1"/>
          <w:sz w:val="24"/>
          <w:szCs w:val="24"/>
          <w:shd w:val="clear" w:color="auto" w:fill="FFFFFF"/>
        </w:rPr>
        <w:t xml:space="preserve"> so unfortunately only earnings per share has been included in this report</w:t>
      </w:r>
      <w:r>
        <w:rPr>
          <w:rFonts w:cstheme="minorHAnsi"/>
          <w:spacing w:val="1"/>
          <w:sz w:val="24"/>
          <w:szCs w:val="24"/>
          <w:shd w:val="clear" w:color="auto" w:fill="FFFFFF"/>
        </w:rPr>
        <w:t>.</w:t>
      </w:r>
    </w:p>
    <w:p w14:paraId="591C5892" w14:textId="77777777" w:rsidR="00B92307" w:rsidRPr="00BE244D" w:rsidRDefault="00B92307" w:rsidP="00B92307">
      <w:pPr>
        <w:pStyle w:val="Default"/>
        <w:rPr>
          <w:rFonts w:asciiTheme="minorHAnsi" w:hAnsiTheme="minorHAnsi" w:cstheme="minorHAnsi"/>
          <w:color w:val="auto"/>
          <w:sz w:val="36"/>
          <w:szCs w:val="36"/>
        </w:rPr>
      </w:pPr>
      <w:r w:rsidRPr="00BE244D">
        <w:rPr>
          <w:rFonts w:asciiTheme="minorHAnsi" w:hAnsiTheme="minorHAnsi" w:cstheme="minorHAnsi"/>
          <w:b/>
          <w:bCs/>
          <w:color w:val="auto"/>
          <w:sz w:val="36"/>
          <w:szCs w:val="36"/>
        </w:rPr>
        <w:t xml:space="preserve">Summary of Findings </w:t>
      </w:r>
    </w:p>
    <w:p w14:paraId="2F7EC10A" w14:textId="77777777" w:rsidR="00B92307" w:rsidRDefault="00B92307" w:rsidP="00B92307">
      <w:pPr>
        <w:pStyle w:val="Default"/>
        <w:rPr>
          <w:rFonts w:asciiTheme="minorHAnsi" w:hAnsiTheme="minorHAnsi" w:cstheme="minorHAnsi"/>
          <w:color w:val="auto"/>
        </w:rPr>
      </w:pPr>
    </w:p>
    <w:p w14:paraId="7A475B86" w14:textId="5954A13E" w:rsidR="00AE23FA" w:rsidRDefault="00B92307" w:rsidP="00B92307">
      <w:pPr>
        <w:rPr>
          <w:rFonts w:cstheme="minorHAnsi"/>
          <w:sz w:val="24"/>
          <w:szCs w:val="24"/>
        </w:rPr>
      </w:pPr>
      <w:r w:rsidRPr="00751CB9">
        <w:rPr>
          <w:rFonts w:cstheme="minorHAnsi"/>
          <w:sz w:val="24"/>
          <w:szCs w:val="24"/>
        </w:rPr>
        <w:t>McLaren’s had financial problems starting before covid-19 in year 20</w:t>
      </w:r>
      <w:r w:rsidR="00FD72C9">
        <w:rPr>
          <w:rFonts w:cstheme="minorHAnsi"/>
          <w:sz w:val="24"/>
          <w:szCs w:val="24"/>
        </w:rPr>
        <w:t>19,</w:t>
      </w:r>
      <w:r w:rsidRPr="00751CB9">
        <w:rPr>
          <w:rFonts w:cstheme="minorHAnsi"/>
          <w:sz w:val="24"/>
          <w:szCs w:val="24"/>
        </w:rPr>
        <w:t xml:space="preserve"> they have debt refinanced the group through loans and selling all of </w:t>
      </w:r>
      <w:r w:rsidR="00696362" w:rsidRPr="00751CB9">
        <w:rPr>
          <w:rFonts w:cstheme="minorHAnsi"/>
          <w:sz w:val="24"/>
          <w:szCs w:val="24"/>
        </w:rPr>
        <w:t>McLaren</w:t>
      </w:r>
      <w:r w:rsidRPr="00751CB9">
        <w:rPr>
          <w:rFonts w:cstheme="minorHAnsi"/>
          <w:sz w:val="24"/>
          <w:szCs w:val="24"/>
        </w:rPr>
        <w:t xml:space="preserve"> applied, and part of McLaren </w:t>
      </w:r>
      <w:r w:rsidRPr="00751CB9">
        <w:rPr>
          <w:rFonts w:cstheme="minorHAnsi"/>
          <w:sz w:val="24"/>
          <w:szCs w:val="24"/>
        </w:rPr>
        <w:lastRenderedPageBreak/>
        <w:t>racing, starting at 15% percent but rising up to 32% by the end of July 2022 (</w:t>
      </w:r>
      <w:r w:rsidRPr="00751CB9">
        <w:rPr>
          <w:rFonts w:cstheme="minorHAnsi"/>
          <w:color w:val="000000"/>
          <w:sz w:val="24"/>
          <w:szCs w:val="24"/>
        </w:rPr>
        <w:t>‌Mitchell, 2022)</w:t>
      </w:r>
      <w:r w:rsidRPr="00751CB9">
        <w:rPr>
          <w:rFonts w:cstheme="minorHAnsi"/>
          <w:sz w:val="24"/>
          <w:szCs w:val="24"/>
        </w:rPr>
        <w:t>. They appear to be focusing on the core business and selling off the transformational business model areas in McLaren applied. On the surface the profitability ratios analysis from year 2021 show positive improvement, however this could be clouded by the restructuring of their business model</w:t>
      </w:r>
      <w:r w:rsidR="00FD72C9">
        <w:rPr>
          <w:rFonts w:cstheme="minorHAnsi"/>
          <w:sz w:val="24"/>
          <w:szCs w:val="24"/>
        </w:rPr>
        <w:t>, w</w:t>
      </w:r>
      <w:r w:rsidRPr="00751CB9">
        <w:rPr>
          <w:rFonts w:cstheme="minorHAnsi"/>
          <w:sz w:val="24"/>
          <w:szCs w:val="24"/>
        </w:rPr>
        <w:t xml:space="preserve">hile this is good for the short term and is probably </w:t>
      </w:r>
      <w:r w:rsidR="0002690A">
        <w:rPr>
          <w:rFonts w:cstheme="minorHAnsi"/>
          <w:sz w:val="24"/>
          <w:szCs w:val="24"/>
        </w:rPr>
        <w:t xml:space="preserve">going to be </w:t>
      </w:r>
      <w:r w:rsidRPr="00751CB9">
        <w:rPr>
          <w:rFonts w:cstheme="minorHAnsi"/>
          <w:sz w:val="24"/>
          <w:szCs w:val="24"/>
        </w:rPr>
        <w:t>key to their immediate survival</w:t>
      </w:r>
      <w:r w:rsidR="00FD72C9">
        <w:rPr>
          <w:rFonts w:cstheme="minorHAnsi"/>
          <w:sz w:val="24"/>
          <w:szCs w:val="24"/>
        </w:rPr>
        <w:t>,</w:t>
      </w:r>
      <w:r w:rsidRPr="00751CB9">
        <w:rPr>
          <w:rFonts w:cstheme="minorHAnsi"/>
          <w:sz w:val="24"/>
          <w:szCs w:val="24"/>
        </w:rPr>
        <w:t xml:space="preserve"> consideration must be given to their future business models. </w:t>
      </w:r>
    </w:p>
    <w:p w14:paraId="7FF9EF22" w14:textId="2805256A" w:rsidR="00BE244D" w:rsidRPr="00DB04F9" w:rsidRDefault="00BE244D" w:rsidP="00BE244D">
      <w:pPr>
        <w:rPr>
          <w:rFonts w:cstheme="minorHAnsi"/>
          <w:spacing w:val="1"/>
          <w:sz w:val="24"/>
          <w:szCs w:val="24"/>
          <w:shd w:val="clear" w:color="auto" w:fill="FFFFFF"/>
        </w:rPr>
      </w:pPr>
      <w:r>
        <w:rPr>
          <w:rFonts w:cstheme="minorHAnsi"/>
          <w:spacing w:val="1"/>
          <w:sz w:val="24"/>
          <w:szCs w:val="24"/>
          <w:shd w:val="clear" w:color="auto" w:fill="FFFFFF"/>
        </w:rPr>
        <w:t xml:space="preserve">Debt- equity ratio has lowered significantly in year 2021 to 70% compared to the average of 270% for 2019-2020 suggesting McLaren have refinanced their business and appear to have less debt, however this is due to restructuring their finance and business model.  </w:t>
      </w:r>
      <w:r w:rsidRPr="00DB04F9">
        <w:rPr>
          <w:rFonts w:cstheme="minorHAnsi"/>
          <w:sz w:val="24"/>
          <w:szCs w:val="24"/>
          <w:shd w:val="clear" w:color="auto" w:fill="FFFFFF"/>
        </w:rPr>
        <w:t xml:space="preserve">If their debt-to-equity ratio </w:t>
      </w:r>
      <w:r>
        <w:rPr>
          <w:rFonts w:cstheme="minorHAnsi"/>
          <w:sz w:val="24"/>
          <w:szCs w:val="24"/>
          <w:shd w:val="clear" w:color="auto" w:fill="FFFFFF"/>
        </w:rPr>
        <w:t>was</w:t>
      </w:r>
      <w:r w:rsidRPr="00DB04F9">
        <w:rPr>
          <w:rFonts w:cstheme="minorHAnsi"/>
          <w:sz w:val="24"/>
          <w:szCs w:val="24"/>
          <w:shd w:val="clear" w:color="auto" w:fill="FFFFFF"/>
        </w:rPr>
        <w:t xml:space="preserve"> too high, it’s a warning McLaren are in financial worry and unable to pay their debtors. If it’s too low, it’s a sign they are over-relying on their equity to finance the business. This could become inefficient and costly (Gallo, 2015).</w:t>
      </w:r>
      <w:r w:rsidR="006A0AF6">
        <w:rPr>
          <w:rFonts w:cstheme="minorHAnsi"/>
          <w:sz w:val="24"/>
          <w:szCs w:val="24"/>
          <w:shd w:val="clear" w:color="auto" w:fill="FFFFFF"/>
        </w:rPr>
        <w:t xml:space="preserve"> </w:t>
      </w:r>
      <w:r w:rsidRPr="00DB04F9">
        <w:rPr>
          <w:rFonts w:cstheme="minorHAnsi"/>
          <w:sz w:val="24"/>
          <w:szCs w:val="24"/>
          <w:shd w:val="clear" w:color="auto" w:fill="FFFFFF"/>
        </w:rPr>
        <w:t xml:space="preserve"> </w:t>
      </w:r>
    </w:p>
    <w:p w14:paraId="5C83BEE8" w14:textId="6A55CD47" w:rsidR="00BE244D" w:rsidRDefault="00BE244D" w:rsidP="00BE244D">
      <w:pPr>
        <w:rPr>
          <w:rFonts w:cstheme="minorHAnsi"/>
          <w:spacing w:val="1"/>
          <w:sz w:val="24"/>
          <w:szCs w:val="24"/>
          <w:shd w:val="clear" w:color="auto" w:fill="FFFFFF"/>
        </w:rPr>
      </w:pPr>
      <w:r>
        <w:rPr>
          <w:rFonts w:cstheme="minorHAnsi"/>
          <w:spacing w:val="1"/>
          <w:sz w:val="24"/>
          <w:szCs w:val="24"/>
          <w:shd w:val="clear" w:color="auto" w:fill="FFFFFF"/>
        </w:rPr>
        <w:t xml:space="preserve">Year 2021, McLaren have improved drastically, raising their gross profit margin to above 2019s figures and achieving a positive operating profit. The other profitability ratios have improved but are still in the minus. Using the liquidity </w:t>
      </w:r>
      <w:r w:rsidR="0002690A">
        <w:rPr>
          <w:rFonts w:cstheme="minorHAnsi"/>
          <w:spacing w:val="1"/>
          <w:sz w:val="24"/>
          <w:szCs w:val="24"/>
          <w:shd w:val="clear" w:color="auto" w:fill="FFFFFF"/>
        </w:rPr>
        <w:t xml:space="preserve">current and quick ratio </w:t>
      </w:r>
      <w:r>
        <w:rPr>
          <w:rFonts w:cstheme="minorHAnsi"/>
          <w:spacing w:val="1"/>
          <w:sz w:val="24"/>
          <w:szCs w:val="24"/>
          <w:shd w:val="clear" w:color="auto" w:fill="FFFFFF"/>
        </w:rPr>
        <w:t>at this point show positive growth by increasing to 1.84 and 1.32.</w:t>
      </w:r>
    </w:p>
    <w:p w14:paraId="36E0FB6A" w14:textId="77777777" w:rsidR="00BE244D" w:rsidRDefault="00BE244D" w:rsidP="00710A77">
      <w:pPr>
        <w:pStyle w:val="Default"/>
        <w:rPr>
          <w:rFonts w:asciiTheme="minorHAnsi" w:hAnsiTheme="minorHAnsi" w:cstheme="minorHAnsi"/>
          <w:b/>
          <w:bCs/>
          <w:color w:val="auto"/>
        </w:rPr>
      </w:pPr>
    </w:p>
    <w:p w14:paraId="087CF4EF" w14:textId="453FAD1D" w:rsidR="00710A77" w:rsidRPr="00196E0B" w:rsidRDefault="00710A77" w:rsidP="00710A77">
      <w:pPr>
        <w:pStyle w:val="Default"/>
        <w:rPr>
          <w:rFonts w:asciiTheme="minorHAnsi" w:hAnsiTheme="minorHAnsi" w:cstheme="minorHAnsi"/>
          <w:b/>
          <w:bCs/>
          <w:color w:val="auto"/>
        </w:rPr>
      </w:pPr>
      <w:r>
        <w:rPr>
          <w:rFonts w:asciiTheme="minorHAnsi" w:hAnsiTheme="minorHAnsi" w:cstheme="minorHAnsi"/>
          <w:b/>
          <w:bCs/>
          <w:color w:val="auto"/>
        </w:rPr>
        <w:t>Other impacts to McLaren</w:t>
      </w:r>
    </w:p>
    <w:p w14:paraId="3CCD22C1" w14:textId="77777777" w:rsidR="00710A77" w:rsidRDefault="00710A77" w:rsidP="00710A77">
      <w:pPr>
        <w:pStyle w:val="Default"/>
        <w:rPr>
          <w:rFonts w:asciiTheme="minorHAnsi" w:hAnsiTheme="minorHAnsi" w:cstheme="minorHAnsi"/>
          <w:color w:val="auto"/>
        </w:rPr>
      </w:pPr>
    </w:p>
    <w:p w14:paraId="03333B51" w14:textId="31A7D7FF" w:rsidR="00BC2119" w:rsidRPr="00781881" w:rsidRDefault="00710A77" w:rsidP="00BC2119">
      <w:pPr>
        <w:rPr>
          <w:sz w:val="24"/>
          <w:szCs w:val="24"/>
        </w:rPr>
      </w:pPr>
      <w:proofErr w:type="spellStart"/>
      <w:r w:rsidRPr="00AE23FA">
        <w:rPr>
          <w:rFonts w:cstheme="minorHAnsi"/>
          <w:sz w:val="24"/>
          <w:szCs w:val="24"/>
          <w:shd w:val="clear" w:color="auto" w:fill="FFFFFF"/>
        </w:rPr>
        <w:t>Fridson</w:t>
      </w:r>
      <w:proofErr w:type="spellEnd"/>
      <w:r w:rsidRPr="00AE23FA">
        <w:rPr>
          <w:rFonts w:cstheme="minorHAnsi"/>
          <w:sz w:val="24"/>
          <w:szCs w:val="24"/>
          <w:shd w:val="clear" w:color="auto" w:fill="FFFFFF"/>
        </w:rPr>
        <w:t xml:space="preserve">, Alvarez and </w:t>
      </w:r>
      <w:proofErr w:type="spellStart"/>
      <w:r w:rsidRPr="00AE23FA">
        <w:rPr>
          <w:rFonts w:cstheme="minorHAnsi"/>
          <w:sz w:val="24"/>
          <w:szCs w:val="24"/>
          <w:shd w:val="clear" w:color="auto" w:fill="FFFFFF"/>
        </w:rPr>
        <w:t>Netlibrary</w:t>
      </w:r>
      <w:proofErr w:type="spellEnd"/>
      <w:r w:rsidRPr="00AE23FA">
        <w:rPr>
          <w:rFonts w:cstheme="minorHAnsi"/>
          <w:sz w:val="24"/>
          <w:szCs w:val="24"/>
          <w:shd w:val="clear" w:color="auto" w:fill="FFFFFF"/>
        </w:rPr>
        <w:t xml:space="preserve">, (2002) discuss the importance of being sceptical of reported figures in statements, </w:t>
      </w:r>
      <w:r>
        <w:rPr>
          <w:rFonts w:cstheme="minorHAnsi"/>
          <w:sz w:val="24"/>
          <w:szCs w:val="24"/>
          <w:shd w:val="clear" w:color="auto" w:fill="FFFFFF"/>
        </w:rPr>
        <w:t>and</w:t>
      </w:r>
      <w:r w:rsidRPr="00AE23FA">
        <w:rPr>
          <w:rFonts w:cstheme="minorHAnsi"/>
          <w:sz w:val="24"/>
          <w:szCs w:val="24"/>
          <w:shd w:val="clear" w:color="auto" w:fill="FFFFFF"/>
        </w:rPr>
        <w:t xml:space="preserve"> to also look at mitigating circumstances of qualitative considerations. </w:t>
      </w:r>
      <w:r>
        <w:rPr>
          <w:rFonts w:cstheme="minorHAnsi"/>
          <w:sz w:val="24"/>
          <w:szCs w:val="24"/>
          <w:shd w:val="clear" w:color="auto" w:fill="FFFFFF"/>
        </w:rPr>
        <w:t xml:space="preserve"> </w:t>
      </w:r>
      <w:r w:rsidRPr="001D5CCA">
        <w:rPr>
          <w:rFonts w:cstheme="minorHAnsi"/>
          <w:sz w:val="24"/>
          <w:szCs w:val="24"/>
        </w:rPr>
        <w:t xml:space="preserve">McLaren in </w:t>
      </w:r>
      <w:r>
        <w:rPr>
          <w:rFonts w:cstheme="minorHAnsi"/>
          <w:sz w:val="24"/>
          <w:szCs w:val="24"/>
        </w:rPr>
        <w:t xml:space="preserve">year </w:t>
      </w:r>
      <w:r w:rsidRPr="001D5CCA">
        <w:rPr>
          <w:rFonts w:cstheme="minorHAnsi"/>
          <w:sz w:val="24"/>
          <w:szCs w:val="24"/>
        </w:rPr>
        <w:t>2020 planned to reduce their stock of cars produced to make them more exclusive</w:t>
      </w:r>
      <w:r w:rsidR="000247A5">
        <w:rPr>
          <w:rFonts w:cstheme="minorHAnsi"/>
          <w:sz w:val="24"/>
          <w:szCs w:val="24"/>
        </w:rPr>
        <w:t xml:space="preserve"> this could be manifesting itself in the inventory turns ratio and should be considered that </w:t>
      </w:r>
      <w:r w:rsidR="003C1120">
        <w:rPr>
          <w:rFonts w:cstheme="minorHAnsi"/>
          <w:sz w:val="24"/>
          <w:szCs w:val="24"/>
        </w:rPr>
        <w:t>McLaren</w:t>
      </w:r>
      <w:r w:rsidR="000247A5">
        <w:rPr>
          <w:rFonts w:cstheme="minorHAnsi"/>
          <w:sz w:val="24"/>
          <w:szCs w:val="24"/>
        </w:rPr>
        <w:t xml:space="preserve"> wanted to sell less in 2020-2021 to increase revenue through generating </w:t>
      </w:r>
      <w:r w:rsidR="003C1120">
        <w:rPr>
          <w:rFonts w:cstheme="minorHAnsi"/>
          <w:sz w:val="24"/>
          <w:szCs w:val="24"/>
        </w:rPr>
        <w:t>supply and demand for their stock</w:t>
      </w:r>
      <w:r w:rsidRPr="001D5CCA">
        <w:rPr>
          <w:rFonts w:cstheme="minorHAnsi"/>
          <w:sz w:val="24"/>
          <w:szCs w:val="24"/>
        </w:rPr>
        <w:t>. Shareholders injected roughly £300 million</w:t>
      </w:r>
      <w:r w:rsidR="00BC2119">
        <w:rPr>
          <w:rFonts w:cstheme="minorHAnsi"/>
          <w:sz w:val="24"/>
          <w:szCs w:val="24"/>
        </w:rPr>
        <w:t xml:space="preserve"> in the way of preference shares</w:t>
      </w:r>
      <w:r w:rsidRPr="001D5CCA">
        <w:rPr>
          <w:rFonts w:cstheme="minorHAnsi"/>
          <w:sz w:val="24"/>
          <w:szCs w:val="24"/>
        </w:rPr>
        <w:t xml:space="preserve"> into the business </w:t>
      </w:r>
      <w:r w:rsidR="00BC2119">
        <w:rPr>
          <w:rFonts w:cstheme="minorHAnsi"/>
          <w:sz w:val="24"/>
          <w:szCs w:val="24"/>
        </w:rPr>
        <w:t xml:space="preserve">in </w:t>
      </w:r>
      <w:r w:rsidRPr="001D5CCA">
        <w:rPr>
          <w:rFonts w:cstheme="minorHAnsi"/>
          <w:sz w:val="24"/>
          <w:szCs w:val="24"/>
        </w:rPr>
        <w:t>early 2020</w:t>
      </w:r>
      <w:r w:rsidR="00BC2119">
        <w:rPr>
          <w:rFonts w:cstheme="minorHAnsi"/>
          <w:sz w:val="24"/>
          <w:szCs w:val="24"/>
        </w:rPr>
        <w:t>,</w:t>
      </w:r>
      <w:r w:rsidRPr="001D5CCA">
        <w:rPr>
          <w:rFonts w:cstheme="minorHAnsi"/>
          <w:sz w:val="24"/>
          <w:szCs w:val="24"/>
        </w:rPr>
        <w:t xml:space="preserve"> cover</w:t>
      </w:r>
      <w:r w:rsidR="00BC2119">
        <w:rPr>
          <w:rFonts w:cstheme="minorHAnsi"/>
          <w:sz w:val="24"/>
          <w:szCs w:val="24"/>
        </w:rPr>
        <w:t>ing</w:t>
      </w:r>
      <w:r w:rsidRPr="001D5CCA">
        <w:rPr>
          <w:rFonts w:cstheme="minorHAnsi"/>
          <w:sz w:val="24"/>
          <w:szCs w:val="24"/>
        </w:rPr>
        <w:t xml:space="preserve"> the costs as </w:t>
      </w:r>
      <w:r w:rsidR="00BC2119">
        <w:rPr>
          <w:rFonts w:cstheme="minorHAnsi"/>
          <w:sz w:val="24"/>
          <w:szCs w:val="24"/>
        </w:rPr>
        <w:t>McLaren</w:t>
      </w:r>
      <w:r w:rsidRPr="001D5CCA">
        <w:rPr>
          <w:rFonts w:cstheme="minorHAnsi"/>
          <w:sz w:val="24"/>
          <w:szCs w:val="24"/>
        </w:rPr>
        <w:t xml:space="preserve"> scaled down</w:t>
      </w:r>
      <w:r w:rsidR="00BC2119">
        <w:rPr>
          <w:rFonts w:cstheme="minorHAnsi"/>
          <w:sz w:val="24"/>
          <w:szCs w:val="24"/>
        </w:rPr>
        <w:t xml:space="preserve"> operations</w:t>
      </w:r>
      <w:r w:rsidRPr="001D5CCA">
        <w:rPr>
          <w:rFonts w:cstheme="minorHAnsi"/>
          <w:sz w:val="24"/>
          <w:szCs w:val="24"/>
        </w:rPr>
        <w:t xml:space="preserve"> </w:t>
      </w:r>
      <w:r w:rsidR="00BC2119">
        <w:rPr>
          <w:rFonts w:cstheme="minorHAnsi"/>
          <w:sz w:val="24"/>
          <w:szCs w:val="24"/>
        </w:rPr>
        <w:t>w</w:t>
      </w:r>
      <w:r w:rsidRPr="001D5CCA">
        <w:rPr>
          <w:rFonts w:cstheme="minorHAnsi"/>
          <w:sz w:val="24"/>
          <w:szCs w:val="24"/>
        </w:rPr>
        <w:t>hen the covid-19 crisis began, this funding was used to stay operational</w:t>
      </w:r>
      <w:r w:rsidR="000247A5">
        <w:rPr>
          <w:rFonts w:cstheme="minorHAnsi"/>
          <w:sz w:val="24"/>
          <w:szCs w:val="24"/>
        </w:rPr>
        <w:t>.</w:t>
      </w:r>
      <w:r w:rsidR="00364C21">
        <w:rPr>
          <w:rFonts w:cstheme="minorHAnsi"/>
          <w:sz w:val="24"/>
          <w:szCs w:val="24"/>
        </w:rPr>
        <w:t xml:space="preserve"> </w:t>
      </w:r>
      <w:r w:rsidR="00BC2119" w:rsidRPr="00781881">
        <w:rPr>
          <w:sz w:val="24"/>
          <w:szCs w:val="24"/>
        </w:rPr>
        <w:t>McLaren had to increase short term liquidity, and secured this by entering into a loan with National Bank of Bahrain for £150m which the shareholders supported</w:t>
      </w:r>
      <w:r w:rsidR="00716E7A">
        <w:rPr>
          <w:sz w:val="24"/>
          <w:szCs w:val="24"/>
        </w:rPr>
        <w:t xml:space="preserve"> (McLaren annual report 2020)</w:t>
      </w:r>
      <w:r w:rsidR="00BC2119" w:rsidRPr="00781881">
        <w:rPr>
          <w:sz w:val="24"/>
          <w:szCs w:val="24"/>
        </w:rPr>
        <w:t xml:space="preserve">. </w:t>
      </w:r>
    </w:p>
    <w:p w14:paraId="3BC26E6C" w14:textId="211C4A0F" w:rsidR="00710A77" w:rsidRPr="001D5CCA" w:rsidRDefault="00710A77" w:rsidP="00710A77">
      <w:pPr>
        <w:rPr>
          <w:rFonts w:cstheme="minorHAnsi"/>
          <w:sz w:val="24"/>
          <w:szCs w:val="24"/>
        </w:rPr>
      </w:pPr>
      <w:r w:rsidRPr="001D5CCA">
        <w:rPr>
          <w:rFonts w:cstheme="minorHAnsi"/>
          <w:sz w:val="24"/>
          <w:szCs w:val="24"/>
        </w:rPr>
        <w:t xml:space="preserve">The first three months of 2019, they sold </w:t>
      </w:r>
      <w:r w:rsidR="003D4847">
        <w:rPr>
          <w:rFonts w:cstheme="minorHAnsi"/>
          <w:sz w:val="24"/>
          <w:szCs w:val="24"/>
        </w:rPr>
        <w:t>nearly</w:t>
      </w:r>
      <w:r w:rsidRPr="001D5CCA">
        <w:rPr>
          <w:rFonts w:cstheme="minorHAnsi"/>
          <w:sz w:val="24"/>
          <w:szCs w:val="24"/>
        </w:rPr>
        <w:t xml:space="preserve"> 1000 super cars but this dropped to just under a third for the same time period the following year due to dealerships closing. This meant McLaren's revenue fell sharply</w:t>
      </w:r>
      <w:r>
        <w:rPr>
          <w:rFonts w:ascii="Calibri" w:hAnsi="Calibri" w:cs="Calibri"/>
          <w:color w:val="000000"/>
          <w:sz w:val="27"/>
          <w:szCs w:val="27"/>
        </w:rPr>
        <w:t>‌ (</w:t>
      </w:r>
      <w:r w:rsidRPr="00FB43E6">
        <w:rPr>
          <w:rFonts w:ascii="Calibri" w:hAnsi="Calibri" w:cs="Calibri"/>
          <w:color w:val="000000"/>
          <w:sz w:val="24"/>
          <w:szCs w:val="24"/>
        </w:rPr>
        <w:t>Sylt,</w:t>
      </w:r>
      <w:r>
        <w:rPr>
          <w:rFonts w:ascii="Calibri" w:hAnsi="Calibri" w:cs="Calibri"/>
          <w:color w:val="000000"/>
          <w:sz w:val="24"/>
          <w:szCs w:val="24"/>
        </w:rPr>
        <w:t xml:space="preserve"> </w:t>
      </w:r>
      <w:r w:rsidRPr="00FB43E6">
        <w:rPr>
          <w:rFonts w:ascii="Calibri" w:hAnsi="Calibri" w:cs="Calibri"/>
          <w:color w:val="000000"/>
          <w:sz w:val="24"/>
          <w:szCs w:val="24"/>
        </w:rPr>
        <w:t>2020). </w:t>
      </w:r>
    </w:p>
    <w:p w14:paraId="2D12FE1A" w14:textId="5CC47A6A" w:rsidR="00710A77" w:rsidRDefault="00710A77" w:rsidP="00710A77">
      <w:pPr>
        <w:pStyle w:val="Default"/>
        <w:rPr>
          <w:rFonts w:asciiTheme="minorHAnsi" w:hAnsiTheme="minorHAnsi" w:cstheme="minorHAnsi"/>
          <w:color w:val="auto"/>
        </w:rPr>
      </w:pPr>
      <w:r w:rsidRPr="00821914">
        <w:rPr>
          <w:rFonts w:asciiTheme="minorHAnsi" w:hAnsiTheme="minorHAnsi" w:cstheme="minorHAnsi"/>
          <w:color w:val="auto"/>
        </w:rPr>
        <w:t xml:space="preserve">As outlined in limitations of ratios, it’s important to consider external factors of why a business might be struggling. Covid-19 had impacted the majority of businesses globally in 2020.  </w:t>
      </w:r>
      <w:r>
        <w:rPr>
          <w:rFonts w:asciiTheme="minorHAnsi" w:hAnsiTheme="minorHAnsi" w:cstheme="minorHAnsi"/>
          <w:color w:val="auto"/>
        </w:rPr>
        <w:t>Manufacturing sectors had succumbed to a grinding halt.</w:t>
      </w:r>
    </w:p>
    <w:p w14:paraId="789924D2" w14:textId="77777777" w:rsidR="00333203" w:rsidRPr="00821914" w:rsidRDefault="00333203" w:rsidP="00710A77">
      <w:pPr>
        <w:pStyle w:val="Default"/>
        <w:rPr>
          <w:rFonts w:asciiTheme="minorHAnsi" w:hAnsiTheme="minorHAnsi" w:cstheme="minorHAnsi"/>
          <w:color w:val="auto"/>
        </w:rPr>
      </w:pPr>
    </w:p>
    <w:p w14:paraId="4CAAEF41" w14:textId="77777777" w:rsidR="00710A77" w:rsidRDefault="00710A77" w:rsidP="00710A77">
      <w:pPr>
        <w:pStyle w:val="Default"/>
        <w:rPr>
          <w:rFonts w:asciiTheme="minorHAnsi" w:hAnsiTheme="minorHAnsi" w:cstheme="minorHAnsi"/>
          <w:b/>
          <w:bCs/>
          <w:color w:val="auto"/>
          <w:sz w:val="28"/>
          <w:szCs w:val="28"/>
        </w:rPr>
      </w:pPr>
      <w:r>
        <w:rPr>
          <w:noProof/>
        </w:rPr>
        <w:lastRenderedPageBreak/>
        <w:drawing>
          <wp:inline distT="0" distB="0" distL="0" distR="0" wp14:anchorId="7A5EF5E4" wp14:editId="2E45394F">
            <wp:extent cx="5394960" cy="273431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00465" cy="2737100"/>
                    </a:xfrm>
                    <a:prstGeom prst="rect">
                      <a:avLst/>
                    </a:prstGeom>
                  </pic:spPr>
                </pic:pic>
              </a:graphicData>
            </a:graphic>
          </wp:inline>
        </w:drawing>
      </w:r>
    </w:p>
    <w:p w14:paraId="54A97936" w14:textId="77777777" w:rsidR="00710A77" w:rsidRDefault="00710A77" w:rsidP="00710A77">
      <w:pPr>
        <w:pStyle w:val="Default"/>
        <w:rPr>
          <w:rFonts w:asciiTheme="minorHAnsi" w:hAnsiTheme="minorHAnsi" w:cstheme="minorHAnsi"/>
          <w:color w:val="auto"/>
          <w:shd w:val="clear" w:color="auto" w:fill="FFFFFF"/>
        </w:rPr>
      </w:pPr>
    </w:p>
    <w:p w14:paraId="049BFC57" w14:textId="77777777" w:rsidR="00710A77" w:rsidRPr="00E14572" w:rsidRDefault="00710A77" w:rsidP="00710A77">
      <w:pPr>
        <w:pStyle w:val="Default"/>
        <w:rPr>
          <w:rFonts w:asciiTheme="minorHAnsi" w:hAnsiTheme="minorHAnsi" w:cstheme="minorHAnsi"/>
          <w:b/>
          <w:bCs/>
          <w:color w:val="auto"/>
        </w:rPr>
      </w:pPr>
      <w:r w:rsidRPr="00E14572">
        <w:rPr>
          <w:rFonts w:asciiTheme="minorHAnsi" w:hAnsiTheme="minorHAnsi" w:cstheme="minorHAnsi"/>
          <w:color w:val="auto"/>
          <w:shd w:val="clear" w:color="auto" w:fill="FFFFFF"/>
        </w:rPr>
        <w:t>(Deloitte, 2020)</w:t>
      </w:r>
    </w:p>
    <w:p w14:paraId="6F2C4269" w14:textId="77777777" w:rsidR="00710A77" w:rsidRDefault="00710A77" w:rsidP="00710A77">
      <w:pPr>
        <w:pStyle w:val="Default"/>
        <w:rPr>
          <w:rFonts w:asciiTheme="minorHAnsi" w:hAnsiTheme="minorHAnsi" w:cstheme="minorHAnsi"/>
          <w:b/>
          <w:bCs/>
          <w:color w:val="auto"/>
          <w:sz w:val="28"/>
          <w:szCs w:val="28"/>
        </w:rPr>
      </w:pPr>
    </w:p>
    <w:p w14:paraId="0FFCA7D0" w14:textId="5DCB67FD" w:rsidR="00710A77" w:rsidRPr="00CF5255" w:rsidRDefault="00710A77" w:rsidP="00710A77">
      <w:pPr>
        <w:rPr>
          <w:sz w:val="24"/>
          <w:szCs w:val="24"/>
        </w:rPr>
      </w:pPr>
      <w:r w:rsidRPr="00CF5255">
        <w:rPr>
          <w:rFonts w:cstheme="minorHAnsi"/>
          <w:sz w:val="24"/>
          <w:szCs w:val="24"/>
        </w:rPr>
        <w:t xml:space="preserve">Covid-19 had affected liquidity, profitability, credit, workforce and supply chains and in the longer term changed business models, forced companies to restructure and apply for support from governments, </w:t>
      </w:r>
      <w:r w:rsidRPr="00CF5255">
        <w:rPr>
          <w:rFonts w:cstheme="minorHAnsi"/>
          <w:sz w:val="24"/>
          <w:szCs w:val="24"/>
          <w:shd w:val="clear" w:color="auto" w:fill="FFFFFF"/>
        </w:rPr>
        <w:t>Furthermore, the effects on assets affected by Covid-19 were inventories relating to the forced lockdowns and weaker demand from customers. Trade receivables could require much higher provisions owning to the increased risk because of the potential higher unemployment rates and the downturn of the economy,</w:t>
      </w:r>
      <w:r w:rsidRPr="00CF5255">
        <w:rPr>
          <w:rFonts w:cstheme="minorHAnsi"/>
          <w:sz w:val="24"/>
          <w:szCs w:val="24"/>
        </w:rPr>
        <w:t xml:space="preserve"> this was highlighted by Deloitte (2020). However, McLaren was facing a financial crisis and on verge of bankruptcy under the background of the COVID-19 pandemic. </w:t>
      </w:r>
      <w:r w:rsidRPr="00CF5255">
        <w:rPr>
          <w:rFonts w:cstheme="minorHAnsi"/>
          <w:sz w:val="24"/>
          <w:szCs w:val="24"/>
          <w:shd w:val="clear" w:color="auto" w:fill="FFFFFF"/>
        </w:rPr>
        <w:t xml:space="preserve">Zhang, (2022) states </w:t>
      </w:r>
      <w:r w:rsidRPr="00CF5255">
        <w:rPr>
          <w:rFonts w:cstheme="minorHAnsi"/>
          <w:sz w:val="24"/>
          <w:szCs w:val="24"/>
        </w:rPr>
        <w:t xml:space="preserve">how McLaren changed its current market disadvantage by increasing their sales. A strength of their brand is their price compared to their peers Lamborghini and Ferrari. A weakness is quality </w:t>
      </w:r>
      <w:r w:rsidRPr="00CF5255">
        <w:rPr>
          <w:sz w:val="24"/>
          <w:szCs w:val="24"/>
        </w:rPr>
        <w:t xml:space="preserve">and product issues </w:t>
      </w:r>
      <w:r w:rsidR="00DF0936" w:rsidRPr="00CF5255">
        <w:rPr>
          <w:sz w:val="24"/>
          <w:szCs w:val="24"/>
        </w:rPr>
        <w:t>such as</w:t>
      </w:r>
      <w:r w:rsidR="00CF5255" w:rsidRPr="00CF5255">
        <w:rPr>
          <w:sz w:val="24"/>
          <w:szCs w:val="24"/>
        </w:rPr>
        <w:t xml:space="preserve"> Depreciation curve of new McLaren’s cars, flooding the market, removing CEO Ron Dennis after nearly 40 years and perceived </w:t>
      </w:r>
      <w:r w:rsidRPr="00CF5255">
        <w:rPr>
          <w:rFonts w:cstheme="minorHAnsi"/>
          <w:sz w:val="24"/>
          <w:szCs w:val="24"/>
        </w:rPr>
        <w:t xml:space="preserve">failure in </w:t>
      </w:r>
      <w:r w:rsidR="005D7F6F" w:rsidRPr="00CF5255">
        <w:rPr>
          <w:rFonts w:cstheme="minorHAnsi"/>
          <w:sz w:val="24"/>
          <w:szCs w:val="24"/>
        </w:rPr>
        <w:t>their e</w:t>
      </w:r>
      <w:r w:rsidRPr="00CF5255">
        <w:rPr>
          <w:rFonts w:cstheme="minorHAnsi"/>
          <w:sz w:val="24"/>
          <w:szCs w:val="24"/>
        </w:rPr>
        <w:t>lectronic systems</w:t>
      </w:r>
      <w:r w:rsidR="00DF0936" w:rsidRPr="00CF5255">
        <w:rPr>
          <w:rFonts w:cstheme="minorHAnsi"/>
          <w:sz w:val="24"/>
          <w:szCs w:val="24"/>
        </w:rPr>
        <w:t xml:space="preserve"> </w:t>
      </w:r>
      <w:r w:rsidR="00DF0936" w:rsidRPr="00CF5255">
        <w:rPr>
          <w:rFonts w:cstheme="minorHAnsi"/>
          <w:sz w:val="24"/>
          <w:szCs w:val="24"/>
          <w:shd w:val="clear" w:color="auto" w:fill="FFFFFF"/>
        </w:rPr>
        <w:t>(Richter, 2020)</w:t>
      </w:r>
      <w:r w:rsidRPr="00CF5255">
        <w:rPr>
          <w:rFonts w:cstheme="minorHAnsi"/>
          <w:sz w:val="24"/>
          <w:szCs w:val="24"/>
        </w:rPr>
        <w:t xml:space="preserve">. McLaren needed to increase revenue by reducing prices coupled with product quality improvement. </w:t>
      </w:r>
    </w:p>
    <w:p w14:paraId="2DED0ED6" w14:textId="77777777" w:rsidR="00710A77" w:rsidRPr="00F3744D" w:rsidRDefault="00710A77" w:rsidP="00710A77">
      <w:pPr>
        <w:pStyle w:val="Default"/>
        <w:rPr>
          <w:rFonts w:asciiTheme="minorHAnsi" w:hAnsiTheme="minorHAnsi" w:cstheme="minorHAnsi"/>
          <w:color w:val="auto"/>
        </w:rPr>
      </w:pPr>
    </w:p>
    <w:p w14:paraId="36AB00CC" w14:textId="560B7D68" w:rsidR="001B4D81" w:rsidRDefault="001B4D81">
      <w:pPr>
        <w:rPr>
          <w:b/>
          <w:bCs/>
          <w:sz w:val="32"/>
          <w:szCs w:val="32"/>
        </w:rPr>
      </w:pPr>
      <w:r>
        <w:rPr>
          <w:b/>
          <w:bCs/>
          <w:sz w:val="32"/>
          <w:szCs w:val="32"/>
        </w:rPr>
        <w:t>Conclusion</w:t>
      </w:r>
    </w:p>
    <w:p w14:paraId="68292306" w14:textId="09F4121F" w:rsidR="000541F6" w:rsidRPr="00943867" w:rsidRDefault="001B4D81" w:rsidP="001012A0">
      <w:pPr>
        <w:rPr>
          <w:rFonts w:cstheme="minorHAnsi"/>
          <w:spacing w:val="1"/>
          <w:sz w:val="24"/>
          <w:szCs w:val="24"/>
          <w:shd w:val="clear" w:color="auto" w:fill="FFFFFF"/>
        </w:rPr>
      </w:pPr>
      <w:r w:rsidRPr="00943867">
        <w:rPr>
          <w:sz w:val="24"/>
          <w:szCs w:val="24"/>
        </w:rPr>
        <w:t>This case study looked through the financial statements of McLarens and applied gearing Ratios to analysis their financial health</w:t>
      </w:r>
      <w:r w:rsidR="001012A0" w:rsidRPr="00943867">
        <w:rPr>
          <w:sz w:val="24"/>
          <w:szCs w:val="24"/>
        </w:rPr>
        <w:t>,</w:t>
      </w:r>
      <w:r w:rsidRPr="00943867">
        <w:rPr>
          <w:sz w:val="24"/>
          <w:szCs w:val="24"/>
        </w:rPr>
        <w:t xml:space="preserve"> </w:t>
      </w:r>
      <w:r w:rsidR="001012A0" w:rsidRPr="00943867">
        <w:rPr>
          <w:sz w:val="24"/>
          <w:szCs w:val="24"/>
        </w:rPr>
        <w:t>they were a useful tool to analysis the health of the business but have only acted as part of this evaluation.</w:t>
      </w:r>
      <w:r w:rsidR="005D7F6F">
        <w:rPr>
          <w:sz w:val="24"/>
          <w:szCs w:val="24"/>
        </w:rPr>
        <w:t xml:space="preserve"> If this report just looked at the statements and ratios it would not be advisable to contemplate going into partnership with McLaren, however, i</w:t>
      </w:r>
      <w:r w:rsidR="001012A0" w:rsidRPr="00943867">
        <w:rPr>
          <w:sz w:val="24"/>
          <w:szCs w:val="24"/>
        </w:rPr>
        <w:t xml:space="preserve">ntangible assets like brand, good will should also be considered, once McLaren’s brand was highly regarded as a supercar among other top brands but recent years have left </w:t>
      </w:r>
      <w:r w:rsidR="001012A0" w:rsidRPr="00943867">
        <w:rPr>
          <w:rStyle w:val="Emphasis"/>
          <w:rFonts w:cstheme="minorHAnsi"/>
          <w:i w:val="0"/>
          <w:iCs w:val="0"/>
          <w:sz w:val="24"/>
          <w:szCs w:val="24"/>
          <w:shd w:val="clear" w:color="auto" w:fill="FFFFFF"/>
        </w:rPr>
        <w:t xml:space="preserve">McLaren with significant underlining challenges to overcome. They have taken on large debt and have had negative public image through increased complaints and nearing bankruptcy, it could be argued that covid-19 striking in 2020 had actually benefited McLaren and kept the “wolf from the door”. McLaren have to rebuild their reputation while </w:t>
      </w:r>
      <w:r w:rsidR="001012A0" w:rsidRPr="00943867">
        <w:rPr>
          <w:rStyle w:val="Emphasis"/>
          <w:rFonts w:cstheme="minorHAnsi"/>
          <w:i w:val="0"/>
          <w:iCs w:val="0"/>
          <w:sz w:val="24"/>
          <w:szCs w:val="24"/>
          <w:shd w:val="clear" w:color="auto" w:fill="FFFFFF"/>
        </w:rPr>
        <w:lastRenderedPageBreak/>
        <w:t xml:space="preserve">managing their new debt in the form of loans and senior secured notes </w:t>
      </w:r>
      <w:r w:rsidR="00943867" w:rsidRPr="00943867">
        <w:rPr>
          <w:rStyle w:val="Emphasis"/>
          <w:rFonts w:cstheme="minorHAnsi"/>
          <w:i w:val="0"/>
          <w:iCs w:val="0"/>
          <w:sz w:val="24"/>
          <w:szCs w:val="24"/>
          <w:shd w:val="clear" w:color="auto" w:fill="FFFFFF"/>
        </w:rPr>
        <w:t>due at</w:t>
      </w:r>
      <w:r w:rsidR="001012A0" w:rsidRPr="00943867">
        <w:rPr>
          <w:rStyle w:val="Emphasis"/>
          <w:rFonts w:cstheme="minorHAnsi"/>
          <w:i w:val="0"/>
          <w:iCs w:val="0"/>
          <w:sz w:val="24"/>
          <w:szCs w:val="24"/>
          <w:shd w:val="clear" w:color="auto" w:fill="FFFFFF"/>
        </w:rPr>
        <w:t xml:space="preserve"> the end of July 2022. McLaren might need to raise further capital to steer the ship from year 2022 into 2023.</w:t>
      </w:r>
      <w:r w:rsidR="001012A0" w:rsidRPr="00943867">
        <w:rPr>
          <w:rStyle w:val="Emphasis"/>
          <w:rFonts w:ascii="Arial" w:hAnsi="Arial" w:cs="Arial"/>
          <w:sz w:val="27"/>
          <w:szCs w:val="27"/>
          <w:shd w:val="clear" w:color="auto" w:fill="FFFFFF"/>
        </w:rPr>
        <w:t xml:space="preserve"> </w:t>
      </w:r>
      <w:r w:rsidRPr="00943867">
        <w:rPr>
          <w:sz w:val="24"/>
          <w:szCs w:val="24"/>
        </w:rPr>
        <w:t xml:space="preserve">It is clear that McLaren group have restructured their business to help navigate through Covid-19 and </w:t>
      </w:r>
      <w:r w:rsidR="00943867">
        <w:rPr>
          <w:sz w:val="24"/>
          <w:szCs w:val="24"/>
        </w:rPr>
        <w:t>potentially</w:t>
      </w:r>
      <w:r w:rsidRPr="00943867">
        <w:rPr>
          <w:sz w:val="24"/>
          <w:szCs w:val="24"/>
        </w:rPr>
        <w:t xml:space="preserve"> used these gearing ratios</w:t>
      </w:r>
      <w:r w:rsidR="00943867">
        <w:rPr>
          <w:sz w:val="24"/>
          <w:szCs w:val="24"/>
        </w:rPr>
        <w:t xml:space="preserve"> themselves</w:t>
      </w:r>
      <w:r w:rsidRPr="00943867">
        <w:rPr>
          <w:sz w:val="24"/>
          <w:szCs w:val="24"/>
        </w:rPr>
        <w:t xml:space="preserve"> to look at which parts of their business needed either improvement, refinancing or selling.</w:t>
      </w:r>
      <w:r w:rsidR="00821914" w:rsidRPr="00943867">
        <w:rPr>
          <w:sz w:val="24"/>
          <w:szCs w:val="24"/>
        </w:rPr>
        <w:t xml:space="preserve"> </w:t>
      </w:r>
      <w:r w:rsidR="00710A77">
        <w:rPr>
          <w:sz w:val="24"/>
          <w:szCs w:val="24"/>
        </w:rPr>
        <w:t>A limitation of this report is 2021 figures are only representative of the first three quarters of the year.</w:t>
      </w:r>
      <w:r w:rsidR="003C1120">
        <w:rPr>
          <w:sz w:val="24"/>
          <w:szCs w:val="24"/>
        </w:rPr>
        <w:t xml:space="preserve"> McLarens strength is their current price point for the supercar industry, they are priced attractively but by limit</w:t>
      </w:r>
      <w:r w:rsidR="005D7F6F">
        <w:rPr>
          <w:sz w:val="24"/>
          <w:szCs w:val="24"/>
        </w:rPr>
        <w:t>ing</w:t>
      </w:r>
      <w:r w:rsidR="003C1120">
        <w:rPr>
          <w:sz w:val="24"/>
          <w:szCs w:val="24"/>
        </w:rPr>
        <w:t xml:space="preserve"> production of their cars</w:t>
      </w:r>
      <w:r w:rsidR="005D7F6F">
        <w:rPr>
          <w:sz w:val="24"/>
          <w:szCs w:val="24"/>
        </w:rPr>
        <w:t>,</w:t>
      </w:r>
      <w:r w:rsidR="003C1120">
        <w:rPr>
          <w:sz w:val="24"/>
          <w:szCs w:val="24"/>
        </w:rPr>
        <w:t xml:space="preserve"> either from want of creating a </w:t>
      </w:r>
      <w:r w:rsidR="00365DDF">
        <w:rPr>
          <w:sz w:val="24"/>
          <w:szCs w:val="24"/>
        </w:rPr>
        <w:t>shortage</w:t>
      </w:r>
      <w:r w:rsidR="003C1120">
        <w:rPr>
          <w:sz w:val="24"/>
          <w:szCs w:val="24"/>
        </w:rPr>
        <w:t xml:space="preserve"> </w:t>
      </w:r>
      <w:r w:rsidR="005D7F6F">
        <w:rPr>
          <w:sz w:val="24"/>
          <w:szCs w:val="24"/>
        </w:rPr>
        <w:t>to</w:t>
      </w:r>
      <w:r w:rsidR="003C1120">
        <w:rPr>
          <w:sz w:val="24"/>
          <w:szCs w:val="24"/>
        </w:rPr>
        <w:t xml:space="preserve"> increase revenue</w:t>
      </w:r>
      <w:r w:rsidR="005D7F6F">
        <w:rPr>
          <w:sz w:val="24"/>
          <w:szCs w:val="24"/>
        </w:rPr>
        <w:t>,</w:t>
      </w:r>
      <w:r w:rsidR="003C1120">
        <w:rPr>
          <w:sz w:val="24"/>
          <w:szCs w:val="24"/>
        </w:rPr>
        <w:t xml:space="preserve"> or from limitations of getting </w:t>
      </w:r>
      <w:r w:rsidR="005D7F6F">
        <w:rPr>
          <w:sz w:val="24"/>
          <w:szCs w:val="24"/>
        </w:rPr>
        <w:t>components and materials,</w:t>
      </w:r>
      <w:r w:rsidR="003C1120">
        <w:rPr>
          <w:sz w:val="24"/>
          <w:szCs w:val="24"/>
        </w:rPr>
        <w:t xml:space="preserve"> </w:t>
      </w:r>
      <w:r w:rsidR="005D7F6F">
        <w:rPr>
          <w:sz w:val="24"/>
          <w:szCs w:val="24"/>
        </w:rPr>
        <w:t xml:space="preserve">highlighting the </w:t>
      </w:r>
      <w:r w:rsidR="003C1120">
        <w:rPr>
          <w:sz w:val="24"/>
          <w:szCs w:val="24"/>
        </w:rPr>
        <w:t xml:space="preserve">risk under the current financial and economic climate.  </w:t>
      </w:r>
    </w:p>
    <w:p w14:paraId="0CDEB83B" w14:textId="7F23E31B" w:rsidR="00943867" w:rsidRPr="00943867" w:rsidRDefault="00943867">
      <w:pPr>
        <w:rPr>
          <w:b/>
          <w:bCs/>
          <w:sz w:val="24"/>
          <w:szCs w:val="24"/>
        </w:rPr>
      </w:pPr>
      <w:r w:rsidRPr="00943867">
        <w:rPr>
          <w:b/>
          <w:bCs/>
          <w:sz w:val="24"/>
          <w:szCs w:val="24"/>
        </w:rPr>
        <w:t>Recommendation</w:t>
      </w:r>
    </w:p>
    <w:p w14:paraId="7CBAD5E8" w14:textId="723D7A91" w:rsidR="000541F6" w:rsidRPr="00D87CE1" w:rsidRDefault="00737885">
      <w:pPr>
        <w:rPr>
          <w:sz w:val="24"/>
          <w:szCs w:val="24"/>
        </w:rPr>
      </w:pPr>
      <w:r>
        <w:rPr>
          <w:sz w:val="24"/>
          <w:szCs w:val="24"/>
        </w:rPr>
        <w:t xml:space="preserve">From the information gathered and </w:t>
      </w:r>
      <w:r w:rsidR="00E159AD">
        <w:rPr>
          <w:sz w:val="24"/>
          <w:szCs w:val="24"/>
        </w:rPr>
        <w:t>analysed</w:t>
      </w:r>
      <w:r>
        <w:rPr>
          <w:sz w:val="24"/>
          <w:szCs w:val="24"/>
        </w:rPr>
        <w:t xml:space="preserve"> in this report the </w:t>
      </w:r>
      <w:r w:rsidR="00E159AD">
        <w:rPr>
          <w:sz w:val="24"/>
          <w:szCs w:val="24"/>
        </w:rPr>
        <w:t xml:space="preserve">recommendations </w:t>
      </w:r>
      <w:r w:rsidR="00943867">
        <w:rPr>
          <w:sz w:val="24"/>
          <w:szCs w:val="24"/>
        </w:rPr>
        <w:t xml:space="preserve">would be to not partner with McLaren </w:t>
      </w:r>
      <w:r w:rsidR="00D87CE1">
        <w:rPr>
          <w:sz w:val="24"/>
          <w:szCs w:val="24"/>
        </w:rPr>
        <w:t xml:space="preserve">as they would be deemed a risk </w:t>
      </w:r>
      <w:r w:rsidR="00943867">
        <w:rPr>
          <w:sz w:val="24"/>
          <w:szCs w:val="24"/>
        </w:rPr>
        <w:t>at this time</w:t>
      </w:r>
      <w:r w:rsidR="00D87CE1">
        <w:rPr>
          <w:sz w:val="24"/>
          <w:szCs w:val="24"/>
        </w:rPr>
        <w:t>,</w:t>
      </w:r>
      <w:r w:rsidR="00943867">
        <w:rPr>
          <w:sz w:val="24"/>
          <w:szCs w:val="24"/>
        </w:rPr>
        <w:t xml:space="preserve"> </w:t>
      </w:r>
      <w:r w:rsidR="00D87CE1">
        <w:rPr>
          <w:sz w:val="24"/>
          <w:szCs w:val="24"/>
        </w:rPr>
        <w:t>further analysis would be beneficial against other industry leaders by generating f</w:t>
      </w:r>
      <w:r w:rsidR="00943867">
        <w:rPr>
          <w:sz w:val="24"/>
          <w:szCs w:val="24"/>
        </w:rPr>
        <w:t>inancial</w:t>
      </w:r>
      <w:r w:rsidR="000541F6">
        <w:rPr>
          <w:sz w:val="24"/>
          <w:szCs w:val="24"/>
        </w:rPr>
        <w:t xml:space="preserve"> reports using Ferrari</w:t>
      </w:r>
      <w:r w:rsidR="00E159AD">
        <w:rPr>
          <w:sz w:val="24"/>
          <w:szCs w:val="24"/>
        </w:rPr>
        <w:t xml:space="preserve">, Lamborghini </w:t>
      </w:r>
      <w:r w:rsidR="000541F6">
        <w:rPr>
          <w:sz w:val="24"/>
          <w:szCs w:val="24"/>
        </w:rPr>
        <w:t xml:space="preserve">and </w:t>
      </w:r>
      <w:r w:rsidR="0087767C">
        <w:rPr>
          <w:sz w:val="24"/>
          <w:szCs w:val="24"/>
        </w:rPr>
        <w:t>Aston</w:t>
      </w:r>
      <w:r w:rsidR="000541F6">
        <w:rPr>
          <w:sz w:val="24"/>
          <w:szCs w:val="24"/>
        </w:rPr>
        <w:t xml:space="preserve"> martin</w:t>
      </w:r>
      <w:r w:rsidR="00D87CE1">
        <w:rPr>
          <w:sz w:val="24"/>
          <w:szCs w:val="24"/>
        </w:rPr>
        <w:t xml:space="preserve"> as a comparison</w:t>
      </w:r>
      <w:r w:rsidR="000541F6">
        <w:rPr>
          <w:sz w:val="24"/>
          <w:szCs w:val="24"/>
        </w:rPr>
        <w:t xml:space="preserve"> against </w:t>
      </w:r>
      <w:r w:rsidR="0087767C">
        <w:rPr>
          <w:sz w:val="24"/>
          <w:szCs w:val="24"/>
        </w:rPr>
        <w:t>McLaren</w:t>
      </w:r>
      <w:r w:rsidR="000E488E">
        <w:rPr>
          <w:sz w:val="24"/>
          <w:szCs w:val="24"/>
        </w:rPr>
        <w:t>,</w:t>
      </w:r>
      <w:r w:rsidR="00D87CE1">
        <w:rPr>
          <w:sz w:val="24"/>
          <w:szCs w:val="24"/>
        </w:rPr>
        <w:t xml:space="preserve"> </w:t>
      </w:r>
      <w:r w:rsidR="003761A6">
        <w:rPr>
          <w:sz w:val="24"/>
          <w:szCs w:val="24"/>
        </w:rPr>
        <w:t xml:space="preserve">and update this report with the soon to be released audited figures supplied by McLaren. Once completed the information can be reassessed and </w:t>
      </w:r>
      <w:r w:rsidR="004B59A2">
        <w:rPr>
          <w:sz w:val="24"/>
          <w:szCs w:val="24"/>
        </w:rPr>
        <w:t>an</w:t>
      </w:r>
      <w:r w:rsidR="003761A6">
        <w:rPr>
          <w:sz w:val="24"/>
          <w:szCs w:val="24"/>
        </w:rPr>
        <w:t xml:space="preserve"> updated decision can be made.</w:t>
      </w:r>
    </w:p>
    <w:p w14:paraId="2592DA1D" w14:textId="77777777" w:rsidR="001B4D81" w:rsidRPr="00F85A60" w:rsidRDefault="001B4D81">
      <w:pPr>
        <w:rPr>
          <w:rFonts w:cstheme="minorHAnsi"/>
          <w:sz w:val="32"/>
          <w:szCs w:val="32"/>
        </w:rPr>
      </w:pPr>
    </w:p>
    <w:p w14:paraId="1FB62077" w14:textId="29083B97" w:rsidR="00737885" w:rsidRDefault="00737885">
      <w:pPr>
        <w:rPr>
          <w:rFonts w:cstheme="minorHAnsi"/>
          <w:b/>
          <w:bCs/>
          <w:sz w:val="24"/>
          <w:szCs w:val="24"/>
        </w:rPr>
      </w:pPr>
    </w:p>
    <w:p w14:paraId="3BE2D8D6" w14:textId="0C60A6DF" w:rsidR="00737885" w:rsidRPr="00737885" w:rsidRDefault="00737885">
      <w:pPr>
        <w:rPr>
          <w:rFonts w:cstheme="minorHAnsi"/>
          <w:b/>
          <w:bCs/>
          <w:sz w:val="24"/>
          <w:szCs w:val="24"/>
        </w:rPr>
      </w:pPr>
    </w:p>
    <w:p w14:paraId="4933D3FE" w14:textId="77777777" w:rsidR="00662F01" w:rsidRDefault="00662F01">
      <w:pPr>
        <w:rPr>
          <w:sz w:val="40"/>
          <w:szCs w:val="40"/>
        </w:rPr>
      </w:pPr>
      <w:r>
        <w:rPr>
          <w:sz w:val="40"/>
          <w:szCs w:val="40"/>
        </w:rPr>
        <w:br w:type="page"/>
      </w:r>
    </w:p>
    <w:p w14:paraId="195D7DF3" w14:textId="2C90C720" w:rsidR="005C1597" w:rsidRPr="006A0AF6" w:rsidRDefault="005C1597">
      <w:pPr>
        <w:rPr>
          <w:sz w:val="40"/>
          <w:szCs w:val="40"/>
        </w:rPr>
      </w:pPr>
      <w:r w:rsidRPr="005C1597">
        <w:rPr>
          <w:sz w:val="40"/>
          <w:szCs w:val="40"/>
        </w:rPr>
        <w:lastRenderedPageBreak/>
        <w:t xml:space="preserve">References </w:t>
      </w:r>
    </w:p>
    <w:p w14:paraId="516BBE36" w14:textId="77777777" w:rsidR="003761A6" w:rsidRPr="005902F0" w:rsidRDefault="003761A6" w:rsidP="003761A6">
      <w:pPr>
        <w:spacing w:after="0" w:line="360" w:lineRule="atLeast"/>
        <w:rPr>
          <w:rFonts w:eastAsia="Times New Roman" w:cstheme="minorHAnsi"/>
          <w:color w:val="000000"/>
          <w:sz w:val="24"/>
          <w:szCs w:val="24"/>
          <w:lang w:eastAsia="en-GB"/>
        </w:rPr>
      </w:pPr>
      <w:proofErr w:type="spellStart"/>
      <w:r w:rsidRPr="003761A6">
        <w:rPr>
          <w:rFonts w:cstheme="minorHAnsi"/>
          <w:sz w:val="24"/>
          <w:szCs w:val="24"/>
        </w:rPr>
        <w:t>Alothaim</w:t>
      </w:r>
      <w:proofErr w:type="spellEnd"/>
      <w:r w:rsidRPr="003761A6">
        <w:rPr>
          <w:rFonts w:cstheme="minorHAnsi"/>
          <w:sz w:val="24"/>
          <w:szCs w:val="24"/>
        </w:rPr>
        <w:t>, R.,</w:t>
      </w:r>
      <w:r w:rsidRPr="003761A6">
        <w:rPr>
          <w:rFonts w:eastAsia="Times New Roman" w:cstheme="minorHAnsi"/>
          <w:color w:val="000000"/>
          <w:sz w:val="24"/>
          <w:szCs w:val="24"/>
          <w:lang w:eastAsia="en-GB"/>
        </w:rPr>
        <w:t xml:space="preserve"> </w:t>
      </w:r>
      <w:r w:rsidRPr="005902F0">
        <w:rPr>
          <w:rFonts w:eastAsia="Times New Roman" w:cstheme="minorHAnsi"/>
          <w:color w:val="000000"/>
          <w:sz w:val="24"/>
          <w:szCs w:val="24"/>
          <w:lang w:eastAsia="en-GB"/>
        </w:rPr>
        <w:t xml:space="preserve">(2019). An Empirical Application on the Saudi Stock Exchange. </w:t>
      </w:r>
      <w:r w:rsidRPr="005902F0">
        <w:rPr>
          <w:rFonts w:eastAsia="Times New Roman" w:cstheme="minorHAnsi"/>
          <w:i/>
          <w:iCs/>
          <w:color w:val="000000"/>
          <w:sz w:val="24"/>
          <w:szCs w:val="24"/>
          <w:lang w:eastAsia="en-GB"/>
        </w:rPr>
        <w:t>Research Journal of Finance and Accounting</w:t>
      </w:r>
      <w:r w:rsidRPr="005902F0">
        <w:rPr>
          <w:rFonts w:eastAsia="Times New Roman" w:cstheme="minorHAnsi"/>
          <w:color w:val="000000"/>
          <w:sz w:val="24"/>
          <w:szCs w:val="24"/>
          <w:lang w:eastAsia="en-GB"/>
        </w:rPr>
        <w:t>. doi:10.7176/</w:t>
      </w:r>
      <w:proofErr w:type="spellStart"/>
      <w:r w:rsidRPr="005902F0">
        <w:rPr>
          <w:rFonts w:eastAsia="Times New Roman" w:cstheme="minorHAnsi"/>
          <w:color w:val="000000"/>
          <w:sz w:val="24"/>
          <w:szCs w:val="24"/>
          <w:lang w:eastAsia="en-GB"/>
        </w:rPr>
        <w:t>rjfa</w:t>
      </w:r>
      <w:proofErr w:type="spellEnd"/>
      <w:r w:rsidRPr="005902F0">
        <w:rPr>
          <w:rFonts w:eastAsia="Times New Roman" w:cstheme="minorHAnsi"/>
          <w:color w:val="000000"/>
          <w:sz w:val="24"/>
          <w:szCs w:val="24"/>
          <w:lang w:eastAsia="en-GB"/>
        </w:rPr>
        <w:t>/10-9-07.</w:t>
      </w:r>
    </w:p>
    <w:p w14:paraId="19C5F1F8" w14:textId="77777777" w:rsidR="006632AF" w:rsidRPr="003761A6" w:rsidRDefault="006632AF" w:rsidP="00E903A4">
      <w:pPr>
        <w:pStyle w:val="NormalWeb"/>
        <w:spacing w:before="0" w:beforeAutospacing="0" w:after="0" w:afterAutospacing="0" w:line="360" w:lineRule="atLeast"/>
        <w:rPr>
          <w:rFonts w:asciiTheme="minorHAnsi" w:hAnsiTheme="minorHAnsi" w:cstheme="minorHAnsi"/>
          <w:color w:val="000000"/>
        </w:rPr>
      </w:pPr>
    </w:p>
    <w:p w14:paraId="5CCC18AD" w14:textId="608E0EBD" w:rsidR="006632AF" w:rsidRPr="003761A6" w:rsidRDefault="006632AF" w:rsidP="006632AF">
      <w:pPr>
        <w:pStyle w:val="NormalWeb"/>
        <w:spacing w:before="0" w:beforeAutospacing="0" w:after="0" w:afterAutospacing="0" w:line="360" w:lineRule="atLeast"/>
        <w:rPr>
          <w:rFonts w:asciiTheme="minorHAnsi" w:hAnsiTheme="minorHAnsi" w:cstheme="minorHAnsi"/>
          <w:color w:val="000000"/>
        </w:rPr>
      </w:pPr>
      <w:proofErr w:type="spellStart"/>
      <w:r w:rsidRPr="003761A6">
        <w:rPr>
          <w:rFonts w:asciiTheme="minorHAnsi" w:hAnsiTheme="minorHAnsi" w:cstheme="minorHAnsi"/>
          <w:color w:val="000000"/>
        </w:rPr>
        <w:t>Atrill</w:t>
      </w:r>
      <w:proofErr w:type="spellEnd"/>
      <w:r w:rsidRPr="003761A6">
        <w:rPr>
          <w:rFonts w:asciiTheme="minorHAnsi" w:hAnsiTheme="minorHAnsi" w:cstheme="minorHAnsi"/>
          <w:color w:val="000000"/>
        </w:rPr>
        <w:t xml:space="preserve">, P. and </w:t>
      </w:r>
      <w:proofErr w:type="spellStart"/>
      <w:r w:rsidRPr="003761A6">
        <w:rPr>
          <w:rFonts w:asciiTheme="minorHAnsi" w:hAnsiTheme="minorHAnsi" w:cstheme="minorHAnsi"/>
          <w:color w:val="000000"/>
        </w:rPr>
        <w:t>Mclaney</w:t>
      </w:r>
      <w:proofErr w:type="spellEnd"/>
      <w:r w:rsidRPr="003761A6">
        <w:rPr>
          <w:rFonts w:asciiTheme="minorHAnsi" w:hAnsiTheme="minorHAnsi" w:cstheme="minorHAnsi"/>
          <w:color w:val="000000"/>
        </w:rPr>
        <w:t>, E.J. (2017). </w:t>
      </w:r>
      <w:r w:rsidRPr="003761A6">
        <w:rPr>
          <w:rFonts w:asciiTheme="minorHAnsi" w:hAnsiTheme="minorHAnsi" w:cstheme="minorHAnsi"/>
          <w:i/>
          <w:iCs/>
          <w:color w:val="000000"/>
        </w:rPr>
        <w:t>Accounting and Finance for Non-Specialists</w:t>
      </w:r>
      <w:r w:rsidRPr="003761A6">
        <w:rPr>
          <w:rFonts w:asciiTheme="minorHAnsi" w:hAnsiTheme="minorHAnsi" w:cstheme="minorHAnsi"/>
          <w:color w:val="000000"/>
        </w:rPr>
        <w:t xml:space="preserve">. 11th ed. Harlow, </w:t>
      </w:r>
      <w:proofErr w:type="gramStart"/>
      <w:r w:rsidRPr="003761A6">
        <w:rPr>
          <w:rFonts w:asciiTheme="minorHAnsi" w:hAnsiTheme="minorHAnsi" w:cstheme="minorHAnsi"/>
          <w:color w:val="000000"/>
        </w:rPr>
        <w:t>England ;</w:t>
      </w:r>
      <w:proofErr w:type="gramEnd"/>
      <w:r w:rsidRPr="003761A6">
        <w:rPr>
          <w:rFonts w:asciiTheme="minorHAnsi" w:hAnsiTheme="minorHAnsi" w:cstheme="minorHAnsi"/>
          <w:color w:val="000000"/>
        </w:rPr>
        <w:t xml:space="preserve"> New York: Pearson</w:t>
      </w:r>
    </w:p>
    <w:p w14:paraId="44B32C5B" w14:textId="77777777" w:rsidR="006632AF" w:rsidRPr="003761A6" w:rsidRDefault="006632AF" w:rsidP="006632AF">
      <w:pPr>
        <w:pStyle w:val="NormalWeb"/>
        <w:spacing w:before="0" w:beforeAutospacing="0" w:after="0" w:afterAutospacing="0" w:line="360" w:lineRule="atLeast"/>
        <w:rPr>
          <w:rFonts w:asciiTheme="minorHAnsi" w:hAnsiTheme="minorHAnsi" w:cstheme="minorHAnsi"/>
          <w:color w:val="000000"/>
        </w:rPr>
      </w:pPr>
    </w:p>
    <w:p w14:paraId="20227FA4" w14:textId="77777777" w:rsidR="00825DDC" w:rsidRPr="003761A6" w:rsidRDefault="00825DDC" w:rsidP="00825DDC">
      <w:pPr>
        <w:pStyle w:val="NormalWeb"/>
        <w:spacing w:before="0" w:beforeAutospacing="0" w:after="0" w:afterAutospacing="0" w:line="360" w:lineRule="atLeast"/>
        <w:rPr>
          <w:rFonts w:asciiTheme="minorHAnsi" w:hAnsiTheme="minorHAnsi" w:cstheme="minorHAnsi"/>
          <w:color w:val="000000"/>
        </w:rPr>
      </w:pPr>
      <w:r w:rsidRPr="003761A6">
        <w:rPr>
          <w:rFonts w:asciiTheme="minorHAnsi" w:hAnsiTheme="minorHAnsi" w:cstheme="minorHAnsi"/>
          <w:color w:val="000000"/>
        </w:rPr>
        <w:t xml:space="preserve">Beaver, W.H. (1966). Financial Ratios </w:t>
      </w:r>
      <w:proofErr w:type="gramStart"/>
      <w:r w:rsidRPr="003761A6">
        <w:rPr>
          <w:rFonts w:asciiTheme="minorHAnsi" w:hAnsiTheme="minorHAnsi" w:cstheme="minorHAnsi"/>
          <w:color w:val="000000"/>
        </w:rPr>
        <w:t>As</w:t>
      </w:r>
      <w:proofErr w:type="gramEnd"/>
      <w:r w:rsidRPr="003761A6">
        <w:rPr>
          <w:rFonts w:asciiTheme="minorHAnsi" w:hAnsiTheme="minorHAnsi" w:cstheme="minorHAnsi"/>
          <w:color w:val="000000"/>
        </w:rPr>
        <w:t xml:space="preserve"> Predictors of Failure. </w:t>
      </w:r>
      <w:r w:rsidRPr="003761A6">
        <w:rPr>
          <w:rFonts w:asciiTheme="minorHAnsi" w:hAnsiTheme="minorHAnsi" w:cstheme="minorHAnsi"/>
          <w:i/>
          <w:iCs/>
          <w:color w:val="000000"/>
        </w:rPr>
        <w:t>Journal of Accounting Research</w:t>
      </w:r>
      <w:r w:rsidRPr="003761A6">
        <w:rPr>
          <w:rFonts w:asciiTheme="minorHAnsi" w:hAnsiTheme="minorHAnsi" w:cstheme="minorHAnsi"/>
          <w:color w:val="000000"/>
        </w:rPr>
        <w:t>, 4, pp.71–111. doi:10.2307/2490171.</w:t>
      </w:r>
    </w:p>
    <w:p w14:paraId="1AA53032" w14:textId="187E4B01" w:rsidR="001C6AF2" w:rsidRPr="003761A6" w:rsidRDefault="00825DDC" w:rsidP="00825DDC">
      <w:pPr>
        <w:pStyle w:val="NormalWeb"/>
        <w:rPr>
          <w:rFonts w:asciiTheme="minorHAnsi" w:hAnsiTheme="minorHAnsi" w:cstheme="minorHAnsi"/>
          <w:color w:val="000000"/>
        </w:rPr>
      </w:pPr>
      <w:r w:rsidRPr="003761A6">
        <w:rPr>
          <w:rFonts w:asciiTheme="minorHAnsi" w:hAnsiTheme="minorHAnsi" w:cstheme="minorHAnsi"/>
          <w:color w:val="000000"/>
        </w:rPr>
        <w:t>‌</w:t>
      </w:r>
      <w:proofErr w:type="spellStart"/>
      <w:r w:rsidR="001C6AF2" w:rsidRPr="003761A6">
        <w:rPr>
          <w:rFonts w:asciiTheme="minorHAnsi" w:hAnsiTheme="minorHAnsi" w:cstheme="minorHAnsi"/>
          <w:color w:val="000000"/>
        </w:rPr>
        <w:t>Bloomenthal</w:t>
      </w:r>
      <w:proofErr w:type="spellEnd"/>
      <w:r w:rsidR="001C6AF2" w:rsidRPr="003761A6">
        <w:rPr>
          <w:rFonts w:asciiTheme="minorHAnsi" w:hAnsiTheme="minorHAnsi" w:cstheme="minorHAnsi"/>
          <w:color w:val="000000"/>
        </w:rPr>
        <w:t>, A. (2021). </w:t>
      </w:r>
      <w:r w:rsidR="001C6AF2" w:rsidRPr="003761A6">
        <w:rPr>
          <w:rFonts w:asciiTheme="minorHAnsi" w:hAnsiTheme="minorHAnsi" w:cstheme="minorHAnsi"/>
          <w:i/>
          <w:iCs/>
          <w:color w:val="000000"/>
        </w:rPr>
        <w:t>How Ratio Analysis Works</w:t>
      </w:r>
      <w:r w:rsidR="001C6AF2" w:rsidRPr="003761A6">
        <w:rPr>
          <w:rFonts w:asciiTheme="minorHAnsi" w:hAnsiTheme="minorHAnsi" w:cstheme="minorHAnsi"/>
          <w:color w:val="000000"/>
        </w:rPr>
        <w:t xml:space="preserve">. [online] Investopedia. Available at: </w:t>
      </w:r>
      <w:hyperlink r:id="rId13" w:history="1">
        <w:r w:rsidR="001C6AF2" w:rsidRPr="003761A6">
          <w:rPr>
            <w:rStyle w:val="Hyperlink"/>
            <w:rFonts w:asciiTheme="minorHAnsi" w:hAnsiTheme="minorHAnsi" w:cstheme="minorHAnsi"/>
          </w:rPr>
          <w:t>https://www.investopedia.com/terms/r/ratioanalysis.asp</w:t>
        </w:r>
      </w:hyperlink>
      <w:r w:rsidR="001C6AF2" w:rsidRPr="003761A6">
        <w:rPr>
          <w:rFonts w:asciiTheme="minorHAnsi" w:hAnsiTheme="minorHAnsi" w:cstheme="minorHAnsi"/>
          <w:color w:val="000000"/>
        </w:rPr>
        <w:t xml:space="preserve">. </w:t>
      </w:r>
      <w:bookmarkStart w:id="0" w:name="_Hlk103151482"/>
      <w:r w:rsidR="001C6AF2" w:rsidRPr="003761A6">
        <w:rPr>
          <w:rFonts w:asciiTheme="minorHAnsi" w:hAnsiTheme="minorHAnsi" w:cstheme="minorHAnsi"/>
          <w:color w:val="000000"/>
        </w:rPr>
        <w:t>[Accessed 11/05/22]</w:t>
      </w:r>
    </w:p>
    <w:bookmarkEnd w:id="0"/>
    <w:p w14:paraId="6AB0220E" w14:textId="61AE43F8" w:rsidR="001C6AF2" w:rsidRPr="003761A6" w:rsidRDefault="001C6AF2" w:rsidP="001E66DF">
      <w:pPr>
        <w:pStyle w:val="NormalWeb"/>
        <w:spacing w:before="0" w:beforeAutospacing="0" w:after="0" w:afterAutospacing="0" w:line="360" w:lineRule="atLeast"/>
        <w:rPr>
          <w:rFonts w:asciiTheme="minorHAnsi" w:hAnsiTheme="minorHAnsi" w:cstheme="minorHAnsi"/>
          <w:color w:val="000000"/>
        </w:rPr>
      </w:pPr>
      <w:r w:rsidRPr="003761A6">
        <w:rPr>
          <w:rFonts w:asciiTheme="minorHAnsi" w:hAnsiTheme="minorHAnsi" w:cstheme="minorHAnsi"/>
          <w:color w:val="000000"/>
        </w:rPr>
        <w:t>‌Chen, J. (2021). </w:t>
      </w:r>
      <w:r w:rsidRPr="003761A6">
        <w:rPr>
          <w:rFonts w:asciiTheme="minorHAnsi" w:hAnsiTheme="minorHAnsi" w:cstheme="minorHAnsi"/>
          <w:i/>
          <w:iCs/>
          <w:color w:val="000000"/>
        </w:rPr>
        <w:t>Income Statement</w:t>
      </w:r>
      <w:r w:rsidRPr="003761A6">
        <w:rPr>
          <w:rFonts w:asciiTheme="minorHAnsi" w:hAnsiTheme="minorHAnsi" w:cstheme="minorHAnsi"/>
          <w:color w:val="000000"/>
        </w:rPr>
        <w:t xml:space="preserve">. [online] Investopedia. Available at: https://www.investopedia.com/terms/i/incomestatement.asp. </w:t>
      </w:r>
      <w:bookmarkStart w:id="1" w:name="_Hlk103325341"/>
      <w:r w:rsidRPr="003761A6">
        <w:rPr>
          <w:rFonts w:asciiTheme="minorHAnsi" w:hAnsiTheme="minorHAnsi" w:cstheme="minorHAnsi"/>
          <w:color w:val="000000"/>
        </w:rPr>
        <w:t>[Accessed 17/04/22]</w:t>
      </w:r>
      <w:bookmarkEnd w:id="1"/>
      <w:r w:rsidRPr="003761A6">
        <w:rPr>
          <w:rFonts w:asciiTheme="minorHAnsi" w:hAnsiTheme="minorHAnsi" w:cstheme="minorHAnsi"/>
          <w:color w:val="000000"/>
        </w:rPr>
        <w:t>.</w:t>
      </w:r>
    </w:p>
    <w:p w14:paraId="67D46EDB" w14:textId="5F353736" w:rsidR="006632AF" w:rsidRPr="003761A6" w:rsidRDefault="006632AF" w:rsidP="001C6AF2">
      <w:pPr>
        <w:pStyle w:val="NormalWeb"/>
        <w:rPr>
          <w:rFonts w:asciiTheme="minorHAnsi" w:hAnsiTheme="minorHAnsi" w:cstheme="minorHAnsi"/>
          <w:color w:val="000000"/>
        </w:rPr>
      </w:pPr>
      <w:r w:rsidRPr="003761A6">
        <w:rPr>
          <w:rFonts w:asciiTheme="minorHAnsi" w:hAnsiTheme="minorHAnsi" w:cstheme="minorHAnsi"/>
          <w:color w:val="000000"/>
        </w:rPr>
        <w:t>CFI (2021). </w:t>
      </w:r>
      <w:r w:rsidRPr="003761A6">
        <w:rPr>
          <w:rFonts w:asciiTheme="minorHAnsi" w:hAnsiTheme="minorHAnsi" w:cstheme="minorHAnsi"/>
          <w:i/>
          <w:iCs/>
          <w:color w:val="000000"/>
        </w:rPr>
        <w:t>Profitability Ratios - Calculate Margin, Profits, Return on Equity (ROE)</w:t>
      </w:r>
      <w:r w:rsidRPr="003761A6">
        <w:rPr>
          <w:rFonts w:asciiTheme="minorHAnsi" w:hAnsiTheme="minorHAnsi" w:cstheme="minorHAnsi"/>
          <w:color w:val="000000"/>
        </w:rPr>
        <w:t xml:space="preserve">. [online] Corporate Finance Institute. Available at: </w:t>
      </w:r>
      <w:hyperlink r:id="rId14" w:history="1">
        <w:r w:rsidRPr="003761A6">
          <w:rPr>
            <w:rStyle w:val="Hyperlink"/>
            <w:rFonts w:asciiTheme="minorHAnsi" w:hAnsiTheme="minorHAnsi" w:cstheme="minorHAnsi"/>
          </w:rPr>
          <w:t>https://corporatefinanceinstitute.com/resources/knowledge/finance/profitability-ratios/</w:t>
        </w:r>
      </w:hyperlink>
      <w:r w:rsidRPr="003761A6">
        <w:rPr>
          <w:rFonts w:asciiTheme="minorHAnsi" w:hAnsiTheme="minorHAnsi" w:cstheme="minorHAnsi"/>
          <w:color w:val="000000"/>
        </w:rPr>
        <w:t>. [Accessed 17/04/22].</w:t>
      </w:r>
    </w:p>
    <w:p w14:paraId="4E6C7524" w14:textId="77777777" w:rsidR="00E14572" w:rsidRPr="003761A6" w:rsidRDefault="00E14572" w:rsidP="00E14572">
      <w:pPr>
        <w:pStyle w:val="NormalWeb"/>
        <w:spacing w:before="0" w:beforeAutospacing="0" w:after="0" w:afterAutospacing="0" w:line="360" w:lineRule="atLeast"/>
        <w:rPr>
          <w:rFonts w:asciiTheme="minorHAnsi" w:hAnsiTheme="minorHAnsi" w:cstheme="minorHAnsi"/>
          <w:color w:val="000000"/>
        </w:rPr>
      </w:pPr>
      <w:r w:rsidRPr="003761A6">
        <w:rPr>
          <w:rFonts w:asciiTheme="minorHAnsi" w:hAnsiTheme="minorHAnsi" w:cstheme="minorHAnsi"/>
          <w:color w:val="000000"/>
        </w:rPr>
        <w:t>Deloitte (2020). </w:t>
      </w:r>
      <w:r w:rsidRPr="003761A6">
        <w:rPr>
          <w:rFonts w:asciiTheme="minorHAnsi" w:hAnsiTheme="minorHAnsi" w:cstheme="minorHAnsi"/>
          <w:i/>
          <w:iCs/>
          <w:color w:val="000000"/>
        </w:rPr>
        <w:t>How COVID-19 infects financial reporting and results presentations</w:t>
      </w:r>
      <w:r w:rsidRPr="003761A6">
        <w:rPr>
          <w:rFonts w:asciiTheme="minorHAnsi" w:hAnsiTheme="minorHAnsi" w:cstheme="minorHAnsi"/>
          <w:color w:val="000000"/>
        </w:rPr>
        <w:t>. [online] Deloitte Switzerland. Available at: https://www2.deloitte.com/ch/en/pages/audit/articles/financial-reporting-survey-q1-2020.html.</w:t>
      </w:r>
    </w:p>
    <w:p w14:paraId="7A0FA172" w14:textId="77777777" w:rsidR="00670C0D" w:rsidRPr="003761A6" w:rsidRDefault="00E14572" w:rsidP="00670C0D">
      <w:pPr>
        <w:pStyle w:val="NormalWeb"/>
        <w:spacing w:before="0" w:beforeAutospacing="0" w:after="0" w:afterAutospacing="0" w:line="360" w:lineRule="atLeast"/>
        <w:rPr>
          <w:rFonts w:asciiTheme="minorHAnsi" w:hAnsiTheme="minorHAnsi" w:cstheme="minorHAnsi"/>
          <w:color w:val="000000"/>
        </w:rPr>
      </w:pPr>
      <w:r w:rsidRPr="003761A6">
        <w:rPr>
          <w:rFonts w:asciiTheme="minorHAnsi" w:hAnsiTheme="minorHAnsi" w:cstheme="minorHAnsi"/>
          <w:color w:val="000000"/>
        </w:rPr>
        <w:t>‌</w:t>
      </w:r>
    </w:p>
    <w:p w14:paraId="75237B0E" w14:textId="44B17DC9" w:rsidR="00670C0D" w:rsidRPr="003761A6" w:rsidRDefault="00670C0D" w:rsidP="00670C0D">
      <w:pPr>
        <w:pStyle w:val="NormalWeb"/>
        <w:spacing w:before="0" w:beforeAutospacing="0" w:after="0" w:afterAutospacing="0" w:line="360" w:lineRule="atLeast"/>
        <w:rPr>
          <w:rFonts w:asciiTheme="minorHAnsi" w:hAnsiTheme="minorHAnsi" w:cstheme="minorHAnsi"/>
          <w:color w:val="000000"/>
        </w:rPr>
      </w:pPr>
      <w:r w:rsidRPr="003761A6">
        <w:rPr>
          <w:rFonts w:asciiTheme="minorHAnsi" w:hAnsiTheme="minorHAnsi" w:cstheme="minorHAnsi"/>
          <w:color w:val="000000"/>
        </w:rPr>
        <w:t>Kenton, W. (2020). </w:t>
      </w:r>
      <w:r w:rsidRPr="003761A6">
        <w:rPr>
          <w:rFonts w:asciiTheme="minorHAnsi" w:hAnsiTheme="minorHAnsi" w:cstheme="minorHAnsi"/>
          <w:i/>
          <w:iCs/>
          <w:color w:val="000000"/>
        </w:rPr>
        <w:t>Activity Ratios</w:t>
      </w:r>
      <w:r w:rsidRPr="003761A6">
        <w:rPr>
          <w:rFonts w:asciiTheme="minorHAnsi" w:hAnsiTheme="minorHAnsi" w:cstheme="minorHAnsi"/>
          <w:color w:val="000000"/>
        </w:rPr>
        <w:t>. [online] Investopedia. Available at: https://www.investopedia.com/terms/a/activityratio.asp#:~:text=An%20activity%20ratio%20is%20a. [Accessed 17/04/22].</w:t>
      </w:r>
    </w:p>
    <w:p w14:paraId="62A03B45" w14:textId="4036F760" w:rsidR="001C6AF2" w:rsidRPr="003761A6" w:rsidRDefault="00670C0D" w:rsidP="002B0D71">
      <w:pPr>
        <w:pStyle w:val="NormalWeb"/>
        <w:rPr>
          <w:rFonts w:asciiTheme="minorHAnsi" w:hAnsiTheme="minorHAnsi" w:cstheme="minorHAnsi"/>
          <w:color w:val="000000"/>
        </w:rPr>
      </w:pPr>
      <w:r w:rsidRPr="003761A6">
        <w:rPr>
          <w:rFonts w:asciiTheme="minorHAnsi" w:hAnsiTheme="minorHAnsi" w:cstheme="minorHAnsi"/>
          <w:color w:val="000000"/>
        </w:rPr>
        <w:t>‌</w:t>
      </w:r>
      <w:r w:rsidR="001C6AF2" w:rsidRPr="003761A6">
        <w:rPr>
          <w:rFonts w:asciiTheme="minorHAnsi" w:hAnsiTheme="minorHAnsi" w:cstheme="minorHAnsi"/>
          <w:color w:val="000000"/>
        </w:rPr>
        <w:t>Fernando, J. (2022). </w:t>
      </w:r>
      <w:r w:rsidR="001C6AF2" w:rsidRPr="003761A6">
        <w:rPr>
          <w:rFonts w:asciiTheme="minorHAnsi" w:hAnsiTheme="minorHAnsi" w:cstheme="minorHAnsi"/>
          <w:i/>
          <w:iCs/>
          <w:color w:val="000000"/>
        </w:rPr>
        <w:t>Understanding Balance Sheets</w:t>
      </w:r>
      <w:r w:rsidR="001C6AF2" w:rsidRPr="003761A6">
        <w:rPr>
          <w:rFonts w:asciiTheme="minorHAnsi" w:hAnsiTheme="minorHAnsi" w:cstheme="minorHAnsi"/>
          <w:color w:val="000000"/>
        </w:rPr>
        <w:t>. [online] Investopedia. Available at: https://www.investopedia.com/terms/b/balancesheet.asp. [Accessed 11/05/22]</w:t>
      </w:r>
    </w:p>
    <w:p w14:paraId="4AF45CFC" w14:textId="0A62D3E3" w:rsidR="00E903A4" w:rsidRPr="003761A6" w:rsidRDefault="00E903A4" w:rsidP="006632AF">
      <w:pPr>
        <w:pStyle w:val="NormalWeb"/>
        <w:rPr>
          <w:rFonts w:asciiTheme="minorHAnsi" w:hAnsiTheme="minorHAnsi" w:cstheme="minorHAnsi"/>
          <w:color w:val="000000"/>
        </w:rPr>
      </w:pPr>
      <w:r w:rsidRPr="003761A6">
        <w:rPr>
          <w:rFonts w:asciiTheme="minorHAnsi" w:hAnsiTheme="minorHAnsi" w:cstheme="minorHAnsi"/>
          <w:color w:val="000000"/>
        </w:rPr>
        <w:t>Fields, E. (2016). </w:t>
      </w:r>
      <w:r w:rsidRPr="003761A6">
        <w:rPr>
          <w:rFonts w:asciiTheme="minorHAnsi" w:hAnsiTheme="minorHAnsi" w:cstheme="minorHAnsi"/>
          <w:i/>
          <w:iCs/>
          <w:color w:val="000000"/>
        </w:rPr>
        <w:t>The essentials of finance and accounting for nonfinancial managers</w:t>
      </w:r>
      <w:r w:rsidRPr="003761A6">
        <w:rPr>
          <w:rFonts w:asciiTheme="minorHAnsi" w:hAnsiTheme="minorHAnsi" w:cstheme="minorHAnsi"/>
          <w:color w:val="000000"/>
        </w:rPr>
        <w:t>. New York: American Management Association.</w:t>
      </w:r>
      <w:r w:rsidR="006632AF" w:rsidRPr="003761A6">
        <w:rPr>
          <w:rFonts w:asciiTheme="minorHAnsi" w:hAnsiTheme="minorHAnsi" w:cstheme="minorHAnsi"/>
          <w:color w:val="000000"/>
        </w:rPr>
        <w:tab/>
      </w:r>
    </w:p>
    <w:p w14:paraId="095F2A13" w14:textId="5E61C4C2" w:rsidR="00A74DA1" w:rsidRPr="003761A6" w:rsidRDefault="00E903A4" w:rsidP="006632AF">
      <w:pPr>
        <w:pStyle w:val="NormalWeb"/>
        <w:rPr>
          <w:rFonts w:asciiTheme="minorHAnsi" w:hAnsiTheme="minorHAnsi" w:cstheme="minorHAnsi"/>
          <w:color w:val="000000"/>
        </w:rPr>
      </w:pPr>
      <w:r w:rsidRPr="003761A6">
        <w:rPr>
          <w:rFonts w:asciiTheme="minorHAnsi" w:hAnsiTheme="minorHAnsi" w:cstheme="minorHAnsi"/>
          <w:color w:val="000000"/>
        </w:rPr>
        <w:t>‌</w:t>
      </w:r>
      <w:proofErr w:type="spellStart"/>
      <w:r w:rsidR="00A74DA1" w:rsidRPr="003761A6">
        <w:rPr>
          <w:rFonts w:asciiTheme="minorHAnsi" w:hAnsiTheme="minorHAnsi" w:cstheme="minorHAnsi"/>
          <w:color w:val="000000"/>
        </w:rPr>
        <w:t>Fridson</w:t>
      </w:r>
      <w:proofErr w:type="spellEnd"/>
      <w:r w:rsidR="00A74DA1" w:rsidRPr="003761A6">
        <w:rPr>
          <w:rFonts w:asciiTheme="minorHAnsi" w:hAnsiTheme="minorHAnsi" w:cstheme="minorHAnsi"/>
          <w:color w:val="000000"/>
        </w:rPr>
        <w:t xml:space="preserve">, M.S., Alvarez, F. and </w:t>
      </w:r>
      <w:proofErr w:type="spellStart"/>
      <w:r w:rsidR="00A74DA1" w:rsidRPr="003761A6">
        <w:rPr>
          <w:rFonts w:asciiTheme="minorHAnsi" w:hAnsiTheme="minorHAnsi" w:cstheme="minorHAnsi"/>
          <w:color w:val="000000"/>
        </w:rPr>
        <w:t>Netlibrary</w:t>
      </w:r>
      <w:proofErr w:type="spellEnd"/>
      <w:r w:rsidR="00A74DA1" w:rsidRPr="003761A6">
        <w:rPr>
          <w:rFonts w:asciiTheme="minorHAnsi" w:hAnsiTheme="minorHAnsi" w:cstheme="minorHAnsi"/>
          <w:color w:val="000000"/>
        </w:rPr>
        <w:t>, I. (2002). </w:t>
      </w:r>
      <w:r w:rsidR="00A74DA1" w:rsidRPr="003761A6">
        <w:rPr>
          <w:rFonts w:asciiTheme="minorHAnsi" w:hAnsiTheme="minorHAnsi" w:cstheme="minorHAnsi"/>
          <w:i/>
          <w:iCs/>
          <w:color w:val="000000"/>
        </w:rPr>
        <w:t xml:space="preserve">Financial statement </w:t>
      </w:r>
      <w:proofErr w:type="gramStart"/>
      <w:r w:rsidR="00A74DA1" w:rsidRPr="003761A6">
        <w:rPr>
          <w:rFonts w:asciiTheme="minorHAnsi" w:hAnsiTheme="minorHAnsi" w:cstheme="minorHAnsi"/>
          <w:i/>
          <w:iCs/>
          <w:color w:val="000000"/>
        </w:rPr>
        <w:t>analysis :</w:t>
      </w:r>
      <w:proofErr w:type="gramEnd"/>
      <w:r w:rsidR="00A74DA1" w:rsidRPr="003761A6">
        <w:rPr>
          <w:rFonts w:asciiTheme="minorHAnsi" w:hAnsiTheme="minorHAnsi" w:cstheme="minorHAnsi"/>
          <w:i/>
          <w:iCs/>
          <w:color w:val="000000"/>
        </w:rPr>
        <w:t xml:space="preserve"> a practitioner’s guide</w:t>
      </w:r>
      <w:r w:rsidR="00A74DA1" w:rsidRPr="003761A6">
        <w:rPr>
          <w:rFonts w:asciiTheme="minorHAnsi" w:hAnsiTheme="minorHAnsi" w:cstheme="minorHAnsi"/>
          <w:color w:val="000000"/>
        </w:rPr>
        <w:t xml:space="preserve">. New York: John Wiley &amp; Sons. </w:t>
      </w:r>
    </w:p>
    <w:p w14:paraId="471DE644" w14:textId="3DF360CE" w:rsidR="006632AF" w:rsidRPr="003761A6" w:rsidRDefault="001C6AF2" w:rsidP="001C6AF2">
      <w:pPr>
        <w:pStyle w:val="NormalWeb"/>
        <w:rPr>
          <w:rFonts w:asciiTheme="minorHAnsi" w:hAnsiTheme="minorHAnsi" w:cstheme="minorHAnsi"/>
          <w:color w:val="000000"/>
        </w:rPr>
      </w:pPr>
      <w:r w:rsidRPr="003761A6">
        <w:rPr>
          <w:rFonts w:asciiTheme="minorHAnsi" w:hAnsiTheme="minorHAnsi" w:cstheme="minorHAnsi"/>
          <w:color w:val="000000"/>
        </w:rPr>
        <w:t>‌</w:t>
      </w:r>
      <w:proofErr w:type="spellStart"/>
      <w:r w:rsidR="006632AF" w:rsidRPr="003761A6">
        <w:rPr>
          <w:rFonts w:asciiTheme="minorHAnsi" w:hAnsiTheme="minorHAnsi" w:cstheme="minorHAnsi"/>
          <w:color w:val="000000"/>
        </w:rPr>
        <w:t>Furhmann</w:t>
      </w:r>
      <w:proofErr w:type="spellEnd"/>
      <w:r w:rsidR="006632AF" w:rsidRPr="003761A6">
        <w:rPr>
          <w:rFonts w:asciiTheme="minorHAnsi" w:hAnsiTheme="minorHAnsi" w:cstheme="minorHAnsi"/>
          <w:color w:val="000000"/>
        </w:rPr>
        <w:t xml:space="preserve">, </w:t>
      </w:r>
      <w:proofErr w:type="gramStart"/>
      <w:r w:rsidR="006632AF" w:rsidRPr="003761A6">
        <w:rPr>
          <w:rFonts w:asciiTheme="minorHAnsi" w:hAnsiTheme="minorHAnsi" w:cstheme="minorHAnsi"/>
          <w:color w:val="000000"/>
        </w:rPr>
        <w:t>R,.</w:t>
      </w:r>
      <w:proofErr w:type="gramEnd"/>
      <w:r w:rsidR="006632AF" w:rsidRPr="003761A6">
        <w:rPr>
          <w:rFonts w:asciiTheme="minorHAnsi" w:hAnsiTheme="minorHAnsi" w:cstheme="minorHAnsi"/>
          <w:color w:val="000000"/>
        </w:rPr>
        <w:t xml:space="preserve"> Anderson, S., </w:t>
      </w:r>
      <w:proofErr w:type="spellStart"/>
      <w:r w:rsidR="006632AF" w:rsidRPr="003761A6">
        <w:rPr>
          <w:rFonts w:asciiTheme="minorHAnsi" w:hAnsiTheme="minorHAnsi" w:cstheme="minorHAnsi"/>
          <w:color w:val="000000"/>
        </w:rPr>
        <w:t>Costagliola</w:t>
      </w:r>
      <w:proofErr w:type="spellEnd"/>
      <w:r w:rsidR="006632AF" w:rsidRPr="003761A6">
        <w:rPr>
          <w:rFonts w:asciiTheme="minorHAnsi" w:hAnsiTheme="minorHAnsi" w:cstheme="minorHAnsi"/>
          <w:color w:val="000000"/>
        </w:rPr>
        <w:t>, D., (2021). </w:t>
      </w:r>
      <w:r w:rsidR="006632AF" w:rsidRPr="003761A6">
        <w:rPr>
          <w:rFonts w:asciiTheme="minorHAnsi" w:hAnsiTheme="minorHAnsi" w:cstheme="minorHAnsi"/>
          <w:i/>
          <w:iCs/>
          <w:color w:val="000000"/>
        </w:rPr>
        <w:t>Return on Equity (ROE) vs. Return on Assets (ROA): What’s the Difference?</w:t>
      </w:r>
      <w:r w:rsidR="006632AF" w:rsidRPr="003761A6">
        <w:rPr>
          <w:rFonts w:asciiTheme="minorHAnsi" w:hAnsiTheme="minorHAnsi" w:cstheme="minorHAnsi"/>
          <w:color w:val="000000"/>
        </w:rPr>
        <w:t> [online] Available at: https://www.investopedia.com/ask/answers/070914/what-are-main-differences-between-</w:t>
      </w:r>
      <w:r w:rsidR="006632AF" w:rsidRPr="003761A6">
        <w:rPr>
          <w:rFonts w:asciiTheme="minorHAnsi" w:hAnsiTheme="minorHAnsi" w:cstheme="minorHAnsi"/>
          <w:color w:val="000000"/>
        </w:rPr>
        <w:lastRenderedPageBreak/>
        <w:t xml:space="preserve">return-equity-roe-and-return-assets-roa.asp#:~:text=Key%20Takeaways- </w:t>
      </w:r>
      <w:bookmarkStart w:id="2" w:name="_Hlk105249352"/>
      <w:r w:rsidR="006632AF" w:rsidRPr="003761A6">
        <w:rPr>
          <w:rFonts w:asciiTheme="minorHAnsi" w:hAnsiTheme="minorHAnsi" w:cstheme="minorHAnsi"/>
          <w:color w:val="000000"/>
        </w:rPr>
        <w:t>[Accessed 17/04/22].</w:t>
      </w:r>
    </w:p>
    <w:bookmarkEnd w:id="2"/>
    <w:p w14:paraId="338B0193" w14:textId="779BE9A3" w:rsidR="004745E1" w:rsidRPr="003761A6" w:rsidRDefault="004745E1" w:rsidP="004745E1">
      <w:pPr>
        <w:pStyle w:val="NormalWeb"/>
        <w:rPr>
          <w:rFonts w:asciiTheme="minorHAnsi" w:hAnsiTheme="minorHAnsi" w:cstheme="minorHAnsi"/>
          <w:color w:val="000000"/>
        </w:rPr>
      </w:pPr>
      <w:r w:rsidRPr="003761A6">
        <w:rPr>
          <w:rFonts w:asciiTheme="minorHAnsi" w:hAnsiTheme="minorHAnsi" w:cstheme="minorHAnsi"/>
          <w:color w:val="000000"/>
        </w:rPr>
        <w:t>Gallo, A. (2015). </w:t>
      </w:r>
      <w:r w:rsidRPr="003761A6">
        <w:rPr>
          <w:rFonts w:asciiTheme="minorHAnsi" w:hAnsiTheme="minorHAnsi" w:cstheme="minorHAnsi"/>
          <w:i/>
          <w:iCs/>
          <w:color w:val="000000"/>
        </w:rPr>
        <w:t>A Refresher on Debt-to-Equity Ratio</w:t>
      </w:r>
      <w:r w:rsidRPr="003761A6">
        <w:rPr>
          <w:rFonts w:asciiTheme="minorHAnsi" w:hAnsiTheme="minorHAnsi" w:cstheme="minorHAnsi"/>
          <w:color w:val="000000"/>
        </w:rPr>
        <w:t>. [online] Harvard Business Review. Available at: https://hbr.org/2015/07/a-refresher-on-debt-to-equity-ratio. [Accessed 17/04/22].</w:t>
      </w:r>
    </w:p>
    <w:p w14:paraId="2C7B7789" w14:textId="3FF78A69" w:rsidR="000C707C" w:rsidRPr="003761A6" w:rsidRDefault="000C707C" w:rsidP="001E66DF">
      <w:pPr>
        <w:pStyle w:val="NormalWeb"/>
        <w:rPr>
          <w:rFonts w:asciiTheme="minorHAnsi" w:hAnsiTheme="minorHAnsi" w:cstheme="minorHAnsi"/>
          <w:color w:val="000000"/>
        </w:rPr>
      </w:pPr>
      <w:proofErr w:type="spellStart"/>
      <w:r w:rsidRPr="003761A6">
        <w:rPr>
          <w:rFonts w:asciiTheme="minorHAnsi" w:hAnsiTheme="minorHAnsi" w:cstheme="minorHAnsi"/>
          <w:color w:val="000000"/>
        </w:rPr>
        <w:t>Godick</w:t>
      </w:r>
      <w:proofErr w:type="spellEnd"/>
      <w:r w:rsidRPr="003761A6">
        <w:rPr>
          <w:rFonts w:asciiTheme="minorHAnsi" w:hAnsiTheme="minorHAnsi" w:cstheme="minorHAnsi"/>
          <w:color w:val="000000"/>
        </w:rPr>
        <w:t xml:space="preserve">, G. (2021). </w:t>
      </w:r>
      <w:r w:rsidRPr="003761A6">
        <w:rPr>
          <w:rFonts w:asciiTheme="minorHAnsi" w:hAnsiTheme="minorHAnsi" w:cstheme="minorHAnsi"/>
          <w:i/>
          <w:iCs/>
          <w:color w:val="000000"/>
        </w:rPr>
        <w:t>When Is the Right Time for Your Company to Get an Audit?</w:t>
      </w:r>
      <w:r w:rsidRPr="003761A6">
        <w:rPr>
          <w:rFonts w:asciiTheme="minorHAnsi" w:hAnsiTheme="minorHAnsi" w:cstheme="minorHAnsi"/>
          <w:color w:val="000000"/>
        </w:rPr>
        <w:t xml:space="preserve"> [online] www.gsquaredcfo.com. Available at: https://www.gsquaredcfo.com/blog/when-to-get-an-audit </w:t>
      </w:r>
      <w:bookmarkStart w:id="3" w:name="_Hlk105241809"/>
      <w:r w:rsidRPr="003761A6">
        <w:rPr>
          <w:rFonts w:asciiTheme="minorHAnsi" w:hAnsiTheme="minorHAnsi" w:cstheme="minorHAnsi"/>
          <w:color w:val="000000"/>
        </w:rPr>
        <w:t>[Accessed 2 Jun. 2022].</w:t>
      </w:r>
    </w:p>
    <w:bookmarkEnd w:id="3"/>
    <w:p w14:paraId="04496096" w14:textId="70750E59" w:rsidR="006632AF" w:rsidRPr="003761A6" w:rsidRDefault="000C707C" w:rsidP="00F33C47">
      <w:pPr>
        <w:pStyle w:val="NormalWeb"/>
        <w:rPr>
          <w:rFonts w:asciiTheme="minorHAnsi" w:hAnsiTheme="minorHAnsi" w:cstheme="minorHAnsi"/>
          <w:color w:val="000000"/>
        </w:rPr>
      </w:pPr>
      <w:r w:rsidRPr="003761A6">
        <w:rPr>
          <w:rFonts w:asciiTheme="minorHAnsi" w:hAnsiTheme="minorHAnsi" w:cstheme="minorHAnsi"/>
          <w:color w:val="000000"/>
        </w:rPr>
        <w:t>‌</w:t>
      </w:r>
      <w:r w:rsidR="006632AF" w:rsidRPr="003761A6">
        <w:rPr>
          <w:rFonts w:asciiTheme="minorHAnsi" w:hAnsiTheme="minorHAnsi" w:cstheme="minorHAnsi"/>
          <w:color w:val="000000"/>
        </w:rPr>
        <w:t>Hayes, A. (2021). </w:t>
      </w:r>
      <w:r w:rsidR="006632AF" w:rsidRPr="003761A6">
        <w:rPr>
          <w:rFonts w:asciiTheme="minorHAnsi" w:hAnsiTheme="minorHAnsi" w:cstheme="minorHAnsi"/>
          <w:i/>
          <w:iCs/>
          <w:color w:val="000000"/>
        </w:rPr>
        <w:t>Profitability Ratios</w:t>
      </w:r>
      <w:r w:rsidR="006632AF" w:rsidRPr="003761A6">
        <w:rPr>
          <w:rFonts w:asciiTheme="minorHAnsi" w:hAnsiTheme="minorHAnsi" w:cstheme="minorHAnsi"/>
          <w:color w:val="000000"/>
        </w:rPr>
        <w:t xml:space="preserve">. [online] Investopedia. Available at: </w:t>
      </w:r>
      <w:hyperlink r:id="rId15" w:history="1">
        <w:r w:rsidR="006632AF" w:rsidRPr="003761A6">
          <w:rPr>
            <w:rStyle w:val="Hyperlink"/>
            <w:rFonts w:asciiTheme="minorHAnsi" w:hAnsiTheme="minorHAnsi" w:cstheme="minorHAnsi"/>
          </w:rPr>
          <w:t>https://www.investopedia.com/terms/p/profitabilityratios.asp</w:t>
        </w:r>
      </w:hyperlink>
      <w:r w:rsidR="006632AF" w:rsidRPr="003761A6">
        <w:rPr>
          <w:rFonts w:asciiTheme="minorHAnsi" w:hAnsiTheme="minorHAnsi" w:cstheme="minorHAnsi"/>
          <w:color w:val="000000"/>
        </w:rPr>
        <w:t>. [Accessed 17/04/22].</w:t>
      </w:r>
      <w:r w:rsidR="006632AF" w:rsidRPr="003761A6">
        <w:rPr>
          <w:rFonts w:asciiTheme="minorHAnsi" w:hAnsiTheme="minorHAnsi" w:cstheme="minorHAnsi"/>
          <w:color w:val="000000"/>
        </w:rPr>
        <w:tab/>
      </w:r>
    </w:p>
    <w:p w14:paraId="01FA4075" w14:textId="77777777" w:rsidR="00F33C47" w:rsidRPr="003761A6" w:rsidRDefault="00E14572" w:rsidP="00F33C47">
      <w:pPr>
        <w:pStyle w:val="NormalWeb"/>
        <w:spacing w:before="0" w:beforeAutospacing="0" w:after="0" w:afterAutospacing="0" w:line="360" w:lineRule="atLeast"/>
        <w:rPr>
          <w:rFonts w:asciiTheme="minorHAnsi" w:hAnsiTheme="minorHAnsi" w:cstheme="minorHAnsi"/>
          <w:color w:val="000000"/>
        </w:rPr>
      </w:pPr>
      <w:r w:rsidRPr="003761A6">
        <w:rPr>
          <w:rFonts w:asciiTheme="minorHAnsi" w:hAnsiTheme="minorHAnsi" w:cstheme="minorHAnsi"/>
          <w:color w:val="000000"/>
        </w:rPr>
        <w:t>Hayes, A. (2021). </w:t>
      </w:r>
      <w:r w:rsidRPr="003761A6">
        <w:rPr>
          <w:rFonts w:asciiTheme="minorHAnsi" w:hAnsiTheme="minorHAnsi" w:cstheme="minorHAnsi"/>
          <w:i/>
          <w:iCs/>
          <w:color w:val="000000"/>
        </w:rPr>
        <w:t>Liquidity Ratio</w:t>
      </w:r>
      <w:r w:rsidRPr="003761A6">
        <w:rPr>
          <w:rFonts w:asciiTheme="minorHAnsi" w:hAnsiTheme="minorHAnsi" w:cstheme="minorHAnsi"/>
          <w:color w:val="000000"/>
        </w:rPr>
        <w:t xml:space="preserve">. [online] Investopedia. Available at: https://www.investopedia.com/terms/l/liquidityratios.asp. </w:t>
      </w:r>
      <w:r w:rsidR="00F33C47" w:rsidRPr="003761A6">
        <w:rPr>
          <w:rFonts w:asciiTheme="minorHAnsi" w:hAnsiTheme="minorHAnsi" w:cstheme="minorHAnsi"/>
          <w:color w:val="000000"/>
        </w:rPr>
        <w:t>[Accessed 2 Jun. 2022].</w:t>
      </w:r>
    </w:p>
    <w:p w14:paraId="4C8BF914" w14:textId="7887759C" w:rsidR="00E14572" w:rsidRPr="003761A6" w:rsidRDefault="00E14572" w:rsidP="00E14572">
      <w:pPr>
        <w:pStyle w:val="NormalWeb"/>
        <w:spacing w:before="0" w:beforeAutospacing="0" w:after="0" w:afterAutospacing="0" w:line="360" w:lineRule="atLeast"/>
        <w:rPr>
          <w:rFonts w:asciiTheme="minorHAnsi" w:hAnsiTheme="minorHAnsi" w:cstheme="minorHAnsi"/>
          <w:color w:val="000000"/>
        </w:rPr>
      </w:pPr>
    </w:p>
    <w:p w14:paraId="68AB96A3" w14:textId="411EF25F" w:rsidR="00F33C47" w:rsidRPr="003761A6" w:rsidRDefault="00E14572" w:rsidP="00F33C47">
      <w:pPr>
        <w:pStyle w:val="NormalWeb"/>
        <w:spacing w:before="0" w:beforeAutospacing="0" w:after="0" w:afterAutospacing="0" w:line="360" w:lineRule="atLeast"/>
        <w:rPr>
          <w:rFonts w:asciiTheme="minorHAnsi" w:hAnsiTheme="minorHAnsi" w:cstheme="minorHAnsi"/>
          <w:color w:val="000000"/>
        </w:rPr>
      </w:pPr>
      <w:r w:rsidRPr="003761A6">
        <w:rPr>
          <w:rFonts w:asciiTheme="minorHAnsi" w:hAnsiTheme="minorHAnsi" w:cstheme="minorHAnsi"/>
          <w:color w:val="000000"/>
        </w:rPr>
        <w:t>‌</w:t>
      </w:r>
      <w:r w:rsidR="0087767C" w:rsidRPr="003761A6">
        <w:rPr>
          <w:rFonts w:asciiTheme="minorHAnsi" w:hAnsiTheme="minorHAnsi" w:cstheme="minorHAnsi"/>
          <w:color w:val="000000"/>
        </w:rPr>
        <w:t xml:space="preserve"> </w:t>
      </w:r>
      <w:r w:rsidR="00650CCC" w:rsidRPr="003761A6">
        <w:rPr>
          <w:rFonts w:asciiTheme="minorHAnsi" w:hAnsiTheme="minorHAnsi" w:cstheme="minorHAnsi"/>
          <w:color w:val="000000"/>
        </w:rPr>
        <w:t>Hayes, A. (2020). </w:t>
      </w:r>
      <w:r w:rsidR="00650CCC" w:rsidRPr="003761A6">
        <w:rPr>
          <w:rFonts w:asciiTheme="minorHAnsi" w:hAnsiTheme="minorHAnsi" w:cstheme="minorHAnsi"/>
          <w:i/>
          <w:iCs/>
          <w:color w:val="000000"/>
        </w:rPr>
        <w:t>Leverage Ratio</w:t>
      </w:r>
      <w:r w:rsidR="00650CCC" w:rsidRPr="003761A6">
        <w:rPr>
          <w:rFonts w:asciiTheme="minorHAnsi" w:hAnsiTheme="minorHAnsi" w:cstheme="minorHAnsi"/>
          <w:color w:val="000000"/>
        </w:rPr>
        <w:t>. [online] Investopedia. Available at: https://www.investopedia.com/terms/l/leverageratio.asp#:~:text=are%20discussed%20below.-.</w:t>
      </w:r>
      <w:r w:rsidR="00F33C47" w:rsidRPr="003761A6">
        <w:rPr>
          <w:rFonts w:asciiTheme="minorHAnsi" w:hAnsiTheme="minorHAnsi" w:cstheme="minorHAnsi"/>
          <w:color w:val="000000"/>
        </w:rPr>
        <w:t xml:space="preserve"> [Accessed 2 Jun. 2022].</w:t>
      </w:r>
    </w:p>
    <w:p w14:paraId="394951DD" w14:textId="19BEDD8F" w:rsidR="00650CCC" w:rsidRPr="003761A6" w:rsidRDefault="00650CCC" w:rsidP="00650CCC">
      <w:pPr>
        <w:pStyle w:val="NormalWeb"/>
        <w:spacing w:before="0" w:beforeAutospacing="0" w:after="0" w:afterAutospacing="0" w:line="360" w:lineRule="atLeast"/>
        <w:rPr>
          <w:rFonts w:asciiTheme="minorHAnsi" w:hAnsiTheme="minorHAnsi" w:cstheme="minorHAnsi"/>
          <w:color w:val="000000"/>
        </w:rPr>
      </w:pPr>
    </w:p>
    <w:p w14:paraId="214D848F" w14:textId="568EEACA" w:rsidR="00620363" w:rsidRPr="003761A6" w:rsidRDefault="00650CCC" w:rsidP="00620363">
      <w:pPr>
        <w:pStyle w:val="NormalWeb"/>
        <w:spacing w:before="0" w:beforeAutospacing="0" w:after="0" w:afterAutospacing="0" w:line="360" w:lineRule="atLeast"/>
        <w:rPr>
          <w:rFonts w:asciiTheme="minorHAnsi" w:hAnsiTheme="minorHAnsi" w:cstheme="minorHAnsi"/>
          <w:color w:val="000000"/>
        </w:rPr>
      </w:pPr>
      <w:r w:rsidRPr="003761A6">
        <w:rPr>
          <w:rFonts w:asciiTheme="minorHAnsi" w:hAnsiTheme="minorHAnsi" w:cstheme="minorHAnsi"/>
          <w:color w:val="000000"/>
        </w:rPr>
        <w:t>‌</w:t>
      </w:r>
      <w:r w:rsidR="00620363" w:rsidRPr="003761A6">
        <w:rPr>
          <w:rFonts w:asciiTheme="minorHAnsi" w:hAnsiTheme="minorHAnsi" w:cstheme="minorHAnsi"/>
          <w:color w:val="000000"/>
        </w:rPr>
        <w:t>Hayes, A. (2021). </w:t>
      </w:r>
      <w:r w:rsidR="00620363" w:rsidRPr="003761A6">
        <w:rPr>
          <w:rFonts w:asciiTheme="minorHAnsi" w:hAnsiTheme="minorHAnsi" w:cstheme="minorHAnsi"/>
          <w:i/>
          <w:iCs/>
          <w:color w:val="000000"/>
        </w:rPr>
        <w:t>Understanding the Shareholder Equity Ratio</w:t>
      </w:r>
      <w:r w:rsidR="00620363" w:rsidRPr="003761A6">
        <w:rPr>
          <w:rFonts w:asciiTheme="minorHAnsi" w:hAnsiTheme="minorHAnsi" w:cstheme="minorHAnsi"/>
          <w:color w:val="000000"/>
        </w:rPr>
        <w:t>. [online] Investopedia. Available at: https://www.investopedia.com/terms/s/shareholderequityratio.asp#:~:text=The%20shareholder%20equity%20ratio%20is.</w:t>
      </w:r>
      <w:r w:rsidR="00F33C47" w:rsidRPr="003761A6">
        <w:rPr>
          <w:rFonts w:asciiTheme="minorHAnsi" w:hAnsiTheme="minorHAnsi" w:cstheme="minorHAnsi"/>
          <w:color w:val="000000"/>
        </w:rPr>
        <w:t xml:space="preserve"> [Accessed 17/04/22].</w:t>
      </w:r>
    </w:p>
    <w:p w14:paraId="49F36D52" w14:textId="28A50897" w:rsidR="0087767C" w:rsidRPr="003761A6" w:rsidRDefault="00620363" w:rsidP="00F33C47">
      <w:pPr>
        <w:pStyle w:val="NormalWeb"/>
        <w:rPr>
          <w:rFonts w:asciiTheme="minorHAnsi" w:hAnsiTheme="minorHAnsi" w:cstheme="minorHAnsi"/>
          <w:color w:val="000000"/>
        </w:rPr>
      </w:pPr>
      <w:r w:rsidRPr="003761A6">
        <w:rPr>
          <w:rFonts w:asciiTheme="minorHAnsi" w:hAnsiTheme="minorHAnsi" w:cstheme="minorHAnsi"/>
          <w:color w:val="000000"/>
        </w:rPr>
        <w:t>‌</w:t>
      </w:r>
      <w:proofErr w:type="spellStart"/>
      <w:r w:rsidR="0087767C" w:rsidRPr="003761A6">
        <w:rPr>
          <w:rFonts w:asciiTheme="minorHAnsi" w:hAnsiTheme="minorHAnsi" w:cstheme="minorHAnsi"/>
          <w:color w:val="000000"/>
        </w:rPr>
        <w:t>Lesáková</w:t>
      </w:r>
      <w:proofErr w:type="spellEnd"/>
      <w:r w:rsidR="0087767C" w:rsidRPr="003761A6">
        <w:rPr>
          <w:rFonts w:asciiTheme="minorHAnsi" w:hAnsiTheme="minorHAnsi" w:cstheme="minorHAnsi"/>
          <w:color w:val="000000"/>
        </w:rPr>
        <w:t>, Ľ. (2007). </w:t>
      </w:r>
      <w:r w:rsidR="0087767C" w:rsidRPr="003761A6">
        <w:rPr>
          <w:rFonts w:asciiTheme="minorHAnsi" w:hAnsiTheme="minorHAnsi" w:cstheme="minorHAnsi"/>
          <w:i/>
          <w:iCs/>
          <w:color w:val="000000"/>
        </w:rPr>
        <w:t>Uses and Limitations of Profitability Ratio Analysis in Managerial Practice</w:t>
      </w:r>
      <w:r w:rsidR="0087767C" w:rsidRPr="003761A6">
        <w:rPr>
          <w:rFonts w:asciiTheme="minorHAnsi" w:hAnsiTheme="minorHAnsi" w:cstheme="minorHAnsi"/>
          <w:color w:val="000000"/>
        </w:rPr>
        <w:t>. [online] Available at: https://kgk.uni-obuda.hu/sites/default/files/24_Lesakova.pdf. [Accessed 20/05/22].</w:t>
      </w:r>
    </w:p>
    <w:p w14:paraId="2AB9516E" w14:textId="68952794" w:rsidR="006632AF" w:rsidRPr="003761A6" w:rsidRDefault="0087767C" w:rsidP="00A5493E">
      <w:pPr>
        <w:pStyle w:val="NormalWeb"/>
        <w:rPr>
          <w:rFonts w:asciiTheme="minorHAnsi" w:hAnsiTheme="minorHAnsi" w:cstheme="minorHAnsi"/>
          <w:color w:val="000000"/>
        </w:rPr>
      </w:pPr>
      <w:r w:rsidRPr="003761A6">
        <w:rPr>
          <w:rFonts w:asciiTheme="minorHAnsi" w:hAnsiTheme="minorHAnsi" w:cstheme="minorHAnsi"/>
          <w:color w:val="000000"/>
        </w:rPr>
        <w:t>‌</w:t>
      </w:r>
      <w:r w:rsidR="006632AF" w:rsidRPr="003761A6">
        <w:rPr>
          <w:rFonts w:asciiTheme="minorHAnsi" w:hAnsiTheme="minorHAnsi" w:cstheme="minorHAnsi"/>
          <w:color w:val="000000"/>
        </w:rPr>
        <w:t>Mclaren.com. (2018). </w:t>
      </w:r>
      <w:r w:rsidR="006632AF" w:rsidRPr="003761A6">
        <w:rPr>
          <w:rFonts w:asciiTheme="minorHAnsi" w:hAnsiTheme="minorHAnsi" w:cstheme="minorHAnsi"/>
          <w:i/>
          <w:iCs/>
          <w:color w:val="000000"/>
        </w:rPr>
        <w:t>The Official McLaren Website – McLaren.com</w:t>
      </w:r>
      <w:r w:rsidR="006632AF" w:rsidRPr="003761A6">
        <w:rPr>
          <w:rFonts w:asciiTheme="minorHAnsi" w:hAnsiTheme="minorHAnsi" w:cstheme="minorHAnsi"/>
          <w:color w:val="000000"/>
        </w:rPr>
        <w:t xml:space="preserve">. [online] Available at: </w:t>
      </w:r>
      <w:hyperlink r:id="rId16" w:history="1">
        <w:r w:rsidR="006632AF" w:rsidRPr="003761A6">
          <w:rPr>
            <w:rStyle w:val="Hyperlink"/>
            <w:rFonts w:asciiTheme="minorHAnsi" w:hAnsiTheme="minorHAnsi" w:cstheme="minorHAnsi"/>
          </w:rPr>
          <w:t>https://www.mclaren.com/</w:t>
        </w:r>
      </w:hyperlink>
      <w:r w:rsidR="006632AF" w:rsidRPr="003761A6">
        <w:rPr>
          <w:rFonts w:asciiTheme="minorHAnsi" w:hAnsiTheme="minorHAnsi" w:cstheme="minorHAnsi"/>
          <w:color w:val="000000"/>
        </w:rPr>
        <w:t>. [Accessed 17/04/22]</w:t>
      </w:r>
    </w:p>
    <w:p w14:paraId="0EC2B727" w14:textId="7560D763" w:rsidR="004D49DE" w:rsidRPr="003761A6" w:rsidRDefault="004D49DE" w:rsidP="004D49DE">
      <w:pPr>
        <w:pStyle w:val="NormalWeb"/>
        <w:spacing w:before="0" w:beforeAutospacing="0" w:after="0" w:afterAutospacing="0" w:line="360" w:lineRule="atLeast"/>
        <w:rPr>
          <w:rFonts w:asciiTheme="minorHAnsi" w:hAnsiTheme="minorHAnsi" w:cstheme="minorHAnsi"/>
          <w:color w:val="000000"/>
        </w:rPr>
      </w:pPr>
      <w:bookmarkStart w:id="4" w:name="_Hlk103152810"/>
      <w:r w:rsidRPr="003761A6">
        <w:rPr>
          <w:rFonts w:asciiTheme="minorHAnsi" w:hAnsiTheme="minorHAnsi" w:cstheme="minorHAnsi"/>
          <w:color w:val="000000"/>
        </w:rPr>
        <w:t xml:space="preserve">Woodruff, </w:t>
      </w:r>
      <w:proofErr w:type="gramStart"/>
      <w:r w:rsidRPr="003761A6">
        <w:rPr>
          <w:rFonts w:asciiTheme="minorHAnsi" w:hAnsiTheme="minorHAnsi" w:cstheme="minorHAnsi"/>
          <w:color w:val="000000"/>
        </w:rPr>
        <w:t>J,.</w:t>
      </w:r>
      <w:proofErr w:type="gramEnd"/>
      <w:r w:rsidRPr="003761A6">
        <w:rPr>
          <w:rFonts w:asciiTheme="minorHAnsi" w:hAnsiTheme="minorHAnsi" w:cstheme="minorHAnsi"/>
          <w:color w:val="000000"/>
        </w:rPr>
        <w:t xml:space="preserve"> (2019). </w:t>
      </w:r>
      <w:bookmarkEnd w:id="4"/>
      <w:r w:rsidRPr="003761A6">
        <w:rPr>
          <w:rFonts w:asciiTheme="minorHAnsi" w:hAnsiTheme="minorHAnsi" w:cstheme="minorHAnsi"/>
          <w:i/>
          <w:iCs/>
          <w:color w:val="000000"/>
        </w:rPr>
        <w:t>The Purpose of Financial Ratios</w:t>
      </w:r>
      <w:r w:rsidRPr="003761A6">
        <w:rPr>
          <w:rFonts w:asciiTheme="minorHAnsi" w:hAnsiTheme="minorHAnsi" w:cstheme="minorHAnsi"/>
          <w:color w:val="000000"/>
        </w:rPr>
        <w:t>. [online] Available at: https://bizfluent.com/about-6195930-purpose-financial-ratios.html [Accessed 17/04/22].</w:t>
      </w:r>
    </w:p>
    <w:p w14:paraId="1F33F631" w14:textId="277867C8" w:rsidR="001C6AF2" w:rsidRPr="003761A6" w:rsidRDefault="001C6AF2" w:rsidP="004D49DE">
      <w:pPr>
        <w:pStyle w:val="NormalWeb"/>
        <w:spacing w:before="0" w:beforeAutospacing="0" w:after="0" w:afterAutospacing="0" w:line="360" w:lineRule="atLeast"/>
        <w:rPr>
          <w:rFonts w:asciiTheme="minorHAnsi" w:hAnsiTheme="minorHAnsi" w:cstheme="minorHAnsi"/>
          <w:color w:val="000000"/>
        </w:rPr>
      </w:pPr>
    </w:p>
    <w:p w14:paraId="6B790743" w14:textId="656CA5D7" w:rsidR="001C6AF2" w:rsidRPr="003761A6" w:rsidRDefault="001C6AF2" w:rsidP="001C6AF2">
      <w:pPr>
        <w:pStyle w:val="NormalWeb"/>
        <w:spacing w:before="0" w:beforeAutospacing="0" w:after="0" w:afterAutospacing="0" w:line="360" w:lineRule="atLeast"/>
        <w:rPr>
          <w:rFonts w:asciiTheme="minorHAnsi" w:hAnsiTheme="minorHAnsi" w:cstheme="minorHAnsi"/>
          <w:color w:val="000000"/>
        </w:rPr>
      </w:pPr>
      <w:r w:rsidRPr="003761A6">
        <w:rPr>
          <w:rFonts w:asciiTheme="minorHAnsi" w:hAnsiTheme="minorHAnsi" w:cstheme="minorHAnsi"/>
          <w:color w:val="000000"/>
        </w:rPr>
        <w:t>Murphy, C.B. (2021). </w:t>
      </w:r>
      <w:r w:rsidRPr="003761A6">
        <w:rPr>
          <w:rFonts w:asciiTheme="minorHAnsi" w:hAnsiTheme="minorHAnsi" w:cstheme="minorHAnsi"/>
          <w:i/>
          <w:iCs/>
          <w:color w:val="000000"/>
        </w:rPr>
        <w:t>Understanding the Cash Flow Statement</w:t>
      </w:r>
      <w:r w:rsidRPr="003761A6">
        <w:rPr>
          <w:rFonts w:asciiTheme="minorHAnsi" w:hAnsiTheme="minorHAnsi" w:cstheme="minorHAnsi"/>
          <w:color w:val="000000"/>
        </w:rPr>
        <w:t xml:space="preserve">. [online] Investopedia. Available at: </w:t>
      </w:r>
      <w:hyperlink r:id="rId17" w:history="1">
        <w:r w:rsidRPr="003761A6">
          <w:rPr>
            <w:rStyle w:val="Hyperlink"/>
            <w:rFonts w:asciiTheme="minorHAnsi" w:hAnsiTheme="minorHAnsi" w:cstheme="minorHAnsi"/>
          </w:rPr>
          <w:t>https://www.investopedia.com/investing/what-is-a-cash-flow-statement/</w:t>
        </w:r>
      </w:hyperlink>
      <w:r w:rsidRPr="003761A6">
        <w:rPr>
          <w:rFonts w:asciiTheme="minorHAnsi" w:hAnsiTheme="minorHAnsi" w:cstheme="minorHAnsi"/>
          <w:color w:val="000000"/>
        </w:rPr>
        <w:t>. [Accessed 17/04/22]</w:t>
      </w:r>
    </w:p>
    <w:p w14:paraId="2505EE1F" w14:textId="1D187819" w:rsidR="001C6AF2" w:rsidRPr="003761A6" w:rsidRDefault="001C6AF2" w:rsidP="001C6AF2">
      <w:pPr>
        <w:pStyle w:val="NormalWeb"/>
        <w:spacing w:before="0" w:beforeAutospacing="0" w:after="0" w:afterAutospacing="0" w:line="360" w:lineRule="atLeast"/>
        <w:rPr>
          <w:rFonts w:asciiTheme="minorHAnsi" w:hAnsiTheme="minorHAnsi" w:cstheme="minorHAnsi"/>
          <w:color w:val="000000"/>
        </w:rPr>
      </w:pPr>
    </w:p>
    <w:p w14:paraId="55697772" w14:textId="23FE8BBB" w:rsidR="00F85A60" w:rsidRPr="003761A6" w:rsidRDefault="001C6AF2" w:rsidP="00F85A60">
      <w:pPr>
        <w:pStyle w:val="NormalWeb"/>
        <w:spacing w:before="0" w:beforeAutospacing="0" w:after="0" w:afterAutospacing="0" w:line="360" w:lineRule="atLeast"/>
        <w:rPr>
          <w:rFonts w:asciiTheme="minorHAnsi" w:hAnsiTheme="minorHAnsi" w:cstheme="minorHAnsi"/>
          <w:color w:val="000000"/>
        </w:rPr>
      </w:pPr>
      <w:r w:rsidRPr="003761A6">
        <w:rPr>
          <w:rFonts w:asciiTheme="minorHAnsi" w:hAnsiTheme="minorHAnsi" w:cstheme="minorHAnsi"/>
          <w:color w:val="000000"/>
        </w:rPr>
        <w:t>‌</w:t>
      </w:r>
      <w:r w:rsidR="00F85A60" w:rsidRPr="003761A6">
        <w:rPr>
          <w:rFonts w:asciiTheme="minorHAnsi" w:hAnsiTheme="minorHAnsi" w:cstheme="minorHAnsi"/>
          <w:color w:val="000000"/>
        </w:rPr>
        <w:t xml:space="preserve">Mitchell, </w:t>
      </w:r>
      <w:proofErr w:type="gramStart"/>
      <w:r w:rsidR="00F85A60" w:rsidRPr="003761A6">
        <w:rPr>
          <w:rFonts w:asciiTheme="minorHAnsi" w:hAnsiTheme="minorHAnsi" w:cstheme="minorHAnsi"/>
          <w:color w:val="000000"/>
        </w:rPr>
        <w:t>S,.</w:t>
      </w:r>
      <w:proofErr w:type="gramEnd"/>
      <w:r w:rsidR="00F85A60" w:rsidRPr="003761A6">
        <w:rPr>
          <w:rFonts w:asciiTheme="minorHAnsi" w:hAnsiTheme="minorHAnsi" w:cstheme="minorHAnsi"/>
          <w:color w:val="000000"/>
        </w:rPr>
        <w:t xml:space="preserve"> (2022). </w:t>
      </w:r>
      <w:r w:rsidR="00F85A60" w:rsidRPr="003761A6">
        <w:rPr>
          <w:rFonts w:asciiTheme="minorHAnsi" w:hAnsiTheme="minorHAnsi" w:cstheme="minorHAnsi"/>
          <w:i/>
          <w:iCs/>
          <w:color w:val="000000"/>
        </w:rPr>
        <w:t>How McLaren’s F1 team went about secretly ‘fighting for survival’</w:t>
      </w:r>
      <w:r w:rsidR="00F85A60" w:rsidRPr="003761A6">
        <w:rPr>
          <w:rFonts w:asciiTheme="minorHAnsi" w:hAnsiTheme="minorHAnsi" w:cstheme="minorHAnsi"/>
          <w:color w:val="000000"/>
        </w:rPr>
        <w:t>. [online] Available at: https://the-race.com/formula-1/how-mclarens-f1-team-went-about-</w:t>
      </w:r>
      <w:r w:rsidR="00F85A60" w:rsidRPr="003761A6">
        <w:rPr>
          <w:rFonts w:asciiTheme="minorHAnsi" w:hAnsiTheme="minorHAnsi" w:cstheme="minorHAnsi"/>
          <w:color w:val="000000"/>
        </w:rPr>
        <w:lastRenderedPageBreak/>
        <w:t>secretly-fighting-for-survival/#:~:text=When%20the%20McLaren%20Group%20was [Accessed 4 Jun. 2022].</w:t>
      </w:r>
    </w:p>
    <w:p w14:paraId="20B12A16" w14:textId="77777777" w:rsidR="001E66DF" w:rsidRDefault="00F85A60" w:rsidP="00FB43E6">
      <w:pPr>
        <w:pStyle w:val="NormalWeb"/>
        <w:spacing w:before="0" w:beforeAutospacing="0" w:after="0" w:afterAutospacing="0" w:line="360" w:lineRule="atLeast"/>
        <w:rPr>
          <w:rFonts w:asciiTheme="minorHAnsi" w:hAnsiTheme="minorHAnsi" w:cstheme="minorHAnsi"/>
          <w:color w:val="000000"/>
        </w:rPr>
      </w:pPr>
      <w:bookmarkStart w:id="5" w:name="_Hlk105247268"/>
      <w:r w:rsidRPr="003761A6">
        <w:rPr>
          <w:rFonts w:asciiTheme="minorHAnsi" w:hAnsiTheme="minorHAnsi" w:cstheme="minorHAnsi"/>
          <w:color w:val="000000"/>
        </w:rPr>
        <w:t>‌</w:t>
      </w:r>
    </w:p>
    <w:p w14:paraId="0E701341" w14:textId="7F1BFB08" w:rsidR="00CF5255" w:rsidRPr="00CF5255" w:rsidRDefault="00CF5255" w:rsidP="00CF5255">
      <w:pPr>
        <w:pStyle w:val="NormalWeb"/>
        <w:spacing w:before="0" w:beforeAutospacing="0" w:after="0" w:afterAutospacing="0" w:line="360" w:lineRule="atLeast"/>
        <w:rPr>
          <w:rFonts w:ascii="Calibri" w:hAnsi="Calibri" w:cs="Calibri"/>
        </w:rPr>
      </w:pPr>
      <w:r w:rsidRPr="00CF5255">
        <w:rPr>
          <w:rFonts w:ascii="Calibri" w:hAnsi="Calibri" w:cs="Calibri"/>
        </w:rPr>
        <w:t>Richter, P. (</w:t>
      </w:r>
      <w:r>
        <w:rPr>
          <w:rFonts w:ascii="Calibri" w:hAnsi="Calibri" w:cs="Calibri"/>
        </w:rPr>
        <w:t>2020</w:t>
      </w:r>
      <w:r w:rsidRPr="00CF5255">
        <w:rPr>
          <w:rFonts w:ascii="Calibri" w:hAnsi="Calibri" w:cs="Calibri"/>
        </w:rPr>
        <w:t>). </w:t>
      </w:r>
      <w:r w:rsidRPr="00CF5255">
        <w:rPr>
          <w:rFonts w:ascii="Calibri" w:hAnsi="Calibri" w:cs="Calibri"/>
          <w:i/>
          <w:iCs/>
        </w:rPr>
        <w:t>How Serious are McLaren’s Financial Problems? | Turtle Garage</w:t>
      </w:r>
      <w:r w:rsidRPr="00CF5255">
        <w:rPr>
          <w:rFonts w:ascii="Calibri" w:hAnsi="Calibri" w:cs="Calibri"/>
        </w:rPr>
        <w:t xml:space="preserve">. [online] Available at: </w:t>
      </w:r>
      <w:hyperlink r:id="rId18" w:history="1">
        <w:r w:rsidRPr="00921C67">
          <w:rPr>
            <w:rStyle w:val="Hyperlink"/>
            <w:rFonts w:ascii="Calibri" w:hAnsi="Calibri" w:cs="Calibri"/>
          </w:rPr>
          <w:t>https://turtlegarage.com/cars/how-serious-are-mclarens-financial-problems/</w:t>
        </w:r>
      </w:hyperlink>
      <w:r w:rsidRPr="00CF5255">
        <w:rPr>
          <w:rFonts w:ascii="Calibri" w:hAnsi="Calibri" w:cs="Calibri"/>
        </w:rPr>
        <w:t>.</w:t>
      </w:r>
      <w:r>
        <w:rPr>
          <w:rFonts w:ascii="Calibri" w:hAnsi="Calibri" w:cs="Calibri"/>
        </w:rPr>
        <w:t xml:space="preserve"> </w:t>
      </w:r>
      <w:r w:rsidRPr="003761A6">
        <w:rPr>
          <w:rFonts w:asciiTheme="minorHAnsi" w:hAnsiTheme="minorHAnsi" w:cstheme="minorHAnsi"/>
          <w:color w:val="000000"/>
        </w:rPr>
        <w:t xml:space="preserve">[Accessed </w:t>
      </w:r>
      <w:r>
        <w:rPr>
          <w:rFonts w:asciiTheme="minorHAnsi" w:hAnsiTheme="minorHAnsi" w:cstheme="minorHAnsi"/>
          <w:color w:val="000000"/>
        </w:rPr>
        <w:t>1</w:t>
      </w:r>
      <w:r w:rsidRPr="003761A6">
        <w:rPr>
          <w:rFonts w:asciiTheme="minorHAnsi" w:hAnsiTheme="minorHAnsi" w:cstheme="minorHAnsi"/>
          <w:color w:val="000000"/>
        </w:rPr>
        <w:t xml:space="preserve"> Jun. 2022]</w:t>
      </w:r>
      <w:r>
        <w:rPr>
          <w:rFonts w:asciiTheme="minorHAnsi" w:hAnsiTheme="minorHAnsi" w:cstheme="minorHAnsi"/>
          <w:color w:val="000000"/>
        </w:rPr>
        <w:t>.</w:t>
      </w:r>
    </w:p>
    <w:p w14:paraId="0A0C31B5" w14:textId="398B9466" w:rsidR="00FB43E6" w:rsidRPr="00CF5255" w:rsidRDefault="00CF5255" w:rsidP="00CF5255">
      <w:pPr>
        <w:pStyle w:val="NormalWeb"/>
        <w:rPr>
          <w:rFonts w:ascii="Calibri" w:hAnsi="Calibri" w:cs="Calibri"/>
          <w:color w:val="000000"/>
          <w:sz w:val="27"/>
          <w:szCs w:val="27"/>
        </w:rPr>
      </w:pPr>
      <w:r>
        <w:rPr>
          <w:rFonts w:ascii="Calibri" w:hAnsi="Calibri" w:cs="Calibri"/>
          <w:color w:val="000000"/>
          <w:sz w:val="27"/>
          <w:szCs w:val="27"/>
        </w:rPr>
        <w:t>‌</w:t>
      </w:r>
      <w:r w:rsidR="00FB43E6" w:rsidRPr="003761A6">
        <w:rPr>
          <w:rFonts w:asciiTheme="minorHAnsi" w:hAnsiTheme="minorHAnsi" w:cstheme="minorHAnsi"/>
          <w:color w:val="000000"/>
        </w:rPr>
        <w:t>Sylt, C. (2020). </w:t>
      </w:r>
      <w:bookmarkEnd w:id="5"/>
      <w:r w:rsidR="00FB43E6" w:rsidRPr="003761A6">
        <w:rPr>
          <w:rFonts w:asciiTheme="minorHAnsi" w:hAnsiTheme="minorHAnsi" w:cstheme="minorHAnsi"/>
          <w:i/>
          <w:iCs/>
          <w:color w:val="000000"/>
        </w:rPr>
        <w:t xml:space="preserve">The Real Reason McLaren Is Considering Selling </w:t>
      </w:r>
      <w:proofErr w:type="gramStart"/>
      <w:r w:rsidR="00FB43E6" w:rsidRPr="003761A6">
        <w:rPr>
          <w:rFonts w:asciiTheme="minorHAnsi" w:hAnsiTheme="minorHAnsi" w:cstheme="minorHAnsi"/>
          <w:i/>
          <w:iCs/>
          <w:color w:val="000000"/>
        </w:rPr>
        <w:t>A</w:t>
      </w:r>
      <w:proofErr w:type="gramEnd"/>
      <w:r w:rsidR="00FB43E6" w:rsidRPr="003761A6">
        <w:rPr>
          <w:rFonts w:asciiTheme="minorHAnsi" w:hAnsiTheme="minorHAnsi" w:cstheme="minorHAnsi"/>
          <w:i/>
          <w:iCs/>
          <w:color w:val="000000"/>
        </w:rPr>
        <w:t xml:space="preserve"> Stake In Its F1 Team</w:t>
      </w:r>
      <w:r w:rsidR="00FB43E6" w:rsidRPr="003761A6">
        <w:rPr>
          <w:rFonts w:asciiTheme="minorHAnsi" w:hAnsiTheme="minorHAnsi" w:cstheme="minorHAnsi"/>
          <w:color w:val="000000"/>
        </w:rPr>
        <w:t>. [online] Forbes. Available at: https://www.forbes.com/sites/csylt/2020/06/23/the-real-reason-mclaren-is-considering-selling-a-stake-in-its-f1-team/?sh=554d5d6345f1 [Accessed 12/05/22].</w:t>
      </w:r>
    </w:p>
    <w:p w14:paraId="217E5B55" w14:textId="1466A6F0" w:rsidR="00087942" w:rsidRPr="003761A6" w:rsidRDefault="00FB43E6" w:rsidP="00E56921">
      <w:pPr>
        <w:pStyle w:val="NormalWeb"/>
        <w:rPr>
          <w:rFonts w:asciiTheme="minorHAnsi" w:hAnsiTheme="minorHAnsi" w:cstheme="minorHAnsi"/>
          <w:color w:val="000000"/>
        </w:rPr>
      </w:pPr>
      <w:r w:rsidRPr="003761A6">
        <w:rPr>
          <w:rFonts w:asciiTheme="minorHAnsi" w:hAnsiTheme="minorHAnsi" w:cstheme="minorHAnsi"/>
          <w:color w:val="000000"/>
        </w:rPr>
        <w:t>‌</w:t>
      </w:r>
      <w:r w:rsidR="00087942" w:rsidRPr="003761A6">
        <w:rPr>
          <w:rFonts w:asciiTheme="minorHAnsi" w:hAnsiTheme="minorHAnsi" w:cstheme="minorHAnsi"/>
          <w:color w:val="000000"/>
        </w:rPr>
        <w:t>Zhang, S. (2022). </w:t>
      </w:r>
      <w:r w:rsidR="00087942" w:rsidRPr="003761A6">
        <w:rPr>
          <w:rFonts w:asciiTheme="minorHAnsi" w:hAnsiTheme="minorHAnsi" w:cstheme="minorHAnsi"/>
          <w:i/>
          <w:iCs/>
          <w:color w:val="000000"/>
        </w:rPr>
        <w:t>The Strategy for McLaren to Change its Current Market Situation</w:t>
      </w:r>
      <w:r w:rsidR="00087942" w:rsidRPr="003761A6">
        <w:rPr>
          <w:rFonts w:asciiTheme="minorHAnsi" w:hAnsiTheme="minorHAnsi" w:cstheme="minorHAnsi"/>
          <w:color w:val="000000"/>
        </w:rPr>
        <w:t>. [online] www.atlantis-press.com. doi:10.2991/aebmr.k.220405.142.</w:t>
      </w:r>
    </w:p>
    <w:p w14:paraId="0782A113" w14:textId="77777777" w:rsidR="00087942" w:rsidRPr="003761A6" w:rsidRDefault="00087942" w:rsidP="00087942">
      <w:pPr>
        <w:pStyle w:val="NormalWeb"/>
        <w:rPr>
          <w:rFonts w:asciiTheme="minorHAnsi" w:hAnsiTheme="minorHAnsi" w:cstheme="minorHAnsi"/>
          <w:color w:val="000000"/>
        </w:rPr>
      </w:pPr>
      <w:r w:rsidRPr="003761A6">
        <w:rPr>
          <w:rFonts w:asciiTheme="minorHAnsi" w:hAnsiTheme="minorHAnsi" w:cstheme="minorHAnsi"/>
          <w:color w:val="000000"/>
        </w:rPr>
        <w:t>‌</w:t>
      </w:r>
    </w:p>
    <w:p w14:paraId="5DE8AF81" w14:textId="77777777" w:rsidR="00D87CE1" w:rsidRDefault="00D87CE1">
      <w:pPr>
        <w:rPr>
          <w:rFonts w:ascii="Calibri" w:eastAsia="Times New Roman" w:hAnsi="Calibri" w:cs="Calibri"/>
          <w:color w:val="000000"/>
          <w:sz w:val="27"/>
          <w:szCs w:val="27"/>
          <w:lang w:eastAsia="en-GB"/>
        </w:rPr>
      </w:pPr>
      <w:r>
        <w:rPr>
          <w:rFonts w:ascii="Calibri" w:hAnsi="Calibri" w:cs="Calibri"/>
          <w:color w:val="000000"/>
          <w:sz w:val="27"/>
          <w:szCs w:val="27"/>
        </w:rPr>
        <w:br w:type="page"/>
      </w:r>
    </w:p>
    <w:p w14:paraId="6F8CEAD5" w14:textId="75FC82A1" w:rsidR="001C6AF2" w:rsidRDefault="00F33C47" w:rsidP="001C6AF2">
      <w:pPr>
        <w:pStyle w:val="NormalWeb"/>
        <w:rPr>
          <w:rFonts w:ascii="Calibri" w:hAnsi="Calibri" w:cs="Calibri"/>
          <w:color w:val="000000"/>
          <w:sz w:val="44"/>
          <w:szCs w:val="44"/>
        </w:rPr>
      </w:pPr>
      <w:r w:rsidRPr="00A12E3A">
        <w:rPr>
          <w:rFonts w:ascii="Calibri" w:hAnsi="Calibri" w:cs="Calibri"/>
          <w:color w:val="000000"/>
          <w:sz w:val="44"/>
          <w:szCs w:val="44"/>
        </w:rPr>
        <w:lastRenderedPageBreak/>
        <w:t xml:space="preserve">Appendix </w:t>
      </w:r>
    </w:p>
    <w:p w14:paraId="732C53CB" w14:textId="5D461FCF" w:rsidR="004B59A2" w:rsidRPr="004B59A2" w:rsidRDefault="004B59A2" w:rsidP="001C6AF2">
      <w:pPr>
        <w:pStyle w:val="NormalWeb"/>
        <w:rPr>
          <w:rFonts w:ascii="Calibri" w:hAnsi="Calibri" w:cs="Calibri"/>
          <w:color w:val="000000"/>
        </w:rPr>
      </w:pPr>
      <w:r>
        <w:rPr>
          <w:rFonts w:ascii="Calibri" w:hAnsi="Calibri" w:cs="Calibri"/>
          <w:color w:val="000000"/>
        </w:rPr>
        <w:t>Appendix 1 financial model used to generate ratios</w:t>
      </w:r>
    </w:p>
    <w:p w14:paraId="259992BF" w14:textId="3D660384" w:rsidR="00A12E3A" w:rsidRDefault="00C06DBC" w:rsidP="001C6AF2">
      <w:pPr>
        <w:pStyle w:val="NormalWeb"/>
        <w:rPr>
          <w:rFonts w:ascii="Calibri" w:hAnsi="Calibri" w:cs="Calibri"/>
          <w:color w:val="000000"/>
          <w:sz w:val="27"/>
          <w:szCs w:val="27"/>
        </w:rPr>
      </w:pPr>
      <w:r>
        <w:rPr>
          <w:noProof/>
        </w:rPr>
        <w:drawing>
          <wp:inline distT="0" distB="0" distL="0" distR="0" wp14:anchorId="0DA1B07A" wp14:editId="30B45EA5">
            <wp:extent cx="3500476" cy="2171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503926" cy="2173841"/>
                    </a:xfrm>
                    <a:prstGeom prst="rect">
                      <a:avLst/>
                    </a:prstGeom>
                  </pic:spPr>
                </pic:pic>
              </a:graphicData>
            </a:graphic>
          </wp:inline>
        </w:drawing>
      </w:r>
    </w:p>
    <w:p w14:paraId="006EFA33" w14:textId="202A8465" w:rsidR="00C06DBC" w:rsidRDefault="00C06DBC" w:rsidP="001C6AF2">
      <w:pPr>
        <w:pStyle w:val="NormalWeb"/>
        <w:rPr>
          <w:noProof/>
        </w:rPr>
      </w:pPr>
    </w:p>
    <w:p w14:paraId="1A25E31F" w14:textId="386E7316" w:rsidR="00C06DBC" w:rsidRDefault="00C06DBC" w:rsidP="001C6AF2">
      <w:pPr>
        <w:pStyle w:val="NormalWeb"/>
        <w:rPr>
          <w:rFonts w:ascii="Calibri" w:hAnsi="Calibri" w:cs="Calibri"/>
          <w:color w:val="000000"/>
          <w:sz w:val="32"/>
          <w:szCs w:val="32"/>
        </w:rPr>
      </w:pPr>
      <w:r>
        <w:rPr>
          <w:noProof/>
        </w:rPr>
        <w:drawing>
          <wp:inline distT="0" distB="0" distL="0" distR="0" wp14:anchorId="0041F2FB" wp14:editId="129FBCB5">
            <wp:extent cx="4122420" cy="422244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124369" cy="4224439"/>
                    </a:xfrm>
                    <a:prstGeom prst="rect">
                      <a:avLst/>
                    </a:prstGeom>
                  </pic:spPr>
                </pic:pic>
              </a:graphicData>
            </a:graphic>
          </wp:inline>
        </w:drawing>
      </w:r>
    </w:p>
    <w:p w14:paraId="403B50CC" w14:textId="77777777" w:rsidR="00C06DBC" w:rsidRDefault="00C06DBC" w:rsidP="001C6AF2">
      <w:pPr>
        <w:pStyle w:val="NormalWeb"/>
        <w:rPr>
          <w:rFonts w:ascii="Calibri" w:hAnsi="Calibri" w:cs="Calibri"/>
          <w:color w:val="000000"/>
          <w:sz w:val="32"/>
          <w:szCs w:val="32"/>
        </w:rPr>
      </w:pPr>
    </w:p>
    <w:p w14:paraId="692FF172" w14:textId="36D0E0CE" w:rsidR="00C06DBC" w:rsidRDefault="00C06DBC">
      <w:pPr>
        <w:rPr>
          <w:rFonts w:ascii="Calibri" w:hAnsi="Calibri" w:cs="Calibri"/>
          <w:color w:val="000000"/>
          <w:sz w:val="32"/>
          <w:szCs w:val="32"/>
        </w:rPr>
      </w:pPr>
      <w:r>
        <w:rPr>
          <w:rFonts w:ascii="Calibri" w:hAnsi="Calibri" w:cs="Calibri"/>
          <w:color w:val="000000"/>
          <w:sz w:val="32"/>
          <w:szCs w:val="32"/>
        </w:rPr>
        <w:br w:type="page"/>
      </w:r>
    </w:p>
    <w:p w14:paraId="064D099E" w14:textId="5476B083" w:rsidR="005827DD" w:rsidRDefault="005827DD">
      <w:pPr>
        <w:rPr>
          <w:rFonts w:ascii="Calibri" w:hAnsi="Calibri" w:cs="Calibri"/>
          <w:color w:val="000000"/>
          <w:sz w:val="32"/>
          <w:szCs w:val="32"/>
        </w:rPr>
      </w:pPr>
    </w:p>
    <w:p w14:paraId="685E81AE" w14:textId="0CD57EBB" w:rsidR="005827DD" w:rsidRPr="005827DD" w:rsidRDefault="004B59A2">
      <w:pPr>
        <w:rPr>
          <w:rFonts w:ascii="Calibri" w:eastAsia="Times New Roman" w:hAnsi="Calibri" w:cs="Calibri"/>
          <w:b/>
          <w:bCs/>
          <w:color w:val="000000"/>
          <w:sz w:val="32"/>
          <w:szCs w:val="32"/>
          <w:lang w:eastAsia="en-GB"/>
        </w:rPr>
      </w:pPr>
      <w:r>
        <w:rPr>
          <w:rFonts w:ascii="Calibri" w:hAnsi="Calibri" w:cs="Calibri"/>
          <w:b/>
          <w:bCs/>
          <w:color w:val="000000"/>
          <w:sz w:val="32"/>
          <w:szCs w:val="32"/>
        </w:rPr>
        <w:t xml:space="preserve">Appendix 2 </w:t>
      </w:r>
      <w:r w:rsidR="005827DD" w:rsidRPr="005827DD">
        <w:rPr>
          <w:rFonts w:ascii="Calibri" w:hAnsi="Calibri" w:cs="Calibri"/>
          <w:b/>
          <w:bCs/>
          <w:color w:val="000000"/>
          <w:sz w:val="32"/>
          <w:szCs w:val="32"/>
        </w:rPr>
        <w:t>Ratio equations</w:t>
      </w:r>
      <w:r>
        <w:rPr>
          <w:rFonts w:ascii="Calibri" w:hAnsi="Calibri" w:cs="Calibri"/>
          <w:b/>
          <w:bCs/>
          <w:color w:val="000000"/>
          <w:sz w:val="32"/>
          <w:szCs w:val="32"/>
        </w:rPr>
        <w:t xml:space="preserve"> </w:t>
      </w:r>
    </w:p>
    <w:p w14:paraId="137493B9" w14:textId="0D70F45E" w:rsidR="005827DD" w:rsidRDefault="005827DD">
      <w:pPr>
        <w:rPr>
          <w:rFonts w:ascii="Calibri" w:eastAsia="Times New Roman" w:hAnsi="Calibri" w:cs="Calibri"/>
          <w:color w:val="000000"/>
          <w:sz w:val="32"/>
          <w:szCs w:val="32"/>
          <w:lang w:eastAsia="en-GB"/>
        </w:rPr>
      </w:pPr>
      <w:r>
        <w:rPr>
          <w:noProof/>
        </w:rPr>
        <w:drawing>
          <wp:inline distT="0" distB="0" distL="0" distR="0" wp14:anchorId="415B67A1" wp14:editId="15171A4A">
            <wp:extent cx="5334000" cy="73723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34000" cy="7372350"/>
                    </a:xfrm>
                    <a:prstGeom prst="rect">
                      <a:avLst/>
                    </a:prstGeom>
                  </pic:spPr>
                </pic:pic>
              </a:graphicData>
            </a:graphic>
          </wp:inline>
        </w:drawing>
      </w:r>
      <w:r>
        <w:rPr>
          <w:rFonts w:ascii="Calibri" w:hAnsi="Calibri" w:cs="Calibri"/>
          <w:color w:val="000000"/>
          <w:sz w:val="32"/>
          <w:szCs w:val="32"/>
        </w:rPr>
        <w:br w:type="page"/>
      </w:r>
    </w:p>
    <w:p w14:paraId="7D88A943" w14:textId="53BD0E41" w:rsidR="009F032F" w:rsidRPr="004B59A2" w:rsidRDefault="004B59A2" w:rsidP="001C6AF2">
      <w:pPr>
        <w:pStyle w:val="NormalWeb"/>
        <w:rPr>
          <w:rFonts w:ascii="Calibri" w:hAnsi="Calibri" w:cs="Calibri"/>
          <w:color w:val="000000"/>
        </w:rPr>
      </w:pPr>
      <w:r>
        <w:rPr>
          <w:rFonts w:ascii="Calibri" w:hAnsi="Calibri" w:cs="Calibri"/>
          <w:color w:val="000000"/>
          <w:sz w:val="32"/>
          <w:szCs w:val="32"/>
        </w:rPr>
        <w:lastRenderedPageBreak/>
        <w:t xml:space="preserve">Appendix </w:t>
      </w:r>
      <w:r w:rsidRPr="004B59A2">
        <w:rPr>
          <w:rFonts w:ascii="Calibri" w:hAnsi="Calibri" w:cs="Calibri"/>
          <w:color w:val="000000"/>
          <w:sz w:val="32"/>
          <w:szCs w:val="32"/>
        </w:rPr>
        <w:t>3</w:t>
      </w:r>
      <w:r>
        <w:rPr>
          <w:rFonts w:ascii="Calibri" w:hAnsi="Calibri" w:cs="Calibri"/>
          <w:color w:val="000000"/>
          <w:sz w:val="32"/>
          <w:szCs w:val="32"/>
        </w:rPr>
        <w:t>:</w:t>
      </w:r>
      <w:r w:rsidRPr="004B59A2">
        <w:rPr>
          <w:rFonts w:ascii="Calibri" w:hAnsi="Calibri" w:cs="Calibri"/>
          <w:color w:val="000000"/>
          <w:sz w:val="32"/>
          <w:szCs w:val="32"/>
        </w:rPr>
        <w:t xml:space="preserve"> Statements</w:t>
      </w:r>
      <w:r>
        <w:rPr>
          <w:rFonts w:ascii="Calibri" w:hAnsi="Calibri" w:cs="Calibri"/>
          <w:color w:val="000000"/>
          <w:sz w:val="32"/>
          <w:szCs w:val="32"/>
        </w:rPr>
        <w:t xml:space="preserve"> </w:t>
      </w:r>
      <w:r w:rsidR="009F032F" w:rsidRPr="004B59A2">
        <w:rPr>
          <w:rFonts w:ascii="Calibri" w:hAnsi="Calibri" w:cs="Calibri"/>
          <w:color w:val="000000"/>
          <w:sz w:val="32"/>
          <w:szCs w:val="32"/>
        </w:rPr>
        <w:t>Years 2019</w:t>
      </w:r>
      <w:r w:rsidR="009F032F">
        <w:rPr>
          <w:rFonts w:ascii="Calibri" w:hAnsi="Calibri" w:cs="Calibri"/>
          <w:color w:val="000000"/>
          <w:sz w:val="32"/>
          <w:szCs w:val="32"/>
        </w:rPr>
        <w:t>-2020</w:t>
      </w:r>
    </w:p>
    <w:p w14:paraId="51321D0D" w14:textId="78E5CAF8" w:rsidR="001C6AF2" w:rsidRDefault="00A12E3A" w:rsidP="004D49DE">
      <w:pPr>
        <w:pStyle w:val="NormalWeb"/>
        <w:spacing w:before="0" w:beforeAutospacing="0" w:after="0" w:afterAutospacing="0" w:line="360" w:lineRule="atLeast"/>
        <w:rPr>
          <w:rFonts w:ascii="Calibri" w:hAnsi="Calibri" w:cs="Calibri"/>
          <w:color w:val="000000"/>
          <w:sz w:val="27"/>
          <w:szCs w:val="27"/>
        </w:rPr>
      </w:pPr>
      <w:r>
        <w:rPr>
          <w:noProof/>
        </w:rPr>
        <w:drawing>
          <wp:inline distT="0" distB="0" distL="0" distR="0" wp14:anchorId="22A87D3D" wp14:editId="325834A4">
            <wp:extent cx="3855720" cy="39518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861608" cy="3957869"/>
                    </a:xfrm>
                    <a:prstGeom prst="rect">
                      <a:avLst/>
                    </a:prstGeom>
                  </pic:spPr>
                </pic:pic>
              </a:graphicData>
            </a:graphic>
          </wp:inline>
        </w:drawing>
      </w:r>
    </w:p>
    <w:p w14:paraId="456B5D91" w14:textId="77777777" w:rsidR="004D49DE" w:rsidRDefault="004D49DE" w:rsidP="004D49D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6D820D0E" w14:textId="15CB7F15" w:rsidR="004D49DE" w:rsidRDefault="00A12E3A" w:rsidP="004D49DE">
      <w:pPr>
        <w:pStyle w:val="NormalWeb"/>
        <w:spacing w:before="0" w:beforeAutospacing="0" w:after="0" w:afterAutospacing="0" w:line="360" w:lineRule="atLeast"/>
        <w:rPr>
          <w:rFonts w:ascii="Calibri" w:hAnsi="Calibri" w:cs="Calibri"/>
          <w:color w:val="000000"/>
          <w:sz w:val="27"/>
          <w:szCs w:val="27"/>
        </w:rPr>
      </w:pPr>
      <w:r>
        <w:rPr>
          <w:noProof/>
        </w:rPr>
        <w:drawing>
          <wp:inline distT="0" distB="0" distL="0" distR="0" wp14:anchorId="0ED63EBE" wp14:editId="7CE85469">
            <wp:extent cx="3985260" cy="29052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990902" cy="2909388"/>
                    </a:xfrm>
                    <a:prstGeom prst="rect">
                      <a:avLst/>
                    </a:prstGeom>
                  </pic:spPr>
                </pic:pic>
              </a:graphicData>
            </a:graphic>
          </wp:inline>
        </w:drawing>
      </w:r>
    </w:p>
    <w:p w14:paraId="3AD6F630" w14:textId="6DB439F6" w:rsidR="00A12E3A" w:rsidRDefault="00A12E3A" w:rsidP="004D49DE">
      <w:pPr>
        <w:pStyle w:val="NormalWeb"/>
        <w:spacing w:before="0" w:beforeAutospacing="0" w:after="0" w:afterAutospacing="0" w:line="360" w:lineRule="atLeast"/>
        <w:rPr>
          <w:rFonts w:ascii="Calibri" w:hAnsi="Calibri" w:cs="Calibri"/>
          <w:color w:val="000000"/>
          <w:sz w:val="27"/>
          <w:szCs w:val="27"/>
        </w:rPr>
      </w:pPr>
      <w:r>
        <w:rPr>
          <w:noProof/>
        </w:rPr>
        <w:lastRenderedPageBreak/>
        <w:drawing>
          <wp:inline distT="0" distB="0" distL="0" distR="0" wp14:anchorId="6A5C5C4D" wp14:editId="77FB425E">
            <wp:extent cx="4533900" cy="64293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533900" cy="6429375"/>
                    </a:xfrm>
                    <a:prstGeom prst="rect">
                      <a:avLst/>
                    </a:prstGeom>
                  </pic:spPr>
                </pic:pic>
              </a:graphicData>
            </a:graphic>
          </wp:inline>
        </w:drawing>
      </w:r>
    </w:p>
    <w:p w14:paraId="36207799" w14:textId="1698EB59" w:rsidR="00A12E3A" w:rsidRDefault="00A12E3A" w:rsidP="004D49DE">
      <w:pPr>
        <w:pStyle w:val="NormalWeb"/>
        <w:spacing w:before="0" w:beforeAutospacing="0" w:after="0" w:afterAutospacing="0" w:line="360" w:lineRule="atLeast"/>
        <w:rPr>
          <w:rFonts w:ascii="Calibri" w:hAnsi="Calibri" w:cs="Calibri"/>
          <w:color w:val="000000"/>
          <w:sz w:val="27"/>
          <w:szCs w:val="27"/>
        </w:rPr>
      </w:pPr>
    </w:p>
    <w:p w14:paraId="038962BE" w14:textId="2AA6C544" w:rsidR="00A12E3A" w:rsidRDefault="00A12E3A" w:rsidP="004D49DE">
      <w:pPr>
        <w:pStyle w:val="NormalWeb"/>
        <w:spacing w:before="0" w:beforeAutospacing="0" w:after="0" w:afterAutospacing="0" w:line="360" w:lineRule="atLeast"/>
        <w:rPr>
          <w:rFonts w:ascii="Calibri" w:hAnsi="Calibri" w:cs="Calibri"/>
          <w:color w:val="000000"/>
          <w:sz w:val="27"/>
          <w:szCs w:val="27"/>
        </w:rPr>
      </w:pPr>
      <w:r>
        <w:rPr>
          <w:noProof/>
        </w:rPr>
        <w:lastRenderedPageBreak/>
        <w:drawing>
          <wp:inline distT="0" distB="0" distL="0" distR="0" wp14:anchorId="590AB73E" wp14:editId="7D2E04A9">
            <wp:extent cx="4333875" cy="57626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333875" cy="5762625"/>
                    </a:xfrm>
                    <a:prstGeom prst="rect">
                      <a:avLst/>
                    </a:prstGeom>
                  </pic:spPr>
                </pic:pic>
              </a:graphicData>
            </a:graphic>
          </wp:inline>
        </w:drawing>
      </w:r>
    </w:p>
    <w:p w14:paraId="5AEA8F54" w14:textId="73896A3F" w:rsidR="00A12E3A" w:rsidRDefault="00A12E3A" w:rsidP="004D49DE">
      <w:pPr>
        <w:pStyle w:val="NormalWeb"/>
        <w:spacing w:before="0" w:beforeAutospacing="0" w:after="0" w:afterAutospacing="0" w:line="360" w:lineRule="atLeast"/>
        <w:rPr>
          <w:rFonts w:ascii="Calibri" w:hAnsi="Calibri" w:cs="Calibri"/>
          <w:color w:val="000000"/>
          <w:sz w:val="27"/>
          <w:szCs w:val="27"/>
        </w:rPr>
      </w:pPr>
    </w:p>
    <w:p w14:paraId="79BDDFD4" w14:textId="3E413AA9" w:rsidR="00A12E3A" w:rsidRDefault="00A12E3A" w:rsidP="004D49DE">
      <w:pPr>
        <w:pStyle w:val="NormalWeb"/>
        <w:spacing w:before="0" w:beforeAutospacing="0" w:after="0" w:afterAutospacing="0" w:line="360" w:lineRule="atLeast"/>
        <w:rPr>
          <w:rFonts w:ascii="Calibri" w:hAnsi="Calibri" w:cs="Calibri"/>
          <w:color w:val="000000"/>
          <w:sz w:val="27"/>
          <w:szCs w:val="27"/>
        </w:rPr>
      </w:pPr>
      <w:r>
        <w:rPr>
          <w:noProof/>
        </w:rPr>
        <w:lastRenderedPageBreak/>
        <w:drawing>
          <wp:inline distT="0" distB="0" distL="0" distR="0" wp14:anchorId="6B7D481F" wp14:editId="6975B29D">
            <wp:extent cx="3459058" cy="46939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461250" cy="4696895"/>
                    </a:xfrm>
                    <a:prstGeom prst="rect">
                      <a:avLst/>
                    </a:prstGeom>
                  </pic:spPr>
                </pic:pic>
              </a:graphicData>
            </a:graphic>
          </wp:inline>
        </w:drawing>
      </w:r>
    </w:p>
    <w:p w14:paraId="67742861" w14:textId="4CAF60D2" w:rsidR="00A12E3A" w:rsidRDefault="00A12E3A" w:rsidP="004D49DE">
      <w:pPr>
        <w:pStyle w:val="NormalWeb"/>
        <w:spacing w:before="0" w:beforeAutospacing="0" w:after="0" w:afterAutospacing="0" w:line="360" w:lineRule="atLeast"/>
        <w:rPr>
          <w:rFonts w:ascii="Calibri" w:hAnsi="Calibri" w:cs="Calibri"/>
          <w:color w:val="000000"/>
          <w:sz w:val="27"/>
          <w:szCs w:val="27"/>
        </w:rPr>
      </w:pPr>
      <w:r>
        <w:rPr>
          <w:noProof/>
        </w:rPr>
        <w:drawing>
          <wp:inline distT="0" distB="0" distL="0" distR="0" wp14:anchorId="7F2237F9" wp14:editId="63522E8A">
            <wp:extent cx="4543425" cy="36004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543425" cy="3600450"/>
                    </a:xfrm>
                    <a:prstGeom prst="rect">
                      <a:avLst/>
                    </a:prstGeom>
                  </pic:spPr>
                </pic:pic>
              </a:graphicData>
            </a:graphic>
          </wp:inline>
        </w:drawing>
      </w:r>
    </w:p>
    <w:p w14:paraId="44EED6D9" w14:textId="77777777" w:rsidR="00A12E3A" w:rsidRDefault="00A12E3A" w:rsidP="004D49DE">
      <w:pPr>
        <w:pStyle w:val="NormalWeb"/>
        <w:spacing w:before="0" w:beforeAutospacing="0" w:after="0" w:afterAutospacing="0" w:line="360" w:lineRule="atLeast"/>
        <w:rPr>
          <w:rFonts w:ascii="Calibri" w:hAnsi="Calibri" w:cs="Calibri"/>
          <w:color w:val="000000"/>
          <w:sz w:val="27"/>
          <w:szCs w:val="27"/>
        </w:rPr>
      </w:pPr>
    </w:p>
    <w:p w14:paraId="03336BF5" w14:textId="43CE18B0" w:rsidR="00A74DA1" w:rsidRDefault="00A74DA1" w:rsidP="004D49DE">
      <w:pPr>
        <w:pStyle w:val="NormalWeb"/>
        <w:spacing w:before="0" w:beforeAutospacing="0" w:after="0" w:afterAutospacing="0" w:line="360" w:lineRule="atLeast"/>
        <w:rPr>
          <w:rFonts w:ascii="Calibri" w:hAnsi="Calibri" w:cs="Calibri"/>
          <w:color w:val="000000"/>
          <w:sz w:val="27"/>
          <w:szCs w:val="27"/>
        </w:rPr>
      </w:pPr>
    </w:p>
    <w:p w14:paraId="0655A0E8" w14:textId="1DAB0171" w:rsidR="009F032F" w:rsidRPr="00A5469B" w:rsidRDefault="004B59A2" w:rsidP="004D49DE">
      <w:pPr>
        <w:pStyle w:val="NormalWeb"/>
        <w:spacing w:before="0" w:beforeAutospacing="0" w:after="0" w:afterAutospacing="0" w:line="360" w:lineRule="atLeast"/>
        <w:rPr>
          <w:rFonts w:ascii="Calibri" w:hAnsi="Calibri" w:cs="Calibri"/>
          <w:color w:val="000000"/>
          <w:sz w:val="32"/>
          <w:szCs w:val="32"/>
        </w:rPr>
      </w:pPr>
      <w:r>
        <w:rPr>
          <w:rFonts w:ascii="Calibri" w:hAnsi="Calibri" w:cs="Calibri"/>
          <w:color w:val="000000"/>
          <w:sz w:val="32"/>
          <w:szCs w:val="32"/>
        </w:rPr>
        <w:lastRenderedPageBreak/>
        <w:t xml:space="preserve">Appendix 4 statements for </w:t>
      </w:r>
      <w:r w:rsidR="009F032F" w:rsidRPr="00A5469B">
        <w:rPr>
          <w:rFonts w:ascii="Calibri" w:hAnsi="Calibri" w:cs="Calibri"/>
          <w:color w:val="000000"/>
          <w:sz w:val="32"/>
          <w:szCs w:val="32"/>
        </w:rPr>
        <w:t>Year 2021</w:t>
      </w:r>
    </w:p>
    <w:p w14:paraId="630A933B" w14:textId="77777777" w:rsidR="00A5469B" w:rsidRDefault="00A5469B" w:rsidP="00A5469B">
      <w:pPr>
        <w:pStyle w:val="NormalWeb"/>
        <w:rPr>
          <w:noProof/>
        </w:rPr>
      </w:pPr>
      <w:r>
        <w:rPr>
          <w:noProof/>
        </w:rPr>
        <w:drawing>
          <wp:anchor distT="0" distB="0" distL="114300" distR="114300" simplePos="0" relativeHeight="251655168" behindDoc="1" locked="0" layoutInCell="1" allowOverlap="1" wp14:anchorId="2D6B1DC1" wp14:editId="62D0477C">
            <wp:simplePos x="0" y="0"/>
            <wp:positionH relativeFrom="column">
              <wp:posOffset>-419100</wp:posOffset>
            </wp:positionH>
            <wp:positionV relativeFrom="paragraph">
              <wp:posOffset>173990</wp:posOffset>
            </wp:positionV>
            <wp:extent cx="3561715" cy="4999990"/>
            <wp:effectExtent l="0" t="0" r="0" b="0"/>
            <wp:wrapTight wrapText="bothSides">
              <wp:wrapPolygon edited="0">
                <wp:start x="0" y="0"/>
                <wp:lineTo x="0" y="21479"/>
                <wp:lineTo x="21488" y="21479"/>
                <wp:lineTo x="2148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3561715" cy="4999990"/>
                    </a:xfrm>
                    <a:prstGeom prst="rect">
                      <a:avLst/>
                    </a:prstGeom>
                  </pic:spPr>
                </pic:pic>
              </a:graphicData>
            </a:graphic>
            <wp14:sizeRelH relativeFrom="margin">
              <wp14:pctWidth>0</wp14:pctWidth>
            </wp14:sizeRelH>
            <wp14:sizeRelV relativeFrom="margin">
              <wp14:pctHeight>0</wp14:pctHeight>
            </wp14:sizeRelV>
          </wp:anchor>
        </w:drawing>
      </w:r>
      <w:r w:rsidR="004D49DE">
        <w:rPr>
          <w:rFonts w:ascii="Calibri" w:hAnsi="Calibri" w:cs="Calibri"/>
          <w:color w:val="000000"/>
          <w:sz w:val="27"/>
          <w:szCs w:val="27"/>
        </w:rPr>
        <w:t>‌</w:t>
      </w:r>
    </w:p>
    <w:p w14:paraId="6E236CC6" w14:textId="77777777" w:rsidR="00A5469B" w:rsidRDefault="00A5469B" w:rsidP="00A5469B">
      <w:pPr>
        <w:pStyle w:val="NormalWeb"/>
        <w:rPr>
          <w:noProof/>
        </w:rPr>
      </w:pPr>
    </w:p>
    <w:p w14:paraId="10E26538" w14:textId="27BF3A11" w:rsidR="00A5469B" w:rsidRPr="00A5469B" w:rsidRDefault="00A5469B" w:rsidP="00A5469B">
      <w:pPr>
        <w:pStyle w:val="NormalWeb"/>
        <w:rPr>
          <w:rFonts w:ascii="Calibri" w:hAnsi="Calibri" w:cs="Calibri"/>
          <w:color w:val="000000"/>
          <w:sz w:val="27"/>
          <w:szCs w:val="27"/>
        </w:rPr>
      </w:pPr>
      <w:r>
        <w:rPr>
          <w:noProof/>
        </w:rPr>
        <w:drawing>
          <wp:inline distT="0" distB="0" distL="0" distR="0" wp14:anchorId="37F2A167" wp14:editId="6B535AB4">
            <wp:extent cx="3848475" cy="56991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869153" cy="5729747"/>
                    </a:xfrm>
                    <a:prstGeom prst="rect">
                      <a:avLst/>
                    </a:prstGeom>
                  </pic:spPr>
                </pic:pic>
              </a:graphicData>
            </a:graphic>
          </wp:inline>
        </w:drawing>
      </w:r>
    </w:p>
    <w:p w14:paraId="3CFFAD40" w14:textId="37A64FB6" w:rsidR="00A5469B" w:rsidRDefault="00A5469B"/>
    <w:p w14:paraId="024CBC55" w14:textId="54E1B9BB" w:rsidR="00A5469B" w:rsidRDefault="00A5469B"/>
    <w:p w14:paraId="729F2542" w14:textId="50765F63" w:rsidR="00A5469B" w:rsidRDefault="00A5469B">
      <w:r>
        <w:rPr>
          <w:noProof/>
        </w:rPr>
        <w:lastRenderedPageBreak/>
        <w:drawing>
          <wp:anchor distT="0" distB="0" distL="114300" distR="114300" simplePos="0" relativeHeight="251656192" behindDoc="1" locked="0" layoutInCell="1" allowOverlap="1" wp14:anchorId="4BC7942F" wp14:editId="77CB927D">
            <wp:simplePos x="0" y="0"/>
            <wp:positionH relativeFrom="column">
              <wp:posOffset>0</wp:posOffset>
            </wp:positionH>
            <wp:positionV relativeFrom="paragraph">
              <wp:posOffset>0</wp:posOffset>
            </wp:positionV>
            <wp:extent cx="3370580" cy="5074920"/>
            <wp:effectExtent l="0" t="0" r="0" b="0"/>
            <wp:wrapTight wrapText="bothSides">
              <wp:wrapPolygon edited="0">
                <wp:start x="0" y="0"/>
                <wp:lineTo x="0" y="21486"/>
                <wp:lineTo x="21486" y="21486"/>
                <wp:lineTo x="2148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3370580" cy="50749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50AD4561" wp14:editId="57BFC337">
            <wp:extent cx="3334385" cy="517398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349264" cy="5197068"/>
                    </a:xfrm>
                    <a:prstGeom prst="rect">
                      <a:avLst/>
                    </a:prstGeom>
                  </pic:spPr>
                </pic:pic>
              </a:graphicData>
            </a:graphic>
          </wp:inline>
        </w:drawing>
      </w:r>
    </w:p>
    <w:sectPr w:rsidR="00A5469B" w:rsidSect="005E5C7E">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DDC5D" w14:textId="77777777" w:rsidR="00CC1175" w:rsidRDefault="00CC1175" w:rsidP="002603F8">
      <w:pPr>
        <w:spacing w:after="0" w:line="240" w:lineRule="auto"/>
      </w:pPr>
      <w:r>
        <w:separator/>
      </w:r>
    </w:p>
  </w:endnote>
  <w:endnote w:type="continuationSeparator" w:id="0">
    <w:p w14:paraId="38DDEE2A" w14:textId="77777777" w:rsidR="00CC1175" w:rsidRDefault="00CC1175" w:rsidP="002603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4630033"/>
      <w:docPartObj>
        <w:docPartGallery w:val="Page Numbers (Bottom of Page)"/>
        <w:docPartUnique/>
      </w:docPartObj>
    </w:sdtPr>
    <w:sdtEndPr>
      <w:rPr>
        <w:noProof/>
      </w:rPr>
    </w:sdtEndPr>
    <w:sdtContent>
      <w:p w14:paraId="07422650" w14:textId="77777777" w:rsidR="002603F8" w:rsidRDefault="002603F8">
        <w:pPr>
          <w:pStyle w:val="Footer"/>
          <w:jc w:val="center"/>
        </w:pPr>
      </w:p>
      <w:p w14:paraId="5FEA8D6E" w14:textId="14D33FC5" w:rsidR="002603F8" w:rsidRDefault="002603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8EEDF6" w14:textId="77777777" w:rsidR="002603F8" w:rsidRDefault="002603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6FEE76" w14:textId="77777777" w:rsidR="00CC1175" w:rsidRDefault="00CC1175" w:rsidP="002603F8">
      <w:pPr>
        <w:spacing w:after="0" w:line="240" w:lineRule="auto"/>
      </w:pPr>
      <w:r>
        <w:separator/>
      </w:r>
    </w:p>
  </w:footnote>
  <w:footnote w:type="continuationSeparator" w:id="0">
    <w:p w14:paraId="0FC1E383" w14:textId="77777777" w:rsidR="00CC1175" w:rsidRDefault="00CC1175" w:rsidP="002603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A78EB"/>
    <w:rsid w:val="000247A5"/>
    <w:rsid w:val="0002690A"/>
    <w:rsid w:val="0003005A"/>
    <w:rsid w:val="000335E0"/>
    <w:rsid w:val="00044723"/>
    <w:rsid w:val="000541F6"/>
    <w:rsid w:val="00054580"/>
    <w:rsid w:val="00070D75"/>
    <w:rsid w:val="00087942"/>
    <w:rsid w:val="000A172C"/>
    <w:rsid w:val="000C707C"/>
    <w:rsid w:val="000E488E"/>
    <w:rsid w:val="001012A0"/>
    <w:rsid w:val="001141FC"/>
    <w:rsid w:val="00154B8D"/>
    <w:rsid w:val="0019348E"/>
    <w:rsid w:val="00194C17"/>
    <w:rsid w:val="001B3318"/>
    <w:rsid w:val="001B4D81"/>
    <w:rsid w:val="001C6AF2"/>
    <w:rsid w:val="001E66DF"/>
    <w:rsid w:val="001F3EFC"/>
    <w:rsid w:val="001F4114"/>
    <w:rsid w:val="001F4F7F"/>
    <w:rsid w:val="00206730"/>
    <w:rsid w:val="002502E5"/>
    <w:rsid w:val="002603F8"/>
    <w:rsid w:val="002B0D71"/>
    <w:rsid w:val="002F796E"/>
    <w:rsid w:val="00333203"/>
    <w:rsid w:val="003440BB"/>
    <w:rsid w:val="00364C21"/>
    <w:rsid w:val="00365DDF"/>
    <w:rsid w:val="003761A6"/>
    <w:rsid w:val="003B1E9A"/>
    <w:rsid w:val="003B2AFC"/>
    <w:rsid w:val="003C1120"/>
    <w:rsid w:val="003D0131"/>
    <w:rsid w:val="003D3F6D"/>
    <w:rsid w:val="003D4847"/>
    <w:rsid w:val="00422BA5"/>
    <w:rsid w:val="004745E1"/>
    <w:rsid w:val="004845E5"/>
    <w:rsid w:val="00497042"/>
    <w:rsid w:val="004B59A2"/>
    <w:rsid w:val="004C7A64"/>
    <w:rsid w:val="004D49DE"/>
    <w:rsid w:val="005062D6"/>
    <w:rsid w:val="00516993"/>
    <w:rsid w:val="00575279"/>
    <w:rsid w:val="005827DD"/>
    <w:rsid w:val="005B5DE2"/>
    <w:rsid w:val="005C1597"/>
    <w:rsid w:val="005D7F6F"/>
    <w:rsid w:val="005E5C7E"/>
    <w:rsid w:val="0061169F"/>
    <w:rsid w:val="006116D5"/>
    <w:rsid w:val="00620363"/>
    <w:rsid w:val="00650CCC"/>
    <w:rsid w:val="00662F01"/>
    <w:rsid w:val="006632AF"/>
    <w:rsid w:val="00670C0D"/>
    <w:rsid w:val="00696362"/>
    <w:rsid w:val="0069646E"/>
    <w:rsid w:val="006A0AF6"/>
    <w:rsid w:val="006E01E1"/>
    <w:rsid w:val="006E04CA"/>
    <w:rsid w:val="006E22EF"/>
    <w:rsid w:val="00710A77"/>
    <w:rsid w:val="00716E7A"/>
    <w:rsid w:val="00737885"/>
    <w:rsid w:val="00757373"/>
    <w:rsid w:val="00817E1D"/>
    <w:rsid w:val="00821914"/>
    <w:rsid w:val="00825DDC"/>
    <w:rsid w:val="00831E5C"/>
    <w:rsid w:val="00844B1B"/>
    <w:rsid w:val="0087767C"/>
    <w:rsid w:val="00881565"/>
    <w:rsid w:val="00894242"/>
    <w:rsid w:val="008B57A9"/>
    <w:rsid w:val="008E6F9B"/>
    <w:rsid w:val="009061F0"/>
    <w:rsid w:val="00916BC4"/>
    <w:rsid w:val="009332BF"/>
    <w:rsid w:val="0093715D"/>
    <w:rsid w:val="00943867"/>
    <w:rsid w:val="00977791"/>
    <w:rsid w:val="009C1167"/>
    <w:rsid w:val="009D1729"/>
    <w:rsid w:val="009D21EA"/>
    <w:rsid w:val="009F032F"/>
    <w:rsid w:val="00A12E3A"/>
    <w:rsid w:val="00A25FAF"/>
    <w:rsid w:val="00A5469B"/>
    <w:rsid w:val="00A5493E"/>
    <w:rsid w:val="00A55AEB"/>
    <w:rsid w:val="00A74DA1"/>
    <w:rsid w:val="00A75BA3"/>
    <w:rsid w:val="00A764AC"/>
    <w:rsid w:val="00AC3C53"/>
    <w:rsid w:val="00AE23FA"/>
    <w:rsid w:val="00B121CC"/>
    <w:rsid w:val="00B33108"/>
    <w:rsid w:val="00B54D6D"/>
    <w:rsid w:val="00B71C1C"/>
    <w:rsid w:val="00B92307"/>
    <w:rsid w:val="00BA4B97"/>
    <w:rsid w:val="00BB753B"/>
    <w:rsid w:val="00BC2119"/>
    <w:rsid w:val="00BC5440"/>
    <w:rsid w:val="00BC5C87"/>
    <w:rsid w:val="00BE244D"/>
    <w:rsid w:val="00C06DBC"/>
    <w:rsid w:val="00C9650A"/>
    <w:rsid w:val="00CC1175"/>
    <w:rsid w:val="00CF5255"/>
    <w:rsid w:val="00D0125B"/>
    <w:rsid w:val="00D66402"/>
    <w:rsid w:val="00D87CE1"/>
    <w:rsid w:val="00DA5FF7"/>
    <w:rsid w:val="00DF0936"/>
    <w:rsid w:val="00E055F9"/>
    <w:rsid w:val="00E14572"/>
    <w:rsid w:val="00E159AD"/>
    <w:rsid w:val="00E27414"/>
    <w:rsid w:val="00E56921"/>
    <w:rsid w:val="00E6627D"/>
    <w:rsid w:val="00E818E4"/>
    <w:rsid w:val="00E903A4"/>
    <w:rsid w:val="00E948BB"/>
    <w:rsid w:val="00EA09CE"/>
    <w:rsid w:val="00EA2DA1"/>
    <w:rsid w:val="00EF1EA4"/>
    <w:rsid w:val="00EF3EC3"/>
    <w:rsid w:val="00F33C47"/>
    <w:rsid w:val="00F3744D"/>
    <w:rsid w:val="00F77887"/>
    <w:rsid w:val="00F85A60"/>
    <w:rsid w:val="00FA78EB"/>
    <w:rsid w:val="00FB43E6"/>
    <w:rsid w:val="00FB46DF"/>
    <w:rsid w:val="00FD72C9"/>
    <w:rsid w:val="00FE3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1D818B3E"/>
  <w15:docId w15:val="{84F93BE2-7B6F-4659-A2B9-BADA2236B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C15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C1597"/>
    <w:rPr>
      <w:color w:val="0563C1" w:themeColor="hyperlink"/>
      <w:u w:val="single"/>
    </w:rPr>
  </w:style>
  <w:style w:type="character" w:styleId="UnresolvedMention">
    <w:name w:val="Unresolved Mention"/>
    <w:basedOn w:val="DefaultParagraphFont"/>
    <w:uiPriority w:val="99"/>
    <w:semiHidden/>
    <w:unhideWhenUsed/>
    <w:rsid w:val="005C1597"/>
    <w:rPr>
      <w:color w:val="605E5C"/>
      <w:shd w:val="clear" w:color="auto" w:fill="E1DFDD"/>
    </w:rPr>
  </w:style>
  <w:style w:type="paragraph" w:styleId="Header">
    <w:name w:val="header"/>
    <w:basedOn w:val="Normal"/>
    <w:link w:val="HeaderChar"/>
    <w:uiPriority w:val="99"/>
    <w:unhideWhenUsed/>
    <w:rsid w:val="002603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3F8"/>
  </w:style>
  <w:style w:type="paragraph" w:styleId="Footer">
    <w:name w:val="footer"/>
    <w:basedOn w:val="Normal"/>
    <w:link w:val="FooterChar"/>
    <w:uiPriority w:val="99"/>
    <w:unhideWhenUsed/>
    <w:rsid w:val="002603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3F8"/>
  </w:style>
  <w:style w:type="character" w:styleId="FollowedHyperlink">
    <w:name w:val="FollowedHyperlink"/>
    <w:basedOn w:val="DefaultParagraphFont"/>
    <w:uiPriority w:val="99"/>
    <w:semiHidden/>
    <w:unhideWhenUsed/>
    <w:rsid w:val="001C6AF2"/>
    <w:rPr>
      <w:color w:val="954F72" w:themeColor="followedHyperlink"/>
      <w:u w:val="single"/>
    </w:rPr>
  </w:style>
  <w:style w:type="paragraph" w:customStyle="1" w:styleId="Default">
    <w:name w:val="Default"/>
    <w:rsid w:val="001B4D81"/>
    <w:pPr>
      <w:autoSpaceDE w:val="0"/>
      <w:autoSpaceDN w:val="0"/>
      <w:adjustRightInd w:val="0"/>
      <w:spacing w:after="0" w:line="240" w:lineRule="auto"/>
    </w:pPr>
    <w:rPr>
      <w:rFonts w:ascii="Arial" w:hAnsi="Arial" w:cs="Arial"/>
      <w:color w:val="000000"/>
      <w:sz w:val="24"/>
      <w:szCs w:val="24"/>
    </w:rPr>
  </w:style>
  <w:style w:type="paragraph" w:styleId="NoSpacing">
    <w:name w:val="No Spacing"/>
    <w:link w:val="NoSpacingChar"/>
    <w:uiPriority w:val="1"/>
    <w:qFormat/>
    <w:rsid w:val="005E5C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E5C7E"/>
    <w:rPr>
      <w:rFonts w:eastAsiaTheme="minorEastAsia"/>
      <w:lang w:val="en-US"/>
    </w:rPr>
  </w:style>
  <w:style w:type="character" w:styleId="Emphasis">
    <w:name w:val="Emphasis"/>
    <w:basedOn w:val="DefaultParagraphFont"/>
    <w:uiPriority w:val="20"/>
    <w:qFormat/>
    <w:rsid w:val="001012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78509">
      <w:bodyDiv w:val="1"/>
      <w:marLeft w:val="0"/>
      <w:marRight w:val="0"/>
      <w:marTop w:val="0"/>
      <w:marBottom w:val="0"/>
      <w:divBdr>
        <w:top w:val="none" w:sz="0" w:space="0" w:color="auto"/>
        <w:left w:val="none" w:sz="0" w:space="0" w:color="auto"/>
        <w:bottom w:val="none" w:sz="0" w:space="0" w:color="auto"/>
        <w:right w:val="none" w:sz="0" w:space="0" w:color="auto"/>
      </w:divBdr>
    </w:div>
    <w:div w:id="44379483">
      <w:bodyDiv w:val="1"/>
      <w:marLeft w:val="0"/>
      <w:marRight w:val="0"/>
      <w:marTop w:val="0"/>
      <w:marBottom w:val="0"/>
      <w:divBdr>
        <w:top w:val="none" w:sz="0" w:space="0" w:color="auto"/>
        <w:left w:val="none" w:sz="0" w:space="0" w:color="auto"/>
        <w:bottom w:val="none" w:sz="0" w:space="0" w:color="auto"/>
        <w:right w:val="none" w:sz="0" w:space="0" w:color="auto"/>
      </w:divBdr>
    </w:div>
    <w:div w:id="70279987">
      <w:bodyDiv w:val="1"/>
      <w:marLeft w:val="0"/>
      <w:marRight w:val="0"/>
      <w:marTop w:val="0"/>
      <w:marBottom w:val="0"/>
      <w:divBdr>
        <w:top w:val="none" w:sz="0" w:space="0" w:color="auto"/>
        <w:left w:val="none" w:sz="0" w:space="0" w:color="auto"/>
        <w:bottom w:val="none" w:sz="0" w:space="0" w:color="auto"/>
        <w:right w:val="none" w:sz="0" w:space="0" w:color="auto"/>
      </w:divBdr>
    </w:div>
    <w:div w:id="71124644">
      <w:bodyDiv w:val="1"/>
      <w:marLeft w:val="0"/>
      <w:marRight w:val="0"/>
      <w:marTop w:val="0"/>
      <w:marBottom w:val="0"/>
      <w:divBdr>
        <w:top w:val="none" w:sz="0" w:space="0" w:color="auto"/>
        <w:left w:val="none" w:sz="0" w:space="0" w:color="auto"/>
        <w:bottom w:val="none" w:sz="0" w:space="0" w:color="auto"/>
        <w:right w:val="none" w:sz="0" w:space="0" w:color="auto"/>
      </w:divBdr>
    </w:div>
    <w:div w:id="168719635">
      <w:bodyDiv w:val="1"/>
      <w:marLeft w:val="0"/>
      <w:marRight w:val="0"/>
      <w:marTop w:val="0"/>
      <w:marBottom w:val="0"/>
      <w:divBdr>
        <w:top w:val="none" w:sz="0" w:space="0" w:color="auto"/>
        <w:left w:val="none" w:sz="0" w:space="0" w:color="auto"/>
        <w:bottom w:val="none" w:sz="0" w:space="0" w:color="auto"/>
        <w:right w:val="none" w:sz="0" w:space="0" w:color="auto"/>
      </w:divBdr>
    </w:div>
    <w:div w:id="310912562">
      <w:bodyDiv w:val="1"/>
      <w:marLeft w:val="0"/>
      <w:marRight w:val="0"/>
      <w:marTop w:val="0"/>
      <w:marBottom w:val="0"/>
      <w:divBdr>
        <w:top w:val="none" w:sz="0" w:space="0" w:color="auto"/>
        <w:left w:val="none" w:sz="0" w:space="0" w:color="auto"/>
        <w:bottom w:val="none" w:sz="0" w:space="0" w:color="auto"/>
        <w:right w:val="none" w:sz="0" w:space="0" w:color="auto"/>
      </w:divBdr>
    </w:div>
    <w:div w:id="353118304">
      <w:bodyDiv w:val="1"/>
      <w:marLeft w:val="0"/>
      <w:marRight w:val="0"/>
      <w:marTop w:val="0"/>
      <w:marBottom w:val="0"/>
      <w:divBdr>
        <w:top w:val="none" w:sz="0" w:space="0" w:color="auto"/>
        <w:left w:val="none" w:sz="0" w:space="0" w:color="auto"/>
        <w:bottom w:val="none" w:sz="0" w:space="0" w:color="auto"/>
        <w:right w:val="none" w:sz="0" w:space="0" w:color="auto"/>
      </w:divBdr>
    </w:div>
    <w:div w:id="374276220">
      <w:bodyDiv w:val="1"/>
      <w:marLeft w:val="0"/>
      <w:marRight w:val="0"/>
      <w:marTop w:val="0"/>
      <w:marBottom w:val="0"/>
      <w:divBdr>
        <w:top w:val="none" w:sz="0" w:space="0" w:color="auto"/>
        <w:left w:val="none" w:sz="0" w:space="0" w:color="auto"/>
        <w:bottom w:val="none" w:sz="0" w:space="0" w:color="auto"/>
        <w:right w:val="none" w:sz="0" w:space="0" w:color="auto"/>
      </w:divBdr>
    </w:div>
    <w:div w:id="377096350">
      <w:bodyDiv w:val="1"/>
      <w:marLeft w:val="0"/>
      <w:marRight w:val="0"/>
      <w:marTop w:val="0"/>
      <w:marBottom w:val="0"/>
      <w:divBdr>
        <w:top w:val="none" w:sz="0" w:space="0" w:color="auto"/>
        <w:left w:val="none" w:sz="0" w:space="0" w:color="auto"/>
        <w:bottom w:val="none" w:sz="0" w:space="0" w:color="auto"/>
        <w:right w:val="none" w:sz="0" w:space="0" w:color="auto"/>
      </w:divBdr>
    </w:div>
    <w:div w:id="444007574">
      <w:bodyDiv w:val="1"/>
      <w:marLeft w:val="0"/>
      <w:marRight w:val="0"/>
      <w:marTop w:val="0"/>
      <w:marBottom w:val="0"/>
      <w:divBdr>
        <w:top w:val="none" w:sz="0" w:space="0" w:color="auto"/>
        <w:left w:val="none" w:sz="0" w:space="0" w:color="auto"/>
        <w:bottom w:val="none" w:sz="0" w:space="0" w:color="auto"/>
        <w:right w:val="none" w:sz="0" w:space="0" w:color="auto"/>
      </w:divBdr>
    </w:div>
    <w:div w:id="480000930">
      <w:bodyDiv w:val="1"/>
      <w:marLeft w:val="0"/>
      <w:marRight w:val="0"/>
      <w:marTop w:val="0"/>
      <w:marBottom w:val="0"/>
      <w:divBdr>
        <w:top w:val="none" w:sz="0" w:space="0" w:color="auto"/>
        <w:left w:val="none" w:sz="0" w:space="0" w:color="auto"/>
        <w:bottom w:val="none" w:sz="0" w:space="0" w:color="auto"/>
        <w:right w:val="none" w:sz="0" w:space="0" w:color="auto"/>
      </w:divBdr>
    </w:div>
    <w:div w:id="670107413">
      <w:bodyDiv w:val="1"/>
      <w:marLeft w:val="0"/>
      <w:marRight w:val="0"/>
      <w:marTop w:val="0"/>
      <w:marBottom w:val="0"/>
      <w:divBdr>
        <w:top w:val="none" w:sz="0" w:space="0" w:color="auto"/>
        <w:left w:val="none" w:sz="0" w:space="0" w:color="auto"/>
        <w:bottom w:val="none" w:sz="0" w:space="0" w:color="auto"/>
        <w:right w:val="none" w:sz="0" w:space="0" w:color="auto"/>
      </w:divBdr>
    </w:div>
    <w:div w:id="673915528">
      <w:bodyDiv w:val="1"/>
      <w:marLeft w:val="0"/>
      <w:marRight w:val="0"/>
      <w:marTop w:val="0"/>
      <w:marBottom w:val="0"/>
      <w:divBdr>
        <w:top w:val="none" w:sz="0" w:space="0" w:color="auto"/>
        <w:left w:val="none" w:sz="0" w:space="0" w:color="auto"/>
        <w:bottom w:val="none" w:sz="0" w:space="0" w:color="auto"/>
        <w:right w:val="none" w:sz="0" w:space="0" w:color="auto"/>
      </w:divBdr>
    </w:div>
    <w:div w:id="792330629">
      <w:bodyDiv w:val="1"/>
      <w:marLeft w:val="0"/>
      <w:marRight w:val="0"/>
      <w:marTop w:val="0"/>
      <w:marBottom w:val="0"/>
      <w:divBdr>
        <w:top w:val="none" w:sz="0" w:space="0" w:color="auto"/>
        <w:left w:val="none" w:sz="0" w:space="0" w:color="auto"/>
        <w:bottom w:val="none" w:sz="0" w:space="0" w:color="auto"/>
        <w:right w:val="none" w:sz="0" w:space="0" w:color="auto"/>
      </w:divBdr>
    </w:div>
    <w:div w:id="913128506">
      <w:bodyDiv w:val="1"/>
      <w:marLeft w:val="0"/>
      <w:marRight w:val="0"/>
      <w:marTop w:val="0"/>
      <w:marBottom w:val="0"/>
      <w:divBdr>
        <w:top w:val="none" w:sz="0" w:space="0" w:color="auto"/>
        <w:left w:val="none" w:sz="0" w:space="0" w:color="auto"/>
        <w:bottom w:val="none" w:sz="0" w:space="0" w:color="auto"/>
        <w:right w:val="none" w:sz="0" w:space="0" w:color="auto"/>
      </w:divBdr>
    </w:div>
    <w:div w:id="1003242090">
      <w:bodyDiv w:val="1"/>
      <w:marLeft w:val="0"/>
      <w:marRight w:val="0"/>
      <w:marTop w:val="0"/>
      <w:marBottom w:val="0"/>
      <w:divBdr>
        <w:top w:val="none" w:sz="0" w:space="0" w:color="auto"/>
        <w:left w:val="none" w:sz="0" w:space="0" w:color="auto"/>
        <w:bottom w:val="none" w:sz="0" w:space="0" w:color="auto"/>
        <w:right w:val="none" w:sz="0" w:space="0" w:color="auto"/>
      </w:divBdr>
    </w:div>
    <w:div w:id="1003706244">
      <w:bodyDiv w:val="1"/>
      <w:marLeft w:val="0"/>
      <w:marRight w:val="0"/>
      <w:marTop w:val="0"/>
      <w:marBottom w:val="0"/>
      <w:divBdr>
        <w:top w:val="none" w:sz="0" w:space="0" w:color="auto"/>
        <w:left w:val="none" w:sz="0" w:space="0" w:color="auto"/>
        <w:bottom w:val="none" w:sz="0" w:space="0" w:color="auto"/>
        <w:right w:val="none" w:sz="0" w:space="0" w:color="auto"/>
      </w:divBdr>
    </w:div>
    <w:div w:id="1095789612">
      <w:bodyDiv w:val="1"/>
      <w:marLeft w:val="0"/>
      <w:marRight w:val="0"/>
      <w:marTop w:val="0"/>
      <w:marBottom w:val="0"/>
      <w:divBdr>
        <w:top w:val="none" w:sz="0" w:space="0" w:color="auto"/>
        <w:left w:val="none" w:sz="0" w:space="0" w:color="auto"/>
        <w:bottom w:val="none" w:sz="0" w:space="0" w:color="auto"/>
        <w:right w:val="none" w:sz="0" w:space="0" w:color="auto"/>
      </w:divBdr>
    </w:div>
    <w:div w:id="1218325187">
      <w:bodyDiv w:val="1"/>
      <w:marLeft w:val="0"/>
      <w:marRight w:val="0"/>
      <w:marTop w:val="0"/>
      <w:marBottom w:val="0"/>
      <w:divBdr>
        <w:top w:val="none" w:sz="0" w:space="0" w:color="auto"/>
        <w:left w:val="none" w:sz="0" w:space="0" w:color="auto"/>
        <w:bottom w:val="none" w:sz="0" w:space="0" w:color="auto"/>
        <w:right w:val="none" w:sz="0" w:space="0" w:color="auto"/>
      </w:divBdr>
    </w:div>
    <w:div w:id="1357347226">
      <w:bodyDiv w:val="1"/>
      <w:marLeft w:val="0"/>
      <w:marRight w:val="0"/>
      <w:marTop w:val="0"/>
      <w:marBottom w:val="0"/>
      <w:divBdr>
        <w:top w:val="none" w:sz="0" w:space="0" w:color="auto"/>
        <w:left w:val="none" w:sz="0" w:space="0" w:color="auto"/>
        <w:bottom w:val="none" w:sz="0" w:space="0" w:color="auto"/>
        <w:right w:val="none" w:sz="0" w:space="0" w:color="auto"/>
      </w:divBdr>
    </w:div>
    <w:div w:id="1414814860">
      <w:bodyDiv w:val="1"/>
      <w:marLeft w:val="0"/>
      <w:marRight w:val="0"/>
      <w:marTop w:val="0"/>
      <w:marBottom w:val="0"/>
      <w:divBdr>
        <w:top w:val="none" w:sz="0" w:space="0" w:color="auto"/>
        <w:left w:val="none" w:sz="0" w:space="0" w:color="auto"/>
        <w:bottom w:val="none" w:sz="0" w:space="0" w:color="auto"/>
        <w:right w:val="none" w:sz="0" w:space="0" w:color="auto"/>
      </w:divBdr>
    </w:div>
    <w:div w:id="1437166754">
      <w:bodyDiv w:val="1"/>
      <w:marLeft w:val="0"/>
      <w:marRight w:val="0"/>
      <w:marTop w:val="0"/>
      <w:marBottom w:val="0"/>
      <w:divBdr>
        <w:top w:val="none" w:sz="0" w:space="0" w:color="auto"/>
        <w:left w:val="none" w:sz="0" w:space="0" w:color="auto"/>
        <w:bottom w:val="none" w:sz="0" w:space="0" w:color="auto"/>
        <w:right w:val="none" w:sz="0" w:space="0" w:color="auto"/>
      </w:divBdr>
    </w:div>
    <w:div w:id="1450705343">
      <w:bodyDiv w:val="1"/>
      <w:marLeft w:val="0"/>
      <w:marRight w:val="0"/>
      <w:marTop w:val="0"/>
      <w:marBottom w:val="0"/>
      <w:divBdr>
        <w:top w:val="none" w:sz="0" w:space="0" w:color="auto"/>
        <w:left w:val="none" w:sz="0" w:space="0" w:color="auto"/>
        <w:bottom w:val="none" w:sz="0" w:space="0" w:color="auto"/>
        <w:right w:val="none" w:sz="0" w:space="0" w:color="auto"/>
      </w:divBdr>
    </w:div>
    <w:div w:id="1571192683">
      <w:bodyDiv w:val="1"/>
      <w:marLeft w:val="0"/>
      <w:marRight w:val="0"/>
      <w:marTop w:val="0"/>
      <w:marBottom w:val="0"/>
      <w:divBdr>
        <w:top w:val="none" w:sz="0" w:space="0" w:color="auto"/>
        <w:left w:val="none" w:sz="0" w:space="0" w:color="auto"/>
        <w:bottom w:val="none" w:sz="0" w:space="0" w:color="auto"/>
        <w:right w:val="none" w:sz="0" w:space="0" w:color="auto"/>
      </w:divBdr>
    </w:div>
    <w:div w:id="1580364943">
      <w:bodyDiv w:val="1"/>
      <w:marLeft w:val="0"/>
      <w:marRight w:val="0"/>
      <w:marTop w:val="0"/>
      <w:marBottom w:val="0"/>
      <w:divBdr>
        <w:top w:val="none" w:sz="0" w:space="0" w:color="auto"/>
        <w:left w:val="none" w:sz="0" w:space="0" w:color="auto"/>
        <w:bottom w:val="none" w:sz="0" w:space="0" w:color="auto"/>
        <w:right w:val="none" w:sz="0" w:space="0" w:color="auto"/>
      </w:divBdr>
    </w:div>
    <w:div w:id="1600212768">
      <w:bodyDiv w:val="1"/>
      <w:marLeft w:val="0"/>
      <w:marRight w:val="0"/>
      <w:marTop w:val="0"/>
      <w:marBottom w:val="0"/>
      <w:divBdr>
        <w:top w:val="none" w:sz="0" w:space="0" w:color="auto"/>
        <w:left w:val="none" w:sz="0" w:space="0" w:color="auto"/>
        <w:bottom w:val="none" w:sz="0" w:space="0" w:color="auto"/>
        <w:right w:val="none" w:sz="0" w:space="0" w:color="auto"/>
      </w:divBdr>
    </w:div>
    <w:div w:id="1600748922">
      <w:bodyDiv w:val="1"/>
      <w:marLeft w:val="0"/>
      <w:marRight w:val="0"/>
      <w:marTop w:val="0"/>
      <w:marBottom w:val="0"/>
      <w:divBdr>
        <w:top w:val="none" w:sz="0" w:space="0" w:color="auto"/>
        <w:left w:val="none" w:sz="0" w:space="0" w:color="auto"/>
        <w:bottom w:val="none" w:sz="0" w:space="0" w:color="auto"/>
        <w:right w:val="none" w:sz="0" w:space="0" w:color="auto"/>
      </w:divBdr>
    </w:div>
    <w:div w:id="1633559454">
      <w:bodyDiv w:val="1"/>
      <w:marLeft w:val="0"/>
      <w:marRight w:val="0"/>
      <w:marTop w:val="0"/>
      <w:marBottom w:val="0"/>
      <w:divBdr>
        <w:top w:val="none" w:sz="0" w:space="0" w:color="auto"/>
        <w:left w:val="none" w:sz="0" w:space="0" w:color="auto"/>
        <w:bottom w:val="none" w:sz="0" w:space="0" w:color="auto"/>
        <w:right w:val="none" w:sz="0" w:space="0" w:color="auto"/>
      </w:divBdr>
    </w:div>
    <w:div w:id="1711026654">
      <w:bodyDiv w:val="1"/>
      <w:marLeft w:val="0"/>
      <w:marRight w:val="0"/>
      <w:marTop w:val="0"/>
      <w:marBottom w:val="0"/>
      <w:divBdr>
        <w:top w:val="none" w:sz="0" w:space="0" w:color="auto"/>
        <w:left w:val="none" w:sz="0" w:space="0" w:color="auto"/>
        <w:bottom w:val="none" w:sz="0" w:space="0" w:color="auto"/>
        <w:right w:val="none" w:sz="0" w:space="0" w:color="auto"/>
      </w:divBdr>
    </w:div>
    <w:div w:id="1723556520">
      <w:bodyDiv w:val="1"/>
      <w:marLeft w:val="0"/>
      <w:marRight w:val="0"/>
      <w:marTop w:val="0"/>
      <w:marBottom w:val="0"/>
      <w:divBdr>
        <w:top w:val="none" w:sz="0" w:space="0" w:color="auto"/>
        <w:left w:val="none" w:sz="0" w:space="0" w:color="auto"/>
        <w:bottom w:val="none" w:sz="0" w:space="0" w:color="auto"/>
        <w:right w:val="none" w:sz="0" w:space="0" w:color="auto"/>
      </w:divBdr>
    </w:div>
    <w:div w:id="1917780607">
      <w:bodyDiv w:val="1"/>
      <w:marLeft w:val="0"/>
      <w:marRight w:val="0"/>
      <w:marTop w:val="0"/>
      <w:marBottom w:val="0"/>
      <w:divBdr>
        <w:top w:val="none" w:sz="0" w:space="0" w:color="auto"/>
        <w:left w:val="none" w:sz="0" w:space="0" w:color="auto"/>
        <w:bottom w:val="none" w:sz="0" w:space="0" w:color="auto"/>
        <w:right w:val="none" w:sz="0" w:space="0" w:color="auto"/>
      </w:divBdr>
    </w:div>
    <w:div w:id="1958176415">
      <w:bodyDiv w:val="1"/>
      <w:marLeft w:val="0"/>
      <w:marRight w:val="0"/>
      <w:marTop w:val="0"/>
      <w:marBottom w:val="0"/>
      <w:divBdr>
        <w:top w:val="none" w:sz="0" w:space="0" w:color="auto"/>
        <w:left w:val="none" w:sz="0" w:space="0" w:color="auto"/>
        <w:bottom w:val="none" w:sz="0" w:space="0" w:color="auto"/>
        <w:right w:val="none" w:sz="0" w:space="0" w:color="auto"/>
      </w:divBdr>
    </w:div>
    <w:div w:id="20727284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f/financialperformance.asp" TargetMode="External"/><Relationship Id="rId13" Type="http://schemas.openxmlformats.org/officeDocument/2006/relationships/hyperlink" Target="https://www.investopedia.com/terms/r/ratioanalysis.asp" TargetMode="External"/><Relationship Id="rId18" Type="http://schemas.openxmlformats.org/officeDocument/2006/relationships/hyperlink" Target="https://turtlegarage.com/cars/how-serious-are-mclarens-financial-problems/" TargetMode="External"/><Relationship Id="rId26"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4.png"/><Relationship Id="rId34" Type="http://schemas.openxmlformats.org/officeDocument/2006/relationships/theme" Target="theme/theme1.xml"/><Relationship Id="rId7" Type="http://schemas.openxmlformats.org/officeDocument/2006/relationships/hyperlink" Target="https://www.investopedia.com/terms/f/financial-statements.asp" TargetMode="External"/><Relationship Id="rId12" Type="http://schemas.openxmlformats.org/officeDocument/2006/relationships/image" Target="media/image1.png"/><Relationship Id="rId17" Type="http://schemas.openxmlformats.org/officeDocument/2006/relationships/hyperlink" Target="https://www.investopedia.com/investing/what-is-a-cash-flow-statement/" TargetMode="External"/><Relationship Id="rId25" Type="http://schemas.openxmlformats.org/officeDocument/2006/relationships/image" Target="media/image8.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claren.com/" TargetMode="External"/><Relationship Id="rId20" Type="http://schemas.openxmlformats.org/officeDocument/2006/relationships/image" Target="media/image3.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orporatefinanceinstitute.com/resources/knowledge/deals/due-diligence-overview/" TargetMode="External"/><Relationship Id="rId24" Type="http://schemas.openxmlformats.org/officeDocument/2006/relationships/image" Target="media/image7.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investopedia.com/terms/p/profitabilityratios.asp" TargetMode="External"/><Relationship Id="rId23" Type="http://schemas.openxmlformats.org/officeDocument/2006/relationships/image" Target="media/image6.png"/><Relationship Id="rId28" Type="http://schemas.openxmlformats.org/officeDocument/2006/relationships/image" Target="media/image11.png"/><Relationship Id="rId10" Type="http://schemas.openxmlformats.org/officeDocument/2006/relationships/hyperlink" Target="https://www.investopedia.com/terms/i/inventory-management.asp" TargetMode="External"/><Relationship Id="rId19" Type="http://schemas.openxmlformats.org/officeDocument/2006/relationships/image" Target="media/image2.png"/><Relationship Id="rId31"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hyperlink" Target="https://www.investopedia.com/terms/e/efficiencyratio.asp" TargetMode="External"/><Relationship Id="rId14" Type="http://schemas.openxmlformats.org/officeDocument/2006/relationships/hyperlink" Target="https://corporatefinanceinstitute.com/resources/knowledge/finance/profitability-ratios/"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40334</TotalTime>
  <Pages>22</Pages>
  <Words>4093</Words>
  <Characters>23331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Assignment</vt:lpstr>
    </vt:vector>
  </TitlesOfParts>
  <Company/>
  <LinksUpToDate>false</LinksUpToDate>
  <CharactersWithSpaces>27370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Lecturer 		Howard Davies</dc:subject>
  <dc:creator>Student 		James Evans   Submission 		06/06/22</dc:creator>
  <cp:keywords/>
  <dc:description/>
  <cp:lastModifiedBy>James Evans (2025643)</cp:lastModifiedBy>
  <cp:revision>33</cp:revision>
  <dcterms:created xsi:type="dcterms:W3CDTF">2022-04-17T07:36:00Z</dcterms:created>
  <dcterms:modified xsi:type="dcterms:W3CDTF">2022-06-05T18:15:00Z</dcterms:modified>
</cp:coreProperties>
</file>