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8F169B" w14:textId="77777777" w:rsidR="001A398C" w:rsidRDefault="001A398C">
      <w:pPr>
        <w:rPr>
          <w:b/>
          <w:bCs/>
          <w:sz w:val="40"/>
          <w:szCs w:val="40"/>
        </w:rPr>
      </w:pPr>
    </w:p>
    <w:p w14:paraId="00EC29FD" w14:textId="77777777" w:rsidR="001E607F" w:rsidRDefault="001E607F" w:rsidP="001E607F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4FE63FFA" wp14:editId="4F313010">
            <wp:extent cx="1908175" cy="636270"/>
            <wp:effectExtent l="25400" t="25400" r="9525" b="11430"/>
            <wp:docPr id="1" name="Picture 1" descr="TSD_logo2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175" cy="63627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F136DA1" w14:textId="77777777" w:rsidR="001E607F" w:rsidRDefault="001E607F" w:rsidP="001E607F">
      <w:pPr>
        <w:pStyle w:val="NormalWeb"/>
        <w:spacing w:before="0" w:beforeAutospacing="0" w:after="0" w:afterAutospacing="0"/>
        <w:ind w:left="-180" w:right="-334"/>
      </w:pPr>
    </w:p>
    <w:p w14:paraId="2761A577" w14:textId="77777777" w:rsidR="001E607F" w:rsidRDefault="001E607F" w:rsidP="001E607F">
      <w:pPr>
        <w:pStyle w:val="NormalWeb"/>
        <w:spacing w:before="0" w:beforeAutospacing="0" w:after="0" w:afterAutospacing="0"/>
        <w:ind w:left="-180" w:right="-334"/>
      </w:pPr>
    </w:p>
    <w:p w14:paraId="68157B81" w14:textId="77777777" w:rsidR="001E607F" w:rsidRDefault="001E607F" w:rsidP="001E607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B2FE353" w14:textId="77777777" w:rsidR="001E607F" w:rsidRPr="00230F35" w:rsidRDefault="001E607F" w:rsidP="001E607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730AA5E" w14:textId="77777777" w:rsidR="001E607F" w:rsidRPr="00230F35" w:rsidRDefault="001E607F" w:rsidP="001E607F">
      <w:pPr>
        <w:rPr>
          <w:rFonts w:ascii="Arial" w:hAnsi="Arial" w:cs="Arial"/>
          <w:sz w:val="28"/>
          <w:szCs w:val="28"/>
          <w:lang w:val="cy-GB"/>
        </w:rPr>
      </w:pPr>
    </w:p>
    <w:p w14:paraId="41048900" w14:textId="77777777" w:rsidR="001E607F" w:rsidRDefault="001E607F" w:rsidP="001E607F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608AF52" w14:textId="77777777" w:rsidR="001E607F" w:rsidRDefault="001E607F" w:rsidP="001E607F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E607F" w:rsidRPr="00230F35" w14:paraId="49C9FEA1" w14:textId="77777777" w:rsidTr="007123FE">
        <w:trPr>
          <w:trHeight w:val="614"/>
        </w:trPr>
        <w:tc>
          <w:tcPr>
            <w:tcW w:w="8856" w:type="dxa"/>
            <w:gridSpan w:val="5"/>
          </w:tcPr>
          <w:p w14:paraId="763AD353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E607F" w:rsidRPr="00230F35" w14:paraId="468DAD6D" w14:textId="77777777" w:rsidTr="007123FE">
        <w:trPr>
          <w:trHeight w:val="718"/>
        </w:trPr>
        <w:tc>
          <w:tcPr>
            <w:tcW w:w="8856" w:type="dxa"/>
            <w:gridSpan w:val="5"/>
          </w:tcPr>
          <w:p w14:paraId="653A3A7B" w14:textId="77777777" w:rsidR="001E607F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Maria Morais</w:t>
            </w:r>
          </w:p>
          <w:p w14:paraId="05E27247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B46CF5B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1909318@student.uwtsd.ac.uk</w:t>
            </w:r>
          </w:p>
        </w:tc>
      </w:tr>
      <w:tr w:rsidR="001E607F" w:rsidRPr="00230F35" w14:paraId="53CD4C3D" w14:textId="77777777" w:rsidTr="007123FE">
        <w:trPr>
          <w:trHeight w:val="849"/>
        </w:trPr>
        <w:tc>
          <w:tcPr>
            <w:tcW w:w="4788" w:type="dxa"/>
          </w:tcPr>
          <w:p w14:paraId="4443007F" w14:textId="261AF3FA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</w:t>
            </w:r>
            <w:r w:rsidR="00D71FD1">
              <w:rPr>
                <w:rFonts w:ascii="Arial" w:hAnsi="Arial" w:cs="Arial"/>
                <w:sz w:val="22"/>
                <w:szCs w:val="22"/>
              </w:rPr>
              <w:t>2</w:t>
            </w:r>
          </w:p>
          <w:p w14:paraId="5976D011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E190467" w14:textId="5EC39D38" w:rsidR="001E607F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71FD1">
              <w:rPr>
                <w:rFonts w:ascii="Arial" w:hAnsi="Arial" w:cs="Arial"/>
                <w:sz w:val="22"/>
                <w:szCs w:val="22"/>
              </w:rPr>
              <w:t xml:space="preserve">Researching Contemporary Cosmologies </w:t>
            </w:r>
          </w:p>
          <w:p w14:paraId="60CAB04B" w14:textId="77777777" w:rsidR="001E607F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ADA1505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B65509B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>1909318</w:t>
            </w:r>
          </w:p>
        </w:tc>
        <w:tc>
          <w:tcPr>
            <w:tcW w:w="1802" w:type="dxa"/>
          </w:tcPr>
          <w:p w14:paraId="78D24ACF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68CD4D2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E607F" w:rsidRPr="00230F35" w14:paraId="54686DE8" w14:textId="77777777" w:rsidTr="007123FE">
        <w:trPr>
          <w:trHeight w:val="1139"/>
        </w:trPr>
        <w:tc>
          <w:tcPr>
            <w:tcW w:w="8856" w:type="dxa"/>
            <w:gridSpan w:val="5"/>
          </w:tcPr>
          <w:p w14:paraId="05F292BC" w14:textId="2960DA5B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71FD1">
              <w:rPr>
                <w:rFonts w:ascii="Arial" w:hAnsi="Arial" w:cs="Arial"/>
                <w:sz w:val="22"/>
                <w:szCs w:val="22"/>
              </w:rPr>
              <w:t xml:space="preserve">A critical comparison of two secondary sources - </w:t>
            </w:r>
            <w:r>
              <w:rPr>
                <w:rFonts w:ascii="Arial" w:hAnsi="Arial" w:cs="Arial"/>
                <w:sz w:val="22"/>
                <w:szCs w:val="22"/>
              </w:rPr>
              <w:t xml:space="preserve">Essay 1 </w:t>
            </w:r>
          </w:p>
          <w:p w14:paraId="45F3F037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A53577B" w14:textId="77777777" w:rsidR="001E607F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A4FD9EF" w14:textId="0CF20CF9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D71FD1">
              <w:rPr>
                <w:rFonts w:ascii="Arial" w:hAnsi="Arial" w:cs="Arial"/>
                <w:sz w:val="22"/>
                <w:szCs w:val="22"/>
              </w:rPr>
              <w:t>1</w:t>
            </w:r>
            <w:r w:rsidR="00D71FD1" w:rsidRPr="00D71FD1">
              <w:rPr>
                <w:rFonts w:ascii="Arial" w:hAnsi="Arial" w:cs="Arial"/>
                <w:sz w:val="22"/>
                <w:szCs w:val="22"/>
                <w:vertAlign w:val="superscript"/>
              </w:rPr>
              <w:t>st</w:t>
            </w:r>
            <w:r w:rsidR="00D71FD1">
              <w:rPr>
                <w:rFonts w:ascii="Arial" w:hAnsi="Arial" w:cs="Arial"/>
                <w:sz w:val="22"/>
                <w:szCs w:val="22"/>
              </w:rPr>
              <w:t xml:space="preserve"> June 2020</w:t>
            </w:r>
          </w:p>
        </w:tc>
      </w:tr>
      <w:tr w:rsidR="001E607F" w:rsidRPr="00230F35" w14:paraId="3CC74344" w14:textId="77777777" w:rsidTr="007123F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54D2D14" w14:textId="2FBC5B48" w:rsidR="001E607F" w:rsidRPr="00966A59" w:rsidRDefault="001E607F" w:rsidP="007123FE">
            <w:pPr>
              <w:rPr>
                <w:rFonts w:ascii="Arial" w:hAnsi="Arial" w:cs="Arial"/>
                <w:sz w:val="22"/>
                <w:szCs w:val="22"/>
                <w:vertAlign w:val="superscript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t>x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C32EF">
              <w:rPr>
                <w:rFonts w:ascii="Arial" w:hAnsi="Arial" w:cs="Arial"/>
                <w:sz w:val="22"/>
                <w:szCs w:val="22"/>
              </w:rPr>
            </w:r>
            <w:r w:rsidR="00BC32E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C32EF">
              <w:rPr>
                <w:rFonts w:ascii="Arial" w:hAnsi="Arial" w:cs="Arial"/>
                <w:sz w:val="22"/>
                <w:szCs w:val="22"/>
              </w:rPr>
            </w:r>
            <w:r w:rsidR="00BC32E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C32EF">
              <w:rPr>
                <w:rFonts w:ascii="Arial" w:hAnsi="Arial" w:cs="Arial"/>
                <w:sz w:val="22"/>
                <w:szCs w:val="22"/>
              </w:rPr>
            </w:r>
            <w:r w:rsidR="00BC32E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C32EF">
              <w:rPr>
                <w:rFonts w:ascii="Arial" w:hAnsi="Arial" w:cs="Arial"/>
                <w:sz w:val="22"/>
                <w:szCs w:val="22"/>
              </w:rPr>
            </w:r>
            <w:r w:rsidR="00BC32E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BC32EF">
              <w:rPr>
                <w:rFonts w:ascii="Arial" w:hAnsi="Arial" w:cs="Arial"/>
                <w:sz w:val="22"/>
                <w:szCs w:val="22"/>
              </w:rPr>
            </w:r>
            <w:r w:rsidR="00BC32E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1E607F" w:rsidRPr="00230F35" w14:paraId="17650594" w14:textId="77777777" w:rsidTr="007123F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36C49DD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C5A8C09" w14:textId="77777777" w:rsidR="001E607F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</w:t>
            </w:r>
            <w:r>
              <w:rPr>
                <w:rFonts w:ascii="Arial" w:hAnsi="Arial" w:cs="Arial"/>
                <w:sz w:val="22"/>
                <w:szCs w:val="22"/>
              </w:rPr>
              <w:t xml:space="preserve"> …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…..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>Maria Morais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……………………………………………………………</w:t>
            </w:r>
          </w:p>
          <w:p w14:paraId="28BB0C90" w14:textId="740AB920" w:rsidR="001E607F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 w:rsidR="00D71FD1">
              <w:rPr>
                <w:rFonts w:ascii="Calibri" w:hAnsi="Calibri" w:cs="Tahoma"/>
                <w:b/>
              </w:rPr>
              <w:t xml:space="preserve"> 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2ADDBB3E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1E607F" w:rsidRPr="00230F35" w14:paraId="35149F1C" w14:textId="77777777" w:rsidTr="007123FE">
        <w:trPr>
          <w:trHeight w:val="3972"/>
        </w:trPr>
        <w:tc>
          <w:tcPr>
            <w:tcW w:w="8856" w:type="dxa"/>
            <w:gridSpan w:val="5"/>
          </w:tcPr>
          <w:p w14:paraId="1993C041" w14:textId="77777777" w:rsidR="001E607F" w:rsidRDefault="001E607F" w:rsidP="007123F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54434E03" w14:textId="77777777" w:rsidR="001E607F" w:rsidRPr="00001C3B" w:rsidRDefault="001E607F" w:rsidP="007123F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E607F" w:rsidRPr="00230F35" w14:paraId="48D4600F" w14:textId="77777777" w:rsidTr="007123FE">
        <w:trPr>
          <w:trHeight w:val="492"/>
        </w:trPr>
        <w:tc>
          <w:tcPr>
            <w:tcW w:w="6768" w:type="dxa"/>
            <w:gridSpan w:val="3"/>
          </w:tcPr>
          <w:p w14:paraId="7328BCBA" w14:textId="77777777" w:rsidR="001E607F" w:rsidRPr="00230F35" w:rsidRDefault="001E607F" w:rsidP="007123F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CDD1750" w14:textId="77777777" w:rsidR="001E607F" w:rsidRPr="00230F35" w:rsidRDefault="001E607F" w:rsidP="007123F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E607F" w:rsidRPr="002F467C" w14:paraId="69C9D2CF" w14:textId="77777777" w:rsidTr="007123FE">
        <w:tc>
          <w:tcPr>
            <w:tcW w:w="8856" w:type="dxa"/>
            <w:gridSpan w:val="5"/>
          </w:tcPr>
          <w:p w14:paraId="1675ED01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511F2C4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5C9B13E8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45788CB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D27A198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6F39DC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0B674A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866ED5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5698E6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34A03F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F488FF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387F00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6CC6BD" w14:textId="77777777" w:rsidR="001E607F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113327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E427A0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D0F168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E607F" w:rsidRPr="002F467C" w14:paraId="2F3191A3" w14:textId="77777777" w:rsidTr="007123FE">
        <w:trPr>
          <w:trHeight w:val="720"/>
        </w:trPr>
        <w:tc>
          <w:tcPr>
            <w:tcW w:w="5211" w:type="dxa"/>
            <w:gridSpan w:val="2"/>
          </w:tcPr>
          <w:p w14:paraId="7EA93998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D1379B9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E607F" w:rsidRPr="002F467C" w14:paraId="5B7D7B5A" w14:textId="77777777" w:rsidTr="007123FE">
        <w:trPr>
          <w:trHeight w:val="720"/>
        </w:trPr>
        <w:tc>
          <w:tcPr>
            <w:tcW w:w="8856" w:type="dxa"/>
            <w:gridSpan w:val="5"/>
          </w:tcPr>
          <w:p w14:paraId="1BACF57B" w14:textId="77777777" w:rsidR="001E607F" w:rsidRPr="00B34964" w:rsidRDefault="001E607F" w:rsidP="007123F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55522C4D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7A5DCA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D6CE3BB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692C24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CF2530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D2808B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9A5A18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D7F1F77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E6DC6B" w14:textId="77777777" w:rsidR="001E607F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A2B397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D05C9B" w14:textId="77777777" w:rsidR="001E607F" w:rsidRPr="00230F35" w:rsidRDefault="001E607F" w:rsidP="007123F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E607F" w:rsidRPr="002F467C" w14:paraId="3FFC5F71" w14:textId="77777777" w:rsidTr="007123FE">
        <w:trPr>
          <w:trHeight w:val="720"/>
        </w:trPr>
        <w:tc>
          <w:tcPr>
            <w:tcW w:w="5211" w:type="dxa"/>
            <w:gridSpan w:val="2"/>
          </w:tcPr>
          <w:p w14:paraId="77F20BC0" w14:textId="77777777" w:rsidR="001E607F" w:rsidRPr="00230F35" w:rsidRDefault="001E607F" w:rsidP="007123FE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1BB9BFB6" w14:textId="77777777" w:rsidR="001E607F" w:rsidRPr="00230F35" w:rsidRDefault="001E607F" w:rsidP="007123FE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30CD582A" w14:textId="77777777" w:rsidR="001A398C" w:rsidRDefault="001A398C">
      <w:pPr>
        <w:rPr>
          <w:b/>
          <w:bCs/>
          <w:sz w:val="40"/>
          <w:szCs w:val="40"/>
        </w:rPr>
      </w:pPr>
    </w:p>
    <w:p w14:paraId="5C7B70D4" w14:textId="77777777" w:rsidR="001A398C" w:rsidRDefault="001A398C">
      <w:pPr>
        <w:rPr>
          <w:b/>
          <w:bCs/>
          <w:sz w:val="40"/>
          <w:szCs w:val="40"/>
        </w:rPr>
      </w:pPr>
    </w:p>
    <w:p w14:paraId="6BC1F314" w14:textId="77777777" w:rsidR="001A398C" w:rsidRDefault="001A398C">
      <w:pPr>
        <w:rPr>
          <w:b/>
          <w:bCs/>
          <w:sz w:val="40"/>
          <w:szCs w:val="40"/>
        </w:rPr>
      </w:pPr>
    </w:p>
    <w:p w14:paraId="646F49B1" w14:textId="77777777" w:rsidR="001A398C" w:rsidRDefault="001A398C">
      <w:pPr>
        <w:rPr>
          <w:b/>
          <w:bCs/>
          <w:sz w:val="40"/>
          <w:szCs w:val="40"/>
        </w:rPr>
      </w:pPr>
    </w:p>
    <w:p w14:paraId="4F12E326" w14:textId="77777777" w:rsidR="001A398C" w:rsidRDefault="001A398C">
      <w:pPr>
        <w:rPr>
          <w:b/>
          <w:bCs/>
          <w:sz w:val="40"/>
          <w:szCs w:val="40"/>
        </w:rPr>
      </w:pPr>
    </w:p>
    <w:p w14:paraId="19507EB0" w14:textId="77777777" w:rsidR="001A398C" w:rsidRDefault="001A398C">
      <w:pPr>
        <w:rPr>
          <w:b/>
          <w:bCs/>
          <w:sz w:val="40"/>
          <w:szCs w:val="40"/>
        </w:rPr>
      </w:pPr>
    </w:p>
    <w:p w14:paraId="181C7DDC" w14:textId="77777777" w:rsidR="001A398C" w:rsidRDefault="001A398C">
      <w:pPr>
        <w:rPr>
          <w:b/>
          <w:bCs/>
          <w:sz w:val="40"/>
          <w:szCs w:val="40"/>
        </w:rPr>
      </w:pPr>
    </w:p>
    <w:p w14:paraId="78E0CEFE" w14:textId="198A241E" w:rsidR="00BA0059" w:rsidRDefault="001E607F">
      <w:pPr>
        <w:rPr>
          <w:sz w:val="32"/>
          <w:szCs w:val="32"/>
        </w:rPr>
      </w:pPr>
      <w:r w:rsidRPr="001E607F">
        <w:rPr>
          <w:b/>
          <w:bCs/>
          <w:sz w:val="32"/>
          <w:szCs w:val="32"/>
        </w:rPr>
        <w:t xml:space="preserve"> </w:t>
      </w:r>
      <w:r w:rsidR="001D431D" w:rsidRPr="001E607F">
        <w:rPr>
          <w:b/>
          <w:bCs/>
          <w:sz w:val="32"/>
          <w:szCs w:val="32"/>
        </w:rPr>
        <w:t xml:space="preserve">‘A Critical Comparison of Two </w:t>
      </w:r>
      <w:r w:rsidR="00D71FD1">
        <w:rPr>
          <w:b/>
          <w:bCs/>
          <w:sz w:val="32"/>
          <w:szCs w:val="32"/>
        </w:rPr>
        <w:t>Secondary Sources</w:t>
      </w:r>
      <w:r w:rsidR="001D431D" w:rsidRPr="001E607F">
        <w:rPr>
          <w:b/>
          <w:bCs/>
          <w:sz w:val="32"/>
          <w:szCs w:val="32"/>
        </w:rPr>
        <w:t>’</w:t>
      </w:r>
      <w:r>
        <w:rPr>
          <w:sz w:val="32"/>
          <w:szCs w:val="32"/>
        </w:rPr>
        <w:t xml:space="preserve"> Essay 1</w:t>
      </w:r>
    </w:p>
    <w:p w14:paraId="3343CFE3" w14:textId="1CDD6D05" w:rsidR="001A398C" w:rsidRDefault="001E607F">
      <w:pPr>
        <w:rPr>
          <w:sz w:val="32"/>
          <w:szCs w:val="32"/>
        </w:rPr>
      </w:pPr>
      <w:r>
        <w:rPr>
          <w:sz w:val="32"/>
          <w:szCs w:val="32"/>
        </w:rPr>
        <w:t xml:space="preserve">Word count </w:t>
      </w:r>
      <w:r w:rsidR="00067F3D">
        <w:rPr>
          <w:sz w:val="32"/>
          <w:szCs w:val="32"/>
        </w:rPr>
        <w:t>- 1081</w:t>
      </w:r>
      <w:r w:rsidR="008E1DD1">
        <w:rPr>
          <w:sz w:val="32"/>
          <w:szCs w:val="32"/>
        </w:rPr>
        <w:t xml:space="preserve"> (excluding footnotes)</w:t>
      </w:r>
    </w:p>
    <w:p w14:paraId="31434D96" w14:textId="77777777" w:rsidR="001A398C" w:rsidRPr="001A398C" w:rsidRDefault="001A398C">
      <w:pPr>
        <w:rPr>
          <w:sz w:val="32"/>
          <w:szCs w:val="32"/>
        </w:rPr>
      </w:pPr>
    </w:p>
    <w:p w14:paraId="7BBF3E98" w14:textId="72D148D9" w:rsidR="001A398C" w:rsidRPr="001A398C" w:rsidRDefault="001A398C">
      <w:pPr>
        <w:rPr>
          <w:sz w:val="32"/>
          <w:szCs w:val="32"/>
        </w:rPr>
      </w:pPr>
    </w:p>
    <w:p w14:paraId="61E4A1F1" w14:textId="2F392B16" w:rsidR="001A398C" w:rsidRPr="001A398C" w:rsidRDefault="001A398C">
      <w:pPr>
        <w:rPr>
          <w:sz w:val="32"/>
          <w:szCs w:val="32"/>
        </w:rPr>
      </w:pPr>
      <w:r w:rsidRPr="001A398C">
        <w:rPr>
          <w:sz w:val="32"/>
          <w:szCs w:val="32"/>
        </w:rPr>
        <w:t>Maria Morais - 1909318</w:t>
      </w:r>
    </w:p>
    <w:p w14:paraId="7F188A33" w14:textId="6B7AD09E" w:rsidR="001D431D" w:rsidRPr="0022269A" w:rsidRDefault="001D431D"/>
    <w:p w14:paraId="61A2349C" w14:textId="0DEB0FBF" w:rsidR="00DF07B5" w:rsidRDefault="00DF07B5">
      <w:r>
        <w:br w:type="page"/>
      </w:r>
    </w:p>
    <w:p w14:paraId="0DC7D3F4" w14:textId="77777777" w:rsidR="001D431D" w:rsidRPr="0022269A" w:rsidRDefault="001D431D"/>
    <w:p w14:paraId="0C98D9C8" w14:textId="0FEE7A29" w:rsidR="001D431D" w:rsidRPr="0022269A" w:rsidRDefault="001D431D">
      <w:pPr>
        <w:rPr>
          <w:b/>
          <w:bCs/>
        </w:rPr>
      </w:pPr>
      <w:r w:rsidRPr="0022269A">
        <w:rPr>
          <w:b/>
          <w:bCs/>
        </w:rPr>
        <w:t>Introduction</w:t>
      </w:r>
    </w:p>
    <w:p w14:paraId="4AD12E31" w14:textId="55E5E996" w:rsidR="001D431D" w:rsidRPr="0022269A" w:rsidRDefault="001D431D"/>
    <w:p w14:paraId="55EB0EAF" w14:textId="63C8E6C0" w:rsidR="00E953EA" w:rsidRDefault="001D431D" w:rsidP="00E953EA">
      <w:pPr>
        <w:spacing w:line="360" w:lineRule="auto"/>
        <w:ind w:firstLine="720"/>
      </w:pPr>
      <w:r w:rsidRPr="00D71FD1">
        <w:t xml:space="preserve">This essay critically compares and contrasts two </w:t>
      </w:r>
      <w:r w:rsidR="00D71FD1" w:rsidRPr="00D71FD1">
        <w:t>secondary papers</w:t>
      </w:r>
      <w:r w:rsidRPr="00D71FD1">
        <w:t xml:space="preserve">, </w:t>
      </w:r>
      <w:r w:rsidR="00C43B64">
        <w:t xml:space="preserve">Gillian </w:t>
      </w:r>
      <w:r w:rsidR="00D71FD1" w:rsidRPr="00D71FD1">
        <w:t>Bennett</w:t>
      </w:r>
      <w:r w:rsidR="00267BD1">
        <w:t xml:space="preserve"> ‘</w:t>
      </w:r>
      <w:r w:rsidR="00D71FD1" w:rsidRPr="00267BD1">
        <w:t xml:space="preserve">If I Knew You were </w:t>
      </w:r>
      <w:r w:rsidR="003378D5" w:rsidRPr="00267BD1">
        <w:t>Coming,</w:t>
      </w:r>
      <w:r w:rsidR="00D71FD1" w:rsidRPr="00267BD1">
        <w:t xml:space="preserve"> I'd Have Baked a Cake</w:t>
      </w:r>
      <w:r w:rsidR="00C43B64" w:rsidRPr="00267BD1">
        <w:t xml:space="preserve"> - </w:t>
      </w:r>
      <w:r w:rsidR="00D71FD1" w:rsidRPr="00267BD1">
        <w:t xml:space="preserve">The Folklore of Foreknowledge in a </w:t>
      </w:r>
      <w:proofErr w:type="spellStart"/>
      <w:r w:rsidR="00D71FD1" w:rsidRPr="00267BD1">
        <w:t>Neighborhood</w:t>
      </w:r>
      <w:proofErr w:type="spellEnd"/>
      <w:r w:rsidR="00D71FD1" w:rsidRPr="00267BD1">
        <w:t xml:space="preserve"> Group</w:t>
      </w:r>
      <w:r w:rsidR="00267BD1" w:rsidRPr="00267BD1">
        <w:t>’</w:t>
      </w:r>
      <w:r w:rsidR="00D71FD1" w:rsidRPr="00D71FD1">
        <w:t xml:space="preserve"> In </w:t>
      </w:r>
      <w:r w:rsidR="00D71FD1" w:rsidRPr="00267BD1">
        <w:rPr>
          <w:i/>
          <w:iCs/>
        </w:rPr>
        <w:t>Out of the Ordinary: Folklore and the Supernatural</w:t>
      </w:r>
      <w:r w:rsidR="00D71FD1" w:rsidRPr="00D71FD1">
        <w:t>, ed</w:t>
      </w:r>
      <w:r w:rsidR="00267BD1">
        <w:t>.</w:t>
      </w:r>
      <w:r w:rsidR="00D71FD1" w:rsidRPr="00D71FD1">
        <w:t xml:space="preserve"> by Barbara Walker, </w:t>
      </w:r>
      <w:r w:rsidR="00267BD1">
        <w:t xml:space="preserve">(Logan, </w:t>
      </w:r>
      <w:r w:rsidR="00D71FD1" w:rsidRPr="00D71FD1">
        <w:t>Utah: Utah University Press</w:t>
      </w:r>
      <w:r w:rsidR="00267BD1">
        <w:t>, 1995)</w:t>
      </w:r>
      <w:r w:rsidR="00267BD1" w:rsidRPr="00D71FD1">
        <w:t>.</w:t>
      </w:r>
      <w:r w:rsidR="00D71FD1" w:rsidRPr="00D71FD1">
        <w:t xml:space="preserve">, and of </w:t>
      </w:r>
      <w:r w:rsidR="00267BD1">
        <w:t>Tony Walker and Helen Waterhouse</w:t>
      </w:r>
      <w:r w:rsidR="00D71FD1" w:rsidRPr="00D71FD1">
        <w:t>,</w:t>
      </w:r>
      <w:r w:rsidR="00267BD1">
        <w:t xml:space="preserve"> ‘</w:t>
      </w:r>
      <w:r w:rsidR="00D71FD1" w:rsidRPr="00267BD1">
        <w:rPr>
          <w:i/>
          <w:iCs/>
        </w:rPr>
        <w:t>A Very Private Belief: Reincarnation in Contemporary England</w:t>
      </w:r>
      <w:r w:rsidR="00267BD1">
        <w:rPr>
          <w:i/>
          <w:iCs/>
        </w:rPr>
        <w:t>’</w:t>
      </w:r>
      <w:r w:rsidR="00267BD1">
        <w:t xml:space="preserve">, </w:t>
      </w:r>
      <w:r w:rsidR="00D71FD1" w:rsidRPr="00D71FD1">
        <w:t xml:space="preserve">Sociology of Religion, </w:t>
      </w:r>
      <w:r w:rsidR="00267BD1">
        <w:t>v.</w:t>
      </w:r>
      <w:r w:rsidR="00D71FD1" w:rsidRPr="00D71FD1">
        <w:t>60</w:t>
      </w:r>
      <w:r w:rsidR="00267BD1">
        <w:t xml:space="preserve"> (1999)</w:t>
      </w:r>
      <w:r w:rsidR="00823C69">
        <w:t>.</w:t>
      </w:r>
    </w:p>
    <w:p w14:paraId="5A82BCB9" w14:textId="1D68B487" w:rsidR="00470208" w:rsidRDefault="00E953EA" w:rsidP="00EF4934">
      <w:pPr>
        <w:spacing w:line="360" w:lineRule="auto"/>
        <w:ind w:firstLine="720"/>
        <w:rPr>
          <w:rFonts w:ascii="Times" w:hAnsi="Times"/>
          <w:lang w:eastAsia="en-GB"/>
        </w:rPr>
      </w:pPr>
      <w:r>
        <w:t>Both papers explore</w:t>
      </w:r>
      <w:r w:rsidR="00EF4934">
        <w:t>d</w:t>
      </w:r>
      <w:r>
        <w:t xml:space="preserve"> the theoretical concept of belief</w:t>
      </w:r>
      <w:r w:rsidR="00EF4934">
        <w:t xml:space="preserve"> and so a definition of belief was necessary</w:t>
      </w:r>
      <w:r>
        <w:t xml:space="preserve">. </w:t>
      </w:r>
      <w:r w:rsidRPr="00E953EA">
        <w:rPr>
          <w:rFonts w:ascii="Times" w:hAnsi="Times"/>
          <w:lang w:eastAsia="en-GB"/>
        </w:rPr>
        <w:t xml:space="preserve">According to Nicholas Campion, ‘a belief does not have to be true, but neither is it necessarily false: it is the </w:t>
      </w:r>
      <w:r w:rsidRPr="00EF4934">
        <w:rPr>
          <w:rFonts w:ascii="Times" w:hAnsi="Times"/>
          <w:lang w:eastAsia="en-GB"/>
        </w:rPr>
        <w:t xml:space="preserve">perception of the believer which </w:t>
      </w:r>
      <w:r w:rsidR="00EF4934" w:rsidRPr="00EF4934">
        <w:rPr>
          <w:rFonts w:ascii="Times" w:hAnsi="Times"/>
          <w:lang w:eastAsia="en-GB"/>
        </w:rPr>
        <w:t xml:space="preserve">counts.’ </w:t>
      </w:r>
      <w:r w:rsidR="00EF4934" w:rsidRPr="00EF4934">
        <w:rPr>
          <w:rStyle w:val="FootnoteReference"/>
          <w:rFonts w:ascii="Times" w:hAnsi="Times"/>
          <w:lang w:eastAsia="en-GB"/>
        </w:rPr>
        <w:footnoteReference w:id="1"/>
      </w:r>
      <w:r w:rsidR="00EF4934" w:rsidRPr="00EF4934">
        <w:rPr>
          <w:rFonts w:ascii="Times" w:hAnsi="Times"/>
          <w:lang w:eastAsia="en-GB"/>
        </w:rPr>
        <w:t xml:space="preserve"> </w:t>
      </w:r>
    </w:p>
    <w:p w14:paraId="2B1ACE18" w14:textId="3855A1B6" w:rsidR="00470208" w:rsidRPr="00E953EA" w:rsidRDefault="00972FEA" w:rsidP="009D7CC9">
      <w:pPr>
        <w:spacing w:line="360" w:lineRule="auto"/>
        <w:ind w:firstLine="720"/>
      </w:pPr>
      <w:r>
        <w:t>The</w:t>
      </w:r>
      <w:r w:rsidR="009D7CC9" w:rsidRPr="00EE43CC">
        <w:t xml:space="preserve"> themes </w:t>
      </w:r>
      <w:r>
        <w:t>utilized to compare and contrast the two secondary sources were</w:t>
      </w:r>
      <w:r w:rsidR="009D7CC9" w:rsidRPr="00EE43CC">
        <w:t xml:space="preserve">, </w:t>
      </w:r>
      <w:r w:rsidR="009D7CC9">
        <w:t>academic rationale, literature review, methodology used for the research, structure of the two papers, ethical considerations, and insider/outsider reflexivity</w:t>
      </w:r>
      <w:r w:rsidR="009D7CC9" w:rsidRPr="00EE43CC">
        <w:t>.</w:t>
      </w:r>
      <w:r w:rsidR="00591663">
        <w:t xml:space="preserve"> </w:t>
      </w:r>
    </w:p>
    <w:p w14:paraId="73CBBD48" w14:textId="77777777" w:rsidR="00400F66" w:rsidRDefault="00400F66" w:rsidP="002D4542">
      <w:pPr>
        <w:spacing w:line="360" w:lineRule="auto"/>
      </w:pPr>
    </w:p>
    <w:p w14:paraId="6370350E" w14:textId="14B90020" w:rsidR="00E953EA" w:rsidRPr="00E953EA" w:rsidRDefault="00F26DA2" w:rsidP="00E953EA">
      <w:pPr>
        <w:spacing w:line="360" w:lineRule="auto"/>
        <w:rPr>
          <w:b/>
          <w:bCs/>
        </w:rPr>
      </w:pPr>
      <w:r w:rsidRPr="0022269A">
        <w:rPr>
          <w:b/>
          <w:bCs/>
        </w:rPr>
        <w:t xml:space="preserve">1 </w:t>
      </w:r>
      <w:r w:rsidR="004B3484">
        <w:rPr>
          <w:b/>
          <w:bCs/>
        </w:rPr>
        <w:t>–</w:t>
      </w:r>
      <w:r w:rsidRPr="0022269A">
        <w:rPr>
          <w:b/>
          <w:bCs/>
        </w:rPr>
        <w:t xml:space="preserve"> </w:t>
      </w:r>
      <w:r w:rsidR="004B3484">
        <w:rPr>
          <w:b/>
          <w:bCs/>
        </w:rPr>
        <w:t>Academic Rationale</w:t>
      </w:r>
    </w:p>
    <w:p w14:paraId="4A7F4B42" w14:textId="54E25930" w:rsidR="00823C69" w:rsidRPr="00497C2A" w:rsidRDefault="00DA1F2C" w:rsidP="00497C2A">
      <w:pPr>
        <w:spacing w:line="360" w:lineRule="auto"/>
        <w:ind w:firstLine="720"/>
        <w:rPr>
          <w:rFonts w:ascii="Times" w:hAnsi="Times"/>
          <w:lang w:eastAsia="en-GB"/>
        </w:rPr>
      </w:pPr>
      <w:r>
        <w:t>Both papers</w:t>
      </w:r>
      <w:r w:rsidR="00294AB6">
        <w:t xml:space="preserve"> aim to study different angles of the ‘belief’ theoretical concept. </w:t>
      </w:r>
      <w:r w:rsidR="00497C2A" w:rsidRPr="00EF4934">
        <w:rPr>
          <w:rFonts w:ascii="Times" w:hAnsi="Times"/>
          <w:lang w:eastAsia="en-GB"/>
        </w:rPr>
        <w:t>Gillian Bennett’s paper analysed discourse differences between divinatory practices and presentiments.</w:t>
      </w:r>
      <w:r w:rsidR="00497C2A" w:rsidRPr="00EF4934">
        <w:rPr>
          <w:rStyle w:val="FootnoteReference"/>
          <w:rFonts w:ascii="Times" w:hAnsi="Times"/>
          <w:lang w:eastAsia="en-GB"/>
        </w:rPr>
        <w:footnoteReference w:id="2"/>
      </w:r>
      <w:r w:rsidR="00497C2A" w:rsidRPr="00EF4934">
        <w:rPr>
          <w:rFonts w:ascii="Times" w:hAnsi="Times"/>
          <w:lang w:eastAsia="en-GB"/>
        </w:rPr>
        <w:t xml:space="preserve"> Tony Walter and Helen Waterhouse’s paper discussed how ‘those who entertain the idea of reincarnation’</w:t>
      </w:r>
      <w:r w:rsidR="00497C2A">
        <w:rPr>
          <w:rFonts w:ascii="Times" w:hAnsi="Times"/>
          <w:lang w:eastAsia="en-GB"/>
        </w:rPr>
        <w:t xml:space="preserve"> </w:t>
      </w:r>
      <w:r w:rsidR="00497C2A" w:rsidRPr="00EF4934">
        <w:rPr>
          <w:rFonts w:ascii="Times" w:hAnsi="Times"/>
          <w:lang w:eastAsia="en-GB"/>
        </w:rPr>
        <w:t>actually talk</w:t>
      </w:r>
      <w:r w:rsidR="00497C2A">
        <w:rPr>
          <w:rFonts w:ascii="Times" w:hAnsi="Times"/>
          <w:lang w:eastAsia="en-GB"/>
        </w:rPr>
        <w:t xml:space="preserve"> about it. </w:t>
      </w:r>
      <w:r w:rsidR="00497C2A">
        <w:rPr>
          <w:rStyle w:val="FootnoteReference"/>
          <w:rFonts w:ascii="Times" w:hAnsi="Times"/>
          <w:lang w:eastAsia="en-GB"/>
        </w:rPr>
        <w:footnoteReference w:id="3"/>
      </w:r>
    </w:p>
    <w:p w14:paraId="7DEAF1DE" w14:textId="5E61FAEB" w:rsidR="004B3484" w:rsidRPr="00E953EA" w:rsidRDefault="004B3484" w:rsidP="00E953EA">
      <w:pPr>
        <w:spacing w:line="360" w:lineRule="auto"/>
        <w:ind w:firstLine="720"/>
        <w:rPr>
          <w:b/>
          <w:bCs/>
        </w:rPr>
      </w:pPr>
    </w:p>
    <w:p w14:paraId="68422483" w14:textId="1932FDAC" w:rsidR="004B3484" w:rsidRDefault="004B3484" w:rsidP="004B3484">
      <w:pPr>
        <w:spacing w:line="360" w:lineRule="auto"/>
        <w:rPr>
          <w:b/>
          <w:bCs/>
        </w:rPr>
      </w:pPr>
      <w:r>
        <w:rPr>
          <w:b/>
          <w:bCs/>
        </w:rPr>
        <w:t>2</w:t>
      </w:r>
      <w:r w:rsidRPr="0022269A">
        <w:rPr>
          <w:b/>
          <w:bCs/>
        </w:rPr>
        <w:t xml:space="preserve"> </w:t>
      </w:r>
      <w:r>
        <w:rPr>
          <w:b/>
          <w:bCs/>
        </w:rPr>
        <w:t>–</w:t>
      </w:r>
      <w:r w:rsidRPr="0022269A">
        <w:rPr>
          <w:b/>
          <w:bCs/>
        </w:rPr>
        <w:t xml:space="preserve"> </w:t>
      </w:r>
      <w:r>
        <w:rPr>
          <w:b/>
          <w:bCs/>
        </w:rPr>
        <w:t>Literature Review</w:t>
      </w:r>
    </w:p>
    <w:p w14:paraId="3EBF7BC1" w14:textId="4A3829F9" w:rsidR="00823C69" w:rsidRDefault="00D958AA" w:rsidP="004B3484">
      <w:pPr>
        <w:spacing w:line="360" w:lineRule="auto"/>
      </w:pPr>
      <w:r>
        <w:t xml:space="preserve">Bennett’s literature review </w:t>
      </w:r>
      <w:r w:rsidR="00972FEA">
        <w:t>was</w:t>
      </w:r>
      <w:r>
        <w:t xml:space="preserve"> </w:t>
      </w:r>
      <w:r w:rsidR="00FD63FA">
        <w:t xml:space="preserve">solely </w:t>
      </w:r>
      <w:r>
        <w:t>centred in the historical evolution of British Folkloric traditions</w:t>
      </w:r>
      <w:r w:rsidR="00644953">
        <w:t>.</w:t>
      </w:r>
      <w:r w:rsidR="00A51E4A">
        <w:rPr>
          <w:rStyle w:val="FootnoteReference"/>
        </w:rPr>
        <w:footnoteReference w:id="4"/>
      </w:r>
      <w:r w:rsidR="00644953">
        <w:t xml:space="preserve"> On the other hand, Walter et al., research question clearly derive</w:t>
      </w:r>
      <w:r w:rsidR="00972FEA">
        <w:t>d</w:t>
      </w:r>
      <w:r w:rsidR="00644953">
        <w:t xml:space="preserve"> from the analysis of quantitative studies </w:t>
      </w:r>
      <w:r w:rsidR="00093ED0">
        <w:t>about</w:t>
      </w:r>
      <w:r w:rsidR="00644953">
        <w:t xml:space="preserve"> ‘belief’. </w:t>
      </w:r>
    </w:p>
    <w:p w14:paraId="05E87C8A" w14:textId="29BCB5F5" w:rsidR="00644953" w:rsidRDefault="00644953" w:rsidP="004B3484">
      <w:pPr>
        <w:spacing w:line="360" w:lineRule="auto"/>
      </w:pPr>
      <w:r>
        <w:t xml:space="preserve">The authors </w:t>
      </w:r>
      <w:r w:rsidR="00823C69">
        <w:t xml:space="preserve">Walter et al., </w:t>
      </w:r>
      <w:r>
        <w:t>were intrigued with the quantitative yes/</w:t>
      </w:r>
      <w:r w:rsidR="00E16CAF">
        <w:t>no type</w:t>
      </w:r>
      <w:r>
        <w:t xml:space="preserve"> of answer</w:t>
      </w:r>
      <w:r w:rsidR="00093ED0">
        <w:t xml:space="preserve"> commonly applied to the </w:t>
      </w:r>
      <w:r w:rsidR="0097660F">
        <w:t>reincarnation ‘belief’ phenomena and</w:t>
      </w:r>
      <w:r w:rsidR="00093ED0">
        <w:t xml:space="preserve"> decided to validate th</w:t>
      </w:r>
      <w:r w:rsidR="00FD63FA">
        <w:t>e</w:t>
      </w:r>
      <w:r w:rsidR="00093ED0">
        <w:t xml:space="preserve"> </w:t>
      </w:r>
      <w:r w:rsidR="00093ED0">
        <w:lastRenderedPageBreak/>
        <w:t xml:space="preserve">research approach </w:t>
      </w:r>
      <w:r w:rsidR="00A51E4A">
        <w:t>using qualitative research methods</w:t>
      </w:r>
      <w:r>
        <w:t xml:space="preserve">. </w:t>
      </w:r>
      <w:r w:rsidR="00972FEA">
        <w:t>In Water et al., t</w:t>
      </w:r>
      <w:r w:rsidR="0097660F">
        <w:t xml:space="preserve">here is clear evidence </w:t>
      </w:r>
      <w:r w:rsidR="00972FEA">
        <w:t>of</w:t>
      </w:r>
      <w:r w:rsidR="00E975C1">
        <w:t xml:space="preserve"> </w:t>
      </w:r>
      <w:r w:rsidR="005D20F3">
        <w:t>recommended best practices in survey design</w:t>
      </w:r>
      <w:r w:rsidR="00E975C1">
        <w:t xml:space="preserve"> </w:t>
      </w:r>
      <w:r w:rsidR="0097660F">
        <w:t>such as the best practices recommended by</w:t>
      </w:r>
      <w:r w:rsidR="00E975C1">
        <w:t xml:space="preserve"> A.N. Oppenheim</w:t>
      </w:r>
      <w:r w:rsidR="005D20F3">
        <w:t xml:space="preserve">. </w:t>
      </w:r>
      <w:r w:rsidR="005D20F3">
        <w:rPr>
          <w:rStyle w:val="FootnoteReference"/>
        </w:rPr>
        <w:footnoteReference w:id="5"/>
      </w:r>
    </w:p>
    <w:p w14:paraId="356AFF29" w14:textId="77777777" w:rsidR="00644953" w:rsidRDefault="00644953" w:rsidP="004B3484">
      <w:pPr>
        <w:spacing w:line="360" w:lineRule="auto"/>
      </w:pPr>
    </w:p>
    <w:p w14:paraId="6F79B9B2" w14:textId="1F3C71A0" w:rsidR="004B3484" w:rsidRDefault="00644953" w:rsidP="004B3484">
      <w:pPr>
        <w:spacing w:line="360" w:lineRule="auto"/>
        <w:rPr>
          <w:b/>
          <w:bCs/>
        </w:rPr>
      </w:pPr>
      <w:r>
        <w:rPr>
          <w:b/>
          <w:bCs/>
        </w:rPr>
        <w:t>3 - Meth</w:t>
      </w:r>
      <w:r w:rsidR="004B3484">
        <w:rPr>
          <w:b/>
          <w:bCs/>
        </w:rPr>
        <w:t xml:space="preserve">odology Used for the Research </w:t>
      </w:r>
    </w:p>
    <w:p w14:paraId="416EA2CF" w14:textId="05073829" w:rsidR="004B3484" w:rsidRDefault="00012E8F" w:rsidP="00BD0839">
      <w:pPr>
        <w:spacing w:line="360" w:lineRule="auto"/>
      </w:pPr>
      <w:r>
        <w:t xml:space="preserve">Bennett’s sample was defined by convenience </w:t>
      </w:r>
      <w:r w:rsidR="00720CFB">
        <w:t xml:space="preserve">and there </w:t>
      </w:r>
      <w:r w:rsidR="00972FEA">
        <w:t>was</w:t>
      </w:r>
      <w:r w:rsidR="00720CFB">
        <w:t xml:space="preserve"> no evidence in the paper of the methodology utilised for survey design and analysis</w:t>
      </w:r>
      <w:r w:rsidR="00BD0839">
        <w:t xml:space="preserve"> phases</w:t>
      </w:r>
      <w:r>
        <w:t xml:space="preserve">, whilst in Walter et al., the authors </w:t>
      </w:r>
      <w:r w:rsidR="00BD0839">
        <w:t>interviewed</w:t>
      </w:r>
      <w:r>
        <w:t xml:space="preserve"> a </w:t>
      </w:r>
      <w:r w:rsidR="00720CFB">
        <w:t>selected</w:t>
      </w:r>
      <w:r>
        <w:t xml:space="preserve"> sample from different sources after applying a pilot study</w:t>
      </w:r>
      <w:r w:rsidR="00BD0839">
        <w:t>.</w:t>
      </w:r>
      <w:r w:rsidR="009B02CF">
        <w:rPr>
          <w:rStyle w:val="FootnoteReference"/>
        </w:rPr>
        <w:footnoteReference w:id="6"/>
      </w:r>
      <w:r w:rsidR="009B02CF">
        <w:t xml:space="preserve"> </w:t>
      </w:r>
      <w:r w:rsidR="00720CFB">
        <w:t xml:space="preserve">Other elements that </w:t>
      </w:r>
      <w:r w:rsidR="00BD0839">
        <w:t>bring into</w:t>
      </w:r>
      <w:r w:rsidR="00720CFB">
        <w:t xml:space="preserve"> evidence tha</w:t>
      </w:r>
      <w:r w:rsidR="00BD0839">
        <w:t>t Walter et al., followed a methodological approach during design phase</w:t>
      </w:r>
      <w:r w:rsidR="00FD63FA">
        <w:t xml:space="preserve"> as suggested by Oppenheim</w:t>
      </w:r>
      <w:r w:rsidR="00BD0839">
        <w:t>, is that c</w:t>
      </w:r>
      <w:r>
        <w:t>ertain sample elements were excluded from the study and/or from the analysis because they did not fit with the criteria established for the research</w:t>
      </w:r>
      <w:r w:rsidR="00A51E4A">
        <w:t>.</w:t>
      </w:r>
      <w:r>
        <w:t xml:space="preserve"> </w:t>
      </w:r>
      <w:r w:rsidR="00FD63FA">
        <w:rPr>
          <w:rStyle w:val="FootnoteReference"/>
        </w:rPr>
        <w:footnoteReference w:id="7"/>
      </w:r>
      <w:r w:rsidR="00FD63FA">
        <w:t xml:space="preserve"> </w:t>
      </w:r>
    </w:p>
    <w:p w14:paraId="030D928D" w14:textId="3ABBDD33" w:rsidR="004B3484" w:rsidRDefault="004B3484" w:rsidP="004B3484">
      <w:pPr>
        <w:spacing w:line="360" w:lineRule="auto"/>
        <w:rPr>
          <w:b/>
          <w:bCs/>
        </w:rPr>
      </w:pPr>
    </w:p>
    <w:p w14:paraId="2FCD5F9C" w14:textId="4C68BDAF" w:rsidR="004B3484" w:rsidRDefault="004B3484" w:rsidP="004B3484">
      <w:pPr>
        <w:spacing w:line="360" w:lineRule="auto"/>
        <w:rPr>
          <w:b/>
          <w:bCs/>
        </w:rPr>
      </w:pPr>
      <w:r>
        <w:rPr>
          <w:b/>
          <w:bCs/>
        </w:rPr>
        <w:t>4</w:t>
      </w:r>
      <w:r w:rsidRPr="0022269A">
        <w:rPr>
          <w:b/>
          <w:bCs/>
        </w:rPr>
        <w:t xml:space="preserve"> </w:t>
      </w:r>
      <w:r>
        <w:rPr>
          <w:b/>
          <w:bCs/>
        </w:rPr>
        <w:t>–</w:t>
      </w:r>
      <w:r w:rsidRPr="0022269A">
        <w:rPr>
          <w:b/>
          <w:bCs/>
        </w:rPr>
        <w:t xml:space="preserve"> </w:t>
      </w:r>
      <w:r>
        <w:rPr>
          <w:b/>
          <w:bCs/>
        </w:rPr>
        <w:t>Structure of the 2 Papers</w:t>
      </w:r>
    </w:p>
    <w:p w14:paraId="1EECA78C" w14:textId="1A88134C" w:rsidR="00F73E16" w:rsidRDefault="00F73E16" w:rsidP="004B3484">
      <w:pPr>
        <w:spacing w:line="360" w:lineRule="auto"/>
      </w:pPr>
      <w:r>
        <w:t>The method used for data collection in both papers was unstructured interviewing, which according to Alan Bryman gives the possibility to utilise a loose collection of themes.</w:t>
      </w:r>
      <w:r>
        <w:rPr>
          <w:rStyle w:val="FootnoteReference"/>
        </w:rPr>
        <w:footnoteReference w:id="8"/>
      </w:r>
    </w:p>
    <w:p w14:paraId="41525AEE" w14:textId="63BB163A" w:rsidR="00F73E16" w:rsidRDefault="00FD63FA" w:rsidP="00F73E16">
      <w:pPr>
        <w:spacing w:line="360" w:lineRule="auto"/>
      </w:pPr>
      <w:r>
        <w:t xml:space="preserve">It </w:t>
      </w:r>
      <w:r w:rsidR="00972FEA">
        <w:t>was</w:t>
      </w:r>
      <w:r>
        <w:t xml:space="preserve"> evident that</w:t>
      </w:r>
      <w:r w:rsidR="00F73E16">
        <w:t xml:space="preserve"> in both written reports there was a coherent structure</w:t>
      </w:r>
      <w:r w:rsidR="00972FEA">
        <w:t>,</w:t>
      </w:r>
      <w:r w:rsidR="00F73E16">
        <w:t xml:space="preserve"> with an </w:t>
      </w:r>
      <w:r w:rsidR="00F73E16" w:rsidRPr="009A2466">
        <w:t xml:space="preserve">introduction, </w:t>
      </w:r>
      <w:r w:rsidR="00F73E16">
        <w:t xml:space="preserve">a </w:t>
      </w:r>
      <w:r w:rsidR="00823C69">
        <w:t>body of work</w:t>
      </w:r>
      <w:r w:rsidR="00F73E16">
        <w:t xml:space="preserve"> stating the results from the research </w:t>
      </w:r>
      <w:r w:rsidR="00F73E16" w:rsidRPr="009A2466">
        <w:t xml:space="preserve">and </w:t>
      </w:r>
      <w:r w:rsidR="00F73E16">
        <w:t xml:space="preserve">a </w:t>
      </w:r>
      <w:r w:rsidR="00F73E16" w:rsidRPr="009A2466">
        <w:t>conclusion</w:t>
      </w:r>
      <w:r w:rsidR="00F73E16">
        <w:t xml:space="preserve">. It is </w:t>
      </w:r>
      <w:r>
        <w:t xml:space="preserve">however </w:t>
      </w:r>
      <w:r w:rsidR="00F73E16">
        <w:t>noticeable</w:t>
      </w:r>
      <w:r w:rsidR="007B1480">
        <w:t>,</w:t>
      </w:r>
      <w:r w:rsidR="00F73E16">
        <w:t xml:space="preserve"> that in Walter et al., the presentation of research findings </w:t>
      </w:r>
      <w:r w:rsidR="00972FEA">
        <w:t>was</w:t>
      </w:r>
      <w:r w:rsidR="00F73E16">
        <w:t xml:space="preserve"> clearer than in Bennett</w:t>
      </w:r>
      <w:r w:rsidR="00823C69">
        <w:t>, suggesting that a good literature review is an essential step in research design.</w:t>
      </w:r>
      <w:r w:rsidR="00823C69">
        <w:rPr>
          <w:rStyle w:val="FootnoteReference"/>
        </w:rPr>
        <w:footnoteReference w:id="9"/>
      </w:r>
      <w:r w:rsidR="00F73E16">
        <w:t xml:space="preserve"> </w:t>
      </w:r>
    </w:p>
    <w:p w14:paraId="42CE4132" w14:textId="7DA7FB38" w:rsidR="004B3484" w:rsidRDefault="004B3484" w:rsidP="004B3484">
      <w:pPr>
        <w:spacing w:line="360" w:lineRule="auto"/>
        <w:rPr>
          <w:b/>
          <w:bCs/>
        </w:rPr>
      </w:pPr>
    </w:p>
    <w:p w14:paraId="1028FCAA" w14:textId="1A2DDCF3" w:rsidR="004B3484" w:rsidRDefault="004B3484" w:rsidP="004B3484">
      <w:pPr>
        <w:spacing w:line="360" w:lineRule="auto"/>
        <w:rPr>
          <w:b/>
          <w:bCs/>
        </w:rPr>
      </w:pPr>
      <w:r>
        <w:rPr>
          <w:b/>
          <w:bCs/>
        </w:rPr>
        <w:t>5</w:t>
      </w:r>
      <w:r w:rsidRPr="0022269A">
        <w:rPr>
          <w:b/>
          <w:bCs/>
        </w:rPr>
        <w:t xml:space="preserve"> </w:t>
      </w:r>
      <w:r>
        <w:rPr>
          <w:b/>
          <w:bCs/>
        </w:rPr>
        <w:t>–</w:t>
      </w:r>
      <w:r w:rsidRPr="0022269A">
        <w:rPr>
          <w:b/>
          <w:bCs/>
        </w:rPr>
        <w:t xml:space="preserve"> </w:t>
      </w:r>
      <w:r>
        <w:rPr>
          <w:b/>
          <w:bCs/>
        </w:rPr>
        <w:t>Ethical Considerations</w:t>
      </w:r>
    </w:p>
    <w:p w14:paraId="6C82155D" w14:textId="0FEDBAEA" w:rsidR="004B3484" w:rsidRDefault="009A2466" w:rsidP="004B3484">
      <w:pPr>
        <w:spacing w:line="360" w:lineRule="auto"/>
      </w:pPr>
      <w:r w:rsidRPr="009A2466">
        <w:t xml:space="preserve">Bennett’s paper </w:t>
      </w:r>
      <w:r>
        <w:t xml:space="preserve">had </w:t>
      </w:r>
      <w:r w:rsidR="00FD63FA">
        <w:t>several</w:t>
      </w:r>
      <w:r>
        <w:t xml:space="preserve"> ethical problems in the field work with regards to consent, data protection from the sample and anonymity of respondents. </w:t>
      </w:r>
      <w:r w:rsidR="00FD63FA">
        <w:t>For example, t</w:t>
      </w:r>
      <w:r w:rsidR="00BD0839">
        <w:t xml:space="preserve">he interviewers’ name was identified during the report in </w:t>
      </w:r>
      <w:r w:rsidR="009B02CF">
        <w:t>many</w:t>
      </w:r>
      <w:r w:rsidR="00BD0839">
        <w:t xml:space="preserve"> occasions.</w:t>
      </w:r>
      <w:r w:rsidR="009B02CF">
        <w:rPr>
          <w:rStyle w:val="FootnoteReference"/>
        </w:rPr>
        <w:footnoteReference w:id="10"/>
      </w:r>
      <w:r w:rsidR="00BD0839">
        <w:t xml:space="preserve"> </w:t>
      </w:r>
    </w:p>
    <w:p w14:paraId="2E5665CB" w14:textId="1413802E" w:rsidR="009A2466" w:rsidRDefault="009A2466" w:rsidP="004B3484">
      <w:pPr>
        <w:spacing w:line="360" w:lineRule="auto"/>
      </w:pPr>
      <w:r>
        <w:lastRenderedPageBreak/>
        <w:t xml:space="preserve">In Walter et al., all interviews were kept anonymous </w:t>
      </w:r>
      <w:r w:rsidR="009B02CF">
        <w:t>which</w:t>
      </w:r>
      <w:r w:rsidR="00720CFB">
        <w:t xml:space="preserve"> according to Judith Bell </w:t>
      </w:r>
      <w:r w:rsidR="009B02CF">
        <w:t xml:space="preserve">means </w:t>
      </w:r>
      <w:r w:rsidR="00720CFB">
        <w:t>that under no circumstance</w:t>
      </w:r>
      <w:r w:rsidR="009B02CF">
        <w:t>s</w:t>
      </w:r>
      <w:r w:rsidR="00720CFB">
        <w:t xml:space="preserve"> the interviewees </w:t>
      </w:r>
      <w:r w:rsidR="009B02CF">
        <w:t xml:space="preserve">can </w:t>
      </w:r>
      <w:r w:rsidR="00720CFB">
        <w:t xml:space="preserve">be identified. </w:t>
      </w:r>
      <w:r w:rsidR="00720CFB">
        <w:rPr>
          <w:rStyle w:val="FootnoteReference"/>
        </w:rPr>
        <w:footnoteReference w:id="11"/>
      </w:r>
      <w:r>
        <w:t xml:space="preserve"> </w:t>
      </w:r>
    </w:p>
    <w:p w14:paraId="70674D6C" w14:textId="41BD3E80" w:rsidR="009A2466" w:rsidRPr="009A2466" w:rsidRDefault="009A2466" w:rsidP="004B3484">
      <w:pPr>
        <w:spacing w:line="360" w:lineRule="auto"/>
      </w:pPr>
      <w:r>
        <w:t xml:space="preserve">Leading questions were taken into consideration in Walter et al., but </w:t>
      </w:r>
      <w:r w:rsidR="009B02CF">
        <w:t>it was not possible to find</w:t>
      </w:r>
      <w:r>
        <w:t xml:space="preserve"> evidence in Bennett that leading questions were a risk mitigated during the research study.</w:t>
      </w:r>
      <w:r w:rsidR="009B02CF">
        <w:rPr>
          <w:rStyle w:val="FootnoteReference"/>
        </w:rPr>
        <w:footnoteReference w:id="12"/>
      </w:r>
      <w:r>
        <w:t xml:space="preserve"> </w:t>
      </w:r>
    </w:p>
    <w:p w14:paraId="6D0DB53D" w14:textId="41EED028" w:rsidR="004B3484" w:rsidRPr="009A2466" w:rsidRDefault="004B3484" w:rsidP="004B3484">
      <w:pPr>
        <w:spacing w:line="360" w:lineRule="auto"/>
      </w:pPr>
    </w:p>
    <w:p w14:paraId="673F78C9" w14:textId="77777777" w:rsidR="009A2466" w:rsidRDefault="004B3484" w:rsidP="009A2466">
      <w:pPr>
        <w:spacing w:line="360" w:lineRule="auto"/>
        <w:rPr>
          <w:b/>
          <w:bCs/>
        </w:rPr>
      </w:pPr>
      <w:r>
        <w:rPr>
          <w:b/>
          <w:bCs/>
        </w:rPr>
        <w:t>6</w:t>
      </w:r>
      <w:r w:rsidRPr="0022269A">
        <w:rPr>
          <w:b/>
          <w:bCs/>
        </w:rPr>
        <w:t xml:space="preserve"> </w:t>
      </w:r>
      <w:r>
        <w:rPr>
          <w:b/>
          <w:bCs/>
        </w:rPr>
        <w:t>–</w:t>
      </w:r>
      <w:r w:rsidRPr="0022269A">
        <w:rPr>
          <w:b/>
          <w:bCs/>
        </w:rPr>
        <w:t xml:space="preserve"> </w:t>
      </w:r>
      <w:r>
        <w:rPr>
          <w:b/>
          <w:bCs/>
        </w:rPr>
        <w:t>Insider/ Outsider Reflexivity</w:t>
      </w:r>
    </w:p>
    <w:p w14:paraId="2B2AB19B" w14:textId="0F37810D" w:rsidR="00B96CBB" w:rsidRDefault="009A2466" w:rsidP="009A2466">
      <w:pPr>
        <w:spacing w:line="360" w:lineRule="auto"/>
      </w:pPr>
      <w:r w:rsidRPr="009A2466">
        <w:t xml:space="preserve">Bennett’s </w:t>
      </w:r>
      <w:r>
        <w:t>research was conducted by an insider and in Walter et al., by an outsider</w:t>
      </w:r>
      <w:r w:rsidR="00090FFF">
        <w:t xml:space="preserve">, but in both </w:t>
      </w:r>
      <w:r w:rsidR="00FD63FA">
        <w:t>cases, there</w:t>
      </w:r>
      <w:r w:rsidR="00090FFF">
        <w:t xml:space="preserve"> was what Bryman defined as participant observation, which is when the researcher had the possibility to ‘embrace different ways of gathering data and style of observation.’</w:t>
      </w:r>
      <w:r w:rsidR="00090FFF">
        <w:rPr>
          <w:rStyle w:val="FootnoteReference"/>
        </w:rPr>
        <w:footnoteReference w:id="13"/>
      </w:r>
    </w:p>
    <w:p w14:paraId="5B96FAE0" w14:textId="5A01A45D" w:rsidR="002D4542" w:rsidRPr="009A2466" w:rsidRDefault="00B96CBB" w:rsidP="009A2466">
      <w:pPr>
        <w:spacing w:line="360" w:lineRule="auto"/>
      </w:pPr>
      <w:r>
        <w:t xml:space="preserve">There </w:t>
      </w:r>
      <w:r w:rsidR="00FD63FA">
        <w:t>was</w:t>
      </w:r>
      <w:r>
        <w:t xml:space="preserve"> evidence of reflexivity in Walter et al., when the authors sa</w:t>
      </w:r>
      <w:r w:rsidR="00FD63FA">
        <w:t>id</w:t>
      </w:r>
      <w:r>
        <w:t xml:space="preserve"> that ‘on an intuitive level our respondents simply did not seem to us like New Agers’</w:t>
      </w:r>
      <w:r w:rsidR="00A51E4A">
        <w:t>.</w:t>
      </w:r>
      <w:r w:rsidR="00A51E4A">
        <w:rPr>
          <w:rStyle w:val="FootnoteReference"/>
        </w:rPr>
        <w:footnoteReference w:id="14"/>
      </w:r>
      <w:r>
        <w:t xml:space="preserve"> </w:t>
      </w:r>
      <w:r w:rsidR="002D4542" w:rsidRPr="009A2466">
        <w:br w:type="page"/>
      </w:r>
    </w:p>
    <w:p w14:paraId="468E2608" w14:textId="77777777" w:rsidR="002D4542" w:rsidRPr="0022269A" w:rsidRDefault="002D4542" w:rsidP="002D4542">
      <w:pPr>
        <w:spacing w:line="360" w:lineRule="auto"/>
      </w:pPr>
    </w:p>
    <w:p w14:paraId="1024169E" w14:textId="4EE74F6C" w:rsidR="00FC193D" w:rsidRPr="0022269A" w:rsidRDefault="00FC193D" w:rsidP="002D4542">
      <w:pPr>
        <w:spacing w:line="360" w:lineRule="auto"/>
        <w:rPr>
          <w:b/>
          <w:bCs/>
        </w:rPr>
      </w:pPr>
      <w:r w:rsidRPr="0022269A">
        <w:rPr>
          <w:b/>
          <w:bCs/>
        </w:rPr>
        <w:t>Conclusion</w:t>
      </w:r>
    </w:p>
    <w:p w14:paraId="1ADEBB40" w14:textId="77777777" w:rsidR="00FC193D" w:rsidRPr="0022269A" w:rsidRDefault="00FC193D" w:rsidP="002D4542">
      <w:pPr>
        <w:spacing w:line="360" w:lineRule="auto"/>
        <w:rPr>
          <w:b/>
          <w:bCs/>
        </w:rPr>
      </w:pPr>
    </w:p>
    <w:p w14:paraId="3710DFAA" w14:textId="5D937E20" w:rsidR="00FC193D" w:rsidRPr="00EE43CC" w:rsidRDefault="00FC193D" w:rsidP="002D4542">
      <w:pPr>
        <w:spacing w:line="360" w:lineRule="auto"/>
      </w:pPr>
      <w:r w:rsidRPr="00EE43CC">
        <w:t xml:space="preserve">This essay compared and contrasted two papers that each shared the subject matter of </w:t>
      </w:r>
      <w:r w:rsidR="00D71FD1">
        <w:t>‘belief’</w:t>
      </w:r>
      <w:r w:rsidRPr="00EE43CC">
        <w:t xml:space="preserve">. The paper considered these two papers via the themes of, </w:t>
      </w:r>
      <w:r w:rsidR="00D71FD1">
        <w:t xml:space="preserve">academic rationale, </w:t>
      </w:r>
      <w:r w:rsidR="004B3484">
        <w:t>literature</w:t>
      </w:r>
      <w:r w:rsidR="00D71FD1">
        <w:t xml:space="preserve"> review, methodology used for the research, structure of the two papers, ethical considerations, </w:t>
      </w:r>
      <w:r w:rsidR="003378D5">
        <w:t xml:space="preserve">and </w:t>
      </w:r>
      <w:r w:rsidR="00D71FD1">
        <w:t>insider/outsider reflexivity</w:t>
      </w:r>
      <w:r w:rsidRPr="00EE43CC">
        <w:t>.</w:t>
      </w:r>
    </w:p>
    <w:p w14:paraId="45B71A3E" w14:textId="2CACDF13" w:rsidR="00BD0F85" w:rsidRDefault="00BD0F85" w:rsidP="002D4542">
      <w:pPr>
        <w:spacing w:line="360" w:lineRule="auto"/>
      </w:pPr>
      <w:r>
        <w:t xml:space="preserve">Walter et al., had better literature review and a better methodological approach than Bennett. Bennett also presented serious ethical problems and no evidence of reflexivity in the written report. </w:t>
      </w:r>
    </w:p>
    <w:p w14:paraId="7EF6AD0C" w14:textId="4E1402E1" w:rsidR="00BD0F85" w:rsidRPr="00EE43CC" w:rsidRDefault="00BD0F85" w:rsidP="002D4542">
      <w:pPr>
        <w:spacing w:line="360" w:lineRule="auto"/>
      </w:pPr>
      <w:r>
        <w:t xml:space="preserve">Both papers had a clear structure but Water et al., was clearer when presenting the research findings, suggesting that a deep literature review and a strong methodological approach is highly recommended. </w:t>
      </w:r>
    </w:p>
    <w:p w14:paraId="282B4320" w14:textId="1EBAE64A" w:rsidR="006F579F" w:rsidRDefault="006F579F" w:rsidP="002D4542">
      <w:pPr>
        <w:spacing w:line="360" w:lineRule="auto"/>
      </w:pPr>
    </w:p>
    <w:p w14:paraId="03215930" w14:textId="316731AC" w:rsidR="006F579F" w:rsidRDefault="006F579F" w:rsidP="002D4542">
      <w:pPr>
        <w:spacing w:line="360" w:lineRule="auto"/>
      </w:pPr>
      <w:r>
        <w:br w:type="page"/>
      </w:r>
    </w:p>
    <w:p w14:paraId="3EF62F2A" w14:textId="77777777" w:rsidR="006F579F" w:rsidRDefault="006F579F" w:rsidP="002D4542">
      <w:pPr>
        <w:shd w:val="clear" w:color="auto" w:fill="FFFFFF"/>
        <w:spacing w:line="360" w:lineRule="auto"/>
      </w:pPr>
    </w:p>
    <w:p w14:paraId="3F672578" w14:textId="03F6187A" w:rsidR="001A398C" w:rsidRPr="00D71FD1" w:rsidRDefault="00DA0655" w:rsidP="00D71FD1">
      <w:pPr>
        <w:spacing w:line="360" w:lineRule="auto"/>
        <w:rPr>
          <w:b/>
          <w:bCs/>
        </w:rPr>
      </w:pPr>
      <w:r>
        <w:rPr>
          <w:b/>
          <w:bCs/>
        </w:rPr>
        <w:t>Bibliography</w:t>
      </w:r>
    </w:p>
    <w:p w14:paraId="0E89A4C2" w14:textId="51825262" w:rsidR="005D20F3" w:rsidRDefault="005D20F3" w:rsidP="00C43B64">
      <w:pPr>
        <w:spacing w:line="360" w:lineRule="auto"/>
      </w:pPr>
    </w:p>
    <w:p w14:paraId="1BC4B4AB" w14:textId="1093BB6B" w:rsidR="006A7D90" w:rsidRDefault="006A7D90" w:rsidP="00C43B64">
      <w:pPr>
        <w:spacing w:line="360" w:lineRule="auto"/>
      </w:pPr>
      <w:r w:rsidRPr="00D71FD1">
        <w:t>Bennett</w:t>
      </w:r>
      <w:r>
        <w:t>, Gillian ‘</w:t>
      </w:r>
      <w:r w:rsidRPr="00267BD1">
        <w:t xml:space="preserve">If I Knew You were Coming, I'd Have Baked a Cake - The Folklore of Foreknowledge in a </w:t>
      </w:r>
      <w:proofErr w:type="spellStart"/>
      <w:r w:rsidRPr="00267BD1">
        <w:t>Neighborhood</w:t>
      </w:r>
      <w:proofErr w:type="spellEnd"/>
      <w:r w:rsidRPr="00267BD1">
        <w:t xml:space="preserve"> Group’</w:t>
      </w:r>
      <w:r w:rsidRPr="00D71FD1">
        <w:t xml:space="preserve"> In </w:t>
      </w:r>
      <w:r w:rsidRPr="00267BD1">
        <w:rPr>
          <w:i/>
          <w:iCs/>
        </w:rPr>
        <w:t>Out of the Ordinary: Folklore and the Supernatural</w:t>
      </w:r>
      <w:r w:rsidRPr="00D71FD1">
        <w:t>, ed</w:t>
      </w:r>
      <w:r>
        <w:t>.</w:t>
      </w:r>
      <w:r w:rsidRPr="00D71FD1">
        <w:t xml:space="preserve"> by Barbara Walker, </w:t>
      </w:r>
      <w:r>
        <w:t xml:space="preserve">(Logan, </w:t>
      </w:r>
      <w:r w:rsidRPr="00D71FD1">
        <w:t>Utah: Utah University Press</w:t>
      </w:r>
      <w:r>
        <w:t>, 1995), p</w:t>
      </w:r>
      <w:r w:rsidR="00093ED0">
        <w:t>p</w:t>
      </w:r>
      <w:r>
        <w:t>.</w:t>
      </w:r>
      <w:r w:rsidRPr="00D71FD1">
        <w:t>122-142. The full book – ‘Out of the Ordinary’ is available as a PDF from this link:</w:t>
      </w:r>
      <w:r>
        <w:t xml:space="preserve"> </w:t>
      </w:r>
      <w:hyperlink r:id="rId9" w:history="1">
        <w:r w:rsidRPr="008E0CB5">
          <w:rPr>
            <w:rStyle w:val="Hyperlink"/>
          </w:rPr>
          <w:t>http://digitalcommons.usu.edu/cgi/viewcontent.cgi?article=1079&amp;context=usupress_pubs</w:t>
        </w:r>
      </w:hyperlink>
      <w:r w:rsidRPr="00D71FD1">
        <w:t xml:space="preserve"> (accessed checked 21/9/2013)</w:t>
      </w:r>
    </w:p>
    <w:p w14:paraId="2512EE88" w14:textId="77777777" w:rsidR="00742016" w:rsidRDefault="00742016" w:rsidP="00742016">
      <w:pPr>
        <w:spacing w:line="360" w:lineRule="auto"/>
      </w:pPr>
    </w:p>
    <w:p w14:paraId="62558FE7" w14:textId="77777777" w:rsidR="00742016" w:rsidRDefault="00742016" w:rsidP="00742016">
      <w:pPr>
        <w:spacing w:line="360" w:lineRule="auto"/>
      </w:pPr>
      <w:r>
        <w:t xml:space="preserve">Bell, Judith, </w:t>
      </w:r>
      <w:r w:rsidRPr="00607322">
        <w:rPr>
          <w:i/>
          <w:iCs/>
        </w:rPr>
        <w:t>Doing your Research Project</w:t>
      </w:r>
      <w:r>
        <w:t xml:space="preserve"> (</w:t>
      </w:r>
      <w:proofErr w:type="spellStart"/>
      <w:r>
        <w:t>McGrawHill</w:t>
      </w:r>
      <w:proofErr w:type="spellEnd"/>
      <w:r>
        <w:t xml:space="preserve"> Education, Kindle Edition, 2014), </w:t>
      </w:r>
    </w:p>
    <w:p w14:paraId="077E691D" w14:textId="77777777" w:rsidR="00742016" w:rsidRDefault="00BC32EF" w:rsidP="00742016">
      <w:pPr>
        <w:spacing w:line="360" w:lineRule="auto"/>
      </w:pPr>
      <w:hyperlink r:id="rId10" w:history="1">
        <w:r w:rsidR="00742016" w:rsidRPr="008E0CB5">
          <w:rPr>
            <w:rStyle w:val="Hyperlink"/>
          </w:rPr>
          <w:t>https://read.amazon.co.uk/?asin=B00NWPEQKU</w:t>
        </w:r>
      </w:hyperlink>
      <w:r w:rsidR="00742016">
        <w:t xml:space="preserve"> </w:t>
      </w:r>
    </w:p>
    <w:p w14:paraId="05D467C6" w14:textId="77777777" w:rsidR="00C43B64" w:rsidRDefault="00C43B64" w:rsidP="00C43B64">
      <w:pPr>
        <w:spacing w:line="360" w:lineRule="auto"/>
      </w:pPr>
    </w:p>
    <w:p w14:paraId="2323CAD8" w14:textId="102DA20F" w:rsidR="00AB4D9A" w:rsidRDefault="00AB4D9A" w:rsidP="002D4542">
      <w:pPr>
        <w:spacing w:line="360" w:lineRule="auto"/>
      </w:pPr>
      <w:r>
        <w:t xml:space="preserve">Bryman, </w:t>
      </w:r>
      <w:r w:rsidR="00C43B64">
        <w:t>Alan</w:t>
      </w:r>
      <w:r w:rsidR="00017880">
        <w:t>,</w:t>
      </w:r>
      <w:r w:rsidR="00C43B64">
        <w:t xml:space="preserve"> </w:t>
      </w:r>
      <w:r w:rsidRPr="00AB4D9A">
        <w:rPr>
          <w:i/>
          <w:iCs/>
        </w:rPr>
        <w:t>Quantity and Quality in Social Research</w:t>
      </w:r>
      <w:r w:rsidR="00C43B64">
        <w:t xml:space="preserve"> (</w:t>
      </w:r>
      <w:r>
        <w:t>Routledge, Kindle Editio</w:t>
      </w:r>
      <w:r w:rsidR="00C43B64">
        <w:t xml:space="preserve">n, </w:t>
      </w:r>
      <w:r>
        <w:t>1988)</w:t>
      </w:r>
      <w:r w:rsidR="00017880">
        <w:t>,</w:t>
      </w:r>
      <w:r w:rsidR="0000595A">
        <w:t xml:space="preserve"> </w:t>
      </w:r>
      <w:hyperlink r:id="rId11" w:history="1">
        <w:r w:rsidR="0000595A" w:rsidRPr="008E0CB5">
          <w:rPr>
            <w:rStyle w:val="Hyperlink"/>
          </w:rPr>
          <w:t>https://read.amazon.co.uk/?asin=B000OI0PVC</w:t>
        </w:r>
      </w:hyperlink>
      <w:r w:rsidR="0000595A">
        <w:t xml:space="preserve">  </w:t>
      </w:r>
    </w:p>
    <w:p w14:paraId="71FA87C6" w14:textId="3337AC0B" w:rsidR="007E57A7" w:rsidRDefault="007E57A7" w:rsidP="002D4542">
      <w:pPr>
        <w:spacing w:line="360" w:lineRule="auto"/>
      </w:pPr>
    </w:p>
    <w:p w14:paraId="175F627D" w14:textId="7781E3AC" w:rsidR="00742016" w:rsidRDefault="007E57A7" w:rsidP="002D4542">
      <w:pPr>
        <w:spacing w:line="360" w:lineRule="auto"/>
      </w:pPr>
      <w:r w:rsidRPr="00742016">
        <w:t xml:space="preserve">Campion, N. </w:t>
      </w:r>
      <w:r w:rsidR="00742016" w:rsidRPr="00742016">
        <w:t>‘</w:t>
      </w:r>
      <w:r w:rsidRPr="00742016">
        <w:t>Prophecy, Cosmology and the New Age Movement. The Extent and Nature of Contemporary Belief in Astrology</w:t>
      </w:r>
      <w:r w:rsidR="00EF4934">
        <w:t xml:space="preserve">’ </w:t>
      </w:r>
      <w:r w:rsidR="00742016" w:rsidRPr="00742016">
        <w:t>(</w:t>
      </w:r>
      <w:r w:rsidRPr="00742016">
        <w:t>PHD, Bath Spa University College</w:t>
      </w:r>
      <w:r w:rsidR="00742016" w:rsidRPr="00742016">
        <w:t>, 2004)</w:t>
      </w:r>
      <w:r w:rsidR="00742016">
        <w:t>, pp. 153-177.</w:t>
      </w:r>
    </w:p>
    <w:p w14:paraId="0073DC94" w14:textId="48865F1A" w:rsidR="00742016" w:rsidRDefault="007E57A7" w:rsidP="002D4542">
      <w:pPr>
        <w:spacing w:line="360" w:lineRule="auto"/>
      </w:pPr>
      <w:r w:rsidRPr="00742016">
        <w:t>Available as a PDF in the MA CAA Online Library.</w:t>
      </w:r>
    </w:p>
    <w:p w14:paraId="65FB3B17" w14:textId="7216C89B" w:rsidR="005D20F3" w:rsidRDefault="005D20F3" w:rsidP="002D4542">
      <w:pPr>
        <w:spacing w:line="360" w:lineRule="auto"/>
      </w:pPr>
    </w:p>
    <w:p w14:paraId="6F1AC7AF" w14:textId="39EB8B57" w:rsidR="005D20F3" w:rsidRDefault="005D20F3" w:rsidP="002D4542">
      <w:pPr>
        <w:spacing w:line="360" w:lineRule="auto"/>
      </w:pPr>
      <w:r>
        <w:t xml:space="preserve">Oppenheim, A.N., </w:t>
      </w:r>
      <w:r w:rsidRPr="00720CFB">
        <w:rPr>
          <w:i/>
          <w:iCs/>
        </w:rPr>
        <w:t>Questionnaire Design, Interviewing and Attitude Measurement</w:t>
      </w:r>
      <w:r>
        <w:t xml:space="preserve"> (London, </w:t>
      </w:r>
      <w:r w:rsidRPr="00720CFB">
        <w:t>Continuum, 2005), pp</w:t>
      </w:r>
      <w:r w:rsidR="00720CFB" w:rsidRPr="00720CFB">
        <w:t xml:space="preserve"> 5-</w:t>
      </w:r>
      <w:r w:rsidR="00E975C1">
        <w:t>37</w:t>
      </w:r>
      <w:r w:rsidR="00720CFB" w:rsidRPr="00720CFB">
        <w:t>.</w:t>
      </w:r>
      <w:r w:rsidR="00720CFB">
        <w:t xml:space="preserve"> </w:t>
      </w:r>
    </w:p>
    <w:p w14:paraId="1FB6ACF4" w14:textId="7946C8E6" w:rsidR="004B3484" w:rsidRDefault="004B3484" w:rsidP="002D4542">
      <w:pPr>
        <w:spacing w:line="360" w:lineRule="auto"/>
      </w:pPr>
    </w:p>
    <w:p w14:paraId="3AA057F7" w14:textId="77777777" w:rsidR="00017880" w:rsidRDefault="00017880" w:rsidP="00017880">
      <w:pPr>
        <w:spacing w:line="360" w:lineRule="auto"/>
        <w:rPr>
          <w:highlight w:val="yellow"/>
        </w:rPr>
      </w:pPr>
      <w:r>
        <w:t>Walker, Tony and Helen Waterhouse</w:t>
      </w:r>
      <w:r w:rsidRPr="00D71FD1">
        <w:t>,</w:t>
      </w:r>
      <w:r>
        <w:t xml:space="preserve"> ‘</w:t>
      </w:r>
      <w:r w:rsidRPr="00267BD1">
        <w:rPr>
          <w:i/>
          <w:iCs/>
        </w:rPr>
        <w:t>A Very Private Belief: Reincarnation in Contemporary England</w:t>
      </w:r>
      <w:r>
        <w:rPr>
          <w:i/>
          <w:iCs/>
        </w:rPr>
        <w:t>’</w:t>
      </w:r>
      <w:r>
        <w:t xml:space="preserve">, </w:t>
      </w:r>
      <w:r w:rsidRPr="00D71FD1">
        <w:t xml:space="preserve">Sociology of Religion, </w:t>
      </w:r>
      <w:r>
        <w:t>v.</w:t>
      </w:r>
      <w:r w:rsidRPr="00D71FD1">
        <w:t>60</w:t>
      </w:r>
      <w:r>
        <w:t xml:space="preserve"> (1999), </w:t>
      </w:r>
      <w:r w:rsidRPr="00D71FD1">
        <w:t>187-197.</w:t>
      </w:r>
    </w:p>
    <w:p w14:paraId="2B96289A" w14:textId="77777777" w:rsidR="00017880" w:rsidRDefault="00017880" w:rsidP="002D4542">
      <w:pPr>
        <w:spacing w:line="360" w:lineRule="auto"/>
      </w:pPr>
    </w:p>
    <w:p w14:paraId="64F123AC" w14:textId="07CEB26D" w:rsidR="00BA2D32" w:rsidRPr="00DA5199" w:rsidRDefault="00BA2D32" w:rsidP="002D4542">
      <w:pPr>
        <w:spacing w:line="360" w:lineRule="auto"/>
      </w:pPr>
    </w:p>
    <w:sectPr w:rsidR="00BA2D32" w:rsidRPr="00DA5199" w:rsidSect="00DA0655">
      <w:footerReference w:type="even" r:id="rId12"/>
      <w:footerReference w:type="default" r:id="rId13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51EC3B" w14:textId="77777777" w:rsidR="00BC32EF" w:rsidRDefault="00BC32EF" w:rsidP="00DA0655">
      <w:r>
        <w:separator/>
      </w:r>
    </w:p>
  </w:endnote>
  <w:endnote w:type="continuationSeparator" w:id="0">
    <w:p w14:paraId="60E3E711" w14:textId="77777777" w:rsidR="00BC32EF" w:rsidRDefault="00BC32EF" w:rsidP="00DA06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93225368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35F669A" w14:textId="26AD0CF5" w:rsidR="00DA0655" w:rsidRDefault="00DA0655" w:rsidP="00DA065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06C3CA5" w14:textId="77777777" w:rsidR="00DA0655" w:rsidRDefault="00DA0655" w:rsidP="00DA065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8D3E99" w14:textId="77777777" w:rsidR="00DA0655" w:rsidRDefault="00DA0655" w:rsidP="00DA065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7961AD" w14:textId="77777777" w:rsidR="00BC32EF" w:rsidRDefault="00BC32EF" w:rsidP="00DA0655">
      <w:r>
        <w:separator/>
      </w:r>
    </w:p>
  </w:footnote>
  <w:footnote w:type="continuationSeparator" w:id="0">
    <w:p w14:paraId="53CB084B" w14:textId="77777777" w:rsidR="00BC32EF" w:rsidRDefault="00BC32EF" w:rsidP="00DA0655">
      <w:r>
        <w:continuationSeparator/>
      </w:r>
    </w:p>
  </w:footnote>
  <w:footnote w:id="1">
    <w:p w14:paraId="164837D2" w14:textId="0E8DB33B" w:rsidR="00EF4934" w:rsidRPr="00365EAF" w:rsidRDefault="00EF4934" w:rsidP="00365EAF">
      <w:pPr>
        <w:contextualSpacing/>
        <w:rPr>
          <w:sz w:val="20"/>
          <w:szCs w:val="20"/>
        </w:rPr>
      </w:pPr>
      <w:r w:rsidRPr="00365EAF">
        <w:rPr>
          <w:rStyle w:val="FootnoteReference"/>
          <w:sz w:val="20"/>
          <w:szCs w:val="20"/>
        </w:rPr>
        <w:footnoteRef/>
      </w:r>
      <w:r w:rsidRPr="00365EAF">
        <w:rPr>
          <w:sz w:val="20"/>
          <w:szCs w:val="20"/>
        </w:rPr>
        <w:t xml:space="preserve"> </w:t>
      </w:r>
      <w:r w:rsidR="00365EAF" w:rsidRPr="00365EAF">
        <w:rPr>
          <w:sz w:val="20"/>
          <w:szCs w:val="20"/>
        </w:rPr>
        <w:t xml:space="preserve">Nicholas </w:t>
      </w:r>
      <w:r w:rsidR="00C14715" w:rsidRPr="00365EAF">
        <w:rPr>
          <w:sz w:val="20"/>
          <w:szCs w:val="20"/>
        </w:rPr>
        <w:t>Campion ‘Prophecy, Cosmology and the New Age Movement. The Extent and Nature of Contemporary Belief in Astrology’ (PHD, Bath Spa University College, 2004), pp. 155.</w:t>
      </w:r>
    </w:p>
  </w:footnote>
  <w:footnote w:id="2">
    <w:p w14:paraId="6ADCBAA1" w14:textId="77777777" w:rsidR="00497C2A" w:rsidRPr="00365EAF" w:rsidRDefault="00497C2A" w:rsidP="00497C2A">
      <w:pPr>
        <w:pStyle w:val="FootnoteText"/>
        <w:contextualSpacing/>
      </w:pPr>
      <w:r w:rsidRPr="00365EAF">
        <w:rPr>
          <w:rStyle w:val="FootnoteReference"/>
        </w:rPr>
        <w:footnoteRef/>
      </w:r>
      <w:r w:rsidRPr="00365EAF">
        <w:t xml:space="preserve"> </w:t>
      </w:r>
      <w:r>
        <w:t xml:space="preserve">Gillian </w:t>
      </w:r>
      <w:r w:rsidRPr="00D71FD1">
        <w:t>Bennett</w:t>
      </w:r>
      <w:r>
        <w:t xml:space="preserve"> ‘</w:t>
      </w:r>
      <w:r w:rsidRPr="00267BD1">
        <w:t xml:space="preserve">If I Knew You were Coming, I'd Have Baked a Cake - The Folklore of Foreknowledge in a </w:t>
      </w:r>
      <w:proofErr w:type="spellStart"/>
      <w:r w:rsidRPr="00267BD1">
        <w:t>Neighborhood</w:t>
      </w:r>
      <w:proofErr w:type="spellEnd"/>
      <w:r w:rsidRPr="00267BD1">
        <w:t xml:space="preserve"> Group’</w:t>
      </w:r>
      <w:r w:rsidRPr="00D71FD1">
        <w:t xml:space="preserve"> In </w:t>
      </w:r>
      <w:r w:rsidRPr="00267BD1">
        <w:rPr>
          <w:i/>
          <w:iCs/>
        </w:rPr>
        <w:t>Out of the Ordinary: Folklore and the Supernatural</w:t>
      </w:r>
      <w:r w:rsidRPr="00D71FD1">
        <w:t>, ed</w:t>
      </w:r>
      <w:r>
        <w:t>.</w:t>
      </w:r>
      <w:r w:rsidRPr="00D71FD1">
        <w:t xml:space="preserve"> by Barbara Walker, </w:t>
      </w:r>
      <w:r>
        <w:t xml:space="preserve">(Logan, </w:t>
      </w:r>
      <w:r w:rsidRPr="00D71FD1">
        <w:t>Utah: Utah University Press</w:t>
      </w:r>
      <w:r>
        <w:t>, 1995), pp.</w:t>
      </w:r>
      <w:r w:rsidRPr="00D71FD1">
        <w:t>122-142.</w:t>
      </w:r>
    </w:p>
  </w:footnote>
  <w:footnote w:id="3">
    <w:p w14:paraId="30F0B551" w14:textId="77777777" w:rsidR="00497C2A" w:rsidRPr="00365EAF" w:rsidRDefault="00497C2A" w:rsidP="00497C2A">
      <w:pPr>
        <w:pStyle w:val="FootnoteText"/>
        <w:contextualSpacing/>
      </w:pPr>
      <w:r w:rsidRPr="00365EAF">
        <w:rPr>
          <w:rStyle w:val="FootnoteReference"/>
        </w:rPr>
        <w:footnoteRef/>
      </w:r>
      <w:r w:rsidRPr="00365EAF">
        <w:t xml:space="preserve"> </w:t>
      </w:r>
      <w:r>
        <w:t>Tony Walker and Helen Waterhouse</w:t>
      </w:r>
      <w:r w:rsidRPr="00D71FD1">
        <w:t>,</w:t>
      </w:r>
      <w:r>
        <w:t xml:space="preserve"> ‘</w:t>
      </w:r>
      <w:r w:rsidRPr="00267BD1">
        <w:rPr>
          <w:i/>
          <w:iCs/>
        </w:rPr>
        <w:t>A Very Private Belief: Reincarnation in Contemporary England</w:t>
      </w:r>
      <w:r>
        <w:rPr>
          <w:i/>
          <w:iCs/>
        </w:rPr>
        <w:t>’</w:t>
      </w:r>
      <w:r>
        <w:t xml:space="preserve">, </w:t>
      </w:r>
      <w:r w:rsidRPr="00D71FD1">
        <w:t xml:space="preserve">Sociology of Religion, </w:t>
      </w:r>
      <w:r>
        <w:t>v.</w:t>
      </w:r>
      <w:r w:rsidRPr="00D71FD1">
        <w:t>60</w:t>
      </w:r>
      <w:r>
        <w:t xml:space="preserve"> (1999), </w:t>
      </w:r>
      <w:r w:rsidRPr="00D71FD1">
        <w:t>187-197.</w:t>
      </w:r>
    </w:p>
  </w:footnote>
  <w:footnote w:id="4">
    <w:p w14:paraId="31E1AE24" w14:textId="1490C1BB" w:rsidR="00A51E4A" w:rsidRDefault="00A51E4A">
      <w:pPr>
        <w:pStyle w:val="FootnoteText"/>
      </w:pPr>
      <w:r>
        <w:rPr>
          <w:rStyle w:val="FootnoteReference"/>
        </w:rPr>
        <w:footnoteRef/>
      </w:r>
      <w:r>
        <w:t xml:space="preserve"> Gillian </w:t>
      </w:r>
      <w:r w:rsidRPr="00D71FD1">
        <w:t>Bennett</w:t>
      </w:r>
      <w:r>
        <w:t xml:space="preserve"> ‘</w:t>
      </w:r>
      <w:r w:rsidRPr="00267BD1">
        <w:t xml:space="preserve">If I Knew You were Coming, I'd Have Baked a Cake - The Folklore of Foreknowledge in a </w:t>
      </w:r>
      <w:proofErr w:type="spellStart"/>
      <w:r w:rsidRPr="00267BD1">
        <w:t>Neighborhood</w:t>
      </w:r>
      <w:proofErr w:type="spellEnd"/>
      <w:r w:rsidRPr="00267BD1">
        <w:t xml:space="preserve"> Group’</w:t>
      </w:r>
      <w:r w:rsidRPr="00D71FD1">
        <w:t xml:space="preserve"> In </w:t>
      </w:r>
      <w:r w:rsidRPr="00267BD1">
        <w:rPr>
          <w:i/>
          <w:iCs/>
        </w:rPr>
        <w:t>Out of the Ordinary: Folklore and the Supernatural</w:t>
      </w:r>
      <w:r w:rsidRPr="00D71FD1">
        <w:t>, ed</w:t>
      </w:r>
      <w:r>
        <w:t>.</w:t>
      </w:r>
      <w:r w:rsidRPr="00D71FD1">
        <w:t xml:space="preserve"> by Barbara Walker, </w:t>
      </w:r>
      <w:r>
        <w:t xml:space="preserve">(Logan, </w:t>
      </w:r>
      <w:r w:rsidRPr="00D71FD1">
        <w:t>Utah: Utah University Press</w:t>
      </w:r>
      <w:r>
        <w:t>, 1995), pp.</w:t>
      </w:r>
      <w:r w:rsidRPr="00D71FD1">
        <w:t>1</w:t>
      </w:r>
      <w:r>
        <w:t>34.</w:t>
      </w:r>
    </w:p>
  </w:footnote>
  <w:footnote w:id="5">
    <w:p w14:paraId="777BDD0D" w14:textId="693942F9" w:rsidR="005D20F3" w:rsidRDefault="005D20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20CFB">
        <w:t xml:space="preserve">A.N. Oppenheim, </w:t>
      </w:r>
      <w:r w:rsidR="00720CFB" w:rsidRPr="00720CFB">
        <w:rPr>
          <w:i/>
          <w:iCs/>
        </w:rPr>
        <w:t>Questionnaire Design, Interviewing and Attitude Measurement</w:t>
      </w:r>
      <w:r w:rsidR="00720CFB">
        <w:t xml:space="preserve"> (London, </w:t>
      </w:r>
      <w:r w:rsidR="00720CFB" w:rsidRPr="00720CFB">
        <w:t xml:space="preserve">Continuum, 2005), pp </w:t>
      </w:r>
      <w:r w:rsidR="00720CFB">
        <w:t>7.</w:t>
      </w:r>
    </w:p>
  </w:footnote>
  <w:footnote w:id="6">
    <w:p w14:paraId="0248E21F" w14:textId="7FDDEA92" w:rsidR="009B02CF" w:rsidRDefault="009B02CF">
      <w:pPr>
        <w:pStyle w:val="FootnoteText"/>
      </w:pPr>
      <w:r>
        <w:rPr>
          <w:rStyle w:val="FootnoteReference"/>
        </w:rPr>
        <w:footnoteRef/>
      </w:r>
      <w:r>
        <w:t xml:space="preserve"> Tony Walker and Helen Waterhouse</w:t>
      </w:r>
      <w:r w:rsidRPr="00D71FD1">
        <w:t>,</w:t>
      </w:r>
      <w:r>
        <w:t xml:space="preserve"> ‘</w:t>
      </w:r>
      <w:r w:rsidRPr="00267BD1">
        <w:rPr>
          <w:i/>
          <w:iCs/>
        </w:rPr>
        <w:t>A Very Private Belief: Reincarnation in Contemporary England</w:t>
      </w:r>
      <w:r>
        <w:rPr>
          <w:i/>
          <w:iCs/>
        </w:rPr>
        <w:t>’</w:t>
      </w:r>
      <w:r>
        <w:t xml:space="preserve">, </w:t>
      </w:r>
      <w:r w:rsidRPr="00D71FD1">
        <w:t xml:space="preserve">Sociology of Religion, </w:t>
      </w:r>
      <w:r>
        <w:t>v.</w:t>
      </w:r>
      <w:r w:rsidRPr="00D71FD1">
        <w:t>60</w:t>
      </w:r>
      <w:r>
        <w:t xml:space="preserve"> (1999), pp.188.</w:t>
      </w:r>
    </w:p>
  </w:footnote>
  <w:footnote w:id="7">
    <w:p w14:paraId="1A8F6756" w14:textId="3AC6A2EA" w:rsidR="00FD63FA" w:rsidRDefault="00FD63FA" w:rsidP="00FD63FA">
      <w:pPr>
        <w:pStyle w:val="FootnoteText"/>
      </w:pPr>
      <w:r>
        <w:rPr>
          <w:rStyle w:val="FootnoteReference"/>
        </w:rPr>
        <w:footnoteRef/>
      </w:r>
      <w:r>
        <w:t xml:space="preserve"> A.N. Oppenheim, </w:t>
      </w:r>
      <w:r w:rsidRPr="00720CFB">
        <w:rPr>
          <w:i/>
          <w:iCs/>
        </w:rPr>
        <w:t>Questionnaire Design, Interviewing and Attitude Measurement</w:t>
      </w:r>
      <w:r>
        <w:t xml:space="preserve"> (London, </w:t>
      </w:r>
      <w:r w:rsidRPr="00720CFB">
        <w:t xml:space="preserve">Continuum, 2005), pp </w:t>
      </w:r>
      <w:r>
        <w:t xml:space="preserve">33. </w:t>
      </w:r>
      <w:r w:rsidR="00972FEA">
        <w:t xml:space="preserve">; </w:t>
      </w:r>
      <w:r>
        <w:t>Tony Walker and Helen Waterhouse</w:t>
      </w:r>
      <w:r w:rsidRPr="00D71FD1">
        <w:t>,</w:t>
      </w:r>
      <w:r>
        <w:t xml:space="preserve"> ‘</w:t>
      </w:r>
      <w:r w:rsidRPr="00267BD1">
        <w:rPr>
          <w:i/>
          <w:iCs/>
        </w:rPr>
        <w:t>A Very Private Belief: Reincarnation in Contemporary England</w:t>
      </w:r>
      <w:r>
        <w:rPr>
          <w:i/>
          <w:iCs/>
        </w:rPr>
        <w:t>’</w:t>
      </w:r>
      <w:r>
        <w:t xml:space="preserve">, </w:t>
      </w:r>
      <w:r w:rsidRPr="00D71FD1">
        <w:t xml:space="preserve">Sociology of Religion, </w:t>
      </w:r>
      <w:r>
        <w:t>v.</w:t>
      </w:r>
      <w:r w:rsidRPr="00D71FD1">
        <w:t>60</w:t>
      </w:r>
      <w:r>
        <w:t xml:space="preserve"> (1999), pp.</w:t>
      </w:r>
      <w:r w:rsidRPr="00D71FD1">
        <w:t>1</w:t>
      </w:r>
      <w:r>
        <w:t>89.</w:t>
      </w:r>
    </w:p>
  </w:footnote>
  <w:footnote w:id="8">
    <w:p w14:paraId="4CD2D4E8" w14:textId="0741B00F" w:rsidR="00F73E16" w:rsidRDefault="00F73E16">
      <w:pPr>
        <w:pStyle w:val="FootnoteText"/>
      </w:pPr>
      <w:r>
        <w:rPr>
          <w:rStyle w:val="FootnoteReference"/>
        </w:rPr>
        <w:footnoteRef/>
      </w:r>
      <w:r>
        <w:t xml:space="preserve"> Alan Bryman, </w:t>
      </w:r>
      <w:r w:rsidRPr="00AB4D9A">
        <w:rPr>
          <w:i/>
          <w:iCs/>
        </w:rPr>
        <w:t>Quantity and Quality in Social Research</w:t>
      </w:r>
      <w:r>
        <w:t xml:space="preserve"> (Routledge, Kindle Edition, 1988), Chapter 3.</w:t>
      </w:r>
    </w:p>
  </w:footnote>
  <w:footnote w:id="9">
    <w:p w14:paraId="542F4840" w14:textId="67473775" w:rsidR="00823C69" w:rsidRDefault="00823C69">
      <w:pPr>
        <w:pStyle w:val="FootnoteText"/>
      </w:pPr>
      <w:r>
        <w:rPr>
          <w:rStyle w:val="FootnoteReference"/>
        </w:rPr>
        <w:footnoteRef/>
      </w:r>
      <w:r>
        <w:t xml:space="preserve"> A.N. Oppenheim, </w:t>
      </w:r>
      <w:r w:rsidRPr="00720CFB">
        <w:rPr>
          <w:i/>
          <w:iCs/>
        </w:rPr>
        <w:t>Questionnaire Design, Interviewing and Attitude Measurement</w:t>
      </w:r>
      <w:r>
        <w:t xml:space="preserve"> (London, </w:t>
      </w:r>
      <w:r w:rsidRPr="00720CFB">
        <w:t xml:space="preserve">Continuum, 2005), pp </w:t>
      </w:r>
      <w:r>
        <w:t>7.</w:t>
      </w:r>
    </w:p>
  </w:footnote>
  <w:footnote w:id="10">
    <w:p w14:paraId="522959A0" w14:textId="32668520" w:rsidR="009B02CF" w:rsidRDefault="009B02CF">
      <w:pPr>
        <w:pStyle w:val="FootnoteText"/>
      </w:pPr>
      <w:r>
        <w:rPr>
          <w:rStyle w:val="FootnoteReference"/>
        </w:rPr>
        <w:footnoteRef/>
      </w:r>
      <w:r>
        <w:t xml:space="preserve"> Gillian </w:t>
      </w:r>
      <w:r w:rsidRPr="00D71FD1">
        <w:t>Bennett</w:t>
      </w:r>
      <w:r>
        <w:t xml:space="preserve"> ‘</w:t>
      </w:r>
      <w:r w:rsidRPr="00267BD1">
        <w:t xml:space="preserve">If I Knew You were Coming, I'd Have Baked a Cake - The Folklore of Foreknowledge in a </w:t>
      </w:r>
      <w:proofErr w:type="spellStart"/>
      <w:r w:rsidRPr="00267BD1">
        <w:t>Neighborhood</w:t>
      </w:r>
      <w:proofErr w:type="spellEnd"/>
      <w:r w:rsidRPr="00267BD1">
        <w:t xml:space="preserve"> Group’</w:t>
      </w:r>
      <w:r w:rsidRPr="00D71FD1">
        <w:t xml:space="preserve"> In </w:t>
      </w:r>
      <w:r w:rsidRPr="00267BD1">
        <w:rPr>
          <w:i/>
          <w:iCs/>
        </w:rPr>
        <w:t>Out of the Ordinary: Folklore and the Supernatural</w:t>
      </w:r>
      <w:r w:rsidRPr="00D71FD1">
        <w:t>, ed</w:t>
      </w:r>
      <w:r>
        <w:t>.</w:t>
      </w:r>
      <w:r w:rsidRPr="00D71FD1">
        <w:t xml:space="preserve"> by Barbara Walker, </w:t>
      </w:r>
      <w:r>
        <w:t xml:space="preserve">(Logan, </w:t>
      </w:r>
      <w:r w:rsidRPr="00D71FD1">
        <w:t>Utah: Utah University Press</w:t>
      </w:r>
      <w:r>
        <w:t>, 1995), pp.</w:t>
      </w:r>
      <w:r w:rsidRPr="00D71FD1">
        <w:t>1</w:t>
      </w:r>
      <w:r>
        <w:t>31.</w:t>
      </w:r>
    </w:p>
  </w:footnote>
  <w:footnote w:id="11">
    <w:p w14:paraId="1A3DE437" w14:textId="04D81B88" w:rsidR="00720CFB" w:rsidRDefault="00720CFB" w:rsidP="00BD0839">
      <w:pPr>
        <w:contextualSpacing/>
      </w:pPr>
      <w:r>
        <w:rPr>
          <w:rStyle w:val="FootnoteReference"/>
        </w:rPr>
        <w:footnoteRef/>
      </w:r>
      <w:r>
        <w:t xml:space="preserve"> </w:t>
      </w:r>
      <w:r w:rsidR="00BD0839" w:rsidRPr="00BD0839">
        <w:rPr>
          <w:sz w:val="20"/>
          <w:szCs w:val="20"/>
        </w:rPr>
        <w:t xml:space="preserve">Judith Bell, </w:t>
      </w:r>
      <w:r w:rsidR="00BD0839" w:rsidRPr="00BD0839">
        <w:rPr>
          <w:i/>
          <w:iCs/>
          <w:sz w:val="20"/>
          <w:szCs w:val="20"/>
        </w:rPr>
        <w:t>Doing your Research Project</w:t>
      </w:r>
      <w:r w:rsidR="00BD0839" w:rsidRPr="00BD0839">
        <w:rPr>
          <w:sz w:val="20"/>
          <w:szCs w:val="20"/>
        </w:rPr>
        <w:t xml:space="preserve"> (</w:t>
      </w:r>
      <w:proofErr w:type="spellStart"/>
      <w:r w:rsidR="00BD0839" w:rsidRPr="00BD0839">
        <w:rPr>
          <w:sz w:val="20"/>
          <w:szCs w:val="20"/>
        </w:rPr>
        <w:t>McGrawHill</w:t>
      </w:r>
      <w:proofErr w:type="spellEnd"/>
      <w:r w:rsidR="00BD0839" w:rsidRPr="00BD0839">
        <w:rPr>
          <w:sz w:val="20"/>
          <w:szCs w:val="20"/>
        </w:rPr>
        <w:t xml:space="preserve"> Education, Kindle Edition, 2014), Part 1- </w:t>
      </w:r>
      <w:r w:rsidR="00BD0839">
        <w:rPr>
          <w:sz w:val="20"/>
          <w:szCs w:val="20"/>
        </w:rPr>
        <w:t>C</w:t>
      </w:r>
      <w:r w:rsidR="00BD0839" w:rsidRPr="00BD0839">
        <w:rPr>
          <w:sz w:val="20"/>
          <w:szCs w:val="20"/>
        </w:rPr>
        <w:t>hapter 3.</w:t>
      </w:r>
      <w:r w:rsidR="00BD0839">
        <w:t xml:space="preserve"> </w:t>
      </w:r>
    </w:p>
  </w:footnote>
  <w:footnote w:id="12">
    <w:p w14:paraId="47883244" w14:textId="5EE510D2" w:rsidR="009B02CF" w:rsidRDefault="009B02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3E16">
        <w:t>Tony Walker and Helen Waterhouse</w:t>
      </w:r>
      <w:r w:rsidR="00F73E16" w:rsidRPr="00D71FD1">
        <w:t>,</w:t>
      </w:r>
      <w:r w:rsidR="00F73E16">
        <w:t xml:space="preserve"> ‘</w:t>
      </w:r>
      <w:r w:rsidR="00F73E16" w:rsidRPr="00267BD1">
        <w:rPr>
          <w:i/>
          <w:iCs/>
        </w:rPr>
        <w:t>A Very Private Belief: Reincarnation in Contemporary England</w:t>
      </w:r>
      <w:r w:rsidR="00F73E16">
        <w:rPr>
          <w:i/>
          <w:iCs/>
        </w:rPr>
        <w:t>’</w:t>
      </w:r>
      <w:r w:rsidR="00F73E16">
        <w:t xml:space="preserve">, </w:t>
      </w:r>
      <w:r w:rsidR="00F73E16" w:rsidRPr="00D71FD1">
        <w:t xml:space="preserve">Sociology of Religion, </w:t>
      </w:r>
      <w:r w:rsidR="00F73E16">
        <w:t>v.</w:t>
      </w:r>
      <w:r w:rsidR="00F73E16" w:rsidRPr="00D71FD1">
        <w:t>60</w:t>
      </w:r>
      <w:r w:rsidR="00F73E16">
        <w:t xml:space="preserve"> (1999), pp.</w:t>
      </w:r>
      <w:r w:rsidR="00F73E16" w:rsidRPr="00D71FD1">
        <w:t>1</w:t>
      </w:r>
      <w:r w:rsidR="00F73E16">
        <w:t>89.</w:t>
      </w:r>
    </w:p>
  </w:footnote>
  <w:footnote w:id="13">
    <w:p w14:paraId="7D864EC0" w14:textId="5DE8AD8D" w:rsidR="00090FFF" w:rsidRDefault="00090FFF">
      <w:pPr>
        <w:pStyle w:val="FootnoteText"/>
      </w:pPr>
      <w:r>
        <w:rPr>
          <w:rStyle w:val="FootnoteReference"/>
        </w:rPr>
        <w:footnoteRef/>
      </w:r>
      <w:r>
        <w:t xml:space="preserve"> Alan Bryman, </w:t>
      </w:r>
      <w:r w:rsidRPr="00AB4D9A">
        <w:rPr>
          <w:i/>
          <w:iCs/>
        </w:rPr>
        <w:t>Quantity and Quality in Social Research</w:t>
      </w:r>
      <w:r>
        <w:t xml:space="preserve"> (Routledge, Kindle Edition, 1988), Chapter 3.</w:t>
      </w:r>
    </w:p>
  </w:footnote>
  <w:footnote w:id="14">
    <w:p w14:paraId="53ED70F1" w14:textId="717941A4" w:rsidR="00A51E4A" w:rsidRDefault="00A51E4A">
      <w:pPr>
        <w:pStyle w:val="FootnoteText"/>
      </w:pPr>
      <w:r>
        <w:rPr>
          <w:rStyle w:val="FootnoteReference"/>
        </w:rPr>
        <w:footnoteRef/>
      </w:r>
      <w:r>
        <w:t xml:space="preserve"> Tony Walker and Helen Waterhouse</w:t>
      </w:r>
      <w:r w:rsidRPr="00D71FD1">
        <w:t>,</w:t>
      </w:r>
      <w:r>
        <w:t xml:space="preserve"> ‘</w:t>
      </w:r>
      <w:r w:rsidRPr="00267BD1">
        <w:rPr>
          <w:i/>
          <w:iCs/>
        </w:rPr>
        <w:t>A Very Private Belief: Reincarnation in Contemporary England</w:t>
      </w:r>
      <w:r>
        <w:rPr>
          <w:i/>
          <w:iCs/>
        </w:rPr>
        <w:t>’</w:t>
      </w:r>
      <w:r>
        <w:t xml:space="preserve">, </w:t>
      </w:r>
      <w:r w:rsidRPr="00D71FD1">
        <w:t xml:space="preserve">Sociology of Religion, </w:t>
      </w:r>
      <w:r>
        <w:t>v.</w:t>
      </w:r>
      <w:r w:rsidRPr="00D71FD1">
        <w:t>60</w:t>
      </w:r>
      <w:r>
        <w:t xml:space="preserve"> (1999), pp.</w:t>
      </w:r>
      <w:r w:rsidRPr="00D71FD1">
        <w:t>1</w:t>
      </w:r>
      <w:r>
        <w:t>91.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4C2E19"/>
    <w:multiLevelType w:val="hybridMultilevel"/>
    <w:tmpl w:val="EDA438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BC0842"/>
    <w:multiLevelType w:val="hybridMultilevel"/>
    <w:tmpl w:val="F5C04C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423D70"/>
    <w:multiLevelType w:val="hybridMultilevel"/>
    <w:tmpl w:val="43A0A4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692C65"/>
    <w:multiLevelType w:val="hybridMultilevel"/>
    <w:tmpl w:val="A350A3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ABB385E"/>
    <w:multiLevelType w:val="hybridMultilevel"/>
    <w:tmpl w:val="6F822B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BB427D"/>
    <w:multiLevelType w:val="hybridMultilevel"/>
    <w:tmpl w:val="EDA4383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2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31D"/>
    <w:rsid w:val="0000595A"/>
    <w:rsid w:val="00012721"/>
    <w:rsid w:val="00012E8F"/>
    <w:rsid w:val="00017880"/>
    <w:rsid w:val="0003001A"/>
    <w:rsid w:val="00041E55"/>
    <w:rsid w:val="00067F3D"/>
    <w:rsid w:val="00077F27"/>
    <w:rsid w:val="00090FFF"/>
    <w:rsid w:val="00093ED0"/>
    <w:rsid w:val="000A070B"/>
    <w:rsid w:val="000E2C0D"/>
    <w:rsid w:val="000E7631"/>
    <w:rsid w:val="0014088A"/>
    <w:rsid w:val="001A398C"/>
    <w:rsid w:val="001A457C"/>
    <w:rsid w:val="001B090C"/>
    <w:rsid w:val="001B273C"/>
    <w:rsid w:val="001B6B6B"/>
    <w:rsid w:val="001C0F99"/>
    <w:rsid w:val="001D431D"/>
    <w:rsid w:val="001E1899"/>
    <w:rsid w:val="001E607F"/>
    <w:rsid w:val="001F1DBF"/>
    <w:rsid w:val="0022269A"/>
    <w:rsid w:val="00230F2A"/>
    <w:rsid w:val="002635BD"/>
    <w:rsid w:val="002638F9"/>
    <w:rsid w:val="00266189"/>
    <w:rsid w:val="00267BD1"/>
    <w:rsid w:val="002702BE"/>
    <w:rsid w:val="00286096"/>
    <w:rsid w:val="00294AB6"/>
    <w:rsid w:val="002965CA"/>
    <w:rsid w:val="002A42F0"/>
    <w:rsid w:val="002C1B4E"/>
    <w:rsid w:val="002C5169"/>
    <w:rsid w:val="002D4542"/>
    <w:rsid w:val="00322EF1"/>
    <w:rsid w:val="003378D5"/>
    <w:rsid w:val="00365EAF"/>
    <w:rsid w:val="00374C87"/>
    <w:rsid w:val="00393E74"/>
    <w:rsid w:val="003C12DD"/>
    <w:rsid w:val="003E7A29"/>
    <w:rsid w:val="00400F66"/>
    <w:rsid w:val="00446966"/>
    <w:rsid w:val="00464BAD"/>
    <w:rsid w:val="00470208"/>
    <w:rsid w:val="0047608F"/>
    <w:rsid w:val="00485091"/>
    <w:rsid w:val="004908D8"/>
    <w:rsid w:val="004909C1"/>
    <w:rsid w:val="00497C2A"/>
    <w:rsid w:val="004B3484"/>
    <w:rsid w:val="004C55E8"/>
    <w:rsid w:val="004E0C5E"/>
    <w:rsid w:val="00502567"/>
    <w:rsid w:val="0052282C"/>
    <w:rsid w:val="005248CC"/>
    <w:rsid w:val="0054078B"/>
    <w:rsid w:val="005439A3"/>
    <w:rsid w:val="0054715A"/>
    <w:rsid w:val="005615FF"/>
    <w:rsid w:val="005725F1"/>
    <w:rsid w:val="00591663"/>
    <w:rsid w:val="005A1A9E"/>
    <w:rsid w:val="005A6B71"/>
    <w:rsid w:val="005D1879"/>
    <w:rsid w:val="005D20F3"/>
    <w:rsid w:val="005F0C00"/>
    <w:rsid w:val="005F3895"/>
    <w:rsid w:val="005F5FD0"/>
    <w:rsid w:val="00607322"/>
    <w:rsid w:val="00644953"/>
    <w:rsid w:val="006500DE"/>
    <w:rsid w:val="00653A0E"/>
    <w:rsid w:val="00684748"/>
    <w:rsid w:val="006A7D90"/>
    <w:rsid w:val="006F579F"/>
    <w:rsid w:val="00705975"/>
    <w:rsid w:val="007107ED"/>
    <w:rsid w:val="00720CFB"/>
    <w:rsid w:val="00723C8F"/>
    <w:rsid w:val="00742016"/>
    <w:rsid w:val="007634FF"/>
    <w:rsid w:val="00765528"/>
    <w:rsid w:val="007B1480"/>
    <w:rsid w:val="007C360D"/>
    <w:rsid w:val="007C4CF9"/>
    <w:rsid w:val="007D0AB1"/>
    <w:rsid w:val="007E57A7"/>
    <w:rsid w:val="008113B8"/>
    <w:rsid w:val="00813FD1"/>
    <w:rsid w:val="00823C69"/>
    <w:rsid w:val="00843BF2"/>
    <w:rsid w:val="00856D10"/>
    <w:rsid w:val="00885764"/>
    <w:rsid w:val="00896E1B"/>
    <w:rsid w:val="00897BBA"/>
    <w:rsid w:val="008C19B6"/>
    <w:rsid w:val="008C21BC"/>
    <w:rsid w:val="008E1DD1"/>
    <w:rsid w:val="008F7803"/>
    <w:rsid w:val="00963C3D"/>
    <w:rsid w:val="0097189A"/>
    <w:rsid w:val="00972D28"/>
    <w:rsid w:val="00972FEA"/>
    <w:rsid w:val="0097660F"/>
    <w:rsid w:val="00993E62"/>
    <w:rsid w:val="009A2466"/>
    <w:rsid w:val="009B02CF"/>
    <w:rsid w:val="009B1638"/>
    <w:rsid w:val="009B3CB1"/>
    <w:rsid w:val="009D0D72"/>
    <w:rsid w:val="009D7CC9"/>
    <w:rsid w:val="00A01521"/>
    <w:rsid w:val="00A04354"/>
    <w:rsid w:val="00A51E4A"/>
    <w:rsid w:val="00AB4D9A"/>
    <w:rsid w:val="00AC5F4F"/>
    <w:rsid w:val="00AC77AD"/>
    <w:rsid w:val="00AD4C68"/>
    <w:rsid w:val="00AF03B4"/>
    <w:rsid w:val="00AF3B7B"/>
    <w:rsid w:val="00B011D4"/>
    <w:rsid w:val="00B10D44"/>
    <w:rsid w:val="00B538FB"/>
    <w:rsid w:val="00B60D72"/>
    <w:rsid w:val="00B6191D"/>
    <w:rsid w:val="00B63B3C"/>
    <w:rsid w:val="00B96CBB"/>
    <w:rsid w:val="00BA2D32"/>
    <w:rsid w:val="00BA4392"/>
    <w:rsid w:val="00BC32EF"/>
    <w:rsid w:val="00BD0839"/>
    <w:rsid w:val="00BD0F85"/>
    <w:rsid w:val="00BE7AF7"/>
    <w:rsid w:val="00BF298E"/>
    <w:rsid w:val="00C12B57"/>
    <w:rsid w:val="00C14715"/>
    <w:rsid w:val="00C21593"/>
    <w:rsid w:val="00C43B64"/>
    <w:rsid w:val="00C43C82"/>
    <w:rsid w:val="00C5052B"/>
    <w:rsid w:val="00C7563F"/>
    <w:rsid w:val="00C83B91"/>
    <w:rsid w:val="00CA04C7"/>
    <w:rsid w:val="00CD6924"/>
    <w:rsid w:val="00D02164"/>
    <w:rsid w:val="00D71FD1"/>
    <w:rsid w:val="00D7683E"/>
    <w:rsid w:val="00D86EBA"/>
    <w:rsid w:val="00D90757"/>
    <w:rsid w:val="00D92632"/>
    <w:rsid w:val="00D958AA"/>
    <w:rsid w:val="00DA0655"/>
    <w:rsid w:val="00DA1F2C"/>
    <w:rsid w:val="00DA5199"/>
    <w:rsid w:val="00DD730E"/>
    <w:rsid w:val="00DF07B5"/>
    <w:rsid w:val="00E01A3A"/>
    <w:rsid w:val="00E16CAF"/>
    <w:rsid w:val="00E219E0"/>
    <w:rsid w:val="00E554C2"/>
    <w:rsid w:val="00E64001"/>
    <w:rsid w:val="00E85C21"/>
    <w:rsid w:val="00E953EA"/>
    <w:rsid w:val="00E975C1"/>
    <w:rsid w:val="00EB4888"/>
    <w:rsid w:val="00EC421B"/>
    <w:rsid w:val="00EC665A"/>
    <w:rsid w:val="00ED0900"/>
    <w:rsid w:val="00ED4FCB"/>
    <w:rsid w:val="00EE43CC"/>
    <w:rsid w:val="00EF4934"/>
    <w:rsid w:val="00F05774"/>
    <w:rsid w:val="00F24ABD"/>
    <w:rsid w:val="00F26DA2"/>
    <w:rsid w:val="00F447C3"/>
    <w:rsid w:val="00F50A4F"/>
    <w:rsid w:val="00F57946"/>
    <w:rsid w:val="00F65FCC"/>
    <w:rsid w:val="00F73E16"/>
    <w:rsid w:val="00F76E0C"/>
    <w:rsid w:val="00FC193D"/>
    <w:rsid w:val="00FC555B"/>
    <w:rsid w:val="00FD6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0FE09"/>
  <w15:chartTrackingRefBased/>
  <w15:docId w15:val="{F4F7FF35-2710-1248-B778-CCA37EA7B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5975"/>
    <w:rPr>
      <w:rFonts w:ascii="Times New Roman" w:eastAsia="Times New Roman" w:hAnsi="Times New Roman" w:cs="Times New Roman"/>
    </w:rPr>
  </w:style>
  <w:style w:type="paragraph" w:styleId="Heading3">
    <w:name w:val="heading 3"/>
    <w:basedOn w:val="Normal"/>
    <w:link w:val="Heading3Char"/>
    <w:qFormat/>
    <w:rsid w:val="001E607F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431D"/>
    <w:pPr>
      <w:ind w:left="720"/>
      <w:contextualSpacing/>
    </w:pPr>
    <w:rPr>
      <w:rFonts w:asciiTheme="minorHAnsi" w:eastAsiaTheme="minorHAnsi" w:hAnsiTheme="minorHAnsi" w:cstheme="minorBidi"/>
    </w:rPr>
  </w:style>
  <w:style w:type="paragraph" w:styleId="NormalWeb">
    <w:name w:val="Normal (Web)"/>
    <w:basedOn w:val="Normal"/>
    <w:uiPriority w:val="99"/>
    <w:unhideWhenUsed/>
    <w:rsid w:val="00653A0E"/>
    <w:pPr>
      <w:spacing w:before="100" w:beforeAutospacing="1" w:after="100" w:afterAutospacing="1"/>
    </w:pPr>
  </w:style>
  <w:style w:type="paragraph" w:styleId="Footer">
    <w:name w:val="footer"/>
    <w:basedOn w:val="Normal"/>
    <w:link w:val="FooterChar"/>
    <w:uiPriority w:val="99"/>
    <w:unhideWhenUsed/>
    <w:rsid w:val="00DA065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0655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DA0655"/>
  </w:style>
  <w:style w:type="paragraph" w:styleId="Header">
    <w:name w:val="header"/>
    <w:basedOn w:val="Normal"/>
    <w:link w:val="HeaderChar"/>
    <w:uiPriority w:val="99"/>
    <w:unhideWhenUsed/>
    <w:rsid w:val="00C43C8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43C82"/>
    <w:rPr>
      <w:rFonts w:ascii="Times New Roman" w:eastAsia="Times New Roman" w:hAnsi="Times New Roman" w:cs="Times New Roman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04354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04354"/>
    <w:rPr>
      <w:rFonts w:ascii="Times New Roman" w:eastAsia="Times New Roman" w:hAnsi="Times New Roman" w:cs="Times New Roman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04354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04354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4354"/>
    <w:rPr>
      <w:rFonts w:ascii="Times New Roman" w:eastAsia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4354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05975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7634F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634FF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634FF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634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634FF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634FF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34FF"/>
    <w:rPr>
      <w:rFonts w:ascii="Times New Roman" w:eastAsia="Times New Roman" w:hAnsi="Times New Roman" w:cs="Times New Roman"/>
      <w:sz w:val="18"/>
      <w:szCs w:val="18"/>
    </w:rPr>
  </w:style>
  <w:style w:type="character" w:customStyle="1" w:styleId="Heading3Char">
    <w:name w:val="Heading 3 Char"/>
    <w:basedOn w:val="DefaultParagraphFont"/>
    <w:link w:val="Heading3"/>
    <w:rsid w:val="001E607F"/>
    <w:rPr>
      <w:rFonts w:ascii="Tahoma" w:eastAsia="SimSun" w:hAnsi="Tahoma" w:cs="Tahoma"/>
      <w:b/>
      <w:bCs/>
      <w:sz w:val="20"/>
      <w:szCs w:val="20"/>
      <w:lang w:eastAsia="zh-CN"/>
    </w:rPr>
  </w:style>
  <w:style w:type="character" w:styleId="Hyperlink">
    <w:name w:val="Hyperlink"/>
    <w:basedOn w:val="DefaultParagraphFont"/>
    <w:uiPriority w:val="99"/>
    <w:unhideWhenUsed/>
    <w:rsid w:val="00D71F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FD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1FD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9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122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51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942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39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8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92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99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7307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141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121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906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739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958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610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761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2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800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04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425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ad.amazon.co.uk/?asin=B000OI0PVC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read.amazon.co.uk/?asin=B00NWPEQKU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digitalcommons.usu.edu/cgi/viewcontent.cgi?article=1079&amp;context=usupress_pub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258ABB5-7215-1547-9657-C25993C789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1165</Words>
  <Characters>6647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Morais, Maria</dc:creator>
  <cp:keywords/>
  <dc:description/>
  <cp:lastModifiedBy>Maria Morais</cp:lastModifiedBy>
  <cp:revision>2</cp:revision>
  <dcterms:created xsi:type="dcterms:W3CDTF">2020-06-01T07:40:00Z</dcterms:created>
  <dcterms:modified xsi:type="dcterms:W3CDTF">2020-06-01T07:40:00Z</dcterms:modified>
</cp:coreProperties>
</file>