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AE6617" w14:textId="77777777" w:rsidR="00811905" w:rsidRDefault="00811905">
      <w:pPr>
        <w:spacing w:line="259" w:lineRule="auto"/>
        <w:jc w:val="left"/>
      </w:pPr>
      <w:r w:rsidRPr="00811905">
        <w:rPr>
          <w:noProof/>
          <w:lang w:val="en-GB" w:eastAsia="en-GB"/>
        </w:rPr>
        <w:drawing>
          <wp:inline distT="0" distB="0" distL="0" distR="0" wp14:anchorId="20FA9D9B" wp14:editId="497CF92F">
            <wp:extent cx="2865368" cy="1158340"/>
            <wp:effectExtent l="0" t="0" r="0" b="3810"/>
            <wp:docPr id="1173486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86959" name=""/>
                    <pic:cNvPicPr/>
                  </pic:nvPicPr>
                  <pic:blipFill>
                    <a:blip r:embed="rId7"/>
                    <a:stretch>
                      <a:fillRect/>
                    </a:stretch>
                  </pic:blipFill>
                  <pic:spPr>
                    <a:xfrm>
                      <a:off x="0" y="0"/>
                      <a:ext cx="2865368" cy="1158340"/>
                    </a:xfrm>
                    <a:prstGeom prst="rect">
                      <a:avLst/>
                    </a:prstGeom>
                  </pic:spPr>
                </pic:pic>
              </a:graphicData>
            </a:graphic>
          </wp:inline>
        </w:drawing>
      </w:r>
      <w:r w:rsidRPr="00811905">
        <w:t xml:space="preserve"> </w:t>
      </w:r>
    </w:p>
    <w:p w14:paraId="68CE1082" w14:textId="77777777" w:rsidR="00811905" w:rsidRDefault="00811905">
      <w:pPr>
        <w:spacing w:line="259" w:lineRule="auto"/>
        <w:jc w:val="left"/>
      </w:pPr>
    </w:p>
    <w:p w14:paraId="2D45DFAD" w14:textId="009691A2" w:rsidR="00811905" w:rsidRPr="00812AD4" w:rsidRDefault="00811905" w:rsidP="00811905">
      <w:pPr>
        <w:pStyle w:val="Title"/>
        <w:jc w:val="center"/>
        <w:rPr>
          <w:rFonts w:ascii="Times New Roman" w:hAnsi="Times New Roman" w:cs="Times New Roman"/>
          <w:b/>
        </w:rPr>
      </w:pPr>
      <w:r w:rsidRPr="00812AD4">
        <w:rPr>
          <w:rFonts w:ascii="Times New Roman" w:hAnsi="Times New Roman" w:cs="Times New Roman"/>
          <w:b/>
        </w:rPr>
        <w:t>School of Hospitality &amp; Tourism Management BA International Hotel Management</w:t>
      </w:r>
    </w:p>
    <w:p w14:paraId="377F2851" w14:textId="77777777" w:rsidR="00812AD4" w:rsidRDefault="00812AD4" w:rsidP="00812AD4">
      <w:pPr>
        <w:spacing w:line="259" w:lineRule="auto"/>
        <w:jc w:val="center"/>
      </w:pPr>
    </w:p>
    <w:p w14:paraId="747BEED8" w14:textId="77777777" w:rsidR="00812AD4" w:rsidRDefault="00812AD4" w:rsidP="00812AD4">
      <w:pPr>
        <w:spacing w:line="259" w:lineRule="auto"/>
        <w:jc w:val="center"/>
        <w:rPr>
          <w:b/>
          <w:sz w:val="44"/>
          <w:szCs w:val="44"/>
        </w:rPr>
      </w:pPr>
    </w:p>
    <w:p w14:paraId="243A87E4" w14:textId="77777777" w:rsidR="00812AD4" w:rsidRDefault="00812AD4" w:rsidP="00812AD4">
      <w:pPr>
        <w:spacing w:line="259" w:lineRule="auto"/>
        <w:jc w:val="center"/>
        <w:rPr>
          <w:b/>
          <w:sz w:val="44"/>
          <w:szCs w:val="44"/>
        </w:rPr>
      </w:pPr>
    </w:p>
    <w:p w14:paraId="15D6544C" w14:textId="35F5F32F" w:rsidR="00811905" w:rsidRPr="00812AD4" w:rsidRDefault="00811905" w:rsidP="00812AD4">
      <w:pPr>
        <w:spacing w:line="259" w:lineRule="auto"/>
        <w:jc w:val="center"/>
        <w:rPr>
          <w:b/>
          <w:sz w:val="44"/>
          <w:szCs w:val="44"/>
        </w:rPr>
      </w:pPr>
      <w:r w:rsidRPr="00812AD4">
        <w:rPr>
          <w:b/>
          <w:sz w:val="44"/>
          <w:szCs w:val="44"/>
        </w:rPr>
        <w:t>BMIH5007</w:t>
      </w:r>
      <w:r w:rsidR="00812AD4">
        <w:rPr>
          <w:b/>
          <w:sz w:val="44"/>
          <w:szCs w:val="44"/>
        </w:rPr>
        <w:t xml:space="preserve"> </w:t>
      </w:r>
      <w:r w:rsidRPr="00812AD4">
        <w:rPr>
          <w:b/>
          <w:sz w:val="44"/>
          <w:szCs w:val="44"/>
        </w:rPr>
        <w:t>Financial Management for the Hotel Industry</w:t>
      </w:r>
    </w:p>
    <w:p w14:paraId="145C0DCB" w14:textId="77777777" w:rsidR="00812AD4" w:rsidRDefault="00812AD4" w:rsidP="00812AD4">
      <w:pPr>
        <w:rPr>
          <w:b/>
          <w:sz w:val="44"/>
          <w:szCs w:val="44"/>
        </w:rPr>
      </w:pPr>
      <w:r w:rsidRPr="00B15536">
        <w:rPr>
          <w:b/>
          <w:sz w:val="44"/>
          <w:szCs w:val="44"/>
        </w:rPr>
        <w:t xml:space="preserve">Name: </w:t>
      </w:r>
      <w:proofErr w:type="spellStart"/>
      <w:r w:rsidRPr="00B15536">
        <w:rPr>
          <w:b/>
          <w:sz w:val="44"/>
          <w:szCs w:val="44"/>
        </w:rPr>
        <w:t>Sharmin</w:t>
      </w:r>
      <w:proofErr w:type="spellEnd"/>
      <w:r w:rsidRPr="00B15536">
        <w:rPr>
          <w:b/>
          <w:sz w:val="44"/>
          <w:szCs w:val="44"/>
        </w:rPr>
        <w:t xml:space="preserve"> </w:t>
      </w:r>
      <w:proofErr w:type="spellStart"/>
      <w:r w:rsidRPr="00B15536">
        <w:rPr>
          <w:b/>
          <w:sz w:val="44"/>
          <w:szCs w:val="44"/>
        </w:rPr>
        <w:t>Akter</w:t>
      </w:r>
      <w:proofErr w:type="spellEnd"/>
      <w:r w:rsidRPr="00B15536">
        <w:rPr>
          <w:b/>
          <w:sz w:val="44"/>
          <w:szCs w:val="44"/>
        </w:rPr>
        <w:t xml:space="preserve"> </w:t>
      </w:r>
      <w:proofErr w:type="spellStart"/>
      <w:r w:rsidRPr="00B15536">
        <w:rPr>
          <w:b/>
          <w:sz w:val="44"/>
          <w:szCs w:val="44"/>
        </w:rPr>
        <w:t>Miah</w:t>
      </w:r>
      <w:proofErr w:type="spellEnd"/>
    </w:p>
    <w:p w14:paraId="1AB10DF9" w14:textId="77777777" w:rsidR="00812AD4" w:rsidRPr="00812AD4" w:rsidRDefault="00811905" w:rsidP="00812AD4">
      <w:pPr>
        <w:spacing w:line="259" w:lineRule="auto"/>
        <w:rPr>
          <w:b/>
          <w:sz w:val="44"/>
          <w:szCs w:val="44"/>
        </w:rPr>
      </w:pPr>
      <w:r w:rsidRPr="00812AD4">
        <w:rPr>
          <w:b/>
          <w:sz w:val="44"/>
          <w:szCs w:val="44"/>
        </w:rPr>
        <w:t>Student ID</w:t>
      </w:r>
      <w:proofErr w:type="gramStart"/>
      <w:r w:rsidRPr="00812AD4">
        <w:rPr>
          <w:b/>
          <w:sz w:val="44"/>
          <w:szCs w:val="44"/>
        </w:rPr>
        <w:t>:</w:t>
      </w:r>
      <w:r w:rsidR="00812AD4" w:rsidRPr="00812AD4">
        <w:rPr>
          <w:b/>
          <w:sz w:val="44"/>
          <w:szCs w:val="44"/>
        </w:rPr>
        <w:t>2209262</w:t>
      </w:r>
      <w:proofErr w:type="gramEnd"/>
    </w:p>
    <w:p w14:paraId="58AB0738" w14:textId="3B46FF14" w:rsidR="00812AD4" w:rsidRDefault="00812AD4" w:rsidP="00812AD4">
      <w:pPr>
        <w:spacing w:line="259" w:lineRule="auto"/>
      </w:pPr>
      <w:r w:rsidRPr="00B15536">
        <w:rPr>
          <w:b/>
          <w:color w:val="000000"/>
          <w:sz w:val="44"/>
          <w:szCs w:val="44"/>
        </w:rPr>
        <w:t>Lecturer’s name:</w:t>
      </w:r>
      <w:r>
        <w:rPr>
          <w:b/>
          <w:color w:val="000000"/>
          <w:sz w:val="44"/>
          <w:szCs w:val="44"/>
        </w:rPr>
        <w:t xml:space="preserve"> TRISTAN Hawkins</w:t>
      </w:r>
    </w:p>
    <w:p w14:paraId="150B38D2" w14:textId="2DB47FB4" w:rsidR="00811905" w:rsidRDefault="00811905" w:rsidP="00812AD4">
      <w:pPr>
        <w:spacing w:line="259" w:lineRule="auto"/>
      </w:pPr>
    </w:p>
    <w:p w14:paraId="0093E347" w14:textId="77777777" w:rsidR="00812AD4" w:rsidRDefault="00812AD4" w:rsidP="00812AD4">
      <w:pPr>
        <w:spacing w:line="259" w:lineRule="auto"/>
      </w:pPr>
    </w:p>
    <w:p w14:paraId="4482C7D3" w14:textId="77777777" w:rsidR="00812AD4" w:rsidRDefault="00812AD4" w:rsidP="00812AD4">
      <w:pPr>
        <w:spacing w:line="259" w:lineRule="auto"/>
      </w:pPr>
    </w:p>
    <w:p w14:paraId="6838C9DC" w14:textId="77777777" w:rsidR="00812AD4" w:rsidRDefault="00812AD4" w:rsidP="00812AD4">
      <w:pPr>
        <w:spacing w:line="259" w:lineRule="auto"/>
      </w:pPr>
    </w:p>
    <w:p w14:paraId="65A4EAEA" w14:textId="77777777" w:rsidR="00812AD4" w:rsidRDefault="00812AD4" w:rsidP="00812AD4">
      <w:pPr>
        <w:spacing w:line="259" w:lineRule="auto"/>
      </w:pPr>
    </w:p>
    <w:p w14:paraId="02D505BA" w14:textId="77777777" w:rsidR="00812AD4" w:rsidRDefault="00812AD4" w:rsidP="00812AD4">
      <w:pPr>
        <w:spacing w:line="259" w:lineRule="auto"/>
      </w:pPr>
    </w:p>
    <w:p w14:paraId="41496791" w14:textId="77777777" w:rsidR="00812AD4" w:rsidRDefault="00812AD4" w:rsidP="00812AD4">
      <w:pPr>
        <w:spacing w:line="259" w:lineRule="auto"/>
        <w:rPr>
          <w:rFonts w:eastAsiaTheme="majorEastAsia"/>
          <w:color w:val="2F5496" w:themeColor="accent1" w:themeShade="BF"/>
          <w:sz w:val="32"/>
          <w:szCs w:val="32"/>
        </w:rPr>
      </w:pPr>
    </w:p>
    <w:sdt>
      <w:sdtPr>
        <w:rPr>
          <w:rFonts w:ascii="Times New Roman" w:eastAsiaTheme="minorHAnsi" w:hAnsi="Times New Roman" w:cs="Times New Roman"/>
          <w:color w:val="auto"/>
          <w:kern w:val="2"/>
          <w:sz w:val="22"/>
          <w:szCs w:val="22"/>
          <w14:ligatures w14:val="standardContextual"/>
        </w:rPr>
        <w:id w:val="1469395568"/>
        <w:docPartObj>
          <w:docPartGallery w:val="Table of Contents"/>
          <w:docPartUnique/>
        </w:docPartObj>
      </w:sdtPr>
      <w:sdtEndPr>
        <w:rPr>
          <w:b/>
          <w:bCs/>
          <w:noProof/>
        </w:rPr>
      </w:sdtEndPr>
      <w:sdtContent>
        <w:p w14:paraId="6A8F84F6" w14:textId="3F92BF53" w:rsidR="00811905" w:rsidRPr="00811905" w:rsidRDefault="00811905">
          <w:pPr>
            <w:pStyle w:val="TOCHeading"/>
            <w:rPr>
              <w:rFonts w:ascii="Times New Roman" w:hAnsi="Times New Roman" w:cs="Times New Roman"/>
            </w:rPr>
          </w:pPr>
          <w:r w:rsidRPr="00811905">
            <w:rPr>
              <w:rFonts w:ascii="Times New Roman" w:hAnsi="Times New Roman" w:cs="Times New Roman"/>
            </w:rPr>
            <w:t>Table of Contents</w:t>
          </w:r>
        </w:p>
        <w:p w14:paraId="3AD615DB" w14:textId="78A38409" w:rsidR="004D09D3" w:rsidRDefault="00811905">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59631554" w:history="1">
            <w:r w:rsidR="004D09D3" w:rsidRPr="00002239">
              <w:rPr>
                <w:rStyle w:val="Hyperlink"/>
                <w:noProof/>
              </w:rPr>
              <w:t>Introduction</w:t>
            </w:r>
            <w:r w:rsidR="004D09D3">
              <w:rPr>
                <w:noProof/>
                <w:webHidden/>
              </w:rPr>
              <w:tab/>
            </w:r>
            <w:r w:rsidR="004D09D3">
              <w:rPr>
                <w:noProof/>
                <w:webHidden/>
              </w:rPr>
              <w:fldChar w:fldCharType="begin"/>
            </w:r>
            <w:r w:rsidR="004D09D3">
              <w:rPr>
                <w:noProof/>
                <w:webHidden/>
              </w:rPr>
              <w:instrText xml:space="preserve"> PAGEREF _Toc159631554 \h </w:instrText>
            </w:r>
            <w:r w:rsidR="004D09D3">
              <w:rPr>
                <w:noProof/>
                <w:webHidden/>
              </w:rPr>
            </w:r>
            <w:r w:rsidR="004D09D3">
              <w:rPr>
                <w:noProof/>
                <w:webHidden/>
              </w:rPr>
              <w:fldChar w:fldCharType="separate"/>
            </w:r>
            <w:r w:rsidR="008B6B00">
              <w:rPr>
                <w:noProof/>
                <w:webHidden/>
              </w:rPr>
              <w:t>3</w:t>
            </w:r>
            <w:r w:rsidR="004D09D3">
              <w:rPr>
                <w:noProof/>
                <w:webHidden/>
              </w:rPr>
              <w:fldChar w:fldCharType="end"/>
            </w:r>
          </w:hyperlink>
        </w:p>
        <w:p w14:paraId="421138EB" w14:textId="7ACFAA64" w:rsidR="004D09D3" w:rsidRDefault="00812AD4">
          <w:pPr>
            <w:pStyle w:val="TOC1"/>
            <w:tabs>
              <w:tab w:val="right" w:leader="dot" w:pos="9350"/>
            </w:tabs>
            <w:rPr>
              <w:rFonts w:asciiTheme="minorHAnsi" w:eastAsiaTheme="minorEastAsia" w:hAnsiTheme="minorHAnsi" w:cstheme="minorBidi"/>
              <w:noProof/>
            </w:rPr>
          </w:pPr>
          <w:hyperlink w:anchor="_Toc159631555" w:history="1">
            <w:r w:rsidR="004D09D3" w:rsidRPr="00002239">
              <w:rPr>
                <w:rStyle w:val="Hyperlink"/>
                <w:noProof/>
              </w:rPr>
              <w:t>Market Analysis</w:t>
            </w:r>
            <w:r w:rsidR="004D09D3">
              <w:rPr>
                <w:noProof/>
                <w:webHidden/>
              </w:rPr>
              <w:tab/>
            </w:r>
            <w:r w:rsidR="004D09D3">
              <w:rPr>
                <w:noProof/>
                <w:webHidden/>
              </w:rPr>
              <w:fldChar w:fldCharType="begin"/>
            </w:r>
            <w:r w:rsidR="004D09D3">
              <w:rPr>
                <w:noProof/>
                <w:webHidden/>
              </w:rPr>
              <w:instrText xml:space="preserve"> PAGEREF _Toc159631555 \h </w:instrText>
            </w:r>
            <w:r w:rsidR="004D09D3">
              <w:rPr>
                <w:noProof/>
                <w:webHidden/>
              </w:rPr>
            </w:r>
            <w:r w:rsidR="004D09D3">
              <w:rPr>
                <w:noProof/>
                <w:webHidden/>
              </w:rPr>
              <w:fldChar w:fldCharType="separate"/>
            </w:r>
            <w:r w:rsidR="008B6B00">
              <w:rPr>
                <w:noProof/>
                <w:webHidden/>
              </w:rPr>
              <w:t>3</w:t>
            </w:r>
            <w:r w:rsidR="004D09D3">
              <w:rPr>
                <w:noProof/>
                <w:webHidden/>
              </w:rPr>
              <w:fldChar w:fldCharType="end"/>
            </w:r>
          </w:hyperlink>
        </w:p>
        <w:p w14:paraId="1A95FC09" w14:textId="2EFA5C76" w:rsidR="004D09D3" w:rsidRDefault="00812AD4">
          <w:pPr>
            <w:pStyle w:val="TOC1"/>
            <w:tabs>
              <w:tab w:val="right" w:leader="dot" w:pos="9350"/>
            </w:tabs>
            <w:rPr>
              <w:rFonts w:asciiTheme="minorHAnsi" w:eastAsiaTheme="minorEastAsia" w:hAnsiTheme="minorHAnsi" w:cstheme="minorBidi"/>
              <w:noProof/>
            </w:rPr>
          </w:pPr>
          <w:hyperlink w:anchor="_Toc159631559" w:history="1">
            <w:r w:rsidR="004D09D3" w:rsidRPr="00002239">
              <w:rPr>
                <w:rStyle w:val="Hyperlink"/>
                <w:noProof/>
              </w:rPr>
              <w:t>Financial Overview of Seacrest Lodge</w:t>
            </w:r>
            <w:r w:rsidR="004D09D3">
              <w:rPr>
                <w:noProof/>
                <w:webHidden/>
              </w:rPr>
              <w:tab/>
            </w:r>
            <w:r w:rsidR="004D09D3">
              <w:rPr>
                <w:noProof/>
                <w:webHidden/>
              </w:rPr>
              <w:fldChar w:fldCharType="begin"/>
            </w:r>
            <w:r w:rsidR="004D09D3">
              <w:rPr>
                <w:noProof/>
                <w:webHidden/>
              </w:rPr>
              <w:instrText xml:space="preserve"> PAGEREF _Toc159631559 \h </w:instrText>
            </w:r>
            <w:r w:rsidR="004D09D3">
              <w:rPr>
                <w:noProof/>
                <w:webHidden/>
              </w:rPr>
            </w:r>
            <w:r w:rsidR="004D09D3">
              <w:rPr>
                <w:noProof/>
                <w:webHidden/>
              </w:rPr>
              <w:fldChar w:fldCharType="separate"/>
            </w:r>
            <w:r w:rsidR="008B6B00">
              <w:rPr>
                <w:noProof/>
                <w:webHidden/>
              </w:rPr>
              <w:t>3</w:t>
            </w:r>
            <w:r w:rsidR="004D09D3">
              <w:rPr>
                <w:noProof/>
                <w:webHidden/>
              </w:rPr>
              <w:fldChar w:fldCharType="end"/>
            </w:r>
          </w:hyperlink>
        </w:p>
        <w:p w14:paraId="06F2A3C3" w14:textId="5A2432F8" w:rsidR="004D09D3" w:rsidRDefault="00812AD4">
          <w:pPr>
            <w:pStyle w:val="TOC3"/>
            <w:tabs>
              <w:tab w:val="right" w:leader="dot" w:pos="9350"/>
            </w:tabs>
            <w:rPr>
              <w:rFonts w:asciiTheme="minorHAnsi" w:eastAsiaTheme="minorEastAsia" w:hAnsiTheme="minorHAnsi" w:cstheme="minorBidi"/>
              <w:noProof/>
            </w:rPr>
          </w:pPr>
          <w:hyperlink w:anchor="_Toc159631560" w:history="1">
            <w:r w:rsidR="004D09D3" w:rsidRPr="00002239">
              <w:rPr>
                <w:rStyle w:val="Hyperlink"/>
                <w:noProof/>
              </w:rPr>
              <w:t>Trends in Revenue</w:t>
            </w:r>
            <w:r w:rsidR="004D09D3">
              <w:rPr>
                <w:noProof/>
                <w:webHidden/>
              </w:rPr>
              <w:tab/>
            </w:r>
            <w:r w:rsidR="004D09D3">
              <w:rPr>
                <w:noProof/>
                <w:webHidden/>
              </w:rPr>
              <w:fldChar w:fldCharType="begin"/>
            </w:r>
            <w:r w:rsidR="004D09D3">
              <w:rPr>
                <w:noProof/>
                <w:webHidden/>
              </w:rPr>
              <w:instrText xml:space="preserve"> PAGEREF _Toc159631560 \h </w:instrText>
            </w:r>
            <w:r w:rsidR="004D09D3">
              <w:rPr>
                <w:noProof/>
                <w:webHidden/>
              </w:rPr>
            </w:r>
            <w:r w:rsidR="004D09D3">
              <w:rPr>
                <w:noProof/>
                <w:webHidden/>
              </w:rPr>
              <w:fldChar w:fldCharType="separate"/>
            </w:r>
            <w:r w:rsidR="008B6B00">
              <w:rPr>
                <w:noProof/>
                <w:webHidden/>
              </w:rPr>
              <w:t>4</w:t>
            </w:r>
            <w:r w:rsidR="004D09D3">
              <w:rPr>
                <w:noProof/>
                <w:webHidden/>
              </w:rPr>
              <w:fldChar w:fldCharType="end"/>
            </w:r>
          </w:hyperlink>
        </w:p>
        <w:p w14:paraId="2581360D" w14:textId="35D55EFD" w:rsidR="004D09D3" w:rsidRDefault="00812AD4">
          <w:pPr>
            <w:pStyle w:val="TOC3"/>
            <w:tabs>
              <w:tab w:val="right" w:leader="dot" w:pos="9350"/>
            </w:tabs>
            <w:rPr>
              <w:rFonts w:asciiTheme="minorHAnsi" w:eastAsiaTheme="minorEastAsia" w:hAnsiTheme="minorHAnsi" w:cstheme="minorBidi"/>
              <w:noProof/>
            </w:rPr>
          </w:pPr>
          <w:hyperlink w:anchor="_Toc159631561" w:history="1">
            <w:r w:rsidR="004D09D3" w:rsidRPr="00002239">
              <w:rPr>
                <w:rStyle w:val="Hyperlink"/>
                <w:noProof/>
              </w:rPr>
              <w:t>Margin Compression</w:t>
            </w:r>
            <w:r w:rsidR="004D09D3">
              <w:rPr>
                <w:noProof/>
                <w:webHidden/>
              </w:rPr>
              <w:tab/>
            </w:r>
            <w:r w:rsidR="004D09D3">
              <w:rPr>
                <w:noProof/>
                <w:webHidden/>
              </w:rPr>
              <w:fldChar w:fldCharType="begin"/>
            </w:r>
            <w:r w:rsidR="004D09D3">
              <w:rPr>
                <w:noProof/>
                <w:webHidden/>
              </w:rPr>
              <w:instrText xml:space="preserve"> PAGEREF _Toc159631561 \h </w:instrText>
            </w:r>
            <w:r w:rsidR="004D09D3">
              <w:rPr>
                <w:noProof/>
                <w:webHidden/>
              </w:rPr>
            </w:r>
            <w:r w:rsidR="004D09D3">
              <w:rPr>
                <w:noProof/>
                <w:webHidden/>
              </w:rPr>
              <w:fldChar w:fldCharType="separate"/>
            </w:r>
            <w:r w:rsidR="008B6B00">
              <w:rPr>
                <w:noProof/>
                <w:webHidden/>
              </w:rPr>
              <w:t>4</w:t>
            </w:r>
            <w:r w:rsidR="004D09D3">
              <w:rPr>
                <w:noProof/>
                <w:webHidden/>
              </w:rPr>
              <w:fldChar w:fldCharType="end"/>
            </w:r>
          </w:hyperlink>
        </w:p>
        <w:p w14:paraId="69034BC4" w14:textId="71D563CA" w:rsidR="004D09D3" w:rsidRDefault="00812AD4">
          <w:pPr>
            <w:pStyle w:val="TOC2"/>
            <w:tabs>
              <w:tab w:val="right" w:leader="dot" w:pos="9350"/>
            </w:tabs>
            <w:rPr>
              <w:rFonts w:asciiTheme="minorHAnsi" w:eastAsiaTheme="minorEastAsia" w:hAnsiTheme="minorHAnsi" w:cstheme="minorBidi"/>
              <w:noProof/>
            </w:rPr>
          </w:pPr>
          <w:hyperlink w:anchor="_Toc159631562" w:history="1">
            <w:r w:rsidR="004D09D3" w:rsidRPr="00002239">
              <w:rPr>
                <w:rStyle w:val="Hyperlink"/>
                <w:noProof/>
              </w:rPr>
              <w:t>Analysis of Balance Sheet Components</w:t>
            </w:r>
            <w:r w:rsidR="004D09D3">
              <w:rPr>
                <w:noProof/>
                <w:webHidden/>
              </w:rPr>
              <w:tab/>
            </w:r>
            <w:r w:rsidR="004D09D3">
              <w:rPr>
                <w:noProof/>
                <w:webHidden/>
              </w:rPr>
              <w:fldChar w:fldCharType="begin"/>
            </w:r>
            <w:r w:rsidR="004D09D3">
              <w:rPr>
                <w:noProof/>
                <w:webHidden/>
              </w:rPr>
              <w:instrText xml:space="preserve"> PAGEREF _Toc159631562 \h </w:instrText>
            </w:r>
            <w:r w:rsidR="004D09D3">
              <w:rPr>
                <w:noProof/>
                <w:webHidden/>
              </w:rPr>
            </w:r>
            <w:r w:rsidR="004D09D3">
              <w:rPr>
                <w:noProof/>
                <w:webHidden/>
              </w:rPr>
              <w:fldChar w:fldCharType="separate"/>
            </w:r>
            <w:r w:rsidR="008B6B00">
              <w:rPr>
                <w:noProof/>
                <w:webHidden/>
              </w:rPr>
              <w:t>5</w:t>
            </w:r>
            <w:r w:rsidR="004D09D3">
              <w:rPr>
                <w:noProof/>
                <w:webHidden/>
              </w:rPr>
              <w:fldChar w:fldCharType="end"/>
            </w:r>
          </w:hyperlink>
        </w:p>
        <w:p w14:paraId="3E7E7D23" w14:textId="2E5EF0CB" w:rsidR="004D09D3" w:rsidRDefault="00812AD4">
          <w:pPr>
            <w:pStyle w:val="TOC3"/>
            <w:tabs>
              <w:tab w:val="right" w:leader="dot" w:pos="9350"/>
            </w:tabs>
            <w:rPr>
              <w:rFonts w:asciiTheme="minorHAnsi" w:eastAsiaTheme="minorEastAsia" w:hAnsiTheme="minorHAnsi" w:cstheme="minorBidi"/>
              <w:noProof/>
            </w:rPr>
          </w:pPr>
          <w:hyperlink w:anchor="_Toc159631563" w:history="1">
            <w:r w:rsidR="004D09D3" w:rsidRPr="00002239">
              <w:rPr>
                <w:rStyle w:val="Hyperlink"/>
                <w:noProof/>
              </w:rPr>
              <w:t>Liquidity Crunch</w:t>
            </w:r>
            <w:r w:rsidR="004D09D3">
              <w:rPr>
                <w:noProof/>
                <w:webHidden/>
              </w:rPr>
              <w:tab/>
            </w:r>
            <w:r w:rsidR="004D09D3">
              <w:rPr>
                <w:noProof/>
                <w:webHidden/>
              </w:rPr>
              <w:fldChar w:fldCharType="begin"/>
            </w:r>
            <w:r w:rsidR="004D09D3">
              <w:rPr>
                <w:noProof/>
                <w:webHidden/>
              </w:rPr>
              <w:instrText xml:space="preserve"> PAGEREF _Toc159631563 \h </w:instrText>
            </w:r>
            <w:r w:rsidR="004D09D3">
              <w:rPr>
                <w:noProof/>
                <w:webHidden/>
              </w:rPr>
            </w:r>
            <w:r w:rsidR="004D09D3">
              <w:rPr>
                <w:noProof/>
                <w:webHidden/>
              </w:rPr>
              <w:fldChar w:fldCharType="separate"/>
            </w:r>
            <w:r w:rsidR="008B6B00">
              <w:rPr>
                <w:noProof/>
                <w:webHidden/>
              </w:rPr>
              <w:t>5</w:t>
            </w:r>
            <w:r w:rsidR="004D09D3">
              <w:rPr>
                <w:noProof/>
                <w:webHidden/>
              </w:rPr>
              <w:fldChar w:fldCharType="end"/>
            </w:r>
          </w:hyperlink>
        </w:p>
        <w:p w14:paraId="159386E0" w14:textId="750D7616" w:rsidR="004D09D3" w:rsidRDefault="00812AD4">
          <w:pPr>
            <w:pStyle w:val="TOC3"/>
            <w:tabs>
              <w:tab w:val="right" w:leader="dot" w:pos="9350"/>
            </w:tabs>
            <w:rPr>
              <w:rFonts w:asciiTheme="minorHAnsi" w:eastAsiaTheme="minorEastAsia" w:hAnsiTheme="minorHAnsi" w:cstheme="minorBidi"/>
              <w:noProof/>
            </w:rPr>
          </w:pPr>
          <w:hyperlink w:anchor="_Toc159631564" w:history="1">
            <w:r w:rsidR="004D09D3" w:rsidRPr="00002239">
              <w:rPr>
                <w:rStyle w:val="Hyperlink"/>
                <w:noProof/>
              </w:rPr>
              <w:t>Asset Values vs Service Quality Perception</w:t>
            </w:r>
            <w:r w:rsidR="004D09D3">
              <w:rPr>
                <w:noProof/>
                <w:webHidden/>
              </w:rPr>
              <w:tab/>
            </w:r>
            <w:r w:rsidR="004D09D3">
              <w:rPr>
                <w:noProof/>
                <w:webHidden/>
              </w:rPr>
              <w:fldChar w:fldCharType="begin"/>
            </w:r>
            <w:r w:rsidR="004D09D3">
              <w:rPr>
                <w:noProof/>
                <w:webHidden/>
              </w:rPr>
              <w:instrText xml:space="preserve"> PAGEREF _Toc159631564 \h </w:instrText>
            </w:r>
            <w:r w:rsidR="004D09D3">
              <w:rPr>
                <w:noProof/>
                <w:webHidden/>
              </w:rPr>
            </w:r>
            <w:r w:rsidR="004D09D3">
              <w:rPr>
                <w:noProof/>
                <w:webHidden/>
              </w:rPr>
              <w:fldChar w:fldCharType="separate"/>
            </w:r>
            <w:r w:rsidR="008B6B00">
              <w:rPr>
                <w:noProof/>
                <w:webHidden/>
              </w:rPr>
              <w:t>6</w:t>
            </w:r>
            <w:r w:rsidR="004D09D3">
              <w:rPr>
                <w:noProof/>
                <w:webHidden/>
              </w:rPr>
              <w:fldChar w:fldCharType="end"/>
            </w:r>
          </w:hyperlink>
        </w:p>
        <w:p w14:paraId="57AA0D13" w14:textId="3985198A" w:rsidR="004D09D3" w:rsidRDefault="00812AD4">
          <w:pPr>
            <w:pStyle w:val="TOC2"/>
            <w:tabs>
              <w:tab w:val="right" w:leader="dot" w:pos="9350"/>
            </w:tabs>
            <w:rPr>
              <w:rFonts w:asciiTheme="minorHAnsi" w:eastAsiaTheme="minorEastAsia" w:hAnsiTheme="minorHAnsi" w:cstheme="minorBidi"/>
              <w:noProof/>
            </w:rPr>
          </w:pPr>
          <w:hyperlink w:anchor="_Toc159631565" w:history="1">
            <w:r w:rsidR="004D09D3" w:rsidRPr="00002239">
              <w:rPr>
                <w:rStyle w:val="Hyperlink"/>
                <w:noProof/>
              </w:rPr>
              <w:t>Reasons Behind the Decline</w:t>
            </w:r>
            <w:r w:rsidR="004D09D3">
              <w:rPr>
                <w:noProof/>
                <w:webHidden/>
              </w:rPr>
              <w:tab/>
            </w:r>
            <w:r w:rsidR="004D09D3">
              <w:rPr>
                <w:noProof/>
                <w:webHidden/>
              </w:rPr>
              <w:fldChar w:fldCharType="begin"/>
            </w:r>
            <w:r w:rsidR="004D09D3">
              <w:rPr>
                <w:noProof/>
                <w:webHidden/>
              </w:rPr>
              <w:instrText xml:space="preserve"> PAGEREF _Toc159631565 \h </w:instrText>
            </w:r>
            <w:r w:rsidR="004D09D3">
              <w:rPr>
                <w:noProof/>
                <w:webHidden/>
              </w:rPr>
            </w:r>
            <w:r w:rsidR="004D09D3">
              <w:rPr>
                <w:noProof/>
                <w:webHidden/>
              </w:rPr>
              <w:fldChar w:fldCharType="separate"/>
            </w:r>
            <w:r w:rsidR="008B6B00">
              <w:rPr>
                <w:noProof/>
                <w:webHidden/>
              </w:rPr>
              <w:t>6</w:t>
            </w:r>
            <w:r w:rsidR="004D09D3">
              <w:rPr>
                <w:noProof/>
                <w:webHidden/>
              </w:rPr>
              <w:fldChar w:fldCharType="end"/>
            </w:r>
          </w:hyperlink>
        </w:p>
        <w:p w14:paraId="31C4799B" w14:textId="042EF055" w:rsidR="004D09D3" w:rsidRDefault="00812AD4">
          <w:pPr>
            <w:pStyle w:val="TOC2"/>
            <w:tabs>
              <w:tab w:val="right" w:leader="dot" w:pos="9350"/>
            </w:tabs>
            <w:rPr>
              <w:rFonts w:asciiTheme="minorHAnsi" w:eastAsiaTheme="minorEastAsia" w:hAnsiTheme="minorHAnsi" w:cstheme="minorBidi"/>
              <w:noProof/>
            </w:rPr>
          </w:pPr>
          <w:hyperlink w:anchor="_Toc159631566" w:history="1">
            <w:r w:rsidR="004D09D3" w:rsidRPr="00002239">
              <w:rPr>
                <w:rStyle w:val="Hyperlink"/>
                <w:noProof/>
              </w:rPr>
              <w:t>External Factors Behind the Decline</w:t>
            </w:r>
            <w:r w:rsidR="004D09D3">
              <w:rPr>
                <w:noProof/>
                <w:webHidden/>
              </w:rPr>
              <w:tab/>
            </w:r>
            <w:r w:rsidR="004D09D3">
              <w:rPr>
                <w:noProof/>
                <w:webHidden/>
              </w:rPr>
              <w:fldChar w:fldCharType="begin"/>
            </w:r>
            <w:r w:rsidR="004D09D3">
              <w:rPr>
                <w:noProof/>
                <w:webHidden/>
              </w:rPr>
              <w:instrText xml:space="preserve"> PAGEREF _Toc159631566 \h </w:instrText>
            </w:r>
            <w:r w:rsidR="004D09D3">
              <w:rPr>
                <w:noProof/>
                <w:webHidden/>
              </w:rPr>
            </w:r>
            <w:r w:rsidR="004D09D3">
              <w:rPr>
                <w:noProof/>
                <w:webHidden/>
              </w:rPr>
              <w:fldChar w:fldCharType="separate"/>
            </w:r>
            <w:r w:rsidR="008B6B00">
              <w:rPr>
                <w:noProof/>
                <w:webHidden/>
              </w:rPr>
              <w:t>7</w:t>
            </w:r>
            <w:r w:rsidR="004D09D3">
              <w:rPr>
                <w:noProof/>
                <w:webHidden/>
              </w:rPr>
              <w:fldChar w:fldCharType="end"/>
            </w:r>
          </w:hyperlink>
        </w:p>
        <w:p w14:paraId="5AEFBBD2" w14:textId="38F18104" w:rsidR="004D09D3" w:rsidRDefault="00812AD4" w:rsidP="004D09D3">
          <w:pPr>
            <w:pStyle w:val="TOC1"/>
            <w:tabs>
              <w:tab w:val="right" w:leader="dot" w:pos="9350"/>
            </w:tabs>
            <w:rPr>
              <w:rFonts w:asciiTheme="minorHAnsi" w:eastAsiaTheme="minorEastAsia" w:hAnsiTheme="minorHAnsi" w:cstheme="minorBidi"/>
              <w:noProof/>
            </w:rPr>
          </w:pPr>
          <w:hyperlink w:anchor="_Toc159631567" w:history="1">
            <w:r w:rsidR="004D09D3" w:rsidRPr="00002239">
              <w:rPr>
                <w:rStyle w:val="Hyperlink"/>
                <w:noProof/>
              </w:rPr>
              <w:t>Turnaround Strategy for Seacrest</w:t>
            </w:r>
            <w:r w:rsidR="004D09D3">
              <w:rPr>
                <w:noProof/>
                <w:webHidden/>
              </w:rPr>
              <w:tab/>
            </w:r>
            <w:r w:rsidR="004D09D3">
              <w:rPr>
                <w:noProof/>
                <w:webHidden/>
              </w:rPr>
              <w:fldChar w:fldCharType="begin"/>
            </w:r>
            <w:r w:rsidR="004D09D3">
              <w:rPr>
                <w:noProof/>
                <w:webHidden/>
              </w:rPr>
              <w:instrText xml:space="preserve"> PAGEREF _Toc159631567 \h </w:instrText>
            </w:r>
            <w:r w:rsidR="004D09D3">
              <w:rPr>
                <w:noProof/>
                <w:webHidden/>
              </w:rPr>
            </w:r>
            <w:r w:rsidR="004D09D3">
              <w:rPr>
                <w:noProof/>
                <w:webHidden/>
              </w:rPr>
              <w:fldChar w:fldCharType="separate"/>
            </w:r>
            <w:r w:rsidR="008B6B00">
              <w:rPr>
                <w:noProof/>
                <w:webHidden/>
              </w:rPr>
              <w:t>7</w:t>
            </w:r>
            <w:r w:rsidR="004D09D3">
              <w:rPr>
                <w:noProof/>
                <w:webHidden/>
              </w:rPr>
              <w:fldChar w:fldCharType="end"/>
            </w:r>
          </w:hyperlink>
        </w:p>
        <w:p w14:paraId="3A055A14" w14:textId="3004B21E" w:rsidR="004D09D3" w:rsidRDefault="00812AD4">
          <w:pPr>
            <w:pStyle w:val="TOC1"/>
            <w:tabs>
              <w:tab w:val="right" w:leader="dot" w:pos="9350"/>
            </w:tabs>
            <w:rPr>
              <w:rFonts w:asciiTheme="minorHAnsi" w:eastAsiaTheme="minorEastAsia" w:hAnsiTheme="minorHAnsi" w:cstheme="minorBidi"/>
              <w:noProof/>
            </w:rPr>
          </w:pPr>
          <w:hyperlink w:anchor="_Toc159631570" w:history="1">
            <w:r w:rsidR="004D09D3" w:rsidRPr="00002239">
              <w:rPr>
                <w:rStyle w:val="Hyperlink"/>
                <w:noProof/>
              </w:rPr>
              <w:t>Conclusion</w:t>
            </w:r>
            <w:r w:rsidR="004D09D3">
              <w:rPr>
                <w:noProof/>
                <w:webHidden/>
              </w:rPr>
              <w:tab/>
            </w:r>
            <w:r w:rsidR="004D09D3">
              <w:rPr>
                <w:noProof/>
                <w:webHidden/>
              </w:rPr>
              <w:fldChar w:fldCharType="begin"/>
            </w:r>
            <w:r w:rsidR="004D09D3">
              <w:rPr>
                <w:noProof/>
                <w:webHidden/>
              </w:rPr>
              <w:instrText xml:space="preserve"> PAGEREF _Toc159631570 \h </w:instrText>
            </w:r>
            <w:r w:rsidR="004D09D3">
              <w:rPr>
                <w:noProof/>
                <w:webHidden/>
              </w:rPr>
            </w:r>
            <w:r w:rsidR="004D09D3">
              <w:rPr>
                <w:noProof/>
                <w:webHidden/>
              </w:rPr>
              <w:fldChar w:fldCharType="separate"/>
            </w:r>
            <w:r w:rsidR="008B6B00">
              <w:rPr>
                <w:noProof/>
                <w:webHidden/>
              </w:rPr>
              <w:t>10</w:t>
            </w:r>
            <w:r w:rsidR="004D09D3">
              <w:rPr>
                <w:noProof/>
                <w:webHidden/>
              </w:rPr>
              <w:fldChar w:fldCharType="end"/>
            </w:r>
          </w:hyperlink>
        </w:p>
        <w:p w14:paraId="7A5D9597" w14:textId="78E86923" w:rsidR="004D09D3" w:rsidRDefault="00812AD4">
          <w:pPr>
            <w:pStyle w:val="TOC1"/>
            <w:tabs>
              <w:tab w:val="right" w:leader="dot" w:pos="9350"/>
            </w:tabs>
            <w:rPr>
              <w:rFonts w:asciiTheme="minorHAnsi" w:eastAsiaTheme="minorEastAsia" w:hAnsiTheme="minorHAnsi" w:cstheme="minorBidi"/>
              <w:noProof/>
            </w:rPr>
          </w:pPr>
          <w:hyperlink w:anchor="_Toc159631571" w:history="1">
            <w:r w:rsidR="004D09D3" w:rsidRPr="00002239">
              <w:rPr>
                <w:rStyle w:val="Hyperlink"/>
                <w:noProof/>
              </w:rPr>
              <w:t>References</w:t>
            </w:r>
            <w:r w:rsidR="004D09D3">
              <w:rPr>
                <w:noProof/>
                <w:webHidden/>
              </w:rPr>
              <w:tab/>
            </w:r>
            <w:r w:rsidR="004D09D3">
              <w:rPr>
                <w:noProof/>
                <w:webHidden/>
              </w:rPr>
              <w:fldChar w:fldCharType="begin"/>
            </w:r>
            <w:r w:rsidR="004D09D3">
              <w:rPr>
                <w:noProof/>
                <w:webHidden/>
              </w:rPr>
              <w:instrText xml:space="preserve"> PAGEREF _Toc159631571 \h </w:instrText>
            </w:r>
            <w:r w:rsidR="004D09D3">
              <w:rPr>
                <w:noProof/>
                <w:webHidden/>
              </w:rPr>
            </w:r>
            <w:r w:rsidR="004D09D3">
              <w:rPr>
                <w:noProof/>
                <w:webHidden/>
              </w:rPr>
              <w:fldChar w:fldCharType="separate"/>
            </w:r>
            <w:r w:rsidR="008B6B00">
              <w:rPr>
                <w:noProof/>
                <w:webHidden/>
              </w:rPr>
              <w:t>11</w:t>
            </w:r>
            <w:r w:rsidR="004D09D3">
              <w:rPr>
                <w:noProof/>
                <w:webHidden/>
              </w:rPr>
              <w:fldChar w:fldCharType="end"/>
            </w:r>
          </w:hyperlink>
        </w:p>
        <w:p w14:paraId="1EECC5CF" w14:textId="7340CA5F" w:rsidR="00811905" w:rsidRDefault="00811905">
          <w:r>
            <w:rPr>
              <w:b/>
              <w:bCs/>
              <w:noProof/>
            </w:rPr>
            <w:fldChar w:fldCharType="end"/>
          </w:r>
        </w:p>
      </w:sdtContent>
    </w:sdt>
    <w:p w14:paraId="02FDF684" w14:textId="47F873AD" w:rsidR="008B6B00" w:rsidRDefault="008B6B00">
      <w:pPr>
        <w:pStyle w:val="TableofFigures"/>
        <w:tabs>
          <w:tab w:val="right" w:leader="dot" w:pos="9350"/>
        </w:tabs>
        <w:rPr>
          <w:rFonts w:eastAsiaTheme="majorEastAsia"/>
          <w:color w:val="2F5496" w:themeColor="accent1" w:themeShade="BF"/>
          <w:sz w:val="32"/>
          <w:szCs w:val="32"/>
        </w:rPr>
      </w:pPr>
      <w:r>
        <w:rPr>
          <w:rFonts w:eastAsiaTheme="majorEastAsia"/>
          <w:color w:val="2F5496" w:themeColor="accent1" w:themeShade="BF"/>
          <w:sz w:val="32"/>
          <w:szCs w:val="32"/>
        </w:rPr>
        <w:t>Table of Figures</w:t>
      </w:r>
    </w:p>
    <w:p w14:paraId="29897CDC" w14:textId="6DA235FC" w:rsidR="008B6B00" w:rsidRDefault="008B6B00">
      <w:pPr>
        <w:pStyle w:val="TableofFigures"/>
        <w:tabs>
          <w:tab w:val="right" w:leader="dot" w:pos="9350"/>
        </w:tabs>
        <w:rPr>
          <w:noProof/>
        </w:rPr>
      </w:pPr>
      <w:r>
        <w:rPr>
          <w:rFonts w:eastAsiaTheme="majorEastAsia"/>
          <w:color w:val="2F5496" w:themeColor="accent1" w:themeShade="BF"/>
          <w:sz w:val="32"/>
          <w:szCs w:val="32"/>
        </w:rPr>
        <w:fldChar w:fldCharType="begin"/>
      </w:r>
      <w:r>
        <w:rPr>
          <w:rFonts w:eastAsiaTheme="majorEastAsia"/>
          <w:color w:val="2F5496" w:themeColor="accent1" w:themeShade="BF"/>
          <w:sz w:val="32"/>
          <w:szCs w:val="32"/>
        </w:rPr>
        <w:instrText xml:space="preserve"> TOC \h \z \c "Figure" </w:instrText>
      </w:r>
      <w:r>
        <w:rPr>
          <w:rFonts w:eastAsiaTheme="majorEastAsia"/>
          <w:color w:val="2F5496" w:themeColor="accent1" w:themeShade="BF"/>
          <w:sz w:val="32"/>
          <w:szCs w:val="32"/>
        </w:rPr>
        <w:fldChar w:fldCharType="separate"/>
      </w:r>
      <w:hyperlink w:anchor="_Toc159634055" w:history="1">
        <w:r w:rsidRPr="00C72A37">
          <w:rPr>
            <w:rStyle w:val="Hyperlink"/>
            <w:noProof/>
          </w:rPr>
          <w:t>Figure 1Financial Performance of Seacrest</w:t>
        </w:r>
        <w:r>
          <w:rPr>
            <w:noProof/>
            <w:webHidden/>
          </w:rPr>
          <w:tab/>
        </w:r>
        <w:r>
          <w:rPr>
            <w:noProof/>
            <w:webHidden/>
          </w:rPr>
          <w:fldChar w:fldCharType="begin"/>
        </w:r>
        <w:r>
          <w:rPr>
            <w:noProof/>
            <w:webHidden/>
          </w:rPr>
          <w:instrText xml:space="preserve"> PAGEREF _Toc159634055 \h </w:instrText>
        </w:r>
        <w:r>
          <w:rPr>
            <w:noProof/>
            <w:webHidden/>
          </w:rPr>
        </w:r>
        <w:r>
          <w:rPr>
            <w:noProof/>
            <w:webHidden/>
          </w:rPr>
          <w:fldChar w:fldCharType="separate"/>
        </w:r>
        <w:r>
          <w:rPr>
            <w:noProof/>
            <w:webHidden/>
          </w:rPr>
          <w:t>4</w:t>
        </w:r>
        <w:r>
          <w:rPr>
            <w:noProof/>
            <w:webHidden/>
          </w:rPr>
          <w:fldChar w:fldCharType="end"/>
        </w:r>
      </w:hyperlink>
    </w:p>
    <w:p w14:paraId="1A87C064" w14:textId="1F7D5CB8" w:rsidR="008B6B00" w:rsidRDefault="00812AD4">
      <w:pPr>
        <w:pStyle w:val="TableofFigures"/>
        <w:tabs>
          <w:tab w:val="right" w:leader="dot" w:pos="9350"/>
        </w:tabs>
        <w:rPr>
          <w:noProof/>
        </w:rPr>
      </w:pPr>
      <w:hyperlink w:anchor="_Toc159634056" w:history="1">
        <w:r w:rsidR="008B6B00" w:rsidRPr="00C72A37">
          <w:rPr>
            <w:rStyle w:val="Hyperlink"/>
            <w:noProof/>
          </w:rPr>
          <w:t>Figure 2 Cash Position of Seacrest</w:t>
        </w:r>
        <w:r w:rsidR="008B6B00">
          <w:rPr>
            <w:noProof/>
            <w:webHidden/>
          </w:rPr>
          <w:tab/>
        </w:r>
        <w:r w:rsidR="008B6B00">
          <w:rPr>
            <w:noProof/>
            <w:webHidden/>
          </w:rPr>
          <w:fldChar w:fldCharType="begin"/>
        </w:r>
        <w:r w:rsidR="008B6B00">
          <w:rPr>
            <w:noProof/>
            <w:webHidden/>
          </w:rPr>
          <w:instrText xml:space="preserve"> PAGEREF _Toc159634056 \h </w:instrText>
        </w:r>
        <w:r w:rsidR="008B6B00">
          <w:rPr>
            <w:noProof/>
            <w:webHidden/>
          </w:rPr>
        </w:r>
        <w:r w:rsidR="008B6B00">
          <w:rPr>
            <w:noProof/>
            <w:webHidden/>
          </w:rPr>
          <w:fldChar w:fldCharType="separate"/>
        </w:r>
        <w:r w:rsidR="008B6B00">
          <w:rPr>
            <w:noProof/>
            <w:webHidden/>
          </w:rPr>
          <w:t>5</w:t>
        </w:r>
        <w:r w:rsidR="008B6B00">
          <w:rPr>
            <w:noProof/>
            <w:webHidden/>
          </w:rPr>
          <w:fldChar w:fldCharType="end"/>
        </w:r>
      </w:hyperlink>
    </w:p>
    <w:p w14:paraId="64EC8635" w14:textId="193CFAED" w:rsidR="008B6B00" w:rsidRDefault="00812AD4">
      <w:pPr>
        <w:pStyle w:val="TableofFigures"/>
        <w:tabs>
          <w:tab w:val="right" w:leader="dot" w:pos="9350"/>
        </w:tabs>
        <w:rPr>
          <w:noProof/>
        </w:rPr>
      </w:pPr>
      <w:hyperlink w:anchor="_Toc159634057" w:history="1">
        <w:r w:rsidR="008B6B00" w:rsidRPr="00C72A37">
          <w:rPr>
            <w:rStyle w:val="Hyperlink"/>
            <w:noProof/>
          </w:rPr>
          <w:t>Figure 3 Average Room rate vs Occupancy rate</w:t>
        </w:r>
        <w:r w:rsidR="008B6B00">
          <w:rPr>
            <w:noProof/>
            <w:webHidden/>
          </w:rPr>
          <w:tab/>
        </w:r>
        <w:r w:rsidR="008B6B00">
          <w:rPr>
            <w:noProof/>
            <w:webHidden/>
          </w:rPr>
          <w:fldChar w:fldCharType="begin"/>
        </w:r>
        <w:r w:rsidR="008B6B00">
          <w:rPr>
            <w:noProof/>
            <w:webHidden/>
          </w:rPr>
          <w:instrText xml:space="preserve"> PAGEREF _Toc159634057 \h </w:instrText>
        </w:r>
        <w:r w:rsidR="008B6B00">
          <w:rPr>
            <w:noProof/>
            <w:webHidden/>
          </w:rPr>
        </w:r>
        <w:r w:rsidR="008B6B00">
          <w:rPr>
            <w:noProof/>
            <w:webHidden/>
          </w:rPr>
          <w:fldChar w:fldCharType="separate"/>
        </w:r>
        <w:r w:rsidR="008B6B00">
          <w:rPr>
            <w:noProof/>
            <w:webHidden/>
          </w:rPr>
          <w:t>6</w:t>
        </w:r>
        <w:r w:rsidR="008B6B00">
          <w:rPr>
            <w:noProof/>
            <w:webHidden/>
          </w:rPr>
          <w:fldChar w:fldCharType="end"/>
        </w:r>
      </w:hyperlink>
    </w:p>
    <w:p w14:paraId="707BDB8B" w14:textId="3A71538B" w:rsidR="008B6B00" w:rsidRDefault="008B6B00">
      <w:pPr>
        <w:spacing w:line="259" w:lineRule="auto"/>
        <w:jc w:val="left"/>
        <w:rPr>
          <w:rFonts w:eastAsiaTheme="majorEastAsia"/>
          <w:color w:val="2F5496" w:themeColor="accent1" w:themeShade="BF"/>
          <w:sz w:val="32"/>
          <w:szCs w:val="32"/>
        </w:rPr>
      </w:pPr>
      <w:r>
        <w:rPr>
          <w:rFonts w:eastAsiaTheme="majorEastAsia"/>
          <w:color w:val="2F5496" w:themeColor="accent1" w:themeShade="BF"/>
          <w:sz w:val="32"/>
          <w:szCs w:val="32"/>
        </w:rPr>
        <w:fldChar w:fldCharType="end"/>
      </w:r>
    </w:p>
    <w:p w14:paraId="289EC2C1" w14:textId="77777777" w:rsidR="008B6B00" w:rsidRDefault="008B6B00">
      <w:pPr>
        <w:spacing w:line="259" w:lineRule="auto"/>
        <w:jc w:val="left"/>
        <w:rPr>
          <w:rFonts w:eastAsiaTheme="majorEastAsia"/>
          <w:color w:val="2F5496" w:themeColor="accent1" w:themeShade="BF"/>
          <w:sz w:val="32"/>
          <w:szCs w:val="32"/>
        </w:rPr>
      </w:pPr>
      <w:r>
        <w:rPr>
          <w:rFonts w:eastAsiaTheme="majorEastAsia"/>
          <w:color w:val="2F5496" w:themeColor="accent1" w:themeShade="BF"/>
          <w:sz w:val="32"/>
          <w:szCs w:val="32"/>
        </w:rPr>
        <w:br w:type="page"/>
      </w:r>
    </w:p>
    <w:p w14:paraId="5D42348B" w14:textId="7B225DF8" w:rsidR="00F155CE" w:rsidRDefault="00F155CE" w:rsidP="00302FA1">
      <w:pPr>
        <w:pStyle w:val="Heading1"/>
      </w:pPr>
      <w:bookmarkStart w:id="0" w:name="_Toc159631554"/>
      <w:r w:rsidRPr="00302FA1">
        <w:lastRenderedPageBreak/>
        <w:t>Introduction</w:t>
      </w:r>
      <w:bookmarkEnd w:id="0"/>
    </w:p>
    <w:p w14:paraId="5B02CC3F" w14:textId="33728B09" w:rsidR="00BB0A50" w:rsidRPr="00BB0A50" w:rsidRDefault="00BB0A50" w:rsidP="00BB0A50">
      <w:r>
        <w:t xml:space="preserve">The study highlights an analysis of the financial position of a the </w:t>
      </w:r>
      <w:proofErr w:type="gramStart"/>
      <w:r>
        <w:t>renowned  Seacrest</w:t>
      </w:r>
      <w:proofErr w:type="gramEnd"/>
      <w:r>
        <w:t xml:space="preserve"> Hotel. The Seacrest Hotels saw an alarming decrease in key financial indices from 2021 to 2023. Total revenues fell 21%, occupancy rates dropped from 65% to 50%, and clients became more dissatisfied with the property's outmoded facilities. After this unexpected turn of events, rising losses, financial limitations, and competitive dynamics in the alluring but crowded beachside market threaten the resort's ability to continue operations. It will further outline how the Seacrest can turn this threat into an opportunity and become profitable.</w:t>
      </w:r>
    </w:p>
    <w:p w14:paraId="3B0D0A93" w14:textId="25F7501A" w:rsidR="00BF360B" w:rsidRPr="00302FA1" w:rsidRDefault="00BF360B" w:rsidP="00BF360B">
      <w:pPr>
        <w:pStyle w:val="Heading1"/>
      </w:pPr>
      <w:bookmarkStart w:id="1" w:name="_Toc159631555"/>
      <w:r w:rsidRPr="00302FA1">
        <w:t xml:space="preserve">Market </w:t>
      </w:r>
      <w:r>
        <w:t>Analysis</w:t>
      </w:r>
      <w:bookmarkEnd w:id="1"/>
    </w:p>
    <w:p w14:paraId="089D100C" w14:textId="77777777" w:rsidR="00EE1C61" w:rsidRDefault="00EE1C61" w:rsidP="00EE1C61">
      <w:pPr>
        <w:rPr>
          <w:b/>
          <w:bCs/>
        </w:rPr>
      </w:pPr>
      <w:bookmarkStart w:id="2" w:name="_Toc159631556"/>
      <w:r w:rsidRPr="00EE1C61">
        <w:t>The luxury coastal hotel business, where the Seacrest Lodge operates, is facing increased macro and micro market rivalry (Walker, 2021). Challenges include consumer preferences, new market entrants, and external shocks causing a ‘perfect storm’.</w:t>
      </w:r>
    </w:p>
    <w:p w14:paraId="1722DA92" w14:textId="1A24960C" w:rsidR="00BF360B" w:rsidRDefault="00BF360B" w:rsidP="00BF360B">
      <w:pPr>
        <w:pStyle w:val="Heading3"/>
      </w:pPr>
      <w:r>
        <w:t>Consumer Tastes Change</w:t>
      </w:r>
      <w:bookmarkEnd w:id="2"/>
    </w:p>
    <w:p w14:paraId="7B6F58D8" w14:textId="77777777" w:rsidR="00EE1C61" w:rsidRDefault="00EE1C61" w:rsidP="00EE1C61">
      <w:pPr>
        <w:rPr>
          <w:b/>
          <w:bCs/>
        </w:rPr>
      </w:pPr>
      <w:bookmarkStart w:id="3" w:name="_Toc159631557"/>
      <w:r w:rsidRPr="00EE1C61">
        <w:t xml:space="preserve">Catering to changing guest expectations for housing, food, and activities is key to coastal resort profitability, according to Tranter et al. (2014). According to Seal (2019), Seacrest's falling Average Daily Rates and complaints about ‘outdated amenities’ show that it cannot meet target customer expectations for contemporary elegance, </w:t>
      </w:r>
      <w:proofErr w:type="spellStart"/>
      <w:r w:rsidRPr="00EE1C61">
        <w:t>personalisation</w:t>
      </w:r>
      <w:proofErr w:type="spellEnd"/>
      <w:r w:rsidRPr="00EE1C61">
        <w:t xml:space="preserve">, and value-added services.  </w:t>
      </w:r>
    </w:p>
    <w:p w14:paraId="249E4020" w14:textId="17DFAFFE" w:rsidR="00BF360B" w:rsidRDefault="00BF360B" w:rsidP="00BF360B">
      <w:pPr>
        <w:pStyle w:val="Heading3"/>
      </w:pPr>
      <w:r>
        <w:t>Increasing Local Competition</w:t>
      </w:r>
      <w:bookmarkEnd w:id="3"/>
    </w:p>
    <w:p w14:paraId="660EDC2C" w14:textId="77777777" w:rsidR="00BF360B" w:rsidRDefault="00BF360B" w:rsidP="00EE1C61">
      <w:r>
        <w:t>Competition has expanded rapidly due to the arrival of “several newer, more modern resorts” nearby. According to Jagels (2007), similar situations typically drive demand to newer hotels that differentiate via facilities, diversity, and service. Seacrest faces more revenue decreases as increased competition offers superior hospitality at similar prices.</w:t>
      </w:r>
    </w:p>
    <w:p w14:paraId="632167F0" w14:textId="77777777" w:rsidR="00BF360B" w:rsidRDefault="00BF360B" w:rsidP="00BF360B">
      <w:pPr>
        <w:pStyle w:val="Heading3"/>
      </w:pPr>
      <w:bookmarkStart w:id="4" w:name="_Toc159631558"/>
      <w:r>
        <w:t>External shocks</w:t>
      </w:r>
      <w:bookmarkEnd w:id="4"/>
    </w:p>
    <w:p w14:paraId="22A3150D" w14:textId="77777777" w:rsidR="004D09D3" w:rsidRPr="004D09D3" w:rsidRDefault="004D09D3" w:rsidP="00EE1C61">
      <w:bookmarkStart w:id="5" w:name="_Toc159631559"/>
      <w:r w:rsidRPr="004D09D3">
        <w:t>Wild (2018) warns of economic and political disruptions to tourism. Epidemic, Brexit, inflation, and recession are ‘headwinds’ for hospitality industry. Seal et al. (2008) found that smaller companies like Seacrest with insufficient cash buffers to weather demand shifts are most affected. The hotel business has changed due to changing preferences, new competitors, and economic shocks, rendering older coastal resorts like The Seacrest Lodge less competitive without a value proposition and service makeover.</w:t>
      </w:r>
    </w:p>
    <w:p w14:paraId="4EB27CEC" w14:textId="2ADE94DE" w:rsidR="00A45B6F" w:rsidRDefault="00572A26" w:rsidP="00906AAB">
      <w:pPr>
        <w:pStyle w:val="Heading1"/>
      </w:pPr>
      <w:r>
        <w:lastRenderedPageBreak/>
        <w:t>Financial Overview of Seacrest Lodge</w:t>
      </w:r>
      <w:bookmarkEnd w:id="5"/>
    </w:p>
    <w:p w14:paraId="7C34CE34" w14:textId="3CC4233B" w:rsidR="00906AAB" w:rsidRDefault="00572A26" w:rsidP="00811905">
      <w:r>
        <w:t xml:space="preserve">Looking at the financial statements of Seacrest Lodge, from 2021 to 2023, the Seacrest Lodge's finances deteriorated. Revenue, net income, occupancy rates, and average room prices have been continuously declining at the once-thriving beachfront resort, creating a perfect storm situation. Newer resorts, changing client demands for contemporary facilities, and diminishing service quality owing to cost reduction may have contributed to the current scenario. According to the financial records, The Seacrest's revenue plummeted 21% from £1.2 million in 2021 to £950,000 in 2023. By 2023, net income had plummeted from £300,000 to £150,000. The case specifics show that the hotel's occupancy rate has dropped from 65% to a concerning 50%. </w:t>
      </w:r>
    </w:p>
    <w:p w14:paraId="4B8D9BB5" w14:textId="65CBB28F" w:rsidR="00811905" w:rsidRDefault="00906AAB" w:rsidP="008B6B00">
      <w:pPr>
        <w:jc w:val="center"/>
      </w:pPr>
      <w:r>
        <w:rPr>
          <w:noProof/>
          <w:lang w:val="en-GB" w:eastAsia="en-GB"/>
        </w:rPr>
        <w:drawing>
          <wp:inline distT="0" distB="0" distL="0" distR="0" wp14:anchorId="75C01D70" wp14:editId="5B537A70">
            <wp:extent cx="5469147" cy="2685668"/>
            <wp:effectExtent l="0" t="0" r="0" b="0"/>
            <wp:docPr id="1950750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9931"/>
                    <a:stretch/>
                  </pic:blipFill>
                  <pic:spPr bwMode="auto">
                    <a:xfrm>
                      <a:off x="0" y="0"/>
                      <a:ext cx="5484594" cy="2693254"/>
                    </a:xfrm>
                    <a:prstGeom prst="rect">
                      <a:avLst/>
                    </a:prstGeom>
                    <a:noFill/>
                    <a:ln>
                      <a:noFill/>
                    </a:ln>
                    <a:extLst>
                      <a:ext uri="{53640926-AAD7-44D8-BBD7-CCE9431645EC}">
                        <a14:shadowObscured xmlns:a14="http://schemas.microsoft.com/office/drawing/2010/main"/>
                      </a:ext>
                    </a:extLst>
                  </pic:spPr>
                </pic:pic>
              </a:graphicData>
            </a:graphic>
          </wp:inline>
        </w:drawing>
      </w:r>
    </w:p>
    <w:p w14:paraId="745074E8" w14:textId="0F0D388F" w:rsidR="008B6B00" w:rsidRDefault="008B6B00" w:rsidP="008B6B00">
      <w:pPr>
        <w:pStyle w:val="Caption"/>
        <w:jc w:val="center"/>
      </w:pPr>
      <w:bookmarkStart w:id="6" w:name="_Toc159634055"/>
      <w:r>
        <w:t xml:space="preserve">Figure </w:t>
      </w:r>
      <w:fldSimple w:instr=" SEQ Figure \* ARABIC ">
        <w:r>
          <w:rPr>
            <w:noProof/>
          </w:rPr>
          <w:t>1</w:t>
        </w:r>
      </w:fldSimple>
      <w:r>
        <w:t>Financial Performance of Seacrest</w:t>
      </w:r>
      <w:bookmarkEnd w:id="6"/>
    </w:p>
    <w:p w14:paraId="6F63392B" w14:textId="7B019555" w:rsidR="003B5F44" w:rsidRDefault="003B5F44" w:rsidP="003B5F44">
      <w:pPr>
        <w:pStyle w:val="Heading3"/>
      </w:pPr>
      <w:bookmarkStart w:id="7" w:name="_Toc159631560"/>
      <w:r>
        <w:t>Trends in Revenue</w:t>
      </w:r>
      <w:bookmarkEnd w:id="7"/>
    </w:p>
    <w:p w14:paraId="591658D0" w14:textId="53A94D47" w:rsidR="008B6B00" w:rsidRPr="008B6B00" w:rsidRDefault="003B5F44" w:rsidP="008B6B00">
      <w:r>
        <w:t xml:space="preserve">The Seacrest Lodge's 21% revenue reduction from 2021 to 2023 correlated with a 3-year occupancy rate drop from 65% to 50%. This shows that lowering occupancy has been the main cause of the resort's declining income.  The Average Room Revenue indicator shows that average daily rates have declined 19% from £260 to £210 over the same </w:t>
      </w:r>
      <w:proofErr w:type="gramStart"/>
      <w:r>
        <w:t>time,</w:t>
      </w:r>
      <w:proofErr w:type="gramEnd"/>
      <w:r>
        <w:t xml:space="preserve"> however this rate deflation has had far less effect than the 15 percentage point occupancy reduction which would cost m</w:t>
      </w:r>
      <w:r w:rsidRPr="008B6B00">
        <w:t>ore revenue than a 19% drop in average rates.</w:t>
      </w:r>
      <w:bookmarkStart w:id="8" w:name="_Toc159631561"/>
      <w:r w:rsidR="008B6B00">
        <w:t xml:space="preserve"> </w:t>
      </w:r>
      <w:r w:rsidR="008B6B00" w:rsidRPr="008B6B00">
        <w:t xml:space="preserve">Average rates are falling, which calls The Seacrest's value proposition into question. It appears clients no longer value Seacrest's luxury facilities, hospitality, and experience. The Seacrest's struggles to sustain its price premium and value perception may be attributed to rapidly developing local competition from seaside resorts improving marketing and facilities. Modern beach hotels provide more in-room and </w:t>
      </w:r>
      <w:r w:rsidR="008B6B00" w:rsidRPr="008B6B00">
        <w:lastRenderedPageBreak/>
        <w:t>property amenities, better service, and lower costs than The Seacrest. This requires the resort to reclaim its USP and experience.</w:t>
      </w:r>
    </w:p>
    <w:p w14:paraId="3EB8735D" w14:textId="4BDF85A1" w:rsidR="003B5F44" w:rsidRDefault="003B5F44" w:rsidP="003B5F44">
      <w:pPr>
        <w:pStyle w:val="Heading3"/>
      </w:pPr>
      <w:r>
        <w:t>Margin Compression</w:t>
      </w:r>
      <w:bookmarkEnd w:id="8"/>
    </w:p>
    <w:p w14:paraId="03C849BF" w14:textId="1B7A4560" w:rsidR="003B5F44" w:rsidRPr="00811905" w:rsidRDefault="003B5F44" w:rsidP="003B5F44">
      <w:r>
        <w:t xml:space="preserve">The financial analysis "scissoring effect" describes this worrying tendency of diminishing revenues and rising costs (Higgins, 2022). The Seacrest Lodge may have failed to cut costs despite decreased income for several reasons. First, property upkeep, utilities, finance, and other fixed overheads account for a large amount of hospitality operating costs (Mohsin, 2022). Resorts struggle to adapt expenditures when demand changes due to substantial fixed asset investments like real estate and amenities. Second, hotel operational costs are dominated by staff pay (HNN, 2021). Even with decreased occupancy, hospitality </w:t>
      </w:r>
      <w:proofErr w:type="spellStart"/>
      <w:r>
        <w:t>labour</w:t>
      </w:r>
      <w:proofErr w:type="spellEnd"/>
      <w:r>
        <w:t xml:space="preserve"> unions make quick workforce reduction difficult. </w:t>
      </w:r>
    </w:p>
    <w:p w14:paraId="46CABE00" w14:textId="6AE7CEC1" w:rsidR="00906AAB" w:rsidRDefault="00906AAB" w:rsidP="00906AAB">
      <w:pPr>
        <w:pStyle w:val="Heading2"/>
      </w:pPr>
      <w:bookmarkStart w:id="9" w:name="_Toc159631562"/>
      <w:r>
        <w:t>Analysis of Balance Sheet Components</w:t>
      </w:r>
      <w:bookmarkEnd w:id="9"/>
    </w:p>
    <w:p w14:paraId="1542D0D1" w14:textId="04ACE192" w:rsidR="00C11548" w:rsidRDefault="00C11548" w:rsidP="00C11548">
      <w:pPr>
        <w:pStyle w:val="Heading3"/>
      </w:pPr>
      <w:bookmarkStart w:id="10" w:name="_Toc159631563"/>
      <w:r>
        <w:t>Liquidity Crunch</w:t>
      </w:r>
      <w:bookmarkEnd w:id="10"/>
    </w:p>
    <w:p w14:paraId="7406E12F" w14:textId="4A94FB58" w:rsidR="00E5178B" w:rsidRDefault="00E25BAF" w:rsidP="008B6B00">
      <w:pPr>
        <w:jc w:val="center"/>
      </w:pPr>
      <w:r>
        <w:rPr>
          <w:noProof/>
          <w:lang w:val="en-GB" w:eastAsia="en-GB"/>
        </w:rPr>
        <w:drawing>
          <wp:inline distT="0" distB="0" distL="0" distR="0" wp14:anchorId="2698F3E8" wp14:editId="0FBDB5B8">
            <wp:extent cx="3907766" cy="2415634"/>
            <wp:effectExtent l="0" t="0" r="0" b="3810"/>
            <wp:docPr id="7887017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15864" cy="2420640"/>
                    </a:xfrm>
                    <a:prstGeom prst="rect">
                      <a:avLst/>
                    </a:prstGeom>
                    <a:noFill/>
                    <a:ln>
                      <a:noFill/>
                    </a:ln>
                  </pic:spPr>
                </pic:pic>
              </a:graphicData>
            </a:graphic>
          </wp:inline>
        </w:drawing>
      </w:r>
    </w:p>
    <w:p w14:paraId="0EF3C2AF" w14:textId="6B83039D" w:rsidR="008B6B00" w:rsidRDefault="008B6B00" w:rsidP="008B6B00">
      <w:pPr>
        <w:pStyle w:val="Caption"/>
        <w:jc w:val="center"/>
      </w:pPr>
      <w:bookmarkStart w:id="11" w:name="_Toc159634056"/>
      <w:r>
        <w:t xml:space="preserve">Figure </w:t>
      </w:r>
      <w:fldSimple w:instr=" SEQ Figure \* ARABIC ">
        <w:r>
          <w:rPr>
            <w:noProof/>
          </w:rPr>
          <w:t>2</w:t>
        </w:r>
      </w:fldSimple>
      <w:r>
        <w:t xml:space="preserve"> Cash Position of Seacrest</w:t>
      </w:r>
      <w:bookmarkEnd w:id="11"/>
    </w:p>
    <w:p w14:paraId="41DF355C" w14:textId="4BC8DE59" w:rsidR="00C11548" w:rsidRDefault="00C11548" w:rsidP="00C11548">
      <w:r>
        <w:t>Property and equipment assets have lost 10%, or £200k, in book value, although this may not reflect facility degradation, obsolescence, or functional deterioration. Customer assessments of obsolete amenities suggest recent capital spending on upkeep, refits, and incremental additions may be poor. Hospitality benchmarks recommend hotels spend 4-5% of sales on asset quality (HotelManagement.net Editors, 2019). The Seacrest's low cash makes £36k-£45k annual investments improbable. Asset value frequently declines with delayed repair and maintenance spending. It also hurts visitor impression of service standards when compared to nearby resorts spending more in property enhancements.</w:t>
      </w:r>
    </w:p>
    <w:p w14:paraId="2B0EDE6B" w14:textId="77777777" w:rsidR="00C11548" w:rsidRDefault="00C11548" w:rsidP="00C11548">
      <w:pPr>
        <w:pStyle w:val="Heading3"/>
      </w:pPr>
      <w:bookmarkStart w:id="12" w:name="_Toc159631564"/>
      <w:r>
        <w:lastRenderedPageBreak/>
        <w:t>Asset Values vs Service Quality Perception</w:t>
      </w:r>
      <w:bookmarkEnd w:id="12"/>
      <w:r>
        <w:t xml:space="preserve">  </w:t>
      </w:r>
    </w:p>
    <w:p w14:paraId="6B26F9EA" w14:textId="217ACCA6" w:rsidR="00E5178B" w:rsidRDefault="00E5178B" w:rsidP="008B6B00">
      <w:pPr>
        <w:jc w:val="center"/>
      </w:pPr>
      <w:r>
        <w:rPr>
          <w:noProof/>
          <w:lang w:val="en-GB" w:eastAsia="en-GB"/>
        </w:rPr>
        <w:drawing>
          <wp:inline distT="0" distB="0" distL="0" distR="0" wp14:anchorId="7F09D158" wp14:editId="0F99F010">
            <wp:extent cx="4572000" cy="2743200"/>
            <wp:effectExtent l="0" t="0" r="0" b="0"/>
            <wp:docPr id="980328496"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9DCDF3F-63B7-606F-EE39-076FB535C0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3A1D65" w14:textId="1FFC57A2" w:rsidR="008B6B00" w:rsidRPr="00E5178B" w:rsidRDefault="008B6B00" w:rsidP="008B6B00">
      <w:pPr>
        <w:pStyle w:val="Caption"/>
        <w:jc w:val="center"/>
      </w:pPr>
      <w:bookmarkStart w:id="13" w:name="_Toc159634057"/>
      <w:r>
        <w:t xml:space="preserve">Figure </w:t>
      </w:r>
      <w:fldSimple w:instr=" SEQ Figure \* ARABIC ">
        <w:r>
          <w:rPr>
            <w:noProof/>
          </w:rPr>
          <w:t>3</w:t>
        </w:r>
      </w:fldSimple>
      <w:r>
        <w:t xml:space="preserve"> Average Room rate vs Occupancy rate</w:t>
      </w:r>
      <w:bookmarkEnd w:id="13"/>
    </w:p>
    <w:p w14:paraId="335DB1BA" w14:textId="1C9025B6" w:rsidR="00337178" w:rsidRDefault="00337178" w:rsidP="00F059EF">
      <w:r w:rsidRPr="00337178">
        <w:t xml:space="preserve">The book </w:t>
      </w:r>
      <w:r>
        <w:t>value</w:t>
      </w:r>
      <w:r w:rsidRPr="00337178">
        <w:t xml:space="preserve"> of land and equipment assets has gone down by 10%, or £200,000, but this may not reflect how much the facilities are actually falling apart or becoming useless. According to customer reviews that talk about old features, recent capital expenditures on upkeep, renovations, and small improvements may have been far below optimal levels. Standards in the industry say that hotels should spend 4 to 5 percent of their total income on keeping and improving the quality of their assets (HotelManagement.net Editors, 2019). For The Seacrest, that would have meant making investments of £36,000 to £45,000 a year, which does</w:t>
      </w:r>
      <w:r>
        <w:t xml:space="preserve"> not</w:t>
      </w:r>
      <w:r w:rsidRPr="00337178">
        <w:t xml:space="preserve"> seem likely given how tight its cash flow is. Repair and upkeep costs that are put off often lower an asset's long-term value. It also hurts the way guests think about the quality of service when they compare the facilities to nearby casinos that are spending more on improvements.</w:t>
      </w:r>
    </w:p>
    <w:p w14:paraId="42848035" w14:textId="77777777" w:rsidR="00396446" w:rsidRDefault="00F059EF" w:rsidP="00396446">
      <w:pPr>
        <w:pStyle w:val="Heading2"/>
      </w:pPr>
      <w:bookmarkStart w:id="14" w:name="_Toc159631565"/>
      <w:bookmarkStart w:id="15" w:name="_Hlk159623149"/>
      <w:r>
        <w:t>Reasons Behind the Decline</w:t>
      </w:r>
      <w:bookmarkEnd w:id="14"/>
    </w:p>
    <w:bookmarkEnd w:id="15"/>
    <w:p w14:paraId="35D78E17" w14:textId="77777777" w:rsidR="00396446" w:rsidRPr="00396446" w:rsidRDefault="00396446" w:rsidP="00396446">
      <w:pPr>
        <w:pStyle w:val="ListParagraph"/>
        <w:numPr>
          <w:ilvl w:val="0"/>
          <w:numId w:val="6"/>
        </w:numPr>
        <w:rPr>
          <w:rFonts w:eastAsiaTheme="majorEastAsia"/>
          <w:color w:val="2F5496" w:themeColor="accent1" w:themeShade="BF"/>
          <w:sz w:val="26"/>
          <w:szCs w:val="26"/>
        </w:rPr>
      </w:pPr>
      <w:r w:rsidRPr="00396446">
        <w:t xml:space="preserve">Luxury resort businesses have a </w:t>
      </w:r>
      <w:r>
        <w:t>high operating leverage</w:t>
      </w:r>
      <w:r w:rsidRPr="00396446">
        <w:t xml:space="preserve"> due to large expenditures and fixed costs. Businesses must cut service quality investments when demand dips because margins are shrinking. Unfortunately, this leads to angry consumers, bad reviews, and decreased revenue, establishing a cycle of financial decline.</w:t>
      </w:r>
    </w:p>
    <w:p w14:paraId="0AB2C01F" w14:textId="1C822B73" w:rsidR="00396446" w:rsidRPr="00396446" w:rsidRDefault="00396446" w:rsidP="00396446">
      <w:pPr>
        <w:pStyle w:val="ListParagraph"/>
        <w:numPr>
          <w:ilvl w:val="0"/>
          <w:numId w:val="6"/>
        </w:numPr>
        <w:rPr>
          <w:rFonts w:eastAsiaTheme="majorEastAsia"/>
          <w:color w:val="2F5496" w:themeColor="accent1" w:themeShade="BF"/>
          <w:sz w:val="26"/>
          <w:szCs w:val="26"/>
        </w:rPr>
      </w:pPr>
      <w:r w:rsidRPr="00396446">
        <w:t xml:space="preserve">The Seacrest Lodge lost 21% of its revenue as its vacancy rate declined from 65% to 50% over three years. To conserve money during rapid revenue loss, management likely cut back on routine facility upgrades and small improvements needed to </w:t>
      </w:r>
      <w:r>
        <w:t>keep</w:t>
      </w:r>
      <w:r w:rsidRPr="00396446">
        <w:t xml:space="preserve"> the brand competitive. </w:t>
      </w:r>
    </w:p>
    <w:p w14:paraId="4802C925" w14:textId="77777777" w:rsidR="00396446" w:rsidRPr="00396446" w:rsidRDefault="00396446" w:rsidP="00396446">
      <w:pPr>
        <w:pStyle w:val="ListParagraph"/>
        <w:numPr>
          <w:ilvl w:val="0"/>
          <w:numId w:val="6"/>
        </w:numPr>
        <w:rPr>
          <w:rFonts w:eastAsiaTheme="majorEastAsia"/>
          <w:color w:val="2F5496" w:themeColor="accent1" w:themeShade="BF"/>
          <w:sz w:val="26"/>
          <w:szCs w:val="26"/>
        </w:rPr>
      </w:pPr>
      <w:r w:rsidRPr="00396446">
        <w:lastRenderedPageBreak/>
        <w:t>Standard industry practice is to invest 4–5% of hotel revenue in maintaining and increasing asset quality to guest expectations (HotelManagement.net, 2019). However, Seacrest Lodge couldn't afford as many modifications, new features, and current services as most places.</w:t>
      </w:r>
    </w:p>
    <w:p w14:paraId="0120F76A" w14:textId="77777777" w:rsidR="008B6B00" w:rsidRPr="008B6B00" w:rsidRDefault="008B6B00" w:rsidP="00396446">
      <w:pPr>
        <w:pStyle w:val="ListParagraph"/>
        <w:numPr>
          <w:ilvl w:val="0"/>
          <w:numId w:val="6"/>
        </w:numPr>
        <w:rPr>
          <w:rFonts w:eastAsiaTheme="majorEastAsia"/>
          <w:color w:val="2F5496" w:themeColor="accent1" w:themeShade="BF"/>
          <w:sz w:val="26"/>
          <w:szCs w:val="26"/>
        </w:rPr>
      </w:pPr>
      <w:r w:rsidRPr="008B6B00">
        <w:t xml:space="preserve">Customers found the hotel décor and furniture antiquated, compared to other resorts that updated during a recession. The company lost additional brand and pricing power. The economy expanded between 2021 and 2023, while The Seacrest's average daily room prices fell 19%. </w:t>
      </w:r>
    </w:p>
    <w:p w14:paraId="2CF2A709" w14:textId="0954467E" w:rsidR="00396446" w:rsidRPr="00396446" w:rsidRDefault="00396446" w:rsidP="00396446">
      <w:pPr>
        <w:pStyle w:val="ListParagraph"/>
        <w:numPr>
          <w:ilvl w:val="0"/>
          <w:numId w:val="6"/>
        </w:numPr>
        <w:rPr>
          <w:rFonts w:eastAsiaTheme="majorEastAsia"/>
          <w:color w:val="2F5496" w:themeColor="accent1" w:themeShade="BF"/>
          <w:sz w:val="26"/>
          <w:szCs w:val="26"/>
        </w:rPr>
      </w:pPr>
      <w:r w:rsidRPr="00396446">
        <w:t xml:space="preserve">Not investing in asset maintenance and customer experience led to a vicious cycle of unpleasant customer feelings, fast customer turnover, and market share migrating to competitors. </w:t>
      </w:r>
      <w:r w:rsidR="0005235A">
        <w:t>Due to insufficient investments in facilities, renovations, and care, the property's value offering and positioning are currently behind the market. In hospitality writing, the Resort Life Cycle hypothesis states that hotels must spend a lot every 8–10 years to renew their assets to fulfil client expectations (Rushmore, 2022).</w:t>
      </w:r>
    </w:p>
    <w:p w14:paraId="649F1399" w14:textId="6C4E0EE4" w:rsidR="00556C10" w:rsidRDefault="00556C10" w:rsidP="00556C10">
      <w:pPr>
        <w:pStyle w:val="Heading2"/>
      </w:pPr>
      <w:bookmarkStart w:id="16" w:name="_Toc159631566"/>
      <w:r>
        <w:t>External Factors Behind the Decline</w:t>
      </w:r>
      <w:bookmarkEnd w:id="16"/>
    </w:p>
    <w:p w14:paraId="74B5FC00" w14:textId="57D26153" w:rsidR="004D09D3" w:rsidRDefault="0005235A" w:rsidP="004D09D3">
      <w:pPr>
        <w:pStyle w:val="ListParagraph"/>
        <w:numPr>
          <w:ilvl w:val="0"/>
          <w:numId w:val="7"/>
        </w:numPr>
      </w:pPr>
      <w:r w:rsidRPr="0005235A">
        <w:rPr>
          <w:b/>
          <w:bCs/>
        </w:rPr>
        <w:t>Covid-19 Pandemic:</w:t>
      </w:r>
      <w:r>
        <w:t xml:space="preserve"> The global hotel business has suffered from the COVID-19 epidemic since early 2020. Tight travel restrictions and long shutdown have made things difficult. Many people flocked to the resorts and hotels when they reopened in 2021. However, multiple aftershocks have prevented enterprises like The Seacrest Lodge from recovering. Economic Impact of Covid </w:t>
      </w:r>
      <w:r>
        <w:br/>
        <w:t xml:space="preserve">In 2022, Deloitte found that pandemic-related supply chain issues, </w:t>
      </w:r>
      <w:proofErr w:type="spellStart"/>
      <w:r>
        <w:t>labour</w:t>
      </w:r>
      <w:proofErr w:type="spellEnd"/>
      <w:r>
        <w:t xml:space="preserve"> shortages, and increased commodity prices have slowly eroded travel industry profit margins.</w:t>
      </w:r>
    </w:p>
    <w:p w14:paraId="5FE2DEF3" w14:textId="77777777" w:rsidR="0005235A" w:rsidRDefault="0005235A" w:rsidP="0005235A">
      <w:pPr>
        <w:pStyle w:val="ListParagraph"/>
        <w:numPr>
          <w:ilvl w:val="0"/>
          <w:numId w:val="7"/>
        </w:numPr>
      </w:pPr>
      <w:r w:rsidRPr="0005235A">
        <w:rPr>
          <w:b/>
          <w:bCs/>
        </w:rPr>
        <w:t>Brexit hurts UK tourism:</w:t>
      </w:r>
      <w:r>
        <w:t xml:space="preserve"> Brexit has also slowed things. According to research, Brexit uncertainties and new visa procedures have made UK holidays more expensive, reducing EU visitor demand since 2021 (Burgen, 2022). Due to increasing roaming fees and travel issues created by Brexit, industry leaders say the UK tourist rebound has lagged behind Europe (Phillips, 2022).</w:t>
      </w:r>
    </w:p>
    <w:p w14:paraId="170051E3" w14:textId="77777777" w:rsidR="0005235A" w:rsidRDefault="0005235A" w:rsidP="0005235A">
      <w:pPr>
        <w:pStyle w:val="ListParagraph"/>
        <w:numPr>
          <w:ilvl w:val="0"/>
          <w:numId w:val="7"/>
        </w:numPr>
      </w:pPr>
      <w:r w:rsidRPr="0005235A">
        <w:rPr>
          <w:b/>
          <w:bCs/>
        </w:rPr>
        <w:t>Rising energy costs</w:t>
      </w:r>
      <w:r>
        <w:t xml:space="preserve">: In 2022, natural gas and electricity prices skyrocketed, forcing hotel owners to spend up to 300% more for overhead (Reynolds, 2023). The rising cost of living made hotels especially sensitive to increased energy expenses, which had a "scissoring effect" on profit margins. This was because hotels invested heavily on fixed property. Focusing on internal flaws </w:t>
      </w:r>
      <w:r>
        <w:br/>
        <w:t>after 2021, The Seacrest Lodge has struggled with inadequate cash flow, poor facility upgrades, and diminishing property prices, which have grown increasingly obvious after the big events.</w:t>
      </w:r>
    </w:p>
    <w:p w14:paraId="5705B5A6" w14:textId="55008299" w:rsidR="00615CB7" w:rsidRPr="00302FA1" w:rsidRDefault="00E5514C" w:rsidP="00302FA1">
      <w:pPr>
        <w:pStyle w:val="Heading1"/>
      </w:pPr>
      <w:bookmarkStart w:id="17" w:name="_Toc159631567"/>
      <w:r>
        <w:t>Turnaround Strategy for Seacrest</w:t>
      </w:r>
      <w:bookmarkEnd w:id="17"/>
    </w:p>
    <w:p w14:paraId="71A24982" w14:textId="10C8AFC7" w:rsidR="00E5514C" w:rsidRPr="00E5514C" w:rsidRDefault="00E5514C" w:rsidP="00E5514C">
      <w:pPr>
        <w:pStyle w:val="ListParagraph"/>
        <w:numPr>
          <w:ilvl w:val="0"/>
          <w:numId w:val="8"/>
        </w:numPr>
        <w:rPr>
          <w:rFonts w:eastAsiaTheme="majorEastAsia"/>
          <w:b/>
          <w:bCs/>
          <w:color w:val="1F3763" w:themeColor="accent1" w:themeShade="7F"/>
          <w:sz w:val="24"/>
          <w:szCs w:val="24"/>
        </w:rPr>
      </w:pPr>
      <w:bookmarkStart w:id="18" w:name="_Toc157032555"/>
      <w:r w:rsidRPr="00E5514C">
        <w:rPr>
          <w:rFonts w:eastAsiaTheme="majorEastAsia"/>
          <w:b/>
          <w:bCs/>
          <w:color w:val="1F3763" w:themeColor="accent1" w:themeShade="7F"/>
          <w:sz w:val="24"/>
          <w:szCs w:val="24"/>
        </w:rPr>
        <w:t>Emergency Cash Infusions</w:t>
      </w:r>
    </w:p>
    <w:p w14:paraId="48AE85F8" w14:textId="1BC1B750" w:rsidR="00E5514C" w:rsidRDefault="00E5514C" w:rsidP="00E5514C">
      <w:r>
        <w:lastRenderedPageBreak/>
        <w:t>Getting emergency funds to deal with the dangerous short-term lack of cash and keep basic activities going is the most important first step. Some possible solutions are for the owners to put in more money, turn debt into equity, work out better credit terms with suppliers, or even offer a private equity loan plan that lowers the ownership stake (HNN, 2021).</w:t>
      </w:r>
    </w:p>
    <w:p w14:paraId="2005A6DC" w14:textId="0F95048C" w:rsidR="00E5514C" w:rsidRDefault="00E5514C" w:rsidP="00E5514C">
      <w:pPr>
        <w:pStyle w:val="ListParagraph"/>
        <w:numPr>
          <w:ilvl w:val="0"/>
          <w:numId w:val="8"/>
        </w:numPr>
      </w:pPr>
      <w:r w:rsidRPr="00E5514C">
        <w:rPr>
          <w:rFonts w:eastAsiaTheme="majorEastAsia"/>
          <w:b/>
          <w:bCs/>
          <w:color w:val="1F3763" w:themeColor="accent1" w:themeShade="7F"/>
          <w:sz w:val="24"/>
          <w:szCs w:val="24"/>
        </w:rPr>
        <w:t>Asset</w:t>
      </w:r>
      <w:r w:rsidRPr="00E5514C">
        <w:t xml:space="preserve"> </w:t>
      </w:r>
      <w:r w:rsidRPr="00E5514C">
        <w:rPr>
          <w:rFonts w:eastAsiaTheme="majorEastAsia"/>
          <w:b/>
          <w:bCs/>
          <w:color w:val="1F3763" w:themeColor="accent1" w:themeShade="7F"/>
          <w:sz w:val="24"/>
          <w:szCs w:val="24"/>
        </w:rPr>
        <w:t>Quality</w:t>
      </w:r>
      <w:r w:rsidRPr="00E5514C">
        <w:t xml:space="preserve"> </w:t>
      </w:r>
      <w:r w:rsidRPr="00E5514C">
        <w:rPr>
          <w:rFonts w:eastAsiaTheme="majorEastAsia"/>
          <w:b/>
          <w:bCs/>
          <w:color w:val="1F3763" w:themeColor="accent1" w:themeShade="7F"/>
          <w:sz w:val="24"/>
          <w:szCs w:val="24"/>
        </w:rPr>
        <w:t>Improvements</w:t>
      </w:r>
    </w:p>
    <w:p w14:paraId="72C43E53" w14:textId="7A9A347B" w:rsidR="00E5514C" w:rsidRDefault="008B6B00" w:rsidP="00E5514C">
      <w:r w:rsidRPr="008B6B00">
        <w:t>After urgent finance requirements are met, customer-visible places and services must be upgraded. Previous facilities issues will be resolved quickly. Industry data shows that a corridor renovation and paint work in high-traffic sections may take 6–12 weeks for 7% of expected yearly revenue, or £65,000 (HotelManagement.net, 2020). Quick wins like upgrading the property's look may enhance customer image, review ratings, and occupancy to pay for future renovations. Strategic advertising updates may increase marketing and revenue. The suggested budget covers all essential improvement areas.</w:t>
      </w:r>
    </w:p>
    <w:tbl>
      <w:tblPr>
        <w:tblW w:w="0" w:type="dxa"/>
        <w:tblCellMar>
          <w:left w:w="0" w:type="dxa"/>
          <w:right w:w="0" w:type="dxa"/>
        </w:tblCellMar>
        <w:tblLook w:val="04A0" w:firstRow="1" w:lastRow="0" w:firstColumn="1" w:lastColumn="0" w:noHBand="0" w:noVBand="1"/>
      </w:tblPr>
      <w:tblGrid>
        <w:gridCol w:w="2589"/>
        <w:gridCol w:w="1783"/>
      </w:tblGrid>
      <w:tr w:rsidR="00C61FF0" w:rsidRPr="00C61FF0" w14:paraId="644E142B" w14:textId="77777777" w:rsidTr="00C61FF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2A8A05" w14:textId="77777777" w:rsidR="00C61FF0" w:rsidRPr="00C61FF0" w:rsidRDefault="00C61FF0" w:rsidP="00C61FF0">
            <w:pPr>
              <w:spacing w:after="0"/>
            </w:pPr>
            <w:r w:rsidRPr="00C61FF0">
              <w:t>Area of Investment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FDCA7E" w14:textId="77777777" w:rsidR="00C61FF0" w:rsidRPr="00C61FF0" w:rsidRDefault="00C61FF0" w:rsidP="00C61FF0">
            <w:pPr>
              <w:spacing w:after="0"/>
            </w:pPr>
            <w:r w:rsidRPr="00C61FF0">
              <w:t>Allocation Amount</w:t>
            </w:r>
          </w:p>
        </w:tc>
      </w:tr>
      <w:tr w:rsidR="00C61FF0" w:rsidRPr="00C61FF0" w14:paraId="77ADFE1D" w14:textId="77777777" w:rsidTr="00C61FF0">
        <w:trPr>
          <w:trHeight w:val="279"/>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68B201" w14:textId="77777777" w:rsidR="00C61FF0" w:rsidRPr="00C61FF0" w:rsidRDefault="00C61FF0" w:rsidP="00C61FF0">
            <w:pPr>
              <w:spacing w:after="0"/>
            </w:pPr>
            <w:r w:rsidRPr="00C61FF0">
              <w:t>Lobby Refurbishment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8197EC" w14:textId="77777777" w:rsidR="00C61FF0" w:rsidRPr="00C61FF0" w:rsidRDefault="00C61FF0" w:rsidP="00C61FF0">
            <w:pPr>
              <w:spacing w:after="0"/>
            </w:pPr>
            <w:r w:rsidRPr="00C61FF0">
              <w:t>£25,000</w:t>
            </w:r>
          </w:p>
        </w:tc>
      </w:tr>
      <w:tr w:rsidR="00C61FF0" w:rsidRPr="00C61FF0" w14:paraId="59E0C8FC" w14:textId="77777777" w:rsidTr="00C61FF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FAA661" w14:textId="77777777" w:rsidR="00C61FF0" w:rsidRPr="00C61FF0" w:rsidRDefault="00C61FF0" w:rsidP="00C61FF0">
            <w:pPr>
              <w:spacing w:after="0"/>
            </w:pPr>
            <w:r w:rsidRPr="00C61FF0">
              <w:t>External &amp; Internal Painting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CDBD37" w14:textId="77777777" w:rsidR="00C61FF0" w:rsidRPr="00C61FF0" w:rsidRDefault="00C61FF0" w:rsidP="00C61FF0">
            <w:pPr>
              <w:spacing w:after="0"/>
            </w:pPr>
            <w:r w:rsidRPr="00C61FF0">
              <w:t>£15,000</w:t>
            </w:r>
          </w:p>
        </w:tc>
      </w:tr>
      <w:tr w:rsidR="00C61FF0" w:rsidRPr="00C61FF0" w14:paraId="5AC935CD" w14:textId="77777777" w:rsidTr="00C61FF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8B5BDE" w14:textId="77777777" w:rsidR="00C61FF0" w:rsidRPr="00C61FF0" w:rsidRDefault="00C61FF0" w:rsidP="00C61FF0">
            <w:pPr>
              <w:spacing w:after="0"/>
            </w:pPr>
            <w:r w:rsidRPr="00C61FF0">
              <w:t>Room Furnishing Upgrades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5011D7" w14:textId="77777777" w:rsidR="00C61FF0" w:rsidRPr="00C61FF0" w:rsidRDefault="00C61FF0" w:rsidP="00C61FF0">
            <w:pPr>
              <w:spacing w:after="0"/>
            </w:pPr>
            <w:r w:rsidRPr="00C61FF0">
              <w:t>£10,000</w:t>
            </w:r>
          </w:p>
        </w:tc>
      </w:tr>
      <w:tr w:rsidR="00C61FF0" w:rsidRPr="00C61FF0" w14:paraId="7C604DA9" w14:textId="77777777" w:rsidTr="00C61FF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21EB5C" w14:textId="77777777" w:rsidR="00C61FF0" w:rsidRPr="00C61FF0" w:rsidRDefault="00C61FF0" w:rsidP="00C61FF0">
            <w:pPr>
              <w:spacing w:after="0"/>
            </w:pPr>
            <w:r w:rsidRPr="00C61FF0">
              <w:t>Signage Refresh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4F2C38" w14:textId="77777777" w:rsidR="00C61FF0" w:rsidRPr="00C61FF0" w:rsidRDefault="00C61FF0" w:rsidP="00C61FF0">
            <w:pPr>
              <w:spacing w:after="0"/>
            </w:pPr>
            <w:r w:rsidRPr="00C61FF0">
              <w:t>£5,000</w:t>
            </w:r>
          </w:p>
        </w:tc>
      </w:tr>
      <w:tr w:rsidR="00C61FF0" w:rsidRPr="00C61FF0" w14:paraId="73C74AFA" w14:textId="77777777" w:rsidTr="00C61FF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904D20" w14:textId="77777777" w:rsidR="00C61FF0" w:rsidRPr="00C61FF0" w:rsidRDefault="00C61FF0" w:rsidP="00C61FF0">
            <w:pPr>
              <w:spacing w:after="0"/>
            </w:pPr>
            <w:r w:rsidRPr="00C61FF0">
              <w:t>Contingency Buffer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EB7A7F" w14:textId="77777777" w:rsidR="00C61FF0" w:rsidRPr="00C61FF0" w:rsidRDefault="00C61FF0" w:rsidP="00C61FF0">
            <w:pPr>
              <w:spacing w:after="0"/>
            </w:pPr>
            <w:r w:rsidRPr="00C61FF0">
              <w:t>£10,000</w:t>
            </w:r>
          </w:p>
        </w:tc>
      </w:tr>
      <w:tr w:rsidR="00C61FF0" w:rsidRPr="00C61FF0" w14:paraId="3D419D9A" w14:textId="77777777" w:rsidTr="00C61FF0">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9447CA" w14:textId="77777777" w:rsidR="00C61FF0" w:rsidRPr="00C61FF0" w:rsidRDefault="00C61FF0" w:rsidP="00C61FF0">
            <w:pPr>
              <w:spacing w:after="0"/>
            </w:pPr>
            <w:r w:rsidRPr="00C61FF0">
              <w:t>Total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92EAAC" w14:textId="77777777" w:rsidR="00C61FF0" w:rsidRPr="00C61FF0" w:rsidRDefault="00C61FF0" w:rsidP="00C61FF0">
            <w:pPr>
              <w:spacing w:after="0"/>
            </w:pPr>
            <w:r w:rsidRPr="00C61FF0">
              <w:t>£65,000</w:t>
            </w:r>
          </w:p>
        </w:tc>
      </w:tr>
    </w:tbl>
    <w:p w14:paraId="615131C7" w14:textId="591B90A1" w:rsidR="00C61FF0" w:rsidRDefault="00C61FF0" w:rsidP="00E5514C">
      <w:r>
        <w:rPr>
          <w:noProof/>
          <w:lang w:val="en-GB" w:eastAsia="en-GB"/>
        </w:rPr>
        <w:drawing>
          <wp:inline distT="0" distB="0" distL="0" distR="0" wp14:anchorId="71D71605" wp14:editId="2CF39721">
            <wp:extent cx="4200482" cy="2070340"/>
            <wp:effectExtent l="0" t="0" r="0" b="6350"/>
            <wp:docPr id="329189200" name="Picture 5"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89200" name="Picture 5" descr="A pie chart with text&#10;&#10;Description automatically generated"/>
                    <pic:cNvPicPr>
                      <a:picLocks noChangeAspect="1" noChangeArrowheads="1"/>
                    </pic:cNvPicPr>
                  </pic:nvPicPr>
                  <pic:blipFill rotWithShape="1">
                    <a:blip r:embed="rId11" cstate="print">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b="10870"/>
                    <a:stretch/>
                  </pic:blipFill>
                  <pic:spPr bwMode="auto">
                    <a:xfrm>
                      <a:off x="0" y="0"/>
                      <a:ext cx="4244707" cy="2092138"/>
                    </a:xfrm>
                    <a:prstGeom prst="rect">
                      <a:avLst/>
                    </a:prstGeom>
                    <a:noFill/>
                    <a:ln>
                      <a:noFill/>
                    </a:ln>
                    <a:extLst>
                      <a:ext uri="{53640926-AAD7-44D8-BBD7-CCE9431645EC}">
                        <a14:shadowObscured xmlns:a14="http://schemas.microsoft.com/office/drawing/2010/main"/>
                      </a:ext>
                    </a:extLst>
                  </pic:spPr>
                </pic:pic>
              </a:graphicData>
            </a:graphic>
          </wp:inline>
        </w:drawing>
      </w:r>
    </w:p>
    <w:p w14:paraId="2860482D" w14:textId="168395BA" w:rsidR="00AA053E" w:rsidRPr="00AA053E" w:rsidRDefault="00AA053E" w:rsidP="00AA053E">
      <w:pPr>
        <w:pStyle w:val="Heading3"/>
        <w:numPr>
          <w:ilvl w:val="0"/>
          <w:numId w:val="8"/>
        </w:numPr>
      </w:pPr>
      <w:bookmarkStart w:id="19" w:name="_Toc159631568"/>
      <w:r w:rsidRPr="00AA053E">
        <w:t>Service Model Realignment</w:t>
      </w:r>
      <w:bookmarkEnd w:id="19"/>
    </w:p>
    <w:p w14:paraId="52964755" w14:textId="7D05488C" w:rsidR="00AA053E" w:rsidRDefault="00AA053E" w:rsidP="00AA053E">
      <w:r>
        <w:t xml:space="preserve">According to experts, realigning employment methods and service offerings might help struggling hotel </w:t>
      </w:r>
      <w:proofErr w:type="spellStart"/>
      <w:r>
        <w:t>organisations</w:t>
      </w:r>
      <w:proofErr w:type="spellEnd"/>
      <w:r>
        <w:t xml:space="preserve"> </w:t>
      </w:r>
      <w:proofErr w:type="spellStart"/>
      <w:r>
        <w:t>minimise</w:t>
      </w:r>
      <w:proofErr w:type="spellEnd"/>
      <w:r>
        <w:t xml:space="preserve"> fixed costs and adapt to shifting demand (HotelManagement.net, 2022). The Seacrest Lodge seems to be hampered by outdated processes that functioned well when business was </w:t>
      </w:r>
      <w:r>
        <w:lastRenderedPageBreak/>
        <w:t>booming but make it tougher to adapt to save money. Process reengineering can also help struggling hotels, according to Bhimani (2006).</w:t>
      </w:r>
    </w:p>
    <w:p w14:paraId="4841D6A2" w14:textId="477FDA4C" w:rsidR="00AA053E" w:rsidRPr="00AA053E" w:rsidRDefault="00AA053E" w:rsidP="00AA053E">
      <w:pPr>
        <w:rPr>
          <w:b/>
          <w:bCs/>
        </w:rPr>
      </w:pPr>
      <w:r w:rsidRPr="00AA053E">
        <w:rPr>
          <w:b/>
          <w:bCs/>
        </w:rPr>
        <w:t>Getting Lean Through Staffing Innovation</w:t>
      </w:r>
    </w:p>
    <w:p w14:paraId="6A3B732D" w14:textId="2ABB343C" w:rsidR="00AA053E" w:rsidRDefault="00AA053E" w:rsidP="00AA053E">
      <w:r w:rsidRPr="00AA053E">
        <w:t>Resorts like Seacrest, which are in the mature stage, often make the mistake of overstaffing during high occupancy periods (</w:t>
      </w:r>
      <w:proofErr w:type="spellStart"/>
      <w:r w:rsidRPr="00AA053E">
        <w:t>Guilding</w:t>
      </w:r>
      <w:proofErr w:type="spellEnd"/>
      <w:r w:rsidRPr="00AA053E">
        <w:t xml:space="preserve">, 2014). In order to prevent over-capacity during off-peak hours and provide excellent service during peak seasons, new staffing models that </w:t>
      </w:r>
      <w:proofErr w:type="spellStart"/>
      <w:r w:rsidRPr="00AA053E">
        <w:t>maximise</w:t>
      </w:r>
      <w:proofErr w:type="spellEnd"/>
      <w:r w:rsidRPr="00AA053E">
        <w:t xml:space="preserve"> personnel </w:t>
      </w:r>
      <w:proofErr w:type="spellStart"/>
      <w:r w:rsidRPr="00AA053E">
        <w:t>utilisation</w:t>
      </w:r>
      <w:proofErr w:type="spellEnd"/>
      <w:r w:rsidRPr="00AA053E">
        <w:t xml:space="preserve"> are necessary (Tranter et al., 2014).</w:t>
      </w:r>
      <w:r>
        <w:t xml:space="preserve"> </w:t>
      </w:r>
      <w:r w:rsidRPr="00AA053E">
        <w:t>More specifically, there are four levers that The Seacrest might use to reduce salary expenses by almost 20%:</w:t>
      </w:r>
    </w:p>
    <w:p w14:paraId="35ACE1B7" w14:textId="77777777" w:rsidR="00AA053E" w:rsidRDefault="00AA053E" w:rsidP="00AA053E">
      <w:pPr>
        <w:pStyle w:val="ListParagraph"/>
        <w:numPr>
          <w:ilvl w:val="0"/>
          <w:numId w:val="9"/>
        </w:numPr>
      </w:pPr>
      <w:r w:rsidRPr="00AA053E">
        <w:rPr>
          <w:b/>
          <w:bCs/>
        </w:rPr>
        <w:t>Cross-training</w:t>
      </w:r>
      <w:r>
        <w:t xml:space="preserve"> people in multiple tasks through dynamic role allocation improves deployment flexibility for need-based job allocation. </w:t>
      </w:r>
    </w:p>
    <w:p w14:paraId="4340E586" w14:textId="7F5D3450" w:rsidR="00AA053E" w:rsidRDefault="00AA053E" w:rsidP="00AA053E">
      <w:pPr>
        <w:pStyle w:val="ListParagraph"/>
        <w:numPr>
          <w:ilvl w:val="0"/>
          <w:numId w:val="9"/>
        </w:numPr>
      </w:pPr>
      <w:r w:rsidRPr="00AA053E">
        <w:rPr>
          <w:b/>
          <w:bCs/>
        </w:rPr>
        <w:t>Salary modules</w:t>
      </w:r>
      <w:r>
        <w:t xml:space="preserve">: Flexible hourly salaries and productivity-linked incentives motivate high-conversion service agents. </w:t>
      </w:r>
    </w:p>
    <w:p w14:paraId="6B98412D" w14:textId="4B0947C5" w:rsidR="00AA053E" w:rsidRDefault="00AA053E" w:rsidP="00AA053E">
      <w:pPr>
        <w:pStyle w:val="ListParagraph"/>
        <w:numPr>
          <w:ilvl w:val="0"/>
          <w:numId w:val="9"/>
        </w:numPr>
      </w:pPr>
      <w:r w:rsidRPr="00AA053E">
        <w:rPr>
          <w:b/>
          <w:bCs/>
        </w:rPr>
        <w:t xml:space="preserve">Seasonal </w:t>
      </w:r>
      <w:proofErr w:type="spellStart"/>
      <w:r w:rsidRPr="00AA053E">
        <w:rPr>
          <w:b/>
          <w:bCs/>
        </w:rPr>
        <w:t>optimisation</w:t>
      </w:r>
      <w:proofErr w:type="spellEnd"/>
      <w:r w:rsidRPr="00AA053E">
        <w:rPr>
          <w:b/>
          <w:bCs/>
        </w:rPr>
        <w:t>:</w:t>
      </w:r>
      <w:r>
        <w:t xml:space="preserve"> In busy seasons, hire temporary or outsourced workers on-demand. </w:t>
      </w:r>
    </w:p>
    <w:p w14:paraId="3C6164C7" w14:textId="2BB22092" w:rsidR="00AA053E" w:rsidRDefault="00AA053E" w:rsidP="00AA053E">
      <w:pPr>
        <w:pStyle w:val="ListParagraph"/>
        <w:numPr>
          <w:ilvl w:val="0"/>
          <w:numId w:val="9"/>
        </w:numPr>
      </w:pPr>
      <w:r w:rsidRPr="00AA053E">
        <w:rPr>
          <w:b/>
          <w:bCs/>
        </w:rPr>
        <w:t>Using tech</w:t>
      </w:r>
      <w:r>
        <w:t>: Implement demand-based roster scheduling using software that modifies daily staff count based on advance bookings.</w:t>
      </w:r>
    </w:p>
    <w:p w14:paraId="2CA425A1" w14:textId="678EC0D0" w:rsidR="00BB0A50" w:rsidRDefault="00AA053E" w:rsidP="00E5514C">
      <w:r>
        <w:t>By streamlining food and beverage (F&amp;B) sub-units to sustainably fulfil demand during restructuring, substantial savings can be achieved through the deleveraging of excessive capacity investments associated with ambitious scaling (</w:t>
      </w:r>
      <w:proofErr w:type="spellStart"/>
      <w:r>
        <w:t>Atrill</w:t>
      </w:r>
      <w:proofErr w:type="spellEnd"/>
      <w:r>
        <w:t xml:space="preserve"> &amp; </w:t>
      </w:r>
      <w:proofErr w:type="spellStart"/>
      <w:r>
        <w:t>McLaney</w:t>
      </w:r>
      <w:proofErr w:type="spellEnd"/>
      <w:r>
        <w:t>, 2021). This helps to prevent the waste of calories and the costs associated with spoiling caused by idle capacity.</w:t>
      </w:r>
    </w:p>
    <w:p w14:paraId="67D4DE96" w14:textId="10439D0C" w:rsidR="00BB0A50" w:rsidRDefault="00BB0A50" w:rsidP="00BB0A50">
      <w:pPr>
        <w:pStyle w:val="Heading3"/>
        <w:numPr>
          <w:ilvl w:val="0"/>
          <w:numId w:val="8"/>
        </w:numPr>
      </w:pPr>
      <w:bookmarkStart w:id="20" w:name="_Toc159631569"/>
      <w:r w:rsidRPr="00BB0A50">
        <w:t>Securing Local Partnerships</w:t>
      </w:r>
      <w:bookmarkEnd w:id="20"/>
    </w:p>
    <w:p w14:paraId="59200FC3" w14:textId="539F0CDF" w:rsidR="00E5514C" w:rsidRDefault="00BB0A50" w:rsidP="00E5514C">
      <w:r>
        <w:t xml:space="preserve">In addition to internal </w:t>
      </w:r>
      <w:proofErr w:type="spellStart"/>
      <w:r>
        <w:t>reorganisation</w:t>
      </w:r>
      <w:proofErr w:type="spellEnd"/>
      <w:r>
        <w:t xml:space="preserve">, the </w:t>
      </w:r>
      <w:proofErr w:type="spellStart"/>
      <w:r>
        <w:t>Seacrest</w:t>
      </w:r>
      <w:proofErr w:type="spellEnd"/>
      <w:r>
        <w:t xml:space="preserve"> Lodge must pursue exterior revenue-boosting strategies. Jagels (2007) suggests struggling hotels partner with key </w:t>
      </w:r>
      <w:proofErr w:type="spellStart"/>
      <w:r>
        <w:t>organisations</w:t>
      </w:r>
      <w:proofErr w:type="spellEnd"/>
      <w:r>
        <w:t xml:space="preserve"> to secure business. </w:t>
      </w:r>
      <w:r w:rsidRPr="00BB0A50">
        <w:t>Specifically</w:t>
      </w:r>
      <w:r>
        <w:t xml:space="preserve">, Seacrest may be able to guarantee a minimum number of hotel nights and food and beverage sales each year by partnering with wedding planners, event providers, corporate travel management companies, and airlines. This </w:t>
      </w:r>
      <w:proofErr w:type="spellStart"/>
      <w:r>
        <w:t>stabilises</w:t>
      </w:r>
      <w:proofErr w:type="spellEnd"/>
      <w:r>
        <w:t xml:space="preserve"> leisure demand fluctuations.  </w:t>
      </w:r>
      <w:r w:rsidRPr="00BB0A50">
        <w:t>Certain partnerships as analyzed by Drury (2021) also have a force multiplier effect</w:t>
      </w:r>
      <w:r>
        <w:t xml:space="preserve"> like the positive word-of-mouth increases corporate reservations and secondary visitor visits. Force multipliers occur in some partnerships. Seacrest may benefit financially from these arrangements as it recovers.</w:t>
      </w:r>
    </w:p>
    <w:p w14:paraId="732AA6AC" w14:textId="77777777" w:rsidR="008B6B00" w:rsidRDefault="008B6B00">
      <w:pPr>
        <w:spacing w:line="259" w:lineRule="auto"/>
        <w:jc w:val="left"/>
        <w:rPr>
          <w:rFonts w:eastAsiaTheme="majorEastAsia"/>
          <w:color w:val="2F5496" w:themeColor="accent1" w:themeShade="BF"/>
          <w:sz w:val="32"/>
          <w:szCs w:val="32"/>
        </w:rPr>
      </w:pPr>
      <w:bookmarkStart w:id="21" w:name="_Toc159631570"/>
      <w:bookmarkEnd w:id="18"/>
      <w:r>
        <w:br w:type="page"/>
      </w:r>
    </w:p>
    <w:p w14:paraId="7F7B2DDE" w14:textId="217A7D6E" w:rsidR="00453585" w:rsidRPr="00302FA1" w:rsidRDefault="00453585" w:rsidP="00302FA1">
      <w:pPr>
        <w:pStyle w:val="Heading1"/>
      </w:pPr>
      <w:r w:rsidRPr="00302FA1">
        <w:lastRenderedPageBreak/>
        <w:t>Conclusion</w:t>
      </w:r>
      <w:bookmarkEnd w:id="21"/>
    </w:p>
    <w:p w14:paraId="45569670" w14:textId="207D05CE" w:rsidR="008B6B00" w:rsidRDefault="008B6B00" w:rsidP="008B6B00">
      <w:r>
        <w:t xml:space="preserve">Therefore, The Seacrest Lodge faces an existential crisis owing to a perfect storm of external shock events and internal deficiencies, as indicated by terrifying declines in key financial performance metrics over the last three years. Recovery is challenging, but an integrated turnaround approach that </w:t>
      </w:r>
      <w:proofErr w:type="spellStart"/>
      <w:r>
        <w:t>stabilises</w:t>
      </w:r>
      <w:proofErr w:type="spellEnd"/>
      <w:r>
        <w:t xml:space="preserve"> the liquidity problem, regular investments to refresh old assets and increase competitiveness, and right-sizing staffing patterns and services for demand may help. Local partnerships may protect firm volumes and profits during internal restructuring. The four-pronged plan includes urgent funding, medium-term change management, asset quality improvements, and stakeholder perception restoration. </w:t>
      </w:r>
    </w:p>
    <w:p w14:paraId="4A8DC734" w14:textId="46BCB80D" w:rsidR="000C3190" w:rsidRPr="00302FA1" w:rsidRDefault="000C3190" w:rsidP="00302FA1">
      <w:r w:rsidRPr="00302FA1">
        <w:br w:type="page"/>
      </w:r>
    </w:p>
    <w:p w14:paraId="23947C4F" w14:textId="492DFFEC" w:rsidR="00045CB8" w:rsidRPr="00045CB8" w:rsidRDefault="000C3190" w:rsidP="00045CB8">
      <w:pPr>
        <w:pStyle w:val="Heading1"/>
      </w:pPr>
      <w:bookmarkStart w:id="22" w:name="_Toc159631571"/>
      <w:r w:rsidRPr="00302FA1">
        <w:lastRenderedPageBreak/>
        <w:t>References</w:t>
      </w:r>
      <w:bookmarkEnd w:id="22"/>
    </w:p>
    <w:p w14:paraId="6C5E4B1F" w14:textId="77777777" w:rsidR="00EE1C61" w:rsidRPr="00EE1C61" w:rsidRDefault="00EE1C61" w:rsidP="00EE1C61">
      <w:pPr>
        <w:spacing w:after="0" w:line="480" w:lineRule="auto"/>
        <w:jc w:val="left"/>
        <w:rPr>
          <w:rFonts w:eastAsia="Times New Roman"/>
          <w:kern w:val="0"/>
          <w:sz w:val="24"/>
          <w:szCs w:val="24"/>
          <w14:ligatures w14:val="none"/>
        </w:rPr>
      </w:pPr>
      <w:proofErr w:type="spellStart"/>
      <w:r w:rsidRPr="00EE1C61">
        <w:rPr>
          <w:rFonts w:eastAsia="Times New Roman"/>
          <w:kern w:val="0"/>
          <w:sz w:val="24"/>
          <w:szCs w:val="24"/>
          <w14:ligatures w14:val="none"/>
        </w:rPr>
        <w:t>Atrill</w:t>
      </w:r>
      <w:proofErr w:type="spellEnd"/>
      <w:r w:rsidRPr="00EE1C61">
        <w:rPr>
          <w:rFonts w:eastAsia="Times New Roman"/>
          <w:kern w:val="0"/>
          <w:sz w:val="24"/>
          <w:szCs w:val="24"/>
          <w14:ligatures w14:val="none"/>
        </w:rPr>
        <w:t>, P. and McLaney, E., 2021. Management accounting for decision makers. Pearson UK.</w:t>
      </w:r>
    </w:p>
    <w:p w14:paraId="7874DDA4"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Bhimani, A. ed., 2006. Contemporary issues in management accounting. Oxford University Press.</w:t>
      </w:r>
    </w:p>
    <w:p w14:paraId="3667E6AC" w14:textId="604D64F2"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Burgen, S., 2022. Is Brexit one reason the UK’s seaside resorts are 'out of </w:t>
      </w:r>
      <w:proofErr w:type="spellStart"/>
      <w:proofErr w:type="gramStart"/>
      <w:r w:rsidRPr="00EE1C61">
        <w:rPr>
          <w:rFonts w:eastAsia="Times New Roman"/>
          <w:kern w:val="0"/>
          <w:sz w:val="24"/>
          <w:szCs w:val="24"/>
          <w14:ligatures w14:val="none"/>
        </w:rPr>
        <w:t>favour</w:t>
      </w:r>
      <w:proofErr w:type="spellEnd"/>
      <w:r w:rsidRPr="00EE1C61">
        <w:rPr>
          <w:rFonts w:eastAsia="Times New Roman"/>
          <w:kern w:val="0"/>
          <w:sz w:val="24"/>
          <w:szCs w:val="24"/>
          <w14:ligatures w14:val="none"/>
        </w:rPr>
        <w:t>'?.</w:t>
      </w:r>
      <w:proofErr w:type="gramEnd"/>
      <w:r w:rsidRPr="00EE1C61">
        <w:rPr>
          <w:rFonts w:eastAsia="Times New Roman"/>
          <w:kern w:val="0"/>
          <w:sz w:val="24"/>
          <w:szCs w:val="24"/>
          <w14:ligatures w14:val="none"/>
        </w:rPr>
        <w:t xml:space="preserve"> </w:t>
      </w:r>
      <w:proofErr w:type="gramStart"/>
      <w:r w:rsidRPr="00EE1C61">
        <w:rPr>
          <w:rFonts w:eastAsia="Times New Roman"/>
          <w:kern w:val="0"/>
          <w:sz w:val="24"/>
          <w:szCs w:val="24"/>
          <w14:ligatures w14:val="none"/>
        </w:rPr>
        <w:t>the</w:t>
      </w:r>
      <w:proofErr w:type="gramEnd"/>
      <w:r w:rsidRPr="00EE1C61">
        <w:rPr>
          <w:rFonts w:eastAsia="Times New Roman"/>
          <w:kern w:val="0"/>
          <w:sz w:val="24"/>
          <w:szCs w:val="24"/>
          <w14:ligatures w14:val="none"/>
        </w:rPr>
        <w:t xml:space="preserve"> Guardian. Available at: https://www.theguardian.com/business/2022/aug/05/is-brexit-one-reason-british-seaside-resorts-out-of-favour.</w:t>
      </w:r>
    </w:p>
    <w:p w14:paraId="4B092555" w14:textId="7AB95D52"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Deloitte, 2022. 2023 Travel and Hospitality Industry Outlook. Deloitte United States. Available at: https://www2.deloitte.com/us/en/pages/consumer-business/articles/travel-hospitality-industry-outlook.html.  </w:t>
      </w:r>
    </w:p>
    <w:p w14:paraId="38EA0758"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Drury, C., 2021. Management and cost accounting. Cengage Learning EMEA.</w:t>
      </w:r>
    </w:p>
    <w:p w14:paraId="0528902B"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proofErr w:type="spellStart"/>
      <w:r w:rsidRPr="00EE1C61">
        <w:rPr>
          <w:rFonts w:eastAsia="Times New Roman"/>
          <w:kern w:val="0"/>
          <w:sz w:val="24"/>
          <w:szCs w:val="24"/>
          <w14:ligatures w14:val="none"/>
        </w:rPr>
        <w:t>Guilding</w:t>
      </w:r>
      <w:proofErr w:type="spellEnd"/>
      <w:r w:rsidRPr="00EE1C61">
        <w:rPr>
          <w:rFonts w:eastAsia="Times New Roman"/>
          <w:kern w:val="0"/>
          <w:sz w:val="24"/>
          <w:szCs w:val="24"/>
          <w14:ligatures w14:val="none"/>
        </w:rPr>
        <w:t xml:space="preserve">, C., 2014. Accounting essentials for hospitality managers. Routledge.  </w:t>
      </w:r>
    </w:p>
    <w:p w14:paraId="002F62E5"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Hayes, A., 2022. Hotel Cash Flow Analysis.  Investopedia. Available at: https://www.investopedia.com/terms/h/hotel-cash-flow-analysis.asp</w:t>
      </w:r>
    </w:p>
    <w:p w14:paraId="34F1912E"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Higgins, K.T. (2022). 10 experts share 2023’s top hospitality industry trends. Hospitality Net. </w:t>
      </w:r>
      <w:hyperlink r:id="rId13" w:history="1">
        <w:r w:rsidRPr="00EE1C61">
          <w:rPr>
            <w:rFonts w:eastAsia="Times New Roman"/>
            <w:kern w:val="0"/>
            <w:sz w:val="24"/>
            <w:szCs w:val="24"/>
            <w14:ligatures w14:val="none"/>
          </w:rPr>
          <w:t>https://www.hospitalitynet.org/opinion/4105270.html</w:t>
        </w:r>
      </w:hyperlink>
    </w:p>
    <w:p w14:paraId="325B6F13" w14:textId="0250B6A6"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HNN. (2021). Labor Costs in the Hotel Industry. Hotel News Now. </w:t>
      </w:r>
      <w:hyperlink r:id="rId14" w:history="1">
        <w:r w:rsidRPr="00EE1C61">
          <w:rPr>
            <w:rFonts w:eastAsia="Times New Roman"/>
            <w:kern w:val="0"/>
            <w:sz w:val="24"/>
            <w:szCs w:val="24"/>
            <w14:ligatures w14:val="none"/>
          </w:rPr>
          <w:t>https://www.hotelnewsnow.com/Articles/317053/Labor-costs-in-the-hotel-industry</w:t>
        </w:r>
      </w:hyperlink>
    </w:p>
    <w:p w14:paraId="4937E1FD"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HotelManagement.net Editors. (2019). What’s the right amount to spend on capital expenditures? </w:t>
      </w:r>
      <w:hyperlink r:id="rId15" w:history="1">
        <w:r w:rsidRPr="00EE1C61">
          <w:rPr>
            <w:rFonts w:eastAsia="Times New Roman"/>
            <w:kern w:val="0"/>
            <w:sz w:val="24"/>
            <w:szCs w:val="24"/>
            <w14:ligatures w14:val="none"/>
          </w:rPr>
          <w:t>https://www.hotelmanagement.net/own/whats-the-right-amount-to-spend-on-capital-expenditures</w:t>
        </w:r>
      </w:hyperlink>
    </w:p>
    <w:p w14:paraId="7FE58E4F"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lastRenderedPageBreak/>
        <w:t xml:space="preserve">HotelManagement.net Editors. (2022). Experts share tops tips for controlling hotel labor costs. </w:t>
      </w:r>
      <w:hyperlink r:id="rId16" w:history="1">
        <w:r w:rsidRPr="00EE1C61">
          <w:rPr>
            <w:rFonts w:eastAsia="Times New Roman"/>
            <w:kern w:val="0"/>
            <w:sz w:val="24"/>
            <w:szCs w:val="24"/>
            <w14:ligatures w14:val="none"/>
          </w:rPr>
          <w:t>https://www.hotelmanagement.net/operate/experts-share-tops-tips-for-controlling-hotel-labor-costs</w:t>
        </w:r>
      </w:hyperlink>
    </w:p>
    <w:p w14:paraId="24916004"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Jagels, M., 2007. Hospitality management accounting. John Wiley &amp; Sons.</w:t>
      </w:r>
    </w:p>
    <w:p w14:paraId="157653ED"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Mohsin, M. (2022). Hospitality Industry Profit Margin. </w:t>
      </w:r>
      <w:proofErr w:type="spellStart"/>
      <w:r w:rsidRPr="00EE1C61">
        <w:rPr>
          <w:rFonts w:eastAsia="Times New Roman"/>
          <w:kern w:val="0"/>
          <w:sz w:val="24"/>
          <w:szCs w:val="24"/>
          <w14:ligatures w14:val="none"/>
        </w:rPr>
        <w:t>FinancesOnline</w:t>
      </w:r>
      <w:proofErr w:type="spellEnd"/>
      <w:r w:rsidRPr="00EE1C61">
        <w:rPr>
          <w:rFonts w:eastAsia="Times New Roman"/>
          <w:kern w:val="0"/>
          <w:sz w:val="24"/>
          <w:szCs w:val="24"/>
          <w14:ligatures w14:val="none"/>
        </w:rPr>
        <w:t xml:space="preserve">. </w:t>
      </w:r>
      <w:hyperlink r:id="rId17" w:history="1">
        <w:r w:rsidRPr="00EE1C61">
          <w:rPr>
            <w:rFonts w:eastAsia="Times New Roman"/>
            <w:kern w:val="0"/>
            <w:sz w:val="24"/>
            <w:szCs w:val="24"/>
            <w14:ligatures w14:val="none"/>
          </w:rPr>
          <w:t>https://financesonline.com/hospitality-industry-profit-margin/</w:t>
        </w:r>
      </w:hyperlink>
    </w:p>
    <w:p w14:paraId="777E5B46"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Phillips, T., 2022. Tourism chiefs blame Brexit for staff shortages.  Travel Weekly. Available at: https://www.travelweekly.co.uk/articles/447798/tourism-chiefs-blame-brexit-for-staff-shortages </w:t>
      </w:r>
    </w:p>
    <w:p w14:paraId="458084C4"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Reynolds, J., 2023. Hospitality sector ‘facing make-or-break 12 months’.  Big Hospitality. </w:t>
      </w:r>
      <w:proofErr w:type="gramStart"/>
      <w:r w:rsidRPr="00EE1C61">
        <w:rPr>
          <w:rFonts w:eastAsia="Times New Roman"/>
          <w:kern w:val="0"/>
          <w:sz w:val="24"/>
          <w:szCs w:val="24"/>
          <w14:ligatures w14:val="none"/>
        </w:rPr>
        <w:t>Available at:https://www.bighospitality.co.uk/Article/2023/01/09/Hospitality-sector-facing-make-or-break-12-months.</w:t>
      </w:r>
      <w:proofErr w:type="gramEnd"/>
    </w:p>
    <w:p w14:paraId="6E722240"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Rushmore, S., 2022. The hotel life cycle: What exactly is it</w:t>
      </w:r>
      <w:proofErr w:type="gramStart"/>
      <w:r w:rsidRPr="00EE1C61">
        <w:rPr>
          <w:rFonts w:eastAsia="Times New Roman"/>
          <w:kern w:val="0"/>
          <w:sz w:val="24"/>
          <w:szCs w:val="24"/>
          <w14:ligatures w14:val="none"/>
        </w:rPr>
        <w:t>?.</w:t>
      </w:r>
      <w:proofErr w:type="gramEnd"/>
      <w:r w:rsidRPr="00EE1C61">
        <w:rPr>
          <w:rFonts w:eastAsia="Times New Roman"/>
          <w:kern w:val="0"/>
          <w:sz w:val="24"/>
          <w:szCs w:val="24"/>
          <w14:ligatures w14:val="none"/>
        </w:rPr>
        <w:t xml:space="preserve">  Hotel Management. Available at: https://www.hotelmanagement.net/asset-management/the-hotel-life-cycle-what-exactly-is-it</w:t>
      </w:r>
    </w:p>
    <w:p w14:paraId="2B98E34B"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Seal, W., 2019. Management accounting. McGraw-Hill Education UK.</w:t>
      </w:r>
    </w:p>
    <w:p w14:paraId="23547968"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Seal, W., Garrison, R.H. and Noreen, E.W., 2008. Management accounting. </w:t>
      </w:r>
      <w:proofErr w:type="spellStart"/>
      <w:r w:rsidRPr="00EE1C61">
        <w:rPr>
          <w:rFonts w:eastAsia="Times New Roman"/>
          <w:kern w:val="0"/>
          <w:sz w:val="24"/>
          <w:szCs w:val="24"/>
          <w14:ligatures w14:val="none"/>
        </w:rPr>
        <w:t>McGraw-hill</w:t>
      </w:r>
      <w:proofErr w:type="spellEnd"/>
      <w:r w:rsidRPr="00EE1C61">
        <w:rPr>
          <w:rFonts w:eastAsia="Times New Roman"/>
          <w:kern w:val="0"/>
          <w:sz w:val="24"/>
          <w:szCs w:val="24"/>
          <w14:ligatures w14:val="none"/>
        </w:rPr>
        <w:t>.</w:t>
      </w:r>
    </w:p>
    <w:p w14:paraId="7AC2575B"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TEN Group (2021). Cash Flow Challenges for Hotels &amp; Resorts. </w:t>
      </w:r>
      <w:hyperlink r:id="rId18" w:history="1">
        <w:r w:rsidRPr="00EE1C61">
          <w:rPr>
            <w:rFonts w:eastAsia="Times New Roman"/>
            <w:kern w:val="0"/>
            <w:sz w:val="24"/>
            <w:szCs w:val="24"/>
            <w14:ligatures w14:val="none"/>
          </w:rPr>
          <w:t>https://www.tengroup.com/news/cash-flow-challenges-hotels-resorts</w:t>
        </w:r>
      </w:hyperlink>
    </w:p>
    <w:p w14:paraId="0C9E3054"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 xml:space="preserve">Tranter, K.A., Stuart-Hill, T. and Parker, J., 2014. Introduction to revenue management for the hospitality industry. Pearson UK. </w:t>
      </w:r>
    </w:p>
    <w:p w14:paraId="2BB0BA25" w14:textId="77777777" w:rsidR="00EE1C61" w:rsidRPr="00EE1C61" w:rsidRDefault="00EE1C61" w:rsidP="00EE1C61">
      <w:pPr>
        <w:spacing w:after="0" w:line="480" w:lineRule="auto"/>
        <w:ind w:left="720" w:hanging="720"/>
        <w:jc w:val="left"/>
        <w:rPr>
          <w:rFonts w:eastAsia="Times New Roman"/>
          <w:kern w:val="0"/>
          <w:sz w:val="24"/>
          <w:szCs w:val="24"/>
          <w14:ligatures w14:val="none"/>
        </w:rPr>
      </w:pPr>
      <w:r w:rsidRPr="00EE1C61">
        <w:rPr>
          <w:rFonts w:eastAsia="Times New Roman"/>
          <w:kern w:val="0"/>
          <w:sz w:val="24"/>
          <w:szCs w:val="24"/>
          <w14:ligatures w14:val="none"/>
        </w:rPr>
        <w:t>Walker, J.R., 2021. Introduction to hospitality management. Pearson.</w:t>
      </w:r>
    </w:p>
    <w:p w14:paraId="307EC7A2" w14:textId="4DAF5C4B" w:rsidR="000C3190" w:rsidRPr="00302FA1" w:rsidRDefault="00EE1C61" w:rsidP="00EE1C61">
      <w:pPr>
        <w:spacing w:after="0" w:line="480" w:lineRule="auto"/>
        <w:ind w:left="720" w:hanging="720"/>
        <w:jc w:val="left"/>
      </w:pPr>
      <w:bookmarkStart w:id="23" w:name="_GoBack"/>
      <w:bookmarkEnd w:id="23"/>
      <w:r w:rsidRPr="00EE1C61">
        <w:rPr>
          <w:rFonts w:eastAsia="Times New Roman"/>
          <w:kern w:val="0"/>
          <w:sz w:val="24"/>
          <w:szCs w:val="24"/>
          <w14:ligatures w14:val="none"/>
        </w:rPr>
        <w:t>Wild, J., 2018. Financial accounting fundamentals. McGraw-Hill Education</w:t>
      </w:r>
      <w:r>
        <w:t>.</w:t>
      </w:r>
    </w:p>
    <w:sectPr w:rsidR="000C3190" w:rsidRPr="00302F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B16E5D"/>
    <w:multiLevelType w:val="hybridMultilevel"/>
    <w:tmpl w:val="5F302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5D3272"/>
    <w:multiLevelType w:val="hybridMultilevel"/>
    <w:tmpl w:val="EEAE2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855106"/>
    <w:multiLevelType w:val="hybridMultilevel"/>
    <w:tmpl w:val="0FA22BF6"/>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620343"/>
    <w:multiLevelType w:val="hybridMultilevel"/>
    <w:tmpl w:val="A5509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93029DF"/>
    <w:multiLevelType w:val="hybridMultilevel"/>
    <w:tmpl w:val="F3BE54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9657516"/>
    <w:multiLevelType w:val="hybridMultilevel"/>
    <w:tmpl w:val="7604D1CE"/>
    <w:lvl w:ilvl="0" w:tplc="0409000F">
      <w:start w:val="1"/>
      <w:numFmt w:val="decimal"/>
      <w:lvlText w:val="%1."/>
      <w:lvlJc w:val="left"/>
      <w:pPr>
        <w:ind w:left="720" w:hanging="360"/>
      </w:pPr>
      <w:rPr>
        <w:rFonts w:hint="default"/>
      </w:rPr>
    </w:lvl>
    <w:lvl w:ilvl="1" w:tplc="FFFFFFFF">
      <w:numFmt w:val="bullet"/>
      <w:lvlText w:val="•"/>
      <w:lvlJc w:val="left"/>
      <w:pPr>
        <w:ind w:left="1440" w:hanging="360"/>
      </w:pPr>
      <w:rPr>
        <w:rFonts w:ascii="Calibri" w:eastAsiaTheme="minorHAnsi"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nsid w:val="598C1ADD"/>
    <w:multiLevelType w:val="hybridMultilevel"/>
    <w:tmpl w:val="F6B2C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F7E0B7F"/>
    <w:multiLevelType w:val="hybridMultilevel"/>
    <w:tmpl w:val="D28E4D12"/>
    <w:lvl w:ilvl="0" w:tplc="04090001">
      <w:start w:val="1"/>
      <w:numFmt w:val="bullet"/>
      <w:lvlText w:val=""/>
      <w:lvlJc w:val="left"/>
      <w:pPr>
        <w:ind w:left="720" w:hanging="360"/>
      </w:pPr>
      <w:rPr>
        <w:rFonts w:ascii="Symbol" w:hAnsi="Symbol" w:hint="default"/>
      </w:rPr>
    </w:lvl>
    <w:lvl w:ilvl="1" w:tplc="2DE05878">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7960BF0"/>
    <w:multiLevelType w:val="hybridMultilevel"/>
    <w:tmpl w:val="9E4A18FC"/>
    <w:lvl w:ilvl="0" w:tplc="3522C5AA">
      <w:start w:val="1"/>
      <w:numFmt w:val="decimal"/>
      <w:lvlText w:val="%1."/>
      <w:lvlJc w:val="left"/>
      <w:pPr>
        <w:ind w:left="720" w:hanging="360"/>
      </w:pPr>
      <w:rPr>
        <w:rFonts w:eastAsiaTheme="minorHAnsi" w:hint="default"/>
        <w:b w:val="0"/>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7"/>
  </w:num>
  <w:num w:numId="3">
    <w:abstractNumId w:val="5"/>
  </w:num>
  <w:num w:numId="4">
    <w:abstractNumId w:val="4"/>
  </w:num>
  <w:num w:numId="5">
    <w:abstractNumId w:val="2"/>
  </w:num>
  <w:num w:numId="6">
    <w:abstractNumId w:val="1"/>
  </w:num>
  <w:num w:numId="7">
    <w:abstractNumId w:val="3"/>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25D6"/>
    <w:rsid w:val="00045CB8"/>
    <w:rsid w:val="0005235A"/>
    <w:rsid w:val="00061585"/>
    <w:rsid w:val="000C3190"/>
    <w:rsid w:val="00302FA1"/>
    <w:rsid w:val="00337178"/>
    <w:rsid w:val="00396446"/>
    <w:rsid w:val="003B5148"/>
    <w:rsid w:val="003B5F44"/>
    <w:rsid w:val="003D293A"/>
    <w:rsid w:val="00432BB6"/>
    <w:rsid w:val="00453585"/>
    <w:rsid w:val="004625D6"/>
    <w:rsid w:val="00474E1F"/>
    <w:rsid w:val="004D09D3"/>
    <w:rsid w:val="00556C10"/>
    <w:rsid w:val="00572A26"/>
    <w:rsid w:val="00615CB7"/>
    <w:rsid w:val="006222FE"/>
    <w:rsid w:val="00625F87"/>
    <w:rsid w:val="006524DF"/>
    <w:rsid w:val="00704DB0"/>
    <w:rsid w:val="00811905"/>
    <w:rsid w:val="00812AD4"/>
    <w:rsid w:val="008B6B00"/>
    <w:rsid w:val="00906AAB"/>
    <w:rsid w:val="009F693B"/>
    <w:rsid w:val="00A45B6F"/>
    <w:rsid w:val="00AA053E"/>
    <w:rsid w:val="00B5794D"/>
    <w:rsid w:val="00BB0A50"/>
    <w:rsid w:val="00BF360B"/>
    <w:rsid w:val="00C11548"/>
    <w:rsid w:val="00C50B88"/>
    <w:rsid w:val="00C61FF0"/>
    <w:rsid w:val="00D562AB"/>
    <w:rsid w:val="00D90890"/>
    <w:rsid w:val="00E25BAF"/>
    <w:rsid w:val="00E5178B"/>
    <w:rsid w:val="00E5514C"/>
    <w:rsid w:val="00EA167F"/>
    <w:rsid w:val="00EE1C61"/>
    <w:rsid w:val="00F059EF"/>
    <w:rsid w:val="00F155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CF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2FA1"/>
    <w:pPr>
      <w:spacing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704DB0"/>
    <w:pPr>
      <w:keepNext/>
      <w:keepLines/>
      <w:spacing w:before="240" w:after="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A45B6F"/>
    <w:pPr>
      <w:keepNext/>
      <w:keepLines/>
      <w:spacing w:before="40" w:after="0"/>
      <w:outlineLvl w:val="1"/>
    </w:pPr>
    <w:rPr>
      <w:rFonts w:eastAsiaTheme="majorEastAsia"/>
      <w:color w:val="2F5496" w:themeColor="accent1" w:themeShade="BF"/>
      <w:sz w:val="26"/>
      <w:szCs w:val="26"/>
    </w:rPr>
  </w:style>
  <w:style w:type="paragraph" w:styleId="Heading3">
    <w:name w:val="heading 3"/>
    <w:basedOn w:val="Normal"/>
    <w:next w:val="Normal"/>
    <w:link w:val="Heading3Char"/>
    <w:uiPriority w:val="9"/>
    <w:unhideWhenUsed/>
    <w:qFormat/>
    <w:rsid w:val="00432BB6"/>
    <w:pPr>
      <w:keepNext/>
      <w:keepLines/>
      <w:spacing w:before="40" w:after="0"/>
      <w:outlineLvl w:val="2"/>
    </w:pPr>
    <w:rPr>
      <w:rFonts w:eastAsiaTheme="majorEastAsia"/>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DB0"/>
    <w:rPr>
      <w:rFonts w:ascii="Times New Roman" w:eastAsiaTheme="majorEastAsia" w:hAnsi="Times New Roman" w:cs="Times New Roman"/>
      <w:color w:val="2F5496" w:themeColor="accent1" w:themeShade="BF"/>
      <w:sz w:val="32"/>
      <w:szCs w:val="32"/>
    </w:rPr>
  </w:style>
  <w:style w:type="character" w:customStyle="1" w:styleId="Heading2Char">
    <w:name w:val="Heading 2 Char"/>
    <w:basedOn w:val="DefaultParagraphFont"/>
    <w:link w:val="Heading2"/>
    <w:uiPriority w:val="9"/>
    <w:rsid w:val="00A45B6F"/>
    <w:rPr>
      <w:rFonts w:ascii="Times New Roman" w:eastAsiaTheme="majorEastAsia" w:hAnsi="Times New Roman" w:cs="Times New Roman"/>
      <w:color w:val="2F5496" w:themeColor="accent1" w:themeShade="BF"/>
      <w:sz w:val="26"/>
      <w:szCs w:val="26"/>
    </w:rPr>
  </w:style>
  <w:style w:type="character" w:customStyle="1" w:styleId="Heading3Char">
    <w:name w:val="Heading 3 Char"/>
    <w:basedOn w:val="DefaultParagraphFont"/>
    <w:link w:val="Heading3"/>
    <w:uiPriority w:val="9"/>
    <w:rsid w:val="00432BB6"/>
    <w:rPr>
      <w:rFonts w:ascii="Times New Roman" w:eastAsiaTheme="majorEastAsia" w:hAnsi="Times New Roman" w:cs="Times New Roman"/>
      <w:b/>
      <w:bCs/>
      <w:color w:val="1F3763" w:themeColor="accent1" w:themeShade="7F"/>
      <w:sz w:val="24"/>
      <w:szCs w:val="24"/>
    </w:rPr>
  </w:style>
  <w:style w:type="paragraph" w:styleId="ListParagraph">
    <w:name w:val="List Paragraph"/>
    <w:basedOn w:val="Normal"/>
    <w:uiPriority w:val="34"/>
    <w:qFormat/>
    <w:rsid w:val="00A45B6F"/>
    <w:pPr>
      <w:ind w:left="720"/>
      <w:contextualSpacing/>
    </w:pPr>
  </w:style>
  <w:style w:type="paragraph" w:styleId="NormalWeb">
    <w:name w:val="Normal (Web)"/>
    <w:basedOn w:val="Normal"/>
    <w:uiPriority w:val="99"/>
    <w:unhideWhenUsed/>
    <w:rsid w:val="000C3190"/>
    <w:pPr>
      <w:spacing w:before="100" w:beforeAutospacing="1" w:after="100" w:afterAutospacing="1" w:line="240" w:lineRule="auto"/>
    </w:pPr>
    <w:rPr>
      <w:rFonts w:eastAsia="Times New Roman"/>
      <w:kern w:val="0"/>
      <w:sz w:val="24"/>
      <w:szCs w:val="24"/>
      <w14:ligatures w14:val="none"/>
    </w:rPr>
  </w:style>
  <w:style w:type="character" w:customStyle="1" w:styleId="url">
    <w:name w:val="url"/>
    <w:basedOn w:val="DefaultParagraphFont"/>
    <w:rsid w:val="000C3190"/>
  </w:style>
  <w:style w:type="character" w:styleId="Hyperlink">
    <w:name w:val="Hyperlink"/>
    <w:basedOn w:val="DefaultParagraphFont"/>
    <w:uiPriority w:val="99"/>
    <w:unhideWhenUsed/>
    <w:rsid w:val="00C50B88"/>
    <w:rPr>
      <w:color w:val="0563C1" w:themeColor="hyperlink"/>
      <w:u w:val="single"/>
    </w:rPr>
  </w:style>
  <w:style w:type="character" w:customStyle="1" w:styleId="UnresolvedMention">
    <w:name w:val="Unresolved Mention"/>
    <w:basedOn w:val="DefaultParagraphFont"/>
    <w:uiPriority w:val="99"/>
    <w:semiHidden/>
    <w:unhideWhenUsed/>
    <w:rsid w:val="00C50B88"/>
    <w:rPr>
      <w:color w:val="605E5C"/>
      <w:shd w:val="clear" w:color="auto" w:fill="E1DFDD"/>
    </w:rPr>
  </w:style>
  <w:style w:type="paragraph" w:styleId="Caption">
    <w:name w:val="caption"/>
    <w:basedOn w:val="Normal"/>
    <w:next w:val="Normal"/>
    <w:uiPriority w:val="35"/>
    <w:unhideWhenUsed/>
    <w:qFormat/>
    <w:rsid w:val="00302FA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11905"/>
    <w:pPr>
      <w:spacing w:line="259" w:lineRule="auto"/>
      <w:jc w:val="left"/>
      <w:outlineLvl w:val="9"/>
    </w:pPr>
    <w:rPr>
      <w:rFonts w:asciiTheme="majorHAnsi" w:hAnsiTheme="majorHAnsi" w:cstheme="majorBidi"/>
      <w:kern w:val="0"/>
      <w14:ligatures w14:val="none"/>
    </w:rPr>
  </w:style>
  <w:style w:type="paragraph" w:styleId="TOC1">
    <w:name w:val="toc 1"/>
    <w:basedOn w:val="Normal"/>
    <w:next w:val="Normal"/>
    <w:autoRedefine/>
    <w:uiPriority w:val="39"/>
    <w:unhideWhenUsed/>
    <w:rsid w:val="00811905"/>
    <w:pPr>
      <w:spacing w:after="100"/>
    </w:pPr>
  </w:style>
  <w:style w:type="paragraph" w:styleId="TOC2">
    <w:name w:val="toc 2"/>
    <w:basedOn w:val="Normal"/>
    <w:next w:val="Normal"/>
    <w:autoRedefine/>
    <w:uiPriority w:val="39"/>
    <w:unhideWhenUsed/>
    <w:rsid w:val="00811905"/>
    <w:pPr>
      <w:spacing w:after="100"/>
      <w:ind w:left="220"/>
    </w:pPr>
  </w:style>
  <w:style w:type="paragraph" w:styleId="TOC3">
    <w:name w:val="toc 3"/>
    <w:basedOn w:val="Normal"/>
    <w:next w:val="Normal"/>
    <w:autoRedefine/>
    <w:uiPriority w:val="39"/>
    <w:unhideWhenUsed/>
    <w:rsid w:val="00811905"/>
    <w:pPr>
      <w:spacing w:after="100"/>
      <w:ind w:left="440"/>
    </w:pPr>
  </w:style>
  <w:style w:type="paragraph" w:styleId="Title">
    <w:name w:val="Title"/>
    <w:basedOn w:val="Normal"/>
    <w:next w:val="Normal"/>
    <w:link w:val="TitleChar"/>
    <w:uiPriority w:val="10"/>
    <w:qFormat/>
    <w:rsid w:val="008119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905"/>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8B6B00"/>
    <w:pPr>
      <w:spacing w:after="0"/>
    </w:pPr>
  </w:style>
  <w:style w:type="paragraph" w:styleId="BalloonText">
    <w:name w:val="Balloon Text"/>
    <w:basedOn w:val="Normal"/>
    <w:link w:val="BalloonTextChar"/>
    <w:uiPriority w:val="99"/>
    <w:semiHidden/>
    <w:unhideWhenUsed/>
    <w:rsid w:val="00812A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AD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2FA1"/>
    <w:pPr>
      <w:spacing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704DB0"/>
    <w:pPr>
      <w:keepNext/>
      <w:keepLines/>
      <w:spacing w:before="240" w:after="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A45B6F"/>
    <w:pPr>
      <w:keepNext/>
      <w:keepLines/>
      <w:spacing w:before="40" w:after="0"/>
      <w:outlineLvl w:val="1"/>
    </w:pPr>
    <w:rPr>
      <w:rFonts w:eastAsiaTheme="majorEastAsia"/>
      <w:color w:val="2F5496" w:themeColor="accent1" w:themeShade="BF"/>
      <w:sz w:val="26"/>
      <w:szCs w:val="26"/>
    </w:rPr>
  </w:style>
  <w:style w:type="paragraph" w:styleId="Heading3">
    <w:name w:val="heading 3"/>
    <w:basedOn w:val="Normal"/>
    <w:next w:val="Normal"/>
    <w:link w:val="Heading3Char"/>
    <w:uiPriority w:val="9"/>
    <w:unhideWhenUsed/>
    <w:qFormat/>
    <w:rsid w:val="00432BB6"/>
    <w:pPr>
      <w:keepNext/>
      <w:keepLines/>
      <w:spacing w:before="40" w:after="0"/>
      <w:outlineLvl w:val="2"/>
    </w:pPr>
    <w:rPr>
      <w:rFonts w:eastAsiaTheme="majorEastAsia"/>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DB0"/>
    <w:rPr>
      <w:rFonts w:ascii="Times New Roman" w:eastAsiaTheme="majorEastAsia" w:hAnsi="Times New Roman" w:cs="Times New Roman"/>
      <w:color w:val="2F5496" w:themeColor="accent1" w:themeShade="BF"/>
      <w:sz w:val="32"/>
      <w:szCs w:val="32"/>
    </w:rPr>
  </w:style>
  <w:style w:type="character" w:customStyle="1" w:styleId="Heading2Char">
    <w:name w:val="Heading 2 Char"/>
    <w:basedOn w:val="DefaultParagraphFont"/>
    <w:link w:val="Heading2"/>
    <w:uiPriority w:val="9"/>
    <w:rsid w:val="00A45B6F"/>
    <w:rPr>
      <w:rFonts w:ascii="Times New Roman" w:eastAsiaTheme="majorEastAsia" w:hAnsi="Times New Roman" w:cs="Times New Roman"/>
      <w:color w:val="2F5496" w:themeColor="accent1" w:themeShade="BF"/>
      <w:sz w:val="26"/>
      <w:szCs w:val="26"/>
    </w:rPr>
  </w:style>
  <w:style w:type="character" w:customStyle="1" w:styleId="Heading3Char">
    <w:name w:val="Heading 3 Char"/>
    <w:basedOn w:val="DefaultParagraphFont"/>
    <w:link w:val="Heading3"/>
    <w:uiPriority w:val="9"/>
    <w:rsid w:val="00432BB6"/>
    <w:rPr>
      <w:rFonts w:ascii="Times New Roman" w:eastAsiaTheme="majorEastAsia" w:hAnsi="Times New Roman" w:cs="Times New Roman"/>
      <w:b/>
      <w:bCs/>
      <w:color w:val="1F3763" w:themeColor="accent1" w:themeShade="7F"/>
      <w:sz w:val="24"/>
      <w:szCs w:val="24"/>
    </w:rPr>
  </w:style>
  <w:style w:type="paragraph" w:styleId="ListParagraph">
    <w:name w:val="List Paragraph"/>
    <w:basedOn w:val="Normal"/>
    <w:uiPriority w:val="34"/>
    <w:qFormat/>
    <w:rsid w:val="00A45B6F"/>
    <w:pPr>
      <w:ind w:left="720"/>
      <w:contextualSpacing/>
    </w:pPr>
  </w:style>
  <w:style w:type="paragraph" w:styleId="NormalWeb">
    <w:name w:val="Normal (Web)"/>
    <w:basedOn w:val="Normal"/>
    <w:uiPriority w:val="99"/>
    <w:unhideWhenUsed/>
    <w:rsid w:val="000C3190"/>
    <w:pPr>
      <w:spacing w:before="100" w:beforeAutospacing="1" w:after="100" w:afterAutospacing="1" w:line="240" w:lineRule="auto"/>
    </w:pPr>
    <w:rPr>
      <w:rFonts w:eastAsia="Times New Roman"/>
      <w:kern w:val="0"/>
      <w:sz w:val="24"/>
      <w:szCs w:val="24"/>
      <w14:ligatures w14:val="none"/>
    </w:rPr>
  </w:style>
  <w:style w:type="character" w:customStyle="1" w:styleId="url">
    <w:name w:val="url"/>
    <w:basedOn w:val="DefaultParagraphFont"/>
    <w:rsid w:val="000C3190"/>
  </w:style>
  <w:style w:type="character" w:styleId="Hyperlink">
    <w:name w:val="Hyperlink"/>
    <w:basedOn w:val="DefaultParagraphFont"/>
    <w:uiPriority w:val="99"/>
    <w:unhideWhenUsed/>
    <w:rsid w:val="00C50B88"/>
    <w:rPr>
      <w:color w:val="0563C1" w:themeColor="hyperlink"/>
      <w:u w:val="single"/>
    </w:rPr>
  </w:style>
  <w:style w:type="character" w:customStyle="1" w:styleId="UnresolvedMention">
    <w:name w:val="Unresolved Mention"/>
    <w:basedOn w:val="DefaultParagraphFont"/>
    <w:uiPriority w:val="99"/>
    <w:semiHidden/>
    <w:unhideWhenUsed/>
    <w:rsid w:val="00C50B88"/>
    <w:rPr>
      <w:color w:val="605E5C"/>
      <w:shd w:val="clear" w:color="auto" w:fill="E1DFDD"/>
    </w:rPr>
  </w:style>
  <w:style w:type="paragraph" w:styleId="Caption">
    <w:name w:val="caption"/>
    <w:basedOn w:val="Normal"/>
    <w:next w:val="Normal"/>
    <w:uiPriority w:val="35"/>
    <w:unhideWhenUsed/>
    <w:qFormat/>
    <w:rsid w:val="00302FA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11905"/>
    <w:pPr>
      <w:spacing w:line="259" w:lineRule="auto"/>
      <w:jc w:val="left"/>
      <w:outlineLvl w:val="9"/>
    </w:pPr>
    <w:rPr>
      <w:rFonts w:asciiTheme="majorHAnsi" w:hAnsiTheme="majorHAnsi" w:cstheme="majorBidi"/>
      <w:kern w:val="0"/>
      <w14:ligatures w14:val="none"/>
    </w:rPr>
  </w:style>
  <w:style w:type="paragraph" w:styleId="TOC1">
    <w:name w:val="toc 1"/>
    <w:basedOn w:val="Normal"/>
    <w:next w:val="Normal"/>
    <w:autoRedefine/>
    <w:uiPriority w:val="39"/>
    <w:unhideWhenUsed/>
    <w:rsid w:val="00811905"/>
    <w:pPr>
      <w:spacing w:after="100"/>
    </w:pPr>
  </w:style>
  <w:style w:type="paragraph" w:styleId="TOC2">
    <w:name w:val="toc 2"/>
    <w:basedOn w:val="Normal"/>
    <w:next w:val="Normal"/>
    <w:autoRedefine/>
    <w:uiPriority w:val="39"/>
    <w:unhideWhenUsed/>
    <w:rsid w:val="00811905"/>
    <w:pPr>
      <w:spacing w:after="100"/>
      <w:ind w:left="220"/>
    </w:pPr>
  </w:style>
  <w:style w:type="paragraph" w:styleId="TOC3">
    <w:name w:val="toc 3"/>
    <w:basedOn w:val="Normal"/>
    <w:next w:val="Normal"/>
    <w:autoRedefine/>
    <w:uiPriority w:val="39"/>
    <w:unhideWhenUsed/>
    <w:rsid w:val="00811905"/>
    <w:pPr>
      <w:spacing w:after="100"/>
      <w:ind w:left="440"/>
    </w:pPr>
  </w:style>
  <w:style w:type="paragraph" w:styleId="Title">
    <w:name w:val="Title"/>
    <w:basedOn w:val="Normal"/>
    <w:next w:val="Normal"/>
    <w:link w:val="TitleChar"/>
    <w:uiPriority w:val="10"/>
    <w:qFormat/>
    <w:rsid w:val="008119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905"/>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8B6B00"/>
    <w:pPr>
      <w:spacing w:after="0"/>
    </w:pPr>
  </w:style>
  <w:style w:type="paragraph" w:styleId="BalloonText">
    <w:name w:val="Balloon Text"/>
    <w:basedOn w:val="Normal"/>
    <w:link w:val="BalloonTextChar"/>
    <w:uiPriority w:val="99"/>
    <w:semiHidden/>
    <w:unhideWhenUsed/>
    <w:rsid w:val="00812A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A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651459">
      <w:bodyDiv w:val="1"/>
      <w:marLeft w:val="0"/>
      <w:marRight w:val="0"/>
      <w:marTop w:val="0"/>
      <w:marBottom w:val="0"/>
      <w:divBdr>
        <w:top w:val="none" w:sz="0" w:space="0" w:color="auto"/>
        <w:left w:val="none" w:sz="0" w:space="0" w:color="auto"/>
        <w:bottom w:val="none" w:sz="0" w:space="0" w:color="auto"/>
        <w:right w:val="none" w:sz="0" w:space="0" w:color="auto"/>
      </w:divBdr>
    </w:div>
    <w:div w:id="193269345">
      <w:bodyDiv w:val="1"/>
      <w:marLeft w:val="0"/>
      <w:marRight w:val="0"/>
      <w:marTop w:val="0"/>
      <w:marBottom w:val="0"/>
      <w:divBdr>
        <w:top w:val="none" w:sz="0" w:space="0" w:color="auto"/>
        <w:left w:val="none" w:sz="0" w:space="0" w:color="auto"/>
        <w:bottom w:val="none" w:sz="0" w:space="0" w:color="auto"/>
        <w:right w:val="none" w:sz="0" w:space="0" w:color="auto"/>
      </w:divBdr>
    </w:div>
    <w:div w:id="202520430">
      <w:bodyDiv w:val="1"/>
      <w:marLeft w:val="0"/>
      <w:marRight w:val="0"/>
      <w:marTop w:val="0"/>
      <w:marBottom w:val="0"/>
      <w:divBdr>
        <w:top w:val="none" w:sz="0" w:space="0" w:color="auto"/>
        <w:left w:val="none" w:sz="0" w:space="0" w:color="auto"/>
        <w:bottom w:val="none" w:sz="0" w:space="0" w:color="auto"/>
        <w:right w:val="none" w:sz="0" w:space="0" w:color="auto"/>
      </w:divBdr>
    </w:div>
    <w:div w:id="482161266">
      <w:bodyDiv w:val="1"/>
      <w:marLeft w:val="0"/>
      <w:marRight w:val="0"/>
      <w:marTop w:val="0"/>
      <w:marBottom w:val="0"/>
      <w:divBdr>
        <w:top w:val="none" w:sz="0" w:space="0" w:color="auto"/>
        <w:left w:val="none" w:sz="0" w:space="0" w:color="auto"/>
        <w:bottom w:val="none" w:sz="0" w:space="0" w:color="auto"/>
        <w:right w:val="none" w:sz="0" w:space="0" w:color="auto"/>
      </w:divBdr>
      <w:divsChild>
        <w:div w:id="86927428">
          <w:marLeft w:val="-720"/>
          <w:marRight w:val="0"/>
          <w:marTop w:val="0"/>
          <w:marBottom w:val="0"/>
          <w:divBdr>
            <w:top w:val="none" w:sz="0" w:space="0" w:color="auto"/>
            <w:left w:val="none" w:sz="0" w:space="0" w:color="auto"/>
            <w:bottom w:val="none" w:sz="0" w:space="0" w:color="auto"/>
            <w:right w:val="none" w:sz="0" w:space="0" w:color="auto"/>
          </w:divBdr>
        </w:div>
      </w:divsChild>
    </w:div>
    <w:div w:id="500390026">
      <w:bodyDiv w:val="1"/>
      <w:marLeft w:val="0"/>
      <w:marRight w:val="0"/>
      <w:marTop w:val="0"/>
      <w:marBottom w:val="0"/>
      <w:divBdr>
        <w:top w:val="none" w:sz="0" w:space="0" w:color="auto"/>
        <w:left w:val="none" w:sz="0" w:space="0" w:color="auto"/>
        <w:bottom w:val="none" w:sz="0" w:space="0" w:color="auto"/>
        <w:right w:val="none" w:sz="0" w:space="0" w:color="auto"/>
      </w:divBdr>
      <w:divsChild>
        <w:div w:id="843204957">
          <w:marLeft w:val="-720"/>
          <w:marRight w:val="0"/>
          <w:marTop w:val="0"/>
          <w:marBottom w:val="0"/>
          <w:divBdr>
            <w:top w:val="none" w:sz="0" w:space="0" w:color="auto"/>
            <w:left w:val="none" w:sz="0" w:space="0" w:color="auto"/>
            <w:bottom w:val="none" w:sz="0" w:space="0" w:color="auto"/>
            <w:right w:val="none" w:sz="0" w:space="0" w:color="auto"/>
          </w:divBdr>
        </w:div>
      </w:divsChild>
    </w:div>
    <w:div w:id="534076468">
      <w:bodyDiv w:val="1"/>
      <w:marLeft w:val="0"/>
      <w:marRight w:val="0"/>
      <w:marTop w:val="0"/>
      <w:marBottom w:val="0"/>
      <w:divBdr>
        <w:top w:val="none" w:sz="0" w:space="0" w:color="auto"/>
        <w:left w:val="none" w:sz="0" w:space="0" w:color="auto"/>
        <w:bottom w:val="none" w:sz="0" w:space="0" w:color="auto"/>
        <w:right w:val="none" w:sz="0" w:space="0" w:color="auto"/>
      </w:divBdr>
    </w:div>
    <w:div w:id="813136221">
      <w:bodyDiv w:val="1"/>
      <w:marLeft w:val="0"/>
      <w:marRight w:val="0"/>
      <w:marTop w:val="0"/>
      <w:marBottom w:val="0"/>
      <w:divBdr>
        <w:top w:val="none" w:sz="0" w:space="0" w:color="auto"/>
        <w:left w:val="none" w:sz="0" w:space="0" w:color="auto"/>
        <w:bottom w:val="none" w:sz="0" w:space="0" w:color="auto"/>
        <w:right w:val="none" w:sz="0" w:space="0" w:color="auto"/>
      </w:divBdr>
    </w:div>
    <w:div w:id="1194807068">
      <w:bodyDiv w:val="1"/>
      <w:marLeft w:val="0"/>
      <w:marRight w:val="0"/>
      <w:marTop w:val="0"/>
      <w:marBottom w:val="0"/>
      <w:divBdr>
        <w:top w:val="none" w:sz="0" w:space="0" w:color="auto"/>
        <w:left w:val="none" w:sz="0" w:space="0" w:color="auto"/>
        <w:bottom w:val="none" w:sz="0" w:space="0" w:color="auto"/>
        <w:right w:val="none" w:sz="0" w:space="0" w:color="auto"/>
      </w:divBdr>
    </w:div>
    <w:div w:id="1899432689">
      <w:bodyDiv w:val="1"/>
      <w:marLeft w:val="0"/>
      <w:marRight w:val="0"/>
      <w:marTop w:val="0"/>
      <w:marBottom w:val="0"/>
      <w:divBdr>
        <w:top w:val="none" w:sz="0" w:space="0" w:color="auto"/>
        <w:left w:val="none" w:sz="0" w:space="0" w:color="auto"/>
        <w:bottom w:val="none" w:sz="0" w:space="0" w:color="auto"/>
        <w:right w:val="none" w:sz="0" w:space="0" w:color="auto"/>
      </w:divBdr>
      <w:divsChild>
        <w:div w:id="921448594">
          <w:marLeft w:val="-720"/>
          <w:marRight w:val="0"/>
          <w:marTop w:val="0"/>
          <w:marBottom w:val="0"/>
          <w:divBdr>
            <w:top w:val="none" w:sz="0" w:space="0" w:color="auto"/>
            <w:left w:val="none" w:sz="0" w:space="0" w:color="auto"/>
            <w:bottom w:val="none" w:sz="0" w:space="0" w:color="auto"/>
            <w:right w:val="none" w:sz="0" w:space="0" w:color="auto"/>
          </w:divBdr>
        </w:div>
      </w:divsChild>
    </w:div>
    <w:div w:id="1926262165">
      <w:bodyDiv w:val="1"/>
      <w:marLeft w:val="0"/>
      <w:marRight w:val="0"/>
      <w:marTop w:val="0"/>
      <w:marBottom w:val="0"/>
      <w:divBdr>
        <w:top w:val="none" w:sz="0" w:space="0" w:color="auto"/>
        <w:left w:val="none" w:sz="0" w:space="0" w:color="auto"/>
        <w:bottom w:val="none" w:sz="0" w:space="0" w:color="auto"/>
        <w:right w:val="none" w:sz="0" w:space="0" w:color="auto"/>
      </w:divBdr>
      <w:divsChild>
        <w:div w:id="1744449755">
          <w:marLeft w:val="0"/>
          <w:marRight w:val="0"/>
          <w:marTop w:val="0"/>
          <w:marBottom w:val="0"/>
          <w:divBdr>
            <w:top w:val="none" w:sz="0" w:space="0" w:color="auto"/>
            <w:left w:val="none" w:sz="0" w:space="0" w:color="auto"/>
            <w:bottom w:val="none" w:sz="0" w:space="0" w:color="auto"/>
            <w:right w:val="none" w:sz="0" w:space="0" w:color="auto"/>
          </w:divBdr>
          <w:divsChild>
            <w:div w:id="1935094306">
              <w:marLeft w:val="0"/>
              <w:marRight w:val="0"/>
              <w:marTop w:val="0"/>
              <w:marBottom w:val="0"/>
              <w:divBdr>
                <w:top w:val="none" w:sz="0" w:space="0" w:color="auto"/>
                <w:left w:val="none" w:sz="0" w:space="0" w:color="auto"/>
                <w:bottom w:val="none" w:sz="0" w:space="0" w:color="auto"/>
                <w:right w:val="none" w:sz="0" w:space="0" w:color="auto"/>
              </w:divBdr>
            </w:div>
          </w:divsChild>
        </w:div>
        <w:div w:id="210583370">
          <w:marLeft w:val="0"/>
          <w:marRight w:val="0"/>
          <w:marTop w:val="0"/>
          <w:marBottom w:val="0"/>
          <w:divBdr>
            <w:top w:val="none" w:sz="0" w:space="0" w:color="auto"/>
            <w:left w:val="none" w:sz="0" w:space="0" w:color="auto"/>
            <w:bottom w:val="none" w:sz="0" w:space="0" w:color="auto"/>
            <w:right w:val="none" w:sz="0" w:space="0" w:color="auto"/>
          </w:divBdr>
          <w:divsChild>
            <w:div w:id="123497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309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ospitalitynet.org/opinion/4105270.html" TargetMode="External"/><Relationship Id="rId18" Type="http://schemas.openxmlformats.org/officeDocument/2006/relationships/hyperlink" Target="https://www.tengroup.com/news/cash-flow-challenges-hotels-resorts" TargetMode="External"/><Relationship Id="rId3" Type="http://schemas.openxmlformats.org/officeDocument/2006/relationships/styles" Target="styles.xml"/><Relationship Id="rId7" Type="http://schemas.openxmlformats.org/officeDocument/2006/relationships/image" Target="media/image1.png"/><Relationship Id="rId12" Type="http://schemas.microsoft.com/office/2007/relationships/hdphoto" Target="media/hdphoto1.wdp"/><Relationship Id="rId17" Type="http://schemas.openxmlformats.org/officeDocument/2006/relationships/hyperlink" Target="https://financesonline.com/hospitality-industry-profit-margin/" TargetMode="External"/><Relationship Id="rId2" Type="http://schemas.openxmlformats.org/officeDocument/2006/relationships/numbering" Target="numbering.xml"/><Relationship Id="rId16" Type="http://schemas.openxmlformats.org/officeDocument/2006/relationships/hyperlink" Target="https://www.hotelmanagement.net/operate/experts-share-tops-tips-for-controlling-hotel-labor-cos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www.hotelmanagement.net/own/whats-the-right-amount-to-spend-on-capital-expenditures" TargetMode="External"/><Relationship Id="rId10" Type="http://schemas.openxmlformats.org/officeDocument/2006/relationships/chart" Target="charts/chart1.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hyperlink" Target="https://www.hotelnewsnow.com/Articles/317053/Labor-costs-in-the-hotel-industry"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H:\Shared%20drives\Rownok's%20Work%20Stuff\Paid%20ass\Investment%20Risk%20Manageme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ysClr val="windowText" lastClr="000000"/>
                </a:solidFill>
                <a:latin typeface="Times New Roman" panose="02020603050405020304" pitchFamily="18" charset="0"/>
                <a:cs typeface="Times New Roman" panose="02020603050405020304" pitchFamily="18" charset="0"/>
              </a:rPr>
              <a:t>ARR</a:t>
            </a:r>
            <a:r>
              <a:rPr lang="en-US" baseline="0">
                <a:solidFill>
                  <a:sysClr val="windowText" lastClr="000000"/>
                </a:solidFill>
                <a:latin typeface="Times New Roman" panose="02020603050405020304" pitchFamily="18" charset="0"/>
                <a:cs typeface="Times New Roman" panose="02020603050405020304" pitchFamily="18" charset="0"/>
              </a:rPr>
              <a:t> vs Occupancy Rate</a:t>
            </a:r>
            <a:endParaRPr lang="en-US">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col"/>
        <c:grouping val="clustered"/>
        <c:varyColors val="0"/>
        <c:ser>
          <c:idx val="0"/>
          <c:order val="0"/>
          <c:tx>
            <c:strRef>
              <c:f>Sheet1!$A$8</c:f>
              <c:strCache>
                <c:ptCount val="1"/>
                <c:pt idx="0">
                  <c:v>Average Room Rate (ARR):</c:v>
                </c:pt>
              </c:strCache>
            </c:strRef>
          </c:tx>
          <c:spPr>
            <a:solidFill>
              <a:schemeClr val="accent1"/>
            </a:solidFill>
            <a:ln>
              <a:noFill/>
            </a:ln>
            <a:effectLst/>
          </c:spPr>
          <c:invertIfNegative val="0"/>
          <c:cat>
            <c:numRef>
              <c:f>Sheet1!$B$7:$D$7</c:f>
              <c:numCache>
                <c:formatCode>General</c:formatCode>
                <c:ptCount val="3"/>
                <c:pt idx="0">
                  <c:v>2021</c:v>
                </c:pt>
                <c:pt idx="1">
                  <c:v>2022</c:v>
                </c:pt>
                <c:pt idx="2">
                  <c:v>2023</c:v>
                </c:pt>
              </c:numCache>
            </c:numRef>
          </c:cat>
          <c:val>
            <c:numRef>
              <c:f>Sheet1!$B$8:$D$8</c:f>
              <c:numCache>
                <c:formatCode>[$£-809]#,##0.00</c:formatCode>
                <c:ptCount val="3"/>
                <c:pt idx="0">
                  <c:v>260</c:v>
                </c:pt>
                <c:pt idx="1">
                  <c:v>240</c:v>
                </c:pt>
                <c:pt idx="2">
                  <c:v>210</c:v>
                </c:pt>
              </c:numCache>
            </c:numRef>
          </c:val>
          <c:extLst xmlns:c16r2="http://schemas.microsoft.com/office/drawing/2015/06/chart">
            <c:ext xmlns:c16="http://schemas.microsoft.com/office/drawing/2014/chart" uri="{C3380CC4-5D6E-409C-BE32-E72D297353CC}">
              <c16:uniqueId val="{00000000-B5FF-4BD2-BA1F-2C8CC6013448}"/>
            </c:ext>
          </c:extLst>
        </c:ser>
        <c:dLbls>
          <c:showLegendKey val="0"/>
          <c:showVal val="0"/>
          <c:showCatName val="0"/>
          <c:showSerName val="0"/>
          <c:showPercent val="0"/>
          <c:showBubbleSize val="0"/>
        </c:dLbls>
        <c:gapWidth val="219"/>
        <c:overlap val="-27"/>
        <c:axId val="164509696"/>
        <c:axId val="242575616"/>
      </c:barChart>
      <c:lineChart>
        <c:grouping val="standard"/>
        <c:varyColors val="0"/>
        <c:ser>
          <c:idx val="1"/>
          <c:order val="1"/>
          <c:tx>
            <c:strRef>
              <c:f>Sheet1!$A$9</c:f>
              <c:strCache>
                <c:ptCount val="1"/>
                <c:pt idx="0">
                  <c:v>Occupancy Rate:</c:v>
                </c:pt>
              </c:strCache>
            </c:strRef>
          </c:tx>
          <c:spPr>
            <a:ln w="28575" cap="rnd">
              <a:solidFill>
                <a:schemeClr val="accent2"/>
              </a:solidFill>
              <a:round/>
            </a:ln>
            <a:effectLst/>
          </c:spPr>
          <c:marker>
            <c:symbol val="none"/>
          </c:marker>
          <c:cat>
            <c:numRef>
              <c:f>Sheet1!$B$7:$D$7</c:f>
              <c:numCache>
                <c:formatCode>General</c:formatCode>
                <c:ptCount val="3"/>
                <c:pt idx="0">
                  <c:v>2021</c:v>
                </c:pt>
                <c:pt idx="1">
                  <c:v>2022</c:v>
                </c:pt>
                <c:pt idx="2">
                  <c:v>2023</c:v>
                </c:pt>
              </c:numCache>
            </c:numRef>
          </c:cat>
          <c:val>
            <c:numRef>
              <c:f>Sheet1!$B$9:$D$9</c:f>
              <c:numCache>
                <c:formatCode>0%</c:formatCode>
                <c:ptCount val="3"/>
                <c:pt idx="0">
                  <c:v>0.65</c:v>
                </c:pt>
                <c:pt idx="1">
                  <c:v>0.6</c:v>
                </c:pt>
                <c:pt idx="2">
                  <c:v>0.5</c:v>
                </c:pt>
              </c:numCache>
            </c:numRef>
          </c:val>
          <c:smooth val="0"/>
          <c:extLst xmlns:c16r2="http://schemas.microsoft.com/office/drawing/2015/06/chart">
            <c:ext xmlns:c16="http://schemas.microsoft.com/office/drawing/2014/chart" uri="{C3380CC4-5D6E-409C-BE32-E72D297353CC}">
              <c16:uniqueId val="{00000001-B5FF-4BD2-BA1F-2C8CC6013448}"/>
            </c:ext>
          </c:extLst>
        </c:ser>
        <c:dLbls>
          <c:showLegendKey val="0"/>
          <c:showVal val="0"/>
          <c:showCatName val="0"/>
          <c:showSerName val="0"/>
          <c:showPercent val="0"/>
          <c:showBubbleSize val="0"/>
        </c:dLbls>
        <c:marker val="1"/>
        <c:smooth val="0"/>
        <c:axId val="259329024"/>
        <c:axId val="242576192"/>
      </c:lineChart>
      <c:catAx>
        <c:axId val="164509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2575616"/>
        <c:crosses val="autoZero"/>
        <c:auto val="1"/>
        <c:lblAlgn val="ctr"/>
        <c:lblOffset val="100"/>
        <c:noMultiLvlLbl val="0"/>
      </c:catAx>
      <c:valAx>
        <c:axId val="242575616"/>
        <c:scaling>
          <c:orientation val="minMax"/>
        </c:scaling>
        <c:delete val="0"/>
        <c:axPos val="l"/>
        <c:majorGridlines>
          <c:spPr>
            <a:ln w="9525" cap="flat" cmpd="sng" algn="ctr">
              <a:solidFill>
                <a:schemeClr val="tx1">
                  <a:lumMod val="15000"/>
                  <a:lumOff val="85000"/>
                </a:schemeClr>
              </a:solidFill>
              <a:round/>
            </a:ln>
            <a:effectLst/>
          </c:spPr>
        </c:majorGridlines>
        <c:numFmt formatCode="[$£-809]#,##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509696"/>
        <c:crosses val="autoZero"/>
        <c:crossBetween val="between"/>
      </c:valAx>
      <c:valAx>
        <c:axId val="242576192"/>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29024"/>
        <c:crosses val="max"/>
        <c:crossBetween val="between"/>
      </c:valAx>
      <c:catAx>
        <c:axId val="259329024"/>
        <c:scaling>
          <c:orientation val="minMax"/>
        </c:scaling>
        <c:delete val="1"/>
        <c:axPos val="b"/>
        <c:numFmt formatCode="General" sourceLinked="1"/>
        <c:majorTickMark val="none"/>
        <c:minorTickMark val="none"/>
        <c:tickLblPos val="nextTo"/>
        <c:crossAx val="2425761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F06F6-7AC3-49D7-B0DA-8D65CF492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2940</Words>
  <Characters>16758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Maddison Huff</dc:creator>
  <cp:lastModifiedBy>Admin</cp:lastModifiedBy>
  <cp:revision>2</cp:revision>
  <cp:lastPrinted>2024-01-24T17:00:00Z</cp:lastPrinted>
  <dcterms:created xsi:type="dcterms:W3CDTF">2024-02-27T10:56:00Z</dcterms:created>
  <dcterms:modified xsi:type="dcterms:W3CDTF">2024-02-27T10:56:00Z</dcterms:modified>
</cp:coreProperties>
</file>