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11723" w:rsidRDefault="00011723" w:rsidP="00011723">
      <w:pPr>
        <w:spacing w:before="120" w:after="120"/>
        <w:jc w:val="left"/>
        <w:rPr>
          <w:rFonts w:ascii="Arial" w:hAnsi="Arial" w:cs="Arial"/>
          <w:b/>
          <w:sz w:val="22"/>
        </w:rPr>
      </w:pPr>
      <w:r>
        <w:rPr>
          <w:rFonts w:cs="Times New Roman"/>
          <w:b/>
          <w:bCs/>
          <w:sz w:val="40"/>
          <w:szCs w:val="40"/>
        </w:rPr>
        <w:t>Module Title</w:t>
      </w:r>
      <w:r>
        <w:rPr>
          <w:rFonts w:cs="Times New Roman"/>
          <w:b/>
          <w:bCs/>
          <w:sz w:val="36"/>
          <w:szCs w:val="36"/>
        </w:rPr>
        <w:t xml:space="preserve">: </w:t>
      </w:r>
      <w:r w:rsidRPr="00011723">
        <w:rPr>
          <w:rFonts w:cs="Times New Roman"/>
          <w:sz w:val="36"/>
          <w:szCs w:val="36"/>
        </w:rPr>
        <w:t>Procurement and Supply Chain Management</w:t>
      </w:r>
    </w:p>
    <w:p w:rsidR="00011723" w:rsidRPr="00011723" w:rsidRDefault="00011723" w:rsidP="00011723">
      <w:pPr>
        <w:spacing w:before="120" w:after="120"/>
        <w:jc w:val="left"/>
        <w:rPr>
          <w:rFonts w:ascii="Arial" w:hAnsi="Arial" w:cs="Arial"/>
          <w:b/>
          <w:sz w:val="22"/>
        </w:rPr>
      </w:pPr>
      <w:r>
        <w:rPr>
          <w:rFonts w:cs="Times New Roman"/>
          <w:b/>
          <w:bCs/>
          <w:sz w:val="40"/>
          <w:szCs w:val="40"/>
        </w:rPr>
        <w:t>Module Code</w:t>
      </w:r>
      <w:r>
        <w:rPr>
          <w:rFonts w:cs="Times New Roman"/>
          <w:b/>
          <w:bCs/>
          <w:sz w:val="36"/>
          <w:szCs w:val="36"/>
        </w:rPr>
        <w:t xml:space="preserve">: </w:t>
      </w:r>
      <w:r w:rsidRPr="00011723">
        <w:rPr>
          <w:rFonts w:cs="Times New Roman"/>
          <w:sz w:val="36"/>
          <w:szCs w:val="36"/>
        </w:rPr>
        <w:t>ACEA 7011</w:t>
      </w:r>
    </w:p>
    <w:p w:rsidR="00011723" w:rsidRPr="00011723" w:rsidRDefault="00011723" w:rsidP="00011723">
      <w:pPr>
        <w:spacing w:line="360" w:lineRule="auto"/>
        <w:jc w:val="left"/>
        <w:rPr>
          <w:rFonts w:cs="Times New Roman"/>
          <w:sz w:val="36"/>
          <w:szCs w:val="36"/>
        </w:rPr>
      </w:pPr>
      <w:r>
        <w:rPr>
          <w:rFonts w:cs="Times New Roman"/>
          <w:b/>
          <w:bCs/>
          <w:sz w:val="40"/>
          <w:szCs w:val="40"/>
        </w:rPr>
        <w:t>Assignment Title</w:t>
      </w:r>
      <w:r>
        <w:rPr>
          <w:rFonts w:cs="Times New Roman"/>
          <w:b/>
          <w:bCs/>
          <w:sz w:val="36"/>
          <w:szCs w:val="36"/>
        </w:rPr>
        <w:t xml:space="preserve">: </w:t>
      </w:r>
      <w:r w:rsidRPr="00011723">
        <w:rPr>
          <w:rFonts w:cs="Times New Roman"/>
          <w:sz w:val="36"/>
          <w:szCs w:val="36"/>
        </w:rPr>
        <w:t>Improving Supply chain performance</w:t>
      </w:r>
      <w:r>
        <w:rPr>
          <w:rFonts w:cs="Times New Roman"/>
          <w:sz w:val="36"/>
          <w:szCs w:val="36"/>
        </w:rPr>
        <w:t xml:space="preserve"> </w:t>
      </w:r>
      <w:r w:rsidRPr="00011723">
        <w:rPr>
          <w:rFonts w:cs="Times New Roman"/>
          <w:b/>
          <w:bCs/>
          <w:sz w:val="36"/>
          <w:szCs w:val="36"/>
        </w:rPr>
        <w:t>Student Name:</w:t>
      </w:r>
      <w:r>
        <w:rPr>
          <w:rFonts w:cs="Times New Roman"/>
          <w:b/>
          <w:bCs/>
          <w:sz w:val="36"/>
          <w:szCs w:val="36"/>
        </w:rPr>
        <w:t xml:space="preserve"> </w:t>
      </w:r>
      <w:proofErr w:type="spellStart"/>
      <w:r>
        <w:rPr>
          <w:rFonts w:cs="Times New Roman"/>
          <w:sz w:val="36"/>
          <w:szCs w:val="36"/>
        </w:rPr>
        <w:t>Sukhada</w:t>
      </w:r>
      <w:proofErr w:type="spellEnd"/>
      <w:r>
        <w:rPr>
          <w:rFonts w:cs="Times New Roman"/>
          <w:sz w:val="36"/>
          <w:szCs w:val="36"/>
        </w:rPr>
        <w:t xml:space="preserve"> Kulkarni (2213994)</w:t>
      </w:r>
    </w:p>
    <w:p w:rsidR="00011723" w:rsidRDefault="00011723"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Default="0035054F" w:rsidP="0035054F">
      <w:pPr>
        <w:spacing w:line="360" w:lineRule="auto"/>
        <w:jc w:val="center"/>
        <w:rPr>
          <w:b/>
          <w:bCs/>
          <w:sz w:val="32"/>
          <w:szCs w:val="28"/>
        </w:rPr>
      </w:pPr>
    </w:p>
    <w:p w:rsidR="0035054F" w:rsidRPr="0035054F" w:rsidRDefault="0035054F" w:rsidP="0035054F">
      <w:pPr>
        <w:spacing w:line="360" w:lineRule="auto"/>
        <w:jc w:val="center"/>
        <w:rPr>
          <w:b/>
          <w:bCs/>
          <w:sz w:val="32"/>
          <w:szCs w:val="28"/>
        </w:rPr>
      </w:pPr>
    </w:p>
    <w:sdt>
      <w:sdtPr>
        <w:rPr>
          <w:rFonts w:ascii="Times New Roman" w:eastAsiaTheme="minorHAnsi" w:hAnsi="Times New Roman" w:cstheme="minorBidi"/>
          <w:color w:val="auto"/>
          <w:kern w:val="2"/>
          <w:sz w:val="24"/>
          <w:szCs w:val="22"/>
          <w:lang w:val="en-IN"/>
          <w14:ligatures w14:val="standardContextual"/>
        </w:rPr>
        <w:id w:val="-832602419"/>
        <w:docPartObj>
          <w:docPartGallery w:val="Table of Contents"/>
          <w:docPartUnique/>
        </w:docPartObj>
      </w:sdtPr>
      <w:sdtEndPr>
        <w:rPr>
          <w:b/>
          <w:bCs/>
          <w:noProof/>
        </w:rPr>
      </w:sdtEndPr>
      <w:sdtContent>
        <w:p w:rsidR="0035054F" w:rsidRDefault="0035054F" w:rsidP="0035054F">
          <w:pPr>
            <w:pStyle w:val="TOCHeading"/>
            <w:spacing w:line="360" w:lineRule="auto"/>
          </w:pPr>
          <w:r>
            <w:t>Table of Contents</w:t>
          </w:r>
        </w:p>
        <w:p w:rsidR="0035054F" w:rsidRDefault="0035054F" w:rsidP="0035054F">
          <w:pPr>
            <w:pStyle w:val="TOC1"/>
            <w:tabs>
              <w:tab w:val="right" w:leader="dot" w:pos="9016"/>
            </w:tabs>
            <w:spacing w:line="360" w:lineRule="auto"/>
            <w:rPr>
              <w:noProof/>
            </w:rPr>
          </w:pPr>
          <w:r>
            <w:fldChar w:fldCharType="begin"/>
          </w:r>
          <w:r>
            <w:instrText xml:space="preserve"> TOC \o "1-3" \h \z \u </w:instrText>
          </w:r>
          <w:r>
            <w:fldChar w:fldCharType="separate"/>
          </w:r>
          <w:hyperlink w:anchor="_Toc133658997" w:history="1">
            <w:r w:rsidRPr="00A351A3">
              <w:rPr>
                <w:rStyle w:val="Hyperlink"/>
                <w:noProof/>
              </w:rPr>
              <w:t>Introduction</w:t>
            </w:r>
            <w:r>
              <w:rPr>
                <w:noProof/>
                <w:webHidden/>
              </w:rPr>
              <w:tab/>
            </w:r>
            <w:r>
              <w:rPr>
                <w:noProof/>
                <w:webHidden/>
              </w:rPr>
              <w:fldChar w:fldCharType="begin"/>
            </w:r>
            <w:r>
              <w:rPr>
                <w:noProof/>
                <w:webHidden/>
              </w:rPr>
              <w:instrText xml:space="preserve"> PAGEREF _Toc133658997 \h </w:instrText>
            </w:r>
            <w:r>
              <w:rPr>
                <w:noProof/>
                <w:webHidden/>
              </w:rPr>
            </w:r>
            <w:r>
              <w:rPr>
                <w:noProof/>
                <w:webHidden/>
              </w:rPr>
              <w:fldChar w:fldCharType="separate"/>
            </w:r>
            <w:r w:rsidR="004837A0">
              <w:rPr>
                <w:noProof/>
                <w:webHidden/>
              </w:rPr>
              <w:t>3</w:t>
            </w:r>
            <w:r>
              <w:rPr>
                <w:noProof/>
                <w:webHidden/>
              </w:rPr>
              <w:fldChar w:fldCharType="end"/>
            </w:r>
          </w:hyperlink>
        </w:p>
        <w:p w:rsidR="0035054F" w:rsidRDefault="00000000" w:rsidP="0035054F">
          <w:pPr>
            <w:pStyle w:val="TOC1"/>
            <w:tabs>
              <w:tab w:val="right" w:leader="dot" w:pos="9016"/>
            </w:tabs>
            <w:spacing w:line="360" w:lineRule="auto"/>
            <w:rPr>
              <w:noProof/>
            </w:rPr>
          </w:pPr>
          <w:hyperlink w:anchor="_Toc133658998" w:history="1">
            <w:r w:rsidR="0035054F" w:rsidRPr="00A351A3">
              <w:rPr>
                <w:rStyle w:val="Hyperlink"/>
                <w:noProof/>
              </w:rPr>
              <w:t>FMEA analysis</w:t>
            </w:r>
            <w:r w:rsidR="0035054F">
              <w:rPr>
                <w:noProof/>
                <w:webHidden/>
              </w:rPr>
              <w:tab/>
            </w:r>
            <w:r w:rsidR="0035054F">
              <w:rPr>
                <w:noProof/>
                <w:webHidden/>
              </w:rPr>
              <w:fldChar w:fldCharType="begin"/>
            </w:r>
            <w:r w:rsidR="0035054F">
              <w:rPr>
                <w:noProof/>
                <w:webHidden/>
              </w:rPr>
              <w:instrText xml:space="preserve"> PAGEREF _Toc133658998 \h </w:instrText>
            </w:r>
            <w:r w:rsidR="0035054F">
              <w:rPr>
                <w:noProof/>
                <w:webHidden/>
              </w:rPr>
            </w:r>
            <w:r w:rsidR="0035054F">
              <w:rPr>
                <w:noProof/>
                <w:webHidden/>
              </w:rPr>
              <w:fldChar w:fldCharType="separate"/>
            </w:r>
            <w:r w:rsidR="004837A0">
              <w:rPr>
                <w:noProof/>
                <w:webHidden/>
              </w:rPr>
              <w:t>3</w:t>
            </w:r>
            <w:r w:rsidR="0035054F">
              <w:rPr>
                <w:noProof/>
                <w:webHidden/>
              </w:rPr>
              <w:fldChar w:fldCharType="end"/>
            </w:r>
          </w:hyperlink>
        </w:p>
        <w:p w:rsidR="0035054F" w:rsidRDefault="00000000" w:rsidP="0035054F">
          <w:pPr>
            <w:pStyle w:val="TOC2"/>
            <w:tabs>
              <w:tab w:val="right" w:leader="dot" w:pos="9016"/>
            </w:tabs>
            <w:spacing w:line="360" w:lineRule="auto"/>
            <w:rPr>
              <w:noProof/>
            </w:rPr>
          </w:pPr>
          <w:hyperlink w:anchor="_Toc133658999" w:history="1">
            <w:r w:rsidR="0035054F" w:rsidRPr="00A351A3">
              <w:rPr>
                <w:rStyle w:val="Hyperlink"/>
                <w:noProof/>
              </w:rPr>
              <w:t>Risk assessment strategy</w:t>
            </w:r>
            <w:r w:rsidR="0035054F">
              <w:rPr>
                <w:noProof/>
                <w:webHidden/>
              </w:rPr>
              <w:tab/>
            </w:r>
            <w:r w:rsidR="0035054F">
              <w:rPr>
                <w:noProof/>
                <w:webHidden/>
              </w:rPr>
              <w:fldChar w:fldCharType="begin"/>
            </w:r>
            <w:r w:rsidR="0035054F">
              <w:rPr>
                <w:noProof/>
                <w:webHidden/>
              </w:rPr>
              <w:instrText xml:space="preserve"> PAGEREF _Toc133658999 \h </w:instrText>
            </w:r>
            <w:r w:rsidR="0035054F">
              <w:rPr>
                <w:noProof/>
                <w:webHidden/>
              </w:rPr>
            </w:r>
            <w:r w:rsidR="0035054F">
              <w:rPr>
                <w:noProof/>
                <w:webHidden/>
              </w:rPr>
              <w:fldChar w:fldCharType="separate"/>
            </w:r>
            <w:r w:rsidR="004837A0">
              <w:rPr>
                <w:noProof/>
                <w:webHidden/>
              </w:rPr>
              <w:t>3</w:t>
            </w:r>
            <w:r w:rsidR="0035054F">
              <w:rPr>
                <w:noProof/>
                <w:webHidden/>
              </w:rPr>
              <w:fldChar w:fldCharType="end"/>
            </w:r>
          </w:hyperlink>
        </w:p>
        <w:p w:rsidR="0035054F" w:rsidRDefault="00000000" w:rsidP="0035054F">
          <w:pPr>
            <w:pStyle w:val="TOC2"/>
            <w:tabs>
              <w:tab w:val="right" w:leader="dot" w:pos="9016"/>
            </w:tabs>
            <w:spacing w:line="360" w:lineRule="auto"/>
            <w:rPr>
              <w:noProof/>
            </w:rPr>
          </w:pPr>
          <w:hyperlink w:anchor="_Toc133659000" w:history="1">
            <w:r w:rsidR="0035054F" w:rsidRPr="00A351A3">
              <w:rPr>
                <w:rStyle w:val="Hyperlink"/>
                <w:noProof/>
              </w:rPr>
              <w:t>Risk priority number for risk assessment</w:t>
            </w:r>
            <w:r w:rsidR="0035054F">
              <w:rPr>
                <w:noProof/>
                <w:webHidden/>
              </w:rPr>
              <w:tab/>
            </w:r>
            <w:r w:rsidR="0035054F">
              <w:rPr>
                <w:noProof/>
                <w:webHidden/>
              </w:rPr>
              <w:fldChar w:fldCharType="begin"/>
            </w:r>
            <w:r w:rsidR="0035054F">
              <w:rPr>
                <w:noProof/>
                <w:webHidden/>
              </w:rPr>
              <w:instrText xml:space="preserve"> PAGEREF _Toc133659000 \h </w:instrText>
            </w:r>
            <w:r w:rsidR="0035054F">
              <w:rPr>
                <w:noProof/>
                <w:webHidden/>
              </w:rPr>
            </w:r>
            <w:r w:rsidR="0035054F">
              <w:rPr>
                <w:noProof/>
                <w:webHidden/>
              </w:rPr>
              <w:fldChar w:fldCharType="separate"/>
            </w:r>
            <w:r w:rsidR="004837A0">
              <w:rPr>
                <w:noProof/>
                <w:webHidden/>
              </w:rPr>
              <w:t>4</w:t>
            </w:r>
            <w:r w:rsidR="0035054F">
              <w:rPr>
                <w:noProof/>
                <w:webHidden/>
              </w:rPr>
              <w:fldChar w:fldCharType="end"/>
            </w:r>
          </w:hyperlink>
        </w:p>
        <w:p w:rsidR="0035054F" w:rsidRDefault="00000000" w:rsidP="0035054F">
          <w:pPr>
            <w:pStyle w:val="TOC2"/>
            <w:tabs>
              <w:tab w:val="right" w:leader="dot" w:pos="9016"/>
            </w:tabs>
            <w:spacing w:line="360" w:lineRule="auto"/>
            <w:rPr>
              <w:noProof/>
            </w:rPr>
          </w:pPr>
          <w:hyperlink w:anchor="_Toc133659001" w:history="1">
            <w:r w:rsidR="0035054F" w:rsidRPr="00A351A3">
              <w:rPr>
                <w:rStyle w:val="Hyperlink"/>
                <w:noProof/>
              </w:rPr>
              <w:t>Severity rating scale</w:t>
            </w:r>
            <w:r w:rsidR="0035054F">
              <w:rPr>
                <w:noProof/>
                <w:webHidden/>
              </w:rPr>
              <w:tab/>
            </w:r>
            <w:r w:rsidR="0035054F">
              <w:rPr>
                <w:noProof/>
                <w:webHidden/>
              </w:rPr>
              <w:fldChar w:fldCharType="begin"/>
            </w:r>
            <w:r w:rsidR="0035054F">
              <w:rPr>
                <w:noProof/>
                <w:webHidden/>
              </w:rPr>
              <w:instrText xml:space="preserve"> PAGEREF _Toc133659001 \h </w:instrText>
            </w:r>
            <w:r w:rsidR="0035054F">
              <w:rPr>
                <w:noProof/>
                <w:webHidden/>
              </w:rPr>
            </w:r>
            <w:r w:rsidR="0035054F">
              <w:rPr>
                <w:noProof/>
                <w:webHidden/>
              </w:rPr>
              <w:fldChar w:fldCharType="separate"/>
            </w:r>
            <w:r w:rsidR="004837A0">
              <w:rPr>
                <w:noProof/>
                <w:webHidden/>
              </w:rPr>
              <w:t>5</w:t>
            </w:r>
            <w:r w:rsidR="0035054F">
              <w:rPr>
                <w:noProof/>
                <w:webHidden/>
              </w:rPr>
              <w:fldChar w:fldCharType="end"/>
            </w:r>
          </w:hyperlink>
        </w:p>
        <w:p w:rsidR="0035054F" w:rsidRDefault="00000000" w:rsidP="0035054F">
          <w:pPr>
            <w:pStyle w:val="TOC2"/>
            <w:tabs>
              <w:tab w:val="right" w:leader="dot" w:pos="9016"/>
            </w:tabs>
            <w:spacing w:line="360" w:lineRule="auto"/>
            <w:rPr>
              <w:noProof/>
            </w:rPr>
          </w:pPr>
          <w:hyperlink w:anchor="_Toc133659002" w:history="1">
            <w:r w:rsidR="0035054F" w:rsidRPr="00A351A3">
              <w:rPr>
                <w:rStyle w:val="Hyperlink"/>
                <w:noProof/>
              </w:rPr>
              <w:t>Occurrence rating scale</w:t>
            </w:r>
            <w:r w:rsidR="0035054F">
              <w:rPr>
                <w:noProof/>
                <w:webHidden/>
              </w:rPr>
              <w:tab/>
            </w:r>
            <w:r w:rsidR="0035054F">
              <w:rPr>
                <w:noProof/>
                <w:webHidden/>
              </w:rPr>
              <w:fldChar w:fldCharType="begin"/>
            </w:r>
            <w:r w:rsidR="0035054F">
              <w:rPr>
                <w:noProof/>
                <w:webHidden/>
              </w:rPr>
              <w:instrText xml:space="preserve"> PAGEREF _Toc133659002 \h </w:instrText>
            </w:r>
            <w:r w:rsidR="0035054F">
              <w:rPr>
                <w:noProof/>
                <w:webHidden/>
              </w:rPr>
            </w:r>
            <w:r w:rsidR="0035054F">
              <w:rPr>
                <w:noProof/>
                <w:webHidden/>
              </w:rPr>
              <w:fldChar w:fldCharType="separate"/>
            </w:r>
            <w:r w:rsidR="004837A0">
              <w:rPr>
                <w:noProof/>
                <w:webHidden/>
              </w:rPr>
              <w:t>6</w:t>
            </w:r>
            <w:r w:rsidR="0035054F">
              <w:rPr>
                <w:noProof/>
                <w:webHidden/>
              </w:rPr>
              <w:fldChar w:fldCharType="end"/>
            </w:r>
          </w:hyperlink>
        </w:p>
        <w:p w:rsidR="0035054F" w:rsidRDefault="00000000" w:rsidP="0035054F">
          <w:pPr>
            <w:pStyle w:val="TOC2"/>
            <w:tabs>
              <w:tab w:val="right" w:leader="dot" w:pos="9016"/>
            </w:tabs>
            <w:spacing w:line="360" w:lineRule="auto"/>
            <w:rPr>
              <w:noProof/>
            </w:rPr>
          </w:pPr>
          <w:hyperlink w:anchor="_Toc133659003" w:history="1">
            <w:r w:rsidR="0035054F" w:rsidRPr="00A351A3">
              <w:rPr>
                <w:rStyle w:val="Hyperlink"/>
                <w:noProof/>
              </w:rPr>
              <w:t>Detection rating scale</w:t>
            </w:r>
            <w:r w:rsidR="0035054F">
              <w:rPr>
                <w:noProof/>
                <w:webHidden/>
              </w:rPr>
              <w:tab/>
            </w:r>
            <w:r w:rsidR="0035054F">
              <w:rPr>
                <w:noProof/>
                <w:webHidden/>
              </w:rPr>
              <w:fldChar w:fldCharType="begin"/>
            </w:r>
            <w:r w:rsidR="0035054F">
              <w:rPr>
                <w:noProof/>
                <w:webHidden/>
              </w:rPr>
              <w:instrText xml:space="preserve"> PAGEREF _Toc133659003 \h </w:instrText>
            </w:r>
            <w:r w:rsidR="0035054F">
              <w:rPr>
                <w:noProof/>
                <w:webHidden/>
              </w:rPr>
            </w:r>
            <w:r w:rsidR="0035054F">
              <w:rPr>
                <w:noProof/>
                <w:webHidden/>
              </w:rPr>
              <w:fldChar w:fldCharType="separate"/>
            </w:r>
            <w:r w:rsidR="004837A0">
              <w:rPr>
                <w:noProof/>
                <w:webHidden/>
              </w:rPr>
              <w:t>6</w:t>
            </w:r>
            <w:r w:rsidR="0035054F">
              <w:rPr>
                <w:noProof/>
                <w:webHidden/>
              </w:rPr>
              <w:fldChar w:fldCharType="end"/>
            </w:r>
          </w:hyperlink>
        </w:p>
        <w:p w:rsidR="0035054F" w:rsidRDefault="00000000" w:rsidP="0035054F">
          <w:pPr>
            <w:pStyle w:val="TOC2"/>
            <w:tabs>
              <w:tab w:val="right" w:leader="dot" w:pos="9016"/>
            </w:tabs>
            <w:spacing w:line="360" w:lineRule="auto"/>
            <w:rPr>
              <w:noProof/>
            </w:rPr>
          </w:pPr>
          <w:hyperlink w:anchor="_Toc133659004" w:history="1">
            <w:r w:rsidR="0035054F" w:rsidRPr="00A351A3">
              <w:rPr>
                <w:rStyle w:val="Hyperlink"/>
                <w:noProof/>
              </w:rPr>
              <w:t>RPN calculation</w:t>
            </w:r>
            <w:r w:rsidR="0035054F">
              <w:rPr>
                <w:noProof/>
                <w:webHidden/>
              </w:rPr>
              <w:tab/>
            </w:r>
            <w:r w:rsidR="0035054F">
              <w:rPr>
                <w:noProof/>
                <w:webHidden/>
              </w:rPr>
              <w:fldChar w:fldCharType="begin"/>
            </w:r>
            <w:r w:rsidR="0035054F">
              <w:rPr>
                <w:noProof/>
                <w:webHidden/>
              </w:rPr>
              <w:instrText xml:space="preserve"> PAGEREF _Toc133659004 \h </w:instrText>
            </w:r>
            <w:r w:rsidR="0035054F">
              <w:rPr>
                <w:noProof/>
                <w:webHidden/>
              </w:rPr>
            </w:r>
            <w:r w:rsidR="0035054F">
              <w:rPr>
                <w:noProof/>
                <w:webHidden/>
              </w:rPr>
              <w:fldChar w:fldCharType="separate"/>
            </w:r>
            <w:r w:rsidR="004837A0">
              <w:rPr>
                <w:noProof/>
                <w:webHidden/>
              </w:rPr>
              <w:t>7</w:t>
            </w:r>
            <w:r w:rsidR="0035054F">
              <w:rPr>
                <w:noProof/>
                <w:webHidden/>
              </w:rPr>
              <w:fldChar w:fldCharType="end"/>
            </w:r>
          </w:hyperlink>
        </w:p>
        <w:p w:rsidR="0035054F" w:rsidRDefault="00000000" w:rsidP="0035054F">
          <w:pPr>
            <w:pStyle w:val="TOC1"/>
            <w:tabs>
              <w:tab w:val="right" w:leader="dot" w:pos="9016"/>
            </w:tabs>
            <w:spacing w:line="360" w:lineRule="auto"/>
            <w:rPr>
              <w:noProof/>
            </w:rPr>
          </w:pPr>
          <w:hyperlink w:anchor="_Toc133659005" w:history="1">
            <w:r w:rsidR="0035054F" w:rsidRPr="00A351A3">
              <w:rPr>
                <w:rStyle w:val="Hyperlink"/>
                <w:noProof/>
              </w:rPr>
              <w:t>Making supply chain more resilient</w:t>
            </w:r>
            <w:r w:rsidR="0035054F">
              <w:rPr>
                <w:noProof/>
                <w:webHidden/>
              </w:rPr>
              <w:tab/>
            </w:r>
            <w:r w:rsidR="0035054F">
              <w:rPr>
                <w:noProof/>
                <w:webHidden/>
              </w:rPr>
              <w:fldChar w:fldCharType="begin"/>
            </w:r>
            <w:r w:rsidR="0035054F">
              <w:rPr>
                <w:noProof/>
                <w:webHidden/>
              </w:rPr>
              <w:instrText xml:space="preserve"> PAGEREF _Toc133659005 \h </w:instrText>
            </w:r>
            <w:r w:rsidR="0035054F">
              <w:rPr>
                <w:noProof/>
                <w:webHidden/>
              </w:rPr>
            </w:r>
            <w:r w:rsidR="0035054F">
              <w:rPr>
                <w:noProof/>
                <w:webHidden/>
              </w:rPr>
              <w:fldChar w:fldCharType="separate"/>
            </w:r>
            <w:r w:rsidR="004837A0">
              <w:rPr>
                <w:noProof/>
                <w:webHidden/>
              </w:rPr>
              <w:t>9</w:t>
            </w:r>
            <w:r w:rsidR="0035054F">
              <w:rPr>
                <w:noProof/>
                <w:webHidden/>
              </w:rPr>
              <w:fldChar w:fldCharType="end"/>
            </w:r>
          </w:hyperlink>
        </w:p>
        <w:p w:rsidR="0035054F" w:rsidRDefault="00000000" w:rsidP="0035054F">
          <w:pPr>
            <w:pStyle w:val="TOC1"/>
            <w:tabs>
              <w:tab w:val="right" w:leader="dot" w:pos="9016"/>
            </w:tabs>
            <w:spacing w:line="360" w:lineRule="auto"/>
            <w:rPr>
              <w:noProof/>
            </w:rPr>
          </w:pPr>
          <w:hyperlink w:anchor="_Toc133659006" w:history="1">
            <w:r w:rsidR="0035054F" w:rsidRPr="00A351A3">
              <w:rPr>
                <w:rStyle w:val="Hyperlink"/>
                <w:noProof/>
              </w:rPr>
              <w:t>Conclusion and recommendations</w:t>
            </w:r>
            <w:r w:rsidR="0035054F">
              <w:rPr>
                <w:noProof/>
                <w:webHidden/>
              </w:rPr>
              <w:tab/>
            </w:r>
            <w:r w:rsidR="0035054F">
              <w:rPr>
                <w:noProof/>
                <w:webHidden/>
              </w:rPr>
              <w:fldChar w:fldCharType="begin"/>
            </w:r>
            <w:r w:rsidR="0035054F">
              <w:rPr>
                <w:noProof/>
                <w:webHidden/>
              </w:rPr>
              <w:instrText xml:space="preserve"> PAGEREF _Toc133659006 \h </w:instrText>
            </w:r>
            <w:r w:rsidR="0035054F">
              <w:rPr>
                <w:noProof/>
                <w:webHidden/>
              </w:rPr>
            </w:r>
            <w:r w:rsidR="0035054F">
              <w:rPr>
                <w:noProof/>
                <w:webHidden/>
              </w:rPr>
              <w:fldChar w:fldCharType="separate"/>
            </w:r>
            <w:r w:rsidR="004837A0">
              <w:rPr>
                <w:noProof/>
                <w:webHidden/>
              </w:rPr>
              <w:t>12</w:t>
            </w:r>
            <w:r w:rsidR="0035054F">
              <w:rPr>
                <w:noProof/>
                <w:webHidden/>
              </w:rPr>
              <w:fldChar w:fldCharType="end"/>
            </w:r>
          </w:hyperlink>
        </w:p>
        <w:p w:rsidR="0035054F" w:rsidRDefault="00000000" w:rsidP="0035054F">
          <w:pPr>
            <w:pStyle w:val="TOC1"/>
            <w:tabs>
              <w:tab w:val="right" w:leader="dot" w:pos="9016"/>
            </w:tabs>
            <w:spacing w:line="360" w:lineRule="auto"/>
            <w:rPr>
              <w:noProof/>
            </w:rPr>
          </w:pPr>
          <w:hyperlink w:anchor="_Toc133659007" w:history="1">
            <w:r w:rsidR="0035054F" w:rsidRPr="00A351A3">
              <w:rPr>
                <w:rStyle w:val="Hyperlink"/>
                <w:noProof/>
              </w:rPr>
              <w:t>References</w:t>
            </w:r>
            <w:r w:rsidR="0035054F">
              <w:rPr>
                <w:noProof/>
                <w:webHidden/>
              </w:rPr>
              <w:tab/>
            </w:r>
            <w:r w:rsidR="0035054F">
              <w:rPr>
                <w:noProof/>
                <w:webHidden/>
              </w:rPr>
              <w:fldChar w:fldCharType="begin"/>
            </w:r>
            <w:r w:rsidR="0035054F">
              <w:rPr>
                <w:noProof/>
                <w:webHidden/>
              </w:rPr>
              <w:instrText xml:space="preserve"> PAGEREF _Toc133659007 \h </w:instrText>
            </w:r>
            <w:r w:rsidR="0035054F">
              <w:rPr>
                <w:noProof/>
                <w:webHidden/>
              </w:rPr>
            </w:r>
            <w:r w:rsidR="0035054F">
              <w:rPr>
                <w:noProof/>
                <w:webHidden/>
              </w:rPr>
              <w:fldChar w:fldCharType="separate"/>
            </w:r>
            <w:r w:rsidR="004837A0">
              <w:rPr>
                <w:noProof/>
                <w:webHidden/>
              </w:rPr>
              <w:t>13</w:t>
            </w:r>
            <w:r w:rsidR="0035054F">
              <w:rPr>
                <w:noProof/>
                <w:webHidden/>
              </w:rPr>
              <w:fldChar w:fldCharType="end"/>
            </w:r>
          </w:hyperlink>
        </w:p>
        <w:p w:rsidR="0035054F" w:rsidRDefault="0035054F" w:rsidP="0035054F">
          <w:pPr>
            <w:spacing w:line="360" w:lineRule="auto"/>
          </w:pPr>
          <w:r>
            <w:rPr>
              <w:b/>
              <w:bCs/>
              <w:noProof/>
            </w:rPr>
            <w:fldChar w:fldCharType="end"/>
          </w:r>
        </w:p>
      </w:sdtContent>
    </w:sdt>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8D5A16" w:rsidRDefault="008D5A16" w:rsidP="0035054F">
      <w:pPr>
        <w:spacing w:line="360" w:lineRule="auto"/>
      </w:pPr>
    </w:p>
    <w:p w:rsidR="008D5A16" w:rsidRDefault="008D5A16" w:rsidP="0035054F">
      <w:pPr>
        <w:pStyle w:val="Heading1"/>
        <w:spacing w:line="360" w:lineRule="auto"/>
      </w:pPr>
      <w:bookmarkStart w:id="0" w:name="_Toc133658997"/>
      <w:r>
        <w:t>Introduction</w:t>
      </w:r>
      <w:bookmarkEnd w:id="0"/>
    </w:p>
    <w:p w:rsidR="00384C06" w:rsidRPr="00384C06" w:rsidRDefault="00384C06" w:rsidP="0035054F">
      <w:pPr>
        <w:spacing w:line="360" w:lineRule="auto"/>
      </w:pPr>
      <w:r>
        <w:t>As the global supply chains are very complex, it is very difficult for the companies to face the challenges</w:t>
      </w:r>
      <w:r w:rsidR="00DE35C2">
        <w:t xml:space="preserve"> like shipping costs, delays, customer demands and so on. The companies also take actions for developing a sustainable supply chain management process. It is also possible to reduce the time and resource intensive processes through automation and efficiency.</w:t>
      </w:r>
      <w:r>
        <w:t xml:space="preserve"> </w:t>
      </w:r>
      <w:r w:rsidR="00DE35C2">
        <w:t>In order to improve the supply chain performance, it is necessary to analyse the supply chain and also address the issues. Based on those issues, the risk assessment can be carried out and the supply chain can be made resilient</w:t>
      </w:r>
      <w:sdt>
        <w:sdtPr>
          <w:id w:val="-949700916"/>
          <w:citation/>
        </w:sdtPr>
        <w:sdtContent>
          <w:r w:rsidR="00C74C12">
            <w:fldChar w:fldCharType="begin"/>
          </w:r>
          <w:r w:rsidR="00C74C12">
            <w:instrText xml:space="preserve"> CITATION IMA19 \l 16393 </w:instrText>
          </w:r>
          <w:r w:rsidR="00C74C12">
            <w:fldChar w:fldCharType="separate"/>
          </w:r>
          <w:r w:rsidR="00C74C12">
            <w:rPr>
              <w:noProof/>
            </w:rPr>
            <w:t xml:space="preserve"> </w:t>
          </w:r>
          <w:r w:rsidR="00C74C12" w:rsidRPr="00C74C12">
            <w:rPr>
              <w:noProof/>
            </w:rPr>
            <w:t>(I. M. Ambe, 2019)</w:t>
          </w:r>
          <w:r w:rsidR="00C74C12">
            <w:fldChar w:fldCharType="end"/>
          </w:r>
        </w:sdtContent>
      </w:sdt>
      <w:r w:rsidR="00DE35C2">
        <w:t>.</w:t>
      </w:r>
      <w:r w:rsidR="00C74C12">
        <w:t xml:space="preserve"> In this report we have selected the tata motors organisation and the automobile products are considered for performing the FMEA analysis and various strategies for improving the supply chain resilience</w:t>
      </w:r>
      <w:sdt>
        <w:sdtPr>
          <w:id w:val="-708649077"/>
          <w:citation/>
        </w:sdtPr>
        <w:sdtContent>
          <w:r w:rsidR="00C74C12">
            <w:fldChar w:fldCharType="begin"/>
          </w:r>
          <w:r w:rsidR="00C74C12">
            <w:instrText xml:space="preserve"> CITATION Sac19 \l 16393 </w:instrText>
          </w:r>
          <w:r w:rsidR="00C74C12">
            <w:fldChar w:fldCharType="separate"/>
          </w:r>
          <w:r w:rsidR="00C74C12">
            <w:rPr>
              <w:noProof/>
            </w:rPr>
            <w:t xml:space="preserve"> </w:t>
          </w:r>
          <w:r w:rsidR="00C74C12" w:rsidRPr="00C74C12">
            <w:rPr>
              <w:noProof/>
            </w:rPr>
            <w:t>(Sachin Bhimrao Khot, 2019)</w:t>
          </w:r>
          <w:r w:rsidR="00C74C12">
            <w:fldChar w:fldCharType="end"/>
          </w:r>
        </w:sdtContent>
      </w:sdt>
      <w:r w:rsidR="00C74C12">
        <w:t xml:space="preserve">. </w:t>
      </w:r>
    </w:p>
    <w:p w:rsidR="008D5A16" w:rsidRDefault="00891FB0" w:rsidP="0035054F">
      <w:pPr>
        <w:pStyle w:val="Heading1"/>
        <w:spacing w:line="360" w:lineRule="auto"/>
      </w:pPr>
      <w:bookmarkStart w:id="1" w:name="_Toc133658998"/>
      <w:r>
        <w:t>FMEA analysis</w:t>
      </w:r>
      <w:bookmarkEnd w:id="1"/>
    </w:p>
    <w:p w:rsidR="00DE35C2" w:rsidRDefault="00DE35C2" w:rsidP="0035054F">
      <w:pPr>
        <w:spacing w:line="360" w:lineRule="auto"/>
      </w:pPr>
      <w:r>
        <w:t xml:space="preserve">The most suitable approach used for analysing failure in an organisation and its services is achieved through risk assessment and failure mode and effect analysis (FMEA). For the purpose of satisfying the quality and safety objectives, it is necessary to </w:t>
      </w:r>
      <w:r w:rsidR="00D40C92">
        <w:t>analyse the FMEA process in a successful manner and also the risk assessment element has to be addressed on the sensitive areas. This technique is used for analysing failures in products and services of a company. this includes a step by step procedure for the purpose of evaluating the system and the potential modes of failure are identified</w:t>
      </w:r>
      <w:sdt>
        <w:sdtPr>
          <w:id w:val="1941329368"/>
          <w:citation/>
        </w:sdtPr>
        <w:sdtContent>
          <w:r w:rsidR="00C74C12">
            <w:fldChar w:fldCharType="begin"/>
          </w:r>
          <w:r w:rsidR="00C74C12">
            <w:instrText xml:space="preserve"> CITATION Kap18 \l 16393 </w:instrText>
          </w:r>
          <w:r w:rsidR="00C74C12">
            <w:fldChar w:fldCharType="separate"/>
          </w:r>
          <w:r w:rsidR="00C74C12">
            <w:rPr>
              <w:noProof/>
            </w:rPr>
            <w:t xml:space="preserve"> </w:t>
          </w:r>
          <w:r w:rsidR="00C74C12" w:rsidRPr="00C74C12">
            <w:rPr>
              <w:noProof/>
            </w:rPr>
            <w:t>(Kapil Dev Sharma, 2018)</w:t>
          </w:r>
          <w:r w:rsidR="00C74C12">
            <w:fldChar w:fldCharType="end"/>
          </w:r>
        </w:sdtContent>
      </w:sdt>
      <w:r w:rsidR="00D40C92">
        <w:t>. Based on these identified modes, it is recommended to eliminate them or mitigate them in an effective manner.</w:t>
      </w:r>
    </w:p>
    <w:p w:rsidR="00D40C92" w:rsidRDefault="00D40C92" w:rsidP="0035054F">
      <w:pPr>
        <w:pStyle w:val="Heading2"/>
        <w:spacing w:line="360" w:lineRule="auto"/>
      </w:pPr>
      <w:bookmarkStart w:id="2" w:name="_Toc133658999"/>
      <w:r>
        <w:t>Risk assessment strategy</w:t>
      </w:r>
      <w:bookmarkEnd w:id="2"/>
    </w:p>
    <w:p w:rsidR="00D40C92" w:rsidRDefault="00D40C92" w:rsidP="0035054F">
      <w:pPr>
        <w:spacing w:line="360" w:lineRule="auto"/>
      </w:pPr>
      <w:r>
        <w:t>As each and every step of the FMEA process is considered to be an important factor for analysing the risks in successful manner, it is very important for the improvement of products and services to determine the action plans. If the risk assessment method is not effective, this might result in ineffective method of reducing the risks. The risk of the failures that are identified during the FMEA analysis can be assessed by using risks in several ways. The most common used approaches of risk assessment are as follows.</w:t>
      </w:r>
    </w:p>
    <w:p w:rsidR="00D40C92" w:rsidRDefault="00D40C92" w:rsidP="0035054F">
      <w:pPr>
        <w:pStyle w:val="ListParagraph"/>
        <w:numPr>
          <w:ilvl w:val="0"/>
          <w:numId w:val="1"/>
        </w:numPr>
        <w:spacing w:line="360" w:lineRule="auto"/>
      </w:pPr>
      <w:r>
        <w:t>Risk priority number (RPN)</w:t>
      </w:r>
    </w:p>
    <w:p w:rsidR="00D40C92" w:rsidRDefault="00D40C92" w:rsidP="0035054F">
      <w:pPr>
        <w:pStyle w:val="ListParagraph"/>
        <w:numPr>
          <w:ilvl w:val="0"/>
          <w:numId w:val="1"/>
        </w:numPr>
        <w:spacing w:line="360" w:lineRule="auto"/>
      </w:pPr>
      <w:r>
        <w:lastRenderedPageBreak/>
        <w:t>Action priority</w:t>
      </w:r>
      <w:r w:rsidR="00EA487D">
        <w:t xml:space="preserve"> (AP)</w:t>
      </w:r>
    </w:p>
    <w:p w:rsidR="00EA487D" w:rsidRDefault="00EA487D" w:rsidP="0035054F">
      <w:pPr>
        <w:pStyle w:val="ListParagraph"/>
        <w:numPr>
          <w:ilvl w:val="0"/>
          <w:numId w:val="1"/>
        </w:numPr>
        <w:spacing w:line="360" w:lineRule="auto"/>
      </w:pPr>
      <w:r>
        <w:t xml:space="preserve">Criticality and </w:t>
      </w:r>
    </w:p>
    <w:p w:rsidR="00EA487D" w:rsidRDefault="00EA487D" w:rsidP="0035054F">
      <w:pPr>
        <w:pStyle w:val="ListParagraph"/>
        <w:numPr>
          <w:ilvl w:val="0"/>
          <w:numId w:val="1"/>
        </w:numPr>
        <w:spacing w:line="360" w:lineRule="auto"/>
      </w:pPr>
      <w:r>
        <w:t>Custom</w:t>
      </w:r>
    </w:p>
    <w:p w:rsidR="00EA487D" w:rsidRDefault="00EA487D" w:rsidP="0035054F">
      <w:pPr>
        <w:spacing w:line="360" w:lineRule="auto"/>
      </w:pPr>
      <w:r>
        <w:t>Risk priority number can be obtained as a product of severity, occurrence and detection and these values might range between 0 to 1000. The action priority might represent the level of risks as high, low or medium based on the results of severity, occurrence and detection. Based on the rate of failure in the system, operation time, probability of failure effect and severity the values for mode criticality and item criticality were computed. In most of the organisations, unique risk assessment methods has been developed on the basis of its requirements</w:t>
      </w:r>
      <w:sdt>
        <w:sdtPr>
          <w:id w:val="-1969198417"/>
          <w:citation/>
        </w:sdtPr>
        <w:sdtContent>
          <w:r w:rsidR="00491E3A">
            <w:fldChar w:fldCharType="begin"/>
          </w:r>
          <w:r w:rsidR="00491E3A">
            <w:instrText xml:space="preserve"> CITATION Zho21 \l 16393 </w:instrText>
          </w:r>
          <w:r w:rsidR="00491E3A">
            <w:fldChar w:fldCharType="separate"/>
          </w:r>
          <w:r w:rsidR="00491E3A">
            <w:rPr>
              <w:noProof/>
            </w:rPr>
            <w:t xml:space="preserve"> </w:t>
          </w:r>
          <w:r w:rsidR="00491E3A" w:rsidRPr="00491E3A">
            <w:rPr>
              <w:noProof/>
            </w:rPr>
            <w:t>(Zhongyi Wu, 2021)</w:t>
          </w:r>
          <w:r w:rsidR="00491E3A">
            <w:fldChar w:fldCharType="end"/>
          </w:r>
        </w:sdtContent>
      </w:sdt>
      <w:r>
        <w:t>. Based on the need of an organisation they can prefer any one of the risk assessment methods. in our FMEA analysis, we prefer the risk priority number (RPN) for assessing the risks in an effective and efficient manner.</w:t>
      </w:r>
    </w:p>
    <w:p w:rsidR="00EA487D" w:rsidRDefault="00EA487D" w:rsidP="0035054F">
      <w:pPr>
        <w:pStyle w:val="Heading2"/>
        <w:spacing w:line="360" w:lineRule="auto"/>
      </w:pPr>
      <w:bookmarkStart w:id="3" w:name="_Toc133659000"/>
      <w:r>
        <w:t>Risk priority number for risk assessment</w:t>
      </w:r>
      <w:bookmarkEnd w:id="3"/>
    </w:p>
    <w:p w:rsidR="00EA487D" w:rsidRDefault="00EA487D" w:rsidP="0035054F">
      <w:pPr>
        <w:spacing w:line="360" w:lineRule="auto"/>
      </w:pPr>
      <w:r>
        <w:t xml:space="preserve">The most commonly adopted technique for risk assessment is the use of RPN which is used in all the types of FMEA like Design, process and so on. This is used due to its easier understanding, </w:t>
      </w:r>
      <w:r w:rsidR="00B901E0">
        <w:t>effectiveness,</w:t>
      </w:r>
      <w:r>
        <w:t xml:space="preserve"> and longevity. Numerical results were provided by this approach which makes the risk assessment process</w:t>
      </w:r>
      <w:r w:rsidR="00B901E0">
        <w:t xml:space="preserve"> very intuitive. If the RPN value is high, then the risk is also very high and if it is low, the risk is low</w:t>
      </w:r>
      <w:sdt>
        <w:sdtPr>
          <w:id w:val="1504009004"/>
          <w:citation/>
        </w:sdtPr>
        <w:sdtContent>
          <w:r w:rsidR="00491E3A">
            <w:fldChar w:fldCharType="begin"/>
          </w:r>
          <w:r w:rsidR="00491E3A">
            <w:instrText xml:space="preserve"> CITATION Xia213 \l 16393 </w:instrText>
          </w:r>
          <w:r w:rsidR="00491E3A">
            <w:fldChar w:fldCharType="separate"/>
          </w:r>
          <w:r w:rsidR="00491E3A">
            <w:rPr>
              <w:noProof/>
            </w:rPr>
            <w:t xml:space="preserve"> </w:t>
          </w:r>
          <w:r w:rsidR="00491E3A" w:rsidRPr="00491E3A">
            <w:rPr>
              <w:noProof/>
            </w:rPr>
            <w:t>(Xiaojun Wu, 2021)</w:t>
          </w:r>
          <w:r w:rsidR="00491E3A">
            <w:fldChar w:fldCharType="end"/>
          </w:r>
        </w:sdtContent>
      </w:sdt>
      <w:r w:rsidR="00B901E0">
        <w:t>. In some organisations, certain rules were framed that no RPN can be higher than certain level which makes the risk assessing process very easier. RPN is calculated by using the three factors like severity, occurrence, and detection.</w:t>
      </w:r>
    </w:p>
    <w:p w:rsidR="00B901E0" w:rsidRDefault="00B901E0" w:rsidP="0035054F">
      <w:pPr>
        <w:spacing w:line="360" w:lineRule="auto"/>
        <w:jc w:val="center"/>
      </w:pPr>
      <w:r>
        <w:rPr>
          <w:noProof/>
        </w:rPr>
        <w:drawing>
          <wp:inline distT="0" distB="0" distL="0" distR="0">
            <wp:extent cx="5048250" cy="2069783"/>
            <wp:effectExtent l="0" t="0" r="0" b="6985"/>
            <wp:docPr id="24442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59064" cy="2074217"/>
                    </a:xfrm>
                    <a:prstGeom prst="rect">
                      <a:avLst/>
                    </a:prstGeom>
                    <a:noFill/>
                    <a:ln>
                      <a:noFill/>
                    </a:ln>
                  </pic:spPr>
                </pic:pic>
              </a:graphicData>
            </a:graphic>
          </wp:inline>
        </w:drawing>
      </w:r>
    </w:p>
    <w:p w:rsidR="0035054F" w:rsidRDefault="0035054F" w:rsidP="0035054F">
      <w:pPr>
        <w:spacing w:line="360" w:lineRule="auto"/>
        <w:jc w:val="center"/>
      </w:pPr>
      <w:r>
        <w:t>Figure 1. Risk assessment factors</w:t>
      </w:r>
      <w:sdt>
        <w:sdtPr>
          <w:id w:val="1692028252"/>
          <w:citation/>
        </w:sdtPr>
        <w:sdtContent>
          <w:r>
            <w:fldChar w:fldCharType="begin"/>
          </w:r>
          <w:r>
            <w:instrText xml:space="preserve"> CITATION Rel20 \l 16393 </w:instrText>
          </w:r>
          <w:r>
            <w:fldChar w:fldCharType="separate"/>
          </w:r>
          <w:r>
            <w:rPr>
              <w:noProof/>
            </w:rPr>
            <w:t xml:space="preserve"> </w:t>
          </w:r>
          <w:r w:rsidRPr="0035054F">
            <w:rPr>
              <w:noProof/>
            </w:rPr>
            <w:t>(Corporation, 2020)</w:t>
          </w:r>
          <w:r>
            <w:fldChar w:fldCharType="end"/>
          </w:r>
        </w:sdtContent>
      </w:sdt>
    </w:p>
    <w:p w:rsidR="00B901E0" w:rsidRDefault="00B901E0" w:rsidP="0035054F">
      <w:pPr>
        <w:pStyle w:val="ListParagraph"/>
        <w:numPr>
          <w:ilvl w:val="0"/>
          <w:numId w:val="3"/>
        </w:numPr>
        <w:spacing w:line="360" w:lineRule="auto"/>
      </w:pPr>
      <w:r>
        <w:lastRenderedPageBreak/>
        <w:t xml:space="preserve">Severity might represent the seriousness of the problems by focussing on its consequences. If the number is high, then the severity is also very high. </w:t>
      </w:r>
    </w:p>
    <w:p w:rsidR="00B901E0" w:rsidRDefault="00B901E0" w:rsidP="0035054F">
      <w:pPr>
        <w:pStyle w:val="ListParagraph"/>
        <w:numPr>
          <w:ilvl w:val="0"/>
          <w:numId w:val="3"/>
        </w:numPr>
        <w:spacing w:line="360" w:lineRule="auto"/>
      </w:pPr>
      <w:r>
        <w:t>Occurrences might represent the possibility of the issue to occur in the system. This requires all the potential causes of failure to be identified along with the chance of occurrence of those causes. If the number is high, the chance of risk occurrence is also very high.</w:t>
      </w:r>
    </w:p>
    <w:p w:rsidR="00006BC1" w:rsidRDefault="00B901E0" w:rsidP="0035054F">
      <w:pPr>
        <w:pStyle w:val="ListParagraph"/>
        <w:numPr>
          <w:ilvl w:val="0"/>
          <w:numId w:val="3"/>
        </w:numPr>
        <w:spacing w:line="360" w:lineRule="auto"/>
      </w:pPr>
      <w:r>
        <w:t>Detection might represent whether the identification of problem is easier or difficult. If the rating is high, the issue can be detected in less likely manner</w:t>
      </w:r>
      <w:sdt>
        <w:sdtPr>
          <w:id w:val="1950579749"/>
          <w:citation/>
        </w:sdtPr>
        <w:sdtContent>
          <w:r w:rsidR="00491E3A">
            <w:fldChar w:fldCharType="begin"/>
          </w:r>
          <w:r w:rsidR="00491E3A">
            <w:instrText xml:space="preserve"> CITATION Hbk22 \l 16393 </w:instrText>
          </w:r>
          <w:r w:rsidR="00491E3A">
            <w:fldChar w:fldCharType="separate"/>
          </w:r>
          <w:r w:rsidR="00491E3A">
            <w:rPr>
              <w:noProof/>
            </w:rPr>
            <w:t xml:space="preserve"> </w:t>
          </w:r>
          <w:r w:rsidR="00491E3A" w:rsidRPr="00491E3A">
            <w:rPr>
              <w:noProof/>
            </w:rPr>
            <w:t>(Hbk, 2022)</w:t>
          </w:r>
          <w:r w:rsidR="00491E3A">
            <w:fldChar w:fldCharType="end"/>
          </w:r>
        </w:sdtContent>
      </w:sdt>
      <w:r>
        <w:t>.</w:t>
      </w:r>
    </w:p>
    <w:p w:rsidR="00006BC1" w:rsidRDefault="00006BC1" w:rsidP="0035054F">
      <w:pPr>
        <w:spacing w:line="360" w:lineRule="auto"/>
      </w:pPr>
      <w:r>
        <w:t>RPN = Severity * Occurrence * Detection.</w:t>
      </w:r>
    </w:p>
    <w:p w:rsidR="00006BC1" w:rsidRDefault="00006BC1" w:rsidP="0035054F">
      <w:pPr>
        <w:spacing w:line="360" w:lineRule="auto"/>
      </w:pPr>
      <w:r>
        <w:t>It is analysed by using a 1 to 10 scale for each factor which might result in providing RPN values in the range of 1 to 1000.</w:t>
      </w:r>
    </w:p>
    <w:p w:rsidR="00006BC1" w:rsidRDefault="00006BC1" w:rsidP="0035054F">
      <w:pPr>
        <w:pStyle w:val="Heading2"/>
        <w:spacing w:line="360" w:lineRule="auto"/>
      </w:pPr>
      <w:bookmarkStart w:id="4" w:name="_Toc133659001"/>
      <w:r>
        <w:t>Severity rating scale</w:t>
      </w:r>
      <w:bookmarkEnd w:id="4"/>
    </w:p>
    <w:tbl>
      <w:tblPr>
        <w:tblStyle w:val="TableGrid"/>
        <w:tblW w:w="9164" w:type="dxa"/>
        <w:tblLook w:val="04A0" w:firstRow="1" w:lastRow="0" w:firstColumn="1" w:lastColumn="0" w:noHBand="0" w:noVBand="1"/>
      </w:tblPr>
      <w:tblGrid>
        <w:gridCol w:w="1056"/>
        <w:gridCol w:w="8108"/>
      </w:tblGrid>
      <w:tr w:rsidR="00006BC1" w:rsidTr="0035054F">
        <w:trPr>
          <w:trHeight w:val="447"/>
        </w:trPr>
        <w:tc>
          <w:tcPr>
            <w:tcW w:w="1032" w:type="dxa"/>
          </w:tcPr>
          <w:p w:rsidR="00006BC1" w:rsidRPr="0035054F" w:rsidRDefault="00006BC1" w:rsidP="0035054F">
            <w:pPr>
              <w:spacing w:line="360" w:lineRule="auto"/>
              <w:rPr>
                <w:b/>
                <w:bCs/>
              </w:rPr>
            </w:pPr>
            <w:r w:rsidRPr="0035054F">
              <w:rPr>
                <w:b/>
                <w:bCs/>
              </w:rPr>
              <w:t>Severity</w:t>
            </w:r>
          </w:p>
        </w:tc>
        <w:tc>
          <w:tcPr>
            <w:tcW w:w="8132" w:type="dxa"/>
          </w:tcPr>
          <w:p w:rsidR="00006BC1" w:rsidRPr="0035054F" w:rsidRDefault="00006BC1" w:rsidP="0035054F">
            <w:pPr>
              <w:spacing w:line="360" w:lineRule="auto"/>
              <w:rPr>
                <w:b/>
                <w:bCs/>
              </w:rPr>
            </w:pPr>
            <w:r w:rsidRPr="0035054F">
              <w:rPr>
                <w:b/>
                <w:bCs/>
              </w:rPr>
              <w:t xml:space="preserve">Description </w:t>
            </w:r>
          </w:p>
        </w:tc>
      </w:tr>
      <w:tr w:rsidR="00006BC1" w:rsidTr="0035054F">
        <w:trPr>
          <w:trHeight w:val="894"/>
        </w:trPr>
        <w:tc>
          <w:tcPr>
            <w:tcW w:w="1032" w:type="dxa"/>
          </w:tcPr>
          <w:p w:rsidR="00006BC1" w:rsidRDefault="00006BC1" w:rsidP="0035054F">
            <w:pPr>
              <w:spacing w:line="360" w:lineRule="auto"/>
            </w:pPr>
            <w:r>
              <w:t>10</w:t>
            </w:r>
          </w:p>
        </w:tc>
        <w:tc>
          <w:tcPr>
            <w:tcW w:w="8132" w:type="dxa"/>
          </w:tcPr>
          <w:p w:rsidR="00006BC1" w:rsidRDefault="00006BC1" w:rsidP="0035054F">
            <w:pPr>
              <w:spacing w:line="360" w:lineRule="auto"/>
            </w:pPr>
            <w:r>
              <w:t>Safe vehicle operations are affected by potential failure modes</w:t>
            </w:r>
            <w:r w:rsidR="005D6F33">
              <w:t xml:space="preserve"> and t</w:t>
            </w:r>
            <w:r>
              <w:t>his involves non-compliance with the regulations of government without any warning.</w:t>
            </w:r>
          </w:p>
        </w:tc>
      </w:tr>
      <w:tr w:rsidR="005D6F33" w:rsidTr="0035054F">
        <w:trPr>
          <w:trHeight w:val="894"/>
        </w:trPr>
        <w:tc>
          <w:tcPr>
            <w:tcW w:w="1032" w:type="dxa"/>
          </w:tcPr>
          <w:p w:rsidR="005D6F33" w:rsidRDefault="005D6F33" w:rsidP="0035054F">
            <w:pPr>
              <w:spacing w:line="360" w:lineRule="auto"/>
            </w:pPr>
            <w:r>
              <w:t>9</w:t>
            </w:r>
          </w:p>
        </w:tc>
        <w:tc>
          <w:tcPr>
            <w:tcW w:w="8132" w:type="dxa"/>
          </w:tcPr>
          <w:p w:rsidR="005D6F33" w:rsidRDefault="005D6F33" w:rsidP="0035054F">
            <w:pPr>
              <w:spacing w:line="360" w:lineRule="auto"/>
            </w:pPr>
            <w:r>
              <w:t>Safe vehicle operations are affected by potential failure modes and this involves non-compliance with the regulations of government with warning.</w:t>
            </w:r>
          </w:p>
        </w:tc>
      </w:tr>
      <w:tr w:rsidR="005D6F33" w:rsidTr="0035054F">
        <w:trPr>
          <w:trHeight w:val="894"/>
        </w:trPr>
        <w:tc>
          <w:tcPr>
            <w:tcW w:w="1032" w:type="dxa"/>
          </w:tcPr>
          <w:p w:rsidR="005D6F33" w:rsidRDefault="005D6F33" w:rsidP="0035054F">
            <w:pPr>
              <w:spacing w:line="360" w:lineRule="auto"/>
            </w:pPr>
            <w:r>
              <w:t>8</w:t>
            </w:r>
          </w:p>
        </w:tc>
        <w:tc>
          <w:tcPr>
            <w:tcW w:w="8132" w:type="dxa"/>
          </w:tcPr>
          <w:p w:rsidR="005D6F33" w:rsidRDefault="005D6F33" w:rsidP="0035054F">
            <w:pPr>
              <w:spacing w:line="360" w:lineRule="auto"/>
            </w:pPr>
            <w:r>
              <w:t xml:space="preserve">Primary functions are lost in which the inoperable vehicle might not affect the vehicle operation in safe manner </w:t>
            </w:r>
          </w:p>
        </w:tc>
      </w:tr>
      <w:tr w:rsidR="005D6F33" w:rsidTr="0035054F">
        <w:trPr>
          <w:trHeight w:val="894"/>
        </w:trPr>
        <w:tc>
          <w:tcPr>
            <w:tcW w:w="1032" w:type="dxa"/>
          </w:tcPr>
          <w:p w:rsidR="005D6F33" w:rsidRDefault="005D6F33" w:rsidP="0035054F">
            <w:pPr>
              <w:spacing w:line="360" w:lineRule="auto"/>
            </w:pPr>
            <w:r>
              <w:t>7</w:t>
            </w:r>
          </w:p>
        </w:tc>
        <w:tc>
          <w:tcPr>
            <w:tcW w:w="8132" w:type="dxa"/>
          </w:tcPr>
          <w:p w:rsidR="005D6F33" w:rsidRDefault="005D6F33" w:rsidP="0035054F">
            <w:pPr>
              <w:spacing w:line="360" w:lineRule="auto"/>
            </w:pPr>
            <w:r>
              <w:t>Primary functions are degraded in which the operable vehicle might have performance at low level.</w:t>
            </w:r>
          </w:p>
        </w:tc>
      </w:tr>
      <w:tr w:rsidR="005D6F33" w:rsidTr="0035054F">
        <w:trPr>
          <w:trHeight w:val="894"/>
        </w:trPr>
        <w:tc>
          <w:tcPr>
            <w:tcW w:w="1032" w:type="dxa"/>
          </w:tcPr>
          <w:p w:rsidR="005D6F33" w:rsidRDefault="005D6F33" w:rsidP="0035054F">
            <w:pPr>
              <w:spacing w:line="360" w:lineRule="auto"/>
            </w:pPr>
            <w:r>
              <w:t>6</w:t>
            </w:r>
          </w:p>
        </w:tc>
        <w:tc>
          <w:tcPr>
            <w:tcW w:w="8132" w:type="dxa"/>
          </w:tcPr>
          <w:p w:rsidR="005D6F33" w:rsidRDefault="005D6F33" w:rsidP="0035054F">
            <w:pPr>
              <w:spacing w:line="360" w:lineRule="auto"/>
            </w:pPr>
            <w:r>
              <w:t xml:space="preserve">Secondary functions are lost in which the operable vehicle along with the </w:t>
            </w:r>
            <w:r w:rsidR="001B35F9">
              <w:t>inoperable</w:t>
            </w:r>
            <w:r>
              <w:t xml:space="preserve"> convenience functions</w:t>
            </w:r>
            <w:r w:rsidR="001B35F9">
              <w:t>.</w:t>
            </w:r>
          </w:p>
        </w:tc>
      </w:tr>
      <w:tr w:rsidR="005D6F33" w:rsidTr="0035054F">
        <w:trPr>
          <w:trHeight w:val="894"/>
        </w:trPr>
        <w:tc>
          <w:tcPr>
            <w:tcW w:w="1032" w:type="dxa"/>
          </w:tcPr>
          <w:p w:rsidR="005D6F33" w:rsidRDefault="005D6F33" w:rsidP="0035054F">
            <w:pPr>
              <w:spacing w:line="360" w:lineRule="auto"/>
            </w:pPr>
            <w:r>
              <w:t>5</w:t>
            </w:r>
          </w:p>
        </w:tc>
        <w:tc>
          <w:tcPr>
            <w:tcW w:w="8132" w:type="dxa"/>
          </w:tcPr>
          <w:p w:rsidR="005D6F33" w:rsidRDefault="001B35F9" w:rsidP="0035054F">
            <w:pPr>
              <w:spacing w:line="360" w:lineRule="auto"/>
            </w:pPr>
            <w:r>
              <w:t>Secondary functions are degraded in which the operable vehicle along with the reduced performance level in convenience functions.</w:t>
            </w:r>
          </w:p>
        </w:tc>
      </w:tr>
      <w:tr w:rsidR="005D6F33" w:rsidTr="0035054F">
        <w:trPr>
          <w:trHeight w:val="894"/>
        </w:trPr>
        <w:tc>
          <w:tcPr>
            <w:tcW w:w="1032" w:type="dxa"/>
          </w:tcPr>
          <w:p w:rsidR="005D6F33" w:rsidRDefault="005D6F33" w:rsidP="0035054F">
            <w:pPr>
              <w:spacing w:line="360" w:lineRule="auto"/>
            </w:pPr>
            <w:r>
              <w:t>4</w:t>
            </w:r>
          </w:p>
        </w:tc>
        <w:tc>
          <w:tcPr>
            <w:tcW w:w="8132" w:type="dxa"/>
          </w:tcPr>
          <w:p w:rsidR="005D6F33" w:rsidRDefault="001B35F9" w:rsidP="0035054F">
            <w:pPr>
              <w:spacing w:line="360" w:lineRule="auto"/>
            </w:pPr>
            <w:r>
              <w:t>The audible noise, operable vehicles, does not confirm the item and it is noticed by most customers above 75%</w:t>
            </w:r>
          </w:p>
        </w:tc>
      </w:tr>
      <w:tr w:rsidR="005D6F33" w:rsidTr="0035054F">
        <w:trPr>
          <w:trHeight w:val="894"/>
        </w:trPr>
        <w:tc>
          <w:tcPr>
            <w:tcW w:w="1032" w:type="dxa"/>
          </w:tcPr>
          <w:p w:rsidR="005D6F33" w:rsidRDefault="005D6F33" w:rsidP="0035054F">
            <w:pPr>
              <w:spacing w:line="360" w:lineRule="auto"/>
            </w:pPr>
            <w:r>
              <w:t>3</w:t>
            </w:r>
          </w:p>
        </w:tc>
        <w:tc>
          <w:tcPr>
            <w:tcW w:w="8132" w:type="dxa"/>
          </w:tcPr>
          <w:p w:rsidR="005D6F33" w:rsidRDefault="001B35F9" w:rsidP="0035054F">
            <w:pPr>
              <w:spacing w:line="360" w:lineRule="auto"/>
            </w:pPr>
            <w:r>
              <w:t>The audible noise, operable vehicles, does not confirm the item and it is noticed by many customers nearly 50%</w:t>
            </w:r>
          </w:p>
        </w:tc>
      </w:tr>
      <w:tr w:rsidR="005D6F33" w:rsidTr="0035054F">
        <w:trPr>
          <w:trHeight w:val="894"/>
        </w:trPr>
        <w:tc>
          <w:tcPr>
            <w:tcW w:w="1032" w:type="dxa"/>
          </w:tcPr>
          <w:p w:rsidR="005D6F33" w:rsidRDefault="005D6F33" w:rsidP="0035054F">
            <w:pPr>
              <w:spacing w:line="360" w:lineRule="auto"/>
            </w:pPr>
            <w:r>
              <w:lastRenderedPageBreak/>
              <w:t>2</w:t>
            </w:r>
          </w:p>
        </w:tc>
        <w:tc>
          <w:tcPr>
            <w:tcW w:w="8132" w:type="dxa"/>
          </w:tcPr>
          <w:p w:rsidR="005D6F33" w:rsidRDefault="001B35F9" w:rsidP="0035054F">
            <w:pPr>
              <w:spacing w:line="360" w:lineRule="auto"/>
            </w:pPr>
            <w:r>
              <w:t>The audible noise, operable vehicles, does not confirm the item and it is noticed by discriminating customers below 25%</w:t>
            </w:r>
          </w:p>
        </w:tc>
      </w:tr>
      <w:tr w:rsidR="005D6F33" w:rsidTr="0035054F">
        <w:trPr>
          <w:trHeight w:val="447"/>
        </w:trPr>
        <w:tc>
          <w:tcPr>
            <w:tcW w:w="1032" w:type="dxa"/>
          </w:tcPr>
          <w:p w:rsidR="005D6F33" w:rsidRDefault="005D6F33" w:rsidP="0035054F">
            <w:pPr>
              <w:spacing w:line="360" w:lineRule="auto"/>
            </w:pPr>
            <w:r>
              <w:t>1</w:t>
            </w:r>
          </w:p>
        </w:tc>
        <w:tc>
          <w:tcPr>
            <w:tcW w:w="8132" w:type="dxa"/>
          </w:tcPr>
          <w:p w:rsidR="005D6F33" w:rsidRDefault="001B35F9" w:rsidP="0035054F">
            <w:pPr>
              <w:spacing w:line="360" w:lineRule="auto"/>
            </w:pPr>
            <w:r>
              <w:t>Discernible effect is absent.</w:t>
            </w:r>
          </w:p>
        </w:tc>
      </w:tr>
    </w:tbl>
    <w:p w:rsidR="00B901E0" w:rsidRDefault="00B901E0" w:rsidP="0035054F">
      <w:pPr>
        <w:spacing w:line="360" w:lineRule="auto"/>
      </w:pPr>
      <w:r>
        <w:t xml:space="preserve"> </w:t>
      </w:r>
    </w:p>
    <w:p w:rsidR="00B901E0" w:rsidRDefault="001B35F9" w:rsidP="0035054F">
      <w:pPr>
        <w:pStyle w:val="Heading2"/>
        <w:spacing w:line="360" w:lineRule="auto"/>
      </w:pPr>
      <w:bookmarkStart w:id="5" w:name="_Toc133659002"/>
      <w:r>
        <w:t>Occurrence rating scale</w:t>
      </w:r>
      <w:bookmarkEnd w:id="5"/>
    </w:p>
    <w:tbl>
      <w:tblPr>
        <w:tblStyle w:val="TableGrid"/>
        <w:tblW w:w="9405" w:type="dxa"/>
        <w:tblLook w:val="04A0" w:firstRow="1" w:lastRow="0" w:firstColumn="1" w:lastColumn="0" w:noHBand="0" w:noVBand="1"/>
      </w:tblPr>
      <w:tblGrid>
        <w:gridCol w:w="1411"/>
        <w:gridCol w:w="7994"/>
      </w:tblGrid>
      <w:tr w:rsidR="001B35F9" w:rsidTr="0035054F">
        <w:trPr>
          <w:trHeight w:val="456"/>
        </w:trPr>
        <w:tc>
          <w:tcPr>
            <w:tcW w:w="1379" w:type="dxa"/>
          </w:tcPr>
          <w:p w:rsidR="001B35F9" w:rsidRPr="0035054F" w:rsidRDefault="001B35F9" w:rsidP="0035054F">
            <w:pPr>
              <w:spacing w:line="360" w:lineRule="auto"/>
              <w:rPr>
                <w:b/>
                <w:bCs/>
              </w:rPr>
            </w:pPr>
            <w:r w:rsidRPr="0035054F">
              <w:rPr>
                <w:b/>
                <w:bCs/>
              </w:rPr>
              <w:t>Occurrence</w:t>
            </w:r>
          </w:p>
        </w:tc>
        <w:tc>
          <w:tcPr>
            <w:tcW w:w="8026" w:type="dxa"/>
          </w:tcPr>
          <w:p w:rsidR="001B35F9" w:rsidRPr="0035054F" w:rsidRDefault="001B35F9" w:rsidP="0035054F">
            <w:pPr>
              <w:spacing w:line="360" w:lineRule="auto"/>
              <w:rPr>
                <w:b/>
                <w:bCs/>
              </w:rPr>
            </w:pPr>
            <w:r w:rsidRPr="0035054F">
              <w:rPr>
                <w:b/>
                <w:bCs/>
              </w:rPr>
              <w:t>Description</w:t>
            </w:r>
          </w:p>
        </w:tc>
      </w:tr>
      <w:tr w:rsidR="001B35F9" w:rsidTr="0035054F">
        <w:trPr>
          <w:trHeight w:val="456"/>
        </w:trPr>
        <w:tc>
          <w:tcPr>
            <w:tcW w:w="1379" w:type="dxa"/>
          </w:tcPr>
          <w:p w:rsidR="001B35F9" w:rsidRDefault="001B35F9" w:rsidP="0035054F">
            <w:pPr>
              <w:spacing w:line="360" w:lineRule="auto"/>
            </w:pPr>
            <w:r>
              <w:t>10</w:t>
            </w:r>
          </w:p>
        </w:tc>
        <w:tc>
          <w:tcPr>
            <w:tcW w:w="8026" w:type="dxa"/>
          </w:tcPr>
          <w:p w:rsidR="001B35F9" w:rsidRDefault="001B35F9" w:rsidP="0035054F">
            <w:pPr>
              <w:spacing w:line="360" w:lineRule="auto"/>
            </w:pPr>
            <w:r>
              <w:t>No history of new designs and new technologies</w:t>
            </w:r>
          </w:p>
        </w:tc>
      </w:tr>
      <w:tr w:rsidR="001B35F9" w:rsidTr="0035054F">
        <w:trPr>
          <w:trHeight w:val="912"/>
        </w:trPr>
        <w:tc>
          <w:tcPr>
            <w:tcW w:w="1379" w:type="dxa"/>
          </w:tcPr>
          <w:p w:rsidR="001B35F9" w:rsidRDefault="001B35F9" w:rsidP="0035054F">
            <w:pPr>
              <w:spacing w:line="360" w:lineRule="auto"/>
            </w:pPr>
            <w:r>
              <w:t>9</w:t>
            </w:r>
          </w:p>
        </w:tc>
        <w:tc>
          <w:tcPr>
            <w:tcW w:w="8026" w:type="dxa"/>
          </w:tcPr>
          <w:p w:rsidR="001B35F9" w:rsidRDefault="001B35F9" w:rsidP="0035054F">
            <w:pPr>
              <w:spacing w:line="360" w:lineRule="auto"/>
            </w:pPr>
            <w:r>
              <w:t>Inevitable failure with new design, and application or changes in the operating conditions of duty cycle.</w:t>
            </w:r>
          </w:p>
        </w:tc>
      </w:tr>
      <w:tr w:rsidR="001B35F9" w:rsidTr="0035054F">
        <w:trPr>
          <w:trHeight w:val="912"/>
        </w:trPr>
        <w:tc>
          <w:tcPr>
            <w:tcW w:w="1379" w:type="dxa"/>
          </w:tcPr>
          <w:p w:rsidR="001B35F9" w:rsidRDefault="001B35F9" w:rsidP="0035054F">
            <w:pPr>
              <w:spacing w:line="360" w:lineRule="auto"/>
            </w:pPr>
            <w:r>
              <w:t>8</w:t>
            </w:r>
          </w:p>
        </w:tc>
        <w:tc>
          <w:tcPr>
            <w:tcW w:w="8026" w:type="dxa"/>
          </w:tcPr>
          <w:p w:rsidR="001B35F9" w:rsidRDefault="00D26B5F" w:rsidP="0035054F">
            <w:pPr>
              <w:spacing w:line="360" w:lineRule="auto"/>
            </w:pPr>
            <w:r>
              <w:t>Likely failure with new design, and application or changes in the operating conditions of duty cycle.</w:t>
            </w:r>
          </w:p>
        </w:tc>
      </w:tr>
      <w:tr w:rsidR="001B35F9" w:rsidTr="0035054F">
        <w:trPr>
          <w:trHeight w:val="912"/>
        </w:trPr>
        <w:tc>
          <w:tcPr>
            <w:tcW w:w="1379" w:type="dxa"/>
          </w:tcPr>
          <w:p w:rsidR="001B35F9" w:rsidRDefault="001B35F9" w:rsidP="0035054F">
            <w:pPr>
              <w:spacing w:line="360" w:lineRule="auto"/>
            </w:pPr>
            <w:r>
              <w:t>7</w:t>
            </w:r>
          </w:p>
        </w:tc>
        <w:tc>
          <w:tcPr>
            <w:tcW w:w="8026" w:type="dxa"/>
          </w:tcPr>
          <w:p w:rsidR="001B35F9" w:rsidRDefault="00D26B5F" w:rsidP="0035054F">
            <w:pPr>
              <w:spacing w:line="360" w:lineRule="auto"/>
            </w:pPr>
            <w:r>
              <w:t>Uncertain failure with new design, and application or changes in the operating conditions of duty cycle.</w:t>
            </w:r>
          </w:p>
        </w:tc>
      </w:tr>
      <w:tr w:rsidR="001B35F9" w:rsidTr="0035054F">
        <w:trPr>
          <w:trHeight w:val="912"/>
        </w:trPr>
        <w:tc>
          <w:tcPr>
            <w:tcW w:w="1379" w:type="dxa"/>
          </w:tcPr>
          <w:p w:rsidR="001B35F9" w:rsidRDefault="001B35F9" w:rsidP="0035054F">
            <w:pPr>
              <w:spacing w:line="360" w:lineRule="auto"/>
            </w:pPr>
            <w:r>
              <w:t>6</w:t>
            </w:r>
          </w:p>
        </w:tc>
        <w:tc>
          <w:tcPr>
            <w:tcW w:w="8026" w:type="dxa"/>
          </w:tcPr>
          <w:p w:rsidR="001B35F9" w:rsidRDefault="00D26B5F" w:rsidP="0035054F">
            <w:pPr>
              <w:spacing w:line="360" w:lineRule="auto"/>
            </w:pPr>
            <w:r>
              <w:t>Failures are frequent and are associated with similar designs or in the simulation and testing design</w:t>
            </w:r>
          </w:p>
        </w:tc>
      </w:tr>
      <w:tr w:rsidR="001B35F9" w:rsidTr="0035054F">
        <w:trPr>
          <w:trHeight w:val="912"/>
        </w:trPr>
        <w:tc>
          <w:tcPr>
            <w:tcW w:w="1379" w:type="dxa"/>
          </w:tcPr>
          <w:p w:rsidR="001B35F9" w:rsidRDefault="001B35F9" w:rsidP="0035054F">
            <w:pPr>
              <w:spacing w:line="360" w:lineRule="auto"/>
            </w:pPr>
            <w:r>
              <w:t>5</w:t>
            </w:r>
          </w:p>
        </w:tc>
        <w:tc>
          <w:tcPr>
            <w:tcW w:w="8026" w:type="dxa"/>
          </w:tcPr>
          <w:p w:rsidR="001B35F9" w:rsidRDefault="00D26B5F" w:rsidP="0035054F">
            <w:pPr>
              <w:spacing w:line="360" w:lineRule="auto"/>
            </w:pPr>
            <w:r>
              <w:t>Failures are occasional and are associated with similar designs or in the simulation and testing design</w:t>
            </w:r>
          </w:p>
        </w:tc>
      </w:tr>
      <w:tr w:rsidR="001B35F9" w:rsidTr="0035054F">
        <w:trPr>
          <w:trHeight w:val="912"/>
        </w:trPr>
        <w:tc>
          <w:tcPr>
            <w:tcW w:w="1379" w:type="dxa"/>
          </w:tcPr>
          <w:p w:rsidR="001B35F9" w:rsidRDefault="001B35F9" w:rsidP="0035054F">
            <w:pPr>
              <w:spacing w:line="360" w:lineRule="auto"/>
            </w:pPr>
            <w:r>
              <w:t>4</w:t>
            </w:r>
          </w:p>
        </w:tc>
        <w:tc>
          <w:tcPr>
            <w:tcW w:w="8026" w:type="dxa"/>
          </w:tcPr>
          <w:p w:rsidR="001B35F9" w:rsidRDefault="00D26B5F" w:rsidP="0035054F">
            <w:pPr>
              <w:spacing w:line="360" w:lineRule="auto"/>
            </w:pPr>
            <w:r>
              <w:t>Failures are isolated and are associated with similar designs or in the simulation and testing design</w:t>
            </w:r>
          </w:p>
        </w:tc>
      </w:tr>
      <w:tr w:rsidR="001B35F9" w:rsidTr="0035054F">
        <w:trPr>
          <w:trHeight w:val="912"/>
        </w:trPr>
        <w:tc>
          <w:tcPr>
            <w:tcW w:w="1379" w:type="dxa"/>
          </w:tcPr>
          <w:p w:rsidR="001B35F9" w:rsidRDefault="001B35F9" w:rsidP="0035054F">
            <w:pPr>
              <w:spacing w:line="360" w:lineRule="auto"/>
            </w:pPr>
            <w:r>
              <w:t>3</w:t>
            </w:r>
          </w:p>
        </w:tc>
        <w:tc>
          <w:tcPr>
            <w:tcW w:w="8026" w:type="dxa"/>
          </w:tcPr>
          <w:p w:rsidR="001B35F9" w:rsidRDefault="00D26B5F" w:rsidP="0035054F">
            <w:pPr>
              <w:spacing w:line="360" w:lineRule="auto"/>
            </w:pPr>
            <w:r>
              <w:t>Isolated failures are only associated with identical design or in the simulation and testing design.</w:t>
            </w:r>
          </w:p>
        </w:tc>
      </w:tr>
      <w:tr w:rsidR="001B35F9" w:rsidTr="0035054F">
        <w:trPr>
          <w:trHeight w:val="912"/>
        </w:trPr>
        <w:tc>
          <w:tcPr>
            <w:tcW w:w="1379" w:type="dxa"/>
          </w:tcPr>
          <w:p w:rsidR="001B35F9" w:rsidRDefault="001B35F9" w:rsidP="0035054F">
            <w:pPr>
              <w:spacing w:line="360" w:lineRule="auto"/>
            </w:pPr>
            <w:r>
              <w:t>2</w:t>
            </w:r>
          </w:p>
        </w:tc>
        <w:tc>
          <w:tcPr>
            <w:tcW w:w="8026" w:type="dxa"/>
          </w:tcPr>
          <w:p w:rsidR="001B35F9" w:rsidRDefault="00D26B5F" w:rsidP="0035054F">
            <w:pPr>
              <w:spacing w:line="360" w:lineRule="auto"/>
            </w:pPr>
            <w:r>
              <w:t>No failures are observed associated with identical design or in the simulation and testing design.</w:t>
            </w:r>
          </w:p>
        </w:tc>
      </w:tr>
      <w:tr w:rsidR="001B35F9" w:rsidTr="0035054F">
        <w:trPr>
          <w:trHeight w:val="456"/>
        </w:trPr>
        <w:tc>
          <w:tcPr>
            <w:tcW w:w="1379" w:type="dxa"/>
          </w:tcPr>
          <w:p w:rsidR="001B35F9" w:rsidRDefault="001B35F9" w:rsidP="0035054F">
            <w:pPr>
              <w:spacing w:line="360" w:lineRule="auto"/>
            </w:pPr>
            <w:r>
              <w:t>1</w:t>
            </w:r>
          </w:p>
        </w:tc>
        <w:tc>
          <w:tcPr>
            <w:tcW w:w="8026" w:type="dxa"/>
          </w:tcPr>
          <w:p w:rsidR="001B35F9" w:rsidRDefault="00D26B5F" w:rsidP="0035054F">
            <w:pPr>
              <w:spacing w:line="360" w:lineRule="auto"/>
            </w:pPr>
            <w:r>
              <w:t>Failure can be eliminated by using preventive controls.</w:t>
            </w:r>
          </w:p>
        </w:tc>
      </w:tr>
    </w:tbl>
    <w:p w:rsidR="001B35F9" w:rsidRDefault="001B35F9" w:rsidP="0035054F">
      <w:pPr>
        <w:spacing w:line="360" w:lineRule="auto"/>
      </w:pPr>
    </w:p>
    <w:p w:rsidR="00D26B5F" w:rsidRDefault="00D26B5F" w:rsidP="0035054F">
      <w:pPr>
        <w:pStyle w:val="Heading2"/>
        <w:spacing w:line="360" w:lineRule="auto"/>
      </w:pPr>
      <w:bookmarkStart w:id="6" w:name="_Toc133659003"/>
      <w:r>
        <w:t>Detection rating scale</w:t>
      </w:r>
      <w:bookmarkEnd w:id="6"/>
    </w:p>
    <w:tbl>
      <w:tblPr>
        <w:tblStyle w:val="TableGrid"/>
        <w:tblW w:w="9162" w:type="dxa"/>
        <w:tblLook w:val="04A0" w:firstRow="1" w:lastRow="0" w:firstColumn="1" w:lastColumn="0" w:noHBand="0" w:noVBand="1"/>
      </w:tblPr>
      <w:tblGrid>
        <w:gridCol w:w="1221"/>
        <w:gridCol w:w="7941"/>
      </w:tblGrid>
      <w:tr w:rsidR="00D26B5F" w:rsidTr="004837A0">
        <w:trPr>
          <w:trHeight w:val="140"/>
        </w:trPr>
        <w:tc>
          <w:tcPr>
            <w:tcW w:w="1221" w:type="dxa"/>
          </w:tcPr>
          <w:p w:rsidR="00D26B5F" w:rsidRPr="0035054F" w:rsidRDefault="00D26B5F" w:rsidP="0035054F">
            <w:pPr>
              <w:spacing w:line="360" w:lineRule="auto"/>
              <w:rPr>
                <w:b/>
                <w:bCs/>
              </w:rPr>
            </w:pPr>
            <w:r w:rsidRPr="0035054F">
              <w:rPr>
                <w:b/>
                <w:bCs/>
              </w:rPr>
              <w:t>Detection</w:t>
            </w:r>
          </w:p>
        </w:tc>
        <w:tc>
          <w:tcPr>
            <w:tcW w:w="7941" w:type="dxa"/>
          </w:tcPr>
          <w:p w:rsidR="00D26B5F" w:rsidRPr="0035054F" w:rsidRDefault="00D26B5F" w:rsidP="0035054F">
            <w:pPr>
              <w:spacing w:line="360" w:lineRule="auto"/>
              <w:rPr>
                <w:b/>
                <w:bCs/>
              </w:rPr>
            </w:pPr>
            <w:r w:rsidRPr="0035054F">
              <w:rPr>
                <w:b/>
                <w:bCs/>
              </w:rPr>
              <w:t xml:space="preserve">Description </w:t>
            </w:r>
          </w:p>
        </w:tc>
      </w:tr>
      <w:tr w:rsidR="00D26B5F" w:rsidTr="004837A0">
        <w:trPr>
          <w:trHeight w:val="140"/>
        </w:trPr>
        <w:tc>
          <w:tcPr>
            <w:tcW w:w="1221" w:type="dxa"/>
          </w:tcPr>
          <w:p w:rsidR="00D26B5F" w:rsidRDefault="00D26B5F" w:rsidP="0035054F">
            <w:pPr>
              <w:spacing w:line="360" w:lineRule="auto"/>
            </w:pPr>
            <w:r>
              <w:t>10</w:t>
            </w:r>
          </w:p>
        </w:tc>
        <w:tc>
          <w:tcPr>
            <w:tcW w:w="7941" w:type="dxa"/>
          </w:tcPr>
          <w:p w:rsidR="00D26B5F" w:rsidRDefault="00D26B5F" w:rsidP="0035054F">
            <w:pPr>
              <w:spacing w:line="360" w:lineRule="auto"/>
            </w:pPr>
            <w:r>
              <w:t>Cannot be detected or is not being analysed; no current design control.</w:t>
            </w:r>
          </w:p>
        </w:tc>
      </w:tr>
      <w:tr w:rsidR="00D26B5F" w:rsidTr="004837A0">
        <w:trPr>
          <w:trHeight w:val="424"/>
        </w:trPr>
        <w:tc>
          <w:tcPr>
            <w:tcW w:w="1221" w:type="dxa"/>
          </w:tcPr>
          <w:p w:rsidR="00D26B5F" w:rsidRDefault="00D26B5F" w:rsidP="0035054F">
            <w:pPr>
              <w:spacing w:line="360" w:lineRule="auto"/>
            </w:pPr>
            <w:r>
              <w:lastRenderedPageBreak/>
              <w:t>9</w:t>
            </w:r>
          </w:p>
        </w:tc>
        <w:tc>
          <w:tcPr>
            <w:tcW w:w="7941" w:type="dxa"/>
          </w:tcPr>
          <w:p w:rsidR="00D26B5F" w:rsidRDefault="00D26B5F" w:rsidP="0035054F">
            <w:pPr>
              <w:spacing w:line="360" w:lineRule="auto"/>
            </w:pPr>
            <w:r>
              <w:t>Controls for design analysis and detection have poor detection capabilities, and virtual analysis (such as CAE, FEA, etc.) is not associated with anticipated actual operating circumstances.</w:t>
            </w:r>
          </w:p>
        </w:tc>
      </w:tr>
      <w:tr w:rsidR="00D26B5F" w:rsidTr="004837A0">
        <w:trPr>
          <w:trHeight w:val="474"/>
        </w:trPr>
        <w:tc>
          <w:tcPr>
            <w:tcW w:w="1221" w:type="dxa"/>
          </w:tcPr>
          <w:p w:rsidR="00D26B5F" w:rsidRDefault="00D26B5F" w:rsidP="0035054F">
            <w:pPr>
              <w:spacing w:line="360" w:lineRule="auto"/>
            </w:pPr>
            <w:r>
              <w:t>8</w:t>
            </w:r>
          </w:p>
        </w:tc>
        <w:tc>
          <w:tcPr>
            <w:tcW w:w="7941" w:type="dxa"/>
          </w:tcPr>
          <w:p w:rsidR="00D26B5F" w:rsidRPr="00D26B5F" w:rsidRDefault="00D26B5F" w:rsidP="0035054F">
            <w:pPr>
              <w:spacing w:after="160" w:line="360" w:lineRule="auto"/>
            </w:pPr>
            <w:r>
              <w:t>Pass/Fail testing for product validation/verification following the design freeze and before the product is released (subsystem or system testing with acceptance criteria like ride and handling, shipment evaluation, etc.).</w:t>
            </w:r>
          </w:p>
        </w:tc>
      </w:tr>
      <w:tr w:rsidR="00D26B5F" w:rsidTr="004837A0">
        <w:trPr>
          <w:trHeight w:val="474"/>
        </w:trPr>
        <w:tc>
          <w:tcPr>
            <w:tcW w:w="1221" w:type="dxa"/>
          </w:tcPr>
          <w:p w:rsidR="00D26B5F" w:rsidRDefault="00D26B5F" w:rsidP="0035054F">
            <w:pPr>
              <w:spacing w:line="360" w:lineRule="auto"/>
            </w:pPr>
            <w:r>
              <w:t>7</w:t>
            </w:r>
          </w:p>
        </w:tc>
        <w:tc>
          <w:tcPr>
            <w:tcW w:w="7941" w:type="dxa"/>
          </w:tcPr>
          <w:p w:rsidR="00D26B5F" w:rsidRPr="00D26B5F" w:rsidRDefault="003D075B" w:rsidP="0035054F">
            <w:pPr>
              <w:spacing w:after="160" w:line="360" w:lineRule="auto"/>
            </w:pPr>
            <w:r>
              <w:t>F</w:t>
            </w:r>
            <w:r w:rsidR="00D26B5F">
              <w:t xml:space="preserve">or </w:t>
            </w:r>
            <w:r>
              <w:t xml:space="preserve">the purpose of </w:t>
            </w:r>
            <w:r w:rsidR="00D26B5F">
              <w:t>verif</w:t>
            </w:r>
            <w:r>
              <w:t>ying</w:t>
            </w:r>
            <w:r w:rsidR="00D26B5F">
              <w:t xml:space="preserve"> and validati</w:t>
            </w:r>
            <w:r>
              <w:t>ng the products</w:t>
            </w:r>
            <w:r w:rsidR="00D26B5F">
              <w:t xml:space="preserve"> after the design freeze and before the product is launched</w:t>
            </w:r>
            <w:r>
              <w:t>, we use failure testing</w:t>
            </w:r>
            <w:r w:rsidR="00D26B5F">
              <w:t>.</w:t>
            </w:r>
          </w:p>
        </w:tc>
      </w:tr>
      <w:tr w:rsidR="00D26B5F" w:rsidTr="004837A0">
        <w:trPr>
          <w:trHeight w:val="474"/>
        </w:trPr>
        <w:tc>
          <w:tcPr>
            <w:tcW w:w="1221" w:type="dxa"/>
          </w:tcPr>
          <w:p w:rsidR="00D26B5F" w:rsidRDefault="00D26B5F" w:rsidP="0035054F">
            <w:pPr>
              <w:spacing w:line="360" w:lineRule="auto"/>
            </w:pPr>
            <w:r>
              <w:t>6</w:t>
            </w:r>
          </w:p>
        </w:tc>
        <w:tc>
          <w:tcPr>
            <w:tcW w:w="7941" w:type="dxa"/>
          </w:tcPr>
          <w:p w:rsidR="00D26B5F" w:rsidRPr="00D26B5F" w:rsidRDefault="00D26B5F" w:rsidP="0035054F">
            <w:pPr>
              <w:spacing w:after="160" w:line="360" w:lineRule="auto"/>
            </w:pPr>
            <w:r>
              <w:t>Product verification/validation with degradation testing after design freeze and before launch (Subsystem or system testing following durability test, for example, function check).</w:t>
            </w:r>
          </w:p>
        </w:tc>
      </w:tr>
      <w:tr w:rsidR="00D26B5F" w:rsidTr="004837A0">
        <w:trPr>
          <w:trHeight w:val="474"/>
        </w:trPr>
        <w:tc>
          <w:tcPr>
            <w:tcW w:w="1221" w:type="dxa"/>
          </w:tcPr>
          <w:p w:rsidR="00D26B5F" w:rsidRDefault="00D26B5F" w:rsidP="0035054F">
            <w:pPr>
              <w:spacing w:line="360" w:lineRule="auto"/>
            </w:pPr>
            <w:r>
              <w:t>5</w:t>
            </w:r>
          </w:p>
        </w:tc>
        <w:tc>
          <w:tcPr>
            <w:tcW w:w="7941" w:type="dxa"/>
          </w:tcPr>
          <w:p w:rsidR="00D26B5F" w:rsidRPr="00996F38" w:rsidRDefault="003D075B" w:rsidP="0035054F">
            <w:pPr>
              <w:spacing w:after="160" w:line="360" w:lineRule="auto"/>
            </w:pPr>
            <w:r>
              <w:t>P</w:t>
            </w:r>
            <w:r w:rsidR="00996F38">
              <w:t xml:space="preserve">roduct validation </w:t>
            </w:r>
            <w:r>
              <w:t>is done before the design is freeze</w:t>
            </w:r>
            <w:r w:rsidR="00AA5340">
              <w:t>,</w:t>
            </w:r>
            <w:r>
              <w:t xml:space="preserve"> we </w:t>
            </w:r>
            <w:r w:rsidR="00996F38">
              <w:t>(reliability testing, development tests, or validation tests) utilis</w:t>
            </w:r>
            <w:r>
              <w:t>e</w:t>
            </w:r>
            <w:r w:rsidR="00996F38">
              <w:t xml:space="preserve"> pass/fail testing (e.g., performance acceptance criteria, function checks, etc.).</w:t>
            </w:r>
          </w:p>
        </w:tc>
      </w:tr>
      <w:tr w:rsidR="00D26B5F" w:rsidTr="004837A0">
        <w:trPr>
          <w:trHeight w:val="474"/>
        </w:trPr>
        <w:tc>
          <w:tcPr>
            <w:tcW w:w="1221" w:type="dxa"/>
          </w:tcPr>
          <w:p w:rsidR="00D26B5F" w:rsidRDefault="00D26B5F" w:rsidP="0035054F">
            <w:pPr>
              <w:spacing w:line="360" w:lineRule="auto"/>
            </w:pPr>
            <w:r>
              <w:t>4</w:t>
            </w:r>
          </w:p>
        </w:tc>
        <w:tc>
          <w:tcPr>
            <w:tcW w:w="7941" w:type="dxa"/>
          </w:tcPr>
          <w:p w:rsidR="00D26B5F" w:rsidRPr="00996F38" w:rsidRDefault="00996F38" w:rsidP="0035054F">
            <w:pPr>
              <w:spacing w:after="160" w:line="360" w:lineRule="auto"/>
            </w:pPr>
            <w:r>
              <w:t xml:space="preserve">Product validation </w:t>
            </w:r>
            <w:r w:rsidR="00AA5340">
              <w:t xml:space="preserve">might use </w:t>
            </w:r>
            <w:r>
              <w:t>test-to-failure methodology</w:t>
            </w:r>
            <w:r w:rsidR="00AA5340">
              <w:t xml:space="preserve"> before freezing of design</w:t>
            </w:r>
            <w:r>
              <w:t xml:space="preserve"> </w:t>
            </w:r>
            <w:r w:rsidR="00AA5340">
              <w:t>.</w:t>
            </w:r>
            <w:r>
              <w:t xml:space="preserve">(reliability testing, </w:t>
            </w:r>
            <w:r w:rsidR="00AA5340">
              <w:t>development,</w:t>
            </w:r>
            <w:r>
              <w:t xml:space="preserve"> or validation tests) (e.g., till leaks, gives, cracks, etc.).</w:t>
            </w:r>
          </w:p>
        </w:tc>
      </w:tr>
      <w:tr w:rsidR="00D26B5F" w:rsidTr="004837A0">
        <w:trPr>
          <w:trHeight w:val="474"/>
        </w:trPr>
        <w:tc>
          <w:tcPr>
            <w:tcW w:w="1221" w:type="dxa"/>
          </w:tcPr>
          <w:p w:rsidR="00D26B5F" w:rsidRDefault="00D26B5F" w:rsidP="0035054F">
            <w:pPr>
              <w:spacing w:line="360" w:lineRule="auto"/>
            </w:pPr>
            <w:r>
              <w:t>3</w:t>
            </w:r>
          </w:p>
        </w:tc>
        <w:tc>
          <w:tcPr>
            <w:tcW w:w="7941" w:type="dxa"/>
          </w:tcPr>
          <w:p w:rsidR="00D26B5F" w:rsidRPr="00996F38" w:rsidRDefault="00996F38" w:rsidP="0035054F">
            <w:pPr>
              <w:spacing w:after="160" w:line="360" w:lineRule="auto"/>
            </w:pPr>
            <w:r>
              <w:t>Use of degradation testing (e.g., data trends, before/after values, etc.) during product validation (reliability testing, development, or validation tests) prior to design freeze.</w:t>
            </w:r>
          </w:p>
        </w:tc>
      </w:tr>
      <w:tr w:rsidR="00D26B5F" w:rsidTr="004837A0">
        <w:trPr>
          <w:trHeight w:val="474"/>
        </w:trPr>
        <w:tc>
          <w:tcPr>
            <w:tcW w:w="1221" w:type="dxa"/>
          </w:tcPr>
          <w:p w:rsidR="00D26B5F" w:rsidRDefault="00D26B5F" w:rsidP="0035054F">
            <w:pPr>
              <w:spacing w:line="360" w:lineRule="auto"/>
            </w:pPr>
            <w:r>
              <w:t>2</w:t>
            </w:r>
          </w:p>
        </w:tc>
        <w:tc>
          <w:tcPr>
            <w:tcW w:w="7941" w:type="dxa"/>
          </w:tcPr>
          <w:p w:rsidR="00D26B5F" w:rsidRPr="00996F38" w:rsidRDefault="00996F38" w:rsidP="0035054F">
            <w:pPr>
              <w:spacing w:after="160" w:line="360" w:lineRule="auto"/>
            </w:pPr>
            <w:r>
              <w:t>Controls that use design analysis and detection have good detection abilities. Prior to the design freeze, there is a strong correlation between virtual analysis (such as CAE, FEA, etc.) and the real or anticipated operational circumstances.</w:t>
            </w:r>
          </w:p>
        </w:tc>
      </w:tr>
      <w:tr w:rsidR="00D26B5F" w:rsidTr="004837A0">
        <w:trPr>
          <w:trHeight w:val="485"/>
        </w:trPr>
        <w:tc>
          <w:tcPr>
            <w:tcW w:w="1221" w:type="dxa"/>
          </w:tcPr>
          <w:p w:rsidR="00D26B5F" w:rsidRDefault="00D26B5F" w:rsidP="0035054F">
            <w:pPr>
              <w:spacing w:line="360" w:lineRule="auto"/>
            </w:pPr>
            <w:r>
              <w:t>1</w:t>
            </w:r>
          </w:p>
        </w:tc>
        <w:tc>
          <w:tcPr>
            <w:tcW w:w="7941" w:type="dxa"/>
          </w:tcPr>
          <w:p w:rsidR="00D26B5F" w:rsidRPr="00996F38" w:rsidRDefault="00996F38" w:rsidP="0035054F">
            <w:pPr>
              <w:spacing w:after="160" w:line="360" w:lineRule="auto"/>
            </w:pPr>
            <w:r>
              <w:t>No failure mode or failure cause can occur since it is completely eliminated by design solutions (such as a tried-and-true design standard, best practise, or widely available material, etc.).</w:t>
            </w:r>
          </w:p>
        </w:tc>
      </w:tr>
    </w:tbl>
    <w:p w:rsidR="00D26B5F" w:rsidRDefault="00D26B5F" w:rsidP="0035054F">
      <w:pPr>
        <w:spacing w:line="360" w:lineRule="auto"/>
      </w:pPr>
    </w:p>
    <w:p w:rsidR="00996F38" w:rsidRDefault="00996F38" w:rsidP="0035054F">
      <w:pPr>
        <w:pStyle w:val="Heading2"/>
        <w:spacing w:line="360" w:lineRule="auto"/>
      </w:pPr>
      <w:bookmarkStart w:id="7" w:name="_Toc133659004"/>
      <w:r>
        <w:t>RPN calculation</w:t>
      </w:r>
      <w:bookmarkEnd w:id="7"/>
    </w:p>
    <w:p w:rsidR="00996F38" w:rsidRDefault="00996F38" w:rsidP="0035054F">
      <w:pPr>
        <w:spacing w:line="360" w:lineRule="auto"/>
      </w:pPr>
      <w:r>
        <w:t xml:space="preserve">The FMEA performed by the tata motors in the manufacturing process of its car batteries is considered for understanding the use of RPN in the risk assessment process. The main failure </w:t>
      </w:r>
      <w:r>
        <w:lastRenderedPageBreak/>
        <w:t>mode it the situation whenever the battery goes dead. For this failure mode there might be several causes and the effect are that the car does not start its operation. Based on analysing the component factors we can able to determine the RPN</w:t>
      </w:r>
      <w:sdt>
        <w:sdtPr>
          <w:id w:val="1000545848"/>
          <w:citation/>
        </w:sdtPr>
        <w:sdtContent>
          <w:r w:rsidR="00491E3A">
            <w:fldChar w:fldCharType="begin"/>
          </w:r>
          <w:r w:rsidR="00491E3A">
            <w:instrText xml:space="preserve"> CITATION DRK17 \l 16393 </w:instrText>
          </w:r>
          <w:r w:rsidR="00491E3A">
            <w:fldChar w:fldCharType="separate"/>
          </w:r>
          <w:r w:rsidR="00491E3A">
            <w:rPr>
              <w:noProof/>
            </w:rPr>
            <w:t xml:space="preserve"> </w:t>
          </w:r>
          <w:r w:rsidR="00491E3A" w:rsidRPr="00491E3A">
            <w:rPr>
              <w:noProof/>
            </w:rPr>
            <w:t>(Kiran, 2017)</w:t>
          </w:r>
          <w:r w:rsidR="00491E3A">
            <w:fldChar w:fldCharType="end"/>
          </w:r>
        </w:sdtContent>
      </w:sdt>
      <w:r>
        <w:t>.</w:t>
      </w:r>
    </w:p>
    <w:p w:rsidR="004837A0" w:rsidRDefault="004837A0" w:rsidP="0035054F">
      <w:pPr>
        <w:spacing w:line="360" w:lineRule="auto"/>
      </w:pPr>
    </w:p>
    <w:p w:rsidR="004837A0" w:rsidRDefault="004837A0" w:rsidP="0035054F">
      <w:pPr>
        <w:spacing w:line="360" w:lineRule="auto"/>
      </w:pPr>
    </w:p>
    <w:p w:rsidR="00996F38" w:rsidRPr="0035054F" w:rsidRDefault="00996F38" w:rsidP="0035054F">
      <w:pPr>
        <w:spacing w:line="360" w:lineRule="auto"/>
        <w:rPr>
          <w:b/>
          <w:bCs/>
        </w:rPr>
      </w:pPr>
      <w:r w:rsidRPr="0035054F">
        <w:rPr>
          <w:b/>
          <w:bCs/>
        </w:rPr>
        <w:t>Severity</w:t>
      </w:r>
    </w:p>
    <w:p w:rsidR="00081F35" w:rsidRDefault="00081F35" w:rsidP="0035054F">
      <w:pPr>
        <w:spacing w:line="360" w:lineRule="auto"/>
      </w:pPr>
      <w:r>
        <w:t>The severity level is determined as 5 by using the 1 to 10 scale and it is not considered as a catastrophic failure. The only thing to be considered it is annoyance and this might impact the satisfaction of customers.</w:t>
      </w:r>
    </w:p>
    <w:p w:rsidR="00996F38" w:rsidRPr="0035054F" w:rsidRDefault="00996F38" w:rsidP="0035054F">
      <w:pPr>
        <w:spacing w:line="360" w:lineRule="auto"/>
        <w:rPr>
          <w:b/>
          <w:bCs/>
        </w:rPr>
      </w:pPr>
      <w:r w:rsidRPr="0035054F">
        <w:rPr>
          <w:b/>
          <w:bCs/>
        </w:rPr>
        <w:t>Occurrence</w:t>
      </w:r>
    </w:p>
    <w:p w:rsidR="00081F35" w:rsidRDefault="00081F35" w:rsidP="0035054F">
      <w:pPr>
        <w:spacing w:line="360" w:lineRule="auto"/>
      </w:pPr>
      <w:r>
        <w:t>The occurrence level is determined as 7 by using the 1 to 10 scale and there is a likelihood of failure occurrence due to turning on the headlights.</w:t>
      </w:r>
    </w:p>
    <w:p w:rsidR="00996F38" w:rsidRPr="0035054F" w:rsidRDefault="00996F38" w:rsidP="0035054F">
      <w:pPr>
        <w:spacing w:line="360" w:lineRule="auto"/>
        <w:rPr>
          <w:b/>
          <w:bCs/>
        </w:rPr>
      </w:pPr>
      <w:r w:rsidRPr="0035054F">
        <w:rPr>
          <w:b/>
          <w:bCs/>
        </w:rPr>
        <w:t>Detection</w:t>
      </w:r>
    </w:p>
    <w:p w:rsidR="00081F35" w:rsidRDefault="00081F35" w:rsidP="0035054F">
      <w:pPr>
        <w:spacing w:line="360" w:lineRule="auto"/>
      </w:pPr>
      <w:r>
        <w:t>The detection value is determined as 10 by using the 1 to 10 scale because there is no indicative method of detection.</w:t>
      </w:r>
    </w:p>
    <w:tbl>
      <w:tblPr>
        <w:tblStyle w:val="TableGrid"/>
        <w:tblW w:w="0" w:type="auto"/>
        <w:tblLook w:val="04A0" w:firstRow="1" w:lastRow="0" w:firstColumn="1" w:lastColumn="0" w:noHBand="0" w:noVBand="1"/>
      </w:tblPr>
      <w:tblGrid>
        <w:gridCol w:w="1803"/>
        <w:gridCol w:w="1803"/>
        <w:gridCol w:w="1803"/>
        <w:gridCol w:w="1803"/>
        <w:gridCol w:w="1804"/>
      </w:tblGrid>
      <w:tr w:rsidR="00081F35" w:rsidTr="00081F35">
        <w:tc>
          <w:tcPr>
            <w:tcW w:w="1803" w:type="dxa"/>
          </w:tcPr>
          <w:p w:rsidR="00081F35" w:rsidRDefault="00081F35" w:rsidP="0035054F">
            <w:pPr>
              <w:spacing w:line="360" w:lineRule="auto"/>
            </w:pPr>
            <w:r>
              <w:t xml:space="preserve">Cause </w:t>
            </w:r>
          </w:p>
        </w:tc>
        <w:tc>
          <w:tcPr>
            <w:tcW w:w="1803" w:type="dxa"/>
          </w:tcPr>
          <w:p w:rsidR="00081F35" w:rsidRDefault="00081F35" w:rsidP="0035054F">
            <w:pPr>
              <w:spacing w:line="360" w:lineRule="auto"/>
            </w:pPr>
            <w:r>
              <w:t>Effect</w:t>
            </w:r>
          </w:p>
        </w:tc>
        <w:tc>
          <w:tcPr>
            <w:tcW w:w="1803" w:type="dxa"/>
          </w:tcPr>
          <w:p w:rsidR="00081F35" w:rsidRDefault="00081F35" w:rsidP="0035054F">
            <w:pPr>
              <w:spacing w:line="360" w:lineRule="auto"/>
            </w:pPr>
            <w:r>
              <w:t>Severity rating</w:t>
            </w:r>
          </w:p>
        </w:tc>
        <w:tc>
          <w:tcPr>
            <w:tcW w:w="1803" w:type="dxa"/>
          </w:tcPr>
          <w:p w:rsidR="00081F35" w:rsidRDefault="00081F35" w:rsidP="0035054F">
            <w:pPr>
              <w:spacing w:line="360" w:lineRule="auto"/>
            </w:pPr>
            <w:r>
              <w:t>Occurrence rating</w:t>
            </w:r>
          </w:p>
        </w:tc>
        <w:tc>
          <w:tcPr>
            <w:tcW w:w="1804" w:type="dxa"/>
          </w:tcPr>
          <w:p w:rsidR="00081F35" w:rsidRDefault="00081F35" w:rsidP="0035054F">
            <w:pPr>
              <w:spacing w:line="360" w:lineRule="auto"/>
            </w:pPr>
            <w:r>
              <w:t>Detection rating</w:t>
            </w:r>
          </w:p>
        </w:tc>
      </w:tr>
      <w:tr w:rsidR="00081F35" w:rsidTr="00081F35">
        <w:tc>
          <w:tcPr>
            <w:tcW w:w="1803" w:type="dxa"/>
          </w:tcPr>
          <w:p w:rsidR="00081F35" w:rsidRDefault="00081F35" w:rsidP="0035054F">
            <w:pPr>
              <w:spacing w:line="360" w:lineRule="auto"/>
            </w:pPr>
            <w:r>
              <w:t>Battery is dead</w:t>
            </w:r>
          </w:p>
        </w:tc>
        <w:tc>
          <w:tcPr>
            <w:tcW w:w="1803" w:type="dxa"/>
          </w:tcPr>
          <w:p w:rsidR="00081F35" w:rsidRDefault="00081F35" w:rsidP="0035054F">
            <w:pPr>
              <w:spacing w:line="360" w:lineRule="auto"/>
            </w:pPr>
            <w:r>
              <w:t>Car will not start</w:t>
            </w:r>
          </w:p>
        </w:tc>
        <w:tc>
          <w:tcPr>
            <w:tcW w:w="1803" w:type="dxa"/>
          </w:tcPr>
          <w:p w:rsidR="00081F35" w:rsidRDefault="00081F35" w:rsidP="0035054F">
            <w:pPr>
              <w:spacing w:line="360" w:lineRule="auto"/>
            </w:pPr>
            <w:r>
              <w:t>5</w:t>
            </w:r>
          </w:p>
        </w:tc>
        <w:tc>
          <w:tcPr>
            <w:tcW w:w="1803" w:type="dxa"/>
          </w:tcPr>
          <w:p w:rsidR="00081F35" w:rsidRDefault="00081F35" w:rsidP="0035054F">
            <w:pPr>
              <w:spacing w:line="360" w:lineRule="auto"/>
            </w:pPr>
            <w:r>
              <w:t>7</w:t>
            </w:r>
          </w:p>
        </w:tc>
        <w:tc>
          <w:tcPr>
            <w:tcW w:w="1804" w:type="dxa"/>
          </w:tcPr>
          <w:p w:rsidR="00081F35" w:rsidRDefault="00081F35" w:rsidP="0035054F">
            <w:pPr>
              <w:spacing w:line="360" w:lineRule="auto"/>
            </w:pPr>
            <w:r>
              <w:t>10</w:t>
            </w:r>
          </w:p>
        </w:tc>
      </w:tr>
    </w:tbl>
    <w:p w:rsidR="0035054F" w:rsidRDefault="0035054F" w:rsidP="0035054F">
      <w:pPr>
        <w:spacing w:line="360" w:lineRule="auto"/>
        <w:jc w:val="center"/>
      </w:pPr>
      <w:r>
        <w:t>Table 1. RPN</w:t>
      </w:r>
    </w:p>
    <w:p w:rsidR="00081F35" w:rsidRDefault="00081F35" w:rsidP="0035054F">
      <w:pPr>
        <w:spacing w:line="360" w:lineRule="auto"/>
      </w:pPr>
      <w:r>
        <w:t>RPN</w:t>
      </w:r>
      <w:r>
        <w:tab/>
        <w:t>= Severity * Occurrence * Detection</w:t>
      </w:r>
    </w:p>
    <w:p w:rsidR="00081F35" w:rsidRDefault="00081F35" w:rsidP="0035054F">
      <w:pPr>
        <w:spacing w:line="360" w:lineRule="auto"/>
      </w:pPr>
      <w:r>
        <w:tab/>
        <w:t xml:space="preserve">= </w:t>
      </w:r>
      <w:r w:rsidR="00FB3DD7">
        <w:t>5 * 7 * 10</w:t>
      </w:r>
    </w:p>
    <w:p w:rsidR="00FB3DD7" w:rsidRDefault="00FB3DD7" w:rsidP="0035054F">
      <w:pPr>
        <w:spacing w:line="360" w:lineRule="auto"/>
      </w:pPr>
      <w:r>
        <w:t>RPN</w:t>
      </w:r>
      <w:r>
        <w:tab/>
        <w:t>= 350</w:t>
      </w:r>
    </w:p>
    <w:p w:rsidR="00FB3DD7" w:rsidRDefault="00FB3DD7" w:rsidP="0035054F">
      <w:pPr>
        <w:spacing w:line="360" w:lineRule="auto"/>
      </w:pPr>
      <w:r>
        <w:t>The RPN might be considered high if the requirement specified has RPN values less than 350. This might also be based on own situation of the company. if the RPNs above 300 requires investigation, then the RPNs above 500 value is considered to be very critical</w:t>
      </w:r>
      <w:sdt>
        <w:sdtPr>
          <w:id w:val="-1424795881"/>
          <w:citation/>
        </w:sdtPr>
        <w:sdtContent>
          <w:r w:rsidR="00491E3A">
            <w:fldChar w:fldCharType="begin"/>
          </w:r>
          <w:r w:rsidR="00491E3A">
            <w:instrText xml:space="preserve"> CITATION Luc211 \l 16393 </w:instrText>
          </w:r>
          <w:r w:rsidR="00491E3A">
            <w:fldChar w:fldCharType="separate"/>
          </w:r>
          <w:r w:rsidR="00491E3A">
            <w:rPr>
              <w:noProof/>
            </w:rPr>
            <w:t xml:space="preserve"> </w:t>
          </w:r>
          <w:r w:rsidR="00491E3A" w:rsidRPr="00491E3A">
            <w:rPr>
              <w:noProof/>
            </w:rPr>
            <w:t>(Lucian Petrescu, 2021)</w:t>
          </w:r>
          <w:r w:rsidR="00491E3A">
            <w:fldChar w:fldCharType="end"/>
          </w:r>
        </w:sdtContent>
      </w:sdt>
      <w:r>
        <w:t xml:space="preserve">. The acceptable level of RPN value might represent the tolerable level of risk and also the quality that needs to be achieved.  </w:t>
      </w:r>
    </w:p>
    <w:p w:rsidR="00FB3DD7" w:rsidRDefault="00FB3DD7" w:rsidP="0035054F">
      <w:pPr>
        <w:spacing w:line="360" w:lineRule="auto"/>
        <w:jc w:val="center"/>
      </w:pPr>
      <w:r>
        <w:rPr>
          <w:noProof/>
        </w:rPr>
        <w:lastRenderedPageBreak/>
        <w:drawing>
          <wp:inline distT="0" distB="0" distL="0" distR="0">
            <wp:extent cx="5088255" cy="1329055"/>
            <wp:effectExtent l="0" t="0" r="0" b="4445"/>
            <wp:docPr id="1796917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8255" cy="1329055"/>
                    </a:xfrm>
                    <a:prstGeom prst="rect">
                      <a:avLst/>
                    </a:prstGeom>
                    <a:noFill/>
                    <a:ln>
                      <a:noFill/>
                    </a:ln>
                  </pic:spPr>
                </pic:pic>
              </a:graphicData>
            </a:graphic>
          </wp:inline>
        </w:drawing>
      </w:r>
    </w:p>
    <w:p w:rsidR="00FB3DD7" w:rsidRDefault="0035054F" w:rsidP="0035054F">
      <w:pPr>
        <w:spacing w:line="360" w:lineRule="auto"/>
        <w:jc w:val="center"/>
      </w:pPr>
      <w:r>
        <w:t xml:space="preserve">Figure 2. </w:t>
      </w:r>
      <w:r w:rsidR="00FB3DD7">
        <w:t>FMEA worksheet for Tata motors</w:t>
      </w:r>
      <w:sdt>
        <w:sdtPr>
          <w:id w:val="2045640836"/>
          <w:citation/>
        </w:sdtPr>
        <w:sdtContent>
          <w:r w:rsidR="00491E3A">
            <w:fldChar w:fldCharType="begin"/>
          </w:r>
          <w:r w:rsidR="00491E3A">
            <w:instrText xml:space="preserve"> CITATION Rel20 \l 16393 </w:instrText>
          </w:r>
          <w:r w:rsidR="00491E3A">
            <w:fldChar w:fldCharType="separate"/>
          </w:r>
          <w:r w:rsidR="00491E3A">
            <w:rPr>
              <w:noProof/>
            </w:rPr>
            <w:t xml:space="preserve"> </w:t>
          </w:r>
          <w:r w:rsidR="00491E3A" w:rsidRPr="00491E3A">
            <w:rPr>
              <w:noProof/>
            </w:rPr>
            <w:t>(Corporation, 2020)</w:t>
          </w:r>
          <w:r w:rsidR="00491E3A">
            <w:fldChar w:fldCharType="end"/>
          </w:r>
        </w:sdtContent>
      </w:sdt>
    </w:p>
    <w:p w:rsidR="00FB3DD7" w:rsidRDefault="00FB3DD7" w:rsidP="0035054F">
      <w:pPr>
        <w:spacing w:line="360" w:lineRule="auto"/>
      </w:pPr>
      <w:r>
        <w:t>We can revise the risk analysis for this example</w:t>
      </w:r>
      <w:r w:rsidR="00404066">
        <w:t>. The risk of battery failing can be reduced by using various other options. By adding an alarm might provide a sound if the car was turned off and the headlight are remained on. It is possible to turn off the headlights in automatic manner after turning off the car. In this case, we can prefer the second option which is considered to be more robust and minimal cost. Hence a task is assigned for the software team for implementing the update of software</w:t>
      </w:r>
      <w:sdt>
        <w:sdtPr>
          <w:id w:val="160210033"/>
          <w:citation/>
        </w:sdtPr>
        <w:sdtContent>
          <w:r w:rsidR="00491E3A">
            <w:fldChar w:fldCharType="begin"/>
          </w:r>
          <w:r w:rsidR="00491E3A">
            <w:instrText xml:space="preserve"> CITATION Rel20 \l 16393 </w:instrText>
          </w:r>
          <w:r w:rsidR="00491E3A">
            <w:fldChar w:fldCharType="separate"/>
          </w:r>
          <w:r w:rsidR="00491E3A">
            <w:rPr>
              <w:noProof/>
            </w:rPr>
            <w:t xml:space="preserve"> </w:t>
          </w:r>
          <w:r w:rsidR="00491E3A" w:rsidRPr="00491E3A">
            <w:rPr>
              <w:noProof/>
            </w:rPr>
            <w:t>(Corporation, 2020)</w:t>
          </w:r>
          <w:r w:rsidR="00491E3A">
            <w:fldChar w:fldCharType="end"/>
          </w:r>
        </w:sdtContent>
      </w:sdt>
      <w:r w:rsidR="00404066">
        <w:t xml:space="preserve">. After the completion of the risk the RPN value can be revised. </w:t>
      </w:r>
      <w:r>
        <w:t xml:space="preserve"> </w:t>
      </w:r>
    </w:p>
    <w:tbl>
      <w:tblPr>
        <w:tblStyle w:val="TableGrid"/>
        <w:tblW w:w="0" w:type="auto"/>
        <w:tblLook w:val="04A0" w:firstRow="1" w:lastRow="0" w:firstColumn="1" w:lastColumn="0" w:noHBand="0" w:noVBand="1"/>
      </w:tblPr>
      <w:tblGrid>
        <w:gridCol w:w="988"/>
        <w:gridCol w:w="1134"/>
        <w:gridCol w:w="2127"/>
        <w:gridCol w:w="1540"/>
        <w:gridCol w:w="1642"/>
        <w:gridCol w:w="1585"/>
      </w:tblGrid>
      <w:tr w:rsidR="00404066" w:rsidTr="00404066">
        <w:tc>
          <w:tcPr>
            <w:tcW w:w="988" w:type="dxa"/>
          </w:tcPr>
          <w:p w:rsidR="00404066" w:rsidRDefault="00404066" w:rsidP="0035054F">
            <w:pPr>
              <w:spacing w:line="360" w:lineRule="auto"/>
            </w:pPr>
            <w:r>
              <w:t xml:space="preserve">Cause </w:t>
            </w:r>
          </w:p>
        </w:tc>
        <w:tc>
          <w:tcPr>
            <w:tcW w:w="1134" w:type="dxa"/>
          </w:tcPr>
          <w:p w:rsidR="00404066" w:rsidRDefault="00404066" w:rsidP="0035054F">
            <w:pPr>
              <w:spacing w:line="360" w:lineRule="auto"/>
            </w:pPr>
            <w:r>
              <w:t>Effect</w:t>
            </w:r>
          </w:p>
        </w:tc>
        <w:tc>
          <w:tcPr>
            <w:tcW w:w="2127" w:type="dxa"/>
          </w:tcPr>
          <w:p w:rsidR="00404066" w:rsidRDefault="00404066" w:rsidP="0035054F">
            <w:pPr>
              <w:spacing w:line="360" w:lineRule="auto"/>
            </w:pPr>
            <w:r>
              <w:t>Implementation</w:t>
            </w:r>
          </w:p>
        </w:tc>
        <w:tc>
          <w:tcPr>
            <w:tcW w:w="1540" w:type="dxa"/>
          </w:tcPr>
          <w:p w:rsidR="00404066" w:rsidRDefault="00404066" w:rsidP="0035054F">
            <w:pPr>
              <w:spacing w:line="360" w:lineRule="auto"/>
            </w:pPr>
            <w:r>
              <w:t>Revised Severity rating</w:t>
            </w:r>
          </w:p>
        </w:tc>
        <w:tc>
          <w:tcPr>
            <w:tcW w:w="1642" w:type="dxa"/>
          </w:tcPr>
          <w:p w:rsidR="00404066" w:rsidRDefault="00404066" w:rsidP="0035054F">
            <w:pPr>
              <w:spacing w:line="360" w:lineRule="auto"/>
            </w:pPr>
            <w:r>
              <w:t>Revised Occurrence rating</w:t>
            </w:r>
          </w:p>
        </w:tc>
        <w:tc>
          <w:tcPr>
            <w:tcW w:w="1585" w:type="dxa"/>
          </w:tcPr>
          <w:p w:rsidR="00404066" w:rsidRDefault="00404066" w:rsidP="0035054F">
            <w:pPr>
              <w:spacing w:line="360" w:lineRule="auto"/>
            </w:pPr>
            <w:r>
              <w:t>Revised Detection rating</w:t>
            </w:r>
          </w:p>
        </w:tc>
      </w:tr>
      <w:tr w:rsidR="00404066" w:rsidTr="00404066">
        <w:tc>
          <w:tcPr>
            <w:tcW w:w="988" w:type="dxa"/>
          </w:tcPr>
          <w:p w:rsidR="00404066" w:rsidRDefault="00404066" w:rsidP="0035054F">
            <w:pPr>
              <w:spacing w:line="360" w:lineRule="auto"/>
            </w:pPr>
            <w:r>
              <w:t>Battery is dead</w:t>
            </w:r>
          </w:p>
        </w:tc>
        <w:tc>
          <w:tcPr>
            <w:tcW w:w="1134" w:type="dxa"/>
          </w:tcPr>
          <w:p w:rsidR="00404066" w:rsidRDefault="00404066" w:rsidP="0035054F">
            <w:pPr>
              <w:spacing w:line="360" w:lineRule="auto"/>
            </w:pPr>
            <w:r>
              <w:t>Car will not start</w:t>
            </w:r>
          </w:p>
        </w:tc>
        <w:tc>
          <w:tcPr>
            <w:tcW w:w="2127" w:type="dxa"/>
          </w:tcPr>
          <w:p w:rsidR="00404066" w:rsidRDefault="00404066" w:rsidP="0035054F">
            <w:pPr>
              <w:spacing w:line="360" w:lineRule="auto"/>
            </w:pPr>
            <w:r>
              <w:t>Automatic turning off of headlights</w:t>
            </w:r>
          </w:p>
        </w:tc>
        <w:tc>
          <w:tcPr>
            <w:tcW w:w="1540" w:type="dxa"/>
          </w:tcPr>
          <w:p w:rsidR="00404066" w:rsidRDefault="00404066" w:rsidP="0035054F">
            <w:pPr>
              <w:spacing w:line="360" w:lineRule="auto"/>
            </w:pPr>
            <w:r>
              <w:t>5</w:t>
            </w:r>
          </w:p>
        </w:tc>
        <w:tc>
          <w:tcPr>
            <w:tcW w:w="1642" w:type="dxa"/>
          </w:tcPr>
          <w:p w:rsidR="00404066" w:rsidRDefault="00404066" w:rsidP="0035054F">
            <w:pPr>
              <w:spacing w:line="360" w:lineRule="auto"/>
            </w:pPr>
            <w:r>
              <w:t>1</w:t>
            </w:r>
          </w:p>
        </w:tc>
        <w:tc>
          <w:tcPr>
            <w:tcW w:w="1585" w:type="dxa"/>
          </w:tcPr>
          <w:p w:rsidR="00404066" w:rsidRDefault="00404066" w:rsidP="0035054F">
            <w:pPr>
              <w:spacing w:line="360" w:lineRule="auto"/>
            </w:pPr>
            <w:r>
              <w:t>10</w:t>
            </w:r>
          </w:p>
        </w:tc>
      </w:tr>
    </w:tbl>
    <w:p w:rsidR="00404066" w:rsidRDefault="0035054F" w:rsidP="0035054F">
      <w:pPr>
        <w:spacing w:line="360" w:lineRule="auto"/>
        <w:jc w:val="center"/>
      </w:pPr>
      <w:r>
        <w:t>Table 2. Revised RPN</w:t>
      </w:r>
    </w:p>
    <w:p w:rsidR="00404066" w:rsidRDefault="00404066" w:rsidP="0035054F">
      <w:pPr>
        <w:spacing w:line="360" w:lineRule="auto"/>
      </w:pPr>
      <w:r>
        <w:t>RPN</w:t>
      </w:r>
      <w:r>
        <w:tab/>
        <w:t>= Severity * Occurrence * Detection</w:t>
      </w:r>
    </w:p>
    <w:p w:rsidR="00404066" w:rsidRDefault="00404066" w:rsidP="0035054F">
      <w:pPr>
        <w:spacing w:line="360" w:lineRule="auto"/>
      </w:pPr>
      <w:r>
        <w:tab/>
        <w:t>= 5 * 1 * 10</w:t>
      </w:r>
    </w:p>
    <w:p w:rsidR="00404066" w:rsidRDefault="00404066" w:rsidP="0035054F">
      <w:pPr>
        <w:spacing w:line="360" w:lineRule="auto"/>
      </w:pPr>
      <w:r>
        <w:t>Revised RPN</w:t>
      </w:r>
      <w:r>
        <w:tab/>
        <w:t>= 50</w:t>
      </w:r>
    </w:p>
    <w:p w:rsidR="00404066" w:rsidRDefault="00404066" w:rsidP="0035054F">
      <w:pPr>
        <w:spacing w:line="360" w:lineRule="auto"/>
      </w:pPr>
      <w:r>
        <w:t>In this case the risk level has been reduced from 350 to 50, which indicates that the failure has been addressed and the RPN has been minimised to the acceptable range</w:t>
      </w:r>
      <w:sdt>
        <w:sdtPr>
          <w:id w:val="-35895631"/>
          <w:citation/>
        </w:sdtPr>
        <w:sdtContent>
          <w:r>
            <w:fldChar w:fldCharType="begin"/>
          </w:r>
          <w:r>
            <w:instrText xml:space="preserve"> CITATION Rel20 \l 16393 </w:instrText>
          </w:r>
          <w:r>
            <w:fldChar w:fldCharType="separate"/>
          </w:r>
          <w:r>
            <w:rPr>
              <w:noProof/>
            </w:rPr>
            <w:t xml:space="preserve"> </w:t>
          </w:r>
          <w:r w:rsidRPr="00404066">
            <w:rPr>
              <w:noProof/>
            </w:rPr>
            <w:t>(Corporation, 2020)</w:t>
          </w:r>
          <w:r>
            <w:fldChar w:fldCharType="end"/>
          </w:r>
        </w:sdtContent>
      </w:sdt>
      <w:r>
        <w:t>.</w:t>
      </w:r>
    </w:p>
    <w:p w:rsidR="00891FB0" w:rsidRDefault="00891FB0" w:rsidP="0035054F">
      <w:pPr>
        <w:pStyle w:val="Heading1"/>
        <w:spacing w:line="360" w:lineRule="auto"/>
      </w:pPr>
      <w:bookmarkStart w:id="8" w:name="_Toc133659005"/>
      <w:r>
        <w:t>Making supply chain more resilient</w:t>
      </w:r>
      <w:bookmarkEnd w:id="8"/>
    </w:p>
    <w:p w:rsidR="0035054F" w:rsidRDefault="00904326" w:rsidP="0035054F">
      <w:pPr>
        <w:spacing w:line="360" w:lineRule="auto"/>
      </w:pPr>
      <w:r>
        <w:t>The process of implementing software systems and also management strategies is involved in the supply chain management in order to tighten all the stages of manufacturing process before the client orders and delivering the product.</w:t>
      </w:r>
      <w:r w:rsidR="00861AAE">
        <w:t xml:space="preserve"> Resilience is defined as the capability of recovering from the difficulties or failures in quick manner. </w:t>
      </w:r>
    </w:p>
    <w:p w:rsidR="0035054F" w:rsidRDefault="0035054F" w:rsidP="0035054F">
      <w:pPr>
        <w:spacing w:line="360" w:lineRule="auto"/>
        <w:jc w:val="center"/>
      </w:pPr>
      <w:r>
        <w:rPr>
          <w:noProof/>
        </w:rPr>
        <w:lastRenderedPageBreak/>
        <w:drawing>
          <wp:inline distT="0" distB="0" distL="0" distR="0">
            <wp:extent cx="3787140" cy="3177773"/>
            <wp:effectExtent l="0" t="0" r="3810" b="3810"/>
            <wp:docPr id="1997341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3309" cy="3182949"/>
                    </a:xfrm>
                    <a:prstGeom prst="rect">
                      <a:avLst/>
                    </a:prstGeom>
                    <a:noFill/>
                    <a:ln>
                      <a:noFill/>
                    </a:ln>
                  </pic:spPr>
                </pic:pic>
              </a:graphicData>
            </a:graphic>
          </wp:inline>
        </w:drawing>
      </w:r>
    </w:p>
    <w:p w:rsidR="0035054F" w:rsidRDefault="0035054F" w:rsidP="0035054F">
      <w:pPr>
        <w:spacing w:line="360" w:lineRule="auto"/>
        <w:jc w:val="center"/>
      </w:pPr>
      <w:r>
        <w:t xml:space="preserve">Figure 3. Supply chain resilience </w:t>
      </w:r>
      <w:sdt>
        <w:sdtPr>
          <w:id w:val="44655275"/>
          <w:citation/>
        </w:sdtPr>
        <w:sdtContent>
          <w:r>
            <w:fldChar w:fldCharType="begin"/>
          </w:r>
          <w:r>
            <w:instrText xml:space="preserve"> CITATION Sar202 \l 16393 </w:instrText>
          </w:r>
          <w:r>
            <w:fldChar w:fldCharType="separate"/>
          </w:r>
          <w:r w:rsidRPr="0035054F">
            <w:rPr>
              <w:noProof/>
            </w:rPr>
            <w:t>(Hippold, 2020)</w:t>
          </w:r>
          <w:r>
            <w:fldChar w:fldCharType="end"/>
          </w:r>
        </w:sdtContent>
      </w:sdt>
    </w:p>
    <w:p w:rsidR="00904326" w:rsidRDefault="00861AAE" w:rsidP="0035054F">
      <w:pPr>
        <w:spacing w:line="360" w:lineRule="auto"/>
      </w:pPr>
      <w:r>
        <w:t>The supply chain resilience in automobile industry might represent the ability of adapting to the unexpected events, responding to the disruptions and overcoming them and recovering from those failures</w:t>
      </w:r>
      <w:sdt>
        <w:sdtPr>
          <w:id w:val="-2035960899"/>
          <w:citation/>
        </w:sdtPr>
        <w:sdtContent>
          <w:r>
            <w:fldChar w:fldCharType="begin"/>
          </w:r>
          <w:r>
            <w:instrText xml:space="preserve"> CITATION Zal22 \l 16393 </w:instrText>
          </w:r>
          <w:r>
            <w:fldChar w:fldCharType="separate"/>
          </w:r>
          <w:r>
            <w:rPr>
              <w:noProof/>
            </w:rPr>
            <w:t xml:space="preserve"> </w:t>
          </w:r>
          <w:r w:rsidRPr="00861AAE">
            <w:rPr>
              <w:noProof/>
            </w:rPr>
            <w:t>(Zalora, 2022)</w:t>
          </w:r>
          <w:r>
            <w:fldChar w:fldCharType="end"/>
          </w:r>
        </w:sdtContent>
      </w:sdt>
      <w:r>
        <w:t xml:space="preserve">. The supply chain resilience is considered to be more important feature as this industry requires reconfiguring of their supply chains. </w:t>
      </w:r>
      <w:r w:rsidR="005D4610">
        <w:t xml:space="preserve">It is very important for the companies to consider the cost of implementing the supply chain resilient strategies in their organisation. </w:t>
      </w:r>
      <w:r>
        <w:t>The supply chain can be made more resilient by using the following steps.</w:t>
      </w:r>
    </w:p>
    <w:p w:rsidR="005D4610" w:rsidRDefault="005D4610" w:rsidP="0035054F">
      <w:pPr>
        <w:pStyle w:val="ListParagraph"/>
        <w:numPr>
          <w:ilvl w:val="0"/>
          <w:numId w:val="2"/>
        </w:numPr>
        <w:spacing w:line="360" w:lineRule="auto"/>
      </w:pPr>
      <w:r>
        <w:t>Buffer for Capacity and inventory</w:t>
      </w:r>
    </w:p>
    <w:p w:rsidR="005D4610" w:rsidRDefault="005D4610" w:rsidP="0035054F">
      <w:pPr>
        <w:pStyle w:val="ListParagraph"/>
        <w:numPr>
          <w:ilvl w:val="0"/>
          <w:numId w:val="2"/>
        </w:numPr>
        <w:spacing w:line="360" w:lineRule="auto"/>
      </w:pPr>
      <w:r>
        <w:t>Manufacturing network diversification</w:t>
      </w:r>
    </w:p>
    <w:p w:rsidR="005D4610" w:rsidRDefault="005D4610" w:rsidP="0035054F">
      <w:pPr>
        <w:pStyle w:val="ListParagraph"/>
        <w:numPr>
          <w:ilvl w:val="0"/>
          <w:numId w:val="2"/>
        </w:numPr>
        <w:spacing w:line="360" w:lineRule="auto"/>
      </w:pPr>
      <w:r>
        <w:t>Multiple sourcing</w:t>
      </w:r>
    </w:p>
    <w:p w:rsidR="005D4610" w:rsidRDefault="005D4610" w:rsidP="0035054F">
      <w:pPr>
        <w:pStyle w:val="ListParagraph"/>
        <w:numPr>
          <w:ilvl w:val="0"/>
          <w:numId w:val="2"/>
        </w:numPr>
        <w:spacing w:line="360" w:lineRule="auto"/>
      </w:pPr>
      <w:r>
        <w:t xml:space="preserve">Nearshoring </w:t>
      </w:r>
    </w:p>
    <w:p w:rsidR="005D4610" w:rsidRDefault="005D4610" w:rsidP="0035054F">
      <w:pPr>
        <w:pStyle w:val="ListParagraph"/>
        <w:numPr>
          <w:ilvl w:val="0"/>
          <w:numId w:val="2"/>
        </w:numPr>
        <w:spacing w:line="360" w:lineRule="auto"/>
      </w:pPr>
      <w:r>
        <w:t>Harmonisation of platform, people and product</w:t>
      </w:r>
    </w:p>
    <w:p w:rsidR="005D4610" w:rsidRDefault="005D4610" w:rsidP="0035054F">
      <w:pPr>
        <w:pStyle w:val="ListParagraph"/>
        <w:numPr>
          <w:ilvl w:val="0"/>
          <w:numId w:val="2"/>
        </w:numPr>
        <w:spacing w:line="360" w:lineRule="auto"/>
      </w:pPr>
      <w:r>
        <w:t>Partnerships in ecosystem</w:t>
      </w:r>
      <w:sdt>
        <w:sdtPr>
          <w:id w:val="-1425718421"/>
          <w:citation/>
        </w:sdtPr>
        <w:sdtContent>
          <w:r w:rsidR="00C74C12">
            <w:fldChar w:fldCharType="begin"/>
          </w:r>
          <w:r w:rsidR="00C74C12">
            <w:instrText xml:space="preserve"> CITATION LAU21 \l 16393 </w:instrText>
          </w:r>
          <w:r w:rsidR="00C74C12">
            <w:fldChar w:fldCharType="separate"/>
          </w:r>
          <w:r w:rsidR="00C74C12">
            <w:rPr>
              <w:noProof/>
            </w:rPr>
            <w:t xml:space="preserve"> </w:t>
          </w:r>
          <w:r w:rsidR="00C74C12" w:rsidRPr="00C74C12">
            <w:rPr>
              <w:noProof/>
            </w:rPr>
            <w:t>(NEVILLE, 2021)</w:t>
          </w:r>
          <w:r w:rsidR="00C74C12">
            <w:fldChar w:fldCharType="end"/>
          </w:r>
        </w:sdtContent>
      </w:sdt>
      <w:r w:rsidR="00C74C12">
        <w:t>.</w:t>
      </w:r>
    </w:p>
    <w:p w:rsidR="005D4610" w:rsidRPr="00C74C12" w:rsidRDefault="005D4610" w:rsidP="0035054F">
      <w:pPr>
        <w:spacing w:line="360" w:lineRule="auto"/>
        <w:rPr>
          <w:b/>
          <w:bCs/>
        </w:rPr>
      </w:pPr>
      <w:r w:rsidRPr="00C74C12">
        <w:rPr>
          <w:b/>
          <w:bCs/>
        </w:rPr>
        <w:t>Buffer for Capacity and inventory</w:t>
      </w:r>
    </w:p>
    <w:p w:rsidR="005D4610" w:rsidRDefault="005D4610" w:rsidP="0035054F">
      <w:pPr>
        <w:spacing w:line="360" w:lineRule="auto"/>
      </w:pPr>
      <w:r>
        <w:t>The direct solution for the process of improving the supply chain is the capacity and inventory buffers. In this the production facilities and the excess amount of inventories are</w:t>
      </w:r>
      <w:r w:rsidR="00B52136">
        <w:t xml:space="preserve"> not utilised. But it is very expensive to maintain a buffer inventory and it is recommended for the company to use this strategy only in case of demand and its expansion of business at international level.</w:t>
      </w:r>
    </w:p>
    <w:p w:rsidR="00FF779E" w:rsidRDefault="00FF779E" w:rsidP="0035054F">
      <w:pPr>
        <w:spacing w:line="360" w:lineRule="auto"/>
        <w:rPr>
          <w:b/>
          <w:bCs/>
        </w:rPr>
      </w:pPr>
    </w:p>
    <w:p w:rsidR="005D4610" w:rsidRPr="00C74C12" w:rsidRDefault="005D4610" w:rsidP="0035054F">
      <w:pPr>
        <w:spacing w:line="360" w:lineRule="auto"/>
        <w:rPr>
          <w:b/>
          <w:bCs/>
        </w:rPr>
      </w:pPr>
      <w:r w:rsidRPr="00C74C12">
        <w:rPr>
          <w:b/>
          <w:bCs/>
        </w:rPr>
        <w:lastRenderedPageBreak/>
        <w:t>Manufacturing network diversification</w:t>
      </w:r>
    </w:p>
    <w:p w:rsidR="00B52136" w:rsidRDefault="00B52136" w:rsidP="0035054F">
      <w:pPr>
        <w:spacing w:line="360" w:lineRule="auto"/>
      </w:pPr>
      <w:r>
        <w:t>If the products and services of the automobile industry are within a single country, then the supply chain can be jeopardised by several geopolitical factors, conflicts in military and trade and so on. Hence it is recommended to diversify the business products at international level in order to make the supply chain process more robust and cost effective</w:t>
      </w:r>
      <w:sdt>
        <w:sdtPr>
          <w:id w:val="-780717783"/>
          <w:citation/>
        </w:sdtPr>
        <w:sdtContent>
          <w:r w:rsidR="00C74C12">
            <w:fldChar w:fldCharType="begin"/>
          </w:r>
          <w:r w:rsidR="00C74C12">
            <w:instrText xml:space="preserve"> CITATION Bar191 \l 16393 </w:instrText>
          </w:r>
          <w:r w:rsidR="00C74C12">
            <w:fldChar w:fldCharType="separate"/>
          </w:r>
          <w:r w:rsidR="00C74C12">
            <w:rPr>
              <w:noProof/>
            </w:rPr>
            <w:t xml:space="preserve"> </w:t>
          </w:r>
          <w:r w:rsidR="00C74C12" w:rsidRPr="00C74C12">
            <w:rPr>
              <w:noProof/>
            </w:rPr>
            <w:t>(Bartlett &amp; Julien, 2019)</w:t>
          </w:r>
          <w:r w:rsidR="00C74C12">
            <w:fldChar w:fldCharType="end"/>
          </w:r>
        </w:sdtContent>
      </w:sdt>
      <w:r>
        <w:t>.</w:t>
      </w:r>
    </w:p>
    <w:p w:rsidR="005D4610" w:rsidRPr="00C74C12" w:rsidRDefault="005D4610" w:rsidP="0035054F">
      <w:pPr>
        <w:spacing w:line="360" w:lineRule="auto"/>
        <w:rPr>
          <w:b/>
          <w:bCs/>
        </w:rPr>
      </w:pPr>
      <w:r w:rsidRPr="00C74C12">
        <w:rPr>
          <w:b/>
          <w:bCs/>
        </w:rPr>
        <w:t>Multiple sourcing</w:t>
      </w:r>
    </w:p>
    <w:p w:rsidR="00B52136" w:rsidRDefault="00B52136" w:rsidP="0035054F">
      <w:pPr>
        <w:spacing w:line="360" w:lineRule="auto"/>
      </w:pPr>
      <w:r>
        <w:t>If is possible to incur risk disruptions if we rely on single business vendor. Hence it is recommended to avoid the disruptions in risk by awarding contracts with multiple vendors for improving their business activities.</w:t>
      </w:r>
    </w:p>
    <w:p w:rsidR="00B52136" w:rsidRPr="00C74C12" w:rsidRDefault="005D4610" w:rsidP="0035054F">
      <w:pPr>
        <w:spacing w:line="360" w:lineRule="auto"/>
        <w:rPr>
          <w:b/>
          <w:bCs/>
        </w:rPr>
      </w:pPr>
      <w:r w:rsidRPr="00C74C12">
        <w:rPr>
          <w:b/>
          <w:bCs/>
        </w:rPr>
        <w:t xml:space="preserve">Nearshoring </w:t>
      </w:r>
    </w:p>
    <w:p w:rsidR="00B52136" w:rsidRDefault="00B52136" w:rsidP="0035054F">
      <w:pPr>
        <w:spacing w:line="360" w:lineRule="auto"/>
      </w:pPr>
      <w:r>
        <w:t>In contrast to the global sourcing, some of the companies prefer outsourcing within their country. The local supply chains might be very expensive but they can provide more control in the inventory of the automobile products and shifts them to the location of the business organisation.</w:t>
      </w:r>
    </w:p>
    <w:p w:rsidR="005D4610" w:rsidRPr="00C74C12" w:rsidRDefault="005D4610" w:rsidP="0035054F">
      <w:pPr>
        <w:spacing w:line="360" w:lineRule="auto"/>
        <w:rPr>
          <w:b/>
          <w:bCs/>
        </w:rPr>
      </w:pPr>
      <w:r w:rsidRPr="00C74C12">
        <w:rPr>
          <w:b/>
          <w:bCs/>
        </w:rPr>
        <w:t xml:space="preserve">Harmonisation of platform, </w:t>
      </w:r>
      <w:r w:rsidR="00B52136" w:rsidRPr="00C74C12">
        <w:rPr>
          <w:b/>
          <w:bCs/>
        </w:rPr>
        <w:t>people,</w:t>
      </w:r>
      <w:r w:rsidRPr="00C74C12">
        <w:rPr>
          <w:b/>
          <w:bCs/>
        </w:rPr>
        <w:t xml:space="preserve"> and product</w:t>
      </w:r>
    </w:p>
    <w:p w:rsidR="00B52136" w:rsidRDefault="00B52136" w:rsidP="0035054F">
      <w:pPr>
        <w:spacing w:line="360" w:lineRule="auto"/>
      </w:pPr>
      <w:r>
        <w:t xml:space="preserve">It is possible to minimise the </w:t>
      </w:r>
      <w:r w:rsidR="00177DBE">
        <w:t>costs for the regionalised networks by providing a technology or platform in a uniform manner. For example, if we consider the manufacturers of automobile industry, they often use common platforms for building multiple models of car. This helps them in reducing the costs and also enhances the resiliency</w:t>
      </w:r>
      <w:sdt>
        <w:sdtPr>
          <w:id w:val="1334954032"/>
          <w:citation/>
        </w:sdtPr>
        <w:sdtContent>
          <w:r w:rsidR="00C74C12">
            <w:fldChar w:fldCharType="begin"/>
          </w:r>
          <w:r w:rsidR="00C74C12">
            <w:instrText xml:space="preserve"> CITATION Mar195 \l 16393 </w:instrText>
          </w:r>
          <w:r w:rsidR="00C74C12">
            <w:fldChar w:fldCharType="separate"/>
          </w:r>
          <w:r w:rsidR="00C74C12">
            <w:rPr>
              <w:noProof/>
            </w:rPr>
            <w:t xml:space="preserve"> </w:t>
          </w:r>
          <w:r w:rsidR="00C74C12" w:rsidRPr="00C74C12">
            <w:rPr>
              <w:noProof/>
            </w:rPr>
            <w:t>(Maryam Masoumi, 2019)</w:t>
          </w:r>
          <w:r w:rsidR="00C74C12">
            <w:fldChar w:fldCharType="end"/>
          </w:r>
        </w:sdtContent>
      </w:sdt>
      <w:r w:rsidR="00177DBE">
        <w:t xml:space="preserve">. </w:t>
      </w:r>
    </w:p>
    <w:p w:rsidR="005D4610" w:rsidRPr="00C74C12" w:rsidRDefault="005D4610" w:rsidP="0035054F">
      <w:pPr>
        <w:spacing w:line="360" w:lineRule="auto"/>
        <w:rPr>
          <w:b/>
          <w:bCs/>
        </w:rPr>
      </w:pPr>
      <w:r w:rsidRPr="00C74C12">
        <w:rPr>
          <w:b/>
          <w:bCs/>
        </w:rPr>
        <w:t>Partnerships in ecosystem</w:t>
      </w:r>
    </w:p>
    <w:p w:rsidR="00177DBE" w:rsidRDefault="00177DBE" w:rsidP="0035054F">
      <w:pPr>
        <w:spacing w:line="360" w:lineRule="auto"/>
      </w:pPr>
      <w:r>
        <w:t>It is very important for the companies to collaborate with the service partners at the external level and also the strategic supplier of raw materials for the purpose of ensuring the supply chain resilience. Based on the relationship with the manufacturers, it is possible for the companies to scale into new locations in quick manner.</w:t>
      </w:r>
    </w:p>
    <w:p w:rsidR="00177DBE" w:rsidRDefault="00177DBE" w:rsidP="0035054F">
      <w:pPr>
        <w:spacing w:line="360" w:lineRule="auto"/>
      </w:pPr>
      <w:r>
        <w:t xml:space="preserve">Apart from these six steps for making supply chain more resilient, there are several strategies like managing the people in efficient manner, strategic planning methods, incorporation of redundancies, source optimisation, standardised processes and adopting best technologies for supply chain like AI, IIoT, robots and automation. All these help the industries to survive even after the disruptions in its operations. </w:t>
      </w:r>
    </w:p>
    <w:p w:rsidR="00891FB0" w:rsidRDefault="00891FB0" w:rsidP="0035054F">
      <w:pPr>
        <w:pStyle w:val="Heading1"/>
        <w:spacing w:line="360" w:lineRule="auto"/>
      </w:pPr>
      <w:bookmarkStart w:id="9" w:name="_Toc133659006"/>
      <w:r>
        <w:lastRenderedPageBreak/>
        <w:t>Conclusion</w:t>
      </w:r>
      <w:r w:rsidR="005F540F">
        <w:t xml:space="preserve"> and recommendations</w:t>
      </w:r>
      <w:bookmarkEnd w:id="9"/>
    </w:p>
    <w:p w:rsidR="00177DBE" w:rsidRPr="00177DBE" w:rsidRDefault="005F540F" w:rsidP="0035054F">
      <w:pPr>
        <w:spacing w:line="360" w:lineRule="auto"/>
      </w:pPr>
      <w:r>
        <w:t>As there are several possibilities of emerging issues in the international supply chain, we have analysed them in careful manner. These issues were addressed by using the FMEA analysis which is mainly focussed on the risk priority number (RPN). This helps in overcoming the issues with increased efficiency. Similar manner, t</w:t>
      </w:r>
      <w:r w:rsidR="00177DBE">
        <w:t xml:space="preserve">he </w:t>
      </w:r>
      <w:r>
        <w:t>issues in the organisation</w:t>
      </w:r>
      <w:r w:rsidR="00177DBE">
        <w:t xml:space="preserve"> is not only </w:t>
      </w:r>
      <w:r>
        <w:t>balanced by using resilient supply chain management but also requires innovation for strengthening its business operation</w:t>
      </w:r>
      <w:sdt>
        <w:sdtPr>
          <w:id w:val="-1770307467"/>
          <w:citation/>
        </w:sdtPr>
        <w:sdtContent>
          <w:r w:rsidR="00C74C12">
            <w:fldChar w:fldCharType="begin"/>
          </w:r>
          <w:r w:rsidR="00C74C12">
            <w:instrText xml:space="preserve"> CITATION Zal22 \l 16393 </w:instrText>
          </w:r>
          <w:r w:rsidR="00C74C12">
            <w:fldChar w:fldCharType="separate"/>
          </w:r>
          <w:r w:rsidR="00C74C12">
            <w:rPr>
              <w:noProof/>
            </w:rPr>
            <w:t xml:space="preserve"> </w:t>
          </w:r>
          <w:r w:rsidR="00C74C12" w:rsidRPr="00C74C12">
            <w:rPr>
              <w:noProof/>
            </w:rPr>
            <w:t>(Zalora, 2022)</w:t>
          </w:r>
          <w:r w:rsidR="00C74C12">
            <w:fldChar w:fldCharType="end"/>
          </w:r>
        </w:sdtContent>
      </w:sdt>
      <w:r>
        <w:t>. Most of the business organisation invest more on</w:t>
      </w:r>
      <w:r w:rsidR="00177DBE">
        <w:t xml:space="preserve"> </w:t>
      </w:r>
      <w:r>
        <w:t>peoples with high skills and knowledge for the purpose of building and managing the supply chains to improve efficiency. Hence by using proper strategies it is possible to make the supply chain more resilient in the business process.</w:t>
      </w:r>
    </w:p>
    <w:p w:rsidR="002A533F" w:rsidRDefault="005F540F" w:rsidP="0035054F">
      <w:pPr>
        <w:spacing w:line="360" w:lineRule="auto"/>
      </w:pPr>
      <w:r>
        <w:t>In order to conduct the future research with high efficiency, it is suggested to undergo FMEA analysis by using anyone of the approaches like Action priority (AP), Criticality and Custom. Even the combination of two or more approaches helps to identify the issues in the industry and provide suitable solutions for overcoming those issues successfully</w:t>
      </w:r>
      <w:sdt>
        <w:sdtPr>
          <w:id w:val="984281172"/>
          <w:citation/>
        </w:sdtPr>
        <w:sdtContent>
          <w:r w:rsidR="00C74C12">
            <w:fldChar w:fldCharType="begin"/>
          </w:r>
          <w:r w:rsidR="00C74C12">
            <w:instrText xml:space="preserve"> CITATION Rel20 \l 16393 </w:instrText>
          </w:r>
          <w:r w:rsidR="00C74C12">
            <w:fldChar w:fldCharType="separate"/>
          </w:r>
          <w:r w:rsidR="00C74C12">
            <w:rPr>
              <w:noProof/>
            </w:rPr>
            <w:t xml:space="preserve"> </w:t>
          </w:r>
          <w:r w:rsidR="00C74C12" w:rsidRPr="00C74C12">
            <w:rPr>
              <w:noProof/>
            </w:rPr>
            <w:t>(Corporation, 2020)</w:t>
          </w:r>
          <w:r w:rsidR="00C74C12">
            <w:fldChar w:fldCharType="end"/>
          </w:r>
        </w:sdtContent>
      </w:sdt>
      <w:r>
        <w:t xml:space="preserve">. The supply chain can also be made more resilient by implementing more strategies for the expansion and improvement of the international business process.  </w:t>
      </w: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p w:rsidR="0035054F" w:rsidRDefault="0035054F" w:rsidP="0035054F">
      <w:pPr>
        <w:spacing w:line="360" w:lineRule="auto"/>
      </w:pPr>
    </w:p>
    <w:bookmarkStart w:id="10" w:name="_Toc133659007" w:displacedByCustomXml="next"/>
    <w:sdt>
      <w:sdtPr>
        <w:rPr>
          <w:rFonts w:eastAsiaTheme="minorHAnsi" w:cstheme="minorBidi"/>
          <w:b w:val="0"/>
          <w:sz w:val="24"/>
          <w:szCs w:val="22"/>
        </w:rPr>
        <w:id w:val="105864402"/>
        <w:docPartObj>
          <w:docPartGallery w:val="Bibliographies"/>
          <w:docPartUnique/>
        </w:docPartObj>
      </w:sdtPr>
      <w:sdtContent>
        <w:p w:rsidR="0035054F" w:rsidRDefault="0035054F" w:rsidP="0035054F">
          <w:pPr>
            <w:pStyle w:val="Heading1"/>
            <w:spacing w:line="360" w:lineRule="auto"/>
          </w:pPr>
          <w:r>
            <w:t>References</w:t>
          </w:r>
          <w:bookmarkEnd w:id="10"/>
        </w:p>
        <w:sdt>
          <w:sdtPr>
            <w:id w:val="-573587230"/>
            <w:bibliography/>
          </w:sdtPr>
          <w:sdtContent>
            <w:p w:rsidR="0035054F" w:rsidRDefault="0035054F" w:rsidP="0035054F">
              <w:pPr>
                <w:pStyle w:val="Bibliography"/>
                <w:spacing w:line="360" w:lineRule="auto"/>
                <w:rPr>
                  <w:noProof/>
                  <w:szCs w:val="24"/>
                </w:rPr>
              </w:pPr>
              <w:r>
                <w:fldChar w:fldCharType="begin"/>
              </w:r>
              <w:r>
                <w:instrText xml:space="preserve"> BIBLIOGRAPHY </w:instrText>
              </w:r>
              <w:r>
                <w:fldChar w:fldCharType="separate"/>
              </w:r>
              <w:r>
                <w:rPr>
                  <w:noProof/>
                </w:rPr>
                <w:t xml:space="preserve">Bartlett, P. A. &amp; Julien, D. M. a. B. T. S., 2019. Improving supply chain performance through improved visibility. </w:t>
              </w:r>
              <w:r>
                <w:rPr>
                  <w:i/>
                  <w:iCs/>
                  <w:noProof/>
                </w:rPr>
                <w:t>https://publications.aston.ac.uk/id/eprint/38664/1/Improving_supply_chain_performance_through_improved_visibility.pdf.</w:t>
              </w:r>
            </w:p>
            <w:p w:rsidR="0035054F" w:rsidRDefault="0035054F" w:rsidP="0035054F">
              <w:pPr>
                <w:pStyle w:val="Bibliography"/>
                <w:spacing w:line="360" w:lineRule="auto"/>
                <w:rPr>
                  <w:noProof/>
                </w:rPr>
              </w:pPr>
              <w:r>
                <w:rPr>
                  <w:noProof/>
                </w:rPr>
                <w:t xml:space="preserve">Corporation, R., 2020. How to assess risk using FMEA. </w:t>
              </w:r>
              <w:r>
                <w:rPr>
                  <w:i/>
                  <w:iCs/>
                  <w:noProof/>
                </w:rPr>
                <w:t>https://relyence.com/wp-content/uploads/2020/09/FMEA-Risk-Assessment-White-Paper.pdfhttps://relyence.com/wp-content/uploads/2020/09/FMEA-Risk-Assessment-White-Paper.pdf.</w:t>
              </w:r>
            </w:p>
            <w:p w:rsidR="0035054F" w:rsidRDefault="0035054F" w:rsidP="0035054F">
              <w:pPr>
                <w:pStyle w:val="Bibliography"/>
                <w:spacing w:line="360" w:lineRule="auto"/>
                <w:rPr>
                  <w:noProof/>
                </w:rPr>
              </w:pPr>
              <w:r>
                <w:rPr>
                  <w:noProof/>
                </w:rPr>
                <w:t xml:space="preserve">Hbk, 2022. Examining Risk Priority Numbers in FMEA. </w:t>
              </w:r>
              <w:r>
                <w:rPr>
                  <w:i/>
                  <w:iCs/>
                  <w:noProof/>
                </w:rPr>
                <w:t>https://www.hbkworld.com/en/knowledge/resource-center/articles/2022/examining-risk-priority-numbers-in-fmea#!ref_reliasoft.com.</w:t>
              </w:r>
            </w:p>
            <w:p w:rsidR="0035054F" w:rsidRDefault="0035054F" w:rsidP="0035054F">
              <w:pPr>
                <w:pStyle w:val="Bibliography"/>
                <w:spacing w:line="360" w:lineRule="auto"/>
                <w:rPr>
                  <w:noProof/>
                </w:rPr>
              </w:pPr>
              <w:r>
                <w:rPr>
                  <w:noProof/>
                </w:rPr>
                <w:t xml:space="preserve">Hippold, S., 2020. 6 Strategies for a More Resilient Supply Chain. </w:t>
              </w:r>
              <w:r>
                <w:rPr>
                  <w:i/>
                  <w:iCs/>
                  <w:noProof/>
                </w:rPr>
                <w:t>https://www.gartner.com/smarterwithgartner/6-strategies-for-a-more-resilient-supply-chain.</w:t>
              </w:r>
            </w:p>
            <w:p w:rsidR="0035054F" w:rsidRDefault="0035054F" w:rsidP="0035054F">
              <w:pPr>
                <w:pStyle w:val="Bibliography"/>
                <w:spacing w:line="360" w:lineRule="auto"/>
                <w:rPr>
                  <w:noProof/>
                </w:rPr>
              </w:pPr>
              <w:r>
                <w:rPr>
                  <w:noProof/>
                </w:rPr>
                <w:t xml:space="preserve">I. M. Ambe, J. A. B.-W., 2019. Strategic supply chain framework for the automotive industry. </w:t>
              </w:r>
              <w:r>
                <w:rPr>
                  <w:i/>
                  <w:iCs/>
                  <w:noProof/>
                </w:rPr>
                <w:t>https://www.internationalscholarsjournals.com/articles/strategic-supply-chain-framework-for-the-automotive-industry.pdf.</w:t>
              </w:r>
            </w:p>
            <w:p w:rsidR="0035054F" w:rsidRDefault="0035054F" w:rsidP="0035054F">
              <w:pPr>
                <w:pStyle w:val="Bibliography"/>
                <w:spacing w:line="360" w:lineRule="auto"/>
                <w:rPr>
                  <w:noProof/>
                </w:rPr>
              </w:pPr>
              <w:r>
                <w:rPr>
                  <w:noProof/>
                </w:rPr>
                <w:t xml:space="preserve">Kapil Dev Sharma, S. S., 2018. Failure Mode and Effect Analysis (FMEA) Implementation: A Literature Review. </w:t>
              </w:r>
              <w:r>
                <w:rPr>
                  <w:i/>
                  <w:iCs/>
                  <w:noProof/>
                </w:rPr>
                <w:t>https://www.researchgate.net/profile/Kapil-Sharma-41/publication/333209894_Failure_Mode_and_Effect_Analysis_FMEA_Implementation_A_Literature_Review/links/5ce26881a6fdccc9ddbed894/Failure-Mode-and-Effect-Analysis-FMEA-Implementation-A-Literature-Review.pdf.</w:t>
              </w:r>
            </w:p>
            <w:p w:rsidR="0035054F" w:rsidRDefault="0035054F" w:rsidP="0035054F">
              <w:pPr>
                <w:pStyle w:val="Bibliography"/>
                <w:spacing w:line="360" w:lineRule="auto"/>
                <w:rPr>
                  <w:noProof/>
                </w:rPr>
              </w:pPr>
              <w:r>
                <w:rPr>
                  <w:noProof/>
                </w:rPr>
                <w:t xml:space="preserve">Kiran, D. R., 2017. Failure Modes and Effects Analysis. </w:t>
              </w:r>
              <w:r>
                <w:rPr>
                  <w:i/>
                  <w:iCs/>
                  <w:noProof/>
                </w:rPr>
                <w:t>Total Quality Management.</w:t>
              </w:r>
            </w:p>
            <w:p w:rsidR="0035054F" w:rsidRDefault="0035054F" w:rsidP="0035054F">
              <w:pPr>
                <w:pStyle w:val="Bibliography"/>
                <w:spacing w:line="360" w:lineRule="auto"/>
                <w:rPr>
                  <w:noProof/>
                </w:rPr>
              </w:pPr>
              <w:r>
                <w:rPr>
                  <w:noProof/>
                </w:rPr>
                <w:t xml:space="preserve">Lucian Petrescu, M.-C. P. E. C. V. I., 2021. Risk Priority Number vs Action Priority in Electrical Systems. </w:t>
              </w:r>
              <w:r>
                <w:rPr>
                  <w:i/>
                  <w:iCs/>
                  <w:noProof/>
                </w:rPr>
                <w:t>https://ieeexplore.ieee.org/document/9425178.</w:t>
              </w:r>
            </w:p>
            <w:p w:rsidR="0035054F" w:rsidRDefault="0035054F" w:rsidP="0035054F">
              <w:pPr>
                <w:pStyle w:val="Bibliography"/>
                <w:spacing w:line="360" w:lineRule="auto"/>
                <w:rPr>
                  <w:noProof/>
                </w:rPr>
              </w:pPr>
              <w:r>
                <w:rPr>
                  <w:noProof/>
                </w:rPr>
                <w:t xml:space="preserve">Maryam Masoumi, N. K. S. H. A.-R., 2019. Sustainable Supply Chain Management in the Automotive Industry: A Process-Oriented Review. </w:t>
              </w:r>
              <w:r>
                <w:rPr>
                  <w:i/>
                  <w:iCs/>
                  <w:noProof/>
                </w:rPr>
                <w:t>https://www.mdpi.com/2071-1050/11/14/3945.</w:t>
              </w:r>
            </w:p>
            <w:p w:rsidR="0035054F" w:rsidRDefault="0035054F" w:rsidP="0035054F">
              <w:pPr>
                <w:pStyle w:val="Bibliography"/>
                <w:spacing w:line="360" w:lineRule="auto"/>
                <w:rPr>
                  <w:noProof/>
                </w:rPr>
              </w:pPr>
              <w:r>
                <w:rPr>
                  <w:noProof/>
                </w:rPr>
                <w:t xml:space="preserve">NEVILLE, L., 2021. Six Steps To Supply Chain Resilience. </w:t>
              </w:r>
              <w:r>
                <w:rPr>
                  <w:i/>
                  <w:iCs/>
                  <w:noProof/>
                </w:rPr>
                <w:t>https://www.gfmag.com/magazine/december-2021/building-supply-chain-resilience.</w:t>
              </w:r>
            </w:p>
            <w:p w:rsidR="0035054F" w:rsidRDefault="0035054F" w:rsidP="0035054F">
              <w:pPr>
                <w:pStyle w:val="Bibliography"/>
                <w:spacing w:line="360" w:lineRule="auto"/>
                <w:rPr>
                  <w:noProof/>
                </w:rPr>
              </w:pPr>
              <w:r>
                <w:rPr>
                  <w:noProof/>
                </w:rPr>
                <w:lastRenderedPageBreak/>
                <w:t xml:space="preserve">Sachin Bhimrao Khot, S. T., 2019. Resilience and sustainability of supply chain management in the Indian automobile industry. </w:t>
              </w:r>
              <w:r>
                <w:rPr>
                  <w:i/>
                  <w:iCs/>
                  <w:noProof/>
                </w:rPr>
                <w:t>https://www.researchgate.net/publication/333397159_Resilience_and_sustainability_of_supply_chain_management_in_the_Indian_automobile_industry.</w:t>
              </w:r>
            </w:p>
            <w:p w:rsidR="0035054F" w:rsidRDefault="0035054F" w:rsidP="0035054F">
              <w:pPr>
                <w:pStyle w:val="Bibliography"/>
                <w:spacing w:line="360" w:lineRule="auto"/>
                <w:rPr>
                  <w:noProof/>
                </w:rPr>
              </w:pPr>
              <w:r>
                <w:rPr>
                  <w:noProof/>
                </w:rPr>
                <w:t xml:space="preserve">Xiaojun Wu, J. W., 2021. The Risk Priority Number Evaluation of FMEA Analysis Based on Random Uncertainty and Fuzzy Uncertainty. </w:t>
              </w:r>
              <w:r>
                <w:rPr>
                  <w:i/>
                  <w:iCs/>
                  <w:noProof/>
                </w:rPr>
                <w:t>https://www.hindawi.com/journals/complexity/2021/8817667/.</w:t>
              </w:r>
            </w:p>
            <w:p w:rsidR="0035054F" w:rsidRDefault="0035054F" w:rsidP="0035054F">
              <w:pPr>
                <w:pStyle w:val="Bibliography"/>
                <w:spacing w:line="360" w:lineRule="auto"/>
                <w:rPr>
                  <w:noProof/>
                </w:rPr>
              </w:pPr>
              <w:r>
                <w:rPr>
                  <w:noProof/>
                </w:rPr>
                <w:t xml:space="preserve">Zalora, 2022. Driving resilience in automotive supply chains. </w:t>
              </w:r>
              <w:r>
                <w:rPr>
                  <w:i/>
                  <w:iCs/>
                  <w:noProof/>
                </w:rPr>
                <w:t>https://www.royaleinternational.com/2022/09/driving-resilience-in-automotive-supply-chains/.</w:t>
              </w:r>
            </w:p>
            <w:p w:rsidR="0035054F" w:rsidRDefault="0035054F" w:rsidP="0035054F">
              <w:pPr>
                <w:pStyle w:val="Bibliography"/>
                <w:spacing w:line="360" w:lineRule="auto"/>
                <w:rPr>
                  <w:noProof/>
                </w:rPr>
              </w:pPr>
              <w:r>
                <w:rPr>
                  <w:noProof/>
                </w:rPr>
                <w:t xml:space="preserve">Zhongyi Wu, W. L. W. N., 2021. Literature review and prospect of the development and application of FMEA in manufacturing industry. </w:t>
              </w:r>
              <w:r>
                <w:rPr>
                  <w:i/>
                  <w:iCs/>
                  <w:noProof/>
                </w:rPr>
                <w:t>https://link.springer.com/article/10.1007/s00170-020-06425-0.</w:t>
              </w:r>
            </w:p>
            <w:p w:rsidR="0035054F" w:rsidRDefault="0035054F" w:rsidP="0035054F">
              <w:pPr>
                <w:spacing w:line="360" w:lineRule="auto"/>
              </w:pPr>
              <w:r>
                <w:rPr>
                  <w:b/>
                  <w:bCs/>
                  <w:noProof/>
                </w:rPr>
                <w:fldChar w:fldCharType="end"/>
              </w:r>
            </w:p>
          </w:sdtContent>
        </w:sdt>
      </w:sdtContent>
    </w:sdt>
    <w:p w:rsidR="0035054F" w:rsidRPr="002A533F" w:rsidRDefault="0035054F" w:rsidP="0035054F">
      <w:pPr>
        <w:spacing w:line="360" w:lineRule="auto"/>
      </w:pPr>
    </w:p>
    <w:sectPr w:rsidR="0035054F" w:rsidRPr="002A533F" w:rsidSect="008D5A1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45748"/>
    <w:multiLevelType w:val="hybridMultilevel"/>
    <w:tmpl w:val="51ACAF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19164E"/>
    <w:multiLevelType w:val="hybridMultilevel"/>
    <w:tmpl w:val="CBFADB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6811268"/>
    <w:multiLevelType w:val="hybridMultilevel"/>
    <w:tmpl w:val="CC52F6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94824062">
    <w:abstractNumId w:val="2"/>
  </w:num>
  <w:num w:numId="2" w16cid:durableId="302077575">
    <w:abstractNumId w:val="1"/>
  </w:num>
  <w:num w:numId="3" w16cid:durableId="736051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A16"/>
    <w:rsid w:val="00006BC1"/>
    <w:rsid w:val="00011723"/>
    <w:rsid w:val="00081F35"/>
    <w:rsid w:val="00177DBE"/>
    <w:rsid w:val="001B35F9"/>
    <w:rsid w:val="002A533F"/>
    <w:rsid w:val="0035054F"/>
    <w:rsid w:val="00384C06"/>
    <w:rsid w:val="003D075B"/>
    <w:rsid w:val="00404066"/>
    <w:rsid w:val="004837A0"/>
    <w:rsid w:val="00491E3A"/>
    <w:rsid w:val="005D4610"/>
    <w:rsid w:val="005D6F33"/>
    <w:rsid w:val="005F540F"/>
    <w:rsid w:val="00861AAE"/>
    <w:rsid w:val="00891FB0"/>
    <w:rsid w:val="008D5A16"/>
    <w:rsid w:val="008E21A6"/>
    <w:rsid w:val="00904326"/>
    <w:rsid w:val="00996F38"/>
    <w:rsid w:val="00AA4014"/>
    <w:rsid w:val="00AA5340"/>
    <w:rsid w:val="00B52136"/>
    <w:rsid w:val="00B901E0"/>
    <w:rsid w:val="00C74C12"/>
    <w:rsid w:val="00D26B5F"/>
    <w:rsid w:val="00D40C92"/>
    <w:rsid w:val="00DE35C2"/>
    <w:rsid w:val="00EA487D"/>
    <w:rsid w:val="00FB3DD7"/>
    <w:rsid w:val="00FE0C05"/>
    <w:rsid w:val="00FF77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B9D99"/>
  <w15:chartTrackingRefBased/>
  <w15:docId w15:val="{BF8CEB2C-BC80-4DA4-BDC5-AA0AF9B56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C05"/>
    <w:pPr>
      <w:jc w:val="both"/>
    </w:pPr>
    <w:rPr>
      <w:rFonts w:ascii="Times New Roman" w:hAnsi="Times New Roman"/>
      <w:sz w:val="24"/>
    </w:rPr>
  </w:style>
  <w:style w:type="paragraph" w:styleId="Heading1">
    <w:name w:val="heading 1"/>
    <w:basedOn w:val="Normal"/>
    <w:next w:val="Normal"/>
    <w:link w:val="Heading1Char"/>
    <w:uiPriority w:val="9"/>
    <w:qFormat/>
    <w:rsid w:val="00FE0C0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E0C0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C0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E0C05"/>
    <w:rPr>
      <w:rFonts w:ascii="Times New Roman" w:eastAsiaTheme="majorEastAsia" w:hAnsi="Times New Roman" w:cstheme="majorBidi"/>
      <w:b/>
      <w:sz w:val="28"/>
      <w:szCs w:val="26"/>
    </w:rPr>
  </w:style>
  <w:style w:type="table" w:styleId="TableGrid">
    <w:name w:val="Table Grid"/>
    <w:basedOn w:val="TableNormal"/>
    <w:uiPriority w:val="39"/>
    <w:rsid w:val="00006B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4066"/>
    <w:pPr>
      <w:ind w:left="720"/>
      <w:contextualSpacing/>
    </w:pPr>
  </w:style>
  <w:style w:type="paragraph" w:styleId="Bibliography">
    <w:name w:val="Bibliography"/>
    <w:basedOn w:val="Normal"/>
    <w:next w:val="Normal"/>
    <w:uiPriority w:val="37"/>
    <w:unhideWhenUsed/>
    <w:rsid w:val="0035054F"/>
  </w:style>
  <w:style w:type="paragraph" w:styleId="TOCHeading">
    <w:name w:val="TOC Heading"/>
    <w:basedOn w:val="Heading1"/>
    <w:next w:val="Normal"/>
    <w:uiPriority w:val="39"/>
    <w:unhideWhenUsed/>
    <w:qFormat/>
    <w:rsid w:val="0035054F"/>
    <w:pPr>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35054F"/>
    <w:pPr>
      <w:spacing w:after="100"/>
    </w:pPr>
  </w:style>
  <w:style w:type="paragraph" w:styleId="TOC2">
    <w:name w:val="toc 2"/>
    <w:basedOn w:val="Normal"/>
    <w:next w:val="Normal"/>
    <w:autoRedefine/>
    <w:uiPriority w:val="39"/>
    <w:unhideWhenUsed/>
    <w:rsid w:val="0035054F"/>
    <w:pPr>
      <w:spacing w:after="100"/>
      <w:ind w:left="240"/>
    </w:pPr>
  </w:style>
  <w:style w:type="character" w:styleId="Hyperlink">
    <w:name w:val="Hyperlink"/>
    <w:basedOn w:val="DefaultParagraphFont"/>
    <w:uiPriority w:val="99"/>
    <w:unhideWhenUsed/>
    <w:rsid w:val="003505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0337">
      <w:bodyDiv w:val="1"/>
      <w:marLeft w:val="0"/>
      <w:marRight w:val="0"/>
      <w:marTop w:val="0"/>
      <w:marBottom w:val="0"/>
      <w:divBdr>
        <w:top w:val="none" w:sz="0" w:space="0" w:color="auto"/>
        <w:left w:val="none" w:sz="0" w:space="0" w:color="auto"/>
        <w:bottom w:val="none" w:sz="0" w:space="0" w:color="auto"/>
        <w:right w:val="none" w:sz="0" w:space="0" w:color="auto"/>
      </w:divBdr>
    </w:div>
    <w:div w:id="39281101">
      <w:bodyDiv w:val="1"/>
      <w:marLeft w:val="0"/>
      <w:marRight w:val="0"/>
      <w:marTop w:val="0"/>
      <w:marBottom w:val="0"/>
      <w:divBdr>
        <w:top w:val="none" w:sz="0" w:space="0" w:color="auto"/>
        <w:left w:val="none" w:sz="0" w:space="0" w:color="auto"/>
        <w:bottom w:val="none" w:sz="0" w:space="0" w:color="auto"/>
        <w:right w:val="none" w:sz="0" w:space="0" w:color="auto"/>
      </w:divBdr>
    </w:div>
    <w:div w:id="95251463">
      <w:bodyDiv w:val="1"/>
      <w:marLeft w:val="0"/>
      <w:marRight w:val="0"/>
      <w:marTop w:val="0"/>
      <w:marBottom w:val="0"/>
      <w:divBdr>
        <w:top w:val="none" w:sz="0" w:space="0" w:color="auto"/>
        <w:left w:val="none" w:sz="0" w:space="0" w:color="auto"/>
        <w:bottom w:val="none" w:sz="0" w:space="0" w:color="auto"/>
        <w:right w:val="none" w:sz="0" w:space="0" w:color="auto"/>
      </w:divBdr>
    </w:div>
    <w:div w:id="103771366">
      <w:bodyDiv w:val="1"/>
      <w:marLeft w:val="0"/>
      <w:marRight w:val="0"/>
      <w:marTop w:val="0"/>
      <w:marBottom w:val="0"/>
      <w:divBdr>
        <w:top w:val="none" w:sz="0" w:space="0" w:color="auto"/>
        <w:left w:val="none" w:sz="0" w:space="0" w:color="auto"/>
        <w:bottom w:val="none" w:sz="0" w:space="0" w:color="auto"/>
        <w:right w:val="none" w:sz="0" w:space="0" w:color="auto"/>
      </w:divBdr>
    </w:div>
    <w:div w:id="120416250">
      <w:bodyDiv w:val="1"/>
      <w:marLeft w:val="0"/>
      <w:marRight w:val="0"/>
      <w:marTop w:val="0"/>
      <w:marBottom w:val="0"/>
      <w:divBdr>
        <w:top w:val="none" w:sz="0" w:space="0" w:color="auto"/>
        <w:left w:val="none" w:sz="0" w:space="0" w:color="auto"/>
        <w:bottom w:val="none" w:sz="0" w:space="0" w:color="auto"/>
        <w:right w:val="none" w:sz="0" w:space="0" w:color="auto"/>
      </w:divBdr>
    </w:div>
    <w:div w:id="298806949">
      <w:bodyDiv w:val="1"/>
      <w:marLeft w:val="0"/>
      <w:marRight w:val="0"/>
      <w:marTop w:val="0"/>
      <w:marBottom w:val="0"/>
      <w:divBdr>
        <w:top w:val="none" w:sz="0" w:space="0" w:color="auto"/>
        <w:left w:val="none" w:sz="0" w:space="0" w:color="auto"/>
        <w:bottom w:val="none" w:sz="0" w:space="0" w:color="auto"/>
        <w:right w:val="none" w:sz="0" w:space="0" w:color="auto"/>
      </w:divBdr>
    </w:div>
    <w:div w:id="307445578">
      <w:bodyDiv w:val="1"/>
      <w:marLeft w:val="0"/>
      <w:marRight w:val="0"/>
      <w:marTop w:val="0"/>
      <w:marBottom w:val="0"/>
      <w:divBdr>
        <w:top w:val="none" w:sz="0" w:space="0" w:color="auto"/>
        <w:left w:val="none" w:sz="0" w:space="0" w:color="auto"/>
        <w:bottom w:val="none" w:sz="0" w:space="0" w:color="auto"/>
        <w:right w:val="none" w:sz="0" w:space="0" w:color="auto"/>
      </w:divBdr>
    </w:div>
    <w:div w:id="339478194">
      <w:bodyDiv w:val="1"/>
      <w:marLeft w:val="0"/>
      <w:marRight w:val="0"/>
      <w:marTop w:val="0"/>
      <w:marBottom w:val="0"/>
      <w:divBdr>
        <w:top w:val="none" w:sz="0" w:space="0" w:color="auto"/>
        <w:left w:val="none" w:sz="0" w:space="0" w:color="auto"/>
        <w:bottom w:val="none" w:sz="0" w:space="0" w:color="auto"/>
        <w:right w:val="none" w:sz="0" w:space="0" w:color="auto"/>
      </w:divBdr>
    </w:div>
    <w:div w:id="395401044">
      <w:bodyDiv w:val="1"/>
      <w:marLeft w:val="0"/>
      <w:marRight w:val="0"/>
      <w:marTop w:val="0"/>
      <w:marBottom w:val="0"/>
      <w:divBdr>
        <w:top w:val="none" w:sz="0" w:space="0" w:color="auto"/>
        <w:left w:val="none" w:sz="0" w:space="0" w:color="auto"/>
        <w:bottom w:val="none" w:sz="0" w:space="0" w:color="auto"/>
        <w:right w:val="none" w:sz="0" w:space="0" w:color="auto"/>
      </w:divBdr>
    </w:div>
    <w:div w:id="453909218">
      <w:bodyDiv w:val="1"/>
      <w:marLeft w:val="0"/>
      <w:marRight w:val="0"/>
      <w:marTop w:val="0"/>
      <w:marBottom w:val="0"/>
      <w:divBdr>
        <w:top w:val="none" w:sz="0" w:space="0" w:color="auto"/>
        <w:left w:val="none" w:sz="0" w:space="0" w:color="auto"/>
        <w:bottom w:val="none" w:sz="0" w:space="0" w:color="auto"/>
        <w:right w:val="none" w:sz="0" w:space="0" w:color="auto"/>
      </w:divBdr>
    </w:div>
    <w:div w:id="495220559">
      <w:bodyDiv w:val="1"/>
      <w:marLeft w:val="0"/>
      <w:marRight w:val="0"/>
      <w:marTop w:val="0"/>
      <w:marBottom w:val="0"/>
      <w:divBdr>
        <w:top w:val="none" w:sz="0" w:space="0" w:color="auto"/>
        <w:left w:val="none" w:sz="0" w:space="0" w:color="auto"/>
        <w:bottom w:val="none" w:sz="0" w:space="0" w:color="auto"/>
        <w:right w:val="none" w:sz="0" w:space="0" w:color="auto"/>
      </w:divBdr>
    </w:div>
    <w:div w:id="690034849">
      <w:bodyDiv w:val="1"/>
      <w:marLeft w:val="0"/>
      <w:marRight w:val="0"/>
      <w:marTop w:val="0"/>
      <w:marBottom w:val="0"/>
      <w:divBdr>
        <w:top w:val="none" w:sz="0" w:space="0" w:color="auto"/>
        <w:left w:val="none" w:sz="0" w:space="0" w:color="auto"/>
        <w:bottom w:val="none" w:sz="0" w:space="0" w:color="auto"/>
        <w:right w:val="none" w:sz="0" w:space="0" w:color="auto"/>
      </w:divBdr>
    </w:div>
    <w:div w:id="712770840">
      <w:bodyDiv w:val="1"/>
      <w:marLeft w:val="0"/>
      <w:marRight w:val="0"/>
      <w:marTop w:val="0"/>
      <w:marBottom w:val="0"/>
      <w:divBdr>
        <w:top w:val="none" w:sz="0" w:space="0" w:color="auto"/>
        <w:left w:val="none" w:sz="0" w:space="0" w:color="auto"/>
        <w:bottom w:val="none" w:sz="0" w:space="0" w:color="auto"/>
        <w:right w:val="none" w:sz="0" w:space="0" w:color="auto"/>
      </w:divBdr>
    </w:div>
    <w:div w:id="981274219">
      <w:bodyDiv w:val="1"/>
      <w:marLeft w:val="0"/>
      <w:marRight w:val="0"/>
      <w:marTop w:val="0"/>
      <w:marBottom w:val="0"/>
      <w:divBdr>
        <w:top w:val="none" w:sz="0" w:space="0" w:color="auto"/>
        <w:left w:val="none" w:sz="0" w:space="0" w:color="auto"/>
        <w:bottom w:val="none" w:sz="0" w:space="0" w:color="auto"/>
        <w:right w:val="none" w:sz="0" w:space="0" w:color="auto"/>
      </w:divBdr>
    </w:div>
    <w:div w:id="1214390724">
      <w:bodyDiv w:val="1"/>
      <w:marLeft w:val="0"/>
      <w:marRight w:val="0"/>
      <w:marTop w:val="0"/>
      <w:marBottom w:val="0"/>
      <w:divBdr>
        <w:top w:val="none" w:sz="0" w:space="0" w:color="auto"/>
        <w:left w:val="none" w:sz="0" w:space="0" w:color="auto"/>
        <w:bottom w:val="none" w:sz="0" w:space="0" w:color="auto"/>
        <w:right w:val="none" w:sz="0" w:space="0" w:color="auto"/>
      </w:divBdr>
    </w:div>
    <w:div w:id="1255242763">
      <w:bodyDiv w:val="1"/>
      <w:marLeft w:val="0"/>
      <w:marRight w:val="0"/>
      <w:marTop w:val="0"/>
      <w:marBottom w:val="0"/>
      <w:divBdr>
        <w:top w:val="none" w:sz="0" w:space="0" w:color="auto"/>
        <w:left w:val="none" w:sz="0" w:space="0" w:color="auto"/>
        <w:bottom w:val="none" w:sz="0" w:space="0" w:color="auto"/>
        <w:right w:val="none" w:sz="0" w:space="0" w:color="auto"/>
      </w:divBdr>
    </w:div>
    <w:div w:id="1372997013">
      <w:bodyDiv w:val="1"/>
      <w:marLeft w:val="0"/>
      <w:marRight w:val="0"/>
      <w:marTop w:val="0"/>
      <w:marBottom w:val="0"/>
      <w:divBdr>
        <w:top w:val="none" w:sz="0" w:space="0" w:color="auto"/>
        <w:left w:val="none" w:sz="0" w:space="0" w:color="auto"/>
        <w:bottom w:val="none" w:sz="0" w:space="0" w:color="auto"/>
        <w:right w:val="none" w:sz="0" w:space="0" w:color="auto"/>
      </w:divBdr>
    </w:div>
    <w:div w:id="1497961718">
      <w:bodyDiv w:val="1"/>
      <w:marLeft w:val="0"/>
      <w:marRight w:val="0"/>
      <w:marTop w:val="0"/>
      <w:marBottom w:val="0"/>
      <w:divBdr>
        <w:top w:val="none" w:sz="0" w:space="0" w:color="auto"/>
        <w:left w:val="none" w:sz="0" w:space="0" w:color="auto"/>
        <w:bottom w:val="none" w:sz="0" w:space="0" w:color="auto"/>
        <w:right w:val="none" w:sz="0" w:space="0" w:color="auto"/>
      </w:divBdr>
    </w:div>
    <w:div w:id="1599633195">
      <w:bodyDiv w:val="1"/>
      <w:marLeft w:val="0"/>
      <w:marRight w:val="0"/>
      <w:marTop w:val="0"/>
      <w:marBottom w:val="0"/>
      <w:divBdr>
        <w:top w:val="none" w:sz="0" w:space="0" w:color="auto"/>
        <w:left w:val="none" w:sz="0" w:space="0" w:color="auto"/>
        <w:bottom w:val="none" w:sz="0" w:space="0" w:color="auto"/>
        <w:right w:val="none" w:sz="0" w:space="0" w:color="auto"/>
      </w:divBdr>
    </w:div>
    <w:div w:id="1614358347">
      <w:bodyDiv w:val="1"/>
      <w:marLeft w:val="0"/>
      <w:marRight w:val="0"/>
      <w:marTop w:val="0"/>
      <w:marBottom w:val="0"/>
      <w:divBdr>
        <w:top w:val="none" w:sz="0" w:space="0" w:color="auto"/>
        <w:left w:val="none" w:sz="0" w:space="0" w:color="auto"/>
        <w:bottom w:val="none" w:sz="0" w:space="0" w:color="auto"/>
        <w:right w:val="none" w:sz="0" w:space="0" w:color="auto"/>
      </w:divBdr>
    </w:div>
    <w:div w:id="2003771864">
      <w:bodyDiv w:val="1"/>
      <w:marLeft w:val="0"/>
      <w:marRight w:val="0"/>
      <w:marTop w:val="0"/>
      <w:marBottom w:val="0"/>
      <w:divBdr>
        <w:top w:val="none" w:sz="0" w:space="0" w:color="auto"/>
        <w:left w:val="none" w:sz="0" w:space="0" w:color="auto"/>
        <w:bottom w:val="none" w:sz="0" w:space="0" w:color="auto"/>
        <w:right w:val="none" w:sz="0" w:space="0" w:color="auto"/>
      </w:divBdr>
    </w:div>
    <w:div w:id="2108622586">
      <w:bodyDiv w:val="1"/>
      <w:marLeft w:val="0"/>
      <w:marRight w:val="0"/>
      <w:marTop w:val="0"/>
      <w:marBottom w:val="0"/>
      <w:divBdr>
        <w:top w:val="none" w:sz="0" w:space="0" w:color="auto"/>
        <w:left w:val="none" w:sz="0" w:space="0" w:color="auto"/>
        <w:bottom w:val="none" w:sz="0" w:space="0" w:color="auto"/>
        <w:right w:val="none" w:sz="0" w:space="0" w:color="auto"/>
      </w:divBdr>
    </w:div>
    <w:div w:id="2121875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Rel20</b:Tag>
    <b:SourceType>JournalArticle</b:SourceType>
    <b:Guid>{8296E1A0-1F80-46BB-8CA7-FB70E85CA190}</b:Guid>
    <b:Author>
      <b:Author>
        <b:NameList>
          <b:Person>
            <b:Last>Corporation</b:Last>
            <b:First>Relyence</b:First>
          </b:Person>
        </b:NameList>
      </b:Author>
    </b:Author>
    <b:Title>How to assess risk using FMEA</b:Title>
    <b:JournalName>https://relyence.com/wp-content/uploads/2020/09/FMEA-Risk-Assessment-White-Paper.pdfhttps://relyence.com/wp-content/uploads/2020/09/FMEA-Risk-Assessment-White-Paper.pdf</b:JournalName>
    <b:Year>2020</b:Year>
    <b:RefOrder>6</b:RefOrder>
  </b:Source>
  <b:Source>
    <b:Tag>Zal22</b:Tag>
    <b:SourceType>JournalArticle</b:SourceType>
    <b:Guid>{29D7A443-C723-40CA-9C7C-A59FED920516}</b:Guid>
    <b:Author>
      <b:Author>
        <b:NameList>
          <b:Person>
            <b:Last>Zalora</b:Last>
          </b:Person>
        </b:NameList>
      </b:Author>
    </b:Author>
    <b:Title>Driving resilience in automotive supply chains </b:Title>
    <b:JournalName>https://www.royaleinternational.com/2022/09/driving-resilience-in-automotive-supply-chains/</b:JournalName>
    <b:Year>2022</b:Year>
    <b:RefOrder>11</b:RefOrder>
  </b:Source>
  <b:Source>
    <b:Tag>Mar195</b:Tag>
    <b:SourceType>JournalArticle</b:SourceType>
    <b:Guid>{13F2F144-588C-4D1A-9916-E4265D6A1F4A}</b:Guid>
    <b:Author>
      <b:Author>
        <b:NameList>
          <b:Person>
            <b:Last>Maryam Masoumi</b:Last>
            <b:First>Nima</b:First>
            <b:Middle>Kazemi, Salwa Hanim Abdul-Rashid</b:Middle>
          </b:Person>
        </b:NameList>
      </b:Author>
    </b:Author>
    <b:Title>Sustainable Supply Chain Management in the Automotive Industry: A Process-Oriented Review</b:Title>
    <b:JournalName>https://www.mdpi.com/2071-1050/11/14/3945</b:JournalName>
    <b:Year>2019</b:Year>
    <b:RefOrder>14</b:RefOrder>
  </b:Source>
  <b:Source>
    <b:Tag>IMA19</b:Tag>
    <b:SourceType>JournalArticle</b:SourceType>
    <b:Guid>{EE26BDCD-3FF4-4DEA-9E91-97925D78225B}</b:Guid>
    <b:Author>
      <b:Author>
        <b:NameList>
          <b:Person>
            <b:Last>I. M. Ambe</b:Last>
            <b:First>J.</b:First>
            <b:Middle>A. Badenhorst-Weiss</b:Middle>
          </b:Person>
        </b:NameList>
      </b:Author>
    </b:Author>
    <b:Title>Strategic supply chain framework for the automotive industry</b:Title>
    <b:JournalName>https://www.internationalscholarsjournals.com/articles/strategic-supply-chain-framework-for-the-automotive-industry.pdf</b:JournalName>
    <b:Year>2019</b:Year>
    <b:RefOrder>1</b:RefOrder>
  </b:Source>
  <b:Source>
    <b:Tag>Sac19</b:Tag>
    <b:SourceType>JournalArticle</b:SourceType>
    <b:Guid>{3E79041C-A23C-4803-A793-98F2CF820548}</b:Guid>
    <b:Author>
      <b:Author>
        <b:NameList>
          <b:Person>
            <b:Last>Sachin Bhimrao Khot</b:Last>
            <b:First>S.</b:First>
            <b:Middle>Thiagarajan</b:Middle>
          </b:Person>
        </b:NameList>
      </b:Author>
    </b:Author>
    <b:Title>Resilience and sustainability of supply chain management in the Indian automobile industry</b:Title>
    <b:JournalName>https://www.researchgate.net/publication/333397159_Resilience_and_sustainability_of_supply_chain_management_in_the_Indian_automobile_industry</b:JournalName>
    <b:Year>2019</b:Year>
    <b:RefOrder>2</b:RefOrder>
  </b:Source>
  <b:Source>
    <b:Tag>LAU21</b:Tag>
    <b:SourceType>JournalArticle</b:SourceType>
    <b:Guid>{6E9C1AD1-0B50-40F2-BB4C-D4B869BD3A4C}</b:Guid>
    <b:Author>
      <b:Author>
        <b:NameList>
          <b:Person>
            <b:Last>NEVILLE</b:Last>
            <b:First>LAURENCE</b:First>
          </b:Person>
        </b:NameList>
      </b:Author>
    </b:Author>
    <b:Title>Six Steps To Supply Chain Resilience</b:Title>
    <b:JournalName>https://www.gfmag.com/magazine/december-2021/building-supply-chain-resilience</b:JournalName>
    <b:Year>2021</b:Year>
    <b:RefOrder>12</b:RefOrder>
  </b:Source>
  <b:Source>
    <b:Tag>Bar191</b:Tag>
    <b:SourceType>JournalArticle</b:SourceType>
    <b:Guid>{9E74F096-AD27-4819-AF65-0AA34B0C217E}</b:Guid>
    <b:Author>
      <b:Author>
        <b:NameList>
          <b:Person>
            <b:Last>Bartlett</b:Last>
            <b:First>Paul</b:First>
            <b:Middle>A</b:Middle>
          </b:Person>
          <b:Person>
            <b:Last>Julien</b:Last>
            <b:First>Denyse</b:First>
            <b:Middle>M and Baines, Tim S.</b:Middle>
          </b:Person>
        </b:NameList>
      </b:Author>
    </b:Author>
    <b:Title>Improving supply chain performance through improved visibility</b:Title>
    <b:JournalName>https://publications.aston.ac.uk/id/eprint/38664/1/Improving_supply_chain_performance_through_improved_visibility.pdf</b:JournalName>
    <b:Year>2019</b:Year>
    <b:RefOrder>13</b:RefOrder>
  </b:Source>
  <b:Source>
    <b:Tag>Kap18</b:Tag>
    <b:SourceType>JournalArticle</b:SourceType>
    <b:Guid>{9FD12A24-0967-440F-99EB-8825A7D8A427}</b:Guid>
    <b:Author>
      <b:Author>
        <b:NameList>
          <b:Person>
            <b:Last>Kapil Dev Sharma</b:Last>
            <b:First>Shobhit</b:First>
            <b:Middle>Srivastava</b:Middle>
          </b:Person>
        </b:NameList>
      </b:Author>
    </b:Author>
    <b:Title>Failure Mode and Effect Analysis (FMEA) Implementation: A Literature Review</b:Title>
    <b:JournalName>https://www.researchgate.net/profile/Kapil-Sharma-41/publication/333209894_Failure_Mode_and_Effect_Analysis_FMEA_Implementation_A_Literature_Review/links/5ce26881a6fdccc9ddbed894/Failure-Mode-and-Effect-Analysis-FMEA-Implementation-A-Literature-Review.pdf</b:JournalName>
    <b:Year>2018</b:Year>
    <b:RefOrder>3</b:RefOrder>
  </b:Source>
  <b:Source>
    <b:Tag>Zho21</b:Tag>
    <b:SourceType>JournalArticle</b:SourceType>
    <b:Guid>{F1498A91-0346-4176-9681-D3E92C42BFCA}</b:Guid>
    <b:Author>
      <b:Author>
        <b:NameList>
          <b:Person>
            <b:Last>Zhongyi Wu</b:Last>
            <b:First>Weidong</b:First>
            <b:Middle>Liu, Wenbin Nie</b:Middle>
          </b:Person>
        </b:NameList>
      </b:Author>
    </b:Author>
    <b:Title>Literature review and prospect of the development and application of FMEA in manufacturing industry</b:Title>
    <b:JournalName>https://link.springer.com/article/10.1007/s00170-020-06425-0</b:JournalName>
    <b:Year>2021</b:Year>
    <b:RefOrder>4</b:RefOrder>
  </b:Source>
  <b:Source>
    <b:Tag>Xia213</b:Tag>
    <b:SourceType>JournalArticle</b:SourceType>
    <b:Guid>{45F59E5C-1541-4418-83D4-BE9D30DC9A08}</b:Guid>
    <b:Author>
      <b:Author>
        <b:NameList>
          <b:Person>
            <b:Last>Xiaojun Wu</b:Last>
            <b:First>Jing</b:First>
            <b:Middle>Wu</b:Middle>
          </b:Person>
        </b:NameList>
      </b:Author>
    </b:Author>
    <b:Title>The Risk Priority Number Evaluation of FMEA Analysis Based on Random Uncertainty and Fuzzy Uncertainty</b:Title>
    <b:JournalName>https://www.hindawi.com/journals/complexity/2021/8817667/</b:JournalName>
    <b:Year>2021</b:Year>
    <b:RefOrder>5</b:RefOrder>
  </b:Source>
  <b:Source>
    <b:Tag>Hbk22</b:Tag>
    <b:SourceType>JournalArticle</b:SourceType>
    <b:Guid>{3E2E5395-1280-4793-BFF8-AB43A7DC3DC6}</b:Guid>
    <b:Author>
      <b:Author>
        <b:NameList>
          <b:Person>
            <b:Last>Hbk</b:Last>
          </b:Person>
        </b:NameList>
      </b:Author>
    </b:Author>
    <b:Title>Examining Risk Priority Numbers in FMEA</b:Title>
    <b:JournalName>https://www.hbkworld.com/en/knowledge/resource-center/articles/2022/examining-risk-priority-numbers-in-fmea#!ref_reliasoft.com</b:JournalName>
    <b:Year>2022</b:Year>
    <b:RefOrder>7</b:RefOrder>
  </b:Source>
  <b:Source>
    <b:Tag>DRK17</b:Tag>
    <b:SourceType>JournalArticle</b:SourceType>
    <b:Guid>{2D211053-44FC-4F05-AA5F-CBEB923A75E3}</b:Guid>
    <b:Author>
      <b:Author>
        <b:NameList>
          <b:Person>
            <b:Last>Kiran</b:Last>
            <b:First>D</b:First>
            <b:Middle>R</b:Middle>
          </b:Person>
        </b:NameList>
      </b:Author>
    </b:Author>
    <b:Title>Failure Modes and Effects Analysis</b:Title>
    <b:JournalName>Total Quality Management</b:JournalName>
    <b:Year>2017</b:Year>
    <b:RefOrder>8</b:RefOrder>
  </b:Source>
  <b:Source>
    <b:Tag>Luc211</b:Tag>
    <b:SourceType>JournalArticle</b:SourceType>
    <b:Guid>{AEE2FA37-F9FE-4ABB-B4EA-1F460350A27C}</b:Guid>
    <b:Author>
      <b:Author>
        <b:NameList>
          <b:Person>
            <b:Last>Lucian Petrescu</b:Last>
            <b:First>Maria-Catalina</b:First>
            <b:Middle>Petrescu, Emil Cazacu, Valentin Ionita</b:Middle>
          </b:Person>
        </b:NameList>
      </b:Author>
    </b:Author>
    <b:Title>Risk Priority Number vs Action Priority in Electrical Systems</b:Title>
    <b:JournalName>https://ieeexplore.ieee.org/document/9425178</b:JournalName>
    <b:Year>2021</b:Year>
    <b:RefOrder>9</b:RefOrder>
  </b:Source>
  <b:Source>
    <b:Tag>Sar202</b:Tag>
    <b:SourceType>JournalArticle</b:SourceType>
    <b:Guid>{7F67FCB3-CD71-4A63-B7C2-F142BB4BE2FB}</b:Guid>
    <b:Author>
      <b:Author>
        <b:NameList>
          <b:Person>
            <b:Last>Hippold</b:Last>
            <b:First>Sarah</b:First>
          </b:Person>
        </b:NameList>
      </b:Author>
    </b:Author>
    <b:Title>6 Strategies for a More Resilient Supply Chain</b:Title>
    <b:JournalName>https://www.gartner.com/smarterwithgartner/6-strategies-for-a-more-resilient-supply-chain</b:JournalName>
    <b:Year>2020</b:Year>
    <b:RefOrder>10</b:RefOrder>
  </b:Source>
</b:Sources>
</file>

<file path=customXml/itemProps1.xml><?xml version="1.0" encoding="utf-8"?>
<ds:datastoreItem xmlns:ds="http://schemas.openxmlformats.org/officeDocument/2006/customXml" ds:itemID="{1D6997B5-9A70-4349-BA17-2DA8E8885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3134</Words>
  <Characters>17865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dc:creator>
  <cp:keywords/>
  <dc:description/>
  <cp:lastModifiedBy>Albert Johnson</cp:lastModifiedBy>
  <cp:revision>4</cp:revision>
  <dcterms:created xsi:type="dcterms:W3CDTF">2023-05-01T08:28:00Z</dcterms:created>
  <dcterms:modified xsi:type="dcterms:W3CDTF">2023-05-01T15:51:00Z</dcterms:modified>
</cp:coreProperties>
</file>