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8884CA0">
      <w:pPr>
        <w:spacing w:after="0" w:line="480" w:lineRule="auto"/>
        <w:contextualSpacing/>
        <w:jc w:val="center"/>
        <w:rPr>
          <w:rFonts w:ascii="Times New Roman" w:hAnsi="Times New Roman" w:cs="Times New Roman"/>
          <w:sz w:val="24"/>
          <w:szCs w:val="24"/>
        </w:rPr>
      </w:pPr>
    </w:p>
    <w:p w14:paraId="5ACF912E">
      <w:pPr>
        <w:spacing w:after="0" w:line="480" w:lineRule="auto"/>
        <w:contextualSpacing/>
        <w:jc w:val="center"/>
        <w:rPr>
          <w:rFonts w:ascii="Times New Roman" w:hAnsi="Times New Roman" w:cs="Times New Roman"/>
          <w:sz w:val="24"/>
          <w:szCs w:val="24"/>
        </w:rPr>
      </w:pPr>
    </w:p>
    <w:p w14:paraId="160EC941">
      <w:pPr>
        <w:spacing w:after="0" w:line="480" w:lineRule="auto"/>
        <w:contextualSpacing/>
        <w:jc w:val="center"/>
        <w:rPr>
          <w:rFonts w:ascii="Times New Roman" w:hAnsi="Times New Roman" w:cs="Times New Roman"/>
          <w:sz w:val="24"/>
          <w:szCs w:val="24"/>
        </w:rPr>
      </w:pPr>
    </w:p>
    <w:p w14:paraId="7E50D03C">
      <w:pPr>
        <w:spacing w:after="0" w:line="480" w:lineRule="auto"/>
        <w:contextualSpacing/>
        <w:jc w:val="center"/>
        <w:rPr>
          <w:rFonts w:ascii="Times New Roman" w:hAnsi="Times New Roman" w:cs="Times New Roman"/>
          <w:sz w:val="24"/>
          <w:szCs w:val="24"/>
        </w:rPr>
      </w:pPr>
    </w:p>
    <w:p w14:paraId="3AA22044">
      <w:pPr>
        <w:spacing w:after="0" w:line="480" w:lineRule="auto"/>
        <w:contextualSpacing/>
        <w:jc w:val="center"/>
        <w:rPr>
          <w:rFonts w:hint="default" w:ascii="Times New Roman" w:hAnsi="Times New Roman" w:eastAsia="宋体" w:cs="Times New Roman"/>
          <w:sz w:val="44"/>
          <w:szCs w:val="44"/>
          <w:lang w:val="en-US" w:eastAsia="zh-CN"/>
        </w:rPr>
      </w:pPr>
      <w:r>
        <w:rPr>
          <w:rFonts w:hint="eastAsia" w:ascii="Times New Roman" w:hAnsi="Times New Roman" w:eastAsia="宋体" w:cs="Times New Roman"/>
          <w:sz w:val="44"/>
          <w:szCs w:val="44"/>
          <w:lang w:val="en-US" w:eastAsia="zh-CN"/>
        </w:rPr>
        <w:t>BMMB7026</w:t>
      </w:r>
    </w:p>
    <w:p w14:paraId="70425BB5">
      <w:pPr>
        <w:spacing w:after="0" w:line="480" w:lineRule="auto"/>
        <w:contextualSpacing/>
        <w:jc w:val="center"/>
        <w:rPr>
          <w:rFonts w:ascii="Times New Roman" w:hAnsi="Times New Roman" w:cs="Times New Roman"/>
          <w:sz w:val="44"/>
          <w:szCs w:val="44"/>
        </w:rPr>
      </w:pPr>
      <w:r>
        <w:rPr>
          <w:rFonts w:ascii="Times New Roman" w:hAnsi="Times New Roman" w:cs="Times New Roman"/>
          <w:sz w:val="44"/>
          <w:szCs w:val="44"/>
        </w:rPr>
        <w:t xml:space="preserve">CRITICAL EVALUATION OF HSBC'S MARKETING ACTIVITIES AND STRATEGIC RECOMMENDATIONS </w:t>
      </w:r>
    </w:p>
    <w:p w14:paraId="76ED7EED">
      <w:pPr>
        <w:spacing w:after="0" w:line="480" w:lineRule="auto"/>
        <w:contextualSpacing/>
        <w:jc w:val="center"/>
        <w:rPr>
          <w:rFonts w:ascii="Times New Roman" w:hAnsi="Times New Roman" w:cs="Times New Roman"/>
          <w:sz w:val="44"/>
          <w:szCs w:val="44"/>
        </w:rPr>
      </w:pPr>
    </w:p>
    <w:p w14:paraId="0543B65D">
      <w:pPr>
        <w:spacing w:after="0" w:line="480" w:lineRule="auto"/>
        <w:contextualSpacing/>
        <w:jc w:val="center"/>
        <w:rPr>
          <w:rFonts w:hint="eastAsia" w:ascii="Times New Roman" w:hAnsi="Times New Roman" w:eastAsia="宋体" w:cs="Times New Roman"/>
          <w:sz w:val="44"/>
          <w:szCs w:val="44"/>
          <w:lang w:val="en-US" w:eastAsia="zh-CN"/>
        </w:rPr>
      </w:pPr>
      <w:r>
        <w:rPr>
          <w:rFonts w:hint="eastAsia" w:ascii="Times New Roman" w:hAnsi="Times New Roman" w:eastAsia="宋体" w:cs="Times New Roman"/>
          <w:sz w:val="44"/>
          <w:szCs w:val="44"/>
          <w:lang w:val="en-US" w:eastAsia="zh-CN"/>
        </w:rPr>
        <w:t>Wang Yitong</w:t>
      </w:r>
    </w:p>
    <w:p w14:paraId="34E9F435">
      <w:pPr>
        <w:spacing w:after="0" w:line="480" w:lineRule="auto"/>
        <w:contextualSpacing/>
        <w:jc w:val="center"/>
        <w:rPr>
          <w:rFonts w:hint="default" w:ascii="Times New Roman" w:hAnsi="Times New Roman" w:eastAsia="宋体" w:cs="Times New Roman"/>
          <w:sz w:val="44"/>
          <w:szCs w:val="44"/>
          <w:lang w:val="en-US" w:eastAsia="zh-CN"/>
        </w:rPr>
      </w:pPr>
      <w:r>
        <w:rPr>
          <w:rFonts w:hint="eastAsia" w:ascii="Times New Roman" w:hAnsi="Times New Roman" w:eastAsia="宋体" w:cs="Times New Roman"/>
          <w:sz w:val="44"/>
          <w:szCs w:val="44"/>
          <w:lang w:val="en-US" w:eastAsia="zh-CN"/>
        </w:rPr>
        <w:t>ID:2409469</w:t>
      </w:r>
    </w:p>
    <w:p w14:paraId="3E6ADAA2">
      <w:pPr>
        <w:spacing w:after="0" w:line="480" w:lineRule="auto"/>
        <w:contextualSpacing/>
        <w:jc w:val="center"/>
        <w:rPr>
          <w:rFonts w:hint="eastAsia" w:ascii="Times New Roman" w:hAnsi="Times New Roman" w:eastAsia="宋体" w:cs="Times New Roman"/>
          <w:sz w:val="44"/>
          <w:szCs w:val="44"/>
          <w:lang w:val="en-US" w:eastAsia="zh-CN"/>
        </w:rPr>
      </w:pPr>
      <w:r>
        <w:rPr>
          <w:rFonts w:hint="eastAsia" w:ascii="Times New Roman" w:hAnsi="Times New Roman" w:eastAsia="宋体" w:cs="Times New Roman"/>
          <w:sz w:val="44"/>
          <w:szCs w:val="44"/>
          <w:lang w:val="en-US" w:eastAsia="zh-CN"/>
        </w:rPr>
        <w:t xml:space="preserve">Managing Marketing Change </w:t>
      </w:r>
    </w:p>
    <w:p w14:paraId="02D3851D">
      <w:pPr>
        <w:spacing w:after="0" w:line="480" w:lineRule="auto"/>
        <w:contextualSpacing/>
        <w:jc w:val="center"/>
        <w:rPr>
          <w:rFonts w:ascii="Times New Roman" w:hAnsi="Times New Roman" w:cs="Times New Roman"/>
          <w:sz w:val="24"/>
          <w:szCs w:val="24"/>
        </w:rPr>
      </w:pPr>
      <w:r>
        <w:rPr>
          <w:rFonts w:hint="eastAsia" w:ascii="Times New Roman" w:hAnsi="Times New Roman" w:eastAsia="宋体" w:cs="Times New Roman"/>
          <w:sz w:val="44"/>
          <w:szCs w:val="44"/>
          <w:lang w:val="en-US" w:eastAsia="zh-CN"/>
        </w:rPr>
        <w:t>1.11.2025</w:t>
      </w:r>
      <w:r>
        <w:rPr>
          <w:rFonts w:ascii="Times New Roman" w:hAnsi="Times New Roman" w:cs="Times New Roman"/>
          <w:sz w:val="24"/>
          <w:szCs w:val="24"/>
        </w:rPr>
        <w:br w:type="page"/>
      </w:r>
    </w:p>
    <w:p w14:paraId="35183760">
      <w:pPr>
        <w:spacing w:after="0" w:line="480" w:lineRule="auto"/>
        <w:contextualSpacing/>
        <w:jc w:val="center"/>
        <w:outlineLvl w:val="0"/>
        <w:rPr>
          <w:rFonts w:ascii="Times New Roman" w:hAnsi="Times New Roman" w:cs="Times New Roman"/>
          <w:b/>
          <w:bCs/>
          <w:sz w:val="24"/>
          <w:szCs w:val="24"/>
        </w:rPr>
      </w:pPr>
      <w:bookmarkStart w:id="0" w:name="_Toc181852218"/>
      <w:r>
        <w:rPr>
          <w:rFonts w:ascii="Times New Roman" w:hAnsi="Times New Roman" w:cs="Times New Roman"/>
          <w:b/>
          <w:bCs/>
          <w:sz w:val="24"/>
          <w:szCs w:val="24"/>
        </w:rPr>
        <w:t>Executive Summary</w:t>
      </w:r>
      <w:bookmarkEnd w:id="0"/>
    </w:p>
    <w:p w14:paraId="129025F6">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This paper assesses the key factors involved in the marketing department of HSBC, with a particular focus on its response to future challenges of the modern banking industry. HSBC's marketing strategy involves changes in marketing communication, particularly the use of an interconnected online presence, a sustainable approach, and the personalization of services for the customer. While more and more people are using digital platforms, HSBC has planned to improve its services' customer interaction and efficiency, proving its readiness for modern global banking. The assessment points out significant areas for improvement in HSBC's marketing strategies, including the following: Despite curtailing its traditional promotions, the organization needs to beef up its security measures given the current spurt in digital activities. A more robust and transparent approach to sustainability is required. With the help of change management theories, the present report analyzes HSBC's strategic moves using frameworks like Lewin's Force field analysis and Kotter's 8-Step model. Taking into account the key findings, this report provides a set of recommendations for enhancing HSBC's marketing strategy. Some include increased adoption of security measures on social media, better visibility on sustainability issues, and increased use of data analytics for personalization. By doing so, HSBC can continue to adjust the group's marketing tactics more in tune with the current customers and the regulatory authorities, contributing to its overall more sustainable competitive advantage.</w:t>
      </w:r>
    </w:p>
    <w:p w14:paraId="5F73969E">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br w:type="page"/>
      </w:r>
    </w:p>
    <w:sdt>
      <w:sdtPr>
        <w:rPr>
          <w:rFonts w:ascii="Times New Roman" w:hAnsi="Times New Roman" w:cs="Times New Roman" w:eastAsiaTheme="minorHAnsi"/>
          <w:color w:val="auto"/>
          <w:kern w:val="2"/>
          <w:sz w:val="24"/>
          <w:szCs w:val="24"/>
          <w14:ligatures w14:val="standardContextual"/>
        </w:rPr>
        <w:id w:val="1502931089"/>
        <w:docPartObj>
          <w:docPartGallery w:val="Table of Contents"/>
          <w:docPartUnique/>
        </w:docPartObj>
      </w:sdtPr>
      <w:sdtEndPr>
        <w:rPr>
          <w:rFonts w:ascii="Times New Roman" w:hAnsi="Times New Roman" w:cs="Times New Roman" w:eastAsiaTheme="minorHAnsi"/>
          <w:b/>
          <w:bCs/>
          <w:color w:val="auto"/>
          <w:kern w:val="2"/>
          <w:sz w:val="24"/>
          <w:szCs w:val="24"/>
          <w14:ligatures w14:val="standardContextual"/>
        </w:rPr>
      </w:sdtEndPr>
      <w:sdtContent>
        <w:p w14:paraId="76F977DC">
          <w:pPr>
            <w:pStyle w:val="17"/>
            <w:spacing w:before="0" w:line="480" w:lineRule="auto"/>
            <w:jc w:val="center"/>
            <w:rPr>
              <w:rFonts w:ascii="Times New Roman" w:hAnsi="Times New Roman" w:cs="Times New Roman"/>
              <w:color w:val="auto"/>
              <w:sz w:val="24"/>
              <w:szCs w:val="24"/>
            </w:rPr>
          </w:pPr>
          <w:r>
            <w:rPr>
              <w:rFonts w:ascii="Times New Roman" w:hAnsi="Times New Roman" w:cs="Times New Roman"/>
              <w:color w:val="auto"/>
              <w:sz w:val="24"/>
              <w:szCs w:val="24"/>
            </w:rPr>
            <w:t>Table of Contents</w:t>
          </w:r>
        </w:p>
        <w:p w14:paraId="11824E91">
          <w:pPr>
            <w:pStyle w:val="5"/>
            <w:tabs>
              <w:tab w:val="right" w:leader="dot" w:pos="9350"/>
            </w:tabs>
            <w:spacing w:after="0" w:line="480" w:lineRule="auto"/>
            <w:rPr>
              <w:rFonts w:ascii="Times New Roman" w:hAnsi="Times New Roman" w:cs="Times New Roman" w:eastAsiaTheme="minorEastAsia"/>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rPr>
              <w:sz w:val="24"/>
              <w:szCs w:val="24"/>
            </w:rPr>
            <w:fldChar w:fldCharType="begin"/>
          </w:r>
          <w:r>
            <w:rPr>
              <w:sz w:val="24"/>
              <w:szCs w:val="24"/>
            </w:rPr>
            <w:instrText xml:space="preserve"> HYPERLINK \l "_Toc181852218" </w:instrText>
          </w:r>
          <w:r>
            <w:rPr>
              <w:sz w:val="24"/>
              <w:szCs w:val="24"/>
            </w:rPr>
            <w:fldChar w:fldCharType="separate"/>
          </w:r>
          <w:r>
            <w:rPr>
              <w:rStyle w:val="10"/>
              <w:rFonts w:ascii="Times New Roman" w:hAnsi="Times New Roman" w:cs="Times New Roman"/>
              <w:sz w:val="24"/>
              <w:szCs w:val="24"/>
            </w:rPr>
            <w:t>Executive Summary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_Toc181852218 \h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4F0CD130">
          <w:pPr>
            <w:pStyle w:val="5"/>
            <w:tabs>
              <w:tab w:val="right" w:leader="dot" w:pos="9350"/>
            </w:tabs>
            <w:spacing w:after="0" w:line="480" w:lineRule="auto"/>
            <w:rPr>
              <w:rFonts w:ascii="Times New Roman" w:hAnsi="Times New Roman" w:cs="Times New Roman" w:eastAsiaTheme="minorEastAsia"/>
              <w:sz w:val="24"/>
              <w:szCs w:val="24"/>
            </w:rPr>
          </w:pPr>
          <w:r>
            <w:rPr>
              <w:sz w:val="24"/>
              <w:szCs w:val="24"/>
            </w:rPr>
            <w:fldChar w:fldCharType="begin"/>
          </w:r>
          <w:r>
            <w:rPr>
              <w:sz w:val="24"/>
              <w:szCs w:val="24"/>
            </w:rPr>
            <w:instrText xml:space="preserve"> HYPERLINK \l "_Toc181852219" </w:instrText>
          </w:r>
          <w:r>
            <w:rPr>
              <w:sz w:val="24"/>
              <w:szCs w:val="24"/>
            </w:rPr>
            <w:fldChar w:fldCharType="separate"/>
          </w:r>
          <w:r>
            <w:rPr>
              <w:rStyle w:val="10"/>
              <w:rFonts w:ascii="Times New Roman" w:hAnsi="Times New Roman" w:cs="Times New Roman"/>
              <w:sz w:val="24"/>
              <w:szCs w:val="24"/>
            </w:rPr>
            <w:t>Introduction</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_Toc181852219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39C20756">
          <w:pPr>
            <w:pStyle w:val="5"/>
            <w:tabs>
              <w:tab w:val="right" w:leader="dot" w:pos="9350"/>
            </w:tabs>
            <w:spacing w:after="0" w:line="480" w:lineRule="auto"/>
            <w:rPr>
              <w:rFonts w:ascii="Times New Roman" w:hAnsi="Times New Roman" w:cs="Times New Roman" w:eastAsiaTheme="minorEastAsia"/>
              <w:sz w:val="24"/>
              <w:szCs w:val="24"/>
            </w:rPr>
          </w:pPr>
          <w:r>
            <w:rPr>
              <w:sz w:val="24"/>
              <w:szCs w:val="24"/>
            </w:rPr>
            <w:fldChar w:fldCharType="begin"/>
          </w:r>
          <w:r>
            <w:rPr>
              <w:sz w:val="24"/>
              <w:szCs w:val="24"/>
            </w:rPr>
            <w:instrText xml:space="preserve"> HYPERLINK \l "_Toc181852220" </w:instrText>
          </w:r>
          <w:r>
            <w:rPr>
              <w:sz w:val="24"/>
              <w:szCs w:val="24"/>
            </w:rPr>
            <w:fldChar w:fldCharType="separate"/>
          </w:r>
          <w:r>
            <w:rPr>
              <w:rStyle w:val="10"/>
              <w:rFonts w:ascii="Times New Roman" w:hAnsi="Times New Roman" w:cs="Times New Roman"/>
              <w:sz w:val="24"/>
              <w:szCs w:val="24"/>
            </w:rPr>
            <w:t>Main Findings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_Toc181852220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3A05378">
          <w:pPr>
            <w:pStyle w:val="5"/>
            <w:tabs>
              <w:tab w:val="right" w:leader="dot" w:pos="9350"/>
            </w:tabs>
            <w:spacing w:after="0" w:line="480" w:lineRule="auto"/>
            <w:rPr>
              <w:rFonts w:ascii="Times New Roman" w:hAnsi="Times New Roman" w:cs="Times New Roman" w:eastAsiaTheme="minorEastAsia"/>
              <w:sz w:val="24"/>
              <w:szCs w:val="24"/>
            </w:rPr>
          </w:pPr>
          <w:r>
            <w:rPr>
              <w:sz w:val="24"/>
              <w:szCs w:val="24"/>
            </w:rPr>
            <w:fldChar w:fldCharType="begin"/>
          </w:r>
          <w:r>
            <w:rPr>
              <w:sz w:val="24"/>
              <w:szCs w:val="24"/>
            </w:rPr>
            <w:instrText xml:space="preserve"> HYPERLINK \l "_Toc181852221" </w:instrText>
          </w:r>
          <w:r>
            <w:rPr>
              <w:sz w:val="24"/>
              <w:szCs w:val="24"/>
            </w:rPr>
            <w:fldChar w:fldCharType="separate"/>
          </w:r>
          <w:r>
            <w:rPr>
              <w:rStyle w:val="10"/>
              <w:rFonts w:ascii="Times New Roman" w:hAnsi="Times New Roman" w:cs="Times New Roman"/>
              <w:sz w:val="24"/>
              <w:szCs w:val="24"/>
            </w:rPr>
            <w:t>Task 1: Critical Evaluation of HSBC’s Marketing Activities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_Toc181852221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8AF0BA5">
          <w:pPr>
            <w:pStyle w:val="6"/>
            <w:tabs>
              <w:tab w:val="left" w:pos="880"/>
              <w:tab w:val="right" w:leader="dot" w:pos="9350"/>
            </w:tabs>
            <w:spacing w:after="0" w:line="480" w:lineRule="auto"/>
            <w:rPr>
              <w:rFonts w:ascii="Times New Roman" w:hAnsi="Times New Roman" w:cs="Times New Roman" w:eastAsiaTheme="minorEastAsia"/>
              <w:sz w:val="24"/>
              <w:szCs w:val="24"/>
            </w:rPr>
          </w:pPr>
          <w:r>
            <w:rPr>
              <w:sz w:val="24"/>
              <w:szCs w:val="24"/>
            </w:rPr>
            <w:fldChar w:fldCharType="begin"/>
          </w:r>
          <w:r>
            <w:rPr>
              <w:sz w:val="24"/>
              <w:szCs w:val="24"/>
            </w:rPr>
            <w:instrText xml:space="preserve"> HYPERLINK \l "_Toc181852222" </w:instrText>
          </w:r>
          <w:r>
            <w:rPr>
              <w:sz w:val="24"/>
              <w:szCs w:val="24"/>
            </w:rPr>
            <w:fldChar w:fldCharType="separate"/>
          </w:r>
          <w:r>
            <w:rPr>
              <w:rStyle w:val="10"/>
              <w:rFonts w:ascii="Times New Roman" w:hAnsi="Times New Roman" w:cs="Times New Roman"/>
              <w:sz w:val="24"/>
              <w:szCs w:val="24"/>
            </w:rPr>
            <w:t>1.1</w:t>
          </w:r>
          <w:r>
            <w:rPr>
              <w:rFonts w:ascii="Times New Roman" w:hAnsi="Times New Roman" w:cs="Times New Roman" w:eastAsiaTheme="minorEastAsia"/>
              <w:sz w:val="24"/>
              <w:szCs w:val="24"/>
            </w:rPr>
            <w:tab/>
          </w:r>
          <w:r>
            <w:rPr>
              <w:rStyle w:val="10"/>
              <w:rFonts w:ascii="Times New Roman" w:hAnsi="Times New Roman" w:cs="Times New Roman"/>
              <w:sz w:val="24"/>
              <w:szCs w:val="24"/>
            </w:rPr>
            <w:t>The Concept and Importance of Marketing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_Toc181852222 \h </w:instrText>
          </w:r>
          <w:r>
            <w:rPr>
              <w:rFonts w:ascii="Times New Roman" w:hAnsi="Times New Roman" w:cs="Times New Roman"/>
              <w:sz w:val="24"/>
              <w:szCs w:val="24"/>
            </w:rPr>
            <w:fldChar w:fldCharType="separate"/>
          </w:r>
          <w:r>
            <w:rPr>
              <w:rFonts w:ascii="Times New Roman" w:hAnsi="Times New Roman" w:cs="Times New Roman"/>
              <w:sz w:val="24"/>
              <w:szCs w:val="24"/>
            </w:rPr>
            <w:t>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E5E85BF">
          <w:pPr>
            <w:pStyle w:val="6"/>
            <w:tabs>
              <w:tab w:val="right" w:leader="dot" w:pos="9350"/>
            </w:tabs>
            <w:spacing w:after="0" w:line="480" w:lineRule="auto"/>
            <w:rPr>
              <w:rFonts w:ascii="Times New Roman" w:hAnsi="Times New Roman" w:cs="Times New Roman" w:eastAsiaTheme="minorEastAsia"/>
              <w:sz w:val="24"/>
              <w:szCs w:val="24"/>
            </w:rPr>
          </w:pPr>
          <w:r>
            <w:rPr>
              <w:sz w:val="24"/>
              <w:szCs w:val="24"/>
            </w:rPr>
            <w:fldChar w:fldCharType="begin"/>
          </w:r>
          <w:r>
            <w:rPr>
              <w:sz w:val="24"/>
              <w:szCs w:val="24"/>
            </w:rPr>
            <w:instrText xml:space="preserve"> HYPERLINK \l "_Toc181852223" </w:instrText>
          </w:r>
          <w:r>
            <w:rPr>
              <w:sz w:val="24"/>
              <w:szCs w:val="24"/>
            </w:rPr>
            <w:fldChar w:fldCharType="separate"/>
          </w:r>
          <w:r>
            <w:rPr>
              <w:rStyle w:val="10"/>
              <w:rFonts w:ascii="Times New Roman" w:hAnsi="Times New Roman" w:cs="Times New Roman"/>
              <w:sz w:val="24"/>
              <w:szCs w:val="24"/>
            </w:rPr>
            <w:t>1.2 Macro and Micro Marketing Environment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_Toc181852223 \h </w:instrText>
          </w:r>
          <w:r>
            <w:rPr>
              <w:rFonts w:ascii="Times New Roman" w:hAnsi="Times New Roman" w:cs="Times New Roman"/>
              <w:sz w:val="24"/>
              <w:szCs w:val="24"/>
            </w:rPr>
            <w:fldChar w:fldCharType="separate"/>
          </w:r>
          <w:r>
            <w:rPr>
              <w:rFonts w:ascii="Times New Roman" w:hAnsi="Times New Roman" w:cs="Times New Roman"/>
              <w:sz w:val="24"/>
              <w:szCs w:val="24"/>
            </w:rPr>
            <w:t>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B3DAAD4">
          <w:pPr>
            <w:pStyle w:val="6"/>
            <w:tabs>
              <w:tab w:val="right" w:leader="dot" w:pos="9350"/>
            </w:tabs>
            <w:spacing w:after="0" w:line="480" w:lineRule="auto"/>
            <w:rPr>
              <w:rFonts w:ascii="Times New Roman" w:hAnsi="Times New Roman" w:cs="Times New Roman" w:eastAsiaTheme="minorEastAsia"/>
              <w:sz w:val="24"/>
              <w:szCs w:val="24"/>
            </w:rPr>
          </w:pPr>
          <w:r>
            <w:rPr>
              <w:sz w:val="24"/>
              <w:szCs w:val="24"/>
            </w:rPr>
            <w:fldChar w:fldCharType="begin"/>
          </w:r>
          <w:r>
            <w:rPr>
              <w:sz w:val="24"/>
              <w:szCs w:val="24"/>
            </w:rPr>
            <w:instrText xml:space="preserve"> HYPERLINK \l "_Toc181852224" </w:instrText>
          </w:r>
          <w:r>
            <w:rPr>
              <w:sz w:val="24"/>
              <w:szCs w:val="24"/>
            </w:rPr>
            <w:fldChar w:fldCharType="separate"/>
          </w:r>
          <w:r>
            <w:rPr>
              <w:rStyle w:val="10"/>
              <w:rFonts w:ascii="Times New Roman" w:hAnsi="Times New Roman" w:cs="Times New Roman"/>
              <w:sz w:val="24"/>
              <w:szCs w:val="24"/>
            </w:rPr>
            <w:t>1.3 Change Management Strategies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_Toc181852224 \h </w:instrText>
          </w:r>
          <w:r>
            <w:rPr>
              <w:rFonts w:ascii="Times New Roman" w:hAnsi="Times New Roman" w:cs="Times New Roman"/>
              <w:sz w:val="24"/>
              <w:szCs w:val="24"/>
            </w:rPr>
            <w:fldChar w:fldCharType="separate"/>
          </w:r>
          <w:r>
            <w:rPr>
              <w:rFonts w:ascii="Times New Roman" w:hAnsi="Times New Roman" w:cs="Times New Roman"/>
              <w:sz w:val="24"/>
              <w:szCs w:val="24"/>
            </w:rPr>
            <w:t>10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7CF7AED">
          <w:pPr>
            <w:pStyle w:val="6"/>
            <w:tabs>
              <w:tab w:val="right" w:leader="dot" w:pos="9350"/>
            </w:tabs>
            <w:spacing w:after="0" w:line="480" w:lineRule="auto"/>
            <w:rPr>
              <w:rFonts w:ascii="Times New Roman" w:hAnsi="Times New Roman" w:cs="Times New Roman" w:eastAsiaTheme="minorEastAsia"/>
              <w:sz w:val="24"/>
              <w:szCs w:val="24"/>
            </w:rPr>
          </w:pPr>
          <w:r>
            <w:rPr>
              <w:sz w:val="24"/>
              <w:szCs w:val="24"/>
            </w:rPr>
            <w:fldChar w:fldCharType="begin"/>
          </w:r>
          <w:r>
            <w:rPr>
              <w:sz w:val="24"/>
              <w:szCs w:val="24"/>
            </w:rPr>
            <w:instrText xml:space="preserve"> HYPERLINK \l "_Toc181852225" </w:instrText>
          </w:r>
          <w:r>
            <w:rPr>
              <w:sz w:val="24"/>
              <w:szCs w:val="24"/>
            </w:rPr>
            <w:fldChar w:fldCharType="separate"/>
          </w:r>
          <w:r>
            <w:rPr>
              <w:rStyle w:val="10"/>
              <w:rFonts w:ascii="Times New Roman" w:hAnsi="Times New Roman" w:cs="Times New Roman"/>
              <w:sz w:val="24"/>
              <w:szCs w:val="24"/>
            </w:rPr>
            <w:t>1.4 Target Markets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_Toc181852225 \h </w:instrText>
          </w:r>
          <w:r>
            <w:rPr>
              <w:rFonts w:ascii="Times New Roman" w:hAnsi="Times New Roman" w:cs="Times New Roman"/>
              <w:sz w:val="24"/>
              <w:szCs w:val="24"/>
            </w:rPr>
            <w:fldChar w:fldCharType="separate"/>
          </w:r>
          <w:r>
            <w:rPr>
              <w:rFonts w:ascii="Times New Roman" w:hAnsi="Times New Roman" w:cs="Times New Roman"/>
              <w:sz w:val="24"/>
              <w:szCs w:val="24"/>
            </w:rPr>
            <w:t>13</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DABD63A">
          <w:pPr>
            <w:pStyle w:val="6"/>
            <w:tabs>
              <w:tab w:val="right" w:leader="dot" w:pos="9350"/>
            </w:tabs>
            <w:spacing w:after="0" w:line="480" w:lineRule="auto"/>
            <w:rPr>
              <w:rFonts w:ascii="Times New Roman" w:hAnsi="Times New Roman" w:cs="Times New Roman" w:eastAsiaTheme="minorEastAsia"/>
              <w:sz w:val="24"/>
              <w:szCs w:val="24"/>
            </w:rPr>
          </w:pPr>
          <w:r>
            <w:rPr>
              <w:sz w:val="24"/>
              <w:szCs w:val="24"/>
            </w:rPr>
            <w:fldChar w:fldCharType="begin"/>
          </w:r>
          <w:r>
            <w:rPr>
              <w:sz w:val="24"/>
              <w:szCs w:val="24"/>
            </w:rPr>
            <w:instrText xml:space="preserve"> HYPERLINK \l "_Toc181852226" </w:instrText>
          </w:r>
          <w:r>
            <w:rPr>
              <w:sz w:val="24"/>
              <w:szCs w:val="24"/>
            </w:rPr>
            <w:fldChar w:fldCharType="separate"/>
          </w:r>
          <w:r>
            <w:rPr>
              <w:rStyle w:val="10"/>
              <w:rFonts w:ascii="Times New Roman" w:hAnsi="Times New Roman" w:cs="Times New Roman"/>
              <w:sz w:val="24"/>
              <w:szCs w:val="24"/>
            </w:rPr>
            <w:t>1.5 Selection of Media</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_Toc181852226 \h </w:instrText>
          </w:r>
          <w:r>
            <w:rPr>
              <w:rFonts w:ascii="Times New Roman" w:hAnsi="Times New Roman" w:cs="Times New Roman"/>
              <w:sz w:val="24"/>
              <w:szCs w:val="24"/>
            </w:rPr>
            <w:fldChar w:fldCharType="separate"/>
          </w:r>
          <w:r>
            <w:rPr>
              <w:rFonts w:ascii="Times New Roman" w:hAnsi="Times New Roman" w:cs="Times New Roman"/>
              <w:sz w:val="24"/>
              <w:szCs w:val="24"/>
            </w:rPr>
            <w:t>14</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44639C6">
          <w:pPr>
            <w:pStyle w:val="6"/>
            <w:tabs>
              <w:tab w:val="right" w:leader="dot" w:pos="9350"/>
            </w:tabs>
            <w:spacing w:after="0" w:line="480" w:lineRule="auto"/>
            <w:rPr>
              <w:rFonts w:ascii="Times New Roman" w:hAnsi="Times New Roman" w:cs="Times New Roman" w:eastAsiaTheme="minorEastAsia"/>
              <w:sz w:val="24"/>
              <w:szCs w:val="24"/>
            </w:rPr>
          </w:pPr>
          <w:r>
            <w:rPr>
              <w:sz w:val="24"/>
              <w:szCs w:val="24"/>
            </w:rPr>
            <w:fldChar w:fldCharType="begin"/>
          </w:r>
          <w:r>
            <w:rPr>
              <w:sz w:val="24"/>
              <w:szCs w:val="24"/>
            </w:rPr>
            <w:instrText xml:space="preserve"> HYPERLINK \l "_Toc181852227" </w:instrText>
          </w:r>
          <w:r>
            <w:rPr>
              <w:sz w:val="24"/>
              <w:szCs w:val="24"/>
            </w:rPr>
            <w:fldChar w:fldCharType="separate"/>
          </w:r>
          <w:r>
            <w:rPr>
              <w:rStyle w:val="10"/>
              <w:rFonts w:ascii="Times New Roman" w:hAnsi="Times New Roman" w:cs="Times New Roman"/>
              <w:sz w:val="24"/>
              <w:szCs w:val="24"/>
            </w:rPr>
            <w:t>1.6 Measuring Success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_Toc181852227 \h </w:instrText>
          </w:r>
          <w:r>
            <w:rPr>
              <w:rFonts w:ascii="Times New Roman" w:hAnsi="Times New Roman" w:cs="Times New Roman"/>
              <w:sz w:val="24"/>
              <w:szCs w:val="24"/>
            </w:rPr>
            <w:fldChar w:fldCharType="separate"/>
          </w:r>
          <w:r>
            <w:rPr>
              <w:rFonts w:ascii="Times New Roman" w:hAnsi="Times New Roman" w:cs="Times New Roman"/>
              <w:sz w:val="24"/>
              <w:szCs w:val="24"/>
            </w:rPr>
            <w:t>15</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5233E70">
          <w:pPr>
            <w:pStyle w:val="5"/>
            <w:tabs>
              <w:tab w:val="right" w:leader="dot" w:pos="9350"/>
            </w:tabs>
            <w:spacing w:after="0" w:line="480" w:lineRule="auto"/>
            <w:rPr>
              <w:rFonts w:ascii="Times New Roman" w:hAnsi="Times New Roman" w:cs="Times New Roman" w:eastAsiaTheme="minorEastAsia"/>
              <w:sz w:val="24"/>
              <w:szCs w:val="24"/>
            </w:rPr>
          </w:pPr>
          <w:r>
            <w:rPr>
              <w:sz w:val="24"/>
              <w:szCs w:val="24"/>
            </w:rPr>
            <w:fldChar w:fldCharType="begin"/>
          </w:r>
          <w:r>
            <w:rPr>
              <w:sz w:val="24"/>
              <w:szCs w:val="24"/>
            </w:rPr>
            <w:instrText xml:space="preserve"> HYPERLINK \l "_Toc181852228" </w:instrText>
          </w:r>
          <w:r>
            <w:rPr>
              <w:sz w:val="24"/>
              <w:szCs w:val="24"/>
            </w:rPr>
            <w:fldChar w:fldCharType="separate"/>
          </w:r>
          <w:r>
            <w:rPr>
              <w:rStyle w:val="10"/>
              <w:rFonts w:ascii="Times New Roman" w:hAnsi="Times New Roman" w:cs="Times New Roman"/>
              <w:sz w:val="24"/>
              <w:szCs w:val="24"/>
            </w:rPr>
            <w:t>Task 2: Conclusion on Marketing Strategy Shortcomings (300 words)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_Toc181852228 \h </w:instrText>
          </w:r>
          <w:r>
            <w:rPr>
              <w:rFonts w:ascii="Times New Roman" w:hAnsi="Times New Roman" w:cs="Times New Roman"/>
              <w:sz w:val="24"/>
              <w:szCs w:val="24"/>
            </w:rPr>
            <w:fldChar w:fldCharType="separate"/>
          </w:r>
          <w:r>
            <w:rPr>
              <w:rFonts w:ascii="Times New Roman" w:hAnsi="Times New Roman" w:cs="Times New Roman"/>
              <w:sz w:val="24"/>
              <w:szCs w:val="24"/>
            </w:rPr>
            <w:t>16</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641F42E6">
          <w:pPr>
            <w:pStyle w:val="5"/>
            <w:tabs>
              <w:tab w:val="right" w:leader="dot" w:pos="9350"/>
            </w:tabs>
            <w:spacing w:after="0" w:line="480" w:lineRule="auto"/>
            <w:rPr>
              <w:rFonts w:ascii="Times New Roman" w:hAnsi="Times New Roman" w:cs="Times New Roman" w:eastAsiaTheme="minorEastAsia"/>
              <w:sz w:val="24"/>
              <w:szCs w:val="24"/>
            </w:rPr>
          </w:pPr>
          <w:r>
            <w:rPr>
              <w:sz w:val="24"/>
              <w:szCs w:val="24"/>
            </w:rPr>
            <w:fldChar w:fldCharType="begin"/>
          </w:r>
          <w:r>
            <w:rPr>
              <w:sz w:val="24"/>
              <w:szCs w:val="24"/>
            </w:rPr>
            <w:instrText xml:space="preserve"> HYPERLINK \l "_Toc181852229" </w:instrText>
          </w:r>
          <w:r>
            <w:rPr>
              <w:sz w:val="24"/>
              <w:szCs w:val="24"/>
            </w:rPr>
            <w:fldChar w:fldCharType="separate"/>
          </w:r>
          <w:r>
            <w:rPr>
              <w:rStyle w:val="10"/>
              <w:rFonts w:ascii="Times New Roman" w:hAnsi="Times New Roman" w:cs="Times New Roman"/>
              <w:sz w:val="24"/>
              <w:szCs w:val="24"/>
            </w:rPr>
            <w:t>Task 3: Recommendations for Improving HSBC’s Marketing Strategy</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_Toc181852229 \h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1E566745">
          <w:pPr>
            <w:pStyle w:val="6"/>
            <w:tabs>
              <w:tab w:val="left" w:pos="880"/>
              <w:tab w:val="right" w:leader="dot" w:pos="9350"/>
            </w:tabs>
            <w:spacing w:after="0" w:line="480" w:lineRule="auto"/>
            <w:rPr>
              <w:rFonts w:ascii="Times New Roman" w:hAnsi="Times New Roman" w:cs="Times New Roman" w:eastAsiaTheme="minorEastAsia"/>
              <w:sz w:val="24"/>
              <w:szCs w:val="24"/>
            </w:rPr>
          </w:pPr>
          <w:r>
            <w:rPr>
              <w:sz w:val="24"/>
              <w:szCs w:val="24"/>
            </w:rPr>
            <w:fldChar w:fldCharType="begin"/>
          </w:r>
          <w:r>
            <w:rPr>
              <w:sz w:val="24"/>
              <w:szCs w:val="24"/>
            </w:rPr>
            <w:instrText xml:space="preserve"> HYPERLINK \l "_Toc181852230" </w:instrText>
          </w:r>
          <w:r>
            <w:rPr>
              <w:sz w:val="24"/>
              <w:szCs w:val="24"/>
            </w:rPr>
            <w:fldChar w:fldCharType="separate"/>
          </w:r>
          <w:r>
            <w:rPr>
              <w:rStyle w:val="10"/>
              <w:rFonts w:ascii="Times New Roman" w:hAnsi="Times New Roman" w:cs="Times New Roman"/>
              <w:sz w:val="24"/>
              <w:szCs w:val="24"/>
            </w:rPr>
            <w:t>3.1</w:t>
          </w:r>
          <w:r>
            <w:rPr>
              <w:rFonts w:ascii="Times New Roman" w:hAnsi="Times New Roman" w:cs="Times New Roman" w:eastAsiaTheme="minorEastAsia"/>
              <w:sz w:val="24"/>
              <w:szCs w:val="24"/>
            </w:rPr>
            <w:tab/>
          </w:r>
          <w:r>
            <w:rPr>
              <w:rStyle w:val="10"/>
              <w:rFonts w:ascii="Times New Roman" w:hAnsi="Times New Roman" w:cs="Times New Roman"/>
              <w:sz w:val="24"/>
              <w:szCs w:val="24"/>
            </w:rPr>
            <w:t>Enhanced Cybersecurity Measures</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_Toc181852230 \h </w:instrText>
          </w:r>
          <w:r>
            <w:rPr>
              <w:rFonts w:ascii="Times New Roman" w:hAnsi="Times New Roman" w:cs="Times New Roman"/>
              <w:sz w:val="24"/>
              <w:szCs w:val="24"/>
            </w:rPr>
            <w:fldChar w:fldCharType="separate"/>
          </w:r>
          <w:r>
            <w:rPr>
              <w:rFonts w:ascii="Times New Roman" w:hAnsi="Times New Roman" w:cs="Times New Roman"/>
              <w:sz w:val="24"/>
              <w:szCs w:val="24"/>
            </w:rPr>
            <w:t>17</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73C48340">
          <w:pPr>
            <w:pStyle w:val="6"/>
            <w:tabs>
              <w:tab w:val="left" w:pos="880"/>
              <w:tab w:val="right" w:leader="dot" w:pos="9350"/>
            </w:tabs>
            <w:spacing w:after="0" w:line="480" w:lineRule="auto"/>
            <w:rPr>
              <w:rFonts w:ascii="Times New Roman" w:hAnsi="Times New Roman" w:cs="Times New Roman" w:eastAsiaTheme="minorEastAsia"/>
              <w:sz w:val="24"/>
              <w:szCs w:val="24"/>
            </w:rPr>
          </w:pPr>
          <w:r>
            <w:rPr>
              <w:sz w:val="24"/>
              <w:szCs w:val="24"/>
            </w:rPr>
            <w:fldChar w:fldCharType="begin"/>
          </w:r>
          <w:r>
            <w:rPr>
              <w:sz w:val="24"/>
              <w:szCs w:val="24"/>
            </w:rPr>
            <w:instrText xml:space="preserve"> HYPERLINK \l "_Toc181852231" </w:instrText>
          </w:r>
          <w:r>
            <w:rPr>
              <w:sz w:val="24"/>
              <w:szCs w:val="24"/>
            </w:rPr>
            <w:fldChar w:fldCharType="separate"/>
          </w:r>
          <w:r>
            <w:rPr>
              <w:rStyle w:val="10"/>
              <w:rFonts w:ascii="Times New Roman" w:hAnsi="Times New Roman" w:cs="Times New Roman"/>
              <w:sz w:val="24"/>
              <w:szCs w:val="24"/>
            </w:rPr>
            <w:t>3.2</w:t>
          </w:r>
          <w:r>
            <w:rPr>
              <w:rFonts w:ascii="Times New Roman" w:hAnsi="Times New Roman" w:cs="Times New Roman" w:eastAsiaTheme="minorEastAsia"/>
              <w:sz w:val="24"/>
              <w:szCs w:val="24"/>
            </w:rPr>
            <w:tab/>
          </w:r>
          <w:r>
            <w:rPr>
              <w:rStyle w:val="10"/>
              <w:rFonts w:ascii="Times New Roman" w:hAnsi="Times New Roman" w:cs="Times New Roman"/>
              <w:sz w:val="24"/>
              <w:szCs w:val="24"/>
            </w:rPr>
            <w:t>Greater Transparency in Sustainability Reporting</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_Toc181852231 \h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4EC2F80">
          <w:pPr>
            <w:pStyle w:val="6"/>
            <w:tabs>
              <w:tab w:val="left" w:pos="880"/>
              <w:tab w:val="right" w:leader="dot" w:pos="9350"/>
            </w:tabs>
            <w:spacing w:after="0" w:line="480" w:lineRule="auto"/>
            <w:rPr>
              <w:rFonts w:ascii="Times New Roman" w:hAnsi="Times New Roman" w:cs="Times New Roman" w:eastAsiaTheme="minorEastAsia"/>
              <w:sz w:val="24"/>
              <w:szCs w:val="24"/>
            </w:rPr>
          </w:pPr>
          <w:r>
            <w:rPr>
              <w:sz w:val="24"/>
              <w:szCs w:val="24"/>
            </w:rPr>
            <w:fldChar w:fldCharType="begin"/>
          </w:r>
          <w:r>
            <w:rPr>
              <w:sz w:val="24"/>
              <w:szCs w:val="24"/>
            </w:rPr>
            <w:instrText xml:space="preserve"> HYPERLINK \l "_Toc181852232" </w:instrText>
          </w:r>
          <w:r>
            <w:rPr>
              <w:sz w:val="24"/>
              <w:szCs w:val="24"/>
            </w:rPr>
            <w:fldChar w:fldCharType="separate"/>
          </w:r>
          <w:r>
            <w:rPr>
              <w:rStyle w:val="10"/>
              <w:rFonts w:ascii="Times New Roman" w:hAnsi="Times New Roman" w:cs="Times New Roman"/>
              <w:sz w:val="24"/>
              <w:szCs w:val="24"/>
            </w:rPr>
            <w:t>3.3</w:t>
          </w:r>
          <w:r>
            <w:rPr>
              <w:rFonts w:ascii="Times New Roman" w:hAnsi="Times New Roman" w:cs="Times New Roman" w:eastAsiaTheme="minorEastAsia"/>
              <w:sz w:val="24"/>
              <w:szCs w:val="24"/>
            </w:rPr>
            <w:tab/>
          </w:r>
          <w:r>
            <w:rPr>
              <w:rStyle w:val="10"/>
              <w:rFonts w:ascii="Times New Roman" w:hAnsi="Times New Roman" w:cs="Times New Roman"/>
              <w:sz w:val="24"/>
              <w:szCs w:val="24"/>
            </w:rPr>
            <w:t>Incorporate Qualitative Metrics in Success Measurement: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_Toc181852232 \h </w:instrText>
          </w:r>
          <w:r>
            <w:rPr>
              <w:rFonts w:ascii="Times New Roman" w:hAnsi="Times New Roman" w:cs="Times New Roman"/>
              <w:sz w:val="24"/>
              <w:szCs w:val="24"/>
            </w:rPr>
            <w:fldChar w:fldCharType="separate"/>
          </w:r>
          <w:r>
            <w:rPr>
              <w:rFonts w:ascii="Times New Roman" w:hAnsi="Times New Roman" w:cs="Times New Roman"/>
              <w:sz w:val="24"/>
              <w:szCs w:val="24"/>
            </w:rPr>
            <w:t>18</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03E72815">
          <w:pPr>
            <w:pStyle w:val="6"/>
            <w:tabs>
              <w:tab w:val="left" w:pos="880"/>
              <w:tab w:val="right" w:leader="dot" w:pos="9350"/>
            </w:tabs>
            <w:spacing w:after="0" w:line="480" w:lineRule="auto"/>
            <w:rPr>
              <w:rFonts w:ascii="Times New Roman" w:hAnsi="Times New Roman" w:cs="Times New Roman" w:eastAsiaTheme="minorEastAsia"/>
              <w:sz w:val="24"/>
              <w:szCs w:val="24"/>
            </w:rPr>
          </w:pPr>
          <w:r>
            <w:rPr>
              <w:sz w:val="24"/>
              <w:szCs w:val="24"/>
            </w:rPr>
            <w:fldChar w:fldCharType="begin"/>
          </w:r>
          <w:r>
            <w:rPr>
              <w:sz w:val="24"/>
              <w:szCs w:val="24"/>
            </w:rPr>
            <w:instrText xml:space="preserve"> HYPERLINK \l "_Toc181852233" </w:instrText>
          </w:r>
          <w:r>
            <w:rPr>
              <w:sz w:val="24"/>
              <w:szCs w:val="24"/>
            </w:rPr>
            <w:fldChar w:fldCharType="separate"/>
          </w:r>
          <w:r>
            <w:rPr>
              <w:rStyle w:val="10"/>
              <w:rFonts w:ascii="Times New Roman" w:hAnsi="Times New Roman" w:cs="Times New Roman"/>
              <w:sz w:val="24"/>
              <w:szCs w:val="24"/>
            </w:rPr>
            <w:t>3.4</w:t>
          </w:r>
          <w:r>
            <w:rPr>
              <w:rFonts w:ascii="Times New Roman" w:hAnsi="Times New Roman" w:cs="Times New Roman" w:eastAsiaTheme="minorEastAsia"/>
              <w:sz w:val="24"/>
              <w:szCs w:val="24"/>
            </w:rPr>
            <w:tab/>
          </w:r>
          <w:r>
            <w:rPr>
              <w:rStyle w:val="10"/>
              <w:rFonts w:ascii="Times New Roman" w:hAnsi="Times New Roman" w:cs="Times New Roman"/>
              <w:sz w:val="24"/>
              <w:szCs w:val="24"/>
            </w:rPr>
            <w:t>Expand Personalized Customer Engagement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_Toc181852233 \h </w:instrText>
          </w:r>
          <w:r>
            <w:rPr>
              <w:rFonts w:ascii="Times New Roman" w:hAnsi="Times New Roman" w:cs="Times New Roman"/>
              <w:sz w:val="24"/>
              <w:szCs w:val="24"/>
            </w:rPr>
            <w:fldChar w:fldCharType="separate"/>
          </w:r>
          <w:r>
            <w:rPr>
              <w:rFonts w:ascii="Times New Roman" w:hAnsi="Times New Roman" w:cs="Times New Roman"/>
              <w:sz w:val="24"/>
              <w:szCs w:val="24"/>
            </w:rPr>
            <w:t>19</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5F9544A">
          <w:pPr>
            <w:pStyle w:val="5"/>
            <w:tabs>
              <w:tab w:val="right" w:leader="dot" w:pos="9350"/>
            </w:tabs>
            <w:spacing w:after="0" w:line="480" w:lineRule="auto"/>
            <w:rPr>
              <w:rFonts w:ascii="Times New Roman" w:hAnsi="Times New Roman" w:cs="Times New Roman" w:eastAsiaTheme="minorEastAsia"/>
              <w:sz w:val="24"/>
              <w:szCs w:val="24"/>
            </w:rPr>
          </w:pPr>
          <w:r>
            <w:rPr>
              <w:sz w:val="24"/>
              <w:szCs w:val="24"/>
            </w:rPr>
            <w:fldChar w:fldCharType="begin"/>
          </w:r>
          <w:r>
            <w:rPr>
              <w:sz w:val="24"/>
              <w:szCs w:val="24"/>
            </w:rPr>
            <w:instrText xml:space="preserve"> HYPERLINK \l "_Toc181852234" </w:instrText>
          </w:r>
          <w:r>
            <w:rPr>
              <w:sz w:val="24"/>
              <w:szCs w:val="24"/>
            </w:rPr>
            <w:fldChar w:fldCharType="separate"/>
          </w:r>
          <w:r>
            <w:rPr>
              <w:rStyle w:val="10"/>
              <w:rFonts w:ascii="Times New Roman" w:hAnsi="Times New Roman" w:cs="Times New Roman"/>
              <w:sz w:val="24"/>
              <w:szCs w:val="24"/>
            </w:rPr>
            <w:t>Reference list</w:t>
          </w:r>
          <w:r>
            <w:rPr>
              <w:rFonts w:ascii="Times New Roman" w:hAnsi="Times New Roman" w:cs="Times New Roman"/>
              <w:sz w:val="24"/>
              <w:szCs w:val="24"/>
            </w:rPr>
            <w:tab/>
          </w: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PAGEREF _Toc181852234 \h </w:instrText>
          </w:r>
          <w:r>
            <w:rPr>
              <w:rFonts w:ascii="Times New Roman" w:hAnsi="Times New Roman" w:cs="Times New Roman"/>
              <w:sz w:val="24"/>
              <w:szCs w:val="24"/>
            </w:rPr>
            <w:fldChar w:fldCharType="separate"/>
          </w:r>
          <w:r>
            <w:rPr>
              <w:rFonts w:ascii="Times New Roman" w:hAnsi="Times New Roman" w:cs="Times New Roman"/>
              <w:sz w:val="24"/>
              <w:szCs w:val="24"/>
            </w:rPr>
            <w:t>20</w:t>
          </w:r>
          <w:r>
            <w:rPr>
              <w:rFonts w:ascii="Times New Roman" w:hAnsi="Times New Roman" w:cs="Times New Roman"/>
              <w:sz w:val="24"/>
              <w:szCs w:val="24"/>
            </w:rPr>
            <w:fldChar w:fldCharType="end"/>
          </w:r>
          <w:r>
            <w:rPr>
              <w:rFonts w:ascii="Times New Roman" w:hAnsi="Times New Roman" w:cs="Times New Roman"/>
              <w:sz w:val="24"/>
              <w:szCs w:val="24"/>
            </w:rPr>
            <w:fldChar w:fldCharType="end"/>
          </w:r>
        </w:p>
        <w:p w14:paraId="5B781993">
          <w:pPr>
            <w:spacing w:after="0" w:line="480" w:lineRule="auto"/>
            <w:rPr>
              <w:rFonts w:ascii="Times New Roman" w:hAnsi="Times New Roman" w:cs="Times New Roman"/>
              <w:sz w:val="24"/>
              <w:szCs w:val="24"/>
            </w:rPr>
          </w:pPr>
          <w:r>
            <w:rPr>
              <w:rFonts w:ascii="Times New Roman" w:hAnsi="Times New Roman" w:cs="Times New Roman"/>
              <w:sz w:val="24"/>
              <w:szCs w:val="24"/>
            </w:rPr>
            <w:fldChar w:fldCharType="end"/>
          </w:r>
        </w:p>
      </w:sdtContent>
    </w:sdt>
    <w:p w14:paraId="22C7A616">
      <w:pPr>
        <w:spacing w:after="0" w:line="480" w:lineRule="auto"/>
        <w:contextualSpacing/>
        <w:rPr>
          <w:rFonts w:ascii="Times New Roman" w:hAnsi="Times New Roman" w:cs="Times New Roman"/>
          <w:sz w:val="24"/>
          <w:szCs w:val="24"/>
        </w:rPr>
      </w:pPr>
    </w:p>
    <w:p w14:paraId="7DF531CC">
      <w:pPr>
        <w:spacing w:after="0" w:line="480" w:lineRule="auto"/>
        <w:contextualSpacing/>
        <w:rPr>
          <w:rFonts w:ascii="Times New Roman" w:hAnsi="Times New Roman" w:cs="Times New Roman"/>
          <w:b/>
          <w:bCs/>
          <w:sz w:val="24"/>
          <w:szCs w:val="24"/>
        </w:rPr>
      </w:pPr>
      <w:r>
        <w:rPr>
          <w:rFonts w:ascii="Times New Roman" w:hAnsi="Times New Roman" w:cs="Times New Roman"/>
          <w:b/>
          <w:bCs/>
          <w:sz w:val="24"/>
          <w:szCs w:val="24"/>
        </w:rPr>
        <w:br w:type="page"/>
      </w:r>
    </w:p>
    <w:p w14:paraId="0F25DB49">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 xml:space="preserve">CRITICAL EVALUATION OF HSBC'S MARKETING ACTIVITIES AND STRATEGIC RECOMMENDATIONS </w:t>
      </w:r>
    </w:p>
    <w:p w14:paraId="75B70251">
      <w:pPr>
        <w:spacing w:after="0" w:line="480" w:lineRule="auto"/>
        <w:contextualSpacing/>
        <w:outlineLvl w:val="0"/>
        <w:rPr>
          <w:rFonts w:ascii="Times New Roman" w:hAnsi="Times New Roman" w:cs="Times New Roman"/>
          <w:b/>
          <w:bCs/>
          <w:sz w:val="24"/>
          <w:szCs w:val="24"/>
        </w:rPr>
      </w:pPr>
      <w:bookmarkStart w:id="1" w:name="_Toc181852219"/>
      <w:r>
        <w:rPr>
          <w:rFonts w:ascii="Times New Roman" w:hAnsi="Times New Roman" w:cs="Times New Roman"/>
          <w:b/>
          <w:bCs/>
          <w:sz w:val="24"/>
          <w:szCs w:val="24"/>
        </w:rPr>
        <w:t>Introduction</w:t>
      </w:r>
      <w:bookmarkEnd w:id="1"/>
      <w:r>
        <w:rPr>
          <w:rFonts w:ascii="Times New Roman" w:hAnsi="Times New Roman" w:cs="Times New Roman"/>
          <w:b/>
          <w:bCs/>
          <w:sz w:val="24"/>
          <w:szCs w:val="24"/>
        </w:rPr>
        <w:t xml:space="preserve"> </w:t>
      </w:r>
    </w:p>
    <w:p w14:paraId="58025033">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HSBC, a global banking leader, employs a robust marketing strategy to strengthen its brand and meet clients' needs in over 60 countries. The marketing department is essential in shaping HSBC's public image, enhancing customer engagement, and staying competitive amid evolving technology, customer expectations, and regulatory demands. Through investments in digital platforms, customer analytics, and sustainable finance, HSBC aligns with market demands, appealing to clients who value tech-driven, responsible banking. This report critically examines HSBC's marketing strategy, focusing on digital marketing, audience engagement, and sustainability while identifying strengths and improvement areas. Recommendations aim to enhance HSBC's marketing effectiveness, supporting long-term competitive advantage.</w:t>
      </w:r>
    </w:p>
    <w:p w14:paraId="21E6F0B7">
      <w:pPr>
        <w:spacing w:after="0" w:line="480" w:lineRule="auto"/>
        <w:contextualSpacing/>
        <w:outlineLvl w:val="0"/>
        <w:rPr>
          <w:rFonts w:ascii="Times New Roman" w:hAnsi="Times New Roman" w:cs="Times New Roman"/>
          <w:b/>
          <w:bCs/>
          <w:sz w:val="24"/>
          <w:szCs w:val="24"/>
        </w:rPr>
      </w:pPr>
      <w:bookmarkStart w:id="2" w:name="_Toc181852220"/>
      <w:r>
        <w:rPr>
          <w:rFonts w:ascii="Times New Roman" w:hAnsi="Times New Roman" w:cs="Times New Roman"/>
          <w:b/>
          <w:bCs/>
          <w:sz w:val="24"/>
          <w:szCs w:val="24"/>
        </w:rPr>
        <w:t>Main Findings</w:t>
      </w:r>
      <w:bookmarkEnd w:id="2"/>
    </w:p>
    <w:p w14:paraId="1E901142">
      <w:pPr>
        <w:spacing w:after="0" w:line="480" w:lineRule="auto"/>
        <w:contextualSpacing/>
        <w:outlineLvl w:val="0"/>
        <w:rPr>
          <w:rFonts w:ascii="Times New Roman" w:hAnsi="Times New Roman" w:cs="Times New Roman"/>
          <w:b/>
          <w:bCs/>
          <w:sz w:val="24"/>
          <w:szCs w:val="24"/>
        </w:rPr>
      </w:pPr>
      <w:bookmarkStart w:id="3" w:name="_Toc181852221"/>
      <w:r>
        <w:rPr>
          <w:rFonts w:ascii="Times New Roman" w:hAnsi="Times New Roman" w:cs="Times New Roman"/>
          <w:b/>
          <w:bCs/>
          <w:sz w:val="24"/>
          <w:szCs w:val="24"/>
        </w:rPr>
        <w:t>Task 1: Critical Evaluation of HSBC’s Marketing Activities</w:t>
      </w:r>
      <w:bookmarkEnd w:id="3"/>
    </w:p>
    <w:p w14:paraId="17F2E161">
      <w:pPr>
        <w:pStyle w:val="13"/>
        <w:numPr>
          <w:ilvl w:val="1"/>
          <w:numId w:val="1"/>
        </w:numPr>
        <w:spacing w:after="0" w:line="480" w:lineRule="auto"/>
        <w:outlineLvl w:val="1"/>
        <w:rPr>
          <w:rFonts w:ascii="Times New Roman" w:hAnsi="Times New Roman" w:cs="Times New Roman"/>
          <w:sz w:val="24"/>
          <w:szCs w:val="24"/>
        </w:rPr>
      </w:pPr>
      <w:bookmarkStart w:id="4" w:name="_Toc181852222"/>
      <w:r>
        <w:rPr>
          <w:rFonts w:ascii="Times New Roman" w:hAnsi="Times New Roman" w:cs="Times New Roman"/>
          <w:b/>
          <w:bCs/>
          <w:sz w:val="24"/>
          <w:szCs w:val="24"/>
        </w:rPr>
        <w:t>The Concept and Importance of Marketing</w:t>
      </w:r>
      <w:bookmarkEnd w:id="4"/>
    </w:p>
    <w:p w14:paraId="150EB82C">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 strategic marketing function at HSBC lays the foundation for the bank's businesses across global, diverse markets, be it brand building or customer acquisition. It has invested hugely in advanced digital marketing tools, like sophisticated customer data analytics, to improve customer engagement further and develop services that best address the needs of its customers. The marketing strategies undertaken by HSBC majorly involve the expenditure on digital platforms and mobile applications that make transactions more accessible and provide the user with updated financial insights in real time (Vittala K et al., 2024). This aligns with HSBC's purpose of providing a seamless customer experience for all within the reach of a digital economy that quickly engulfs everything.</w:t>
      </w:r>
    </w:p>
    <w:p w14:paraId="143C5F98">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In addition, HSBC has invested money in brand development campaigns that advocate its concern for sustainability and ethics in banking, making it attractive for modern, socially conscious customers (Chi and Kien, 2023). The steps taken by the marketing department mirror HSBC's friendly approaches toward the environment and appeal to individual and corporate clients who appreciate eco-friendliness. The company's marketing covers all corners of the globe, with increasing usage of social media and targeted digital advertising to expand its reach.</w:t>
      </w:r>
    </w:p>
    <w:p w14:paraId="6B2BF3E0">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These efforts highlight marketing as the driver of HSBC's global engagement strategy. Marketing is developing HSBC's brand image and building trust in communicating the bank's commitment to sustainable and inclusive finance. Emphases on digitalization and sustainability position HSBC as an institution with a futuristic outlook, adapting to changing market conditions, thereby strengthening its competitive positioning in the financial sector.</w:t>
      </w:r>
    </w:p>
    <w:p w14:paraId="766FA605">
      <w:pPr>
        <w:spacing w:after="0" w:line="480" w:lineRule="auto"/>
        <w:contextualSpacing/>
        <w:outlineLvl w:val="1"/>
        <w:rPr>
          <w:rFonts w:ascii="Times New Roman" w:hAnsi="Times New Roman" w:cs="Times New Roman"/>
          <w:sz w:val="24"/>
          <w:szCs w:val="24"/>
        </w:rPr>
      </w:pPr>
      <w:bookmarkStart w:id="5" w:name="_Toc181852223"/>
      <w:r>
        <w:rPr>
          <w:rFonts w:ascii="Times New Roman" w:hAnsi="Times New Roman" w:cs="Times New Roman"/>
          <w:b/>
          <w:bCs/>
          <w:sz w:val="24"/>
          <w:szCs w:val="24"/>
        </w:rPr>
        <w:t>1.2 Macro and Micro Marketing Environment</w:t>
      </w:r>
      <w:bookmarkEnd w:id="5"/>
      <w:r>
        <w:rPr>
          <w:rFonts w:ascii="Times New Roman" w:hAnsi="Times New Roman" w:cs="Times New Roman"/>
          <w:b/>
          <w:bCs/>
          <w:sz w:val="24"/>
          <w:szCs w:val="24"/>
        </w:rPr>
        <w:t xml:space="preserve"> </w:t>
      </w:r>
    </w:p>
    <w:p w14:paraId="364F83CC">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This report has used analytical frameworks from the micro and macro environment to establish HSBC's marketing strategy, hence the ability to remain competitive, address clients' expectations, and meet legal requirements (</w:t>
      </w:r>
      <w:r>
        <w:rPr>
          <w:rFonts w:ascii="Times New Roman" w:hAnsi="Times New Roman" w:cs="Times New Roman"/>
          <w:i/>
          <w:iCs/>
          <w:sz w:val="24"/>
          <w:szCs w:val="24"/>
        </w:rPr>
        <w:t>Chartered Institute of Marketing</w:t>
      </w:r>
      <w:r>
        <w:rPr>
          <w:rFonts w:ascii="Times New Roman" w:hAnsi="Times New Roman" w:cs="Times New Roman"/>
          <w:sz w:val="24"/>
          <w:szCs w:val="24"/>
        </w:rPr>
        <w:t>, 2024). Macrosegmentations include political, economic, social, technical, legal, and environmental factors, such as PESTLE factors affecting HSBC marketing (Grima et al., 2020).</w:t>
      </w:r>
    </w:p>
    <w:p w14:paraId="237FFD42">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Politically, HSBC is in the financial service industry, which suffers the impacts of data privacy regulation, anti-money laundering regulation, and financial conduct regulation on its marketing. However, regarding digital marketing, HSBC faces various challenges arising from regulations such as GDPR, limiting how the firm collects and processes customer data in areas that have implemented such policies. Adherence to such regulations is mandatory in preserving customer confidence and to avert regulatory fines, making compliance a significant factor in HSBC's marketing strategy. Also, competition from local players, political unrest, and economic blocking of some operations worldwide may affect HSBC, determining how it presents itself in various geographical locations.</w:t>
      </w:r>
    </w:p>
    <w:p w14:paraId="2CA7E744">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Economic factors also play a crucial role in HSBC's approach to marketing. Global economic uncertainties, such as fluctuating interest rates, inflation, and foreign exchange rates, affect consumer confidence and spending behaviors, influencing HSBC's marketing messaging (Matthews et al., 2023). For example, during periods of economic downturn, HSBC might emphasize stability and secure banking solutions in its communications to appeal to risk-averse clients. Conversely, in more robust economic periods, HSBC may promote investment and wealth management services, targeting customers interested in capital growth. These adjustments allow HSBC to align its marketing messages with the economic realities of its diverse customer base across different regions.</w:t>
      </w:r>
    </w:p>
    <w:p w14:paraId="2BD8A637">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Technological innovations are macro forces in the environment that affect HSBC. Digital banking, autonomous mobile interfaces, and other advances in artificial intelligence and machine learning alter consumers' expectations, driving HSBC to adapt its marketing strategies and services (Boobier, 2020). HSBC has adopted digitization, such as mobile applications and chatbots, to meet consumers' expectations. Furthermore, big data analytics enables HSBC to understand customers' behavior in order to achieve its marketing goals. However, these technological integrations also imply a never-ending quest for client protection against digital thefts, which requires consistent investments in cybersecurity.</w:t>
      </w:r>
    </w:p>
    <w:p w14:paraId="316D4FA4">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 external macroenvironment influences HSBC's marketing mix through the social sustainability factors. Modern and intelligent consumers care about the social and environmental responsibilities of organizations. HSBC tends to focus on sustainable banking and ethical financial services as the key areas of the bank's profile. Marketing communication tools that create awareness of green finance, such as green loans and investments in renewable energy products, highlight customers with environmentally friendly interests (Ringel and Mjekic, 2023). These affiliations with societal norms also bolster HSBC's brand perception while solidifying customer bases for the banks caring for corporate social responsibility.</w:t>
      </w:r>
    </w:p>
    <w:p w14:paraId="7C45C99C">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 legal issues facing HSBC include legal issues related to advertising and marketing, electronic business and communications, and consumer protection laws. To prevent the company from preparing and disseminating misleading and unlawful advertisements, compliance is essential for HSBC, which could lead to costly lawsuits or fines. For example, some rules protect people from false claims by campaigns promoting HSBC's products. Compliance is a critical aspect of playing out the bank's corporate social responsibility of protecting its clients from various issues so they can do business accessible from any legal hitches.</w:t>
      </w:r>
    </w:p>
    <w:p w14:paraId="1C54722A">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 influence of the environment is rising as climate change is becoming a global issue in HSBC's marketing mix. Indeed, HSBC deems itself a sustainable bank because it practices carbon neutrality and emphasizes green finance (Grijalva and García-Wang, 2023). Marketing communications publicize such strategies to attract value-sensitive consumers in the market. Another critical aspect is HSBC's commitment to decreasing the company's CO2 level, which goes well with clients who care about the environment.</w:t>
      </w:r>
    </w:p>
    <w:p w14:paraId="5A87AC8A">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In the microenvironment, HSBC competitors, customers, and resources in direct contact with the firm influence marketing. HSBC is an organization that competes with Barclays and Citibank, and both companies focus on digital transformation and sustainability. This competition makes HSBC find ways to offer unique values that can set it out from the rest, such as unique and customized digital touchpoints that appeal to a specific market segment of ethical financial consumers (Wewege et al., 2020). Being unique to the competitors is critical to capturing and maintaining the customer base.</w:t>
      </w:r>
    </w:p>
    <w:p w14:paraId="21F3168E">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 xml:space="preserve">To HSBC, internal resources and workforce skills are crucial in marketing strategy. The bank has a well-trained human resources team that can enhance digital marketing tools and analysis. HSBC's compliance with outside pressures increases its team's relevance to modern consumers by providing the means for digital skills and training in IT security (Skinner, 2020). </w:t>
      </w:r>
      <w:bookmarkStart w:id="18" w:name="_GoBack"/>
      <w:bookmarkEnd w:id="18"/>
      <w:r>
        <w:rPr>
          <w:rFonts w:ascii="Times New Roman" w:hAnsi="Times New Roman" w:cs="Times New Roman"/>
          <w:sz w:val="24"/>
          <w:szCs w:val="24"/>
        </w:rPr>
        <w:t>Furthermore, the company's financials are favorable regarding investments in technology, sustainability, and employee training, which are necessary for the organization in the modern, evolving environment.</w:t>
      </w:r>
    </w:p>
    <w:tbl>
      <w:tblPr>
        <w:tblStyle w:val="8"/>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783"/>
        <w:gridCol w:w="7793"/>
      </w:tblGrid>
      <w:tr w14:paraId="4286600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0" w:type="auto"/>
            <w:shd w:val="clear" w:color="auto" w:fill="E2EFD9" w:themeFill="accent6" w:themeFillTint="33"/>
          </w:tcPr>
          <w:p w14:paraId="5ABE166C">
            <w:pPr>
              <w:spacing w:after="0" w:line="480" w:lineRule="auto"/>
              <w:contextualSpacing/>
              <w:rPr>
                <w:rFonts w:ascii="Times New Roman" w:hAnsi="Times New Roman" w:cs="Times New Roman"/>
                <w:b/>
                <w:bCs/>
                <w:sz w:val="24"/>
                <w:szCs w:val="24"/>
              </w:rPr>
            </w:pPr>
            <w:r>
              <w:rPr>
                <w:rFonts w:ascii="Times New Roman" w:hAnsi="Times New Roman" w:cs="Times New Roman"/>
                <w:b/>
                <w:bCs/>
                <w:sz w:val="24"/>
                <w:szCs w:val="24"/>
              </w:rPr>
              <w:t>PESTLE Factor</w:t>
            </w:r>
          </w:p>
        </w:tc>
        <w:tc>
          <w:tcPr>
            <w:tcW w:w="0" w:type="auto"/>
            <w:shd w:val="clear" w:color="auto" w:fill="ED7D31" w:themeFill="accent2"/>
          </w:tcPr>
          <w:p w14:paraId="496F0101">
            <w:pPr>
              <w:spacing w:after="0" w:line="480" w:lineRule="auto"/>
              <w:contextualSpacing/>
              <w:rPr>
                <w:rFonts w:ascii="Times New Roman" w:hAnsi="Times New Roman" w:cs="Times New Roman"/>
                <w:b/>
                <w:bCs/>
                <w:sz w:val="24"/>
                <w:szCs w:val="24"/>
              </w:rPr>
            </w:pPr>
            <w:r>
              <w:rPr>
                <w:rFonts w:ascii="Times New Roman" w:hAnsi="Times New Roman" w:cs="Times New Roman"/>
                <w:b/>
                <w:bCs/>
                <w:sz w:val="24"/>
                <w:szCs w:val="24"/>
              </w:rPr>
              <w:t>Impact on HSBC's Marketing Strategy</w:t>
            </w:r>
          </w:p>
        </w:tc>
      </w:tr>
      <w:tr w14:paraId="5ACD95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shd w:val="clear" w:color="auto" w:fill="E2EFD9" w:themeFill="accent6" w:themeFillTint="33"/>
          </w:tcPr>
          <w:p w14:paraId="381FA0A6">
            <w:pPr>
              <w:spacing w:after="0" w:line="480" w:lineRule="auto"/>
              <w:contextualSpacing/>
              <w:rPr>
                <w:rFonts w:ascii="Times New Roman" w:hAnsi="Times New Roman" w:cs="Times New Roman"/>
                <w:sz w:val="24"/>
                <w:szCs w:val="24"/>
              </w:rPr>
            </w:pPr>
            <w:r>
              <w:rPr>
                <w:rFonts w:ascii="Times New Roman" w:hAnsi="Times New Roman" w:cs="Times New Roman"/>
                <w:b/>
                <w:bCs/>
                <w:sz w:val="24"/>
                <w:szCs w:val="24"/>
              </w:rPr>
              <w:t>Political</w:t>
            </w:r>
          </w:p>
        </w:tc>
        <w:tc>
          <w:tcPr>
            <w:tcW w:w="0" w:type="auto"/>
            <w:shd w:val="clear" w:color="auto" w:fill="A5A5A5" w:themeFill="accent3"/>
          </w:tcPr>
          <w:p w14:paraId="3062D68C">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HSBC operates under stringent regulatory environments worldwide, including data privacy (for example, GDPR) and financial compliance standards. Political instability or sanctions in certain regions affect its global operations, requiring careful adjustment in regional marketing strategies to maintain compliance and mitigate risk.</w:t>
            </w:r>
          </w:p>
        </w:tc>
      </w:tr>
      <w:tr w14:paraId="77C4E83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shd w:val="clear" w:color="auto" w:fill="E2EFD9" w:themeFill="accent6" w:themeFillTint="33"/>
          </w:tcPr>
          <w:p w14:paraId="1BE64A2D">
            <w:pPr>
              <w:spacing w:after="0" w:line="480" w:lineRule="auto"/>
              <w:contextualSpacing/>
              <w:rPr>
                <w:rFonts w:ascii="Times New Roman" w:hAnsi="Times New Roman" w:cs="Times New Roman"/>
                <w:sz w:val="24"/>
                <w:szCs w:val="24"/>
              </w:rPr>
            </w:pPr>
            <w:r>
              <w:rPr>
                <w:rFonts w:ascii="Times New Roman" w:hAnsi="Times New Roman" w:cs="Times New Roman"/>
                <w:b/>
                <w:bCs/>
                <w:sz w:val="24"/>
                <w:szCs w:val="24"/>
              </w:rPr>
              <w:t>Economic</w:t>
            </w:r>
          </w:p>
        </w:tc>
        <w:tc>
          <w:tcPr>
            <w:tcW w:w="0" w:type="auto"/>
            <w:shd w:val="clear" w:color="auto" w:fill="FFE599" w:themeFill="accent4" w:themeFillTint="66"/>
          </w:tcPr>
          <w:p w14:paraId="6CB85C96">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Global economic conditions, such as interest rate fluctuations, inflation, and foreign exchange rates, influence HSBC's marketing messaging. During economic downturns, HSBC may highlight stability and secure financial solutions, whereas, in growth periods, it may promote investment and wealth management services. This flexibility helps tailor marketing to reflect economic realities.</w:t>
            </w:r>
          </w:p>
        </w:tc>
      </w:tr>
      <w:tr w14:paraId="2E365AE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shd w:val="clear" w:color="auto" w:fill="E2EFD9" w:themeFill="accent6" w:themeFillTint="33"/>
          </w:tcPr>
          <w:p w14:paraId="580C89D3">
            <w:pPr>
              <w:spacing w:after="0" w:line="480" w:lineRule="auto"/>
              <w:contextualSpacing/>
              <w:rPr>
                <w:rFonts w:ascii="Times New Roman" w:hAnsi="Times New Roman" w:cs="Times New Roman"/>
                <w:sz w:val="24"/>
                <w:szCs w:val="24"/>
              </w:rPr>
            </w:pPr>
            <w:r>
              <w:rPr>
                <w:rFonts w:ascii="Times New Roman" w:hAnsi="Times New Roman" w:cs="Times New Roman"/>
                <w:b/>
                <w:bCs/>
                <w:sz w:val="24"/>
                <w:szCs w:val="24"/>
              </w:rPr>
              <w:t>Social</w:t>
            </w:r>
          </w:p>
        </w:tc>
        <w:tc>
          <w:tcPr>
            <w:tcW w:w="0" w:type="auto"/>
            <w:shd w:val="clear" w:color="auto" w:fill="FFC000" w:themeFill="accent4"/>
          </w:tcPr>
          <w:p w14:paraId="74103E63">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HSBC's marketing strategy increasingly reflects consumer expectations for sustainability and corporate responsibility. Social trends toward ethical banking and environmental awareness drive HSBC to emphasize its commitment to green finance and sustainable practices, appealing to customers prioritizing social impact and responsible business conduct.</w:t>
            </w:r>
          </w:p>
        </w:tc>
      </w:tr>
      <w:tr w14:paraId="552B20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shd w:val="clear" w:color="auto" w:fill="E2EFD9" w:themeFill="accent6" w:themeFillTint="33"/>
          </w:tcPr>
          <w:p w14:paraId="7649D1A3">
            <w:pPr>
              <w:spacing w:after="0" w:line="480" w:lineRule="auto"/>
              <w:contextualSpacing/>
              <w:rPr>
                <w:rFonts w:ascii="Times New Roman" w:hAnsi="Times New Roman" w:cs="Times New Roman"/>
                <w:sz w:val="24"/>
                <w:szCs w:val="24"/>
              </w:rPr>
            </w:pPr>
            <w:r>
              <w:rPr>
                <w:rFonts w:ascii="Times New Roman" w:hAnsi="Times New Roman" w:cs="Times New Roman"/>
                <w:b/>
                <w:bCs/>
                <w:sz w:val="24"/>
                <w:szCs w:val="24"/>
              </w:rPr>
              <w:t>Technological</w:t>
            </w:r>
          </w:p>
        </w:tc>
        <w:tc>
          <w:tcPr>
            <w:tcW w:w="0" w:type="auto"/>
            <w:shd w:val="clear" w:color="auto" w:fill="92D050"/>
          </w:tcPr>
          <w:p w14:paraId="08FC613D">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Rapid advancements in digital banking, AI, and data analytics influence HSBC's approach, pushing it to innovate through mobile apps, personalized services, and chatbots. Technological integration enhances customer experience but requires substantial investment in cybersecurity to protect sensitive customer data.</w:t>
            </w:r>
          </w:p>
        </w:tc>
      </w:tr>
      <w:tr w14:paraId="6B605C1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shd w:val="clear" w:color="auto" w:fill="E2EFD9" w:themeFill="accent6" w:themeFillTint="33"/>
          </w:tcPr>
          <w:p w14:paraId="729AEDAD">
            <w:pPr>
              <w:spacing w:after="0" w:line="480" w:lineRule="auto"/>
              <w:contextualSpacing/>
              <w:rPr>
                <w:rFonts w:ascii="Times New Roman" w:hAnsi="Times New Roman" w:cs="Times New Roman"/>
                <w:sz w:val="24"/>
                <w:szCs w:val="24"/>
              </w:rPr>
            </w:pPr>
            <w:r>
              <w:rPr>
                <w:rFonts w:ascii="Times New Roman" w:hAnsi="Times New Roman" w:cs="Times New Roman"/>
                <w:b/>
                <w:bCs/>
                <w:sz w:val="24"/>
                <w:szCs w:val="24"/>
              </w:rPr>
              <w:t>Legal</w:t>
            </w:r>
          </w:p>
        </w:tc>
        <w:tc>
          <w:tcPr>
            <w:tcW w:w="0" w:type="auto"/>
            <w:shd w:val="clear" w:color="auto" w:fill="F4B083" w:themeFill="accent2" w:themeFillTint="99"/>
          </w:tcPr>
          <w:p w14:paraId="3C9CEDEC">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HSBC must adhere to laws on advertising, digital marketing, and consumer protection, ensuring transparency and accuracy in its marketing campaigns. Compliance with fair advertising laws and consumer rights regulations helps maintain the bank's reputation and builds customer trust.</w:t>
            </w:r>
          </w:p>
        </w:tc>
      </w:tr>
      <w:tr w14:paraId="7712E5B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0" w:type="auto"/>
            <w:shd w:val="clear" w:color="auto" w:fill="E2EFD9" w:themeFill="accent6" w:themeFillTint="33"/>
          </w:tcPr>
          <w:p w14:paraId="6ABA9528">
            <w:pPr>
              <w:spacing w:after="0" w:line="480" w:lineRule="auto"/>
              <w:contextualSpacing/>
              <w:rPr>
                <w:rFonts w:ascii="Times New Roman" w:hAnsi="Times New Roman" w:cs="Times New Roman"/>
                <w:sz w:val="24"/>
                <w:szCs w:val="24"/>
              </w:rPr>
            </w:pPr>
            <w:r>
              <w:rPr>
                <w:rFonts w:ascii="Times New Roman" w:hAnsi="Times New Roman" w:cs="Times New Roman"/>
                <w:b/>
                <w:bCs/>
                <w:sz w:val="24"/>
                <w:szCs w:val="24"/>
              </w:rPr>
              <w:t>Environmental</w:t>
            </w:r>
          </w:p>
        </w:tc>
        <w:tc>
          <w:tcPr>
            <w:tcW w:w="0" w:type="auto"/>
            <w:shd w:val="clear" w:color="auto" w:fill="FFE599" w:themeFill="accent4" w:themeFillTint="66"/>
          </w:tcPr>
          <w:p w14:paraId="12F90A75">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With an increasing focus on climate change, HSBC's marketing strategy incorporates its commitment to carbon neutrality and green finance initiatives. By promoting these efforts, HSBC attracts environmentally conscious clients and strengthens its position as a sustainable bank in the eyes of stakeholders.</w:t>
            </w:r>
          </w:p>
        </w:tc>
      </w:tr>
    </w:tbl>
    <w:p w14:paraId="3037A1BD">
      <w:pPr>
        <w:spacing w:after="0" w:line="480" w:lineRule="auto"/>
        <w:contextualSpacing/>
        <w:rPr>
          <w:rFonts w:ascii="Times New Roman" w:hAnsi="Times New Roman" w:cs="Times New Roman"/>
          <w:i/>
          <w:iCs/>
          <w:sz w:val="24"/>
          <w:szCs w:val="24"/>
        </w:rPr>
      </w:pPr>
      <w:r>
        <w:rPr>
          <w:rFonts w:ascii="Times New Roman" w:hAnsi="Times New Roman" w:cs="Times New Roman"/>
          <w:i/>
          <w:iCs/>
          <w:sz w:val="24"/>
          <w:szCs w:val="24"/>
        </w:rPr>
        <w:t xml:space="preserve">This is a table showing PESTLE for HSBC’s </w:t>
      </w:r>
    </w:p>
    <w:p w14:paraId="21D6E8CC">
      <w:pPr>
        <w:spacing w:after="0" w:line="480" w:lineRule="auto"/>
        <w:contextualSpacing/>
        <w:rPr>
          <w:rFonts w:ascii="Times New Roman" w:hAnsi="Times New Roman" w:cs="Times New Roman"/>
          <w:i/>
          <w:iCs/>
          <w:sz w:val="24"/>
          <w:szCs w:val="24"/>
        </w:rPr>
      </w:pPr>
    </w:p>
    <w:p w14:paraId="415A3E99">
      <w:pPr>
        <w:spacing w:after="0" w:line="480" w:lineRule="auto"/>
        <w:contextualSpacing/>
        <w:outlineLvl w:val="1"/>
        <w:rPr>
          <w:rFonts w:ascii="Times New Roman" w:hAnsi="Times New Roman" w:cs="Times New Roman"/>
          <w:sz w:val="24"/>
          <w:szCs w:val="24"/>
        </w:rPr>
      </w:pPr>
      <w:bookmarkStart w:id="6" w:name="_Toc181852224"/>
      <w:r>
        <w:rPr>
          <w:rFonts w:ascii="Times New Roman" w:hAnsi="Times New Roman" w:cs="Times New Roman"/>
          <w:b/>
          <w:bCs/>
          <w:sz w:val="24"/>
          <w:szCs w:val="24"/>
        </w:rPr>
        <w:t>1.3 Change Management Strategies</w:t>
      </w:r>
      <w:bookmarkEnd w:id="6"/>
      <w:r>
        <w:rPr>
          <w:rFonts w:ascii="Times New Roman" w:hAnsi="Times New Roman" w:cs="Times New Roman"/>
          <w:b/>
          <w:bCs/>
          <w:sz w:val="24"/>
          <w:szCs w:val="24"/>
        </w:rPr>
        <w:t xml:space="preserve"> </w:t>
      </w:r>
    </w:p>
    <w:p w14:paraId="514F0F43">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HSBC has incorporated rigorous change management processes to respond to the continuously changing trends of digitalization and sustainability while guided by methodologies like Lewin’s Force Field Analysis and Kotter’s 8-Step Change Model (</w:t>
      </w:r>
      <w:r>
        <w:rPr>
          <w:rFonts w:ascii="Times New Roman" w:hAnsi="Times New Roman" w:cs="Times New Roman"/>
          <w:i/>
          <w:iCs/>
          <w:sz w:val="24"/>
          <w:szCs w:val="24"/>
        </w:rPr>
        <w:t xml:space="preserve">Chartered Institute of Marketing, </w:t>
      </w:r>
      <w:r>
        <w:rPr>
          <w:rFonts w:ascii="Times New Roman" w:hAnsi="Times New Roman" w:cs="Times New Roman"/>
          <w:sz w:val="24"/>
          <w:szCs w:val="24"/>
        </w:rPr>
        <w:t>2024). These frameworks assist HSBC in understanding the many factors involved in change processes in organizations and how the organization can address all the forces and its strengths.</w:t>
      </w:r>
    </w:p>
    <w:p w14:paraId="61095CA6">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Lewin's Force Field Analysis is another tool that can identify or explain the force that enables change to occur in an organization or the force that opposes the change (Kump, 2023). For instance, advances in mobile transactions and an increasing desire by the public for improved customer experience compel HSBC to innovate incessantly. However, this change is not welcomed; the significant concerns are security and operational risks. To overcome the challenges mentioned above, HSBC has taken large-scale investments in cyber security, integrating factors such as biometric authentication and real-time monitoring systems. Most of these measures serve the objectives of protecting customer information and creating a perception of security in the digital services offered by the bank. In addition, HSBC also implemented training programs that will empower them to adapt to new digitization tools and recognize the measures the company takes to secure data (Khan et al., 2021). This focus on employee training also reduces the risk of resistance to change, increases organizational awareness, and encourages accountability.</w:t>
      </w:r>
    </w:p>
    <w:p w14:paraId="1DF71F04">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When combined with Lewin's model, Kotter's 8-Step Change Model can be seen as a strategic plan that HSBC can use to build the needed perception of the need to pursue digitalization and transition into integrated sustainability. Amid the changes, HSBC's leadership has made stakeholders appreciate their importance, thus garnering support from different departments of the company (Bhattacharya, 2019). This hand-in-hand approach is significant in encouraging non-acceptance of the status quo but instead introduces practices that respond to customer demands.</w:t>
      </w:r>
    </w:p>
    <w:p w14:paraId="2C6D9939">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A significant process of Kotter's model is generating short-term wins; HSBC has followed this process to the latter, converting insignificant successes, such as the minimal carbon footprint in its operations, into celebrations. These above victories enhance the organizational commitment to change and improve employee motivation by showing them their work's practical outcomes; deciding to push forward continuously and to keep focusing on change initiatives can be a challenge, as well as change implementation within HSBC's organizational culture. Keeping employees and stakeholders interested in change can also be challenging, mainly because what was once attractive would hardly be so after some time (Kouamé et al., 2020). SBC must keep informing its audience of the need for change and embedding the value of such change initiatives for the organization and its consumers.</w:t>
      </w:r>
    </w:p>
    <w:tbl>
      <w:tblPr>
        <w:tblStyle w:val="11"/>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2338"/>
        <w:gridCol w:w="7238"/>
      </w:tblGrid>
      <w:tr w14:paraId="711E210C">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shd w:val="clear" w:color="auto" w:fill="FBE4D5" w:themeFill="accent2" w:themeFillTint="33"/>
          </w:tcPr>
          <w:p w14:paraId="4C3A58F6">
            <w:pPr>
              <w:spacing w:after="0" w:line="480" w:lineRule="auto"/>
              <w:contextualSpacing/>
              <w:rPr>
                <w:rFonts w:ascii="Times New Roman" w:hAnsi="Times New Roman" w:cs="Times New Roman"/>
                <w:b/>
                <w:bCs/>
                <w:sz w:val="24"/>
                <w:szCs w:val="24"/>
              </w:rPr>
            </w:pPr>
            <w:r>
              <w:rPr>
                <w:rFonts w:ascii="Times New Roman" w:hAnsi="Times New Roman" w:cs="Times New Roman"/>
                <w:b/>
                <w:bCs/>
                <w:sz w:val="24"/>
                <w:szCs w:val="24"/>
              </w:rPr>
              <w:t>Kotter's Step</w:t>
            </w:r>
          </w:p>
        </w:tc>
        <w:tc>
          <w:tcPr>
            <w:tcW w:w="0" w:type="auto"/>
            <w:shd w:val="clear" w:color="auto" w:fill="ED7D31" w:themeFill="accent2"/>
          </w:tcPr>
          <w:p w14:paraId="7573A8C2">
            <w:pPr>
              <w:spacing w:after="0" w:line="480" w:lineRule="auto"/>
              <w:contextualSpacing/>
              <w:rPr>
                <w:rFonts w:ascii="Times New Roman" w:hAnsi="Times New Roman" w:cs="Times New Roman"/>
                <w:b/>
                <w:bCs/>
                <w:sz w:val="24"/>
                <w:szCs w:val="24"/>
              </w:rPr>
            </w:pPr>
            <w:r>
              <w:rPr>
                <w:rFonts w:ascii="Times New Roman" w:hAnsi="Times New Roman" w:cs="Times New Roman"/>
                <w:b/>
                <w:bCs/>
                <w:sz w:val="24"/>
                <w:szCs w:val="24"/>
              </w:rPr>
              <w:t>HSBC's Approach</w:t>
            </w:r>
          </w:p>
        </w:tc>
      </w:tr>
      <w:tr w14:paraId="4E5F321B">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shd w:val="clear" w:color="auto" w:fill="FBE4D5" w:themeFill="accent2" w:themeFillTint="33"/>
          </w:tcPr>
          <w:p w14:paraId="2BE6ABE4">
            <w:pPr>
              <w:spacing w:after="0" w:line="480" w:lineRule="auto"/>
              <w:contextualSpacing/>
              <w:rPr>
                <w:rFonts w:ascii="Times New Roman" w:hAnsi="Times New Roman" w:cs="Times New Roman"/>
                <w:b/>
                <w:bCs/>
                <w:sz w:val="24"/>
                <w:szCs w:val="24"/>
              </w:rPr>
            </w:pPr>
            <w:r>
              <w:rPr>
                <w:rFonts w:ascii="Times New Roman" w:hAnsi="Times New Roman" w:cs="Times New Roman"/>
                <w:b/>
                <w:bCs/>
                <w:sz w:val="24"/>
                <w:szCs w:val="24"/>
              </w:rPr>
              <w:t>1. Create Urgency</w:t>
            </w:r>
          </w:p>
        </w:tc>
        <w:tc>
          <w:tcPr>
            <w:tcW w:w="0" w:type="auto"/>
            <w:shd w:val="clear" w:color="auto" w:fill="C8C8C8" w:themeFill="accent3" w:themeFillTint="99"/>
          </w:tcPr>
          <w:p w14:paraId="4B5D1E46">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HSBC communicates the importance of digital transformation and sustainability, emphasizing the need to stay competitive in a rapidly changing market.</w:t>
            </w:r>
          </w:p>
        </w:tc>
      </w:tr>
      <w:tr w14:paraId="165BA7BD">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shd w:val="clear" w:color="auto" w:fill="FBE4D5" w:themeFill="accent2" w:themeFillTint="33"/>
          </w:tcPr>
          <w:p w14:paraId="35120502">
            <w:pPr>
              <w:spacing w:after="0" w:line="480" w:lineRule="auto"/>
              <w:contextualSpacing/>
              <w:rPr>
                <w:rFonts w:ascii="Times New Roman" w:hAnsi="Times New Roman" w:cs="Times New Roman"/>
                <w:b/>
                <w:bCs/>
                <w:sz w:val="24"/>
                <w:szCs w:val="24"/>
              </w:rPr>
            </w:pPr>
            <w:r>
              <w:rPr>
                <w:rFonts w:ascii="Times New Roman" w:hAnsi="Times New Roman" w:cs="Times New Roman"/>
                <w:b/>
                <w:bCs/>
                <w:sz w:val="24"/>
                <w:szCs w:val="24"/>
              </w:rPr>
              <w:t>2. Form a Powerful Coalition</w:t>
            </w:r>
          </w:p>
        </w:tc>
        <w:tc>
          <w:tcPr>
            <w:tcW w:w="0" w:type="auto"/>
            <w:shd w:val="clear" w:color="auto" w:fill="C8C8C8" w:themeFill="accent3" w:themeFillTint="99"/>
          </w:tcPr>
          <w:p w14:paraId="0F56F758">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HSBC’s leadership collaborates across departments, aligning key stakeholders to champion digital and sustainable initiatives.</w:t>
            </w:r>
          </w:p>
        </w:tc>
      </w:tr>
      <w:tr w14:paraId="62AD3CF8">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shd w:val="clear" w:color="auto" w:fill="FBE4D5" w:themeFill="accent2" w:themeFillTint="33"/>
          </w:tcPr>
          <w:p w14:paraId="553EBD0C">
            <w:pPr>
              <w:spacing w:after="0" w:line="480" w:lineRule="auto"/>
              <w:contextualSpacing/>
              <w:rPr>
                <w:rFonts w:ascii="Times New Roman" w:hAnsi="Times New Roman" w:cs="Times New Roman"/>
                <w:b/>
                <w:bCs/>
                <w:sz w:val="24"/>
                <w:szCs w:val="24"/>
              </w:rPr>
            </w:pPr>
            <w:r>
              <w:rPr>
                <w:rFonts w:ascii="Times New Roman" w:hAnsi="Times New Roman" w:cs="Times New Roman"/>
                <w:b/>
                <w:bCs/>
                <w:sz w:val="24"/>
                <w:szCs w:val="24"/>
              </w:rPr>
              <w:t>3. Create a Vision for Change</w:t>
            </w:r>
          </w:p>
        </w:tc>
        <w:tc>
          <w:tcPr>
            <w:tcW w:w="0" w:type="auto"/>
            <w:shd w:val="clear" w:color="auto" w:fill="C8C8C8" w:themeFill="accent3" w:themeFillTint="99"/>
          </w:tcPr>
          <w:p w14:paraId="62E768D2">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The bank develops a clear vision focused on becoming a leading digital and sustainable financial institution, guiding all related strategies.</w:t>
            </w:r>
          </w:p>
        </w:tc>
      </w:tr>
      <w:tr w14:paraId="12C93489">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shd w:val="clear" w:color="auto" w:fill="FBE4D5" w:themeFill="accent2" w:themeFillTint="33"/>
          </w:tcPr>
          <w:p w14:paraId="2B08D986">
            <w:pPr>
              <w:spacing w:after="0" w:line="480" w:lineRule="auto"/>
              <w:contextualSpacing/>
              <w:rPr>
                <w:rFonts w:ascii="Times New Roman" w:hAnsi="Times New Roman" w:cs="Times New Roman"/>
                <w:b/>
                <w:bCs/>
                <w:sz w:val="24"/>
                <w:szCs w:val="24"/>
              </w:rPr>
            </w:pPr>
            <w:r>
              <w:rPr>
                <w:rFonts w:ascii="Times New Roman" w:hAnsi="Times New Roman" w:cs="Times New Roman"/>
                <w:b/>
                <w:bCs/>
                <w:sz w:val="24"/>
                <w:szCs w:val="24"/>
              </w:rPr>
              <w:t>4. Communicate the Vision</w:t>
            </w:r>
          </w:p>
        </w:tc>
        <w:tc>
          <w:tcPr>
            <w:tcW w:w="0" w:type="auto"/>
            <w:shd w:val="clear" w:color="auto" w:fill="C8C8C8" w:themeFill="accent3" w:themeFillTint="99"/>
          </w:tcPr>
          <w:p w14:paraId="0D8DC4F2">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HSBC regularly shares updates on its digitalization and green finance progress, reinforcing the vision through internal channels and public messaging.</w:t>
            </w:r>
          </w:p>
        </w:tc>
      </w:tr>
      <w:tr w14:paraId="63CB6D4A">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shd w:val="clear" w:color="auto" w:fill="FBE4D5" w:themeFill="accent2" w:themeFillTint="33"/>
          </w:tcPr>
          <w:p w14:paraId="4BF11D39">
            <w:pPr>
              <w:spacing w:after="0" w:line="480" w:lineRule="auto"/>
              <w:contextualSpacing/>
              <w:rPr>
                <w:rFonts w:ascii="Times New Roman" w:hAnsi="Times New Roman" w:cs="Times New Roman"/>
                <w:b/>
                <w:bCs/>
                <w:sz w:val="24"/>
                <w:szCs w:val="24"/>
              </w:rPr>
            </w:pPr>
            <w:r>
              <w:rPr>
                <w:rFonts w:ascii="Times New Roman" w:hAnsi="Times New Roman" w:cs="Times New Roman"/>
                <w:b/>
                <w:bCs/>
                <w:sz w:val="24"/>
                <w:szCs w:val="24"/>
              </w:rPr>
              <w:t>5. Remove Obstacles</w:t>
            </w:r>
          </w:p>
        </w:tc>
        <w:tc>
          <w:tcPr>
            <w:tcW w:w="0" w:type="auto"/>
            <w:shd w:val="clear" w:color="auto" w:fill="C8C8C8" w:themeFill="accent3" w:themeFillTint="99"/>
          </w:tcPr>
          <w:p w14:paraId="7BFAE90C">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HSBC invests in training and resources, addressing employee concerns and ensuring the workforce is equipped for digital and sustainable changes.</w:t>
            </w:r>
          </w:p>
        </w:tc>
      </w:tr>
      <w:tr w14:paraId="341DEBA3">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shd w:val="clear" w:color="auto" w:fill="FBE4D5" w:themeFill="accent2" w:themeFillTint="33"/>
          </w:tcPr>
          <w:p w14:paraId="0E2C9A82">
            <w:pPr>
              <w:spacing w:after="0" w:line="480" w:lineRule="auto"/>
              <w:contextualSpacing/>
              <w:rPr>
                <w:rFonts w:ascii="Times New Roman" w:hAnsi="Times New Roman" w:cs="Times New Roman"/>
                <w:b/>
                <w:bCs/>
                <w:sz w:val="24"/>
                <w:szCs w:val="24"/>
              </w:rPr>
            </w:pPr>
            <w:r>
              <w:rPr>
                <w:rFonts w:ascii="Times New Roman" w:hAnsi="Times New Roman" w:cs="Times New Roman"/>
                <w:b/>
                <w:bCs/>
                <w:sz w:val="24"/>
                <w:szCs w:val="24"/>
              </w:rPr>
              <w:t>6. Generate Short-Term Wins</w:t>
            </w:r>
          </w:p>
        </w:tc>
        <w:tc>
          <w:tcPr>
            <w:tcW w:w="0" w:type="auto"/>
            <w:shd w:val="clear" w:color="auto" w:fill="C8C8C8" w:themeFill="accent3" w:themeFillTint="99"/>
          </w:tcPr>
          <w:p w14:paraId="603032E9">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HSBC celebrates milestones, such as reducing carbon emissions in operations, which boosts motivation and reinforces commitment to long-term goals.</w:t>
            </w:r>
          </w:p>
        </w:tc>
      </w:tr>
      <w:tr w14:paraId="1FF3DC65">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shd w:val="clear" w:color="auto" w:fill="FBE4D5" w:themeFill="accent2" w:themeFillTint="33"/>
          </w:tcPr>
          <w:p w14:paraId="7AE5A1A1">
            <w:pPr>
              <w:spacing w:after="0" w:line="480" w:lineRule="auto"/>
              <w:contextualSpacing/>
              <w:rPr>
                <w:rFonts w:ascii="Times New Roman" w:hAnsi="Times New Roman" w:cs="Times New Roman"/>
                <w:b/>
                <w:bCs/>
                <w:sz w:val="24"/>
                <w:szCs w:val="24"/>
              </w:rPr>
            </w:pPr>
            <w:r>
              <w:rPr>
                <w:rFonts w:ascii="Times New Roman" w:hAnsi="Times New Roman" w:cs="Times New Roman"/>
                <w:b/>
                <w:bCs/>
                <w:sz w:val="24"/>
                <w:szCs w:val="24"/>
              </w:rPr>
              <w:t>7. Build on the Change</w:t>
            </w:r>
          </w:p>
        </w:tc>
        <w:tc>
          <w:tcPr>
            <w:tcW w:w="0" w:type="auto"/>
            <w:shd w:val="clear" w:color="auto" w:fill="C8C8C8" w:themeFill="accent3" w:themeFillTint="99"/>
          </w:tcPr>
          <w:p w14:paraId="5676A063">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The bank uses successes as a foundation to expand initiatives, ensuring continuous improvement in digital services and sustainability.</w:t>
            </w:r>
          </w:p>
        </w:tc>
      </w:tr>
      <w:tr w14:paraId="0927DCB1">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shd w:val="clear" w:color="auto" w:fill="FBE4D5" w:themeFill="accent2" w:themeFillTint="33"/>
          </w:tcPr>
          <w:p w14:paraId="695ACDC7">
            <w:pPr>
              <w:spacing w:after="0" w:line="480" w:lineRule="auto"/>
              <w:contextualSpacing/>
              <w:rPr>
                <w:rFonts w:ascii="Times New Roman" w:hAnsi="Times New Roman" w:cs="Times New Roman"/>
                <w:b/>
                <w:bCs/>
                <w:sz w:val="24"/>
                <w:szCs w:val="24"/>
              </w:rPr>
            </w:pPr>
            <w:r>
              <w:rPr>
                <w:rFonts w:ascii="Times New Roman" w:hAnsi="Times New Roman" w:cs="Times New Roman"/>
                <w:b/>
                <w:bCs/>
                <w:sz w:val="24"/>
                <w:szCs w:val="24"/>
              </w:rPr>
              <w:t>8. Anchor Changes in Culture</w:t>
            </w:r>
          </w:p>
        </w:tc>
        <w:tc>
          <w:tcPr>
            <w:tcW w:w="0" w:type="auto"/>
            <w:shd w:val="clear" w:color="auto" w:fill="C8C8C8" w:themeFill="accent3" w:themeFillTint="99"/>
          </w:tcPr>
          <w:p w14:paraId="5B95493F">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HSBC integrates digital innovation and sustainability as core values, embedding these priorities into its corporate culture to sustain change.</w:t>
            </w:r>
          </w:p>
        </w:tc>
      </w:tr>
    </w:tbl>
    <w:p w14:paraId="31F25691">
      <w:pPr>
        <w:spacing w:after="0" w:line="480" w:lineRule="auto"/>
        <w:contextualSpacing/>
        <w:rPr>
          <w:rFonts w:ascii="Times New Roman" w:hAnsi="Times New Roman" w:cs="Times New Roman"/>
          <w:i/>
          <w:iCs/>
          <w:sz w:val="24"/>
          <w:szCs w:val="24"/>
        </w:rPr>
      </w:pPr>
      <w:r>
        <w:rPr>
          <w:rFonts w:ascii="Times New Roman" w:hAnsi="Times New Roman" w:cs="Times New Roman"/>
          <w:i/>
          <w:iCs/>
          <w:sz w:val="24"/>
          <w:szCs w:val="24"/>
        </w:rPr>
        <w:t>Table showing Kotter’s 8 Steps.</w:t>
      </w:r>
    </w:p>
    <w:tbl>
      <w:tblPr>
        <w:tblStyle w:val="11"/>
        <w:tblW w:w="0" w:type="auto"/>
        <w:tblInd w:w="0" w:type="dxa"/>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Layout w:type="autofit"/>
        <w:tblCellMar>
          <w:top w:w="0" w:type="dxa"/>
          <w:left w:w="108" w:type="dxa"/>
          <w:bottom w:w="0" w:type="dxa"/>
          <w:right w:w="108" w:type="dxa"/>
        </w:tblCellMar>
      </w:tblPr>
      <w:tblGrid>
        <w:gridCol w:w="1686"/>
        <w:gridCol w:w="7890"/>
      </w:tblGrid>
      <w:tr w14:paraId="6AF6D3E8">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shd w:val="clear" w:color="auto" w:fill="FFFF00"/>
          </w:tcPr>
          <w:p w14:paraId="38EFB8E4">
            <w:pPr>
              <w:spacing w:after="0" w:line="480" w:lineRule="auto"/>
              <w:contextualSpacing/>
              <w:rPr>
                <w:rFonts w:ascii="Times New Roman" w:hAnsi="Times New Roman" w:cs="Times New Roman"/>
                <w:b/>
                <w:bCs/>
                <w:sz w:val="24"/>
                <w:szCs w:val="24"/>
              </w:rPr>
            </w:pPr>
            <w:r>
              <w:rPr>
                <w:rFonts w:ascii="Times New Roman" w:hAnsi="Times New Roman" w:cs="Times New Roman"/>
                <w:b/>
                <w:bCs/>
                <w:sz w:val="24"/>
                <w:szCs w:val="24"/>
              </w:rPr>
              <w:t>Lewin’s Component</w:t>
            </w:r>
          </w:p>
        </w:tc>
        <w:tc>
          <w:tcPr>
            <w:tcW w:w="0" w:type="auto"/>
            <w:shd w:val="clear" w:color="auto" w:fill="ED7D31" w:themeFill="accent2"/>
          </w:tcPr>
          <w:p w14:paraId="5F94CFDA">
            <w:pPr>
              <w:spacing w:after="0" w:line="480" w:lineRule="auto"/>
              <w:contextualSpacing/>
              <w:rPr>
                <w:rFonts w:ascii="Times New Roman" w:hAnsi="Times New Roman" w:cs="Times New Roman"/>
                <w:b/>
                <w:bCs/>
                <w:sz w:val="24"/>
                <w:szCs w:val="24"/>
              </w:rPr>
            </w:pPr>
            <w:r>
              <w:rPr>
                <w:rFonts w:ascii="Times New Roman" w:hAnsi="Times New Roman" w:cs="Times New Roman"/>
                <w:b/>
                <w:bCs/>
                <w:sz w:val="24"/>
                <w:szCs w:val="24"/>
              </w:rPr>
              <w:t>HSBC's Approach</w:t>
            </w:r>
          </w:p>
        </w:tc>
      </w:tr>
      <w:tr w14:paraId="131B26F3">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shd w:val="clear" w:color="auto" w:fill="FFFF00"/>
          </w:tcPr>
          <w:p w14:paraId="1A2C52D6">
            <w:pPr>
              <w:spacing w:after="0" w:line="480" w:lineRule="auto"/>
              <w:contextualSpacing/>
              <w:rPr>
                <w:rFonts w:ascii="Times New Roman" w:hAnsi="Times New Roman" w:cs="Times New Roman"/>
                <w:b/>
                <w:bCs/>
                <w:sz w:val="24"/>
                <w:szCs w:val="24"/>
              </w:rPr>
            </w:pPr>
            <w:r>
              <w:rPr>
                <w:rFonts w:ascii="Times New Roman" w:hAnsi="Times New Roman" w:cs="Times New Roman"/>
                <w:b/>
                <w:bCs/>
                <w:sz w:val="24"/>
                <w:szCs w:val="24"/>
              </w:rPr>
              <w:t>Driving Forces</w:t>
            </w:r>
          </w:p>
        </w:tc>
        <w:tc>
          <w:tcPr>
            <w:tcW w:w="0" w:type="auto"/>
            <w:shd w:val="clear" w:color="auto" w:fill="F7CAAC" w:themeFill="accent2" w:themeFillTint="66"/>
          </w:tcPr>
          <w:p w14:paraId="3172906B">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Key drivers include the need for digital transformation, customer demand for sustainable banking solutions, and competitive pressures to innovate. HSBC leverages these forces to motivate change, investing in digital platforms, data analytics, and green finance products.</w:t>
            </w:r>
          </w:p>
        </w:tc>
      </w:tr>
      <w:tr w14:paraId="43883952">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shd w:val="clear" w:color="auto" w:fill="FFFF00"/>
          </w:tcPr>
          <w:p w14:paraId="13B1F619">
            <w:pPr>
              <w:spacing w:after="0" w:line="480" w:lineRule="auto"/>
              <w:contextualSpacing/>
              <w:rPr>
                <w:rFonts w:ascii="Times New Roman" w:hAnsi="Times New Roman" w:cs="Times New Roman"/>
                <w:b/>
                <w:bCs/>
                <w:sz w:val="24"/>
                <w:szCs w:val="24"/>
              </w:rPr>
            </w:pPr>
            <w:r>
              <w:rPr>
                <w:rFonts w:ascii="Times New Roman" w:hAnsi="Times New Roman" w:cs="Times New Roman"/>
                <w:b/>
                <w:bCs/>
                <w:sz w:val="24"/>
                <w:szCs w:val="24"/>
              </w:rPr>
              <w:t>Restraining Forces</w:t>
            </w:r>
          </w:p>
        </w:tc>
        <w:tc>
          <w:tcPr>
            <w:tcW w:w="0" w:type="auto"/>
            <w:shd w:val="clear" w:color="auto" w:fill="F7CAAC" w:themeFill="accent2" w:themeFillTint="66"/>
          </w:tcPr>
          <w:p w14:paraId="2D3ACAF1">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Challenges include employee resistance to new technologies, cybersecurity concerns, and compliance with strict regulations. HSBC addresses these by providing training programs, strengthening cybersecurity measures, and ensuring regulatory compliance.</w:t>
            </w:r>
          </w:p>
        </w:tc>
      </w:tr>
      <w:tr w14:paraId="078303C6">
        <w:tblPrEx>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CellMar>
            <w:top w:w="0" w:type="dxa"/>
            <w:left w:w="108" w:type="dxa"/>
            <w:bottom w:w="0" w:type="dxa"/>
            <w:right w:w="108" w:type="dxa"/>
          </w:tblCellMar>
        </w:tblPrEx>
        <w:tc>
          <w:tcPr>
            <w:tcW w:w="0" w:type="auto"/>
            <w:shd w:val="clear" w:color="auto" w:fill="FFFF00"/>
          </w:tcPr>
          <w:p w14:paraId="5C0BDA5A">
            <w:pPr>
              <w:spacing w:after="0" w:line="480" w:lineRule="auto"/>
              <w:contextualSpacing/>
              <w:rPr>
                <w:rFonts w:ascii="Times New Roman" w:hAnsi="Times New Roman" w:cs="Times New Roman"/>
                <w:b/>
                <w:bCs/>
                <w:sz w:val="24"/>
                <w:szCs w:val="24"/>
              </w:rPr>
            </w:pPr>
            <w:r>
              <w:rPr>
                <w:rFonts w:ascii="Times New Roman" w:hAnsi="Times New Roman" w:cs="Times New Roman"/>
                <w:b/>
                <w:bCs/>
                <w:sz w:val="24"/>
                <w:szCs w:val="24"/>
              </w:rPr>
              <w:t>Equilibrium Shift</w:t>
            </w:r>
          </w:p>
        </w:tc>
        <w:tc>
          <w:tcPr>
            <w:tcW w:w="0" w:type="auto"/>
            <w:shd w:val="clear" w:color="auto" w:fill="F7CAAC" w:themeFill="accent2" w:themeFillTint="66"/>
          </w:tcPr>
          <w:p w14:paraId="4DC4872F">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By weakening restraining forces (for example, through enhanced security protocols and workforce upskilling) and strengthening driving forces, HSBC gradually moves toward a new operational equilibrium that embraces digitalization and sustainability.</w:t>
            </w:r>
          </w:p>
        </w:tc>
      </w:tr>
    </w:tbl>
    <w:p w14:paraId="48347368">
      <w:pPr>
        <w:spacing w:after="0" w:line="480" w:lineRule="auto"/>
        <w:contextualSpacing/>
        <w:rPr>
          <w:rFonts w:ascii="Times New Roman" w:hAnsi="Times New Roman" w:cs="Times New Roman"/>
          <w:i/>
          <w:iCs/>
          <w:sz w:val="24"/>
          <w:szCs w:val="24"/>
        </w:rPr>
      </w:pPr>
      <w:r>
        <w:rPr>
          <w:rFonts w:ascii="Times New Roman" w:hAnsi="Times New Roman" w:cs="Times New Roman"/>
          <w:i/>
          <w:iCs/>
          <w:sz w:val="24"/>
          <w:szCs w:val="24"/>
        </w:rPr>
        <w:t>Table showing Lewin's model.</w:t>
      </w:r>
    </w:p>
    <w:p w14:paraId="1BBC2E03">
      <w:pPr>
        <w:spacing w:after="0" w:line="480" w:lineRule="auto"/>
        <w:contextualSpacing/>
        <w:outlineLvl w:val="1"/>
        <w:rPr>
          <w:rFonts w:ascii="Times New Roman" w:hAnsi="Times New Roman" w:cs="Times New Roman"/>
          <w:sz w:val="24"/>
          <w:szCs w:val="24"/>
        </w:rPr>
      </w:pPr>
      <w:bookmarkStart w:id="7" w:name="_Toc181852225"/>
      <w:r>
        <w:rPr>
          <w:rFonts w:ascii="Times New Roman" w:hAnsi="Times New Roman" w:cs="Times New Roman"/>
          <w:b/>
          <w:bCs/>
          <w:sz w:val="24"/>
          <w:szCs w:val="24"/>
        </w:rPr>
        <w:t>1.4 Target Markets</w:t>
      </w:r>
      <w:bookmarkEnd w:id="7"/>
      <w:r>
        <w:rPr>
          <w:rFonts w:ascii="Times New Roman" w:hAnsi="Times New Roman" w:cs="Times New Roman"/>
          <w:b/>
          <w:bCs/>
          <w:sz w:val="24"/>
          <w:szCs w:val="24"/>
        </w:rPr>
        <w:t xml:space="preserve"> </w:t>
      </w:r>
    </w:p>
    <w:p w14:paraId="4175E2AD">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However, HSBC's target market is vast, cutting across virtually all classes, ages, genders, and geographical regions because of the company’s international corporate status. In terms of the target market, the bank’s audience is segmented based on individuals interested in high-interest and middle- and high-income clients, business audiences, and viewers from overseas. For instance, the company provides the kind of banking experience for its elite services, such as HSBC Premier, which targets the wealthy, including expert financial advisory services, wealth management, and international access to HSBC’s services. This segmentation helps the objective of HSBC, which is to capture the entire market by providing service to all those clients who want full service from their banking partner.</w:t>
      </w:r>
    </w:p>
    <w:p w14:paraId="6285E5EE">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HSBC also focuses on providing services to particular segments of geographical areas so that the requirements of applicable markets can be considered (Czinkota et al., 2021). For instance, while marketing its services in the Asian continent, HSBC offers services sensitive to the fact that the continent comprises a large population of expatriates, such as having services for cross-border transactions. Psychographically, HSBC targets self-identified, environmentally friendly, and socially responsible consumers by marketing green finance products and sustainable banking initiatives. By meeting these customers’ needs for ethical banking, HSBC targets the values that create a socially responsible image of the bank.</w:t>
      </w:r>
    </w:p>
    <w:p w14:paraId="31FC1E09">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HSBC's adoption of digital platforms ensures it has a strong bond with the target markets by presenting personalized information and products derived from client information and preferences (Croxson et al., 2022). Through HSBC’s mobile banking apps and other digital advertisements, the appropriate content for each customer segment is fed to customers, thus enhancing customer satisfaction and loyalty (Fahy and Jobber, 2022). This business approach demonstrates the bank’s capability to apply technology to enhance market segmentation and address unique needs in the customer base.</w:t>
      </w:r>
    </w:p>
    <w:p w14:paraId="5E9D7CCB">
      <w:pPr>
        <w:spacing w:after="0" w:line="480" w:lineRule="auto"/>
        <w:contextualSpacing/>
        <w:outlineLvl w:val="1"/>
        <w:rPr>
          <w:rFonts w:ascii="Times New Roman" w:hAnsi="Times New Roman" w:cs="Times New Roman"/>
          <w:sz w:val="24"/>
          <w:szCs w:val="24"/>
        </w:rPr>
      </w:pPr>
      <w:bookmarkStart w:id="8" w:name="_Toc181852226"/>
      <w:r>
        <w:rPr>
          <w:rFonts w:ascii="Times New Roman" w:hAnsi="Times New Roman" w:cs="Times New Roman"/>
          <w:b/>
          <w:bCs/>
          <w:sz w:val="24"/>
          <w:szCs w:val="24"/>
        </w:rPr>
        <w:t>1.5 Selection of Media</w:t>
      </w:r>
      <w:bookmarkEnd w:id="8"/>
      <w:r>
        <w:rPr>
          <w:rFonts w:ascii="Times New Roman" w:hAnsi="Times New Roman" w:cs="Times New Roman"/>
          <w:b/>
          <w:bCs/>
          <w:sz w:val="24"/>
          <w:szCs w:val="24"/>
        </w:rPr>
        <w:t xml:space="preserve"> </w:t>
      </w:r>
    </w:p>
    <w:p w14:paraId="2B1F3573">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HSBC uses standard media in its customer engagement, including social networking, SEO, PPC ads, and email marketing (Chaffey &amp; Ellis-Chadwick, 2019). These channels play unique roles in HSBC's promotional mix to increase customer access and engagement. For instance, open access through media platforms such as LinkedIn, Twitter, and Instagram creates sweeping avenues through which the customers of HSBC engage with the bank directly, offering information on new product improvements on sustainability, besides other significant insights. Social media also enable HSBC to answer customers' queries and improve brand openness and access.</w:t>
      </w:r>
    </w:p>
    <w:p w14:paraId="489E70BB">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SEO and PPC are helpful and used by HSBC to create an extended online presence and guarantee that the bank will occupy the top positions in the search results for the terms and keywords connected to banking, digital, and green financial services. This approach targets highly relevant individuals, such as those seeking financial services. They are being offered the opportunity to visit the HSBC site to learn more about its offers. Far more personal to customer relations, email marketing sends customers timely financial tips, product recommendations, and offers. This email promotional activity means that HSBC can contact different customer categories, increasing the company’s service personalization.</w:t>
      </w:r>
    </w:p>
    <w:p w14:paraId="60D2E082">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Apart from the digital channel, the company still uses traditional media, like TV advertisements or print media, to reach wider audiences (Moore and Ramsay, 2021). HSBC has stayed within its brand image by spreading information and increasing its coverage in demographic segments. However, digital media is one of the channels offered because of its effectiveness and correspondence with the company's digitalization strategy. It showed that the bank was clear about the character of its clientele and how each media outlet was variable in its ability to inform its customers about its Egyptian brand and products.</w:t>
      </w:r>
    </w:p>
    <w:p w14:paraId="797D9A6C">
      <w:pPr>
        <w:spacing w:after="0" w:line="480" w:lineRule="auto"/>
        <w:contextualSpacing/>
        <w:outlineLvl w:val="1"/>
        <w:rPr>
          <w:rFonts w:ascii="Times New Roman" w:hAnsi="Times New Roman" w:cs="Times New Roman"/>
          <w:sz w:val="24"/>
          <w:szCs w:val="24"/>
        </w:rPr>
      </w:pPr>
      <w:bookmarkStart w:id="9" w:name="_Toc181852227"/>
      <w:r>
        <w:rPr>
          <w:rFonts w:ascii="Times New Roman" w:hAnsi="Times New Roman" w:cs="Times New Roman"/>
          <w:b/>
          <w:bCs/>
          <w:sz w:val="24"/>
          <w:szCs w:val="24"/>
        </w:rPr>
        <w:t>1.6 Measuring Success</w:t>
      </w:r>
      <w:bookmarkEnd w:id="9"/>
      <w:r>
        <w:rPr>
          <w:rFonts w:ascii="Times New Roman" w:hAnsi="Times New Roman" w:cs="Times New Roman"/>
          <w:b/>
          <w:bCs/>
          <w:sz w:val="24"/>
          <w:szCs w:val="24"/>
        </w:rPr>
        <w:t xml:space="preserve"> </w:t>
      </w:r>
    </w:p>
    <w:p w14:paraId="6C8866E1">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HSBC relies on various KPIs that show the level of accomplishment for strategic and marketing initiatives, as well as campaign results that interpret strategic goals (Atherton, 2023). Such measures are CA conversion rates, CR, brand awareness, and CS indices. Customer acquisition allows HSBC to trace the company’s ability to attract new clients and identify trends over time via new media, such as online ads and promotions. On the other hand, customer retention rates are underscoring the bank’s strength in retaining and satisfying customers, thus providing long-term customer relations.</w:t>
      </w:r>
    </w:p>
    <w:p w14:paraId="47DFC830">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Brand awareness is another critical indicator that should be focused on in highly competitive regions. HSBC holds brand perception surveys and often captures social media trends to assess brand perception and awareness across locations (Rust et al., 2021). The data from these surveys will also enable HSBC to determine the brand penetration and the extent to which there is a connection with customers, all of which inform HSBC’s rebranding and promotional activities. This is evidenced by the results of customer satisfaction surveys that can be conducted by offering questionnaires or feedback forms to clients. These scores can help HSBC identify the problem areas, especially in advancing digital service provision and customer relations.</w:t>
      </w:r>
    </w:p>
    <w:p w14:paraId="23291446">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In this respect, HSBC also considers assessing some key metrics that define the effectiveness of digital campaigns, including CTR, conversion rates, and social media engagement rates (McGruer, 2020). These provide quantitative data related to customers' interaction with the content of HSBC and allow it to verify which campaigns resonate the most with target audiences. Web analytics will also monitor user behavior inside an HSBC site, where customers' interests and preferences are located. By incorporating insight from navigation data, HSBC will be able to optimize the design and content of its website to improve the user experience.</w:t>
      </w:r>
    </w:p>
    <w:p w14:paraId="3F583B5C">
      <w:pPr>
        <w:spacing w:after="0" w:line="480" w:lineRule="auto"/>
        <w:contextualSpacing/>
        <w:outlineLvl w:val="0"/>
        <w:rPr>
          <w:rFonts w:ascii="Times New Roman" w:hAnsi="Times New Roman" w:cs="Times New Roman"/>
          <w:b/>
          <w:bCs/>
          <w:sz w:val="24"/>
          <w:szCs w:val="24"/>
        </w:rPr>
      </w:pPr>
      <w:bookmarkStart w:id="10" w:name="_Toc181852228"/>
      <w:r>
        <w:rPr>
          <w:rFonts w:ascii="Times New Roman" w:hAnsi="Times New Roman" w:cs="Times New Roman"/>
          <w:b/>
          <w:bCs/>
          <w:sz w:val="24"/>
          <w:szCs w:val="24"/>
        </w:rPr>
        <w:t>Task 2: Conclusion on Marketing Strategy Shortcomings (300 words)</w:t>
      </w:r>
      <w:bookmarkEnd w:id="10"/>
    </w:p>
    <w:p w14:paraId="3160BCA4">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Several areas for improvement have been identified when analyzing the current marketing plan at HSBC. These all affect the interaction with the target consumers and the plan's general responsiveness to digital and sustainability trends shifts. Although HSBC has maintained an effective combination of digital channels and personalized services to improve customer experience, it has several issues it could address. HSBC's digital transformation strategies present the central issue of having and maintaining efficient security measures to protect clients' data to help banks improve digital services (Hasan and Rahman, 2024). However, it must be admitted that despite the investments in cybersecurity, their dynamics are only increasing, which means that HSBC has to deploy new layered security measures to ensure that clients' information is safe.</w:t>
      </w:r>
    </w:p>
    <w:p w14:paraId="6731A050">
      <w:pPr>
        <w:spacing w:after="0" w:line="480" w:lineRule="auto"/>
        <w:ind w:firstLine="720"/>
        <w:contextualSpacing/>
        <w:rPr>
          <w:rFonts w:ascii="Times New Roman" w:hAnsi="Times New Roman" w:cs="Times New Roman"/>
          <w:sz w:val="24"/>
          <w:szCs w:val="24"/>
        </w:rPr>
      </w:pPr>
    </w:p>
    <w:p w14:paraId="39557EEA">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Additionally, HSBC meets market expectations to integrate sustainability as part of an organization's strategy and system or business model; however, it has just been questioned regarding the transparency of its green finance activities. HSBC has to step up disclosure about its environmental footprint as consumers expect more than just marketing stunts of companies' sustainability pledges (Vadakkepatt et al., 2021). Its existence could give way to beliefs of greenwashing if it still needs to be worked on to provide definitive and precise measures to the general public.</w:t>
      </w:r>
    </w:p>
    <w:p w14:paraId="1B4EA593">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Finally, the bank's existing strategy of measuring success can be complemented with the infusion of qualitative insight into its currently prevalent quantitative measurement. Although KPIs related to customer acquisition and retention are important, more detailed feedback about customer experiences could give a fuller picture of the bank's marketing effectiveness. Addressing these areas would reinforce HSBC's marketing strategy and enable the bank to meet current needs while establishing a higher standard of customer satisfaction and ethical responsibility within the financial sector.</w:t>
      </w:r>
    </w:p>
    <w:p w14:paraId="5A8961FB">
      <w:pPr>
        <w:spacing w:after="0" w:line="480" w:lineRule="auto"/>
        <w:contextualSpacing/>
        <w:outlineLvl w:val="0"/>
        <w:rPr>
          <w:rFonts w:ascii="Times New Roman" w:hAnsi="Times New Roman" w:cs="Times New Roman"/>
          <w:b/>
          <w:bCs/>
          <w:sz w:val="24"/>
          <w:szCs w:val="24"/>
        </w:rPr>
      </w:pPr>
      <w:bookmarkStart w:id="11" w:name="_Toc181852229"/>
      <w:r>
        <w:rPr>
          <w:rFonts w:ascii="Times New Roman" w:hAnsi="Times New Roman" w:cs="Times New Roman"/>
          <w:b/>
          <w:bCs/>
          <w:sz w:val="24"/>
          <w:szCs w:val="24"/>
        </w:rPr>
        <w:t>Task 3: Recommendations for Improving HSBC’s Marketing Strategy</w:t>
      </w:r>
      <w:bookmarkEnd w:id="11"/>
      <w:r>
        <w:rPr>
          <w:rFonts w:ascii="Times New Roman" w:hAnsi="Times New Roman" w:cs="Times New Roman"/>
          <w:b/>
          <w:bCs/>
          <w:sz w:val="24"/>
          <w:szCs w:val="24"/>
        </w:rPr>
        <w:t xml:space="preserve"> </w:t>
      </w:r>
    </w:p>
    <w:p w14:paraId="6F5DE962">
      <w:pPr>
        <w:pStyle w:val="13"/>
        <w:numPr>
          <w:ilvl w:val="1"/>
          <w:numId w:val="2"/>
        </w:numPr>
        <w:spacing w:after="0" w:line="480" w:lineRule="auto"/>
        <w:outlineLvl w:val="1"/>
        <w:rPr>
          <w:rFonts w:ascii="Times New Roman" w:hAnsi="Times New Roman" w:cs="Times New Roman"/>
          <w:sz w:val="24"/>
          <w:szCs w:val="24"/>
        </w:rPr>
      </w:pPr>
      <w:bookmarkStart w:id="12" w:name="_Toc181852230"/>
      <w:bookmarkStart w:id="13" w:name="_Hlk181849874"/>
      <w:r>
        <w:rPr>
          <w:rFonts w:ascii="Times New Roman" w:hAnsi="Times New Roman" w:cs="Times New Roman"/>
          <w:b/>
          <w:bCs/>
          <w:sz w:val="24"/>
          <w:szCs w:val="24"/>
        </w:rPr>
        <w:t>Enhanced Cybersecurity Measures</w:t>
      </w:r>
      <w:bookmarkEnd w:id="12"/>
    </w:p>
    <w:p w14:paraId="69165379">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With the continuous expansion of more technologically driven services such as online banking by HSBC, a firm's security has to be bolstered to prevent unauthorized access to the client's personal information (Mishra et al., 2024). Enhancing HSBC's security infrastructure for threat detection, including AI, will go a long way in minimizing such security threats in the bank. It would also afford to prevent the increasing risk of cyber threats that come with an organization's growth in the digital environment. Moreover, HSBC should regularly organize cybersecurity awareness sessions for the staff and familiarize them with how to protect data and where internal threats can come from. Training ensures that the organization's staff can prevent cyber risks from occurring by being aware of the latest ones. By focusing on these cybersecurity features, HSBC saves its image and customers' trust, which is also essential for a financial company in the current world.</w:t>
      </w:r>
    </w:p>
    <w:p w14:paraId="16729B0A">
      <w:pPr>
        <w:pStyle w:val="13"/>
        <w:numPr>
          <w:ilvl w:val="1"/>
          <w:numId w:val="2"/>
        </w:numPr>
        <w:spacing w:after="0" w:line="480" w:lineRule="auto"/>
        <w:outlineLvl w:val="1"/>
        <w:rPr>
          <w:rFonts w:ascii="Times New Roman" w:hAnsi="Times New Roman" w:cs="Times New Roman"/>
          <w:b/>
          <w:bCs/>
          <w:sz w:val="24"/>
          <w:szCs w:val="24"/>
        </w:rPr>
      </w:pPr>
      <w:bookmarkStart w:id="14" w:name="_Toc181852231"/>
      <w:r>
        <w:rPr>
          <w:rFonts w:ascii="Times New Roman" w:hAnsi="Times New Roman" w:cs="Times New Roman"/>
          <w:b/>
          <w:bCs/>
          <w:sz w:val="24"/>
          <w:szCs w:val="24"/>
        </w:rPr>
        <w:t>Greater Transparency in Sustainability Reporting</w:t>
      </w:r>
      <w:bookmarkEnd w:id="14"/>
    </w:p>
    <w:p w14:paraId="1BB66A6C">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To maintain long-term sustainability, HSBC should improve the reporting of its sustainability policies to achieve greater accountability. This process could be conducted using a structured reporting framework that presents a clear and measurable picture of the impact of the bank on the environment. Annual sustainability reports allow organizations like HSBC to release specific values like decreased carbon emissions, investments into renewable energy, and provisions of green finance (ElAlfy and Weber, 2019). The guard extended this by suggesting that breaking the process down through transparency reduces people's possible fears of being hoodwinked by companies through greenwashing. This approach wins the trust of environmentally sophisticated clients and proves HSBC is committed to 'hard' environmental goals. Implementing a transparent framework would place HSBC in a vantage position as a sustainable finance provider that meets the requirements of an increasingly socially conscious customer base.</w:t>
      </w:r>
    </w:p>
    <w:bookmarkEnd w:id="13"/>
    <w:p w14:paraId="40187F5E">
      <w:pPr>
        <w:pStyle w:val="13"/>
        <w:numPr>
          <w:ilvl w:val="1"/>
          <w:numId w:val="2"/>
        </w:numPr>
        <w:spacing w:after="0" w:line="480" w:lineRule="auto"/>
        <w:outlineLvl w:val="1"/>
        <w:rPr>
          <w:rFonts w:ascii="Times New Roman" w:hAnsi="Times New Roman" w:cs="Times New Roman"/>
          <w:sz w:val="24"/>
          <w:szCs w:val="24"/>
        </w:rPr>
      </w:pPr>
      <w:bookmarkStart w:id="15" w:name="_Toc181852232"/>
      <w:r>
        <w:rPr>
          <w:rFonts w:ascii="Times New Roman" w:hAnsi="Times New Roman" w:cs="Times New Roman"/>
          <w:b/>
          <w:bCs/>
          <w:sz w:val="24"/>
          <w:szCs w:val="24"/>
        </w:rPr>
        <w:t>Incorporate Qualitative Metrics in Success Measurement</w:t>
      </w:r>
      <w:r>
        <w:rPr>
          <w:rFonts w:ascii="Times New Roman" w:hAnsi="Times New Roman" w:cs="Times New Roman"/>
          <w:sz w:val="24"/>
          <w:szCs w:val="24"/>
        </w:rPr>
        <w:t>:</w:t>
      </w:r>
      <w:bookmarkEnd w:id="15"/>
      <w:r>
        <w:rPr>
          <w:rFonts w:ascii="Times New Roman" w:hAnsi="Times New Roman" w:cs="Times New Roman"/>
          <w:sz w:val="24"/>
          <w:szCs w:val="24"/>
        </w:rPr>
        <w:t xml:space="preserve"> </w:t>
      </w:r>
    </w:p>
    <w:p w14:paraId="61AC847A">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Although HSBC captures quantitative KPIs to capture a campaign's success, including quality metrics might provide a richer insight into consumers' experiences. Through customer surveys and focus groups, it is easier to identify areas of weakness in the quality-of-service delivery or customer satisfaction levels that even consolidated figures may need to highlight. For example, he or she can gather customer feedback regarding digital engagement or support services to determine particular changes serviced by HSBC (Skultety et al., 2022). Feedback-based reward systems would create a highly accurate mechanism for responding to customers’ needs, enhancing brand loyalty in HSBC. Through such perception mapping, HSBC can incorporate quantitative analysis with qualitative results for better customer-focused decision-making for marketing strategies (Johnson et al., 2017).</w:t>
      </w:r>
    </w:p>
    <w:p w14:paraId="5B9BC90A">
      <w:pPr>
        <w:pStyle w:val="13"/>
        <w:numPr>
          <w:ilvl w:val="1"/>
          <w:numId w:val="2"/>
        </w:numPr>
        <w:spacing w:after="0" w:line="480" w:lineRule="auto"/>
        <w:outlineLvl w:val="1"/>
        <w:rPr>
          <w:rFonts w:ascii="Times New Roman" w:hAnsi="Times New Roman" w:cs="Times New Roman"/>
          <w:sz w:val="24"/>
          <w:szCs w:val="24"/>
        </w:rPr>
      </w:pPr>
      <w:bookmarkStart w:id="16" w:name="_Toc181852233"/>
      <w:r>
        <w:rPr>
          <w:rFonts w:ascii="Times New Roman" w:hAnsi="Times New Roman" w:cs="Times New Roman"/>
          <w:b/>
          <w:bCs/>
          <w:sz w:val="24"/>
          <w:szCs w:val="24"/>
        </w:rPr>
        <w:t>Expand Personalized Customer Engagement</w:t>
      </w:r>
      <w:bookmarkEnd w:id="16"/>
    </w:p>
    <w:p w14:paraId="24DC174C">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The company can improve customer personalization by using big data for innovative analytics for cardholders with high net worth to deliver modified services. AI-driven segmentation means that HSBC can target a particular client and provide content relevant to that individual’s financial status. This level of personalization improves customer satisfaction and supports HSBC’s image as a customer-oriented bank (Grijalvo and García-Wang, 2023). Creating a portfolio selection and providing appropriate and relevant monetary advice prove that HSBC initially places the interests of its consumers first. Improved personalization capabilities would make HSBC better placed to achieve improved and long-term engagements with its clientele, hence a competitive edge.</w:t>
      </w:r>
    </w:p>
    <w:p w14:paraId="78404D87">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br w:type="page"/>
      </w:r>
    </w:p>
    <w:p w14:paraId="4B03BF74">
      <w:pPr>
        <w:spacing w:after="0" w:line="480" w:lineRule="auto"/>
        <w:contextualSpacing/>
        <w:jc w:val="center"/>
        <w:outlineLvl w:val="0"/>
        <w:rPr>
          <w:rFonts w:ascii="Times New Roman" w:hAnsi="Times New Roman" w:cs="Times New Roman"/>
          <w:b/>
          <w:bCs/>
          <w:sz w:val="24"/>
          <w:szCs w:val="24"/>
        </w:rPr>
      </w:pPr>
      <w:bookmarkStart w:id="17" w:name="_Toc181852234"/>
      <w:r>
        <w:rPr>
          <w:rFonts w:ascii="Times New Roman" w:hAnsi="Times New Roman" w:cs="Times New Roman"/>
          <w:b/>
          <w:bCs/>
          <w:sz w:val="24"/>
          <w:szCs w:val="24"/>
        </w:rPr>
        <w:t>Reference list</w:t>
      </w:r>
      <w:bookmarkEnd w:id="17"/>
    </w:p>
    <w:p w14:paraId="48D7E5BE">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Atherton, J., 2023. </w:t>
      </w:r>
      <w:r>
        <w:rPr>
          <w:rFonts w:ascii="Times New Roman" w:hAnsi="Times New Roman" w:cs="Times New Roman"/>
          <w:i/>
          <w:iCs/>
          <w:sz w:val="24"/>
          <w:szCs w:val="24"/>
        </w:rPr>
        <w:t>Social media strategy: A practical guide to social media marketing and customer engagement</w:t>
      </w:r>
      <w:r>
        <w:rPr>
          <w:rFonts w:ascii="Times New Roman" w:hAnsi="Times New Roman" w:cs="Times New Roman"/>
          <w:sz w:val="24"/>
          <w:szCs w:val="24"/>
        </w:rPr>
        <w:t xml:space="preserve">. Kogan Page Publishers. </w:t>
      </w:r>
      <w:r>
        <w:rPr>
          <w:sz w:val="24"/>
          <w:szCs w:val="24"/>
        </w:rPr>
        <w:fldChar w:fldCharType="begin"/>
      </w:r>
      <w:r>
        <w:rPr>
          <w:sz w:val="24"/>
          <w:szCs w:val="24"/>
        </w:rPr>
        <w:instrText xml:space="preserve"> HYPERLINK "https://books.google.com/books?hl=en&amp;lr=&amp;id=5DfZEAAAQBAJ&amp;oi=fnd&amp;pg=PP1&amp;dq=HSBC+employs+a+range+of+key+performance+indicators+(KPIs)+to+measure+the+success+of+its+marketing+campaigns,+ensuring+alignment+with+strategic+objectives+and+accountability+in+campaign+outcomes&amp;ots=pU6mtXFTLP&amp;sig=lET8tlrkNgokjp-sec6lr53hFKA" </w:instrText>
      </w:r>
      <w:r>
        <w:rPr>
          <w:sz w:val="24"/>
          <w:szCs w:val="24"/>
        </w:rPr>
        <w:fldChar w:fldCharType="separate"/>
      </w:r>
      <w:r>
        <w:rPr>
          <w:rStyle w:val="10"/>
          <w:rFonts w:ascii="Times New Roman" w:hAnsi="Times New Roman" w:cs="Times New Roman"/>
          <w:sz w:val="24"/>
          <w:szCs w:val="24"/>
        </w:rPr>
        <w:t>https://books.google.com/books?hl=en&amp;lr=&amp;id=5DfZEAAAQBAJ&amp;oi=fnd&amp;pg=PP1&amp;dq=HSBC+employs+a+range+of+key+performance+indicators+(KPIs)+to+measure+the+success+of+its+marketing+campaigns,+ensuring+alignment+with+strategic+objectives+and+accountability+in+campaign+outcomes&amp;ots=pU6mtXFTLP&amp;sig=lET8tlrkNgokjp-sec6lr53hFKA</w:t>
      </w:r>
      <w:r>
        <w:rPr>
          <w:rStyle w:val="10"/>
          <w:rFonts w:ascii="Times New Roman" w:hAnsi="Times New Roman" w:cs="Times New Roman"/>
          <w:sz w:val="24"/>
          <w:szCs w:val="24"/>
        </w:rPr>
        <w:fldChar w:fldCharType="end"/>
      </w:r>
    </w:p>
    <w:p w14:paraId="1D959207">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Bhattacharya, C.B., 2019. </w:t>
      </w:r>
      <w:r>
        <w:rPr>
          <w:rFonts w:ascii="Times New Roman" w:hAnsi="Times New Roman" w:cs="Times New Roman"/>
          <w:i/>
          <w:iCs/>
          <w:sz w:val="24"/>
          <w:szCs w:val="24"/>
        </w:rPr>
        <w:t>Small actions, big difference: Leveraging corporate sustainability to drive business and societal value</w:t>
      </w:r>
      <w:r>
        <w:rPr>
          <w:rFonts w:ascii="Times New Roman" w:hAnsi="Times New Roman" w:cs="Times New Roman"/>
          <w:sz w:val="24"/>
          <w:szCs w:val="24"/>
        </w:rPr>
        <w:t>. Routledge.</w:t>
      </w:r>
    </w:p>
    <w:p w14:paraId="0E0FCE85">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Boobier, T., 2020. </w:t>
      </w:r>
      <w:r>
        <w:rPr>
          <w:rFonts w:ascii="Times New Roman" w:hAnsi="Times New Roman" w:cs="Times New Roman"/>
          <w:i/>
          <w:iCs/>
          <w:sz w:val="24"/>
          <w:szCs w:val="24"/>
        </w:rPr>
        <w:t>AI and the Future of Banking</w:t>
      </w:r>
      <w:r>
        <w:rPr>
          <w:rFonts w:ascii="Times New Roman" w:hAnsi="Times New Roman" w:cs="Times New Roman"/>
          <w:sz w:val="24"/>
          <w:szCs w:val="24"/>
        </w:rPr>
        <w:t xml:space="preserve">. John Wiley &amp; Sons. </w:t>
      </w:r>
      <w:r>
        <w:rPr>
          <w:sz w:val="24"/>
          <w:szCs w:val="24"/>
        </w:rPr>
        <w:fldChar w:fldCharType="begin"/>
      </w:r>
      <w:r>
        <w:rPr>
          <w:sz w:val="24"/>
          <w:szCs w:val="24"/>
        </w:rPr>
        <w:instrText xml:space="preserve"> HYPERLINK "https://books.google.com/books?hl=en&amp;lr=&amp;id=CArYDwAAQBAJ&amp;oi=fnd&amp;pg=PR15&amp;dq=The+rapid+growth+of+digital+banking,+artificial+intelligence+(AI),+and+machine+learning+is+reshaping+customer+expectations,+pushing+HSBC+to+continuously+innovate+its+marketing+and+service+delivery&amp;ots=yLID20C4OI&amp;sig=jeJPojh71_mcs2X-uTHuJfC2sZQ" </w:instrText>
      </w:r>
      <w:r>
        <w:rPr>
          <w:sz w:val="24"/>
          <w:szCs w:val="24"/>
        </w:rPr>
        <w:fldChar w:fldCharType="separate"/>
      </w:r>
      <w:r>
        <w:rPr>
          <w:rStyle w:val="10"/>
          <w:rFonts w:ascii="Times New Roman" w:hAnsi="Times New Roman" w:cs="Times New Roman"/>
          <w:sz w:val="24"/>
          <w:szCs w:val="24"/>
        </w:rPr>
        <w:t>https://books.google.com/books?hl=en&amp;lr=&amp;id=CArYDwAAQBAJ&amp;oi=fnd&amp;pg=PR15&amp;dq=The+rapid+growth+of+digital+banking,+artificial+intelligence+(AI),+and+machine+learning+is+reshaping+customer+expectations,+pushing+HSBC+to+continuously+innovate+its+marketing+and+service+delivery&amp;ots=yLID20C4OI&amp;sig=jeJPojh71_mcs2X-uTHuJfC2sZQ</w:t>
      </w:r>
      <w:r>
        <w:rPr>
          <w:rStyle w:val="10"/>
          <w:rFonts w:ascii="Times New Roman" w:hAnsi="Times New Roman" w:cs="Times New Roman"/>
          <w:sz w:val="24"/>
          <w:szCs w:val="24"/>
        </w:rPr>
        <w:fldChar w:fldCharType="end"/>
      </w:r>
    </w:p>
    <w:p w14:paraId="0F726BBB">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Chaffey, D. and Ellis-Chadwick, F., 2019. </w:t>
      </w:r>
      <w:r>
        <w:rPr>
          <w:rFonts w:ascii="Times New Roman" w:hAnsi="Times New Roman" w:cs="Times New Roman"/>
          <w:i/>
          <w:iCs/>
          <w:sz w:val="24"/>
          <w:szCs w:val="24"/>
        </w:rPr>
        <w:t>Digital marketing</w:t>
      </w:r>
      <w:r>
        <w:rPr>
          <w:rFonts w:ascii="Times New Roman" w:hAnsi="Times New Roman" w:cs="Times New Roman"/>
          <w:sz w:val="24"/>
          <w:szCs w:val="24"/>
        </w:rPr>
        <w:t xml:space="preserve">. Pearson uk. </w:t>
      </w:r>
      <w:r>
        <w:rPr>
          <w:sz w:val="24"/>
          <w:szCs w:val="24"/>
        </w:rPr>
        <w:fldChar w:fldCharType="begin"/>
      </w:r>
      <w:r>
        <w:rPr>
          <w:sz w:val="24"/>
          <w:szCs w:val="24"/>
        </w:rPr>
        <w:instrText xml:space="preserve"> HYPERLINK "https://books.google.com/books?hl=en&amp;lr=&amp;id=-1yGDwAAQBAJ&amp;oi=fnd&amp;pg=PT17&amp;dq=HSBC+employs+a+diverse+range+of+media+channels,+including+social+media,+search+engine+optimization+(SEO),+pay-per-click+(PPC)+advertising,+and+email+marketing,+to+engage+its+customers+effectively&amp;ots=XjSl2RlN57&amp;sig=8Q6anbQjohTpkqnhQuUS1kLIkQM" </w:instrText>
      </w:r>
      <w:r>
        <w:rPr>
          <w:sz w:val="24"/>
          <w:szCs w:val="24"/>
        </w:rPr>
        <w:fldChar w:fldCharType="separate"/>
      </w:r>
      <w:r>
        <w:rPr>
          <w:rStyle w:val="10"/>
          <w:rFonts w:ascii="Times New Roman" w:hAnsi="Times New Roman" w:cs="Times New Roman"/>
          <w:sz w:val="24"/>
          <w:szCs w:val="24"/>
        </w:rPr>
        <w:t>https://books.google.com/books?hl=en&amp;lr=&amp;id=-1yGDwAAQBAJ&amp;oi=fnd&amp;pg=PT17&amp;dq=HSBC+employs+a+diverse+range+of+media+channels,+including+social+media,+search+engine+optimization+(SEO),+pay-per-click+(PPC)+advertising,+and+email+marketing,+to+engage+its+customers+effectively&amp;ots=XjSl2RlN57&amp;sig=8Q6anbQjohTpkqnhQuUS1kLIkQM</w:t>
      </w:r>
      <w:r>
        <w:rPr>
          <w:rStyle w:val="10"/>
          <w:rFonts w:ascii="Times New Roman" w:hAnsi="Times New Roman" w:cs="Times New Roman"/>
          <w:sz w:val="24"/>
          <w:szCs w:val="24"/>
        </w:rPr>
        <w:fldChar w:fldCharType="end"/>
      </w:r>
    </w:p>
    <w:p w14:paraId="339BAD3E">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Chaffey, D., Edmundson-Bird, D. and Hemphill, T., 2019. </w:t>
      </w:r>
      <w:r>
        <w:rPr>
          <w:rFonts w:ascii="Times New Roman" w:hAnsi="Times New Roman" w:cs="Times New Roman"/>
          <w:i/>
          <w:iCs/>
          <w:sz w:val="24"/>
          <w:szCs w:val="24"/>
        </w:rPr>
        <w:t>Digital business and e-commerce management</w:t>
      </w:r>
      <w:r>
        <w:rPr>
          <w:rFonts w:ascii="Times New Roman" w:hAnsi="Times New Roman" w:cs="Times New Roman"/>
          <w:sz w:val="24"/>
          <w:szCs w:val="24"/>
        </w:rPr>
        <w:t xml:space="preserve">. Pearson Uk. </w:t>
      </w:r>
      <w:r>
        <w:rPr>
          <w:sz w:val="24"/>
          <w:szCs w:val="24"/>
        </w:rPr>
        <w:fldChar w:fldCharType="begin"/>
      </w:r>
      <w:r>
        <w:rPr>
          <w:sz w:val="24"/>
          <w:szCs w:val="24"/>
        </w:rPr>
        <w:instrText xml:space="preserve"> HYPERLINK "https://books.google.com/books?hl=en&amp;lr=&amp;id=oYufDwAAQBAJ&amp;oi=fnd&amp;pg=PT23&amp;dq=SEO+and+PPC+campaigns+support+HSBC%E2%80%99s+online+visibility,+ensuring+that+the+bank+appears+prominently+in+search+results+for+keywords+related+to+banking+services,+digital+banking,+and+green+finance&amp;ots=Opfpbt-Fgt&amp;sig=i-oNG9QXXvAjKQRVykb__4xG2pA" </w:instrText>
      </w:r>
      <w:r>
        <w:rPr>
          <w:sz w:val="24"/>
          <w:szCs w:val="24"/>
        </w:rPr>
        <w:fldChar w:fldCharType="separate"/>
      </w:r>
      <w:r>
        <w:rPr>
          <w:rStyle w:val="10"/>
          <w:rFonts w:ascii="Times New Roman" w:hAnsi="Times New Roman" w:cs="Times New Roman"/>
          <w:sz w:val="24"/>
          <w:szCs w:val="24"/>
        </w:rPr>
        <w:t>https://books.google.com/books?hl=en&amp;lr=&amp;id=oYufDwAAQBAJ&amp;oi=fnd&amp;pg=PT23&amp;dq=SEO+and+PPC+campaigns+support+HSBC%E2%80%99s+online+visibility,+ensuring+that+the+bank+appears+prominently+in+search+results+for+keywords+related+to+banking+services,+digital+banking,+and+green+finance&amp;ots=Opfpbt-Fgt&amp;sig=i-oNG9QXXvAjKQRVykb__4xG2pA</w:t>
      </w:r>
      <w:r>
        <w:rPr>
          <w:rStyle w:val="10"/>
          <w:rFonts w:ascii="Times New Roman" w:hAnsi="Times New Roman" w:cs="Times New Roman"/>
          <w:sz w:val="24"/>
          <w:szCs w:val="24"/>
        </w:rPr>
        <w:fldChar w:fldCharType="end"/>
      </w:r>
    </w:p>
    <w:p w14:paraId="7651E1DC">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Chartered Institute of Marketing, 2024. </w:t>
      </w:r>
      <w:r>
        <w:rPr>
          <w:rFonts w:ascii="Times New Roman" w:hAnsi="Times New Roman" w:cs="Times New Roman"/>
          <w:i/>
          <w:iCs/>
          <w:sz w:val="24"/>
          <w:szCs w:val="24"/>
        </w:rPr>
        <w:t>Managing Organisational Change and Lewin's Force Field Analysis.</w:t>
      </w:r>
      <w:r>
        <w:rPr>
          <w:rFonts w:ascii="Times New Roman" w:hAnsi="Times New Roman" w:cs="Times New Roman"/>
          <w:sz w:val="24"/>
          <w:szCs w:val="24"/>
        </w:rPr>
        <w:t xml:space="preserve"> Chartered Institute of Marketing.</w:t>
      </w:r>
    </w:p>
    <w:p w14:paraId="3E52B9EC">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Chartered Institute of Marketing, 2024. </w:t>
      </w:r>
      <w:r>
        <w:rPr>
          <w:rFonts w:ascii="Times New Roman" w:hAnsi="Times New Roman" w:cs="Times New Roman"/>
          <w:i/>
          <w:iCs/>
          <w:sz w:val="24"/>
          <w:szCs w:val="24"/>
        </w:rPr>
        <w:t>The Marketing Environment.</w:t>
      </w:r>
      <w:r>
        <w:rPr>
          <w:rFonts w:ascii="Times New Roman" w:hAnsi="Times New Roman" w:cs="Times New Roman"/>
          <w:sz w:val="24"/>
          <w:szCs w:val="24"/>
        </w:rPr>
        <w:t xml:space="preserve"> Chartered Institute of Marketing.</w:t>
      </w:r>
    </w:p>
    <w:p w14:paraId="06B35619">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Chi, D.T.P. and Kien, M.T., 2023. Socially responsible banking management strategy in the Big4 banking group in Vietnam. </w:t>
      </w:r>
      <w:r>
        <w:rPr>
          <w:rFonts w:ascii="Times New Roman" w:hAnsi="Times New Roman" w:cs="Times New Roman"/>
          <w:i/>
          <w:iCs/>
          <w:sz w:val="24"/>
          <w:szCs w:val="24"/>
        </w:rPr>
        <w:t>International Journal of All Multidisciplinary Research Studies</w:t>
      </w:r>
      <w:r>
        <w:rPr>
          <w:rFonts w:ascii="Times New Roman" w:hAnsi="Times New Roman" w:cs="Times New Roman"/>
          <w:sz w:val="24"/>
          <w:szCs w:val="24"/>
        </w:rPr>
        <w:t>, </w:t>
      </w:r>
      <w:r>
        <w:rPr>
          <w:rFonts w:ascii="Times New Roman" w:hAnsi="Times New Roman" w:cs="Times New Roman"/>
          <w:i/>
          <w:iCs/>
          <w:sz w:val="24"/>
          <w:szCs w:val="24"/>
        </w:rPr>
        <w:t>2</w:t>
      </w:r>
      <w:r>
        <w:rPr>
          <w:rFonts w:ascii="Times New Roman" w:hAnsi="Times New Roman" w:cs="Times New Roman"/>
          <w:sz w:val="24"/>
          <w:szCs w:val="24"/>
        </w:rPr>
        <w:t xml:space="preserve">(1), pp.10-17. </w:t>
      </w:r>
      <w:r>
        <w:rPr>
          <w:sz w:val="24"/>
          <w:szCs w:val="24"/>
        </w:rPr>
        <w:fldChar w:fldCharType="begin"/>
      </w:r>
      <w:r>
        <w:rPr>
          <w:sz w:val="24"/>
          <w:szCs w:val="24"/>
        </w:rPr>
        <w:instrText xml:space="preserve"> HYPERLINK "https://www.researchgate.net/profile/Chi-Dan/publication/367128420_Socially_Responsible_Banking_Management_Strategy_in_the_Big4_banking_group_in_Vietnam/links/63c26682e922c50e9992b9f4/Socially-Responsible-Banking-Management-Strategy-in-the-Big4-banking-group-in-Vietnam.pdf" </w:instrText>
      </w:r>
      <w:r>
        <w:rPr>
          <w:sz w:val="24"/>
          <w:szCs w:val="24"/>
        </w:rPr>
        <w:fldChar w:fldCharType="separate"/>
      </w:r>
      <w:r>
        <w:rPr>
          <w:rStyle w:val="10"/>
          <w:rFonts w:ascii="Times New Roman" w:hAnsi="Times New Roman" w:cs="Times New Roman"/>
          <w:sz w:val="24"/>
          <w:szCs w:val="24"/>
        </w:rPr>
        <w:t>https://www.researchgate.net/profile/Chi-Dan/publication/367128420_Socially_Responsible_Banking_Management_Strategy_in_the_Big4_banking_group_in_Vietnam/links/63c26682e922c50e9992b9f4/Socially-Responsible-Banking-Management-Strategy-in-the-Big4-banking-group-in-Vietnam.pdf</w:t>
      </w:r>
      <w:r>
        <w:rPr>
          <w:rStyle w:val="10"/>
          <w:rFonts w:ascii="Times New Roman" w:hAnsi="Times New Roman" w:cs="Times New Roman"/>
          <w:sz w:val="24"/>
          <w:szCs w:val="24"/>
        </w:rPr>
        <w:fldChar w:fldCharType="end"/>
      </w:r>
    </w:p>
    <w:p w14:paraId="28FABBE0">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Croxson, K., Frost, J., Gambacorta, L. and Valletti, T.M., 2022. </w:t>
      </w:r>
      <w:r>
        <w:rPr>
          <w:rFonts w:ascii="Times New Roman" w:hAnsi="Times New Roman" w:cs="Times New Roman"/>
          <w:i/>
          <w:iCs/>
          <w:sz w:val="24"/>
          <w:szCs w:val="24"/>
        </w:rPr>
        <w:t>Platform-based business models and financial inclusion</w:t>
      </w:r>
      <w:r>
        <w:rPr>
          <w:rFonts w:ascii="Times New Roman" w:hAnsi="Times New Roman" w:cs="Times New Roman"/>
          <w:sz w:val="24"/>
          <w:szCs w:val="24"/>
        </w:rPr>
        <w:t xml:space="preserve">. Bank for International Settlements, Monetary and Economic Department. </w:t>
      </w:r>
      <w:r>
        <w:rPr>
          <w:sz w:val="24"/>
          <w:szCs w:val="24"/>
        </w:rPr>
        <w:fldChar w:fldCharType="begin"/>
      </w:r>
      <w:r>
        <w:rPr>
          <w:sz w:val="24"/>
          <w:szCs w:val="24"/>
        </w:rPr>
        <w:instrText xml:space="preserve"> HYPERLINK "https://www.sipotra.it/wp-content/uploads/2022/03/Platform-based-business-models-and-financial-inclusion.pdf" </w:instrText>
      </w:r>
      <w:r>
        <w:rPr>
          <w:sz w:val="24"/>
          <w:szCs w:val="24"/>
        </w:rPr>
        <w:fldChar w:fldCharType="separate"/>
      </w:r>
      <w:r>
        <w:rPr>
          <w:rStyle w:val="10"/>
          <w:rFonts w:ascii="Times New Roman" w:hAnsi="Times New Roman" w:cs="Times New Roman"/>
          <w:sz w:val="24"/>
          <w:szCs w:val="24"/>
        </w:rPr>
        <w:t>https://www.sipotra.it/wp-content/uploads/2022/03/Platform-based-business-models-and-financial-inclusion.pdf</w:t>
      </w:r>
      <w:r>
        <w:rPr>
          <w:rStyle w:val="10"/>
          <w:rFonts w:ascii="Times New Roman" w:hAnsi="Times New Roman" w:cs="Times New Roman"/>
          <w:sz w:val="24"/>
          <w:szCs w:val="24"/>
        </w:rPr>
        <w:fldChar w:fldCharType="end"/>
      </w:r>
    </w:p>
    <w:p w14:paraId="36063C18">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Czinkota, M.R., Kotabe, M., Vrontis, D., Shams, S.R., Czinkota, M.R., Kotabe, M., Vrontis, D. and Shams, S.R., 2021. Understanding the market environment and the competition. </w:t>
      </w:r>
      <w:r>
        <w:rPr>
          <w:rFonts w:ascii="Times New Roman" w:hAnsi="Times New Roman" w:cs="Times New Roman"/>
          <w:i/>
          <w:iCs/>
          <w:sz w:val="24"/>
          <w:szCs w:val="24"/>
        </w:rPr>
        <w:t>Marketing Management: Past, Present and Future</w:t>
      </w:r>
      <w:r>
        <w:rPr>
          <w:rFonts w:ascii="Times New Roman" w:hAnsi="Times New Roman" w:cs="Times New Roman"/>
          <w:sz w:val="24"/>
          <w:szCs w:val="24"/>
        </w:rPr>
        <w:t xml:space="preserve">, pp.91-134. </w:t>
      </w:r>
      <w:r>
        <w:rPr>
          <w:sz w:val="24"/>
          <w:szCs w:val="24"/>
        </w:rPr>
        <w:fldChar w:fldCharType="begin"/>
      </w:r>
      <w:r>
        <w:rPr>
          <w:sz w:val="24"/>
          <w:szCs w:val="24"/>
        </w:rPr>
        <w:instrText xml:space="preserve"> HYPERLINK "https://link.springer.com/chapter/10.1007/978-3-030-66916-4_3" </w:instrText>
      </w:r>
      <w:r>
        <w:rPr>
          <w:sz w:val="24"/>
          <w:szCs w:val="24"/>
        </w:rPr>
        <w:fldChar w:fldCharType="separate"/>
      </w:r>
      <w:r>
        <w:rPr>
          <w:rStyle w:val="10"/>
          <w:rFonts w:ascii="Times New Roman" w:hAnsi="Times New Roman" w:cs="Times New Roman"/>
          <w:sz w:val="24"/>
          <w:szCs w:val="24"/>
        </w:rPr>
        <w:t>https://link.springer.com/chapter/10.1007/978-3-030-66916-4_3</w:t>
      </w:r>
      <w:r>
        <w:rPr>
          <w:rStyle w:val="10"/>
          <w:rFonts w:ascii="Times New Roman" w:hAnsi="Times New Roman" w:cs="Times New Roman"/>
          <w:sz w:val="24"/>
          <w:szCs w:val="24"/>
        </w:rPr>
        <w:fldChar w:fldCharType="end"/>
      </w:r>
    </w:p>
    <w:p w14:paraId="283C35A5">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ElAlfy, A. and Weber, O., 2019. Corporate sustainability reporting: the case of the banking industry. </w:t>
      </w:r>
      <w:r>
        <w:rPr>
          <w:sz w:val="24"/>
          <w:szCs w:val="24"/>
        </w:rPr>
        <w:fldChar w:fldCharType="begin"/>
      </w:r>
      <w:r>
        <w:rPr>
          <w:sz w:val="24"/>
          <w:szCs w:val="24"/>
        </w:rPr>
        <w:instrText xml:space="preserve"> HYPERLINK "https://www.cigionline.org/sites/default/files/documents/Paper%20no.211web.pdf" </w:instrText>
      </w:r>
      <w:r>
        <w:rPr>
          <w:sz w:val="24"/>
          <w:szCs w:val="24"/>
        </w:rPr>
        <w:fldChar w:fldCharType="separate"/>
      </w:r>
      <w:r>
        <w:rPr>
          <w:rStyle w:val="10"/>
          <w:rFonts w:ascii="Times New Roman" w:hAnsi="Times New Roman" w:cs="Times New Roman"/>
          <w:sz w:val="24"/>
          <w:szCs w:val="24"/>
        </w:rPr>
        <w:t>https://www.cigionline.org/sites/default/files/documents/Paper%20no.211web.pdf</w:t>
      </w:r>
      <w:r>
        <w:rPr>
          <w:rStyle w:val="10"/>
          <w:rFonts w:ascii="Times New Roman" w:hAnsi="Times New Roman" w:cs="Times New Roman"/>
          <w:sz w:val="24"/>
          <w:szCs w:val="24"/>
        </w:rPr>
        <w:fldChar w:fldCharType="end"/>
      </w:r>
    </w:p>
    <w:p w14:paraId="28E2B503">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Fahy, J. and Jobber, D., 2022. </w:t>
      </w:r>
      <w:r>
        <w:rPr>
          <w:rFonts w:ascii="Times New Roman" w:hAnsi="Times New Roman" w:cs="Times New Roman"/>
          <w:i/>
          <w:iCs/>
          <w:sz w:val="24"/>
          <w:szCs w:val="24"/>
        </w:rPr>
        <w:t>Foundations of Marketing.</w:t>
      </w:r>
      <w:r>
        <w:rPr>
          <w:rFonts w:ascii="Times New Roman" w:hAnsi="Times New Roman" w:cs="Times New Roman"/>
          <w:sz w:val="24"/>
          <w:szCs w:val="24"/>
        </w:rPr>
        <w:t xml:space="preserve"> McGraw-Hill Education.</w:t>
      </w:r>
    </w:p>
    <w:p w14:paraId="1C47052A">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Grijalvo, M. and García-Wang, C., 2023. Sustainable business model for climate finance. Key drivers for the commercial banking sector. </w:t>
      </w:r>
      <w:r>
        <w:rPr>
          <w:rFonts w:ascii="Times New Roman" w:hAnsi="Times New Roman" w:cs="Times New Roman"/>
          <w:i/>
          <w:iCs/>
          <w:sz w:val="24"/>
          <w:szCs w:val="24"/>
        </w:rPr>
        <w:t>Journal of Business Research</w:t>
      </w:r>
      <w:r>
        <w:rPr>
          <w:rFonts w:ascii="Times New Roman" w:hAnsi="Times New Roman" w:cs="Times New Roman"/>
          <w:sz w:val="24"/>
          <w:szCs w:val="24"/>
        </w:rPr>
        <w:t>, </w:t>
      </w:r>
      <w:r>
        <w:rPr>
          <w:rFonts w:ascii="Times New Roman" w:hAnsi="Times New Roman" w:cs="Times New Roman"/>
          <w:i/>
          <w:iCs/>
          <w:sz w:val="24"/>
          <w:szCs w:val="24"/>
        </w:rPr>
        <w:t>155</w:t>
      </w:r>
      <w:r>
        <w:rPr>
          <w:rFonts w:ascii="Times New Roman" w:hAnsi="Times New Roman" w:cs="Times New Roman"/>
          <w:sz w:val="24"/>
          <w:szCs w:val="24"/>
        </w:rPr>
        <w:t xml:space="preserve">, p.113446. </w:t>
      </w:r>
      <w:r>
        <w:rPr>
          <w:sz w:val="24"/>
          <w:szCs w:val="24"/>
        </w:rPr>
        <w:fldChar w:fldCharType="begin"/>
      </w:r>
      <w:r>
        <w:rPr>
          <w:sz w:val="24"/>
          <w:szCs w:val="24"/>
        </w:rPr>
        <w:instrText xml:space="preserve"> HYPERLINK "https://www.sciencedirect.com/science/article/pii/S0148296322009110" </w:instrText>
      </w:r>
      <w:r>
        <w:rPr>
          <w:sz w:val="24"/>
          <w:szCs w:val="24"/>
        </w:rPr>
        <w:fldChar w:fldCharType="separate"/>
      </w:r>
      <w:r>
        <w:rPr>
          <w:rStyle w:val="10"/>
          <w:rFonts w:ascii="Times New Roman" w:hAnsi="Times New Roman" w:cs="Times New Roman"/>
          <w:sz w:val="24"/>
          <w:szCs w:val="24"/>
        </w:rPr>
        <w:t>https://www.sciencedirect.com/science/article/pii/S0148296322009110</w:t>
      </w:r>
      <w:r>
        <w:rPr>
          <w:rStyle w:val="10"/>
          <w:rFonts w:ascii="Times New Roman" w:hAnsi="Times New Roman" w:cs="Times New Roman"/>
          <w:sz w:val="24"/>
          <w:szCs w:val="24"/>
        </w:rPr>
        <w:fldChar w:fldCharType="end"/>
      </w:r>
    </w:p>
    <w:p w14:paraId="6B9DE443">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Grima, S., Spiteri, J. and Romānova, I., 2020. A STEEP framework analysis of the key factors impacting the use of blockchain technology in the insurance industry. </w:t>
      </w:r>
      <w:r>
        <w:rPr>
          <w:rFonts w:ascii="Times New Roman" w:hAnsi="Times New Roman" w:cs="Times New Roman"/>
          <w:i/>
          <w:iCs/>
          <w:sz w:val="24"/>
          <w:szCs w:val="24"/>
        </w:rPr>
        <w:t>The Geneva Papers on Risk and Insurance-Issues and Practice</w:t>
      </w:r>
      <w:r>
        <w:rPr>
          <w:rFonts w:ascii="Times New Roman" w:hAnsi="Times New Roman" w:cs="Times New Roman"/>
          <w:sz w:val="24"/>
          <w:szCs w:val="24"/>
        </w:rPr>
        <w:t>, </w:t>
      </w:r>
      <w:r>
        <w:rPr>
          <w:rFonts w:ascii="Times New Roman" w:hAnsi="Times New Roman" w:cs="Times New Roman"/>
          <w:i/>
          <w:iCs/>
          <w:sz w:val="24"/>
          <w:szCs w:val="24"/>
        </w:rPr>
        <w:t>45</w:t>
      </w:r>
      <w:r>
        <w:rPr>
          <w:rFonts w:ascii="Times New Roman" w:hAnsi="Times New Roman" w:cs="Times New Roman"/>
          <w:sz w:val="24"/>
          <w:szCs w:val="24"/>
        </w:rPr>
        <w:t>, pp.398-425.</w:t>
      </w:r>
    </w:p>
    <w:p w14:paraId="234ACD89">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Hasan, M. and Rahman, M.M., 2024. Advancing Data Security In Global Banking: Innovative Big Data Management Techniques. </w:t>
      </w:r>
      <w:r>
        <w:rPr>
          <w:rFonts w:ascii="Times New Roman" w:hAnsi="Times New Roman" w:cs="Times New Roman"/>
          <w:i/>
          <w:iCs/>
          <w:sz w:val="24"/>
          <w:szCs w:val="24"/>
        </w:rPr>
        <w:t>International Journal of Management Information Systems and Data Science</w:t>
      </w:r>
      <w:r>
        <w:rPr>
          <w:rFonts w:ascii="Times New Roman" w:hAnsi="Times New Roman" w:cs="Times New Roman"/>
          <w:sz w:val="24"/>
          <w:szCs w:val="24"/>
        </w:rPr>
        <w:t>, </w:t>
      </w:r>
      <w:r>
        <w:rPr>
          <w:rFonts w:ascii="Times New Roman" w:hAnsi="Times New Roman" w:cs="Times New Roman"/>
          <w:i/>
          <w:iCs/>
          <w:sz w:val="24"/>
          <w:szCs w:val="24"/>
        </w:rPr>
        <w:t>1</w:t>
      </w:r>
      <w:r>
        <w:rPr>
          <w:rFonts w:ascii="Times New Roman" w:hAnsi="Times New Roman" w:cs="Times New Roman"/>
          <w:sz w:val="24"/>
          <w:szCs w:val="24"/>
        </w:rPr>
        <w:t>(2), pp.26-37.</w:t>
      </w:r>
    </w:p>
    <w:p w14:paraId="07BBC987">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Johnson, G., Whittington, R., Scholes, K., Angwin, D., and Regnér, P., 2017. </w:t>
      </w:r>
      <w:r>
        <w:rPr>
          <w:rFonts w:ascii="Times New Roman" w:hAnsi="Times New Roman" w:cs="Times New Roman"/>
          <w:i/>
          <w:iCs/>
          <w:sz w:val="24"/>
          <w:szCs w:val="24"/>
        </w:rPr>
        <w:t>Exploring Strategy: Text and Cases.</w:t>
      </w:r>
      <w:r>
        <w:rPr>
          <w:rFonts w:ascii="Times New Roman" w:hAnsi="Times New Roman" w:cs="Times New Roman"/>
          <w:sz w:val="24"/>
          <w:szCs w:val="24"/>
        </w:rPr>
        <w:t xml:space="preserve"> Pearson.</w:t>
      </w:r>
    </w:p>
    <w:p w14:paraId="4A2F01D4">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Khan, M.S.U., Hasan, M.F., Islam, M.S. and Hassan, S.T., 2021. Artificial intelligenc e in the banking sector of Bangladesh: Applicability and the challenges. </w:t>
      </w:r>
      <w:r>
        <w:rPr>
          <w:rFonts w:ascii="Times New Roman" w:hAnsi="Times New Roman" w:cs="Times New Roman"/>
          <w:i/>
          <w:iCs/>
          <w:sz w:val="24"/>
          <w:szCs w:val="24"/>
        </w:rPr>
        <w:t>Roundtabl e discussion series-2021. Keynote Paper of Roundtable Discussion of BIBM</w:t>
      </w:r>
      <w:r>
        <w:rPr>
          <w:rFonts w:ascii="Times New Roman" w:hAnsi="Times New Roman" w:cs="Times New Roman"/>
          <w:sz w:val="24"/>
          <w:szCs w:val="24"/>
        </w:rPr>
        <w:t>, </w:t>
      </w:r>
      <w:r>
        <w:rPr>
          <w:rFonts w:ascii="Times New Roman" w:hAnsi="Times New Roman" w:cs="Times New Roman"/>
          <w:i/>
          <w:iCs/>
          <w:sz w:val="24"/>
          <w:szCs w:val="24"/>
        </w:rPr>
        <w:t>6</w:t>
      </w:r>
      <w:r>
        <w:rPr>
          <w:rFonts w:ascii="Times New Roman" w:hAnsi="Times New Roman" w:cs="Times New Roman"/>
          <w:sz w:val="24"/>
          <w:szCs w:val="24"/>
        </w:rPr>
        <w:t>(2).</w:t>
      </w:r>
    </w:p>
    <w:p w14:paraId="08660E4A">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Kouamé, S., Hafsi, T., Oliver, D. and Langley, A., 2022. Creating and sustaining stakeholder emotional resonance with organizational identity in social mission-driven organizations. </w:t>
      </w:r>
      <w:r>
        <w:rPr>
          <w:rFonts w:ascii="Times New Roman" w:hAnsi="Times New Roman" w:cs="Times New Roman"/>
          <w:i/>
          <w:iCs/>
          <w:sz w:val="24"/>
          <w:szCs w:val="24"/>
        </w:rPr>
        <w:t>Academy of Management Journal</w:t>
      </w:r>
      <w:r>
        <w:rPr>
          <w:rFonts w:ascii="Times New Roman" w:hAnsi="Times New Roman" w:cs="Times New Roman"/>
          <w:sz w:val="24"/>
          <w:szCs w:val="24"/>
        </w:rPr>
        <w:t>, </w:t>
      </w:r>
      <w:r>
        <w:rPr>
          <w:rFonts w:ascii="Times New Roman" w:hAnsi="Times New Roman" w:cs="Times New Roman"/>
          <w:i/>
          <w:iCs/>
          <w:sz w:val="24"/>
          <w:szCs w:val="24"/>
        </w:rPr>
        <w:t>65</w:t>
      </w:r>
      <w:r>
        <w:rPr>
          <w:rFonts w:ascii="Times New Roman" w:hAnsi="Times New Roman" w:cs="Times New Roman"/>
          <w:sz w:val="24"/>
          <w:szCs w:val="24"/>
        </w:rPr>
        <w:t xml:space="preserve">(6), pp.1864-1893. </w:t>
      </w:r>
      <w:r>
        <w:rPr>
          <w:sz w:val="24"/>
          <w:szCs w:val="24"/>
        </w:rPr>
        <w:fldChar w:fldCharType="begin"/>
      </w:r>
      <w:r>
        <w:rPr>
          <w:sz w:val="24"/>
          <w:szCs w:val="24"/>
        </w:rPr>
        <w:instrText xml:space="preserve"> HYPERLINK "https://journals.aom.org/doi/abs/10.5465/amj.2018.1143" </w:instrText>
      </w:r>
      <w:r>
        <w:rPr>
          <w:sz w:val="24"/>
          <w:szCs w:val="24"/>
        </w:rPr>
        <w:fldChar w:fldCharType="separate"/>
      </w:r>
      <w:r>
        <w:rPr>
          <w:rStyle w:val="10"/>
          <w:rFonts w:ascii="Times New Roman" w:hAnsi="Times New Roman" w:cs="Times New Roman"/>
          <w:sz w:val="24"/>
          <w:szCs w:val="24"/>
        </w:rPr>
        <w:t>https://journals.aom.org/doi/abs/10.5465/amj.2018.1143</w:t>
      </w:r>
      <w:r>
        <w:rPr>
          <w:rStyle w:val="10"/>
          <w:rFonts w:ascii="Times New Roman" w:hAnsi="Times New Roman" w:cs="Times New Roman"/>
          <w:sz w:val="24"/>
          <w:szCs w:val="24"/>
        </w:rPr>
        <w:fldChar w:fldCharType="end"/>
      </w:r>
    </w:p>
    <w:p w14:paraId="4E3EF26A">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Kump, B., 2023. Lewin's field theory as a lens for understanding incumbent actors’ agency in sustainability transitions. </w:t>
      </w:r>
      <w:r>
        <w:rPr>
          <w:rFonts w:ascii="Times New Roman" w:hAnsi="Times New Roman" w:cs="Times New Roman"/>
          <w:i/>
          <w:iCs/>
          <w:sz w:val="24"/>
          <w:szCs w:val="24"/>
        </w:rPr>
        <w:t>Environmental innovation and societal transitions</w:t>
      </w:r>
      <w:r>
        <w:rPr>
          <w:rFonts w:ascii="Times New Roman" w:hAnsi="Times New Roman" w:cs="Times New Roman"/>
          <w:sz w:val="24"/>
          <w:szCs w:val="24"/>
        </w:rPr>
        <w:t>, </w:t>
      </w:r>
      <w:r>
        <w:rPr>
          <w:rFonts w:ascii="Times New Roman" w:hAnsi="Times New Roman" w:cs="Times New Roman"/>
          <w:i/>
          <w:iCs/>
          <w:sz w:val="24"/>
          <w:szCs w:val="24"/>
        </w:rPr>
        <w:t>46</w:t>
      </w:r>
      <w:r>
        <w:rPr>
          <w:rFonts w:ascii="Times New Roman" w:hAnsi="Times New Roman" w:cs="Times New Roman"/>
          <w:sz w:val="24"/>
          <w:szCs w:val="24"/>
        </w:rPr>
        <w:t xml:space="preserve">, p.100683. </w:t>
      </w:r>
      <w:r>
        <w:rPr>
          <w:sz w:val="24"/>
          <w:szCs w:val="24"/>
        </w:rPr>
        <w:fldChar w:fldCharType="begin"/>
      </w:r>
      <w:r>
        <w:rPr>
          <w:sz w:val="24"/>
          <w:szCs w:val="24"/>
        </w:rPr>
        <w:instrText xml:space="preserve"> HYPERLINK "https://www.sciencedirect.com/science/article/pii/S221042242200106X" </w:instrText>
      </w:r>
      <w:r>
        <w:rPr>
          <w:sz w:val="24"/>
          <w:szCs w:val="24"/>
        </w:rPr>
        <w:fldChar w:fldCharType="separate"/>
      </w:r>
      <w:r>
        <w:rPr>
          <w:rStyle w:val="10"/>
          <w:rFonts w:ascii="Times New Roman" w:hAnsi="Times New Roman" w:cs="Times New Roman"/>
          <w:sz w:val="24"/>
          <w:szCs w:val="24"/>
        </w:rPr>
        <w:t>https://www.sciencedirect.com/science/article/pii/S221042242200106X</w:t>
      </w:r>
      <w:r>
        <w:rPr>
          <w:rStyle w:val="10"/>
          <w:rFonts w:ascii="Times New Roman" w:hAnsi="Times New Roman" w:cs="Times New Roman"/>
          <w:sz w:val="24"/>
          <w:szCs w:val="24"/>
        </w:rPr>
        <w:fldChar w:fldCharType="end"/>
      </w:r>
    </w:p>
    <w:p w14:paraId="5FE6BBED">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Matthews, K., Thompson, J. and Zhang, T., 2023. </w:t>
      </w:r>
      <w:r>
        <w:rPr>
          <w:rFonts w:ascii="Times New Roman" w:hAnsi="Times New Roman" w:cs="Times New Roman"/>
          <w:i/>
          <w:iCs/>
          <w:sz w:val="24"/>
          <w:szCs w:val="24"/>
        </w:rPr>
        <w:t>Economics Of Banking, The</w:t>
      </w:r>
      <w:r>
        <w:rPr>
          <w:rFonts w:ascii="Times New Roman" w:hAnsi="Times New Roman" w:cs="Times New Roman"/>
          <w:sz w:val="24"/>
          <w:szCs w:val="24"/>
        </w:rPr>
        <w:t xml:space="preserve">. World Scientific. </w:t>
      </w:r>
      <w:r>
        <w:rPr>
          <w:sz w:val="24"/>
          <w:szCs w:val="24"/>
        </w:rPr>
        <w:fldChar w:fldCharType="begin"/>
      </w:r>
      <w:r>
        <w:rPr>
          <w:sz w:val="24"/>
          <w:szCs w:val="24"/>
        </w:rPr>
        <w:instrText xml:space="preserve"> HYPERLINK "https://books.google.com/books?hl=en&amp;lr=&amp;id=k1jcEAAAQBAJ&amp;oi=fnd&amp;pg=PR5&amp;dq=Economic+factors+also+play+a+crucial+role+in+HSBC%27s+approach+to+marketing.+Global+economic+uncertainties,+such+as+fluctuating+interest+rates,+inflation,+and+foreign+exchange+rates&amp;ots=WwlCoUCPg-&amp;sig=hCLtfc7pCiETKfYpZQTezHuJGrU" </w:instrText>
      </w:r>
      <w:r>
        <w:rPr>
          <w:sz w:val="24"/>
          <w:szCs w:val="24"/>
        </w:rPr>
        <w:fldChar w:fldCharType="separate"/>
      </w:r>
      <w:r>
        <w:rPr>
          <w:rStyle w:val="10"/>
          <w:rFonts w:ascii="Times New Roman" w:hAnsi="Times New Roman" w:cs="Times New Roman"/>
          <w:sz w:val="24"/>
          <w:szCs w:val="24"/>
        </w:rPr>
        <w:t>https://books.google.com/books?hl=en&amp;lr=&amp;id=k1jcEAAAQBAJ&amp;oi=fnd&amp;pg=PR5&amp;dq=Economic+factors+also+play+a+crucial+role+in+HSBC%27s+approach+to+marketing.+Global+economic+uncertainties,+such+as+fluctuating+interest+rates,+inflation,+and+foreign+exchange+rates&amp;ots=WwlCoUCPg-&amp;sig=hCLtfc7pCiETKfYpZQTezHuJGrU</w:t>
      </w:r>
      <w:r>
        <w:rPr>
          <w:rStyle w:val="10"/>
          <w:rFonts w:ascii="Times New Roman" w:hAnsi="Times New Roman" w:cs="Times New Roman"/>
          <w:sz w:val="24"/>
          <w:szCs w:val="24"/>
        </w:rPr>
        <w:fldChar w:fldCharType="end"/>
      </w:r>
    </w:p>
    <w:p w14:paraId="31C450C2">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McGruer, D., 2020. </w:t>
      </w:r>
      <w:r>
        <w:rPr>
          <w:rFonts w:ascii="Times New Roman" w:hAnsi="Times New Roman" w:cs="Times New Roman"/>
          <w:i/>
          <w:iCs/>
          <w:sz w:val="24"/>
          <w:szCs w:val="24"/>
        </w:rPr>
        <w:t>Dynamic digital marketing: Master the world of online and social media marketing to grow your business</w:t>
      </w:r>
      <w:r>
        <w:rPr>
          <w:rFonts w:ascii="Times New Roman" w:hAnsi="Times New Roman" w:cs="Times New Roman"/>
          <w:sz w:val="24"/>
          <w:szCs w:val="24"/>
        </w:rPr>
        <w:t>. John Wiley &amp; Sons.</w:t>
      </w:r>
    </w:p>
    <w:p w14:paraId="535AFE43">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Mishra, A.K., Anand, S., Debnath, N.C., Pokhariyal, P. and Patel, A. eds., 2024. </w:t>
      </w:r>
      <w:r>
        <w:rPr>
          <w:rFonts w:ascii="Times New Roman" w:hAnsi="Times New Roman" w:cs="Times New Roman"/>
          <w:i/>
          <w:iCs/>
          <w:sz w:val="24"/>
          <w:szCs w:val="24"/>
        </w:rPr>
        <w:t>Artificial Intelligence for Risk Mitigation in the Financial Industry</w:t>
      </w:r>
      <w:r>
        <w:rPr>
          <w:rFonts w:ascii="Times New Roman" w:hAnsi="Times New Roman" w:cs="Times New Roman"/>
          <w:sz w:val="24"/>
          <w:szCs w:val="24"/>
        </w:rPr>
        <w:t xml:space="preserve">. John Wiley &amp; Sons. </w:t>
      </w:r>
      <w:r>
        <w:rPr>
          <w:sz w:val="24"/>
          <w:szCs w:val="24"/>
        </w:rPr>
        <w:fldChar w:fldCharType="begin"/>
      </w:r>
      <w:r>
        <w:rPr>
          <w:sz w:val="24"/>
          <w:szCs w:val="24"/>
        </w:rPr>
        <w:instrText xml:space="preserve"> HYPERLINK "https://books.google.com/books?hl=en&amp;lr=&amp;id=fBULEQAAQBAJ&amp;oi=fnd&amp;pg=PP1&amp;dq=Investing+in+advanced+cybersecurity+solutions,+such+as+artificial+intelligence-driven+threat+detection,+would+enhance+the+bank%E2%80%99s+ability+to+detect+and+mitigate+risks+in+real-time&amp;ots=DQHu8wir7L&amp;sig=UixBYJQRl2P2c-C362G_qJhG6ro" </w:instrText>
      </w:r>
      <w:r>
        <w:rPr>
          <w:sz w:val="24"/>
          <w:szCs w:val="24"/>
        </w:rPr>
        <w:fldChar w:fldCharType="separate"/>
      </w:r>
      <w:r>
        <w:rPr>
          <w:rStyle w:val="10"/>
          <w:rFonts w:ascii="Times New Roman" w:hAnsi="Times New Roman" w:cs="Times New Roman"/>
          <w:sz w:val="24"/>
          <w:szCs w:val="24"/>
        </w:rPr>
        <w:t>https://books.google.com/books?hl=en&amp;lr=&amp;id=fBULEQAAQBAJ&amp;oi=fnd&amp;pg=PP1&amp;dq=Investing+in+advanced+cybersecurity+solutions,+such+as+artificial+intelligence-driven+threat+detection,+would+enhance+the+bank%E2%80%99s+ability+to+detect+and+mitigate+risks+in+real-time&amp;ots=DQHu8wir7L&amp;sig=UixBYJQRl2P2c-C362G_qJhG6ro</w:t>
      </w:r>
      <w:r>
        <w:rPr>
          <w:rStyle w:val="10"/>
          <w:rFonts w:ascii="Times New Roman" w:hAnsi="Times New Roman" w:cs="Times New Roman"/>
          <w:sz w:val="24"/>
          <w:szCs w:val="24"/>
        </w:rPr>
        <w:fldChar w:fldCharType="end"/>
      </w:r>
    </w:p>
    <w:p w14:paraId="64D93DBC">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 xml:space="preserve">Moore, M. and Ramsay, G., 2021. United Kingdom: Economic challenges, market consolidation and increasing professional insecurity. </w:t>
      </w:r>
      <w:r>
        <w:rPr>
          <w:sz w:val="24"/>
          <w:szCs w:val="24"/>
        </w:rPr>
        <w:fldChar w:fldCharType="begin"/>
      </w:r>
      <w:r>
        <w:rPr>
          <w:sz w:val="24"/>
          <w:szCs w:val="24"/>
        </w:rPr>
        <w:instrText xml:space="preserve"> HYPERLINK "https://www.diva-portal.org/smash/get/diva2:1557939/FULLTEXT01.pdf" </w:instrText>
      </w:r>
      <w:r>
        <w:rPr>
          <w:sz w:val="24"/>
          <w:szCs w:val="24"/>
        </w:rPr>
        <w:fldChar w:fldCharType="separate"/>
      </w:r>
      <w:r>
        <w:rPr>
          <w:rStyle w:val="10"/>
          <w:rFonts w:ascii="Times New Roman" w:hAnsi="Times New Roman" w:cs="Times New Roman"/>
          <w:sz w:val="24"/>
          <w:szCs w:val="24"/>
        </w:rPr>
        <w:t>https://www.diva-portal.org/smash/get/diva2:1557939/FULLTEXT01.pdf</w:t>
      </w:r>
      <w:r>
        <w:rPr>
          <w:rStyle w:val="10"/>
          <w:rFonts w:ascii="Times New Roman" w:hAnsi="Times New Roman" w:cs="Times New Roman"/>
          <w:sz w:val="24"/>
          <w:szCs w:val="24"/>
        </w:rPr>
        <w:fldChar w:fldCharType="end"/>
      </w:r>
    </w:p>
    <w:p w14:paraId="7D2236A0">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Ringel, M. and Mjekic, S., 2023. Analyzing the role of banks in providing green finance for retail customers: The case of Germany. </w:t>
      </w:r>
      <w:r>
        <w:rPr>
          <w:rFonts w:ascii="Times New Roman" w:hAnsi="Times New Roman" w:cs="Times New Roman"/>
          <w:i/>
          <w:iCs/>
          <w:sz w:val="24"/>
          <w:szCs w:val="24"/>
        </w:rPr>
        <w:t>Sustainability</w:t>
      </w:r>
      <w:r>
        <w:rPr>
          <w:rFonts w:ascii="Times New Roman" w:hAnsi="Times New Roman" w:cs="Times New Roman"/>
          <w:sz w:val="24"/>
          <w:szCs w:val="24"/>
        </w:rPr>
        <w:t>, </w:t>
      </w:r>
      <w:r>
        <w:rPr>
          <w:rFonts w:ascii="Times New Roman" w:hAnsi="Times New Roman" w:cs="Times New Roman"/>
          <w:i/>
          <w:iCs/>
          <w:sz w:val="24"/>
          <w:szCs w:val="24"/>
        </w:rPr>
        <w:t>15</w:t>
      </w:r>
      <w:r>
        <w:rPr>
          <w:rFonts w:ascii="Times New Roman" w:hAnsi="Times New Roman" w:cs="Times New Roman"/>
          <w:sz w:val="24"/>
          <w:szCs w:val="24"/>
        </w:rPr>
        <w:t xml:space="preserve">(11), p.8745. </w:t>
      </w:r>
      <w:r>
        <w:rPr>
          <w:sz w:val="24"/>
          <w:szCs w:val="24"/>
        </w:rPr>
        <w:fldChar w:fldCharType="begin"/>
      </w:r>
      <w:r>
        <w:rPr>
          <w:sz w:val="24"/>
          <w:szCs w:val="24"/>
        </w:rPr>
        <w:instrText xml:space="preserve"> HYPERLINK "https://www.mdpi.com/2071-1050/15/11/8745" </w:instrText>
      </w:r>
      <w:r>
        <w:rPr>
          <w:sz w:val="24"/>
          <w:szCs w:val="24"/>
        </w:rPr>
        <w:fldChar w:fldCharType="separate"/>
      </w:r>
      <w:r>
        <w:rPr>
          <w:rStyle w:val="10"/>
          <w:rFonts w:ascii="Times New Roman" w:hAnsi="Times New Roman" w:cs="Times New Roman"/>
          <w:sz w:val="24"/>
          <w:szCs w:val="24"/>
        </w:rPr>
        <w:t>https://www.mdpi.com/2071-1050/15/11/8745</w:t>
      </w:r>
      <w:r>
        <w:rPr>
          <w:rStyle w:val="10"/>
          <w:rFonts w:ascii="Times New Roman" w:hAnsi="Times New Roman" w:cs="Times New Roman"/>
          <w:sz w:val="24"/>
          <w:szCs w:val="24"/>
        </w:rPr>
        <w:fldChar w:fldCharType="end"/>
      </w:r>
    </w:p>
    <w:p w14:paraId="24969675">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Rust, R.T., Rand, W., Huang, M.H., Stephen, A.T., Brooks, G. and Chabuk, T., 2021. Real-time brand reputation tracking using social media. </w:t>
      </w:r>
      <w:r>
        <w:rPr>
          <w:rFonts w:ascii="Times New Roman" w:hAnsi="Times New Roman" w:cs="Times New Roman"/>
          <w:i/>
          <w:iCs/>
          <w:sz w:val="24"/>
          <w:szCs w:val="24"/>
        </w:rPr>
        <w:t>Journal of Marketing</w:t>
      </w:r>
      <w:r>
        <w:rPr>
          <w:rFonts w:ascii="Times New Roman" w:hAnsi="Times New Roman" w:cs="Times New Roman"/>
          <w:sz w:val="24"/>
          <w:szCs w:val="24"/>
        </w:rPr>
        <w:t>, </w:t>
      </w:r>
      <w:r>
        <w:rPr>
          <w:rFonts w:ascii="Times New Roman" w:hAnsi="Times New Roman" w:cs="Times New Roman"/>
          <w:i/>
          <w:iCs/>
          <w:sz w:val="24"/>
          <w:szCs w:val="24"/>
        </w:rPr>
        <w:t>85</w:t>
      </w:r>
      <w:r>
        <w:rPr>
          <w:rFonts w:ascii="Times New Roman" w:hAnsi="Times New Roman" w:cs="Times New Roman"/>
          <w:sz w:val="24"/>
          <w:szCs w:val="24"/>
        </w:rPr>
        <w:t>(4), pp.21-43.</w:t>
      </w:r>
    </w:p>
    <w:p w14:paraId="4016C392">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Skinner, C., 2020. </w:t>
      </w:r>
      <w:r>
        <w:rPr>
          <w:rFonts w:ascii="Times New Roman" w:hAnsi="Times New Roman" w:cs="Times New Roman"/>
          <w:i/>
          <w:iCs/>
          <w:sz w:val="24"/>
          <w:szCs w:val="24"/>
        </w:rPr>
        <w:t>Doing digital: Lessons from leaders</w:t>
      </w:r>
      <w:r>
        <w:rPr>
          <w:rFonts w:ascii="Times New Roman" w:hAnsi="Times New Roman" w:cs="Times New Roman"/>
          <w:sz w:val="24"/>
          <w:szCs w:val="24"/>
        </w:rPr>
        <w:t>. Marshall Cavendish International Asia Pte Ltd.</w:t>
      </w:r>
    </w:p>
    <w:p w14:paraId="4459934D">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Skultety, C., Kavalamthara, P.J. and Cull, M., 2020. </w:t>
      </w:r>
      <w:r>
        <w:rPr>
          <w:rFonts w:ascii="Times New Roman" w:hAnsi="Times New Roman" w:cs="Times New Roman"/>
          <w:i/>
          <w:iCs/>
          <w:sz w:val="24"/>
          <w:szCs w:val="24"/>
        </w:rPr>
        <w:t>Financial planning education and regulatory requirements: A cross country comparison between Australia, Canada, United Kingdom and United States of America</w:t>
      </w:r>
      <w:r>
        <w:rPr>
          <w:rFonts w:ascii="Times New Roman" w:hAnsi="Times New Roman" w:cs="Times New Roman"/>
          <w:sz w:val="24"/>
          <w:szCs w:val="24"/>
        </w:rPr>
        <w:t>.</w:t>
      </w:r>
    </w:p>
    <w:p w14:paraId="3B74D3F4">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Vadakkepatt, G.G., Winterich, K.P., Mittal, V., Zinn, W., Beitelspacher, L., Aloysius, J., Ginger, J. and Reilman, J., 2021. Sustainable retailing. </w:t>
      </w:r>
      <w:r>
        <w:rPr>
          <w:rFonts w:ascii="Times New Roman" w:hAnsi="Times New Roman" w:cs="Times New Roman"/>
          <w:i/>
          <w:iCs/>
          <w:sz w:val="24"/>
          <w:szCs w:val="24"/>
        </w:rPr>
        <w:t>Journal of Retailing</w:t>
      </w:r>
      <w:r>
        <w:rPr>
          <w:rFonts w:ascii="Times New Roman" w:hAnsi="Times New Roman" w:cs="Times New Roman"/>
          <w:sz w:val="24"/>
          <w:szCs w:val="24"/>
        </w:rPr>
        <w:t>, </w:t>
      </w:r>
      <w:r>
        <w:rPr>
          <w:rFonts w:ascii="Times New Roman" w:hAnsi="Times New Roman" w:cs="Times New Roman"/>
          <w:i/>
          <w:iCs/>
          <w:sz w:val="24"/>
          <w:szCs w:val="24"/>
        </w:rPr>
        <w:t>97</w:t>
      </w:r>
      <w:r>
        <w:rPr>
          <w:rFonts w:ascii="Times New Roman" w:hAnsi="Times New Roman" w:cs="Times New Roman"/>
          <w:sz w:val="24"/>
          <w:szCs w:val="24"/>
        </w:rPr>
        <w:t>(1), pp.62-80.</w:t>
      </w:r>
    </w:p>
    <w:p w14:paraId="0BF40F76">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Vittala, K.P., Ahmad, S.S., Seranmadevi, R. and Tyagi, A.K., 2024. Emerging Technology Adoption and Applications for Modern Society Towards Providing Smart Banking Solutions. In </w:t>
      </w:r>
      <w:r>
        <w:rPr>
          <w:rFonts w:ascii="Times New Roman" w:hAnsi="Times New Roman" w:cs="Times New Roman"/>
          <w:i/>
          <w:iCs/>
          <w:sz w:val="24"/>
          <w:szCs w:val="24"/>
        </w:rPr>
        <w:t>Enhancing Medical Imaging with Emerging Technologies</w:t>
      </w:r>
      <w:r>
        <w:rPr>
          <w:rFonts w:ascii="Times New Roman" w:hAnsi="Times New Roman" w:cs="Times New Roman"/>
          <w:sz w:val="24"/>
          <w:szCs w:val="24"/>
        </w:rPr>
        <w:t> (pp. 315-329). IGI Global.</w:t>
      </w:r>
    </w:p>
    <w:p w14:paraId="2D01D0D9">
      <w:pPr>
        <w:spacing w:after="0" w:line="480" w:lineRule="auto"/>
        <w:ind w:left="720" w:hanging="720"/>
        <w:contextualSpacing/>
        <w:rPr>
          <w:rFonts w:ascii="Times New Roman" w:hAnsi="Times New Roman" w:cs="Times New Roman"/>
          <w:sz w:val="24"/>
          <w:szCs w:val="24"/>
        </w:rPr>
      </w:pPr>
      <w:r>
        <w:rPr>
          <w:rFonts w:ascii="Times New Roman" w:hAnsi="Times New Roman" w:cs="Times New Roman"/>
          <w:sz w:val="24"/>
          <w:szCs w:val="24"/>
        </w:rPr>
        <w:t>Wewege, L., Lee, J. and Thomsett, M.C., 2020. Disruptions and digital banking trends. </w:t>
      </w:r>
      <w:r>
        <w:rPr>
          <w:rFonts w:ascii="Times New Roman" w:hAnsi="Times New Roman" w:cs="Times New Roman"/>
          <w:i/>
          <w:iCs/>
          <w:sz w:val="24"/>
          <w:szCs w:val="24"/>
        </w:rPr>
        <w:t>Journal of Applied Finance and Banking</w:t>
      </w:r>
      <w:r>
        <w:rPr>
          <w:rFonts w:ascii="Times New Roman" w:hAnsi="Times New Roman" w:cs="Times New Roman"/>
          <w:sz w:val="24"/>
          <w:szCs w:val="24"/>
        </w:rPr>
        <w:t>, </w:t>
      </w:r>
      <w:r>
        <w:rPr>
          <w:rFonts w:ascii="Times New Roman" w:hAnsi="Times New Roman" w:cs="Times New Roman"/>
          <w:i/>
          <w:iCs/>
          <w:sz w:val="24"/>
          <w:szCs w:val="24"/>
        </w:rPr>
        <w:t>10</w:t>
      </w:r>
      <w:r>
        <w:rPr>
          <w:rFonts w:ascii="Times New Roman" w:hAnsi="Times New Roman" w:cs="Times New Roman"/>
          <w:sz w:val="24"/>
          <w:szCs w:val="24"/>
        </w:rPr>
        <w:t>(6), pp.15-56.</w:t>
      </w:r>
    </w:p>
    <w:p w14:paraId="2A9F7F9B">
      <w:pPr>
        <w:spacing w:after="0" w:line="480" w:lineRule="auto"/>
        <w:ind w:left="720" w:hanging="720"/>
        <w:contextualSpacing/>
        <w:rPr>
          <w:rFonts w:ascii="Times New Roman" w:hAnsi="Times New Roman" w:cs="Times New Roman"/>
          <w:sz w:val="24"/>
          <w:szCs w:val="24"/>
        </w:rPr>
      </w:pPr>
    </w:p>
    <w:p w14:paraId="61C857EF">
      <w:pPr>
        <w:spacing w:after="0" w:line="480" w:lineRule="auto"/>
        <w:contextualSpacing/>
        <w:rPr>
          <w:rFonts w:ascii="Times New Roman" w:hAnsi="Times New Roman" w:cs="Times New Roman"/>
          <w:sz w:val="24"/>
          <w:szCs w:val="24"/>
        </w:rPr>
      </w:pPr>
    </w:p>
    <w:sectPr>
      <w:headerReference r:id="rId5" w:type="default"/>
      <w:pgSz w:w="12240" w:h="15840"/>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86"/>
    <w:family w:val="swiss"/>
    <w:pitch w:val="default"/>
    <w:sig w:usb0="E4002EFF" w:usb1="C200247B" w:usb2="00000009" w:usb3="00000000" w:csb0="200001FF" w:csb1="00000000"/>
  </w:font>
  <w:font w:name="Calibri">
    <w:panose1 w:val="020F0502020204030204"/>
    <w:charset w:val="00"/>
    <w:family w:val="auto"/>
    <w:pitch w:val="default"/>
    <w:sig w:usb0="E4002EFF" w:usb1="C200247B" w:usb2="00000009" w:usb3="00000000" w:csb0="200001FF" w:csb1="00000000"/>
  </w:font>
  <w:font w:name="Calibri Light">
    <w:panose1 w:val="020F0302020204030204"/>
    <w:charset w:val="00"/>
    <w:family w:val="swiss"/>
    <w:pitch w:val="default"/>
    <w:sig w:usb0="E4002EFF" w:usb1="C2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等线">
    <w:panose1 w:val="02010600030101010101"/>
    <w:charset w:val="86"/>
    <w:family w:val="auto"/>
    <w:pitch w:val="default"/>
    <w:sig w:usb0="A00002BF" w:usb1="38CF7CFA" w:usb2="00000016" w:usb3="00000000" w:csb0="0004000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rPr>
        <w:rFonts w:ascii="Times New Roman" w:hAnsi="Times New Roman" w:cs="Times New Roman"/>
        <w:sz w:val="24"/>
        <w:szCs w:val="24"/>
      </w:rPr>
      <w:id w:val="-1799370556"/>
      <w:docPartObj>
        <w:docPartGallery w:val="autotext"/>
      </w:docPartObj>
    </w:sdtPr>
    <w:sdtEndPr>
      <w:rPr>
        <w:rFonts w:ascii="Times New Roman" w:hAnsi="Times New Roman" w:cs="Times New Roman"/>
        <w:sz w:val="24"/>
        <w:szCs w:val="24"/>
      </w:rPr>
    </w:sdtEndPr>
    <w:sdtContent>
      <w:p w14:paraId="46C04B7D">
        <w:pPr>
          <w:pStyle w:val="4"/>
          <w:jc w:val="right"/>
          <w:rPr>
            <w:rFonts w:ascii="Times New Roman" w:hAnsi="Times New Roman" w:cs="Times New Roman"/>
            <w:sz w:val="24"/>
            <w:szCs w:val="24"/>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PAGE   \* MERGEFORMAT </w:instrText>
        </w:r>
        <w:r>
          <w:rPr>
            <w:rFonts w:ascii="Times New Roman" w:hAnsi="Times New Roman" w:cs="Times New Roman"/>
            <w:sz w:val="24"/>
            <w:szCs w:val="24"/>
          </w:rPr>
          <w:fldChar w:fldCharType="separate"/>
        </w:r>
        <w:r>
          <w:rPr>
            <w:rFonts w:ascii="Times New Roman" w:hAnsi="Times New Roman" w:cs="Times New Roman"/>
            <w:sz w:val="24"/>
            <w:szCs w:val="24"/>
          </w:rPr>
          <w:t>2</w:t>
        </w:r>
        <w:r>
          <w:rPr>
            <w:rFonts w:ascii="Times New Roman" w:hAnsi="Times New Roman" w:cs="Times New Roman"/>
            <w:sz w:val="24"/>
            <w:szCs w:val="24"/>
          </w:rPr>
          <w:fldChar w:fldCharType="end"/>
        </w:r>
      </w:p>
    </w:sdtContent>
  </w:sdt>
  <w:p w14:paraId="32483076">
    <w:pPr>
      <w:pStyle w:val="4"/>
      <w:rPr>
        <w:rFonts w:ascii="Times New Roman" w:hAnsi="Times New Roman" w:cs="Times New Roman"/>
        <w:sz w:val="24"/>
        <w:szCs w:val="24"/>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23E0732E"/>
    <w:multiLevelType w:val="multilevel"/>
    <w:tmpl w:val="23E0732E"/>
    <w:lvl w:ilvl="0" w:tentative="0">
      <w:start w:val="1"/>
      <w:numFmt w:val="decimal"/>
      <w:lvlText w:val="%1"/>
      <w:lvlJc w:val="left"/>
      <w:pPr>
        <w:ind w:left="360" w:hanging="360"/>
      </w:pPr>
      <w:rPr>
        <w:rFonts w:hint="default"/>
        <w:b/>
      </w:rPr>
    </w:lvl>
    <w:lvl w:ilvl="1" w:tentative="0">
      <w:start w:val="1"/>
      <w:numFmt w:val="decimal"/>
      <w:lvlText w:val="%1.%2"/>
      <w:lvlJc w:val="left"/>
      <w:pPr>
        <w:ind w:left="360" w:hanging="360"/>
      </w:pPr>
      <w:rPr>
        <w:rFonts w:hint="default"/>
        <w:b/>
      </w:rPr>
    </w:lvl>
    <w:lvl w:ilvl="2" w:tentative="0">
      <w:start w:val="1"/>
      <w:numFmt w:val="decimal"/>
      <w:lvlText w:val="%1.%2.%3"/>
      <w:lvlJc w:val="left"/>
      <w:pPr>
        <w:ind w:left="720" w:hanging="720"/>
      </w:pPr>
      <w:rPr>
        <w:rFonts w:hint="default"/>
        <w:b/>
      </w:rPr>
    </w:lvl>
    <w:lvl w:ilvl="3" w:tentative="0">
      <w:start w:val="1"/>
      <w:numFmt w:val="decimal"/>
      <w:lvlText w:val="%1.%2.%3.%4"/>
      <w:lvlJc w:val="left"/>
      <w:pPr>
        <w:ind w:left="720" w:hanging="720"/>
      </w:pPr>
      <w:rPr>
        <w:rFonts w:hint="default"/>
        <w:b/>
      </w:rPr>
    </w:lvl>
    <w:lvl w:ilvl="4" w:tentative="0">
      <w:start w:val="1"/>
      <w:numFmt w:val="decimal"/>
      <w:lvlText w:val="%1.%2.%3.%4.%5"/>
      <w:lvlJc w:val="left"/>
      <w:pPr>
        <w:ind w:left="1080" w:hanging="1080"/>
      </w:pPr>
      <w:rPr>
        <w:rFonts w:hint="default"/>
        <w:b/>
      </w:rPr>
    </w:lvl>
    <w:lvl w:ilvl="5" w:tentative="0">
      <w:start w:val="1"/>
      <w:numFmt w:val="decimal"/>
      <w:lvlText w:val="%1.%2.%3.%4.%5.%6"/>
      <w:lvlJc w:val="left"/>
      <w:pPr>
        <w:ind w:left="1080" w:hanging="1080"/>
      </w:pPr>
      <w:rPr>
        <w:rFonts w:hint="default"/>
        <w:b/>
      </w:rPr>
    </w:lvl>
    <w:lvl w:ilvl="6" w:tentative="0">
      <w:start w:val="1"/>
      <w:numFmt w:val="decimal"/>
      <w:lvlText w:val="%1.%2.%3.%4.%5.%6.%7"/>
      <w:lvlJc w:val="left"/>
      <w:pPr>
        <w:ind w:left="1440" w:hanging="1440"/>
      </w:pPr>
      <w:rPr>
        <w:rFonts w:hint="default"/>
        <w:b/>
      </w:rPr>
    </w:lvl>
    <w:lvl w:ilvl="7" w:tentative="0">
      <w:start w:val="1"/>
      <w:numFmt w:val="decimal"/>
      <w:lvlText w:val="%1.%2.%3.%4.%5.%6.%7.%8"/>
      <w:lvlJc w:val="left"/>
      <w:pPr>
        <w:ind w:left="1440" w:hanging="1440"/>
      </w:pPr>
      <w:rPr>
        <w:rFonts w:hint="default"/>
        <w:b/>
      </w:rPr>
    </w:lvl>
    <w:lvl w:ilvl="8" w:tentative="0">
      <w:start w:val="1"/>
      <w:numFmt w:val="decimal"/>
      <w:lvlText w:val="%1.%2.%3.%4.%5.%6.%7.%8.%9"/>
      <w:lvlJc w:val="left"/>
      <w:pPr>
        <w:ind w:left="1800" w:hanging="1800"/>
      </w:pPr>
      <w:rPr>
        <w:rFonts w:hint="default"/>
        <w:b/>
      </w:rPr>
    </w:lvl>
  </w:abstractNum>
  <w:abstractNum w:abstractNumId="1">
    <w:nsid w:val="668A0E29"/>
    <w:multiLevelType w:val="multilevel"/>
    <w:tmpl w:val="668A0E29"/>
    <w:lvl w:ilvl="0" w:tentative="0">
      <w:start w:val="3"/>
      <w:numFmt w:val="decimal"/>
      <w:lvlText w:val="%1"/>
      <w:lvlJc w:val="left"/>
      <w:pPr>
        <w:ind w:left="360" w:hanging="360"/>
      </w:pPr>
      <w:rPr>
        <w:rFonts w:hint="default"/>
        <w:b/>
      </w:rPr>
    </w:lvl>
    <w:lvl w:ilvl="1" w:tentative="0">
      <w:start w:val="1"/>
      <w:numFmt w:val="decimal"/>
      <w:lvlText w:val="%1.%2"/>
      <w:lvlJc w:val="left"/>
      <w:pPr>
        <w:ind w:left="360" w:hanging="360"/>
      </w:pPr>
      <w:rPr>
        <w:rFonts w:hint="default"/>
        <w:b/>
      </w:rPr>
    </w:lvl>
    <w:lvl w:ilvl="2" w:tentative="0">
      <w:start w:val="1"/>
      <w:numFmt w:val="decimal"/>
      <w:lvlText w:val="%1.%2.%3"/>
      <w:lvlJc w:val="left"/>
      <w:pPr>
        <w:ind w:left="720" w:hanging="720"/>
      </w:pPr>
      <w:rPr>
        <w:rFonts w:hint="default"/>
        <w:b/>
      </w:rPr>
    </w:lvl>
    <w:lvl w:ilvl="3" w:tentative="0">
      <w:start w:val="1"/>
      <w:numFmt w:val="decimal"/>
      <w:lvlText w:val="%1.%2.%3.%4"/>
      <w:lvlJc w:val="left"/>
      <w:pPr>
        <w:ind w:left="720" w:hanging="720"/>
      </w:pPr>
      <w:rPr>
        <w:rFonts w:hint="default"/>
        <w:b/>
      </w:rPr>
    </w:lvl>
    <w:lvl w:ilvl="4" w:tentative="0">
      <w:start w:val="1"/>
      <w:numFmt w:val="decimal"/>
      <w:lvlText w:val="%1.%2.%3.%4.%5"/>
      <w:lvlJc w:val="left"/>
      <w:pPr>
        <w:ind w:left="1080" w:hanging="1080"/>
      </w:pPr>
      <w:rPr>
        <w:rFonts w:hint="default"/>
        <w:b/>
      </w:rPr>
    </w:lvl>
    <w:lvl w:ilvl="5" w:tentative="0">
      <w:start w:val="1"/>
      <w:numFmt w:val="decimal"/>
      <w:lvlText w:val="%1.%2.%3.%4.%5.%6"/>
      <w:lvlJc w:val="left"/>
      <w:pPr>
        <w:ind w:left="1080" w:hanging="1080"/>
      </w:pPr>
      <w:rPr>
        <w:rFonts w:hint="default"/>
        <w:b/>
      </w:rPr>
    </w:lvl>
    <w:lvl w:ilvl="6" w:tentative="0">
      <w:start w:val="1"/>
      <w:numFmt w:val="decimal"/>
      <w:lvlText w:val="%1.%2.%3.%4.%5.%6.%7"/>
      <w:lvlJc w:val="left"/>
      <w:pPr>
        <w:ind w:left="1440" w:hanging="1440"/>
      </w:pPr>
      <w:rPr>
        <w:rFonts w:hint="default"/>
        <w:b/>
      </w:rPr>
    </w:lvl>
    <w:lvl w:ilvl="7" w:tentative="0">
      <w:start w:val="1"/>
      <w:numFmt w:val="decimal"/>
      <w:lvlText w:val="%1.%2.%3.%4.%5.%6.%7.%8"/>
      <w:lvlJc w:val="left"/>
      <w:pPr>
        <w:ind w:left="1440" w:hanging="1440"/>
      </w:pPr>
      <w:rPr>
        <w:rFonts w:hint="default"/>
        <w:b/>
      </w:rPr>
    </w:lvl>
    <w:lvl w:ilvl="8" w:tentative="0">
      <w:start w:val="1"/>
      <w:numFmt w:val="decimal"/>
      <w:lvlText w:val="%1.%2.%3.%4.%5.%6.%7.%8.%9"/>
      <w:lvlJc w:val="left"/>
      <w:pPr>
        <w:ind w:left="1800" w:hanging="1800"/>
      </w:pPr>
      <w:rPr>
        <w:rFonts w:hint="default"/>
        <w:b/>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83"/>
  <w:documentProtection w:enforcement="0"/>
  <w:defaultTabStop w:val="720"/>
  <w:characterSpacingControl w:val="doNotCompress"/>
  <w:footnotePr>
    <w:footnote w:id="0"/>
    <w:footnote w:id="1"/>
  </w:footnotePr>
  <w:endnotePr>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670D9"/>
    <w:rsid w:val="000348AA"/>
    <w:rsid w:val="00047BD7"/>
    <w:rsid w:val="000616E9"/>
    <w:rsid w:val="00091098"/>
    <w:rsid w:val="000A01AA"/>
    <w:rsid w:val="000A5030"/>
    <w:rsid w:val="000C34BF"/>
    <w:rsid w:val="000D1C0F"/>
    <w:rsid w:val="000D41D6"/>
    <w:rsid w:val="000F0951"/>
    <w:rsid w:val="000F2579"/>
    <w:rsid w:val="00113076"/>
    <w:rsid w:val="00122301"/>
    <w:rsid w:val="001461F8"/>
    <w:rsid w:val="00173C6C"/>
    <w:rsid w:val="00175EC1"/>
    <w:rsid w:val="001A7407"/>
    <w:rsid w:val="001B3A8B"/>
    <w:rsid w:val="001D49DD"/>
    <w:rsid w:val="0020338A"/>
    <w:rsid w:val="00223974"/>
    <w:rsid w:val="00245987"/>
    <w:rsid w:val="002670D9"/>
    <w:rsid w:val="002C68A5"/>
    <w:rsid w:val="00310B54"/>
    <w:rsid w:val="00322CEF"/>
    <w:rsid w:val="00334DC5"/>
    <w:rsid w:val="00347488"/>
    <w:rsid w:val="003531B1"/>
    <w:rsid w:val="00354A4F"/>
    <w:rsid w:val="00363EEC"/>
    <w:rsid w:val="00391C2E"/>
    <w:rsid w:val="003A1768"/>
    <w:rsid w:val="00402F38"/>
    <w:rsid w:val="00454CAA"/>
    <w:rsid w:val="00472448"/>
    <w:rsid w:val="004A3B0B"/>
    <w:rsid w:val="004A65CA"/>
    <w:rsid w:val="004B6D28"/>
    <w:rsid w:val="004C7961"/>
    <w:rsid w:val="004F6225"/>
    <w:rsid w:val="004F767C"/>
    <w:rsid w:val="0052423E"/>
    <w:rsid w:val="00530EFD"/>
    <w:rsid w:val="00547F72"/>
    <w:rsid w:val="00556993"/>
    <w:rsid w:val="00594C3A"/>
    <w:rsid w:val="005C4FE0"/>
    <w:rsid w:val="005D1BB1"/>
    <w:rsid w:val="005D4D75"/>
    <w:rsid w:val="005E6A92"/>
    <w:rsid w:val="00612250"/>
    <w:rsid w:val="006152D5"/>
    <w:rsid w:val="00650E5B"/>
    <w:rsid w:val="006632B5"/>
    <w:rsid w:val="006B4694"/>
    <w:rsid w:val="006C4291"/>
    <w:rsid w:val="00711ECF"/>
    <w:rsid w:val="007133C7"/>
    <w:rsid w:val="007A4ED5"/>
    <w:rsid w:val="007F48C0"/>
    <w:rsid w:val="008153AE"/>
    <w:rsid w:val="00846DD1"/>
    <w:rsid w:val="00861006"/>
    <w:rsid w:val="008E16E4"/>
    <w:rsid w:val="008F6F12"/>
    <w:rsid w:val="009246E1"/>
    <w:rsid w:val="00945C09"/>
    <w:rsid w:val="009470A2"/>
    <w:rsid w:val="009838B4"/>
    <w:rsid w:val="009D05D2"/>
    <w:rsid w:val="00A27287"/>
    <w:rsid w:val="00A42897"/>
    <w:rsid w:val="00A6372D"/>
    <w:rsid w:val="00AB0276"/>
    <w:rsid w:val="00AC4703"/>
    <w:rsid w:val="00AF2E72"/>
    <w:rsid w:val="00B12F9F"/>
    <w:rsid w:val="00B23483"/>
    <w:rsid w:val="00B259D7"/>
    <w:rsid w:val="00B3651E"/>
    <w:rsid w:val="00B420A6"/>
    <w:rsid w:val="00B43C3B"/>
    <w:rsid w:val="00B94807"/>
    <w:rsid w:val="00B950D6"/>
    <w:rsid w:val="00BA471B"/>
    <w:rsid w:val="00BC1F1D"/>
    <w:rsid w:val="00BD5B8A"/>
    <w:rsid w:val="00BD6BEF"/>
    <w:rsid w:val="00C10877"/>
    <w:rsid w:val="00CB6873"/>
    <w:rsid w:val="00D137A3"/>
    <w:rsid w:val="00D179BE"/>
    <w:rsid w:val="00D3492A"/>
    <w:rsid w:val="00D62564"/>
    <w:rsid w:val="00D83FAA"/>
    <w:rsid w:val="00D86842"/>
    <w:rsid w:val="00D925CB"/>
    <w:rsid w:val="00DF22BD"/>
    <w:rsid w:val="00DF72DC"/>
    <w:rsid w:val="00E40218"/>
    <w:rsid w:val="00E64F07"/>
    <w:rsid w:val="00E7263C"/>
    <w:rsid w:val="00EB450B"/>
    <w:rsid w:val="00EE49A3"/>
    <w:rsid w:val="00EF2E63"/>
    <w:rsid w:val="00F0373F"/>
    <w:rsid w:val="00F048F3"/>
    <w:rsid w:val="00F14FAB"/>
    <w:rsid w:val="00F83BD4"/>
    <w:rsid w:val="00F97601"/>
    <w:rsid w:val="00FD6B9B"/>
    <w:rsid w:val="00FE0089"/>
    <w:rsid w:val="66EA030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kern w:val="2"/>
      <w:sz w:val="22"/>
      <w:szCs w:val="22"/>
      <w:lang w:val="en-US" w:eastAsia="en-US" w:bidi="ar-SA"/>
      <w14:ligatures w14:val="standardContextual"/>
    </w:rPr>
  </w:style>
  <w:style w:type="paragraph" w:styleId="2">
    <w:name w:val="heading 1"/>
    <w:basedOn w:val="1"/>
    <w:next w:val="1"/>
    <w:link w:val="16"/>
    <w:qFormat/>
    <w:uiPriority w:val="9"/>
    <w:pPr>
      <w:keepNext/>
      <w:keepLines/>
      <w:spacing w:before="240" w:after="0"/>
      <w:outlineLvl w:val="0"/>
    </w:pPr>
    <w:rPr>
      <w:rFonts w:asciiTheme="majorHAnsi" w:hAnsiTheme="majorHAnsi" w:eastAsiaTheme="majorEastAsia" w:cstheme="majorBidi"/>
      <w:color w:val="2F5597" w:themeColor="accent1" w:themeShade="BF"/>
      <w:sz w:val="32"/>
      <w:szCs w:val="32"/>
    </w:rPr>
  </w:style>
  <w:style w:type="character" w:default="1" w:styleId="9">
    <w:name w:val="Default Paragraph Font"/>
    <w:unhideWhenUsed/>
    <w:uiPriority w:val="1"/>
  </w:style>
  <w:style w:type="table" w:default="1" w:styleId="7">
    <w:name w:val="Normal Table"/>
    <w:semiHidden/>
    <w:unhideWhenUsed/>
    <w:qFormat/>
    <w:uiPriority w:val="99"/>
    <w:tblPr>
      <w:tblCellMar>
        <w:top w:w="0" w:type="dxa"/>
        <w:left w:w="108" w:type="dxa"/>
        <w:bottom w:w="0" w:type="dxa"/>
        <w:right w:w="108" w:type="dxa"/>
      </w:tblCellMar>
    </w:tblPr>
  </w:style>
  <w:style w:type="paragraph" w:styleId="3">
    <w:name w:val="footer"/>
    <w:basedOn w:val="1"/>
    <w:link w:val="15"/>
    <w:unhideWhenUsed/>
    <w:qFormat/>
    <w:uiPriority w:val="99"/>
    <w:pPr>
      <w:tabs>
        <w:tab w:val="center" w:pos="4680"/>
        <w:tab w:val="right" w:pos="9360"/>
      </w:tabs>
      <w:spacing w:after="0" w:line="240" w:lineRule="auto"/>
    </w:pPr>
  </w:style>
  <w:style w:type="paragraph" w:styleId="4">
    <w:name w:val="header"/>
    <w:basedOn w:val="1"/>
    <w:link w:val="14"/>
    <w:unhideWhenUsed/>
    <w:qFormat/>
    <w:uiPriority w:val="99"/>
    <w:pPr>
      <w:tabs>
        <w:tab w:val="center" w:pos="4680"/>
        <w:tab w:val="right" w:pos="9360"/>
      </w:tabs>
      <w:spacing w:after="0" w:line="240" w:lineRule="auto"/>
    </w:pPr>
  </w:style>
  <w:style w:type="paragraph" w:styleId="5">
    <w:name w:val="toc 1"/>
    <w:basedOn w:val="1"/>
    <w:next w:val="1"/>
    <w:autoRedefine/>
    <w:unhideWhenUsed/>
    <w:qFormat/>
    <w:uiPriority w:val="39"/>
    <w:pPr>
      <w:spacing w:after="100"/>
    </w:pPr>
  </w:style>
  <w:style w:type="paragraph" w:styleId="6">
    <w:name w:val="toc 2"/>
    <w:basedOn w:val="1"/>
    <w:next w:val="1"/>
    <w:autoRedefine/>
    <w:unhideWhenUsed/>
    <w:qFormat/>
    <w:uiPriority w:val="39"/>
    <w:pPr>
      <w:spacing w:after="100"/>
      <w:ind w:left="220"/>
    </w:pPr>
  </w:style>
  <w:style w:type="table" w:styleId="8">
    <w:name w:val="Table Grid"/>
    <w:basedOn w:val="7"/>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0">
    <w:name w:val="Hyperlink"/>
    <w:basedOn w:val="9"/>
    <w:unhideWhenUsed/>
    <w:qFormat/>
    <w:uiPriority w:val="99"/>
    <w:rPr>
      <w:color w:val="0563C1" w:themeColor="hyperlink"/>
      <w:u w:val="single"/>
      <w14:textFill>
        <w14:solidFill>
          <w14:schemeClr w14:val="hlink"/>
        </w14:solidFill>
      </w14:textFill>
    </w:rPr>
  </w:style>
  <w:style w:type="table" w:customStyle="1" w:styleId="11">
    <w:name w:val="Plain Table 1"/>
    <w:basedOn w:val="7"/>
    <w:qFormat/>
    <w:uiPriority w:val="41"/>
    <w:pPr>
      <w:spacing w:after="0" w:line="240" w:lineRule="auto"/>
    </w:pPr>
    <w:tblPr>
      <w:tblBorders>
        <w:top w:val="single" w:color="BEBEBE" w:themeColor="background1" w:themeShade="BF" w:sz="4" w:space="0"/>
        <w:left w:val="single" w:color="BEBEBE" w:themeColor="background1" w:themeShade="BF" w:sz="4" w:space="0"/>
        <w:bottom w:val="single" w:color="BEBEBE" w:themeColor="background1" w:themeShade="BF" w:sz="4" w:space="0"/>
        <w:right w:val="single" w:color="BEBEBE" w:themeColor="background1" w:themeShade="BF" w:sz="4" w:space="0"/>
        <w:insideH w:val="single" w:color="BEBEBE" w:themeColor="background1" w:themeShade="BF" w:sz="4" w:space="0"/>
        <w:insideV w:val="single" w:color="BEBEBE" w:themeColor="background1" w:themeShade="BF" w:sz="4" w:space="0"/>
      </w:tblBorders>
    </w:tblPr>
    <w:tblStylePr w:type="firstRow">
      <w:rPr>
        <w:b/>
        <w:bCs/>
      </w:rPr>
    </w:tblStylePr>
    <w:tblStylePr w:type="lastRow">
      <w:rPr>
        <w:b/>
        <w:bCs/>
      </w:rPr>
      <w:tcPr>
        <w:tcBorders>
          <w:top w:val="double" w:color="BEBEBE" w:themeColor="background1" w:themeShade="BF" w:sz="4" w:space="0"/>
        </w:tcBorders>
      </w:tcPr>
    </w:tblStylePr>
    <w:tblStylePr w:type="firstCol">
      <w:rPr>
        <w:b/>
        <w:bCs/>
      </w:rPr>
    </w:tblStylePr>
    <w:tblStylePr w:type="lastCol">
      <w:rPr>
        <w:b/>
        <w:bCs/>
      </w:rPr>
    </w:tblStylePr>
    <w:tblStylePr w:type="band1Vert">
      <w:tcPr>
        <w:shd w:val="clear" w:color="auto" w:fill="F1F1F1" w:themeFill="background1" w:themeFillShade="F2"/>
      </w:tcPr>
    </w:tblStylePr>
    <w:tblStylePr w:type="band1Horz">
      <w:tcPr>
        <w:shd w:val="clear" w:color="auto" w:fill="F1F1F1" w:themeFill="background1" w:themeFillShade="F2"/>
      </w:tcPr>
    </w:tblStylePr>
  </w:style>
  <w:style w:type="character" w:customStyle="1" w:styleId="12">
    <w:name w:val="Unresolved Mention"/>
    <w:basedOn w:val="9"/>
    <w:semiHidden/>
    <w:unhideWhenUsed/>
    <w:qFormat/>
    <w:uiPriority w:val="99"/>
    <w:rPr>
      <w:color w:val="605E5C"/>
      <w:shd w:val="clear" w:color="auto" w:fill="E1DFDD"/>
    </w:rPr>
  </w:style>
  <w:style w:type="paragraph" w:styleId="13">
    <w:name w:val="List Paragraph"/>
    <w:basedOn w:val="1"/>
    <w:qFormat/>
    <w:uiPriority w:val="34"/>
    <w:pPr>
      <w:ind w:left="720"/>
      <w:contextualSpacing/>
    </w:pPr>
  </w:style>
  <w:style w:type="character" w:customStyle="1" w:styleId="14">
    <w:name w:val="Header Char"/>
    <w:basedOn w:val="9"/>
    <w:link w:val="4"/>
    <w:qFormat/>
    <w:uiPriority w:val="99"/>
  </w:style>
  <w:style w:type="character" w:customStyle="1" w:styleId="15">
    <w:name w:val="Footer Char"/>
    <w:basedOn w:val="9"/>
    <w:link w:val="3"/>
    <w:qFormat/>
    <w:uiPriority w:val="99"/>
  </w:style>
  <w:style w:type="character" w:customStyle="1" w:styleId="16">
    <w:name w:val="Heading 1 Char"/>
    <w:basedOn w:val="9"/>
    <w:link w:val="2"/>
    <w:qFormat/>
    <w:uiPriority w:val="9"/>
    <w:rPr>
      <w:rFonts w:asciiTheme="majorHAnsi" w:hAnsiTheme="majorHAnsi" w:eastAsiaTheme="majorEastAsia" w:cstheme="majorBidi"/>
      <w:color w:val="2F5597" w:themeColor="accent1" w:themeShade="BF"/>
      <w:sz w:val="32"/>
      <w:szCs w:val="32"/>
    </w:rPr>
  </w:style>
  <w:style w:type="paragraph" w:customStyle="1" w:styleId="17">
    <w:name w:val="TOC Heading"/>
    <w:basedOn w:val="2"/>
    <w:next w:val="1"/>
    <w:unhideWhenUsed/>
    <w:qFormat/>
    <w:uiPriority w:val="39"/>
    <w:pPr>
      <w:outlineLvl w:val="9"/>
    </w:pPr>
    <w:rPr>
      <w:kern w:val="0"/>
      <w14:ligatures w14:val="none"/>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270240-C480-4B9A-A50F-B79BF9744852}">
  <ds:schemaRefs/>
</ds:datastoreItem>
</file>

<file path=docProps/app.xml><?xml version="1.0" encoding="utf-8"?>
<Properties xmlns="http://schemas.openxmlformats.org/officeDocument/2006/extended-properties" xmlns:vt="http://schemas.openxmlformats.org/officeDocument/2006/docPropsVTypes">
  <Template>Normal</Template>
  <Pages>24</Pages>
  <Words>4934</Words>
  <Characters>33043</Characters>
  <Lines>552</Lines>
  <Paragraphs>149</Paragraphs>
  <TotalTime>4</TotalTime>
  <ScaleCrop>false</ScaleCrop>
  <LinksUpToDate>false</LinksUpToDate>
  <CharactersWithSpaces>37841</CharactersWithSpaces>
  <Application>WPS Office_12.1.0.19770_F1E327BC-269C-435d-A152-05C5408002CA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2024-11-10T16:18:00Z</dcterms:created>
  <dc:creator>benson muthami</dc:creator>
  <cp:lastModifiedBy>mo</cp:lastModifiedBy>
  <dcterms:modified xsi:type="dcterms:W3CDTF">2025-01-10T17:47:32Z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36c0f984-f421-4694-956a-2edb2b3c5c43</vt:lpwstr>
  </property>
  <property fmtid="{D5CDD505-2E9C-101B-9397-08002B2CF9AE}" pid="3" name="KSOTemplateDocerSaveRecord">
    <vt:lpwstr>eyJoZGlkIjoiZTg5ZDA0NTFiZDkyMTU2MWMxYzc2NmNlODI4OTI1OTMiLCJ1c2VySWQiOiI2OTA2MTI4NTAifQ==</vt:lpwstr>
  </property>
  <property fmtid="{D5CDD505-2E9C-101B-9397-08002B2CF9AE}" pid="4" name="KSOProductBuildVer">
    <vt:lpwstr>2052-12.1.0.19770</vt:lpwstr>
  </property>
  <property fmtid="{D5CDD505-2E9C-101B-9397-08002B2CF9AE}" pid="5" name="ICV">
    <vt:lpwstr>75EB4A5F3A474AA2A8DF6989EC9529A1_12</vt:lpwstr>
  </property>
</Properties>
</file>