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2.png" ContentType="image/png"/>
  <Override PartName="/word/styles.xml" ContentType="application/vnd.openxmlformats-officedocument.wordprocessingml.styl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pPr>
      <w:r>
        <w:rPr/>
        <mc:AlternateContent>
          <mc:Choice Requires="wpg">
            <w:drawing>
              <wp:anchor behindDoc="1" distT="0" distB="0" distL="114300" distR="114300" simplePos="0" locked="0" layoutInCell="0" allowOverlap="1" relativeHeight="7">
                <wp:simplePos x="0" y="0"/>
                <wp:positionH relativeFrom="page">
                  <wp:align>center</wp:align>
                </wp:positionH>
                <wp:positionV relativeFrom="page">
                  <wp:posOffset>245745</wp:posOffset>
                </wp:positionV>
                <wp:extent cx="7315200" cy="1215390"/>
                <wp:effectExtent l="635" t="0" r="0" b="0"/>
                <wp:wrapNone/>
                <wp:docPr id="1" name="Group 157"/>
                <a:graphic xmlns:a="http://schemas.openxmlformats.org/drawingml/2006/main">
                  <a:graphicData uri="http://schemas.microsoft.com/office/word/2010/wordprocessingGroup">
                    <wpg:wgp>
                      <wpg:cNvGrpSpPr/>
                      <wpg:grpSpPr>
                        <a:xfrm>
                          <a:off x="0" y="0"/>
                          <a:ext cx="7315200" cy="1215360"/>
                          <a:chOff x="0" y="0"/>
                          <a:chExt cx="7315200" cy="1215360"/>
                        </a:xfrm>
                      </wpg:grpSpPr>
                      <wps:wsp>
                        <wps:cNvSpPr/>
                        <wps:spPr>
                          <a:xfrm>
                            <a:off x="0" y="0"/>
                            <a:ext cx="7315200" cy="1129680"/>
                          </a:xfrm>
                          <a:custGeom>
                            <a:avLst/>
                            <a:gdLst/>
                            <a:ahLst/>
                            <a:rect l="0" t="0" r="r" b="b"/>
                            <a:pathLst>
                              <a:path w="20320" h="3138">
                                <a:moveTo>
                                  <a:pt x="0" y="0"/>
                                </a:moveTo>
                                <a:lnTo>
                                  <a:pt x="20320" y="0"/>
                                </a:lnTo>
                                <a:lnTo>
                                  <a:pt x="20320" y="3138"/>
                                </a:lnTo>
                                <a:lnTo>
                                  <a:pt x="10058" y="2037"/>
                                </a:lnTo>
                                <a:lnTo>
                                  <a:pt x="0" y="3032"/>
                                </a:lnTo>
                                <a:lnTo>
                                  <a:pt x="0" y="0"/>
                                </a:lnTo>
                                <a:close/>
                              </a:path>
                            </a:pathLst>
                          </a:custGeom>
                          <a:solidFill>
                            <a:srgbClr val="156082"/>
                          </a:solidFill>
                          <a:ln w="0">
                            <a:noFill/>
                          </a:ln>
                        </wps:spPr>
                        <wps:bodyPr/>
                      </wps:wsp>
                      <wps:wsp>
                        <wps:cNvSpPr/>
                        <wps:nvSpPr>
                          <wps:cNvPr id="2" name="Rectangle 151"/>
                          <wps:cNvSpPr/>
                        </wps:nvSpPr>
                        <wps:spPr>
                          <a:xfrm>
                            <a:off x="0" y="0"/>
                            <a:ext cx="7315200" cy="1215360"/>
                          </a:xfrm>
                          <a:prstGeom prst="rect">
                            <a:avLst/>
                          </a:prstGeom>
                          <a:blipFill rotWithShape="0">
                            <a:blip r:embed="rId2"/>
                            <a:stretch>
                              <a:fillRect/>
                            </a:stretch>
                          </a:blipFill>
                          <a:ln w="0">
                            <a:noFill/>
                          </a:ln>
                        </wps:spPr>
                        <wps:bodyPr/>
                      </wps:wsp>
                    </wpg:wgp>
                  </a:graphicData>
                </a:graphic>
              </wp:anchor>
            </w:drawing>
          </mc:Choice>
          <mc:Fallback>
            <w:pict>
              <v:group id="shape_0" alt="Group 157" style="position:absolute;margin-left:9.65pt;margin-top:19.35pt;width:576.05pt;height:95.7pt" coordorigin="193,387" coordsize="11521,1914">
                <v:shape id="shape_0" ID="Rectangle 51" coordsize="20321,3139" path="m0,0l20320,0l20320,3138l10058,2037l0,3032l0,0e" fillcolor="#156082" stroked="f" o:allowincell="f" style="position:absolute;left:193;top:387;width:11519;height:1778;mso-wrap-style:none;v-text-anchor:middle;mso-position-horizontal:center;mso-position-horizontal-relative:page;mso-position-vertical-relative:page">
                  <v:fill o:detectmouseclick="t" type="solid" color2="#ea9f7d"/>
                  <v:stroke color="#3465a4" joinstyle="round" endcap="flat"/>
                  <w10:wrap type="none"/>
                </v:shape>
                <v:rect id="shape_0" ID="Rectangle 151" stroked="f" o:allowincell="f" style="position:absolute;left:193;top:387;width:11519;height:1913;mso-wrap-style:none;v-text-anchor:middle;mso-position-horizontal:center;mso-position-horizontal-relative:page;mso-position-vertical-relative:page">
                  <v:fill r:id="rId3" o:detectmouseclick="t" type="frame" color2="black"/>
                  <v:stroke color="#3465a4" joinstyle="round" endcap="flat"/>
                  <w10:wrap type="none"/>
                </v:rect>
              </v:group>
            </w:pict>
          </mc:Fallback>
        </mc:AlternateContent>
      </w:r>
      <w:r>
        <mc:AlternateContent>
          <mc:Choice Requires="wps">
            <w:drawing>
              <wp:anchor behindDoc="0" distT="0" distB="38100" distL="109855" distR="113665" simplePos="0" locked="0" layoutInCell="0" allowOverlap="1" relativeHeight="2">
                <wp:simplePos x="0" y="0"/>
                <wp:positionH relativeFrom="page">
                  <wp:align>center</wp:align>
                </wp:positionH>
                <wp:positionV relativeFrom="page">
                  <wp:posOffset>3207385</wp:posOffset>
                </wp:positionV>
                <wp:extent cx="7270115" cy="3915410"/>
                <wp:effectExtent l="0" t="0" r="0" b="0"/>
                <wp:wrapSquare wrapText="bothSides"/>
                <wp:docPr id="3" name="Frame1"/>
                <a:graphic xmlns:a="http://schemas.openxmlformats.org/drawingml/2006/main">
                  <a:graphicData uri="http://schemas.microsoft.com/office/word/2010/wordprocessingShape">
                    <wps:wsp>
                      <wps:cNvSpPr txBox="1"/>
                      <wps:spPr>
                        <a:xfrm>
                          <a:off x="0" y="0"/>
                          <a:ext cx="7270115" cy="3915410"/>
                        </a:xfrm>
                        <a:prstGeom prst="rect"/>
                        <a:solidFill>
                          <a:srgbClr val="FFFFFF">
                            <a:alpha val="0"/>
                          </a:srgbClr>
                        </a:solidFill>
                      </wps:spPr>
                      <wps:txbx>
                        <w:txbxContent>
                          <w:p>
                            <w:pPr>
                              <w:pStyle w:val="FrameContents"/>
                              <w:jc w:val="right"/>
                              <w:rPr>
                                <w:color w:themeColor="accent1" w:val="156082"/>
                                <w:sz w:val="56"/>
                                <w:szCs w:val="56"/>
                              </w:rPr>
                            </w:pPr>
                            <w:sdt>
                              <w:sdtPr>
                                <w:dataBinding w:prefixMappings="xmlns:ns0='http://purl.org/dc/elements/1.1/' xmlns:ns1='http://schemas.openxmlformats.org/package/2006/metadata/core-properties' " w:xpath="/ns1:coreProperties[1]/ns0:title[1]" w:storeItemID="{6C3C8BC8-F283-45AE-878A-BAB7291924A1}"/>
                                <w:alias w:val="Title"/>
                                <w:id w:val="630141079"/>
                                <w:text/>
                              </w:sdtPr>
                              <w:sdtContent>
                                <w:r>
                                  <w:rPr>
                                    <w:caps/>
                                    <w:color w:themeColor="accent1" w:val="156082"/>
                                    <w:sz w:val="56"/>
                                    <w:szCs w:val="56"/>
                                  </w:rPr>
                                </w:r>
                                <w:r>
                                  <w:rPr>
                                    <w:caps/>
                                    <w:color w:themeColor="accent1" w:val="156082"/>
                                    <w:sz w:val="56"/>
                                    <w:szCs w:val="56"/>
                                  </w:rPr>
                                  <w:t>White Rock Herritage Park Woodland Analysis</w:t>
                                </w:r>
                              </w:sdtContent>
                            </w:sdt>
                          </w:p>
                          <w:p>
                            <w:pPr>
                              <w:pStyle w:val="FrameContents"/>
                              <w:spacing w:before="0" w:after="160"/>
                              <w:jc w:val="right"/>
                              <w:rPr>
                                <w:smallCaps/>
                                <w:color w:themeColor="text1" w:themeTint="bf" w:val="404040"/>
                                <w:sz w:val="36"/>
                                <w:szCs w:val="36"/>
                              </w:rPr>
                            </w:pPr>
                            <w:sdt>
                              <w:sdtPr>
                                <w:dataBinding w:prefixMappings="xmlns:ns0='http://purl.org/dc/elements/1.1/' xmlns:ns1='http://schemas.openxmlformats.org/package/2006/metadata/core-properties' " w:xpath="/ns1:coreProperties[1]/ns0:subject[1]" w:storeItemID="{6C3C8BC8-F283-45AE-878A-BAB7291924A1}"/>
                                <w:alias w:val="Subtitle"/>
                                <w:id w:val="1759551507"/>
                                <w:text/>
                              </w:sdtPr>
                              <w:sdtContent>
                                <w:r>
                                  <w:rPr>
                                    <w:color w:themeColor="text1" w:themeTint="bf" w:val="404040"/>
                                    <w:sz w:val="36"/>
                                    <w:szCs w:val="36"/>
                                  </w:rPr>
                                </w:r>
                                <w:r>
                                  <w:rPr>
                                    <w:color w:themeColor="text1" w:themeTint="bf" w:val="404040"/>
                                    <w:sz w:val="36"/>
                                    <w:szCs w:val="36"/>
                                  </w:rPr>
                                  <w:t>Carbon Sequestration Report</w:t>
                                </w:r>
                              </w:sdtContent>
                            </w:sdt>
                          </w:p>
                        </w:txbxContent>
                      </wps:txbx>
                      <wps:bodyPr anchor="t" lIns="1600200" tIns="0" rIns="685800" bIns="0">
                        <a:noAutofit/>
                      </wps:bodyPr>
                    </wps:wsp>
                  </a:graphicData>
                </a:graphic>
              </wp:anchor>
            </w:drawing>
          </mc:Choice>
          <mc:Fallback>
            <w:pict>
              <v:rect stroked="f" strokeweight="0pt" style="position:absolute;rotation:-0;width:572.45pt;height:308.3pt;mso-wrap-distance-left:8.65pt;mso-wrap-distance-right:8.95pt;mso-wrap-distance-top:0pt;mso-wrap-distance-bottom:3pt;margin-top:252.55pt;mso-position-vertical-relative:page;margin-left:11.45pt;mso-position-horizontal:center;mso-position-horizontal-relative:page">
                <v:textbox inset="1.75in,0in,0.75in,0in">
                  <w:txbxContent>
                    <w:p>
                      <w:pPr>
                        <w:pStyle w:val="FrameContents"/>
                        <w:jc w:val="right"/>
                        <w:rPr>
                          <w:color w:themeColor="accent1" w:val="156082"/>
                          <w:sz w:val="56"/>
                          <w:szCs w:val="56"/>
                        </w:rPr>
                      </w:pPr>
                      <w:sdt>
                        <w:sdtPr>
                          <w:dataBinding w:prefixMappings="xmlns:ns0='http://purl.org/dc/elements/1.1/' xmlns:ns1='http://schemas.openxmlformats.org/package/2006/metadata/core-properties' " w:xpath="/ns1:coreProperties[1]/ns0:title[1]" w:storeItemID="{6C3C8BC8-F283-45AE-878A-BAB7291924A1}"/>
                          <w:alias w:val="Title"/>
                          <w:id w:val="630141079"/>
                          <w:text/>
                        </w:sdtPr>
                        <w:sdtContent>
                          <w:r>
                            <w:rPr>
                              <w:caps/>
                              <w:color w:themeColor="accent1" w:val="156082"/>
                              <w:sz w:val="56"/>
                              <w:szCs w:val="56"/>
                            </w:rPr>
                          </w:r>
                          <w:r>
                            <w:rPr>
                              <w:caps/>
                              <w:color w:themeColor="accent1" w:val="156082"/>
                              <w:sz w:val="56"/>
                              <w:szCs w:val="56"/>
                            </w:rPr>
                            <w:t>White Rock Herritage Park Woodland Analysis</w:t>
                          </w:r>
                        </w:sdtContent>
                      </w:sdt>
                    </w:p>
                    <w:p>
                      <w:pPr>
                        <w:pStyle w:val="FrameContents"/>
                        <w:spacing w:before="0" w:after="160"/>
                        <w:jc w:val="right"/>
                        <w:rPr>
                          <w:smallCaps/>
                          <w:color w:themeColor="text1" w:themeTint="bf" w:val="404040"/>
                          <w:sz w:val="36"/>
                          <w:szCs w:val="36"/>
                        </w:rPr>
                      </w:pPr>
                      <w:sdt>
                        <w:sdtPr>
                          <w:dataBinding w:prefixMappings="xmlns:ns0='http://purl.org/dc/elements/1.1/' xmlns:ns1='http://schemas.openxmlformats.org/package/2006/metadata/core-properties' " w:xpath="/ns1:coreProperties[1]/ns0:subject[1]" w:storeItemID="{6C3C8BC8-F283-45AE-878A-BAB7291924A1}"/>
                          <w:alias w:val="Subtitle"/>
                          <w:id w:val="1759551507"/>
                          <w:text/>
                        </w:sdtPr>
                        <w:sdtContent>
                          <w:r>
                            <w:rPr>
                              <w:color w:themeColor="text1" w:themeTint="bf" w:val="404040"/>
                              <w:sz w:val="36"/>
                              <w:szCs w:val="36"/>
                            </w:rPr>
                          </w:r>
                          <w:r>
                            <w:rPr>
                              <w:color w:themeColor="text1" w:themeTint="bf" w:val="404040"/>
                              <w:sz w:val="36"/>
                              <w:szCs w:val="36"/>
                            </w:rPr>
                            <w:t>Carbon Sequestration Report</w:t>
                          </w:r>
                        </w:sdtContent>
                      </w:sdt>
                    </w:p>
                  </w:txbxContent>
                </v:textbox>
                <w10:wrap type="square"/>
              </v:rect>
            </w:pict>
          </mc:Fallback>
        </mc:AlternateContent>
      </w:r>
      <w:r>
        <mc:AlternateContent>
          <mc:Choice Requires="wps">
            <w:drawing>
              <wp:anchor behindDoc="0" distT="0" distB="49530" distL="109855" distR="113665" simplePos="0" locked="0" layoutInCell="0" allowOverlap="1" relativeHeight="3">
                <wp:simplePos x="0" y="0"/>
                <wp:positionH relativeFrom="page">
                  <wp:align>center</wp:align>
                </wp:positionH>
                <wp:positionV relativeFrom="page">
                  <wp:posOffset>8745855</wp:posOffset>
                </wp:positionV>
                <wp:extent cx="7270115" cy="977900"/>
                <wp:effectExtent l="0" t="0" r="0" b="0"/>
                <wp:wrapSquare wrapText="bothSides"/>
                <wp:docPr id="4" name="Frame2"/>
                <a:graphic xmlns:a="http://schemas.openxmlformats.org/drawingml/2006/main">
                  <a:graphicData uri="http://schemas.microsoft.com/office/word/2010/wordprocessingShape">
                    <wps:wsp>
                      <wps:cNvSpPr txBox="1"/>
                      <wps:spPr>
                        <a:xfrm>
                          <a:off x="0" y="0"/>
                          <a:ext cx="7270115" cy="977900"/>
                        </a:xfrm>
                        <a:prstGeom prst="rect"/>
                        <a:solidFill>
                          <a:srgbClr val="FFFFFF">
                            <a:alpha val="0"/>
                          </a:srgbClr>
                        </a:solidFill>
                      </wps:spPr>
                      <wps:txbx>
                        <w:txbxContent>
                          <w:p>
                            <w:pPr>
                              <w:pStyle w:val="NoSpacing"/>
                              <w:jc w:val="right"/>
                              <w:rPr>
                                <w:color w:themeColor="text1" w:themeTint="a6" w:val="595959"/>
                                <w:sz w:val="28"/>
                                <w:szCs w:val="28"/>
                              </w:rPr>
                            </w:pPr>
                            <w:sdt>
                              <w:sdtPr>
                                <w:dataBinding w:prefixMappings="xmlns:ns0='http://purl.org/dc/elements/1.1/' xmlns:ns1='http://schemas.openxmlformats.org/package/2006/metadata/core-properties' " w:xpath="/ns1:coreProperties[1]/ns0:creator[1]" w:storeItemID="{6C3C8BC8-F283-45AE-878A-BAB7291924A1}"/>
                                <w:alias w:val="Author"/>
                                <w:id w:val="789243997"/>
                                <w:text/>
                              </w:sdtPr>
                              <w:sdtContent>
                                <w:r>
                                  <w:rPr>
                                    <w:color w:val="000000"/>
                                  </w:rPr>
                                </w:r>
                                <w:r>
                                  <w:rPr>
                                    <w:color w:val="000000"/>
                                  </w:rPr>
                                  <w:t>Sam Godden 2420076</w:t>
                                </w:r>
                              </w:sdtContent>
                            </w:sdt>
                          </w:p>
                          <w:p>
                            <w:pPr>
                              <w:pStyle w:val="NoSpacing"/>
                              <w:jc w:val="right"/>
                              <w:rPr>
                                <w:color w:themeColor="text1" w:themeTint="a6" w:val="595959"/>
                                <w:sz w:val="18"/>
                                <w:szCs w:val="18"/>
                              </w:rPr>
                            </w:pPr>
                            <w:sdt>
                              <w:sdtPr>
                                <w:dataBinding w:prefixMappings="xmlns:ns0='http://schemas.microsoft.com/office/2006/coverPageProps' " w:xpath="/ns0:CoverPageProperties[1]/ns0:CompanyEmail[1]" w:storeItemID="{55AF091B-3C7A-41E3-B477-F2FDAA23CFDA}"/>
                                <w:alias w:val="Email"/>
                                <w:tag w:val="Email"/>
                                <w:id w:val="942260680"/>
                                <w:text/>
                              </w:sdtPr>
                              <w:sdtContent>
                                <w:r>
                                  <w:rPr/>
                                </w:r>
                                <w:r>
                                  <w:rPr/>
                                  <w:t>Word Count: 1692</w:t>
                                  <w:br/>
                                  <w:t>Date: 11.03.25</w:t>
                                </w:r>
                              </w:sdtContent>
                            </w:sdt>
                          </w:p>
                        </w:txbxContent>
                      </wps:txbx>
                      <wps:bodyPr anchor="t" lIns="1600200" tIns="0" rIns="685800" bIns="0">
                        <a:noAutofit/>
                      </wps:bodyPr>
                    </wps:wsp>
                  </a:graphicData>
                </a:graphic>
              </wp:anchor>
            </w:drawing>
          </mc:Choice>
          <mc:Fallback>
            <w:pict>
              <v:rect stroked="f" strokeweight="0pt" style="position:absolute;rotation:-0;width:572.45pt;height:77pt;mso-wrap-distance-left:8.65pt;mso-wrap-distance-right:8.95pt;mso-wrap-distance-top:0pt;mso-wrap-distance-bottom:3.9pt;margin-top:688.65pt;mso-position-vertical-relative:page;margin-left:11.45pt;mso-position-horizontal:center;mso-position-horizontal-relative:page">
                <v:textbox inset="1.75in,0in,0.75in,0in">
                  <w:txbxContent>
                    <w:p>
                      <w:pPr>
                        <w:pStyle w:val="NoSpacing"/>
                        <w:jc w:val="right"/>
                        <w:rPr>
                          <w:color w:themeColor="text1" w:themeTint="a6" w:val="595959"/>
                          <w:sz w:val="28"/>
                          <w:szCs w:val="28"/>
                        </w:rPr>
                      </w:pPr>
                      <w:sdt>
                        <w:sdtPr>
                          <w:dataBinding w:prefixMappings="xmlns:ns0='http://purl.org/dc/elements/1.1/' xmlns:ns1='http://schemas.openxmlformats.org/package/2006/metadata/core-properties' " w:xpath="/ns1:coreProperties[1]/ns0:creator[1]" w:storeItemID="{6C3C8BC8-F283-45AE-878A-BAB7291924A1}"/>
                          <w:alias w:val="Author"/>
                          <w:id w:val="789243997"/>
                          <w:text/>
                        </w:sdtPr>
                        <w:sdtContent>
                          <w:r>
                            <w:rPr>
                              <w:color w:val="000000"/>
                            </w:rPr>
                          </w:r>
                          <w:r>
                            <w:rPr>
                              <w:color w:val="000000"/>
                            </w:rPr>
                            <w:t>Sam Godden 2420076</w:t>
                          </w:r>
                        </w:sdtContent>
                      </w:sdt>
                    </w:p>
                    <w:p>
                      <w:pPr>
                        <w:pStyle w:val="NoSpacing"/>
                        <w:jc w:val="right"/>
                        <w:rPr>
                          <w:color w:themeColor="text1" w:themeTint="a6" w:val="595959"/>
                          <w:sz w:val="18"/>
                          <w:szCs w:val="18"/>
                        </w:rPr>
                      </w:pPr>
                      <w:sdt>
                        <w:sdtPr>
                          <w:dataBinding w:prefixMappings="xmlns:ns0='http://schemas.microsoft.com/office/2006/coverPageProps' " w:xpath="/ns0:CoverPageProperties[1]/ns0:CompanyEmail[1]" w:storeItemID="{55AF091B-3C7A-41E3-B477-F2FDAA23CFDA}"/>
                          <w:alias w:val="Email"/>
                          <w:tag w:val="Email"/>
                          <w:id w:val="942260680"/>
                          <w:text/>
                        </w:sdtPr>
                        <w:sdtContent>
                          <w:r>
                            <w:rPr/>
                          </w:r>
                          <w:r>
                            <w:rPr/>
                            <w:t>Word Count: 1692</w:t>
                            <w:br/>
                            <w:t>Date: 11.03.25</w:t>
                          </w:r>
                        </w:sdtContent>
                      </w:sdt>
                    </w:p>
                  </w:txbxContent>
                </v:textbox>
                <w10:wrap type="square"/>
              </v:rect>
            </w:pict>
          </mc:Fallback>
        </mc:AlternateContent>
      </w:r>
      <w:r>
        <mc:AlternateContent>
          <mc:Choice Requires="wps">
            <w:drawing>
              <wp:anchor behindDoc="0" distT="0" distB="0" distL="109855" distR="113665" simplePos="0" locked="0" layoutInCell="0" allowOverlap="1" relativeHeight="4">
                <wp:simplePos x="0" y="0"/>
                <wp:positionH relativeFrom="page">
                  <wp:align>center</wp:align>
                </wp:positionH>
                <wp:positionV relativeFrom="page">
                  <wp:posOffset>7484110</wp:posOffset>
                </wp:positionV>
                <wp:extent cx="7277735" cy="160655"/>
                <wp:effectExtent l="0" t="0" r="0" b="0"/>
                <wp:wrapSquare wrapText="bothSides"/>
                <wp:docPr id="5" name="Frame3"/>
                <a:graphic xmlns:a="http://schemas.openxmlformats.org/drawingml/2006/main">
                  <a:graphicData uri="http://schemas.microsoft.com/office/word/2010/wordprocessingShape">
                    <wps:wsp>
                      <wps:cNvSpPr txBox="1"/>
                      <wps:spPr>
                        <a:xfrm>
                          <a:off x="0" y="0"/>
                          <a:ext cx="7277735" cy="160655"/>
                        </a:xfrm>
                        <a:prstGeom prst="rect"/>
                        <a:solidFill>
                          <a:srgbClr val="FFFFFF">
                            <a:alpha val="0"/>
                          </a:srgbClr>
                        </a:solidFill>
                      </wps:spPr>
                      <wps:txbx>
                        <w:txbxContent>
                          <w:p>
                            <w:pPr>
                              <w:pStyle w:val="NoSpacing"/>
                              <w:jc w:val="right"/>
                              <w:rPr>
                                <w:color w:themeColor="accent1" w:val="156082"/>
                                <w:sz w:val="28"/>
                                <w:szCs w:val="28"/>
                                <w:lang w:val="en-GB"/>
                              </w:rPr>
                            </w:pPr>
                            <w:r>
                              <w:rPr/>
                            </w:r>
                          </w:p>
                        </w:txbxContent>
                      </wps:txbx>
                      <wps:bodyPr anchor="t" lIns="1600200" tIns="0" rIns="685800" bIns="0">
                        <a:noAutofit/>
                      </wps:bodyPr>
                    </wps:wsp>
                  </a:graphicData>
                </a:graphic>
              </wp:anchor>
            </w:drawing>
          </mc:Choice>
          <mc:Fallback>
            <w:pict>
              <v:rect stroked="f" strokeweight="0pt" style="position:absolute;rotation:-0;width:573.05pt;height:12.65pt;mso-wrap-distance-left:8.65pt;mso-wrap-distance-right:8.95pt;mso-wrap-distance-top:0pt;mso-wrap-distance-bottom:0pt;margin-top:589.3pt;mso-position-vertical-relative:page;margin-left:11.15pt;mso-position-horizontal:center;mso-position-horizontal-relative:page">
                <v:textbox inset="1.75in,0in,0.75in,0in">
                  <w:txbxContent>
                    <w:p>
                      <w:pPr>
                        <w:pStyle w:val="NoSpacing"/>
                        <w:jc w:val="right"/>
                        <w:rPr>
                          <w:color w:themeColor="accent1" w:val="156082"/>
                          <w:sz w:val="28"/>
                          <w:szCs w:val="28"/>
                          <w:lang w:val="en-GB"/>
                        </w:rPr>
                      </w:pPr>
                      <w:r>
                        <w:rPr/>
                      </w:r>
                    </w:p>
                  </w:txbxContent>
                </v:textbox>
                <w10:wrap type="square"/>
              </v:rect>
            </w:pict>
          </mc:Fallback>
        </mc:AlternateContent>
      </w:r>
    </w:p>
    <w:p>
      <w:pPr>
        <w:pStyle w:val="Normal"/>
        <w:rPr/>
      </w:pPr>
      <w:r>
        <w:rPr/>
      </w:r>
      <w:r>
        <w:br w:type="page"/>
      </w:r>
    </w:p>
    <w:p>
      <w:pPr>
        <w:pStyle w:val="Normal"/>
        <w:spacing w:before="0" w:after="160"/>
        <w:rPr>
          <w:b/>
          <w:bCs/>
          <w:sz w:val="32"/>
          <w:szCs w:val="32"/>
        </w:rPr>
      </w:pPr>
      <w:r>
        <w:rPr>
          <w:b/>
          <w:bCs/>
          <w:sz w:val="32"/>
          <w:szCs w:val="32"/>
        </w:rPr>
        <w:t>1.1 Introduction</w:t>
      </w:r>
    </w:p>
    <w:p>
      <w:pPr>
        <w:pStyle w:val="Normal"/>
        <w:rPr>
          <w:sz w:val="28"/>
          <w:szCs w:val="28"/>
        </w:rPr>
      </w:pPr>
      <w:r>
        <w:rPr>
          <w:sz w:val="28"/>
          <w:szCs w:val="28"/>
        </w:rPr>
        <w:t xml:space="preserve">1.1.1 Site Description: </w:t>
      </w:r>
    </w:p>
    <w:p>
      <w:pPr>
        <w:pStyle w:val="Normal"/>
        <w:rPr>
          <w:sz w:val="28"/>
          <w:szCs w:val="28"/>
        </w:rPr>
      </w:pPr>
      <w:r>
        <w:rPr>
          <w:sz w:val="28"/>
          <w:szCs w:val="28"/>
        </w:rPr>
        <w:t xml:space="preserve">The area studied is a section (roughly an acre) of riparian woodland situated on the east bank of the river Tawe (figure 1). Previously the site of the Hafod Copper works, the site is now an urban green space (reclaimed land). </w:t>
      </w:r>
    </w:p>
    <w:p>
      <w:pPr>
        <w:pStyle w:val="Normal"/>
        <w:rPr/>
      </w:pPr>
      <w:r>
        <w:rPr/>
      </w:r>
      <w:r>
        <mc:AlternateContent>
          <mc:Choice Requires="wps">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5731510" cy="4977765"/>
                <wp:effectExtent l="0" t="0" r="0" b="0"/>
                <wp:wrapSquare wrapText="bothSides"/>
                <wp:docPr id="6" name="Frame4"/>
                <a:graphic xmlns:a="http://schemas.openxmlformats.org/drawingml/2006/main">
                  <a:graphicData uri="http://schemas.microsoft.com/office/word/2010/wordprocessingShape">
                    <wps:wsp>
                      <wps:cNvSpPr txBox="1"/>
                      <wps:spPr>
                        <a:xfrm>
                          <a:off x="0" y="0"/>
                          <a:ext cx="5731510" cy="4977765"/>
                        </a:xfrm>
                        <a:prstGeom prst="rect"/>
                        <a:solidFill>
                          <a:srgbClr val="FFFFFF"/>
                        </a:solidFill>
                      </wps:spPr>
                      <wps:txbx>
                        <w:txbxContent>
                          <w:p>
                            <w:pPr>
                              <w:pStyle w:val="Figure"/>
                              <w:spacing w:before="120" w:after="120"/>
                              <w:rPr/>
                            </w:pPr>
                            <w:r>
                              <w:rPr/>
                              <w:drawing>
                                <wp:inline distT="0" distB="0" distL="0" distR="0">
                                  <wp:extent cx="5731510" cy="4636135"/>
                                  <wp:effectExtent l="0" t="0" r="0" b="0"/>
                                  <wp:docPr id="7"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descr=""/>
                                          <pic:cNvPicPr>
                                            <a:picLocks noChangeAspect="1" noChangeArrowheads="1"/>
                                          </pic:cNvPicPr>
                                        </pic:nvPicPr>
                                        <pic:blipFill>
                                          <a:blip r:embed="rId4"/>
                                          <a:stretch>
                                            <a:fillRect/>
                                          </a:stretch>
                                        </pic:blipFill>
                                        <pic:spPr bwMode="auto">
                                          <a:xfrm>
                                            <a:off x="0" y="0"/>
                                            <a:ext cx="5731510" cy="4636135"/>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1</w:t>
                            </w:r>
                            <w:r>
                              <w:rPr>
                                <w:color w:val="000000"/>
                              </w:rPr>
                              <w:fldChar w:fldCharType="end"/>
                            </w:r>
                            <w:r>
                              <w:rPr>
                                <w:color w:val="000000"/>
                              </w:rPr>
                              <w:t>: Site Location (Bing Maps, 2023).</w:t>
                            </w:r>
                          </w:p>
                        </w:txbxContent>
                      </wps:txbx>
                      <wps:bodyPr anchor="t" lIns="0" tIns="0" rIns="0" bIns="0">
                        <a:noAutofit/>
                      </wps:bodyPr>
                    </wps:wsp>
                  </a:graphicData>
                </a:graphic>
              </wp:anchor>
            </w:drawing>
          </mc:Choice>
          <mc:Fallback>
            <w:pict>
              <v:rect fillcolor="#FFFFFF" stroked="f" strokeweight="0pt" style="position:absolute;rotation:-0;width:451.3pt;height:391.95pt;mso-wrap-distance-left:0pt;mso-wrap-distance-right:0pt;mso-wrap-distance-top:0pt;mso-wrap-distance-bottom:0pt;margin-top:0.05pt;mso-position-vertical-relative:text;margin-left:0pt;mso-position-horizontal:center;mso-position-horizontal-relative:text">
                <v:textbox inset="0in,0in,0in,0in">
                  <w:txbxContent>
                    <w:p>
                      <w:pPr>
                        <w:pStyle w:val="Figure"/>
                        <w:spacing w:before="120" w:after="120"/>
                        <w:rPr/>
                      </w:pPr>
                      <w:r>
                        <w:rPr/>
                        <w:drawing>
                          <wp:inline distT="0" distB="0" distL="0" distR="0">
                            <wp:extent cx="5731510" cy="4636135"/>
                            <wp:effectExtent l="0" t="0" r="0" b="0"/>
                            <wp:docPr id="8"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 descr=""/>
                                    <pic:cNvPicPr>
                                      <a:picLocks noChangeAspect="1" noChangeArrowheads="1"/>
                                    </pic:cNvPicPr>
                                  </pic:nvPicPr>
                                  <pic:blipFill>
                                    <a:blip r:embed="rId5"/>
                                    <a:stretch>
                                      <a:fillRect/>
                                    </a:stretch>
                                  </pic:blipFill>
                                  <pic:spPr bwMode="auto">
                                    <a:xfrm>
                                      <a:off x="0" y="0"/>
                                      <a:ext cx="5731510" cy="4636135"/>
                                    </a:xfrm>
                                    <a:prstGeom prst="rect">
                                      <a:avLst/>
                                    </a:prstGeom>
                                  </pic:spPr>
                                </pic:pic>
                              </a:graphicData>
                            </a:graphic>
                          </wp:inline>
                        </w:drawing>
                      </w:r>
                      <w:r>
                        <w:rPr>
                          <w:color w:val="000000"/>
                        </w:rPr>
                        <w:t xml:space="preserve">Figure </w:t>
                      </w:r>
                      <w:r>
                        <w:rPr>
                          <w:color w:val="000000"/>
                        </w:rPr>
                        <w:fldChar w:fldCharType="begin"/>
                      </w:r>
                      <w:r>
                        <w:rPr>
                          <w:color w:val="000000"/>
                        </w:rPr>
                        <w:instrText xml:space="preserve"> SEQ Figure \* ARABIC </w:instrText>
                      </w:r>
                      <w:r>
                        <w:rPr>
                          <w:color w:val="000000"/>
                        </w:rPr>
                        <w:fldChar w:fldCharType="separate"/>
                      </w:r>
                      <w:r>
                        <w:rPr>
                          <w:color w:val="000000"/>
                        </w:rPr>
                        <w:t>1</w:t>
                      </w:r>
                      <w:r>
                        <w:rPr>
                          <w:color w:val="000000"/>
                        </w:rPr>
                        <w:fldChar w:fldCharType="end"/>
                      </w:r>
                      <w:r>
                        <w:rPr>
                          <w:color w:val="000000"/>
                        </w:rPr>
                        <w:t>: Site Location (Bing Maps, 2023).</w:t>
                      </w:r>
                    </w:p>
                  </w:txbxContent>
                </v:textbox>
                <w10:wrap type="square"/>
              </v:rect>
            </w:pict>
          </mc:Fallback>
        </mc:AlternateContent>
      </w:r>
    </w:p>
    <w:p>
      <w:pPr>
        <w:pStyle w:val="Normal"/>
        <w:rPr>
          <w:sz w:val="28"/>
          <w:szCs w:val="28"/>
        </w:rPr>
      </w:pPr>
      <w:r>
        <w:rPr>
          <w:sz w:val="28"/>
          <w:szCs w:val="28"/>
        </w:rPr>
        <w:t xml:space="preserve">Characteristics of the site include damp conditions through most of the year due to drain off from Kilvey Hill. Proximity to urban spaces also shape the site, this can be observed in features such as litter and general anthropogenic disturbance linked with the high prevalence of footfall. </w:t>
      </w:r>
    </w:p>
    <w:p>
      <w:pPr>
        <w:pStyle w:val="Normal"/>
        <w:rPr>
          <w:sz w:val="28"/>
          <w:szCs w:val="28"/>
        </w:rPr>
      </w:pPr>
      <w:r>
        <w:rPr>
          <w:sz w:val="28"/>
          <w:szCs w:val="28"/>
        </w:rPr>
      </w:r>
    </w:p>
    <w:p>
      <w:pPr>
        <w:pStyle w:val="Normal"/>
        <w:rPr>
          <w:sz w:val="28"/>
          <w:szCs w:val="28"/>
        </w:rPr>
      </w:pPr>
      <w:r>
        <w:rPr>
          <w:sz w:val="28"/>
          <w:szCs w:val="28"/>
        </w:rPr>
        <w:t>1.1.2 Ecosystem Services:</w:t>
      </w:r>
    </w:p>
    <w:p>
      <w:pPr>
        <w:pStyle w:val="Normal"/>
        <w:rPr>
          <w:sz w:val="28"/>
          <w:szCs w:val="28"/>
        </w:rPr>
      </w:pPr>
      <w:r>
        <w:rPr>
          <w:sz w:val="28"/>
          <w:szCs w:val="28"/>
        </w:rPr>
        <w:t>The encyclopaedia Britannica define ecosystem services as:</w:t>
      </w:r>
    </w:p>
    <w:p>
      <w:pPr>
        <w:pStyle w:val="Normal"/>
        <w:rPr>
          <w:sz w:val="28"/>
          <w:szCs w:val="28"/>
        </w:rPr>
      </w:pPr>
      <w:r>
        <w:rPr>
          <w:sz w:val="28"/>
          <w:szCs w:val="28"/>
        </w:rPr>
        <w:t>“</w:t>
      </w:r>
      <w:r>
        <w:rPr>
          <w:sz w:val="28"/>
          <w:szCs w:val="28"/>
        </w:rPr>
        <w:t xml:space="preserve">outputs, conditions, or processes of natural systems that directly or indirectly benefit humans or enhance social welfare” (Johnston, 2019). </w:t>
      </w:r>
    </w:p>
    <w:p>
      <w:pPr>
        <w:pStyle w:val="Normal"/>
        <w:rPr>
          <w:sz w:val="28"/>
          <w:szCs w:val="28"/>
        </w:rPr>
      </w:pPr>
      <w:r>
        <w:rPr>
          <w:sz w:val="28"/>
          <w:szCs w:val="28"/>
        </w:rPr>
        <w:t xml:space="preserve">Whilst ecosystem services manifest in many different forms, estimating carbon sequestration of an area is a common method of analysis used to ascertain tangible benefits for human health. </w:t>
      </w:r>
      <w:r>
        <w:rPr>
          <w:sz w:val="28"/>
          <w:szCs w:val="28"/>
        </w:rPr>
        <w:t>It is also o</w:t>
      </w:r>
      <w:r>
        <w:rPr>
          <w:sz w:val="28"/>
          <w:szCs w:val="28"/>
        </w:rPr>
        <w:t xml:space="preserve">ne of the main </w:t>
      </w:r>
      <w:r>
        <w:rPr>
          <w:sz w:val="28"/>
          <w:szCs w:val="28"/>
        </w:rPr>
        <w:t>data sources in the procurement</w:t>
      </w:r>
      <w:r>
        <w:rPr>
          <w:sz w:val="28"/>
          <w:szCs w:val="28"/>
        </w:rPr>
        <w:t xml:space="preserve"> of carbon credits, </w:t>
      </w:r>
      <w:r>
        <w:rPr>
          <w:sz w:val="28"/>
          <w:szCs w:val="28"/>
        </w:rPr>
        <w:t>a key justification of this method and a useful tool for quantifying ecosystem services</w:t>
      </w:r>
      <w:r>
        <w:rPr>
          <w:sz w:val="28"/>
          <w:szCs w:val="28"/>
        </w:rPr>
        <w:t xml:space="preserve"> (Freedman, Stinson and Lacoul, 2009; Yin et al, 2023). </w:t>
      </w:r>
    </w:p>
    <w:p>
      <w:pPr>
        <w:pStyle w:val="Normal"/>
        <w:rPr>
          <w:sz w:val="28"/>
          <w:szCs w:val="28"/>
        </w:rPr>
      </w:pPr>
      <w:r>
        <w:rPr>
          <w:sz w:val="28"/>
          <w:szCs w:val="28"/>
        </w:rPr>
      </w:r>
    </w:p>
    <w:p>
      <w:pPr>
        <w:pStyle w:val="Normal"/>
        <w:rPr>
          <w:sz w:val="28"/>
          <w:szCs w:val="28"/>
        </w:rPr>
      </w:pPr>
      <w:r>
        <w:rPr>
          <w:sz w:val="28"/>
          <w:szCs w:val="28"/>
        </w:rPr>
        <w:t>1.1.3 – Aim of Study:</w:t>
      </w:r>
    </w:p>
    <w:p>
      <w:pPr>
        <w:pStyle w:val="Normal"/>
        <w:rPr>
          <w:sz w:val="28"/>
          <w:szCs w:val="28"/>
        </w:rPr>
      </w:pPr>
      <w:r>
        <w:rPr>
          <w:sz w:val="28"/>
          <w:szCs w:val="28"/>
        </w:rPr>
        <w:t xml:space="preserve">Various factors have been linked with the issue of worldwide declining ecosystem services – amongst the most significant contributors is growing urban sprawl (Mekonnen, 2018). Urban green spaces therefore are of increasing importance as the human population rises. Analysing the contemporary challenges they face, as well as some of their unique features is key to understanding their role in the Anthropocene and maximising the efficiency of the ecosystem services they provide (particularly as </w:t>
      </w:r>
      <w:r>
        <w:rPr>
          <w:sz w:val="28"/>
          <w:szCs w:val="28"/>
        </w:rPr>
        <w:t xml:space="preserve">green </w:t>
      </w:r>
      <w:r>
        <w:rPr>
          <w:sz w:val="28"/>
          <w:szCs w:val="28"/>
        </w:rPr>
        <w:t>space</w:t>
      </w:r>
      <w:r>
        <w:rPr>
          <w:sz w:val="28"/>
          <w:szCs w:val="28"/>
        </w:rPr>
        <w:t>s</w:t>
      </w:r>
      <w:r>
        <w:rPr>
          <w:sz w:val="28"/>
          <w:szCs w:val="28"/>
        </w:rPr>
        <w:t xml:space="preserve"> within urban </w:t>
      </w:r>
      <w:r>
        <w:rPr>
          <w:sz w:val="28"/>
          <w:szCs w:val="28"/>
        </w:rPr>
        <w:t>environments</w:t>
      </w:r>
      <w:r>
        <w:rPr>
          <w:sz w:val="28"/>
          <w:szCs w:val="28"/>
        </w:rPr>
        <w:t xml:space="preserve"> </w:t>
      </w:r>
      <w:r>
        <w:rPr>
          <w:sz w:val="28"/>
          <w:szCs w:val="28"/>
        </w:rPr>
        <w:t>are often difficult to obtain</w:t>
      </w:r>
      <w:r>
        <w:rPr>
          <w:sz w:val="28"/>
          <w:szCs w:val="28"/>
        </w:rPr>
        <w:t>).</w:t>
      </w:r>
    </w:p>
    <w:p>
      <w:pPr>
        <w:pStyle w:val="Normal"/>
        <w:rPr>
          <w:sz w:val="28"/>
          <w:szCs w:val="28"/>
        </w:rPr>
      </w:pPr>
      <w:r>
        <w:rPr>
          <w:sz w:val="28"/>
          <w:szCs w:val="28"/>
        </w:rPr>
        <w:t>Multiple studies have been carried out with mixed results over the impacts of reclaimed land on biodiversity and carbon sequestration capacity (Hunter, 2014). Another key aim of this study is to assess the carbon capacity of the environment, given it is a brownfield site, and identify the features which dictate this.</w:t>
      </w:r>
    </w:p>
    <w:p>
      <w:pPr>
        <w:pStyle w:val="Normal"/>
        <w:rPr>
          <w:sz w:val="28"/>
          <w:szCs w:val="28"/>
        </w:rPr>
      </w:pPr>
      <w:r>
        <w:rPr>
          <w:sz w:val="28"/>
          <w:szCs w:val="28"/>
        </w:rPr>
      </w:r>
    </w:p>
    <w:p>
      <w:pPr>
        <w:pStyle w:val="Normal"/>
        <w:rPr>
          <w:b/>
          <w:bCs/>
          <w:sz w:val="32"/>
          <w:szCs w:val="32"/>
        </w:rPr>
      </w:pPr>
      <w:r>
        <w:rPr>
          <w:b/>
          <w:bCs/>
          <w:sz w:val="32"/>
          <w:szCs w:val="32"/>
        </w:rPr>
        <w:t>1.2 Methodology and Results</w:t>
      </w:r>
    </w:p>
    <w:p>
      <w:pPr>
        <w:pStyle w:val="Normal"/>
        <w:rPr/>
      </w:pPr>
      <w:r>
        <w:rPr>
          <w:sz w:val="28"/>
          <w:szCs w:val="28"/>
        </w:rPr>
        <w:t xml:space="preserve">By extrapolating a range of sample data, a rough estimate can be made of the overall carbon sequestration of this woodland. This may provide useful insight into the ecology of the area as well a basis for comparison with other sites. </w:t>
      </w:r>
    </w:p>
    <w:p>
      <w:pPr>
        <w:pStyle w:val="Normal"/>
        <w:rPr>
          <w:sz w:val="28"/>
          <w:szCs w:val="28"/>
        </w:rPr>
      </w:pPr>
      <w:r>
        <w:rPr>
          <w:sz w:val="28"/>
          <w:szCs w:val="28"/>
        </w:rPr>
      </w:r>
    </w:p>
    <w:p>
      <w:pPr>
        <w:pStyle w:val="Normal"/>
        <w:rPr>
          <w:sz w:val="28"/>
          <w:szCs w:val="28"/>
        </w:rPr>
      </w:pPr>
      <w:r>
        <w:rPr>
          <w:sz w:val="28"/>
          <w:szCs w:val="28"/>
        </w:rPr>
        <w:t>Estimated tree density using the point-centred quarter method – measured distance to nearest tree in each quadrant (using x, y coordinates). Calculated the mean distance – 1 / mean difference</w:t>
      </w:r>
      <w:r>
        <w:rPr>
          <w:sz w:val="28"/>
          <w:szCs w:val="28"/>
          <w:vertAlign w:val="superscript"/>
        </w:rPr>
        <w:t>2</w:t>
      </w:r>
      <w:r>
        <w:rPr>
          <w:sz w:val="24"/>
          <w:szCs w:val="24"/>
          <w:vertAlign w:val="superscript"/>
        </w:rPr>
        <w:t xml:space="preserve"> </w:t>
      </w:r>
      <w:r>
        <w:rPr>
          <w:sz w:val="28"/>
          <w:szCs w:val="28"/>
        </w:rPr>
        <w:t>(Field Studies Council, n.d.).</w:t>
      </w:r>
    </w:p>
    <w:p>
      <w:pPr>
        <w:pStyle w:val="Normal"/>
        <w:rPr>
          <w:sz w:val="28"/>
          <w:szCs w:val="32"/>
        </w:rPr>
      </w:pPr>
      <w:r>
        <w:rPr>
          <w:sz w:val="28"/>
          <w:szCs w:val="28"/>
        </w:rPr>
        <w:t>Sample Area Tree Density (per m</w:t>
      </w:r>
      <w:r>
        <w:rPr>
          <w:sz w:val="28"/>
          <w:szCs w:val="28"/>
          <w:vertAlign w:val="superscript"/>
        </w:rPr>
        <w:t>2</w:t>
      </w:r>
      <w:r>
        <w:rPr>
          <w:sz w:val="28"/>
          <w:szCs w:val="28"/>
        </w:rPr>
        <w:t>): 3.55</w:t>
      </w:r>
    </w:p>
    <w:p>
      <w:pPr>
        <w:pStyle w:val="Normal"/>
        <w:rPr>
          <w:sz w:val="28"/>
          <w:szCs w:val="28"/>
        </w:rPr>
      </w:pPr>
      <w:r>
        <w:rPr>
          <w:sz w:val="28"/>
          <w:szCs w:val="28"/>
        </w:rPr>
      </w:r>
    </w:p>
    <w:p>
      <w:pPr>
        <w:pStyle w:val="Normal"/>
        <w:rPr>
          <w:sz w:val="28"/>
          <w:szCs w:val="28"/>
        </w:rPr>
      </w:pPr>
      <w:r>
        <w:rPr>
          <w:sz w:val="28"/>
          <w:szCs w:val="28"/>
        </w:rPr>
        <w:t xml:space="preserve">Using a clinometer and tape measure, gathered data on a random sample of trees. This included circumference at breast height, angle to the top of the tree and distance from the tree (at ground level). From this data, overall height could be established using trigonometry, in addition to the diameter and radius at breast height. In order to calculate biomass, the nominal specific gravity (NSG) of each species is also required (Field Studies Council, n.d.). </w:t>
      </w:r>
    </w:p>
    <w:p>
      <w:pPr>
        <w:pStyle w:val="Normal"/>
        <w:rPr>
          <w:sz w:val="28"/>
          <w:szCs w:val="28"/>
        </w:rPr>
      </w:pPr>
      <w:r>
        <w:rPr>
          <w:sz w:val="28"/>
          <w:szCs w:val="28"/>
        </w:rPr>
      </w:r>
    </w:p>
    <w:p>
      <w:pPr>
        <w:pStyle w:val="Normal"/>
        <w:rPr>
          <w:sz w:val="28"/>
          <w:szCs w:val="28"/>
        </w:rPr>
      </w:pPr>
      <w:r>
        <w:rPr>
          <w:sz w:val="28"/>
          <w:szCs w:val="28"/>
        </w:rPr>
        <w:t>Predictions about the density of carbon within the biomass, i.e. the exact chemical composition, are difficult to make and are therefore grouped by species in the NSG. According to Valeria (2010), deciduous species tend to be more efficient than coniferous at carbon sequestration</w:t>
      </w:r>
    </w:p>
    <w:p>
      <w:pPr>
        <w:pStyle w:val="Normal"/>
        <w:rPr>
          <w:sz w:val="28"/>
          <w:szCs w:val="28"/>
        </w:rPr>
      </w:pPr>
      <w:r>
        <w:rPr>
          <w:sz w:val="28"/>
          <w:szCs w:val="28"/>
        </w:rPr>
      </w:r>
    </w:p>
    <w:p>
      <w:pPr>
        <w:pStyle w:val="Normal"/>
        <w:rPr>
          <w:sz w:val="28"/>
          <w:szCs w:val="32"/>
        </w:rPr>
      </w:pPr>
      <w:r>
        <w:rPr>
          <w:sz w:val="28"/>
          <w:szCs w:val="28"/>
        </w:rPr>
        <w:t>Overall trunk biomass is calculated by multiplying the NSG by the trunk volume, calculated using this equation: (Pi x radius</w:t>
      </w:r>
      <w:r>
        <w:rPr>
          <w:sz w:val="28"/>
          <w:szCs w:val="28"/>
          <w:vertAlign w:val="superscript"/>
        </w:rPr>
        <w:t>2</w:t>
      </w:r>
      <w:r>
        <w:rPr>
          <w:sz w:val="28"/>
          <w:szCs w:val="28"/>
        </w:rPr>
        <w:t>) x (height / 3).</w:t>
      </w:r>
    </w:p>
    <w:p>
      <w:pPr>
        <w:pStyle w:val="Normal"/>
        <w:rPr>
          <w:sz w:val="28"/>
          <w:szCs w:val="28"/>
        </w:rPr>
      </w:pPr>
      <w:r>
        <w:rPr>
          <w:sz w:val="28"/>
          <w:szCs w:val="28"/>
        </w:rPr>
        <w:t>Overall Trunk Biomass (tonnes): 1.62</w:t>
      </w:r>
    </w:p>
    <w:p>
      <w:pPr>
        <w:pStyle w:val="Normal"/>
        <w:rPr>
          <w:sz w:val="28"/>
          <w:szCs w:val="28"/>
        </w:rPr>
      </w:pPr>
      <w:r>
        <w:rPr>
          <w:sz w:val="28"/>
          <w:szCs w:val="28"/>
        </w:rPr>
      </w:r>
    </w:p>
    <w:p>
      <w:pPr>
        <w:pStyle w:val="Normal"/>
        <w:rPr>
          <w:sz w:val="28"/>
          <w:szCs w:val="28"/>
        </w:rPr>
      </w:pPr>
      <w:r>
        <w:rPr>
          <w:sz w:val="28"/>
          <w:szCs w:val="28"/>
        </w:rPr>
        <w:t>Both crown and rootball biomass is estimated using species specific constants with the DBH as the variable.</w:t>
      </w:r>
    </w:p>
    <w:p>
      <w:pPr>
        <w:pStyle w:val="Normal"/>
        <w:rPr>
          <w:sz w:val="28"/>
          <w:szCs w:val="28"/>
        </w:rPr>
      </w:pPr>
      <w:r>
        <w:rPr>
          <w:sz w:val="28"/>
          <w:szCs w:val="28"/>
        </w:rPr>
        <w:t>Crown Biomass (tonnes): 0.46</w:t>
      </w:r>
    </w:p>
    <w:p>
      <w:pPr>
        <w:pStyle w:val="Normal"/>
        <w:numPr>
          <w:ilvl w:val="0"/>
          <w:numId w:val="1"/>
        </w:numPr>
        <w:rPr>
          <w:sz w:val="28"/>
          <w:szCs w:val="28"/>
        </w:rPr>
      </w:pPr>
      <w:r>
        <w:rPr>
          <w:sz w:val="28"/>
          <w:szCs w:val="28"/>
        </w:rPr>
        <w:t>Crown biomass calculation (DBH 7-50cm) = A x (DBH / B)</w:t>
      </w:r>
    </w:p>
    <w:p>
      <w:pPr>
        <w:pStyle w:val="Normal"/>
        <w:numPr>
          <w:ilvl w:val="0"/>
          <w:numId w:val="1"/>
        </w:numPr>
        <w:rPr>
          <w:sz w:val="28"/>
          <w:szCs w:val="28"/>
        </w:rPr>
      </w:pPr>
      <w:r>
        <w:rPr>
          <w:sz w:val="28"/>
          <w:szCs w:val="28"/>
        </w:rPr>
        <w:t>Crown biomass calculation (DBH &gt;50cm) = C + (D x DBH)</w:t>
      </w:r>
    </w:p>
    <w:p>
      <w:pPr>
        <w:pStyle w:val="Normal"/>
        <w:rPr>
          <w:sz w:val="24"/>
          <w:szCs w:val="24"/>
          <w:shd w:fill="FFFF00" w:val="clear"/>
        </w:rPr>
      </w:pPr>
      <w:r>
        <w:rPr>
          <w:sz w:val="24"/>
          <w:szCs w:val="24"/>
          <w:shd w:fill="FFFF00" w:val="clear"/>
        </w:rPr>
        <w:t>(A and B represent the species/group-specific coefficients for trees between 7 – 50cm in diameter. C and D represent the species/group-specific coefficients for trees above 50cm in diameter (Randle, Matthews and Jenkins, 2011)).</w:t>
      </w:r>
    </w:p>
    <w:p>
      <w:pPr>
        <w:pStyle w:val="Normal"/>
        <w:rPr>
          <w:sz w:val="28"/>
          <w:szCs w:val="28"/>
        </w:rPr>
      </w:pPr>
      <w:r>
        <w:rPr>
          <w:sz w:val="28"/>
          <w:szCs w:val="28"/>
        </w:rPr>
      </w:r>
    </w:p>
    <w:p>
      <w:pPr>
        <w:pStyle w:val="Normal"/>
        <w:rPr>
          <w:sz w:val="28"/>
          <w:szCs w:val="28"/>
        </w:rPr>
      </w:pPr>
      <w:r>
        <w:rPr>
          <w:sz w:val="28"/>
          <w:szCs w:val="28"/>
        </w:rPr>
        <w:t>Rootball Biomass (tonnes): 2.15</w:t>
      </w:r>
    </w:p>
    <w:p>
      <w:pPr>
        <w:pStyle w:val="Normal"/>
        <w:numPr>
          <w:ilvl w:val="0"/>
          <w:numId w:val="1"/>
        </w:numPr>
        <w:rPr>
          <w:sz w:val="28"/>
          <w:szCs w:val="28"/>
        </w:rPr>
      </w:pPr>
      <w:r>
        <w:rPr>
          <w:sz w:val="28"/>
          <w:szCs w:val="28"/>
        </w:rPr>
        <w:t>Rootball biomass calculation (DBH 7-50cm) = E x (DBH</w:t>
      </w:r>
      <w:r>
        <w:rPr>
          <w:sz w:val="28"/>
          <w:szCs w:val="28"/>
          <w:vertAlign w:val="superscript"/>
        </w:rPr>
        <w:t>2.5</w:t>
      </w:r>
      <w:r>
        <w:rPr>
          <w:sz w:val="28"/>
          <w:szCs w:val="28"/>
        </w:rPr>
        <w:t>)</w:t>
      </w:r>
    </w:p>
    <w:p>
      <w:pPr>
        <w:pStyle w:val="Normal"/>
        <w:numPr>
          <w:ilvl w:val="0"/>
          <w:numId w:val="1"/>
        </w:numPr>
        <w:rPr>
          <w:sz w:val="28"/>
          <w:szCs w:val="28"/>
        </w:rPr>
      </w:pPr>
      <w:r>
        <w:rPr>
          <w:sz w:val="28"/>
          <w:szCs w:val="28"/>
        </w:rPr>
        <w:t>Rootball biomass calculation (DBH &gt;50cm) = F + (G x DBH)</w:t>
      </w:r>
    </w:p>
    <w:p>
      <w:pPr>
        <w:pStyle w:val="Normal"/>
        <w:rPr>
          <w:sz w:val="24"/>
          <w:szCs w:val="24"/>
          <w:shd w:fill="FFFF00" w:val="clear"/>
        </w:rPr>
      </w:pPr>
      <w:r>
        <w:rPr>
          <w:sz w:val="24"/>
          <w:szCs w:val="24"/>
          <w:shd w:fill="FFFF00" w:val="clear"/>
        </w:rPr>
        <w:t>(E represents the species/group-specific coefficients for trees between 7 – 50cm in diameter. F and G represent the species/group-specific coefficients for trees above 50cm in diameter (Randle, Matthews and Jenkins, 2011)).</w:t>
      </w:r>
    </w:p>
    <w:p>
      <w:pPr>
        <w:pStyle w:val="Normal"/>
        <w:rPr>
          <w:sz w:val="28"/>
          <w:szCs w:val="28"/>
        </w:rPr>
      </w:pPr>
      <w:r>
        <w:rPr>
          <w:sz w:val="28"/>
          <w:szCs w:val="28"/>
        </w:rPr>
      </w:r>
    </w:p>
    <w:p>
      <w:pPr>
        <w:pStyle w:val="Normal"/>
        <w:rPr>
          <w:sz w:val="28"/>
          <w:szCs w:val="28"/>
        </w:rPr>
      </w:pPr>
      <w:r>
        <w:rPr>
          <w:sz w:val="28"/>
          <w:szCs w:val="28"/>
        </w:rPr>
        <w:t>The overall sequestered carbon in woodland can be calculated using these equations:</w:t>
      </w:r>
    </w:p>
    <w:p>
      <w:pPr>
        <w:pStyle w:val="Normal"/>
        <w:numPr>
          <w:ilvl w:val="0"/>
          <w:numId w:val="1"/>
        </w:numPr>
        <w:rPr>
          <w:sz w:val="28"/>
          <w:szCs w:val="28"/>
        </w:rPr>
      </w:pPr>
      <w:r>
        <w:rPr>
          <w:sz w:val="28"/>
          <w:szCs w:val="28"/>
        </w:rPr>
        <w:t xml:space="preserve">Total carbon content = total biomass / 2 </w:t>
      </w:r>
    </w:p>
    <w:p>
      <w:pPr>
        <w:pStyle w:val="Normal"/>
        <w:rPr>
          <w:sz w:val="24"/>
          <w:szCs w:val="24"/>
        </w:rPr>
      </w:pPr>
      <w:r>
        <w:rPr>
          <w:sz w:val="24"/>
          <w:szCs w:val="24"/>
          <w:shd w:fill="FFFF00" w:val="clear"/>
        </w:rPr>
        <w:t>(Carbon accounting for approximately fifty percent of overall tree biomass (Matthews, 1993)).</w:t>
      </w:r>
    </w:p>
    <w:p>
      <w:pPr>
        <w:pStyle w:val="Normal"/>
        <w:numPr>
          <w:ilvl w:val="0"/>
          <w:numId w:val="1"/>
        </w:numPr>
        <w:rPr/>
      </w:pPr>
      <w:r>
        <w:rPr>
          <w:sz w:val="28"/>
          <w:szCs w:val="28"/>
        </w:rPr>
        <w:t>Average carbon sequestered per tree = total carbon content / number of trees</w:t>
      </w:r>
    </w:p>
    <w:p>
      <w:pPr>
        <w:pStyle w:val="Normal"/>
        <w:numPr>
          <w:ilvl w:val="0"/>
          <w:numId w:val="1"/>
        </w:numPr>
        <w:rPr>
          <w:sz w:val="28"/>
          <w:szCs w:val="28"/>
        </w:rPr>
      </w:pPr>
      <w:r>
        <w:rPr>
          <w:sz w:val="28"/>
          <w:szCs w:val="28"/>
        </w:rPr>
        <w:t>Carbon sequestered calculation = tree density x average carbon sequestered per tree</w:t>
      </w:r>
    </w:p>
    <w:p>
      <w:pPr>
        <w:pStyle w:val="Normal"/>
        <w:numPr>
          <w:ilvl w:val="0"/>
          <w:numId w:val="1"/>
        </w:numPr>
        <w:rPr>
          <w:sz w:val="28"/>
          <w:szCs w:val="28"/>
        </w:rPr>
      </w:pPr>
      <w:r>
        <w:rPr>
          <w:sz w:val="28"/>
          <w:szCs w:val="28"/>
        </w:rPr>
        <w:t>Overall carbon in woodland calculation = carbon sequestered x overall strand size</w:t>
      </w:r>
    </w:p>
    <w:p>
      <w:pPr>
        <w:pStyle w:val="Normal"/>
        <w:rPr>
          <w:b/>
          <w:bCs/>
          <w:sz w:val="28"/>
          <w:szCs w:val="28"/>
        </w:rPr>
      </w:pPr>
      <w:r>
        <w:rPr>
          <w:b/>
          <w:bCs/>
          <w:sz w:val="28"/>
          <w:szCs w:val="28"/>
        </w:rPr>
        <w:t>Overall Sequestered Carbon (tonnes): 20,476</w:t>
      </w:r>
    </w:p>
    <w:p>
      <w:pPr>
        <w:pStyle w:val="Normal"/>
        <w:rPr>
          <w:b/>
          <w:bCs/>
          <w:sz w:val="28"/>
          <w:szCs w:val="28"/>
        </w:rPr>
      </w:pPr>
      <w:r>
        <w:rPr>
          <w:b/>
          <w:bCs/>
          <w:sz w:val="28"/>
          <w:szCs w:val="28"/>
        </w:rPr>
        <w:t>Area of Woodland (m</w:t>
      </w:r>
      <w:r>
        <w:rPr>
          <w:b/>
          <w:bCs/>
          <w:sz w:val="28"/>
          <w:szCs w:val="28"/>
          <w:vertAlign w:val="superscript"/>
        </w:rPr>
        <w:t>2</w:t>
      </w:r>
      <w:r>
        <w:rPr>
          <w:b/>
          <w:bCs/>
          <w:sz w:val="28"/>
          <w:szCs w:val="28"/>
        </w:rPr>
        <w:t>): 103,000</w:t>
      </w:r>
    </w:p>
    <w:p>
      <w:pPr>
        <w:pStyle w:val="Normal"/>
        <w:rPr>
          <w:sz w:val="28"/>
          <w:szCs w:val="28"/>
        </w:rPr>
      </w:pPr>
      <w:r>
        <w:rPr>
          <w:sz w:val="28"/>
          <w:szCs w:val="28"/>
        </w:rPr>
      </w:r>
    </w:p>
    <w:p>
      <w:pPr>
        <w:pStyle w:val="Normal"/>
        <w:rPr>
          <w:sz w:val="28"/>
          <w:szCs w:val="28"/>
        </w:rPr>
      </w:pPr>
      <w:r>
        <w:rPr>
          <w:sz w:val="28"/>
          <w:szCs w:val="28"/>
        </w:rPr>
        <w:t>In order to gauge the effect of species on carbon sequestration, a t test was used to determine whether there was a statistically significant difference between the biomass of a random sample of larch trees vs the biomass of a random sample of sycamore trees (figure 2). The predicted outcome is that the difference in biomass is significant.</w:t>
      </w:r>
    </w:p>
    <w:p>
      <w:pPr>
        <w:pStyle w:val="Normal"/>
        <w:rPr>
          <w:sz w:val="28"/>
          <w:szCs w:val="28"/>
        </w:rPr>
      </w:pPr>
      <w:r>
        <w:rPr>
          <w:sz w:val="28"/>
          <w:szCs w:val="28"/>
        </w:rPr>
      </w:r>
    </w:p>
    <w:p>
      <w:pPr>
        <w:pStyle w:val="Normal"/>
        <w:rPr>
          <w:sz w:val="28"/>
          <w:szCs w:val="28"/>
        </w:rPr>
      </w:pPr>
      <w:r>
        <w:rPr>
          <w:sz w:val="28"/>
          <w:szCs w:val="28"/>
        </w:rPr>
      </w:r>
      <w:r>
        <mc:AlternateContent>
          <mc:Choice Requires="wps">
            <w:drawing>
              <wp:anchor behindDoc="0" distT="0" distB="0" distL="0" distR="0" simplePos="0" locked="0" layoutInCell="0" allowOverlap="1" relativeHeight="6">
                <wp:simplePos x="0" y="0"/>
                <wp:positionH relativeFrom="column">
                  <wp:posOffset>-13970</wp:posOffset>
                </wp:positionH>
                <wp:positionV relativeFrom="paragraph">
                  <wp:posOffset>-10795</wp:posOffset>
                </wp:positionV>
                <wp:extent cx="5759450" cy="3753485"/>
                <wp:effectExtent l="0" t="0" r="0" b="0"/>
                <wp:wrapTopAndBottom/>
                <wp:docPr id="9" name="Frame5"/>
                <a:graphic xmlns:a="http://schemas.openxmlformats.org/drawingml/2006/main">
                  <a:graphicData uri="http://schemas.microsoft.com/office/word/2010/wordprocessingShape">
                    <wps:wsp>
                      <wps:cNvSpPr txBox="1"/>
                      <wps:spPr>
                        <a:xfrm>
                          <a:off x="0" y="0"/>
                          <a:ext cx="5759450" cy="3753485"/>
                        </a:xfrm>
                        <a:prstGeom prst="rect"/>
                        <a:solidFill>
                          <a:srgbClr val="FFFFFF"/>
                        </a:solidFill>
                      </wps:spPr>
                      <wps:txbx>
                        <w:txbxContent>
                          <w:p>
                            <w:pPr>
                              <w:pStyle w:val="Figure"/>
                              <w:spacing w:before="120" w:after="120"/>
                              <w:rPr/>
                            </w:pPr>
                            <w:r>
                              <w:rPr>
                                <w:color w:val="000000"/>
                              </w:rPr>
                              <w:t xml:space="preserve"> </w:t>
                            </w:r>
                            <w:r>
                              <w:rPr/>
                              <w:drawing>
                                <wp:inline distT="0" distB="0" distL="0" distR="0">
                                  <wp:extent cx="5731510" cy="3223895"/>
                                  <wp:effectExtent l="0" t="0" r="0" b="0"/>
                                  <wp:docPr id="10" name="Object1" desc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Pr>
                                <w:color w:val="000000"/>
                              </w:rPr>
                              <w:fldChar w:fldCharType="begin"/>
                            </w:r>
                            <w:r>
                              <w:rPr>
                                <w:color w:val="000000"/>
                              </w:rPr>
                              <w:instrText xml:space="preserve"> SEQ Figure \* ARABIC </w:instrText>
                            </w:r>
                            <w:r>
                              <w:rPr>
                                <w:color w:val="000000"/>
                              </w:rPr>
                              <w:fldChar w:fldCharType="separate"/>
                            </w:r>
                            <w:r>
                              <w:rPr>
                                <w:color w:val="000000"/>
                              </w:rPr>
                              <w:t>2</w:t>
                            </w:r>
                            <w:r>
                              <w:rPr>
                                <w:color w:val="000000"/>
                              </w:rPr>
                              <w:fldChar w:fldCharType="end"/>
                            </w:r>
                            <w:r>
                              <w:rPr>
                                <w:color w:val="000000"/>
                              </w:rPr>
                              <w:t>: Biomass Comparison Data</w:t>
                            </w:r>
                          </w:p>
                        </w:txbxContent>
                      </wps:txbx>
                      <wps:bodyPr anchor="t" lIns="0" tIns="0" rIns="0" bIns="0">
                        <a:noAutofit/>
                      </wps:bodyPr>
                    </wps:wsp>
                  </a:graphicData>
                </a:graphic>
              </wp:anchor>
            </w:drawing>
          </mc:Choice>
          <mc:Fallback>
            <w:pict>
              <v:rect fillcolor="#FFFFFF" stroked="f" strokeweight="0pt" style="position:absolute;rotation:-0;width:453.5pt;height:295.55pt;mso-wrap-distance-left:0pt;mso-wrap-distance-right:0pt;mso-wrap-distance-top:0pt;mso-wrap-distance-bottom:0pt;margin-top:-0.85pt;mso-position-vertical-relative:text;margin-left:-1.1pt;mso-position-horizontal-relative:text">
                <v:textbox inset="0in,0in,0in,0in">
                  <w:txbxContent>
                    <w:p>
                      <w:pPr>
                        <w:pStyle w:val="Figure"/>
                        <w:spacing w:before="120" w:after="120"/>
                        <w:rPr/>
                      </w:pPr>
                      <w:r>
                        <w:rPr>
                          <w:color w:val="000000"/>
                        </w:rPr>
                        <w:t xml:space="preserve"> </w:t>
                      </w:r>
                      <w:r>
                        <w:rPr/>
                        <w:drawing>
                          <wp:inline distT="0" distB="0" distL="0" distR="0">
                            <wp:extent cx="5731510" cy="3223895"/>
                            <wp:effectExtent l="0" t="0" r="0" b="0"/>
                            <wp:docPr id="11" name="Object1" desc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Pr>
                          <w:color w:val="000000"/>
                        </w:rPr>
                        <w:fldChar w:fldCharType="begin"/>
                      </w:r>
                      <w:r>
                        <w:rPr>
                          <w:color w:val="000000"/>
                        </w:rPr>
                        <w:instrText xml:space="preserve"> SEQ Figure \* ARABIC </w:instrText>
                      </w:r>
                      <w:r>
                        <w:rPr>
                          <w:color w:val="000000"/>
                        </w:rPr>
                        <w:fldChar w:fldCharType="separate"/>
                      </w:r>
                      <w:r>
                        <w:rPr>
                          <w:color w:val="000000"/>
                        </w:rPr>
                        <w:t>2</w:t>
                      </w:r>
                      <w:r>
                        <w:rPr>
                          <w:color w:val="000000"/>
                        </w:rPr>
                        <w:fldChar w:fldCharType="end"/>
                      </w:r>
                      <w:r>
                        <w:rPr>
                          <w:color w:val="000000"/>
                        </w:rPr>
                        <w:t>: Biomass Comparison Data</w:t>
                      </w:r>
                    </w:p>
                  </w:txbxContent>
                </v:textbox>
                <w10:wrap type="topAndBottom"/>
              </v:rect>
            </w:pict>
          </mc:Fallback>
        </mc:AlternateContent>
      </w:r>
    </w:p>
    <w:p>
      <w:pPr>
        <w:pStyle w:val="Normal"/>
        <w:rPr>
          <w:sz w:val="28"/>
          <w:szCs w:val="28"/>
        </w:rPr>
      </w:pPr>
      <w:r>
        <w:rPr>
          <w:sz w:val="28"/>
          <w:szCs w:val="28"/>
        </w:rPr>
        <w:t>Null Hypothesis: There is no statistically significant difference in the biomass between the larch species and sycamore species.</w:t>
      </w:r>
    </w:p>
    <w:p>
      <w:pPr>
        <w:pStyle w:val="Normal"/>
        <w:rPr>
          <w:sz w:val="28"/>
          <w:szCs w:val="28"/>
        </w:rPr>
      </w:pPr>
      <w:r>
        <w:rPr>
          <w:sz w:val="28"/>
          <w:szCs w:val="28"/>
        </w:rPr>
        <w:t>Alternative Hypothesis (prediction): There is a statistically significant difference in the biomass between the larch species and sycamore species.</w:t>
      </w:r>
    </w:p>
    <w:p>
      <w:pPr>
        <w:pStyle w:val="Normal"/>
        <w:rPr>
          <w:sz w:val="28"/>
          <w:szCs w:val="28"/>
        </w:rPr>
      </w:pPr>
      <w:r>
        <w:rPr>
          <w:sz w:val="28"/>
          <w:szCs w:val="28"/>
        </w:rPr>
      </w:r>
    </w:p>
    <w:p>
      <w:pPr>
        <w:pStyle w:val="Normal"/>
        <w:rPr>
          <w:sz w:val="28"/>
          <w:szCs w:val="28"/>
        </w:rPr>
      </w:pPr>
      <w:r>
        <w:rPr>
          <w:sz w:val="28"/>
          <w:szCs w:val="28"/>
        </w:rPr>
        <w:t xml:space="preserve">Biomass of First 7 Larch Trees: </w:t>
      </w:r>
    </w:p>
    <w:p>
      <w:pPr>
        <w:pStyle w:val="Normal"/>
        <w:rPr>
          <w:sz w:val="28"/>
          <w:szCs w:val="28"/>
        </w:rPr>
      </w:pPr>
      <w:r>
        <w:rPr>
          <w:sz w:val="28"/>
          <w:szCs w:val="28"/>
        </w:rPr>
        <w:t>1. Tree 1 – 0.11</w:t>
      </w:r>
    </w:p>
    <w:p>
      <w:pPr>
        <w:pStyle w:val="Normal"/>
        <w:rPr>
          <w:sz w:val="28"/>
          <w:szCs w:val="28"/>
        </w:rPr>
      </w:pPr>
      <w:r>
        <w:rPr>
          <w:sz w:val="28"/>
          <w:szCs w:val="28"/>
        </w:rPr>
        <w:t>2. Tree 4 – 0.67</w:t>
      </w:r>
    </w:p>
    <w:p>
      <w:pPr>
        <w:pStyle w:val="Normal"/>
        <w:rPr>
          <w:sz w:val="28"/>
          <w:szCs w:val="28"/>
        </w:rPr>
      </w:pPr>
      <w:r>
        <w:rPr>
          <w:sz w:val="28"/>
          <w:szCs w:val="28"/>
        </w:rPr>
        <w:t>3. Tree 14 – 0.27</w:t>
      </w:r>
    </w:p>
    <w:p>
      <w:pPr>
        <w:pStyle w:val="Normal"/>
        <w:rPr>
          <w:sz w:val="28"/>
          <w:szCs w:val="28"/>
        </w:rPr>
      </w:pPr>
      <w:r>
        <w:rPr>
          <w:sz w:val="28"/>
          <w:szCs w:val="28"/>
        </w:rPr>
        <w:t>4. Tree 16 – 0.54</w:t>
      </w:r>
    </w:p>
    <w:p>
      <w:pPr>
        <w:pStyle w:val="Normal"/>
        <w:rPr>
          <w:sz w:val="28"/>
          <w:szCs w:val="28"/>
        </w:rPr>
      </w:pPr>
      <w:r>
        <w:rPr>
          <w:sz w:val="28"/>
          <w:szCs w:val="28"/>
        </w:rPr>
        <w:t>5. Tree 17 – 0.42</w:t>
      </w:r>
    </w:p>
    <w:p>
      <w:pPr>
        <w:pStyle w:val="Normal"/>
        <w:rPr>
          <w:sz w:val="28"/>
          <w:szCs w:val="28"/>
        </w:rPr>
      </w:pPr>
      <w:r>
        <w:rPr>
          <w:sz w:val="28"/>
          <w:szCs w:val="28"/>
        </w:rPr>
        <w:t>6. Tree 23 – 0.34</w:t>
      </w:r>
    </w:p>
    <w:p>
      <w:pPr>
        <w:pStyle w:val="Normal"/>
        <w:rPr>
          <w:sz w:val="28"/>
          <w:szCs w:val="28"/>
        </w:rPr>
      </w:pPr>
      <w:r>
        <w:rPr>
          <w:sz w:val="28"/>
          <w:szCs w:val="28"/>
        </w:rPr>
        <w:t>7. Tree 26 – 0.05</w:t>
      </w:r>
    </w:p>
    <w:p>
      <w:pPr>
        <w:pStyle w:val="Normal"/>
        <w:rPr>
          <w:sz w:val="28"/>
          <w:szCs w:val="28"/>
        </w:rPr>
      </w:pPr>
      <w:r>
        <w:rPr>
          <w:sz w:val="28"/>
          <w:szCs w:val="28"/>
        </w:rPr>
        <w:t>Average = 0.34</w:t>
      </w:r>
    </w:p>
    <w:p>
      <w:pPr>
        <w:pStyle w:val="Normal"/>
        <w:rPr>
          <w:sz w:val="28"/>
          <w:szCs w:val="28"/>
        </w:rPr>
      </w:pPr>
      <w:r>
        <w:rPr>
          <w:sz w:val="28"/>
          <w:szCs w:val="28"/>
        </w:rPr>
        <w:t>Standard Deviation = 0.2225</w:t>
      </w:r>
    </w:p>
    <w:p>
      <w:pPr>
        <w:pStyle w:val="Normal"/>
        <w:rPr>
          <w:sz w:val="28"/>
          <w:szCs w:val="28"/>
        </w:rPr>
      </w:pPr>
      <w:r>
        <w:rPr>
          <w:sz w:val="28"/>
          <w:szCs w:val="28"/>
        </w:rPr>
        <w:t>Variance = 0.0495</w:t>
      </w:r>
    </w:p>
    <w:p>
      <w:pPr>
        <w:pStyle w:val="Normal"/>
        <w:rPr>
          <w:sz w:val="28"/>
          <w:szCs w:val="28"/>
        </w:rPr>
      </w:pPr>
      <w:r>
        <w:rPr>
          <w:sz w:val="28"/>
          <w:szCs w:val="28"/>
        </w:rPr>
      </w:r>
    </w:p>
    <w:p>
      <w:pPr>
        <w:pStyle w:val="Normal"/>
        <w:rPr>
          <w:sz w:val="28"/>
          <w:szCs w:val="28"/>
        </w:rPr>
      </w:pPr>
      <w:r>
        <w:rPr>
          <w:sz w:val="28"/>
          <w:szCs w:val="28"/>
        </w:rPr>
        <w:t xml:space="preserve">Biomass of First 7 Sycamore Trees: </w:t>
      </w:r>
    </w:p>
    <w:p>
      <w:pPr>
        <w:pStyle w:val="Normal"/>
        <w:rPr>
          <w:sz w:val="28"/>
          <w:szCs w:val="28"/>
        </w:rPr>
      </w:pPr>
      <w:r>
        <w:rPr>
          <w:sz w:val="28"/>
          <w:szCs w:val="28"/>
        </w:rPr>
        <w:t>1. Tree 2 – 0.03</w:t>
      </w:r>
    </w:p>
    <w:p>
      <w:pPr>
        <w:pStyle w:val="Normal"/>
        <w:rPr>
          <w:sz w:val="28"/>
          <w:szCs w:val="28"/>
        </w:rPr>
      </w:pPr>
      <w:r>
        <w:rPr>
          <w:sz w:val="28"/>
          <w:szCs w:val="28"/>
        </w:rPr>
        <w:t>2. Tree 5 – 0 (negligible)</w:t>
      </w:r>
    </w:p>
    <w:p>
      <w:pPr>
        <w:pStyle w:val="Normal"/>
        <w:rPr>
          <w:sz w:val="28"/>
          <w:szCs w:val="28"/>
        </w:rPr>
      </w:pPr>
      <w:r>
        <w:rPr>
          <w:sz w:val="28"/>
          <w:szCs w:val="28"/>
        </w:rPr>
        <w:t>3. Tree 8 – 0 (negligible)</w:t>
      </w:r>
    </w:p>
    <w:p>
      <w:pPr>
        <w:pStyle w:val="Normal"/>
        <w:rPr>
          <w:sz w:val="28"/>
          <w:szCs w:val="28"/>
        </w:rPr>
      </w:pPr>
      <w:r>
        <w:rPr>
          <w:sz w:val="28"/>
          <w:szCs w:val="28"/>
        </w:rPr>
        <w:t>4. Tree 9 – 0.02</w:t>
      </w:r>
    </w:p>
    <w:p>
      <w:pPr>
        <w:pStyle w:val="Normal"/>
        <w:rPr>
          <w:sz w:val="28"/>
          <w:szCs w:val="28"/>
        </w:rPr>
      </w:pPr>
      <w:r>
        <w:rPr>
          <w:sz w:val="28"/>
          <w:szCs w:val="28"/>
        </w:rPr>
        <w:t>5. Tree 11 – 0 (negligible)</w:t>
      </w:r>
    </w:p>
    <w:p>
      <w:pPr>
        <w:pStyle w:val="Normal"/>
        <w:rPr>
          <w:sz w:val="28"/>
          <w:szCs w:val="28"/>
        </w:rPr>
      </w:pPr>
      <w:r>
        <w:rPr>
          <w:sz w:val="28"/>
          <w:szCs w:val="28"/>
        </w:rPr>
        <w:t>6. Tree 12 – 0.03</w:t>
      </w:r>
    </w:p>
    <w:p>
      <w:pPr>
        <w:pStyle w:val="Normal"/>
        <w:rPr>
          <w:sz w:val="28"/>
          <w:szCs w:val="28"/>
        </w:rPr>
      </w:pPr>
      <w:r>
        <w:rPr>
          <w:sz w:val="28"/>
          <w:szCs w:val="28"/>
        </w:rPr>
        <w:t>7. Tree 15 – 0.83</w:t>
      </w:r>
    </w:p>
    <w:p>
      <w:pPr>
        <w:pStyle w:val="Normal"/>
        <w:rPr>
          <w:sz w:val="28"/>
          <w:szCs w:val="28"/>
        </w:rPr>
      </w:pPr>
      <w:r>
        <w:rPr>
          <w:sz w:val="28"/>
          <w:szCs w:val="28"/>
        </w:rPr>
        <w:t>Average = 0.02</w:t>
      </w:r>
    </w:p>
    <w:p>
      <w:pPr>
        <w:pStyle w:val="Normal"/>
        <w:rPr>
          <w:sz w:val="28"/>
          <w:szCs w:val="28"/>
        </w:rPr>
      </w:pPr>
      <w:r>
        <w:rPr>
          <w:sz w:val="28"/>
          <w:szCs w:val="28"/>
        </w:rPr>
        <w:t>Standard Deviation = 0.0151</w:t>
      </w:r>
    </w:p>
    <w:p>
      <w:pPr>
        <w:pStyle w:val="Normal"/>
        <w:rPr>
          <w:sz w:val="28"/>
          <w:szCs w:val="28"/>
        </w:rPr>
      </w:pPr>
      <w:r>
        <w:rPr>
          <w:sz w:val="28"/>
          <w:szCs w:val="28"/>
        </w:rPr>
        <w:t>Variance = 0.0002</w:t>
      </w:r>
    </w:p>
    <w:p>
      <w:pPr>
        <w:pStyle w:val="Normal"/>
        <w:rPr>
          <w:sz w:val="28"/>
          <w:szCs w:val="28"/>
        </w:rPr>
      </w:pPr>
      <w:r>
        <w:rPr>
          <w:sz w:val="28"/>
          <w:szCs w:val="28"/>
        </w:rPr>
      </w:r>
    </w:p>
    <w:p>
      <w:pPr>
        <w:pStyle w:val="Normal"/>
        <w:rPr>
          <w:sz w:val="28"/>
          <w:szCs w:val="28"/>
        </w:rPr>
      </w:pPr>
      <w:r>
        <w:rPr>
          <w:sz w:val="28"/>
          <w:szCs w:val="28"/>
        </w:rPr>
        <w:t>Critical Value (p = &lt;0.05) = 2.14</w:t>
      </w:r>
    </w:p>
    <w:p>
      <w:pPr>
        <w:pStyle w:val="Normal"/>
        <w:rPr>
          <w:sz w:val="28"/>
          <w:szCs w:val="28"/>
        </w:rPr>
      </w:pPr>
      <w:r>
        <w:rPr>
          <w:sz w:val="28"/>
          <w:szCs w:val="28"/>
        </w:rPr>
        <w:t>T-test Result = 0.0021 (accept alternative hypothesis)</w:t>
      </w:r>
    </w:p>
    <w:p>
      <w:pPr>
        <w:pStyle w:val="Normal"/>
        <w:rPr>
          <w:sz w:val="28"/>
          <w:szCs w:val="28"/>
        </w:rPr>
      </w:pPr>
      <w:r>
        <w:rPr>
          <w:sz w:val="28"/>
          <w:szCs w:val="28"/>
        </w:rPr>
      </w:r>
    </w:p>
    <w:p>
      <w:pPr>
        <w:pStyle w:val="Normal"/>
        <w:rPr>
          <w:b/>
          <w:bCs/>
          <w:sz w:val="32"/>
          <w:szCs w:val="32"/>
        </w:rPr>
      </w:pPr>
      <w:r>
        <w:rPr>
          <w:b/>
          <w:bCs/>
          <w:sz w:val="32"/>
          <w:szCs w:val="32"/>
        </w:rPr>
        <w:t>1.3 Discussion</w:t>
      </w:r>
    </w:p>
    <w:p>
      <w:pPr>
        <w:pStyle w:val="Normal"/>
        <w:rPr>
          <w:sz w:val="28"/>
          <w:szCs w:val="28"/>
        </w:rPr>
      </w:pPr>
      <w:r>
        <w:rPr>
          <w:sz w:val="28"/>
          <w:szCs w:val="28"/>
        </w:rPr>
        <w:t xml:space="preserve">1.3.1 Statistical Test Outcome: </w:t>
      </w:r>
    </w:p>
    <w:p>
      <w:pPr>
        <w:pStyle w:val="Normal"/>
        <w:rPr>
          <w:sz w:val="28"/>
          <w:szCs w:val="28"/>
        </w:rPr>
      </w:pPr>
      <w:r>
        <w:rPr>
          <w:sz w:val="28"/>
          <w:szCs w:val="28"/>
        </w:rPr>
        <w:t xml:space="preserve">The t-test carried out illustrated a statistically significant difference in biomass between the larch and sycamore species. Given that biomass equates directly to carbon content, the larch species appears to account for a larger portion of this ecosystems stored carbon. </w:t>
      </w:r>
      <w:r>
        <w:rPr>
          <w:sz w:val="28"/>
          <w:szCs w:val="28"/>
        </w:rPr>
        <w:t>This is assuming that the overall ratio of larch to sycamore species is roughly even.</w:t>
      </w:r>
    </w:p>
    <w:p>
      <w:pPr>
        <w:pStyle w:val="Normal"/>
        <w:rPr>
          <w:sz w:val="28"/>
          <w:szCs w:val="28"/>
        </w:rPr>
      </w:pPr>
      <w:r>
        <w:rPr>
          <w:sz w:val="28"/>
          <w:szCs w:val="28"/>
        </w:rPr>
      </w:r>
    </w:p>
    <w:p>
      <w:pPr>
        <w:pStyle w:val="Normal"/>
        <w:rPr>
          <w:sz w:val="28"/>
          <w:szCs w:val="28"/>
        </w:rPr>
      </w:pPr>
      <w:r>
        <w:rPr>
          <w:sz w:val="28"/>
          <w:szCs w:val="28"/>
        </w:rPr>
        <w:t xml:space="preserve">1.3.2 Limitations of </w:t>
      </w:r>
      <w:r>
        <w:rPr>
          <w:sz w:val="28"/>
          <w:szCs w:val="28"/>
        </w:rPr>
        <w:t>Study</w:t>
      </w:r>
      <w:r>
        <w:rPr>
          <w:sz w:val="28"/>
          <w:szCs w:val="28"/>
        </w:rPr>
        <w:t xml:space="preserve">: </w:t>
      </w:r>
    </w:p>
    <w:p>
      <w:pPr>
        <w:pStyle w:val="Normal"/>
        <w:rPr>
          <w:sz w:val="28"/>
          <w:szCs w:val="28"/>
        </w:rPr>
      </w:pPr>
      <w:r>
        <w:rPr>
          <w:sz w:val="28"/>
          <w:szCs w:val="28"/>
        </w:rPr>
        <w:t>There is somewhat limited application to this method given the variety of environments. Whilst tree biomass accounts for the majority of sequestered carbon in a woodland, the carbon content of other stores are excluded in this method. Furthermore, environments such as peatland could not be assessed using this method, despite making a significant contribution to carbon sequestration.</w:t>
      </w:r>
    </w:p>
    <w:p>
      <w:pPr>
        <w:pStyle w:val="Normal"/>
        <w:rPr>
          <w:sz w:val="28"/>
          <w:szCs w:val="28"/>
        </w:rPr>
      </w:pPr>
      <w:r>
        <w:rPr>
          <w:sz w:val="28"/>
          <w:szCs w:val="28"/>
        </w:rPr>
        <w:t xml:space="preserve">Carbon sequestration is not a full representation of ecological value given that there are many aspects of environmental health. No speculations are made on categories such as species diversity and biophilia in this case. It may even be the case that isolating carbon sequestration capacity as an ecosystem service may overlook other valuable aspects of the environment (Brainard, Bateman and Lovett, 2009). </w:t>
      </w:r>
    </w:p>
    <w:p>
      <w:pPr>
        <w:pStyle w:val="Normal"/>
        <w:rPr>
          <w:sz w:val="28"/>
          <w:szCs w:val="28"/>
        </w:rPr>
      </w:pPr>
      <w:r>
        <w:rPr>
          <w:sz w:val="28"/>
          <w:szCs w:val="28"/>
        </w:rPr>
        <w:t>Multiple other ecosystem services could be identified depending on the aim of the investigation particularly in relation to biophilia, being that the site neighbours a public footpath. This therefore has the potential to contribute towards mental well-being for example</w:t>
      </w:r>
      <w:r>
        <w:rPr/>
        <w:t xml:space="preserve"> </w:t>
      </w:r>
      <w:r>
        <w:rPr>
          <w:sz w:val="28"/>
          <w:szCs w:val="28"/>
        </w:rPr>
        <w:t xml:space="preserve">(O'Brien, Morris and Stewart, 2012). Another site-specific consideration would be heavy metal filtration from drainage off Kilvey Hill. This barrier helps prevent pollution from entering the river Tawe and ultimately into the ocean (Robins, 2023; Wang and Jia, 2010). Finally, the essential role of woodland environments for air filtration, particularly in urban environments where air pollution is highly prevalent (Beckett, Freer-Smith and Taylor, 1998). </w:t>
      </w:r>
    </w:p>
    <w:p>
      <w:pPr>
        <w:pStyle w:val="Normal"/>
        <w:rPr>
          <w:sz w:val="28"/>
          <w:szCs w:val="28"/>
        </w:rPr>
      </w:pPr>
      <w:r>
        <w:rPr>
          <w:sz w:val="28"/>
          <w:szCs w:val="28"/>
        </w:rPr>
        <w:t>Another consideration is that carbon dioxide is not the only factor in both environmental health and global warming. In order to provide a broad spectrum of ecosystem services, a wide variety of natural systems are required (such as wetlands). Recognising that solutions to complex problems require a diversity of solutions is a major failing of this method.</w:t>
      </w:r>
    </w:p>
    <w:p>
      <w:pPr>
        <w:pStyle w:val="Normal"/>
        <w:rPr>
          <w:sz w:val="28"/>
          <w:szCs w:val="28"/>
        </w:rPr>
      </w:pPr>
      <w:r>
        <w:rPr/>
      </w:r>
    </w:p>
    <w:p>
      <w:pPr>
        <w:pStyle w:val="Normal"/>
        <w:rPr>
          <w:sz w:val="28"/>
          <w:szCs w:val="28"/>
        </w:rPr>
      </w:pPr>
      <w:r>
        <w:rPr>
          <w:sz w:val="28"/>
          <w:szCs w:val="28"/>
        </w:rPr>
        <w:t>1.3.3</w:t>
      </w:r>
    </w:p>
    <w:p>
      <w:pPr>
        <w:pStyle w:val="Normal"/>
        <w:rPr>
          <w:sz w:val="28"/>
          <w:szCs w:val="28"/>
        </w:rPr>
      </w:pPr>
      <w:r>
        <w:rPr>
          <w:sz w:val="28"/>
          <w:szCs w:val="28"/>
        </w:rPr>
        <w:t>Lidar, a modern remote sensing technology, is an increasingly popular method of site analysis in forestry. Although some limitations of the technology are present due to it being a relatively new concept, these mainly centre around factors like cost and practicality which are expected to improve with time (Beland et al, 2019). Some of the more difficult issues arise when trying to identify species, particularly variation in resolution between tools (Coops et al, 2021). This is where traditional methods play a key role for gaining a more conclusive bed of surrounding data.</w:t>
      </w:r>
    </w:p>
    <w:p>
      <w:pPr>
        <w:pStyle w:val="Normal"/>
        <w:rPr>
          <w:sz w:val="28"/>
          <w:szCs w:val="28"/>
        </w:rPr>
      </w:pPr>
      <w:r>
        <w:rPr>
          <w:sz w:val="28"/>
          <w:szCs w:val="28"/>
        </w:rPr>
      </w:r>
    </w:p>
    <w:p>
      <w:pPr>
        <w:pStyle w:val="Normal"/>
        <w:rPr>
          <w:sz w:val="28"/>
          <w:szCs w:val="28"/>
        </w:rPr>
      </w:pPr>
      <w:r>
        <w:rPr>
          <w:sz w:val="28"/>
          <w:szCs w:val="28"/>
        </w:rPr>
        <w:t>1.3.</w:t>
      </w:r>
      <w:r>
        <w:rPr>
          <w:sz w:val="28"/>
          <w:szCs w:val="28"/>
        </w:rPr>
        <w:t>4</w:t>
      </w:r>
      <w:r>
        <w:rPr>
          <w:sz w:val="28"/>
          <w:szCs w:val="28"/>
        </w:rPr>
        <w:t xml:space="preserve"> Site Management:</w:t>
      </w:r>
    </w:p>
    <w:p>
      <w:pPr>
        <w:pStyle w:val="Normal"/>
        <w:rPr>
          <w:sz w:val="28"/>
          <w:szCs w:val="28"/>
        </w:rPr>
      </w:pPr>
      <w:r>
        <w:rPr>
          <w:sz w:val="28"/>
          <w:szCs w:val="28"/>
        </w:rPr>
        <w:t xml:space="preserve">Management of </w:t>
      </w:r>
      <w:r>
        <w:rPr>
          <w:sz w:val="28"/>
          <w:szCs w:val="28"/>
        </w:rPr>
        <w:t>White Rock Park Woodland</w:t>
      </w:r>
      <w:r>
        <w:rPr>
          <w:sz w:val="28"/>
          <w:szCs w:val="28"/>
        </w:rPr>
        <w:t xml:space="preserve"> is conducted b</w:t>
      </w:r>
      <w:r>
        <w:rPr>
          <w:sz w:val="28"/>
          <w:szCs w:val="28"/>
        </w:rPr>
        <w:t>y</w:t>
      </w:r>
      <w:r>
        <w:rPr>
          <w:sz w:val="28"/>
          <w:szCs w:val="28"/>
        </w:rPr>
        <w:t xml:space="preserve"> a voluntary group – The Friends of White Rock), and Natural Resources Wales (Anon, 2023; NRW, 2022). Management of the footpath neighbouring the site is carried out by Swansea Council (Swansea, 2024). </w:t>
      </w:r>
    </w:p>
    <w:p>
      <w:pPr>
        <w:pStyle w:val="Normal"/>
        <w:rPr>
          <w:sz w:val="28"/>
          <w:szCs w:val="28"/>
        </w:rPr>
      </w:pPr>
      <w:r>
        <w:rPr>
          <w:sz w:val="28"/>
          <w:szCs w:val="28"/>
        </w:rPr>
        <w:t xml:space="preserve">Current management of the site involves minimal intervention other than clearing of the footpath which is carried out by the council (Swansea, 2024). Due to the prevalence of invasive species, the carbon sequestration capacity could likely be increased if these species were removed from the site and replaced with native species such as willow, which thrive in damp environments (Kuzovkina and Volk, 2009). Successful regeneration schemes are displayed on other sites such as </w:t>
      </w:r>
      <w:r>
        <w:rPr>
          <w:color w:val="000000"/>
          <w:sz w:val="28"/>
          <w:szCs w:val="28"/>
          <w:shd w:fill="auto" w:val="clear"/>
        </w:rPr>
        <w:t>Mill Wood on Gower (also managed by NRW), where management practices involve removing non-native species introduced in 1956 in order to restore a traditional broadleaf environment (NRW, 2019).</w:t>
      </w:r>
    </w:p>
    <w:p>
      <w:pPr>
        <w:pStyle w:val="Normal"/>
        <w:rPr>
          <w:shd w:fill="BBE33D" w:val="clear"/>
        </w:rPr>
      </w:pPr>
      <w:r>
        <w:rPr/>
      </w:r>
    </w:p>
    <w:p>
      <w:pPr>
        <w:pStyle w:val="Normal"/>
        <w:rPr>
          <w:b/>
          <w:bCs/>
          <w:sz w:val="32"/>
          <w:szCs w:val="32"/>
        </w:rPr>
      </w:pPr>
      <w:r>
        <w:rPr>
          <w:b/>
          <w:bCs/>
          <w:sz w:val="32"/>
          <w:szCs w:val="32"/>
        </w:rPr>
        <w:t>1.4 Conclusion</w:t>
      </w:r>
    </w:p>
    <w:p>
      <w:pPr>
        <w:pStyle w:val="Normal"/>
        <w:rPr>
          <w:sz w:val="28"/>
          <w:szCs w:val="28"/>
        </w:rPr>
      </w:pPr>
      <w:r>
        <w:rPr>
          <w:sz w:val="28"/>
          <w:szCs w:val="28"/>
        </w:rPr>
        <w:t xml:space="preserve">It is notoriously difficult to represent the value of ecosystems into the form of ecosystem services, particularly when working within </w:t>
      </w:r>
      <w:r>
        <w:rPr>
          <w:sz w:val="28"/>
          <w:szCs w:val="28"/>
        </w:rPr>
        <w:t xml:space="preserve">financial </w:t>
      </w:r>
      <w:r>
        <w:rPr>
          <w:sz w:val="28"/>
          <w:szCs w:val="28"/>
        </w:rPr>
        <w:t xml:space="preserve">restraints. </w:t>
      </w:r>
      <w:r>
        <w:rPr>
          <w:sz w:val="28"/>
          <w:szCs w:val="28"/>
        </w:rPr>
        <w:t xml:space="preserve">The issues involved are widespread, generally arising from the initial restriction of a numerical rating system. Broadly speaking, it could be argued that the overall aim of the investigation is floored as opposed to the methodology. </w:t>
      </w:r>
    </w:p>
    <w:p>
      <w:pPr>
        <w:pStyle w:val="Normal"/>
        <w:rPr>
          <w:sz w:val="28"/>
          <w:szCs w:val="28"/>
        </w:rPr>
      </w:pPr>
      <w:r>
        <w:rPr>
          <w:sz w:val="28"/>
          <w:szCs w:val="28"/>
        </w:rPr>
        <w:t>Despite the many shortcomings however, c</w:t>
      </w:r>
      <w:r>
        <w:rPr>
          <w:sz w:val="28"/>
          <w:szCs w:val="28"/>
        </w:rPr>
        <w:t xml:space="preserve">arbon sequestration is an observable benefit of ecosystems, and generally a good indicator of </w:t>
      </w:r>
      <w:r>
        <w:rPr>
          <w:sz w:val="28"/>
          <w:szCs w:val="28"/>
        </w:rPr>
        <w:t>the</w:t>
      </w:r>
      <w:r>
        <w:rPr>
          <w:sz w:val="28"/>
          <w:szCs w:val="28"/>
        </w:rPr>
        <w:t xml:space="preserve"> health</w:t>
      </w:r>
      <w:r>
        <w:rPr>
          <w:sz w:val="28"/>
          <w:szCs w:val="28"/>
        </w:rPr>
        <w:t xml:space="preserve"> </w:t>
      </w:r>
      <w:r>
        <w:rPr>
          <w:sz w:val="28"/>
          <w:szCs w:val="28"/>
        </w:rPr>
        <w:t xml:space="preserve">of </w:t>
      </w:r>
      <w:r>
        <w:rPr>
          <w:sz w:val="28"/>
          <w:szCs w:val="28"/>
        </w:rPr>
        <w:t>an</w:t>
      </w:r>
      <w:r>
        <w:rPr>
          <w:sz w:val="28"/>
          <w:szCs w:val="28"/>
        </w:rPr>
        <w:t xml:space="preserve"> environment, </w:t>
      </w:r>
      <w:r>
        <w:rPr>
          <w:sz w:val="28"/>
          <w:szCs w:val="28"/>
        </w:rPr>
        <w:t xml:space="preserve">particularly, given the complexities involved with providing an all encompassing view of the ecology of a site, this technique offers a useful compromise. </w:t>
      </w:r>
    </w:p>
    <w:p>
      <w:pPr>
        <w:pStyle w:val="Normal"/>
        <w:rPr>
          <w:sz w:val="28"/>
          <w:szCs w:val="28"/>
        </w:rPr>
      </w:pPr>
      <w:r>
        <w:rPr>
          <w:sz w:val="28"/>
          <w:szCs w:val="28"/>
        </w:rPr>
      </w:r>
    </w:p>
    <w:p>
      <w:pPr>
        <w:pStyle w:val="Normal"/>
        <w:rPr>
          <w:b/>
          <w:bCs/>
          <w:sz w:val="32"/>
          <w:szCs w:val="32"/>
        </w:rPr>
      </w:pPr>
      <w:r>
        <w:rPr>
          <w:b/>
          <w:bCs/>
          <w:sz w:val="32"/>
          <w:szCs w:val="32"/>
        </w:rPr>
        <w:t xml:space="preserve">1.5 Reference List </w:t>
      </w:r>
    </w:p>
    <w:p>
      <w:pPr>
        <w:pStyle w:val="Normal"/>
        <w:rPr>
          <w:sz w:val="20"/>
          <w:szCs w:val="20"/>
        </w:rPr>
      </w:pPr>
      <w:r>
        <w:rPr>
          <w:sz w:val="20"/>
          <w:szCs w:val="20"/>
        </w:rPr>
        <w:t xml:space="preserve">Anon, (2013). </w:t>
      </w:r>
      <w:r>
        <w:rPr>
          <w:i/>
          <w:iCs/>
          <w:sz w:val="20"/>
          <w:szCs w:val="20"/>
        </w:rPr>
        <w:t>Friends of White Rock</w:t>
      </w:r>
      <w:r>
        <w:rPr>
          <w:sz w:val="20"/>
          <w:szCs w:val="20"/>
        </w:rPr>
        <w:t xml:space="preserve">. [Online]. Available at: </w:t>
      </w:r>
      <w:hyperlink r:id="rId8">
        <w:r>
          <w:rPr>
            <w:rStyle w:val="Hyperlink"/>
            <w:sz w:val="20"/>
            <w:szCs w:val="20"/>
          </w:rPr>
          <w:t>http://whiterocktrails.org/</w:t>
        </w:r>
      </w:hyperlink>
      <w:r>
        <w:rPr>
          <w:sz w:val="20"/>
          <w:szCs w:val="20"/>
        </w:rPr>
        <w:t>. [Accessed 10.03.25].</w:t>
      </w:r>
    </w:p>
    <w:p>
      <w:pPr>
        <w:pStyle w:val="Normal"/>
        <w:rPr>
          <w:sz w:val="20"/>
          <w:szCs w:val="20"/>
        </w:rPr>
      </w:pPr>
      <w:r>
        <w:rPr>
          <w:sz w:val="20"/>
          <w:szCs w:val="20"/>
        </w:rPr>
        <w:t xml:space="preserve">Beckett, K.P., Freer-Smith, P.H. and Taylor, G. (1998). </w:t>
      </w:r>
      <w:r>
        <w:rPr>
          <w:i/>
          <w:iCs/>
          <w:sz w:val="20"/>
          <w:szCs w:val="20"/>
        </w:rPr>
        <w:t>Urban woodlands: their role in reducing the effects of particulate pollution</w:t>
      </w:r>
      <w:r>
        <w:rPr>
          <w:sz w:val="20"/>
          <w:szCs w:val="20"/>
        </w:rPr>
        <w:t xml:space="preserve">. Environmental Pollution. 99(3), pp.347–360. Doi: </w:t>
      </w:r>
      <w:hyperlink r:id="rId9">
        <w:r>
          <w:rPr>
            <w:rStyle w:val="Hyperlink"/>
            <w:sz w:val="20"/>
            <w:szCs w:val="20"/>
          </w:rPr>
          <w:t>https://doi.org/10.1016/s0269-7491(98)00016-5</w:t>
        </w:r>
      </w:hyperlink>
      <w:r>
        <w:rPr>
          <w:sz w:val="20"/>
          <w:szCs w:val="20"/>
        </w:rPr>
        <w:t xml:space="preserve">. </w:t>
      </w:r>
    </w:p>
    <w:p>
      <w:pPr>
        <w:pStyle w:val="Normal"/>
        <w:rPr>
          <w:sz w:val="20"/>
          <w:szCs w:val="20"/>
        </w:rPr>
      </w:pPr>
      <w:r>
        <w:rPr>
          <w:sz w:val="20"/>
          <w:szCs w:val="20"/>
        </w:rPr>
        <w:t xml:space="preserve">Beland, M., Parker, G., Sparrow, B., Harding, D., Chasmer, L., Phinn, S., Antonarakis, A. and Strahler, A. (2019). </w:t>
      </w:r>
      <w:r>
        <w:rPr>
          <w:i/>
          <w:iCs/>
          <w:sz w:val="20"/>
          <w:szCs w:val="20"/>
        </w:rPr>
        <w:t>On promoting the use of lidar systems in forest ecosystem research</w:t>
      </w:r>
      <w:r>
        <w:rPr>
          <w:sz w:val="20"/>
          <w:szCs w:val="20"/>
        </w:rPr>
        <w:t>. Forest Ecology and Management, [</w:t>
      </w:r>
      <w:r>
        <w:rPr>
          <w:sz w:val="20"/>
          <w:szCs w:val="20"/>
        </w:rPr>
        <w:t>O</w:t>
      </w:r>
      <w:r>
        <w:rPr>
          <w:sz w:val="20"/>
          <w:szCs w:val="20"/>
        </w:rPr>
        <w:t xml:space="preserve">nline]. 450, p.117484. Doi: </w:t>
      </w:r>
      <w:hyperlink r:id="rId10">
        <w:r>
          <w:rPr>
            <w:rStyle w:val="Hyperlink"/>
            <w:sz w:val="20"/>
            <w:szCs w:val="20"/>
          </w:rPr>
          <w:t>https://doi.org/10.1016/j.foreco.2019.117484</w:t>
        </w:r>
      </w:hyperlink>
      <w:r>
        <w:rPr>
          <w:sz w:val="20"/>
          <w:szCs w:val="20"/>
        </w:rPr>
        <w:t xml:space="preserve">. </w:t>
      </w:r>
    </w:p>
    <w:p>
      <w:pPr>
        <w:pStyle w:val="Normal"/>
        <w:rPr>
          <w:sz w:val="16"/>
          <w:szCs w:val="16"/>
        </w:rPr>
      </w:pPr>
      <w:r>
        <w:rPr>
          <w:sz w:val="20"/>
          <w:szCs w:val="20"/>
        </w:rPr>
        <w:t xml:space="preserve">Bing Maps. (2023). Bing Maps. [Online]. Available at: </w:t>
      </w:r>
      <w:hyperlink r:id="rId11">
        <w:r>
          <w:rPr>
            <w:rStyle w:val="Hyperlink"/>
            <w:sz w:val="20"/>
            <w:szCs w:val="20"/>
          </w:rPr>
          <w:t>https://www.bing.com/maps?q=google+maps&amp;FORM=HDRSC7&amp;cp=51.622548%7E-3.937023&amp;lvl=15.0</w:t>
        </w:r>
      </w:hyperlink>
      <w:r>
        <w:rPr>
          <w:sz w:val="20"/>
          <w:szCs w:val="20"/>
        </w:rPr>
        <w:t xml:space="preserve">. [Accessed 03.03.25]. </w:t>
      </w:r>
    </w:p>
    <w:p>
      <w:pPr>
        <w:pStyle w:val="Normal"/>
        <w:rPr>
          <w:sz w:val="16"/>
          <w:szCs w:val="16"/>
        </w:rPr>
      </w:pPr>
      <w:r>
        <w:rPr>
          <w:sz w:val="20"/>
          <w:szCs w:val="20"/>
        </w:rPr>
        <w:t xml:space="preserve">Brainard, J., Bateman, I.J. and Lovett, A.A. (2009). </w:t>
      </w:r>
      <w:r>
        <w:rPr>
          <w:i/>
          <w:iCs/>
          <w:sz w:val="20"/>
          <w:szCs w:val="20"/>
        </w:rPr>
        <w:t>The social value of carbon sequestered in Great Britain’s woodlands</w:t>
      </w:r>
      <w:r>
        <w:rPr>
          <w:sz w:val="20"/>
          <w:szCs w:val="20"/>
        </w:rPr>
        <w:t>. Ecological Economics. 68(4), pp.1257–1267. Doi: https://doi.org/10.1016/j.ecolecon.2008.08.021.</w:t>
      </w:r>
    </w:p>
    <w:p>
      <w:pPr>
        <w:pStyle w:val="Normal"/>
        <w:rPr>
          <w:sz w:val="16"/>
          <w:szCs w:val="16"/>
        </w:rPr>
      </w:pPr>
      <w:r>
        <w:rPr>
          <w:sz w:val="20"/>
          <w:szCs w:val="20"/>
        </w:rPr>
        <w:t xml:space="preserve">Coops, N.C., Tompalski, P., Goodbody, T.R.H., Queinnec, M., Luther, J.E., Bolton, D.K., White, J.C., Wulder, M.A., van Lier, O.R. and Hermosilla, T. (2021). </w:t>
      </w:r>
      <w:r>
        <w:rPr>
          <w:i/>
          <w:iCs/>
          <w:sz w:val="20"/>
          <w:szCs w:val="20"/>
        </w:rPr>
        <w:t>Modelling lidar-derived estimates of forest attributes over space and time: A review of approaches and future trends</w:t>
      </w:r>
      <w:r>
        <w:rPr>
          <w:sz w:val="20"/>
          <w:szCs w:val="20"/>
        </w:rPr>
        <w:t>. Remote Sensing of Environment, [</w:t>
      </w:r>
      <w:r>
        <w:rPr>
          <w:sz w:val="20"/>
          <w:szCs w:val="20"/>
        </w:rPr>
        <w:t>O</w:t>
      </w:r>
      <w:r>
        <w:rPr>
          <w:sz w:val="20"/>
          <w:szCs w:val="20"/>
        </w:rPr>
        <w:t xml:space="preserve">nline]. 260, p.112477. Doi: https://doi.org/10.1016/j.rse.2021.112477. </w:t>
      </w:r>
    </w:p>
    <w:p>
      <w:pPr>
        <w:pStyle w:val="Normal"/>
        <w:rPr>
          <w:sz w:val="16"/>
          <w:szCs w:val="16"/>
        </w:rPr>
      </w:pPr>
      <w:r>
        <w:rPr>
          <w:sz w:val="20"/>
          <w:szCs w:val="20"/>
        </w:rPr>
        <w:t xml:space="preserve">Field Studies Council (n.d.). </w:t>
      </w:r>
      <w:r>
        <w:rPr>
          <w:i/>
          <w:iCs/>
          <w:sz w:val="20"/>
          <w:szCs w:val="20"/>
        </w:rPr>
        <w:t>Method for Carbon Cycle</w:t>
      </w:r>
      <w:r>
        <w:rPr>
          <w:sz w:val="20"/>
          <w:szCs w:val="20"/>
        </w:rPr>
        <w:t xml:space="preserve">. [Online]. Field Studies Council. Available at: </w:t>
      </w:r>
      <w:hyperlink r:id="rId12">
        <w:r>
          <w:rPr>
            <w:rStyle w:val="Hyperlink"/>
            <w:sz w:val="20"/>
            <w:szCs w:val="20"/>
          </w:rPr>
          <w:t>https://www.field-studies-council.org/resources/16-18-geography/water-and-carbon/carbon-cycle/method/</w:t>
        </w:r>
      </w:hyperlink>
      <w:r>
        <w:rPr>
          <w:sz w:val="20"/>
          <w:szCs w:val="20"/>
        </w:rPr>
        <w:t>. [Accessed 22.02.25].</w:t>
      </w:r>
    </w:p>
    <w:p>
      <w:pPr>
        <w:pStyle w:val="Normal"/>
        <w:rPr>
          <w:sz w:val="20"/>
          <w:szCs w:val="20"/>
        </w:rPr>
      </w:pPr>
      <w:r>
        <w:rPr>
          <w:sz w:val="20"/>
          <w:szCs w:val="20"/>
        </w:rPr>
        <w:t xml:space="preserve">Freedman, B., Stinson, G. and Lacoul, P. (2009). Carbon credits and the conservation of natural areas. Environmental Reviews, 17(NA), pp.1–19. Doi: </w:t>
      </w:r>
      <w:hyperlink r:id="rId13">
        <w:r>
          <w:rPr>
            <w:rStyle w:val="Hyperlink"/>
            <w:sz w:val="20"/>
            <w:szCs w:val="20"/>
          </w:rPr>
          <w:t>https://doi.org/10.1139/a08-007</w:t>
        </w:r>
      </w:hyperlink>
      <w:r>
        <w:rPr>
          <w:sz w:val="20"/>
          <w:szCs w:val="20"/>
        </w:rPr>
        <w:t xml:space="preserve">. </w:t>
      </w:r>
    </w:p>
    <w:p>
      <w:pPr>
        <w:pStyle w:val="Normal"/>
        <w:rPr/>
      </w:pPr>
      <w:r>
        <w:rPr>
          <w:sz w:val="20"/>
          <w:szCs w:val="20"/>
        </w:rPr>
        <w:t xml:space="preserve">Hunter, P. (2014). </w:t>
      </w:r>
      <w:r>
        <w:rPr>
          <w:i/>
          <w:iCs/>
          <w:sz w:val="20"/>
          <w:szCs w:val="20"/>
        </w:rPr>
        <w:t>Brown is the new green</w:t>
      </w:r>
      <w:r>
        <w:rPr>
          <w:sz w:val="20"/>
          <w:szCs w:val="20"/>
        </w:rPr>
        <w:t xml:space="preserve">. </w:t>
      </w:r>
      <w:r>
        <w:rPr>
          <w:i/>
          <w:iCs/>
          <w:sz w:val="20"/>
          <w:szCs w:val="20"/>
        </w:rPr>
        <w:t>EMBO reports</w:t>
      </w:r>
      <w:r>
        <w:rPr>
          <w:sz w:val="20"/>
          <w:szCs w:val="20"/>
        </w:rPr>
        <w:t xml:space="preserve">, 15(12), pp.1238–1242. Doi: </w:t>
      </w:r>
      <w:hyperlink r:id="rId14">
        <w:r>
          <w:rPr>
            <w:rStyle w:val="Hyperlink"/>
            <w:sz w:val="20"/>
            <w:szCs w:val="20"/>
          </w:rPr>
          <w:t>https://doi.org/10.15252/embr.201439736</w:t>
        </w:r>
      </w:hyperlink>
      <w:r>
        <w:rPr>
          <w:sz w:val="20"/>
          <w:szCs w:val="20"/>
        </w:rPr>
        <w:t>.</w:t>
      </w:r>
    </w:p>
    <w:p>
      <w:pPr>
        <w:pStyle w:val="Normal"/>
        <w:rPr>
          <w:sz w:val="16"/>
          <w:szCs w:val="16"/>
        </w:rPr>
      </w:pPr>
      <w:r>
        <w:rPr>
          <w:sz w:val="20"/>
          <w:szCs w:val="20"/>
        </w:rPr>
        <w:t xml:space="preserve">Johnston, R.J. (2019). </w:t>
      </w:r>
      <w:r>
        <w:rPr>
          <w:i/>
          <w:iCs/>
          <w:sz w:val="20"/>
          <w:szCs w:val="20"/>
        </w:rPr>
        <w:t>Ecosystem Services | Definition, History, &amp; Importance</w:t>
      </w:r>
      <w:r>
        <w:rPr>
          <w:sz w:val="20"/>
          <w:szCs w:val="20"/>
        </w:rPr>
        <w:t xml:space="preserve">. Encyclopedia Britannica. [Online]. Available at: </w:t>
      </w:r>
      <w:hyperlink r:id="rId15">
        <w:r>
          <w:rPr>
            <w:rStyle w:val="Hyperlink"/>
            <w:sz w:val="20"/>
            <w:szCs w:val="20"/>
          </w:rPr>
          <w:t>https://www.britannica.com/science/ecosystem-services</w:t>
        </w:r>
      </w:hyperlink>
      <w:r>
        <w:rPr>
          <w:sz w:val="20"/>
          <w:szCs w:val="20"/>
        </w:rPr>
        <w:t xml:space="preserve">. [Accessed 02.03.25]. </w:t>
      </w:r>
    </w:p>
    <w:p>
      <w:pPr>
        <w:pStyle w:val="Normal"/>
        <w:rPr>
          <w:sz w:val="16"/>
          <w:szCs w:val="16"/>
        </w:rPr>
      </w:pPr>
      <w:r>
        <w:rPr>
          <w:sz w:val="20"/>
          <w:szCs w:val="20"/>
        </w:rPr>
        <w:t xml:space="preserve">Kuzovkina, Y.A. and Volk, T.A. (2009). </w:t>
      </w:r>
      <w:r>
        <w:rPr>
          <w:i/>
          <w:iCs/>
          <w:sz w:val="20"/>
          <w:szCs w:val="20"/>
        </w:rPr>
        <w:t>The characterization of willow (Salix L.) varieties for use in ecological engineering applications: Co-ordination of structure, function and autecology</w:t>
      </w:r>
      <w:r>
        <w:rPr>
          <w:sz w:val="20"/>
          <w:szCs w:val="20"/>
        </w:rPr>
        <w:t xml:space="preserve">. Ecological Engineering, 35(8), pp.1178–1189. Doi: </w:t>
      </w:r>
      <w:hyperlink r:id="rId16">
        <w:r>
          <w:rPr>
            <w:rStyle w:val="Hyperlink"/>
            <w:sz w:val="20"/>
            <w:szCs w:val="20"/>
          </w:rPr>
          <w:t>https://doi.org/10.1016/j.ecoleng.2009.03.010</w:t>
        </w:r>
      </w:hyperlink>
      <w:r>
        <w:rPr>
          <w:sz w:val="20"/>
          <w:szCs w:val="20"/>
        </w:rPr>
        <w:t xml:space="preserve">. </w:t>
      </w:r>
    </w:p>
    <w:p>
      <w:pPr>
        <w:pStyle w:val="Normal"/>
        <w:rPr>
          <w:sz w:val="20"/>
          <w:szCs w:val="20"/>
        </w:rPr>
      </w:pPr>
      <w:r>
        <w:rPr>
          <w:sz w:val="20"/>
          <w:szCs w:val="20"/>
        </w:rPr>
        <w:t xml:space="preserve">Matthews, G. (1993). </w:t>
      </w:r>
      <w:r>
        <w:rPr>
          <w:i/>
          <w:iCs/>
          <w:sz w:val="20"/>
          <w:szCs w:val="20"/>
        </w:rPr>
        <w:t>Forestry Commission The Carbon Content of Trees Forestry Commission ARCHIVE</w:t>
      </w:r>
      <w:r>
        <w:rPr>
          <w:sz w:val="20"/>
          <w:szCs w:val="20"/>
        </w:rPr>
        <w:t xml:space="preserve">. [Online]. Available at: </w:t>
      </w:r>
      <w:hyperlink r:id="rId17">
        <w:r>
          <w:rPr>
            <w:rStyle w:val="Hyperlink"/>
            <w:sz w:val="20"/>
            <w:szCs w:val="20"/>
          </w:rPr>
          <w:t>https://cdn.forestresearch.gov.uk/1993/09/fctp004.pdf</w:t>
        </w:r>
      </w:hyperlink>
      <w:r>
        <w:rPr>
          <w:sz w:val="20"/>
          <w:szCs w:val="20"/>
        </w:rPr>
        <w:t>. [Accessed 22.02.25].</w:t>
      </w:r>
    </w:p>
    <w:p>
      <w:pPr>
        <w:pStyle w:val="Normal"/>
        <w:rPr>
          <w:sz w:val="20"/>
          <w:szCs w:val="20"/>
        </w:rPr>
      </w:pPr>
      <w:r>
        <w:rPr>
          <w:sz w:val="20"/>
          <w:szCs w:val="20"/>
        </w:rPr>
        <w:t xml:space="preserve">Mekonnen H.D. (2018). </w:t>
      </w:r>
      <w:r>
        <w:rPr>
          <w:i/>
          <w:iCs/>
          <w:sz w:val="20"/>
          <w:szCs w:val="20"/>
        </w:rPr>
        <w:t>The Role of Biodiversity and Ecosystem Services in Carbon Sequestration and its Implication for Climate Change Mitigation</w:t>
      </w:r>
      <w:r>
        <w:rPr>
          <w:sz w:val="20"/>
          <w:szCs w:val="20"/>
        </w:rPr>
        <w:t xml:space="preserve">. International Journal of Environmental Sciences and Natural Resources. Volume 11 Issue 2. Doi: 10.19080/IJESNR.2018.10.555810. </w:t>
      </w:r>
    </w:p>
    <w:p>
      <w:pPr>
        <w:pStyle w:val="Normal"/>
        <w:rPr>
          <w:sz w:val="20"/>
          <w:szCs w:val="20"/>
        </w:rPr>
      </w:pPr>
      <w:r>
        <w:rPr>
          <w:sz w:val="20"/>
          <w:szCs w:val="20"/>
        </w:rPr>
        <w:t xml:space="preserve">Natural Resources Wales (2022). </w:t>
      </w:r>
      <w:r>
        <w:rPr>
          <w:i/>
          <w:iCs/>
          <w:sz w:val="20"/>
          <w:szCs w:val="20"/>
        </w:rPr>
        <w:t>NRW / Lower Swansea Valley Forest Resource Plan – Approved 21 March 2022</w:t>
      </w:r>
      <w:r>
        <w:rPr>
          <w:sz w:val="20"/>
          <w:szCs w:val="20"/>
        </w:rPr>
        <w:t xml:space="preserve">. [Online]. Available at: </w:t>
      </w:r>
      <w:hyperlink r:id="rId18">
        <w:r>
          <w:rPr>
            <w:rStyle w:val="Hyperlink"/>
            <w:sz w:val="20"/>
            <w:szCs w:val="20"/>
          </w:rPr>
          <w:t>https://naturalresourceswales.gov.uk/about-us/what-we-do/strategies-plans-and-policies/forest-resource-plans/lower-swansea-valley-forest-resource-plan/?lang=en</w:t>
        </w:r>
      </w:hyperlink>
      <w:r>
        <w:rPr>
          <w:sz w:val="20"/>
          <w:szCs w:val="20"/>
        </w:rPr>
        <w:t>. [Accessed 10.03.25].</w:t>
      </w:r>
    </w:p>
    <w:p>
      <w:pPr>
        <w:pStyle w:val="Normal"/>
        <w:rPr>
          <w:sz w:val="20"/>
          <w:szCs w:val="20"/>
        </w:rPr>
      </w:pPr>
      <w:r>
        <w:rPr>
          <w:sz w:val="20"/>
          <w:szCs w:val="20"/>
        </w:rPr>
        <w:t xml:space="preserve">Natural </w:t>
      </w:r>
      <w:r>
        <w:rPr>
          <w:sz w:val="20"/>
          <w:szCs w:val="20"/>
        </w:rPr>
        <w:t xml:space="preserve">Resources Wales </w:t>
      </w:r>
      <w:r>
        <w:rPr>
          <w:sz w:val="20"/>
          <w:szCs w:val="20"/>
        </w:rPr>
        <w:t xml:space="preserve">(2019). </w:t>
      </w:r>
      <w:r>
        <w:rPr>
          <w:i/>
          <w:iCs/>
          <w:sz w:val="20"/>
          <w:szCs w:val="20"/>
        </w:rPr>
        <w:t>Natural Resources Wales / Mill Wood, near Swansea</w:t>
      </w:r>
      <w:r>
        <w:rPr>
          <w:sz w:val="20"/>
          <w:szCs w:val="20"/>
        </w:rPr>
        <w:t>, [</w:t>
      </w:r>
      <w:r>
        <w:rPr>
          <w:sz w:val="20"/>
          <w:szCs w:val="20"/>
        </w:rPr>
        <w:t>O</w:t>
      </w:r>
      <w:r>
        <w:rPr>
          <w:sz w:val="20"/>
          <w:szCs w:val="20"/>
        </w:rPr>
        <w:t xml:space="preserve">nline]. Available at: </w:t>
      </w:r>
      <w:hyperlink r:id="rId19">
        <w:r>
          <w:rPr>
            <w:rStyle w:val="Hyperlink"/>
            <w:sz w:val="20"/>
            <w:szCs w:val="20"/>
          </w:rPr>
          <w:t>https://naturalresourceswales.gov.uk/days-out/places-to-visit/south-west-wales/mill-wood/?lang=en</w:t>
        </w:r>
      </w:hyperlink>
      <w:r>
        <w:rPr>
          <w:sz w:val="20"/>
          <w:szCs w:val="20"/>
        </w:rPr>
        <w:t>. [Accessed 11.</w:t>
      </w:r>
      <w:r>
        <w:rPr>
          <w:sz w:val="20"/>
          <w:szCs w:val="20"/>
        </w:rPr>
        <w:t>03.25].</w:t>
      </w:r>
    </w:p>
    <w:p>
      <w:pPr>
        <w:pStyle w:val="Normal"/>
        <w:rPr>
          <w:sz w:val="20"/>
          <w:szCs w:val="20"/>
        </w:rPr>
      </w:pPr>
      <w:r>
        <w:rPr>
          <w:sz w:val="20"/>
          <w:szCs w:val="20"/>
        </w:rPr>
        <w:t xml:space="preserve">O’Brien, L., Morris, J. and Stewart, A. (2012). </w:t>
      </w:r>
      <w:r>
        <w:rPr>
          <w:i/>
          <w:iCs/>
          <w:sz w:val="20"/>
          <w:szCs w:val="20"/>
        </w:rPr>
        <w:t>Exploring relationships between peri-urban woodlands and people’s health and well-being</w:t>
      </w:r>
      <w:r>
        <w:rPr>
          <w:sz w:val="20"/>
          <w:szCs w:val="20"/>
        </w:rPr>
        <w:t xml:space="preserve">. [Online]. Available at: </w:t>
      </w:r>
      <w:hyperlink r:id="rId20">
        <w:r>
          <w:rPr>
            <w:rStyle w:val="Hyperlink"/>
            <w:sz w:val="20"/>
            <w:szCs w:val="20"/>
          </w:rPr>
          <w:t>https://cdn.forestresearch.gov.uk/2022/02/peri-urban_woods_and_health_report_2012.pdf</w:t>
        </w:r>
      </w:hyperlink>
      <w:r>
        <w:rPr>
          <w:sz w:val="20"/>
          <w:szCs w:val="20"/>
        </w:rPr>
        <w:t>. [Accessed 10.03.25].</w:t>
      </w:r>
    </w:p>
    <w:p>
      <w:pPr>
        <w:pStyle w:val="Normal"/>
        <w:rPr>
          <w:sz w:val="20"/>
          <w:szCs w:val="20"/>
        </w:rPr>
      </w:pPr>
      <w:r>
        <w:rPr>
          <w:sz w:val="20"/>
          <w:szCs w:val="20"/>
        </w:rPr>
        <w:t xml:space="preserve">Randle, T., Matthews, R. and Jenkins, T. (2011). </w:t>
      </w:r>
      <w:r>
        <w:rPr>
          <w:i/>
          <w:iCs/>
          <w:sz w:val="20"/>
          <w:szCs w:val="20"/>
        </w:rPr>
        <w:t>Technical Specification for the Biomass Equations Developed for the 2011 Forecast</w:t>
      </w:r>
      <w:r>
        <w:rPr>
          <w:sz w:val="20"/>
          <w:szCs w:val="20"/>
        </w:rPr>
        <w:t xml:space="preserve">. [Online]. Available at: </w:t>
      </w:r>
      <w:hyperlink r:id="rId21">
        <w:r>
          <w:rPr>
            <w:rStyle w:val="Hyperlink"/>
            <w:sz w:val="20"/>
            <w:szCs w:val="20"/>
          </w:rPr>
          <w:t>https://www.field-studies-council.org/wp-content/uploads/2024/02/revised-biomass-equations-27jan2014.pdf</w:t>
        </w:r>
      </w:hyperlink>
      <w:r>
        <w:rPr>
          <w:sz w:val="20"/>
          <w:szCs w:val="20"/>
        </w:rPr>
        <w:t>. [Accessed 22.02.25].</w:t>
      </w:r>
    </w:p>
    <w:p>
      <w:pPr>
        <w:pStyle w:val="BodyText"/>
        <w:spacing w:before="0" w:after="160"/>
        <w:rPr>
          <w:sz w:val="20"/>
          <w:szCs w:val="20"/>
        </w:rPr>
      </w:pPr>
      <w:r>
        <w:rPr>
          <w:sz w:val="20"/>
          <w:szCs w:val="20"/>
        </w:rPr>
        <w:t xml:space="preserve">Robins, N. (2023). Kilvey Hill Woodlands Ecological Constraints and Opportunities Plan (ECOP). [Online]. Available at: </w:t>
      </w:r>
      <w:hyperlink r:id="rId22" w:tgtFrame="_top">
        <w:r>
          <w:rPr>
            <w:rStyle w:val="Hyperlink"/>
            <w:sz w:val="20"/>
            <w:szCs w:val="20"/>
          </w:rPr>
          <w:t>https://www.academia.edu/99631307/Kilvey_Hill_Woodlands_Ecological_Constraints_and_Opportunities_Plan_ECOP</w:t>
        </w:r>
      </w:hyperlink>
      <w:r>
        <w:rPr>
          <w:sz w:val="20"/>
          <w:szCs w:val="20"/>
        </w:rPr>
        <w:t xml:space="preserve">_. [Accessed 03.03.25].  </w:t>
      </w:r>
    </w:p>
    <w:p>
      <w:pPr>
        <w:pStyle w:val="BodyText"/>
        <w:spacing w:before="0" w:after="160"/>
        <w:rPr>
          <w:sz w:val="20"/>
          <w:szCs w:val="20"/>
        </w:rPr>
      </w:pPr>
      <w:r>
        <w:rPr>
          <w:sz w:val="20"/>
          <w:szCs w:val="20"/>
        </w:rPr>
        <w:t xml:space="preserve">Swansea. (2024). </w:t>
      </w:r>
      <w:r>
        <w:rPr>
          <w:i/>
          <w:iCs/>
          <w:sz w:val="20"/>
          <w:szCs w:val="20"/>
        </w:rPr>
        <w:t>Rights of way – Swansea</w:t>
      </w:r>
      <w:r>
        <w:rPr>
          <w:sz w:val="20"/>
          <w:szCs w:val="20"/>
        </w:rPr>
        <w:t xml:space="preserve">. [Online]. Available at: </w:t>
      </w:r>
      <w:hyperlink r:id="rId23">
        <w:r>
          <w:rPr>
            <w:rStyle w:val="Hyperlink"/>
            <w:sz w:val="20"/>
            <w:szCs w:val="20"/>
          </w:rPr>
          <w:t>https://www.swansea.gov.uk/countrysideaccess?lang=en</w:t>
        </w:r>
      </w:hyperlink>
      <w:r>
        <w:rPr>
          <w:sz w:val="20"/>
          <w:szCs w:val="20"/>
        </w:rPr>
        <w:t>.  [Accessed 10.03.25].</w:t>
      </w:r>
    </w:p>
    <w:p>
      <w:pPr>
        <w:pStyle w:val="Normal"/>
        <w:rPr>
          <w:sz w:val="20"/>
          <w:szCs w:val="20"/>
        </w:rPr>
      </w:pPr>
      <w:r>
        <w:rPr>
          <w:sz w:val="20"/>
          <w:szCs w:val="20"/>
        </w:rPr>
        <w:t xml:space="preserve">Valeria (2022). </w:t>
      </w:r>
      <w:r>
        <w:rPr>
          <w:i/>
          <w:iCs/>
          <w:sz w:val="20"/>
          <w:szCs w:val="20"/>
        </w:rPr>
        <w:t>Which Trees Have The Best Carbon Sequestration Ability?</w:t>
      </w:r>
      <w:r>
        <w:rPr>
          <w:sz w:val="20"/>
          <w:szCs w:val="20"/>
        </w:rPr>
        <w:t xml:space="preserve"> [Online]. TenereTeam. Available at: </w:t>
      </w:r>
      <w:hyperlink r:id="rId24">
        <w:r>
          <w:rPr>
            <w:rStyle w:val="Hyperlink"/>
            <w:sz w:val="20"/>
            <w:szCs w:val="20"/>
          </w:rPr>
          <w:t>https://www.tenereteam.com/blogs/which-trees-have-the-best-carbon-sequestration-ability/</w:t>
        </w:r>
      </w:hyperlink>
      <w:r>
        <w:rPr>
          <w:sz w:val="20"/>
          <w:szCs w:val="20"/>
        </w:rPr>
        <w:t>?  [Accessed 08.03.05].</w:t>
      </w:r>
    </w:p>
    <w:p>
      <w:pPr>
        <w:pStyle w:val="Normal"/>
        <w:rPr>
          <w:sz w:val="20"/>
          <w:szCs w:val="20"/>
        </w:rPr>
      </w:pPr>
      <w:r>
        <w:rPr>
          <w:sz w:val="20"/>
          <w:szCs w:val="20"/>
        </w:rPr>
        <w:t xml:space="preserve">Wang, X. and Jia, Y. (2010). </w:t>
      </w:r>
      <w:r>
        <w:rPr>
          <w:i/>
          <w:iCs/>
          <w:sz w:val="20"/>
          <w:szCs w:val="20"/>
        </w:rPr>
        <w:t>Study on adsorption and remediation of heavy metals by poplar and larch in contaminated soil</w:t>
      </w:r>
      <w:r>
        <w:rPr>
          <w:sz w:val="20"/>
          <w:szCs w:val="20"/>
        </w:rPr>
        <w:t xml:space="preserve">. Environmental Science and Pollution Research. 17(7), pp.1331–1338. Doi: </w:t>
      </w:r>
      <w:hyperlink r:id="rId25">
        <w:r>
          <w:rPr>
            <w:rStyle w:val="Hyperlink"/>
            <w:sz w:val="20"/>
            <w:szCs w:val="20"/>
          </w:rPr>
          <w:t>https://doi.org/10.1007/s11356-010-0313-3</w:t>
        </w:r>
      </w:hyperlink>
      <w:r>
        <w:rPr>
          <w:sz w:val="20"/>
          <w:szCs w:val="20"/>
        </w:rPr>
        <w:t xml:space="preserve">. </w:t>
      </w:r>
    </w:p>
    <w:p>
      <w:pPr>
        <w:pStyle w:val="Normal"/>
        <w:spacing w:before="0" w:after="160"/>
        <w:rPr>
          <w:sz w:val="20"/>
          <w:szCs w:val="20"/>
        </w:rPr>
      </w:pPr>
      <w:r>
        <w:rPr>
          <w:sz w:val="20"/>
          <w:szCs w:val="20"/>
        </w:rPr>
        <w:t xml:space="preserve">Yin, C., Zhao, W., Ye, J., Muroki, M. and Pereira, P. (2023). </w:t>
      </w:r>
      <w:r>
        <w:rPr>
          <w:i/>
          <w:iCs/>
          <w:sz w:val="20"/>
          <w:szCs w:val="20"/>
        </w:rPr>
        <w:t>Ecosystem carbon sequestration service supports the Sustainable Development Goals progress</w:t>
      </w:r>
      <w:r>
        <w:rPr>
          <w:sz w:val="20"/>
          <w:szCs w:val="20"/>
        </w:rPr>
        <w:t xml:space="preserve">. Journal of Environmental Management. 330, p.117155. Doi: </w:t>
      </w:r>
      <w:hyperlink r:id="rId26">
        <w:r>
          <w:rPr>
            <w:rStyle w:val="Hyperlink"/>
            <w:sz w:val="20"/>
            <w:szCs w:val="20"/>
          </w:rPr>
          <w:t>https://doi.org/10.1016/j.jenvman.2022.117155</w:t>
        </w:r>
      </w:hyperlink>
      <w:r>
        <w:rPr>
          <w:sz w:val="20"/>
          <w:szCs w:val="20"/>
        </w:rPr>
        <w:t>.</w:t>
      </w:r>
    </w:p>
    <w:sectPr>
      <w:headerReference w:type="default" r:id="rId27"/>
      <w:footerReference w:type="default" r:id="rId28"/>
      <w:type w:val="nextPage"/>
      <w:pgSz w:w="11906" w:h="16838"/>
      <w:pgMar w:left="1440" w:right="1440" w:gutter="0" w:header="708" w:top="1440" w:footer="708" w:bottom="1440"/>
      <w:pgNumType w:start="0" w:fmt="decimal"/>
      <w:formProt w:val="false"/>
      <w:titlePg/>
      <w:textDirection w:val="lrTb"/>
      <w:docGrid w:type="default" w:linePitch="360"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25359115"/>
    </w:sdtPr>
    <w:sdtContent>
      <w:p>
        <w:pPr>
          <w:pStyle w:val="Footer"/>
          <w:jc w:val="right"/>
          <w:rPr/>
        </w:pPr>
        <w:r>
          <w:rPr/>
          <w:fldChar w:fldCharType="begin"/>
        </w:r>
        <w:r>
          <w:rPr/>
          <w:instrText xml:space="preserve"> PAGE </w:instrText>
        </w:r>
        <w:r>
          <w:rPr/>
          <w:fldChar w:fldCharType="separate"/>
        </w:r>
        <w:r>
          <w:rPr/>
          <w:t>10</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27"/>
        </w:tabs>
        <w:ind w:left="227" w:hanging="227"/>
      </w:pPr>
      <w:rPr>
        <w:rFonts w:ascii="Symbol" w:hAnsi="Symbol" w:cs="Symbol" w:hint="default"/>
      </w:rPr>
    </w:lvl>
    <w:lvl w:ilvl="1">
      <w:start w:val="1"/>
      <w:numFmt w:val="bullet"/>
      <w:lvlText w:val=""/>
      <w:lvlJc w:val="left"/>
      <w:pPr>
        <w:tabs>
          <w:tab w:val="num" w:pos="454"/>
        </w:tabs>
        <w:ind w:left="454" w:hanging="227"/>
      </w:pPr>
      <w:rPr>
        <w:rFonts w:ascii="Symbol" w:hAnsi="Symbol" w:cs="Symbol" w:hint="default"/>
      </w:rPr>
    </w:lvl>
    <w:lvl w:ilvl="2">
      <w:start w:val="1"/>
      <w:numFmt w:val="bullet"/>
      <w:lvlText w:val=""/>
      <w:lvlJc w:val="left"/>
      <w:pPr>
        <w:tabs>
          <w:tab w:val="num" w:pos="680"/>
        </w:tabs>
        <w:ind w:left="680" w:hanging="227"/>
      </w:pPr>
      <w:rPr>
        <w:rFonts w:ascii="Symbol" w:hAnsi="Symbol" w:cs="Symbol" w:hint="default"/>
      </w:rPr>
    </w:lvl>
    <w:lvl w:ilvl="3">
      <w:start w:val="1"/>
      <w:numFmt w:val="bullet"/>
      <w:lvlText w:val=""/>
      <w:lvlJc w:val="left"/>
      <w:pPr>
        <w:tabs>
          <w:tab w:val="num" w:pos="907"/>
        </w:tabs>
        <w:ind w:left="907" w:hanging="227"/>
      </w:pPr>
      <w:rPr>
        <w:rFonts w:ascii="Symbol" w:hAnsi="Symbol" w:cs="Symbol" w:hint="default"/>
      </w:rPr>
    </w:lvl>
    <w:lvl w:ilvl="4">
      <w:start w:val="1"/>
      <w:numFmt w:val="bullet"/>
      <w:lvlText w:val=""/>
      <w:lvlJc w:val="left"/>
      <w:pPr>
        <w:tabs>
          <w:tab w:val="num" w:pos="1134"/>
        </w:tabs>
        <w:ind w:left="1134" w:hanging="227"/>
      </w:pPr>
      <w:rPr>
        <w:rFonts w:ascii="Symbol" w:hAnsi="Symbol" w:cs="Symbol" w:hint="default"/>
      </w:rPr>
    </w:lvl>
    <w:lvl w:ilvl="5">
      <w:start w:val="1"/>
      <w:numFmt w:val="bullet"/>
      <w:lvlText w:val=""/>
      <w:lvlJc w:val="left"/>
      <w:pPr>
        <w:tabs>
          <w:tab w:val="num" w:pos="1361"/>
        </w:tabs>
        <w:ind w:left="1361" w:hanging="227"/>
      </w:pPr>
      <w:rPr>
        <w:rFonts w:ascii="Symbol" w:hAnsi="Symbol" w:cs="Symbol" w:hint="default"/>
      </w:rPr>
    </w:lvl>
    <w:lvl w:ilvl="6">
      <w:start w:val="1"/>
      <w:numFmt w:val="bullet"/>
      <w:lvlText w:val=""/>
      <w:lvlJc w:val="left"/>
      <w:pPr>
        <w:tabs>
          <w:tab w:val="num" w:pos="1587"/>
        </w:tabs>
        <w:ind w:left="1587" w:hanging="227"/>
      </w:pPr>
      <w:rPr>
        <w:rFonts w:ascii="Symbol" w:hAnsi="Symbol" w:cs="Symbol" w:hint="default"/>
      </w:rPr>
    </w:lvl>
    <w:lvl w:ilvl="7">
      <w:start w:val="1"/>
      <w:numFmt w:val="bullet"/>
      <w:lvlText w:val=""/>
      <w:lvlJc w:val="left"/>
      <w:pPr>
        <w:tabs>
          <w:tab w:val="num" w:pos="1814"/>
        </w:tabs>
        <w:ind w:left="1814" w:hanging="227"/>
      </w:pPr>
      <w:rPr>
        <w:rFonts w:ascii="Symbol" w:hAnsi="Symbol" w:cs="Symbol" w:hint="default"/>
      </w:rPr>
    </w:lvl>
    <w:lvl w:ilvl="8">
      <w:start w:val="1"/>
      <w:numFmt w:val="bullet"/>
      <w:lvlText w:val=""/>
      <w:lvlJc w:val="left"/>
      <w:pPr>
        <w:tabs>
          <w:tab w:val="num" w:pos="2041"/>
        </w:tabs>
        <w:ind w:left="2041" w:hanging="227"/>
      </w:pPr>
      <w:rPr>
        <w:rFonts w:ascii="Symbol" w:hAnsi="Symbol" w:cs="Symbol"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 w:val="22"/>
        <w:szCs w:val="22"/>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59" w:before="0" w:after="160"/>
      <w:jc w:val="left"/>
    </w:pPr>
    <w:rPr>
      <w:rFonts w:ascii="Aptos" w:hAnsi="Aptos" w:eastAsia="Aptos" w:cs="" w:asciiTheme="minorHAnsi" w:cstheme="minorBidi" w:eastAsiaTheme="minorHAnsi" w:hAnsiTheme="minorHAnsi"/>
      <w:color w:val="auto"/>
      <w:kern w:val="2"/>
      <w:sz w:val="22"/>
      <w:szCs w:val="22"/>
      <w:lang w:val="en-GB" w:eastAsia="en-US" w:bidi="ar-SA"/>
      <w14:ligatures w14:val="standardContextual"/>
    </w:rPr>
  </w:style>
  <w:style w:type="paragraph" w:styleId="Heading1">
    <w:name w:val="Heading 1"/>
    <w:basedOn w:val="Normal"/>
    <w:next w:val="Normal"/>
    <w:link w:val="Heading1Char"/>
    <w:uiPriority w:val="9"/>
    <w:qFormat/>
    <w:rsid w:val="00367675"/>
    <w:pPr>
      <w:keepNext w:val="true"/>
      <w:keepLines/>
      <w:spacing w:before="360" w:after="80"/>
      <w:outlineLvl w:val="0"/>
    </w:pPr>
    <w:rPr>
      <w:rFonts w:ascii="Aptos Display" w:hAnsi="Aptos Display" w:eastAsia="" w:cs=""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Heading2Char"/>
    <w:uiPriority w:val="9"/>
    <w:semiHidden/>
    <w:unhideWhenUsed/>
    <w:qFormat/>
    <w:rsid w:val="00367675"/>
    <w:pPr>
      <w:keepNext w:val="true"/>
      <w:keepLines/>
      <w:spacing w:before="160" w:after="80"/>
      <w:outlineLvl w:val="1"/>
    </w:pPr>
    <w:rPr>
      <w:rFonts w:ascii="Aptos Display" w:hAnsi="Aptos Display" w:eastAsia="" w:cs=""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semiHidden/>
    <w:unhideWhenUsed/>
    <w:qFormat/>
    <w:rsid w:val="00367675"/>
    <w:pPr>
      <w:keepNext w:val="true"/>
      <w:keepLines/>
      <w:spacing w:before="160" w:after="80"/>
      <w:outlineLvl w:val="2"/>
    </w:pPr>
    <w:rPr>
      <w:rFonts w:eastAsia="" w:cs="" w:cstheme="majorBidi" w:eastAsiaTheme="majorEastAsia"/>
      <w:color w:themeColor="accent1" w:themeShade="bf" w:val="0F4761"/>
      <w:sz w:val="28"/>
      <w:szCs w:val="28"/>
    </w:rPr>
  </w:style>
  <w:style w:type="paragraph" w:styleId="Heading4">
    <w:name w:val="Heading 4"/>
    <w:basedOn w:val="Normal"/>
    <w:next w:val="Normal"/>
    <w:link w:val="Heading4Char"/>
    <w:uiPriority w:val="9"/>
    <w:semiHidden/>
    <w:unhideWhenUsed/>
    <w:qFormat/>
    <w:rsid w:val="00367675"/>
    <w:pPr>
      <w:keepNext w:val="true"/>
      <w:keepLines/>
      <w:spacing w:before="80" w:after="40"/>
      <w:outlineLvl w:val="3"/>
    </w:pPr>
    <w:rPr>
      <w:rFonts w:eastAsia="" w:cs=""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367675"/>
    <w:pPr>
      <w:keepNext w:val="true"/>
      <w:keepLines/>
      <w:spacing w:before="80" w:after="40"/>
      <w:outlineLvl w:val="4"/>
    </w:pPr>
    <w:rPr>
      <w:rFonts w:eastAsia="" w:cs=""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367675"/>
    <w:pPr>
      <w:keepNext w:val="true"/>
      <w:keepLines/>
      <w:spacing w:before="40" w:after="0"/>
      <w:outlineLvl w:val="5"/>
    </w:pPr>
    <w:rPr>
      <w:rFonts w:eastAsia="" w:cs=""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367675"/>
    <w:pPr>
      <w:keepNext w:val="true"/>
      <w:keepLines/>
      <w:spacing w:before="40" w:after="0"/>
      <w:outlineLvl w:val="6"/>
    </w:pPr>
    <w:rPr>
      <w:rFonts w:eastAsia="" w:cs=""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367675"/>
    <w:pPr>
      <w:keepNext w:val="true"/>
      <w:keepLines/>
      <w:spacing w:before="0" w:after="0"/>
      <w:outlineLvl w:val="7"/>
    </w:pPr>
    <w:rPr>
      <w:rFonts w:eastAsia="" w:cs=""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367675"/>
    <w:pPr>
      <w:keepNext w:val="true"/>
      <w:keepLines/>
      <w:spacing w:before="0" w:after="0"/>
      <w:outlineLvl w:val="8"/>
    </w:pPr>
    <w:rPr>
      <w:rFonts w:eastAsia="" w:cs="" w:cstheme="majorBidi" w:eastAsiaTheme="majorEastAsia"/>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367675"/>
    <w:rPr>
      <w:rFonts w:ascii="Aptos Display" w:hAnsi="Aptos Display" w:eastAsia="" w:cs="" w:asciiTheme="majorHAnsi" w:cstheme="majorBidi" w:eastAsiaTheme="majorEastAsia" w:hAnsiTheme="majorHAnsi"/>
      <w:color w:themeColor="accent1" w:themeShade="bf" w:val="0F4761"/>
      <w:sz w:val="40"/>
      <w:szCs w:val="40"/>
    </w:rPr>
  </w:style>
  <w:style w:type="character" w:styleId="Heading2Char" w:customStyle="1">
    <w:name w:val="Heading 2 Char"/>
    <w:basedOn w:val="DefaultParagraphFont"/>
    <w:link w:val="Heading2"/>
    <w:uiPriority w:val="9"/>
    <w:semiHidden/>
    <w:qFormat/>
    <w:rsid w:val="00367675"/>
    <w:rPr>
      <w:rFonts w:ascii="Aptos Display" w:hAnsi="Aptos Display" w:eastAsia="" w:cs=""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semiHidden/>
    <w:qFormat/>
    <w:rsid w:val="00367675"/>
    <w:rPr>
      <w:rFonts w:eastAsia="" w:cs=""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semiHidden/>
    <w:qFormat/>
    <w:rsid w:val="00367675"/>
    <w:rPr>
      <w:rFonts w:eastAsia="" w:cs=""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367675"/>
    <w:rPr>
      <w:rFonts w:eastAsia="" w:cs=""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367675"/>
    <w:rPr>
      <w:rFonts w:eastAsia="" w:cs=""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367675"/>
    <w:rPr>
      <w:rFonts w:eastAsia="" w:cs=""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367675"/>
    <w:rPr>
      <w:rFonts w:eastAsia="" w:cs=""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367675"/>
    <w:rPr>
      <w:rFonts w:eastAsia="" w:cs="" w:cstheme="majorBidi" w:eastAsiaTheme="majorEastAsia"/>
      <w:color w:themeColor="text1" w:themeTint="d8" w:val="272727"/>
    </w:rPr>
  </w:style>
  <w:style w:type="character" w:styleId="TitleChar" w:customStyle="1">
    <w:name w:val="Title Char"/>
    <w:basedOn w:val="DefaultParagraphFont"/>
    <w:link w:val="Title"/>
    <w:uiPriority w:val="10"/>
    <w:qFormat/>
    <w:rsid w:val="00367675"/>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367675"/>
    <w:rPr>
      <w:rFonts w:eastAsia="" w:cs=""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367675"/>
    <w:rPr>
      <w:i/>
      <w:iCs/>
      <w:color w:themeColor="text1" w:themeTint="bf" w:val="404040"/>
    </w:rPr>
  </w:style>
  <w:style w:type="character" w:styleId="IntenseEmphasis">
    <w:name w:val="Intense Emphasis"/>
    <w:basedOn w:val="DefaultParagraphFont"/>
    <w:uiPriority w:val="21"/>
    <w:qFormat/>
    <w:rsid w:val="00367675"/>
    <w:rPr>
      <w:i/>
      <w:iCs/>
      <w:color w:themeColor="accent1" w:themeShade="bf" w:val="0F4761"/>
    </w:rPr>
  </w:style>
  <w:style w:type="character" w:styleId="IntenseQuoteChar" w:customStyle="1">
    <w:name w:val="Intense Quote Char"/>
    <w:basedOn w:val="DefaultParagraphFont"/>
    <w:link w:val="IntenseQuote"/>
    <w:uiPriority w:val="30"/>
    <w:qFormat/>
    <w:rsid w:val="00367675"/>
    <w:rPr>
      <w:i/>
      <w:iCs/>
      <w:color w:themeColor="accent1" w:themeShade="bf" w:val="0F4761"/>
    </w:rPr>
  </w:style>
  <w:style w:type="character" w:styleId="IntenseReference">
    <w:name w:val="Intense Reference"/>
    <w:basedOn w:val="DefaultParagraphFont"/>
    <w:uiPriority w:val="32"/>
    <w:qFormat/>
    <w:rsid w:val="00367675"/>
    <w:rPr>
      <w:b/>
      <w:bCs/>
      <w:smallCaps/>
      <w:color w:themeColor="accent1" w:themeShade="bf" w:val="0F4761"/>
      <w:spacing w:val="5"/>
    </w:rPr>
  </w:style>
  <w:style w:type="character" w:styleId="NoSpacingChar" w:customStyle="1">
    <w:name w:val="No Spacing Char"/>
    <w:basedOn w:val="DefaultParagraphFont"/>
    <w:link w:val="NoSpacing"/>
    <w:uiPriority w:val="1"/>
    <w:qFormat/>
    <w:rsid w:val="00367675"/>
    <w:rPr>
      <w:rFonts w:eastAsia="" w:eastAsiaTheme="minorEastAsia"/>
      <w:kern w:val="0"/>
      <w:lang w:val="en-US"/>
    </w:rPr>
  </w:style>
  <w:style w:type="character" w:styleId="HeaderChar" w:customStyle="1">
    <w:name w:val="Header Char"/>
    <w:basedOn w:val="DefaultParagraphFont"/>
    <w:link w:val="Header"/>
    <w:uiPriority w:val="99"/>
    <w:qFormat/>
    <w:rsid w:val="00695903"/>
    <w:rPr/>
  </w:style>
  <w:style w:type="character" w:styleId="FooterChar" w:customStyle="1">
    <w:name w:val="Footer Char"/>
    <w:basedOn w:val="DefaultParagraphFont"/>
    <w:link w:val="Footer"/>
    <w:uiPriority w:val="99"/>
    <w:qFormat/>
    <w:rsid w:val="00695903"/>
    <w:rPr/>
  </w:style>
  <w:style w:type="character" w:styleId="Hyperlink">
    <w:name w:val="Hyperlink"/>
    <w:rPr>
      <w:color w:val="000080"/>
      <w:u w:val="single"/>
    </w:rPr>
  </w:style>
  <w:style w:type="character" w:styleId="NumberingSymbols" w:customStyle="1">
    <w:name w:val="Numbering Symbols"/>
    <w:qFormat/>
    <w:rPr/>
  </w:style>
  <w:style w:type="character" w:styleId="Strong">
    <w:name w:val="Strong"/>
    <w:qFormat/>
    <w:rPr>
      <w:b/>
      <w:bCs/>
    </w:rPr>
  </w:style>
  <w:style w:type="character" w:styleId="Bullets" w:customStyle="1">
    <w:name w:val="Bullets"/>
    <w:qFormat/>
    <w:rPr>
      <w:rFonts w:ascii="OpenSymbol" w:hAnsi="OpenSymbol" w:eastAsia="OpenSymbol" w:cs="OpenSymbol"/>
    </w:rPr>
  </w:style>
  <w:style w:type="character" w:styleId="UnresolvedMention">
    <w:name w:val="Unresolved Mention"/>
    <w:basedOn w:val="DefaultParagraphFont"/>
    <w:uiPriority w:val="99"/>
    <w:semiHidden/>
    <w:unhideWhenUsed/>
    <w:qFormat/>
    <w:rsid w:val="00ae7a23"/>
    <w:rPr>
      <w:color w:val="605E5C"/>
      <w:shd w:fill="E1DFDD" w:val="clear"/>
    </w:rPr>
  </w:style>
  <w:style w:type="paragraph" w:styleId="Heading" w:customStyle="1">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rFonts w:cs="Arial"/>
    </w:rPr>
  </w:style>
  <w:style w:type="paragraph" w:styleId="Caption1">
    <w:name w:val="caption1"/>
    <w:basedOn w:val="Normal"/>
    <w:qFormat/>
    <w:pPr>
      <w:suppressLineNumbers/>
      <w:spacing w:before="120" w:after="120"/>
    </w:pPr>
    <w:rPr>
      <w:rFonts w:cs="Arial"/>
      <w:i/>
      <w:iCs/>
      <w:sz w:val="24"/>
      <w:szCs w:val="24"/>
    </w:rPr>
  </w:style>
  <w:style w:type="paragraph" w:styleId="Title">
    <w:name w:val="Title"/>
    <w:basedOn w:val="Normal"/>
    <w:next w:val="Normal"/>
    <w:link w:val="TitleChar"/>
    <w:uiPriority w:val="10"/>
    <w:qFormat/>
    <w:rsid w:val="00367675"/>
    <w:pPr>
      <w:spacing w:lineRule="auto" w:line="240" w:before="0" w:after="80"/>
      <w:contextualSpacing/>
    </w:pPr>
    <w:rPr>
      <w:rFonts w:ascii="Aptos Display" w:hAnsi="Aptos Display" w:eastAsia="" w:cs="" w:asciiTheme="majorHAnsi" w:cstheme="majorBidi" w:eastAsiaTheme="majorEastAsia" w:hAnsiTheme="majorHAnsi"/>
      <w:spacing w:val="-10"/>
      <w:sz w:val="56"/>
      <w:szCs w:val="56"/>
    </w:rPr>
  </w:style>
  <w:style w:type="paragraph" w:styleId="Subtitle">
    <w:name w:val="Subtitle"/>
    <w:basedOn w:val="Normal"/>
    <w:next w:val="Normal"/>
    <w:link w:val="SubtitleChar"/>
    <w:uiPriority w:val="11"/>
    <w:qFormat/>
    <w:rsid w:val="00367675"/>
    <w:pPr/>
    <w:rPr>
      <w:rFonts w:eastAsia="" w:cs=""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367675"/>
    <w:pPr>
      <w:spacing w:before="160" w:after="160"/>
      <w:jc w:val="center"/>
    </w:pPr>
    <w:rPr>
      <w:i/>
      <w:iCs/>
      <w:color w:themeColor="text1" w:themeTint="bf" w:val="404040"/>
    </w:rPr>
  </w:style>
  <w:style w:type="paragraph" w:styleId="ListParagraph">
    <w:name w:val="List Paragraph"/>
    <w:basedOn w:val="Normal"/>
    <w:uiPriority w:val="34"/>
    <w:qFormat/>
    <w:rsid w:val="00367675"/>
    <w:pPr>
      <w:spacing w:before="0" w:after="160"/>
      <w:ind w:left="720"/>
      <w:contextualSpacing/>
    </w:pPr>
    <w:rPr/>
  </w:style>
  <w:style w:type="paragraph" w:styleId="IntenseQuote">
    <w:name w:val="Intense Quote"/>
    <w:basedOn w:val="Normal"/>
    <w:next w:val="Normal"/>
    <w:link w:val="IntenseQuoteChar"/>
    <w:uiPriority w:val="30"/>
    <w:qFormat/>
    <w:rsid w:val="00367675"/>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paragraph" w:styleId="NoSpacing">
    <w:name w:val="No Spacing"/>
    <w:link w:val="NoSpacingChar"/>
    <w:uiPriority w:val="1"/>
    <w:qFormat/>
    <w:rsid w:val="00367675"/>
    <w:pPr>
      <w:widowControl/>
      <w:suppressAutoHyphens w:val="true"/>
      <w:bidi w:val="0"/>
      <w:spacing w:before="0" w:after="0"/>
      <w:jc w:val="left"/>
    </w:pPr>
    <w:rPr>
      <w:rFonts w:ascii="Aptos" w:hAnsi="Aptos" w:eastAsia="" w:eastAsiaTheme="minorEastAsia" w:cs=""/>
      <w:color w:val="auto"/>
      <w:kern w:val="0"/>
      <w:sz w:val="22"/>
      <w:szCs w:val="22"/>
      <w:lang w:val="en-US" w:eastAsia="en-US" w:bidi="ar-SA"/>
    </w:rPr>
  </w:style>
  <w:style w:type="paragraph" w:styleId="HeaderandFooter" w:customStyle="1">
    <w:name w:val="Header and Footer"/>
    <w:basedOn w:val="Normal"/>
    <w:qFormat/>
    <w:pPr/>
    <w:rPr/>
  </w:style>
  <w:style w:type="paragraph" w:styleId="Header">
    <w:name w:val="Header"/>
    <w:basedOn w:val="Normal"/>
    <w:link w:val="HeaderChar"/>
    <w:uiPriority w:val="99"/>
    <w:unhideWhenUsed/>
    <w:rsid w:val="00695903"/>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695903"/>
    <w:pPr>
      <w:tabs>
        <w:tab w:val="clear" w:pos="720"/>
        <w:tab w:val="center" w:pos="4513" w:leader="none"/>
        <w:tab w:val="right" w:pos="9026" w:leader="none"/>
      </w:tabs>
      <w:spacing w:lineRule="auto" w:line="240" w:before="0" w:after="0"/>
    </w:pPr>
    <w:rPr/>
  </w:style>
  <w:style w:type="paragraph" w:styleId="FrameContents" w:customStyle="1">
    <w:name w:val="Frame Contents"/>
    <w:basedOn w:val="Normal"/>
    <w:qFormat/>
    <w:pPr/>
    <w:rPr/>
  </w:style>
  <w:style w:type="paragraph" w:styleId="Figure" w:customStyle="1">
    <w:name w:val="Figure"/>
    <w:basedOn w:val="Caption1"/>
    <w:qFormat/>
    <w:pPr/>
    <w:rPr/>
  </w:style>
  <w:style w:type="paragraph" w:styleId="Drawing" w:customStyle="1">
    <w:name w:val="Drawing"/>
    <w:basedOn w:val="Caption1"/>
    <w:qFormat/>
    <w:pPr/>
    <w:rPr/>
  </w:style>
  <w:style w:type="numbering" w:styleId="NoList" w:default="1">
    <w:name w:val="No List"/>
    <w:uiPriority w:val="99"/>
    <w:semiHidden/>
    <w:unhideWhenUsed/>
    <w:qFormat/>
  </w:style>
  <w:style w:type="numbering" w:styleId="Bullet" w:customStyle="1">
    <w:name w:val="Bullet •"/>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image" Target="media/image2.png"/><Relationship Id="rId5" Type="http://schemas.openxmlformats.org/officeDocument/2006/relationships/image" Target="media/image2.png"/><Relationship Id="rId6" Type="http://schemas.openxmlformats.org/officeDocument/2006/relationships/chart" Target="charts/chart1.xml"/><Relationship Id="rId7" Type="http://schemas.openxmlformats.org/officeDocument/2006/relationships/chart" Target="charts/chart2.xml"/><Relationship Id="rId8" Type="http://schemas.openxmlformats.org/officeDocument/2006/relationships/hyperlink" Target="http://whiterocktrails.org/" TargetMode="External"/><Relationship Id="rId9" Type="http://schemas.openxmlformats.org/officeDocument/2006/relationships/hyperlink" Target="https://doi.org/10.1016/s0269-7491(98)00016-5" TargetMode="External"/><Relationship Id="rId10" Type="http://schemas.openxmlformats.org/officeDocument/2006/relationships/hyperlink" Target="https://doi.org/10.1016/j.foreco.2019.117484" TargetMode="External"/><Relationship Id="rId11" Type="http://schemas.openxmlformats.org/officeDocument/2006/relationships/hyperlink" Target="https://www.bing.com/maps?q=google+maps&amp;FORM=HDRSC7&amp;cp=51.622548~-3.937023&amp;lvl=15.0" TargetMode="External"/><Relationship Id="rId12" Type="http://schemas.openxmlformats.org/officeDocument/2006/relationships/hyperlink" Target="https://www.field-studies-council.org/resources/16-18-geography/water-and-carbon/carbon-cycle/method/" TargetMode="External"/><Relationship Id="rId13" Type="http://schemas.openxmlformats.org/officeDocument/2006/relationships/hyperlink" Target="https://doi.org/10.1139/a08-007" TargetMode="External"/><Relationship Id="rId14" Type="http://schemas.openxmlformats.org/officeDocument/2006/relationships/hyperlink" Target="https://doi.org/10.15252/embr.201439736" TargetMode="External"/><Relationship Id="rId15" Type="http://schemas.openxmlformats.org/officeDocument/2006/relationships/hyperlink" Target="https://www.britannica.com/science/ecosystem-services" TargetMode="External"/><Relationship Id="rId16" Type="http://schemas.openxmlformats.org/officeDocument/2006/relationships/hyperlink" Target="https://doi.org/10.1016/j.ecoleng.2009.03.010" TargetMode="External"/><Relationship Id="rId17" Type="http://schemas.openxmlformats.org/officeDocument/2006/relationships/hyperlink" Target="https://cdn.forestresearch.gov.uk/1993/09/fctp004.pdf" TargetMode="External"/><Relationship Id="rId18" Type="http://schemas.openxmlformats.org/officeDocument/2006/relationships/hyperlink" Target="https://naturalresourceswales.gov.uk/about-us/what-we-do/strategies-plans-and-policies/forest-resource-plans/lower-swansea-valley-forest-resource-plan/?lang=en" TargetMode="External"/><Relationship Id="rId19" Type="http://schemas.openxmlformats.org/officeDocument/2006/relationships/hyperlink" Target="https://naturalresourceswales.gov.uk/days-out/places-to-visit/south-west-wales/mill-wood/?lang=en" TargetMode="External"/><Relationship Id="rId20" Type="http://schemas.openxmlformats.org/officeDocument/2006/relationships/hyperlink" Target="https://cdn.forestresearch.gov.uk/2022/02/peri-urban_woods_and_health_report_2012.pdf" TargetMode="External"/><Relationship Id="rId21" Type="http://schemas.openxmlformats.org/officeDocument/2006/relationships/hyperlink" Target="https://www.field-studies-council.org/wp-content/uploads/2024/02/revised-biomass-equations-27jan2014.pdf" TargetMode="External"/><Relationship Id="rId22" Type="http://schemas.openxmlformats.org/officeDocument/2006/relationships/hyperlink" Target="https://www.academia.edu/99631307/Kilvey_Hill_Woodlands_Ecological_Constraints_and_Opportunities_Plan_ECOP" TargetMode="External"/><Relationship Id="rId23" Type="http://schemas.openxmlformats.org/officeDocument/2006/relationships/hyperlink" Target="https://www.swansea.gov.uk/countrysideaccess?lang=en" TargetMode="External"/><Relationship Id="rId24" Type="http://schemas.openxmlformats.org/officeDocument/2006/relationships/hyperlink" Target="https://www.tenereteam.com/blogs/which-trees-have-the-best-carbon-sequestration-ability/" TargetMode="External"/><Relationship Id="rId25" Type="http://schemas.openxmlformats.org/officeDocument/2006/relationships/hyperlink" Target="https://doi.org/10.1007/s11356-010-0313-3" TargetMode="External"/><Relationship Id="rId26" Type="http://schemas.openxmlformats.org/officeDocument/2006/relationships/hyperlink" Target="https://doi.org/10.1016/j.jenvman.2022.117155" TargetMode="Externa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numbering" Target="numbering.xml"/><Relationship Id="rId30" Type="http://schemas.openxmlformats.org/officeDocument/2006/relationships/fontTable" Target="fontTable.xml"/><Relationship Id="rId31" Type="http://schemas.openxmlformats.org/officeDocument/2006/relationships/settings" Target="settings.xml"/><Relationship Id="rId32" Type="http://schemas.openxmlformats.org/officeDocument/2006/relationships/theme" Target="theme/theme1.xml"/>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lang="en-GB" sz="1300" spc="-1" strike="noStrike">
                <a:solidFill>
                  <a:srgbClr val="000000"/>
                </a:solidFill>
                <a:latin typeface="Arial"/>
              </a:defRPr>
            </a:pPr>
            <a:r>
              <a:rPr b="0" lang="en-GB" sz="1300" spc="-1" strike="noStrike">
                <a:solidFill>
                  <a:srgbClr val="000000"/>
                </a:solidFill>
                <a:latin typeface="Arial"/>
              </a:rPr>
              <a:t>Larch vs Sycamore Overall Biomass</a:t>
            </a:r>
          </a:p>
        </c:rich>
      </c:tx>
      <c:overlay val="0"/>
      <c:spPr>
        <a:noFill/>
        <a:ln w="0">
          <a:noFill/>
        </a:ln>
      </c:spPr>
    </c:title>
    <c:autoTitleDeleted val="0"/>
    <c:plotArea>
      <c:lineChart>
        <c:grouping val="standard"/>
        <c:varyColors val="0"/>
        <c:ser>
          <c:idx val="0"/>
          <c:order val="0"/>
          <c:tx>
            <c:strRef>
              <c:f>label 0</c:f>
              <c:strCache>
                <c:ptCount val="1"/>
                <c:pt idx="0">
                  <c:v>Larch Species</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b="0" sz="1000" spc="-1" strike="noStrike">
                    <a:solidFill>
                      <a:srgbClr val="000000"/>
                    </a:solidFill>
                    <a:latin typeface="Arial"/>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7"/>
                <c:pt idx="0">
                  <c:v>1</c:v>
                </c:pt>
                <c:pt idx="1">
                  <c:v>2</c:v>
                </c:pt>
                <c:pt idx="2">
                  <c:v>3</c:v>
                </c:pt>
                <c:pt idx="3">
                  <c:v>4</c:v>
                </c:pt>
                <c:pt idx="4">
                  <c:v>5</c:v>
                </c:pt>
                <c:pt idx="5">
                  <c:v>6</c:v>
                </c:pt>
                <c:pt idx="6">
                  <c:v>7</c:v>
                </c:pt>
              </c:strCache>
            </c:strRef>
          </c:cat>
          <c:val>
            <c:numRef>
              <c:f>0</c:f>
              <c:numCache>
                <c:formatCode>General</c:formatCode>
                <c:ptCount val="7"/>
                <c:pt idx="0">
                  <c:v>0.11</c:v>
                </c:pt>
                <c:pt idx="1">
                  <c:v>0.67</c:v>
                </c:pt>
                <c:pt idx="2">
                  <c:v>0.27</c:v>
                </c:pt>
                <c:pt idx="3">
                  <c:v>0.54</c:v>
                </c:pt>
                <c:pt idx="4">
                  <c:v>0.42</c:v>
                </c:pt>
                <c:pt idx="5">
                  <c:v>0.34</c:v>
                </c:pt>
                <c:pt idx="6">
                  <c:v>0.05</c:v>
                </c:pt>
              </c:numCache>
            </c:numRef>
          </c:val>
          <c:smooth val="0"/>
        </c:ser>
        <c:ser>
          <c:idx val="1"/>
          <c:order val="1"/>
          <c:tx>
            <c:strRef>
              <c:f>label 1</c:f>
              <c:strCache>
                <c:ptCount val="1"/>
                <c:pt idx="0">
                  <c:v>Sycamore Species</c:v>
                </c:pt>
              </c:strCache>
            </c:strRef>
          </c:tx>
          <c:spPr>
            <a:solidFill>
              <a:srgbClr val="ff420e"/>
            </a:solidFill>
            <a:ln w="28800">
              <a:solidFill>
                <a:srgbClr val="ff420e"/>
              </a:solidFill>
              <a:round/>
            </a:ln>
          </c:spPr>
          <c:marker>
            <c:symbol val="diamond"/>
            <c:size val="8"/>
            <c:spPr>
              <a:solidFill>
                <a:srgbClr val="ff420e"/>
              </a:solidFill>
            </c:spPr>
          </c:marker>
          <c:dLbls>
            <c:txPr>
              <a:bodyPr wrap="none"/>
              <a:lstStyle/>
              <a:p>
                <a:pPr>
                  <a:defRPr b="0" sz="1000" spc="-1" strike="noStrike">
                    <a:solidFill>
                      <a:srgbClr val="000000"/>
                    </a:solidFill>
                    <a:latin typeface="Arial"/>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7"/>
                <c:pt idx="0">
                  <c:v>1</c:v>
                </c:pt>
                <c:pt idx="1">
                  <c:v>2</c:v>
                </c:pt>
                <c:pt idx="2">
                  <c:v>3</c:v>
                </c:pt>
                <c:pt idx="3">
                  <c:v>4</c:v>
                </c:pt>
                <c:pt idx="4">
                  <c:v>5</c:v>
                </c:pt>
                <c:pt idx="5">
                  <c:v>6</c:v>
                </c:pt>
                <c:pt idx="6">
                  <c:v>7</c:v>
                </c:pt>
              </c:strCache>
            </c:strRef>
          </c:cat>
          <c:val>
            <c:numRef>
              <c:f>1</c:f>
              <c:numCache>
                <c:formatCode>General</c:formatCode>
                <c:ptCount val="7"/>
                <c:pt idx="0">
                  <c:v>0.03</c:v>
                </c:pt>
                <c:pt idx="1">
                  <c:v>0</c:v>
                </c:pt>
                <c:pt idx="2">
                  <c:v>0</c:v>
                </c:pt>
                <c:pt idx="3">
                  <c:v>0.02</c:v>
                </c:pt>
                <c:pt idx="4">
                  <c:v>0</c:v>
                </c:pt>
                <c:pt idx="5">
                  <c:v>0.03</c:v>
                </c:pt>
                <c:pt idx="6">
                  <c:v>0.03</c:v>
                </c:pt>
              </c:numCache>
            </c:numRef>
          </c:val>
          <c:smooth val="0"/>
        </c:ser>
        <c:hiLowLines>
          <c:spPr>
            <a:ln w="0">
              <a:noFill/>
            </a:ln>
          </c:spPr>
        </c:hiLowLines>
        <c:marker val="1"/>
        <c:axId val="88980460"/>
        <c:axId val="90348169"/>
      </c:lineChart>
      <c:catAx>
        <c:axId val="88980460"/>
        <c:scaling>
          <c:orientation val="minMax"/>
        </c:scaling>
        <c:delete val="0"/>
        <c:axPos val="b"/>
        <c:majorGridlines>
          <c:spPr>
            <a:ln w="0">
              <a:solidFill>
                <a:srgbClr val="b3b3b3"/>
              </a:solidFill>
            </a:ln>
          </c:spPr>
        </c:majorGridlines>
        <c:title>
          <c:tx>
            <c:rich>
              <a:bodyPr rot="0"/>
              <a:lstStyle/>
              <a:p>
                <a:pPr>
                  <a:defRPr b="0" lang="en-GB" sz="900" spc="-1" strike="noStrike">
                    <a:solidFill>
                      <a:srgbClr val="000000"/>
                    </a:solidFill>
                    <a:latin typeface="Arial"/>
                  </a:defRPr>
                </a:pPr>
                <a:r>
                  <a:rPr b="0" lang="en-GB" sz="900" spc="-1" strike="noStrike">
                    <a:solidFill>
                      <a:srgbClr val="000000"/>
                    </a:solidFill>
                    <a:latin typeface="Arial"/>
                  </a:rPr>
                  <a:t>Tree</a:t>
                </a:r>
              </a:p>
            </c:rich>
          </c:tx>
          <c:overlay val="0"/>
          <c:spPr>
            <a:noFill/>
            <a:ln w="0">
              <a:noFill/>
            </a:ln>
          </c:spPr>
        </c:title>
        <c:numFmt formatCode="[$-809]dd/mm/yyyy" sourceLinked="0"/>
        <c:majorTickMark val="out"/>
        <c:minorTickMark val="none"/>
        <c:tickLblPos val="nextTo"/>
        <c:spPr>
          <a:ln w="0">
            <a:solidFill>
              <a:srgbClr val="b3b3b3"/>
            </a:solidFill>
          </a:ln>
        </c:spPr>
        <c:txPr>
          <a:bodyPr/>
          <a:lstStyle/>
          <a:p>
            <a:pPr>
              <a:defRPr b="0" sz="1000" spc="-1" strike="noStrike">
                <a:solidFill>
                  <a:srgbClr val="000000"/>
                </a:solidFill>
                <a:latin typeface="Arial"/>
              </a:defRPr>
            </a:pPr>
          </a:p>
        </c:txPr>
        <c:crossAx val="90348169"/>
        <c:crosses val="autoZero"/>
        <c:auto val="1"/>
        <c:lblAlgn val="ctr"/>
        <c:lblOffset val="100"/>
        <c:noMultiLvlLbl val="0"/>
      </c:catAx>
      <c:valAx>
        <c:axId val="90348169"/>
        <c:scaling>
          <c:orientation val="minMax"/>
        </c:scaling>
        <c:delete val="0"/>
        <c:axPos val="l"/>
        <c:majorGridlines>
          <c:spPr>
            <a:ln w="0">
              <a:solidFill>
                <a:srgbClr val="b3b3b3"/>
              </a:solidFill>
            </a:ln>
          </c:spPr>
        </c:majorGridlines>
        <c:title>
          <c:tx>
            <c:rich>
              <a:bodyPr rot="-5400000"/>
              <a:lstStyle/>
              <a:p>
                <a:pPr>
                  <a:defRPr b="0" lang="en-GB" sz="900" spc="-1" strike="noStrike">
                    <a:solidFill>
                      <a:srgbClr val="000000"/>
                    </a:solidFill>
                    <a:latin typeface="Arial"/>
                  </a:defRPr>
                </a:pPr>
                <a:r>
                  <a:rPr b="0" lang="en-GB" sz="900" spc="-1" strike="noStrike">
                    <a:solidFill>
                      <a:srgbClr val="000000"/>
                    </a:solidFill>
                    <a:latin typeface="Arial"/>
                  </a:rPr>
                  <a:t>Biomass</a:t>
                </a:r>
              </a:p>
            </c:rich>
          </c:tx>
          <c:overlay val="0"/>
          <c:spPr>
            <a:noFill/>
            <a:ln w="0">
              <a:noFill/>
            </a:ln>
          </c:spPr>
        </c:title>
        <c:numFmt formatCode="General" sourceLinked="0"/>
        <c:majorTickMark val="out"/>
        <c:minorTickMark val="none"/>
        <c:tickLblPos val="nextTo"/>
        <c:spPr>
          <a:ln w="0">
            <a:solidFill>
              <a:srgbClr val="b3b3b3"/>
            </a:solidFill>
          </a:ln>
        </c:spPr>
        <c:txPr>
          <a:bodyPr/>
          <a:lstStyle/>
          <a:p>
            <a:pPr>
              <a:defRPr b="0" sz="1000" spc="-1" strike="noStrike">
                <a:solidFill>
                  <a:srgbClr val="000000"/>
                </a:solidFill>
                <a:latin typeface="Arial"/>
              </a:defRPr>
            </a:pPr>
          </a:p>
        </c:txPr>
        <c:crossAx val="88980460"/>
        <c:crosses val="autoZero"/>
        <c:crossBetween val="midCat"/>
      </c:valAx>
      <c:spPr>
        <a:noFill/>
        <a:ln w="0">
          <a:solidFill>
            <a:srgbClr val="b3b3b3"/>
          </a:solidFill>
        </a:ln>
      </c:spPr>
    </c:plotArea>
    <c:legend>
      <c:legendPos val="r"/>
      <c:layout>
        <c:manualLayout>
          <c:xMode val="edge"/>
          <c:yMode val="edge"/>
          <c:x val="0.734"/>
          <c:y val="0.412222222222222"/>
          <c:w val="0.252703293955872"/>
          <c:h val="0.235248360928992"/>
        </c:manualLayout>
      </c:layout>
      <c:overlay val="0"/>
      <c:spPr>
        <a:noFill/>
        <a:ln w="0">
          <a:noFill/>
        </a:ln>
      </c:spPr>
      <c:txPr>
        <a:bodyPr/>
        <a:lstStyle/>
        <a:p>
          <a:pPr>
            <a:defRPr b="0" sz="1000" spc="-1" strike="noStrike">
              <a:solidFill>
                <a:srgbClr val="000000"/>
              </a:solidFill>
              <a:latin typeface="Arial"/>
            </a:defRPr>
          </a:pPr>
        </a:p>
      </c:txPr>
    </c:legend>
    <c:plotVisOnly val="1"/>
    <c:dispBlanksAs val="gap"/>
  </c:chart>
  <c:spPr>
    <a:noFill/>
    <a:ln w="0">
      <a:noFill/>
    </a:ln>
  </c:spPr>
</c:chartSpace>
</file>

<file path=word/charts/chart2.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lang="en-GB" sz="1300" spc="-1" strike="noStrike">
                <a:solidFill>
                  <a:srgbClr val="000000"/>
                </a:solidFill>
                <a:latin typeface="Arial"/>
              </a:defRPr>
            </a:pPr>
            <a:r>
              <a:rPr b="0" lang="en-GB" sz="1300" spc="-1" strike="noStrike">
                <a:solidFill>
                  <a:srgbClr val="000000"/>
                </a:solidFill>
                <a:latin typeface="Arial"/>
              </a:rPr>
              <a:t>Larch vs Sycamore Overall Biomass</a:t>
            </a:r>
          </a:p>
        </c:rich>
      </c:tx>
      <c:overlay val="0"/>
      <c:spPr>
        <a:noFill/>
        <a:ln w="0">
          <a:noFill/>
        </a:ln>
      </c:spPr>
    </c:title>
    <c:autoTitleDeleted val="0"/>
    <c:plotArea>
      <c:lineChart>
        <c:grouping val="standard"/>
        <c:varyColors val="0"/>
        <c:ser>
          <c:idx val="0"/>
          <c:order val="0"/>
          <c:tx>
            <c:strRef>
              <c:f>label 0</c:f>
              <c:strCache>
                <c:ptCount val="1"/>
                <c:pt idx="0">
                  <c:v>Larch Species</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b="0" sz="1000" spc="-1" strike="noStrike">
                    <a:solidFill>
                      <a:srgbClr val="000000"/>
                    </a:solidFill>
                    <a:latin typeface="Arial"/>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7"/>
                <c:pt idx="0">
                  <c:v>1</c:v>
                </c:pt>
                <c:pt idx="1">
                  <c:v>2</c:v>
                </c:pt>
                <c:pt idx="2">
                  <c:v>3</c:v>
                </c:pt>
                <c:pt idx="3">
                  <c:v>4</c:v>
                </c:pt>
                <c:pt idx="4">
                  <c:v>5</c:v>
                </c:pt>
                <c:pt idx="5">
                  <c:v>6</c:v>
                </c:pt>
                <c:pt idx="6">
                  <c:v>7</c:v>
                </c:pt>
              </c:strCache>
            </c:strRef>
          </c:cat>
          <c:val>
            <c:numRef>
              <c:f>0</c:f>
              <c:numCache>
                <c:formatCode>General</c:formatCode>
                <c:ptCount val="7"/>
                <c:pt idx="0">
                  <c:v>0.11</c:v>
                </c:pt>
                <c:pt idx="1">
                  <c:v>0.67</c:v>
                </c:pt>
                <c:pt idx="2">
                  <c:v>0.27</c:v>
                </c:pt>
                <c:pt idx="3">
                  <c:v>0.54</c:v>
                </c:pt>
                <c:pt idx="4">
                  <c:v>0.42</c:v>
                </c:pt>
                <c:pt idx="5">
                  <c:v>0.34</c:v>
                </c:pt>
                <c:pt idx="6">
                  <c:v>0.05</c:v>
                </c:pt>
              </c:numCache>
            </c:numRef>
          </c:val>
          <c:smooth val="0"/>
        </c:ser>
        <c:ser>
          <c:idx val="1"/>
          <c:order val="1"/>
          <c:tx>
            <c:strRef>
              <c:f>label 1</c:f>
              <c:strCache>
                <c:ptCount val="1"/>
                <c:pt idx="0">
                  <c:v>Sycamore Species</c:v>
                </c:pt>
              </c:strCache>
            </c:strRef>
          </c:tx>
          <c:spPr>
            <a:solidFill>
              <a:srgbClr val="ff420e"/>
            </a:solidFill>
            <a:ln w="28800">
              <a:solidFill>
                <a:srgbClr val="ff420e"/>
              </a:solidFill>
              <a:round/>
            </a:ln>
          </c:spPr>
          <c:marker>
            <c:symbol val="diamond"/>
            <c:size val="8"/>
            <c:spPr>
              <a:solidFill>
                <a:srgbClr val="ff420e"/>
              </a:solidFill>
            </c:spPr>
          </c:marker>
          <c:dLbls>
            <c:txPr>
              <a:bodyPr wrap="none"/>
              <a:lstStyle/>
              <a:p>
                <a:pPr>
                  <a:defRPr b="0" sz="1000" spc="-1" strike="noStrike">
                    <a:solidFill>
                      <a:srgbClr val="000000"/>
                    </a:solidFill>
                    <a:latin typeface="Arial"/>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7"/>
                <c:pt idx="0">
                  <c:v>1</c:v>
                </c:pt>
                <c:pt idx="1">
                  <c:v>2</c:v>
                </c:pt>
                <c:pt idx="2">
                  <c:v>3</c:v>
                </c:pt>
                <c:pt idx="3">
                  <c:v>4</c:v>
                </c:pt>
                <c:pt idx="4">
                  <c:v>5</c:v>
                </c:pt>
                <c:pt idx="5">
                  <c:v>6</c:v>
                </c:pt>
                <c:pt idx="6">
                  <c:v>7</c:v>
                </c:pt>
              </c:strCache>
            </c:strRef>
          </c:cat>
          <c:val>
            <c:numRef>
              <c:f>1</c:f>
              <c:numCache>
                <c:formatCode>General</c:formatCode>
                <c:ptCount val="7"/>
                <c:pt idx="0">
                  <c:v>0.03</c:v>
                </c:pt>
                <c:pt idx="1">
                  <c:v>0</c:v>
                </c:pt>
                <c:pt idx="2">
                  <c:v>0</c:v>
                </c:pt>
                <c:pt idx="3">
                  <c:v>0.02</c:v>
                </c:pt>
                <c:pt idx="4">
                  <c:v>0</c:v>
                </c:pt>
                <c:pt idx="5">
                  <c:v>0.03</c:v>
                </c:pt>
                <c:pt idx="6">
                  <c:v>0.03</c:v>
                </c:pt>
              </c:numCache>
            </c:numRef>
          </c:val>
          <c:smooth val="0"/>
        </c:ser>
        <c:hiLowLines>
          <c:spPr>
            <a:ln w="0">
              <a:noFill/>
            </a:ln>
          </c:spPr>
        </c:hiLowLines>
        <c:marker val="1"/>
        <c:axId val="15759947"/>
        <c:axId val="53235766"/>
      </c:lineChart>
      <c:catAx>
        <c:axId val="15759947"/>
        <c:scaling>
          <c:orientation val="minMax"/>
        </c:scaling>
        <c:delete val="0"/>
        <c:axPos val="b"/>
        <c:majorGridlines>
          <c:spPr>
            <a:ln w="0">
              <a:solidFill>
                <a:srgbClr val="b3b3b3"/>
              </a:solidFill>
            </a:ln>
          </c:spPr>
        </c:majorGridlines>
        <c:title>
          <c:tx>
            <c:rich>
              <a:bodyPr rot="0"/>
              <a:lstStyle/>
              <a:p>
                <a:pPr>
                  <a:defRPr b="0" lang="en-GB" sz="900" spc="-1" strike="noStrike">
                    <a:solidFill>
                      <a:srgbClr val="000000"/>
                    </a:solidFill>
                    <a:latin typeface="Arial"/>
                  </a:defRPr>
                </a:pPr>
                <a:r>
                  <a:rPr b="0" lang="en-GB" sz="900" spc="-1" strike="noStrike">
                    <a:solidFill>
                      <a:srgbClr val="000000"/>
                    </a:solidFill>
                    <a:latin typeface="Arial"/>
                  </a:rPr>
                  <a:t>Tree</a:t>
                </a:r>
              </a:p>
            </c:rich>
          </c:tx>
          <c:overlay val="0"/>
          <c:spPr>
            <a:noFill/>
            <a:ln w="0">
              <a:noFill/>
            </a:ln>
          </c:spPr>
        </c:title>
        <c:numFmt formatCode="[$-809]dd/mm/yyyy" sourceLinked="0"/>
        <c:majorTickMark val="out"/>
        <c:minorTickMark val="none"/>
        <c:tickLblPos val="nextTo"/>
        <c:spPr>
          <a:ln w="0">
            <a:solidFill>
              <a:srgbClr val="b3b3b3"/>
            </a:solidFill>
          </a:ln>
        </c:spPr>
        <c:txPr>
          <a:bodyPr/>
          <a:lstStyle/>
          <a:p>
            <a:pPr>
              <a:defRPr b="0" sz="1000" spc="-1" strike="noStrike">
                <a:solidFill>
                  <a:srgbClr val="000000"/>
                </a:solidFill>
                <a:latin typeface="Arial"/>
              </a:defRPr>
            </a:pPr>
          </a:p>
        </c:txPr>
        <c:crossAx val="53235766"/>
        <c:crosses val="autoZero"/>
        <c:auto val="1"/>
        <c:lblAlgn val="ctr"/>
        <c:lblOffset val="100"/>
        <c:noMultiLvlLbl val="0"/>
      </c:catAx>
      <c:valAx>
        <c:axId val="53235766"/>
        <c:scaling>
          <c:orientation val="minMax"/>
        </c:scaling>
        <c:delete val="0"/>
        <c:axPos val="l"/>
        <c:majorGridlines>
          <c:spPr>
            <a:ln w="0">
              <a:solidFill>
                <a:srgbClr val="b3b3b3"/>
              </a:solidFill>
            </a:ln>
          </c:spPr>
        </c:majorGridlines>
        <c:title>
          <c:tx>
            <c:rich>
              <a:bodyPr rot="-5400000"/>
              <a:lstStyle/>
              <a:p>
                <a:pPr>
                  <a:defRPr b="0" lang="en-GB" sz="900" spc="-1" strike="noStrike">
                    <a:solidFill>
                      <a:srgbClr val="000000"/>
                    </a:solidFill>
                    <a:latin typeface="Arial"/>
                  </a:defRPr>
                </a:pPr>
                <a:r>
                  <a:rPr b="0" lang="en-GB" sz="900" spc="-1" strike="noStrike">
                    <a:solidFill>
                      <a:srgbClr val="000000"/>
                    </a:solidFill>
                    <a:latin typeface="Arial"/>
                  </a:rPr>
                  <a:t>Biomass</a:t>
                </a:r>
              </a:p>
            </c:rich>
          </c:tx>
          <c:overlay val="0"/>
          <c:spPr>
            <a:noFill/>
            <a:ln w="0">
              <a:noFill/>
            </a:ln>
          </c:spPr>
        </c:title>
        <c:numFmt formatCode="General" sourceLinked="0"/>
        <c:majorTickMark val="out"/>
        <c:minorTickMark val="none"/>
        <c:tickLblPos val="nextTo"/>
        <c:spPr>
          <a:ln w="0">
            <a:solidFill>
              <a:srgbClr val="b3b3b3"/>
            </a:solidFill>
          </a:ln>
        </c:spPr>
        <c:txPr>
          <a:bodyPr/>
          <a:lstStyle/>
          <a:p>
            <a:pPr>
              <a:defRPr b="0" sz="1000" spc="-1" strike="noStrike">
                <a:solidFill>
                  <a:srgbClr val="000000"/>
                </a:solidFill>
                <a:latin typeface="Arial"/>
              </a:defRPr>
            </a:pPr>
          </a:p>
        </c:txPr>
        <c:crossAx val="15759947"/>
        <c:crosses val="autoZero"/>
        <c:crossBetween val="midCat"/>
      </c:valAx>
      <c:spPr>
        <a:noFill/>
        <a:ln w="0">
          <a:solidFill>
            <a:srgbClr val="b3b3b3"/>
          </a:solidFill>
        </a:ln>
      </c:spPr>
    </c:plotArea>
    <c:legend>
      <c:legendPos val="r"/>
      <c:layout>
        <c:manualLayout>
          <c:xMode val="edge"/>
          <c:yMode val="edge"/>
          <c:x val="0.734"/>
          <c:y val="0.412222222222222"/>
          <c:w val="0.252703293955872"/>
          <c:h val="0.235248360928992"/>
        </c:manualLayout>
      </c:layout>
      <c:overlay val="0"/>
      <c:spPr>
        <a:noFill/>
        <a:ln w="0">
          <a:noFill/>
        </a:ln>
      </c:spPr>
      <c:txPr>
        <a:bodyPr/>
        <a:lstStyle/>
        <a:p>
          <a:pPr>
            <a:defRPr b="0" sz="1000" spc="-1" strike="noStrike">
              <a:solidFill>
                <a:srgbClr val="000000"/>
              </a:solidFill>
              <a:latin typeface="Arial"/>
            </a:defRPr>
          </a:pPr>
        </a:p>
      </c:txPr>
    </c:legend>
    <c:plotVisOnly val="1"/>
    <c:dispBlanksAs val="gap"/>
  </c:chart>
  <c:spPr>
    <a:noFill/>
    <a:ln w="0">
      <a:noFill/>
    </a:ln>
  </c:spPr>
</c:chartSpace>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231</TotalTime>
  <Application>LibreOffice/7.6.2.1$Windows_X86_64 LibreOffice_project/56f7684011345957bbf33a7ee678afaf4d2ba333</Application>
  <AppVersion>15.0000</AppVersion>
  <Pages>11</Pages>
  <Words>2208</Words>
  <Characters>13763</Characters>
  <CharactersWithSpaces>15907</CharactersWithSpaces>
  <Paragraphs>109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2025-02-24T13:17:00Z</dcterms:created>
  <dc:creator>Sam Godden</dc:creator>
  <dc:description/>
  <dc:language>en-GB</dc:language>
  <cp:lastModifiedBy/>
  <dcterms:modified xsi:type="dcterms:W3CDTF">2025-03-11T15:51:28Z</dcterms:modified>
  <cp:revision>19</cp:revision>
  <dc:subject>Carbon Sequestration Report</dc:subject>
  <dc:title>White Rock Herritage Park Woodland Analysis</dc:title>
</cp:coreProperties>
</file>

<file path=docProps/custom.xml><?xml version="1.0" encoding="utf-8"?>
<Properties xmlns="http://schemas.openxmlformats.org/officeDocument/2006/custom-properties" xmlns:vt="http://schemas.openxmlformats.org/officeDocument/2006/docPropsVTypes"/>
</file>