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73EF7" w14:textId="77777777" w:rsidR="00702D0A" w:rsidRPr="00EA5420" w:rsidRDefault="00702D0A"/>
    <w:p w14:paraId="7F875DF2" w14:textId="77777777" w:rsidR="00702D0A" w:rsidRPr="00EA5420" w:rsidRDefault="00702D0A"/>
    <w:p w14:paraId="072C136A" w14:textId="77777777" w:rsidR="00702D0A" w:rsidRPr="00EA5420" w:rsidRDefault="00702D0A"/>
    <w:p w14:paraId="40F17EC8" w14:textId="77777777" w:rsidR="00702D0A" w:rsidRDefault="00702D0A">
      <w:pPr>
        <w:rPr>
          <w:rFonts w:eastAsia="宋体"/>
          <w:lang w:eastAsia="zh-CN"/>
        </w:rPr>
      </w:pPr>
    </w:p>
    <w:p w14:paraId="09C702E6" w14:textId="77777777" w:rsidR="00995C18" w:rsidRDefault="00995C18">
      <w:pPr>
        <w:rPr>
          <w:rFonts w:eastAsia="宋体"/>
          <w:lang w:eastAsia="zh-CN"/>
        </w:rPr>
      </w:pPr>
    </w:p>
    <w:p w14:paraId="143EAAB8" w14:textId="77777777" w:rsidR="00995C18" w:rsidRDefault="00995C18">
      <w:pPr>
        <w:rPr>
          <w:rFonts w:eastAsia="宋体"/>
          <w:lang w:eastAsia="zh-CN"/>
        </w:rPr>
      </w:pPr>
    </w:p>
    <w:p w14:paraId="71A045C9" w14:textId="77777777" w:rsidR="00995C18" w:rsidRDefault="00995C18">
      <w:pPr>
        <w:rPr>
          <w:rFonts w:eastAsia="宋体"/>
          <w:lang w:eastAsia="zh-CN"/>
        </w:rPr>
      </w:pPr>
    </w:p>
    <w:p w14:paraId="64ADD1A0" w14:textId="77777777" w:rsidR="00995C18" w:rsidRPr="00995C18" w:rsidRDefault="00995C18">
      <w:pPr>
        <w:rPr>
          <w:rFonts w:eastAsia="宋体"/>
          <w:lang w:eastAsia="zh-CN"/>
        </w:rPr>
      </w:pPr>
    </w:p>
    <w:p w14:paraId="4AB4D1D2" w14:textId="15E237A3" w:rsidR="00EA5420" w:rsidRPr="00EA5420" w:rsidRDefault="00000000" w:rsidP="00EA5420">
      <w:pPr>
        <w:spacing w:after="200" w:line="276" w:lineRule="auto"/>
        <w:jc w:val="center"/>
        <w:rPr>
          <w:rFonts w:eastAsia="宋体"/>
          <w:lang w:eastAsia="zh-CN"/>
        </w:rPr>
      </w:pPr>
      <w:r w:rsidRPr="00EA5420">
        <w:rPr>
          <w:b/>
          <w:sz w:val="36"/>
          <w:szCs w:val="36"/>
        </w:rPr>
        <w:t>Digital Optimisation of Human Resource Management at Keep: A Qualitative Study of Digital Learning, Performance Management and Employee Engagement</w:t>
      </w:r>
    </w:p>
    <w:p w14:paraId="67651163" w14:textId="2DE87A9E" w:rsidR="00702D0A" w:rsidRPr="00EA5420" w:rsidRDefault="00000000">
      <w:pPr>
        <w:spacing w:after="80" w:line="312" w:lineRule="auto"/>
        <w:jc w:val="center"/>
      </w:pPr>
      <w:r w:rsidRPr="00EA5420">
        <w:t>Module: BMMB7028 Business Research</w:t>
      </w:r>
    </w:p>
    <w:p w14:paraId="2B58ED4A" w14:textId="77777777" w:rsidR="00702D0A" w:rsidRPr="00EA5420" w:rsidRDefault="00000000">
      <w:pPr>
        <w:spacing w:after="80" w:line="312" w:lineRule="auto"/>
        <w:jc w:val="center"/>
      </w:pPr>
      <w:r w:rsidRPr="00EA5420">
        <w:t>Assessment: Research Proposal Report</w:t>
      </w:r>
    </w:p>
    <w:p w14:paraId="0D94000F" w14:textId="24380C22" w:rsidR="00702D0A" w:rsidRPr="00EA5420" w:rsidRDefault="00000000">
      <w:pPr>
        <w:spacing w:after="80" w:line="312" w:lineRule="auto"/>
        <w:jc w:val="center"/>
        <w:rPr>
          <w:rFonts w:eastAsia="宋体"/>
          <w:lang w:eastAsia="zh-CN"/>
        </w:rPr>
      </w:pPr>
      <w:r w:rsidRPr="00EA5420">
        <w:t xml:space="preserve">Student name: </w:t>
      </w:r>
      <w:proofErr w:type="spellStart"/>
      <w:r w:rsidR="00EA5420" w:rsidRPr="00EA5420">
        <w:rPr>
          <w:rFonts w:eastAsia="宋体" w:hint="eastAsia"/>
          <w:lang w:eastAsia="zh-CN"/>
        </w:rPr>
        <w:t>Yanmo</w:t>
      </w:r>
      <w:proofErr w:type="spellEnd"/>
      <w:r w:rsidR="00EA5420" w:rsidRPr="00EA5420">
        <w:rPr>
          <w:rFonts w:eastAsia="宋体" w:hint="eastAsia"/>
          <w:lang w:eastAsia="zh-CN"/>
        </w:rPr>
        <w:t xml:space="preserve"> Liu</w:t>
      </w:r>
    </w:p>
    <w:p w14:paraId="01D30091" w14:textId="4CB1C377" w:rsidR="00702D0A" w:rsidRPr="00EA5420" w:rsidRDefault="00000000">
      <w:pPr>
        <w:spacing w:after="80" w:line="312" w:lineRule="auto"/>
        <w:jc w:val="center"/>
        <w:rPr>
          <w:rFonts w:eastAsia="宋体"/>
          <w:lang w:eastAsia="zh-CN"/>
        </w:rPr>
      </w:pPr>
      <w:r w:rsidRPr="00EA5420">
        <w:t xml:space="preserve">Student ID: </w:t>
      </w:r>
      <w:r w:rsidR="00EA5420" w:rsidRPr="00EA5420">
        <w:rPr>
          <w:rFonts w:eastAsia="宋体" w:hint="eastAsia"/>
          <w:lang w:eastAsia="zh-CN"/>
        </w:rPr>
        <w:t>2519987</w:t>
      </w:r>
    </w:p>
    <w:p w14:paraId="5AAD3E22" w14:textId="77777777" w:rsidR="00702D0A" w:rsidRPr="00EA5420" w:rsidRDefault="00000000">
      <w:r w:rsidRPr="00EA5420">
        <w:br w:type="page"/>
      </w:r>
    </w:p>
    <w:sdt>
      <w:sdtPr>
        <w:rPr>
          <w:rFonts w:ascii="宋体" w:eastAsia="宋体" w:hAnsi="宋体" w:cs="宋体" w:hint="eastAsia"/>
          <w:b w:val="0"/>
          <w:bCs w:val="0"/>
          <w:sz w:val="24"/>
          <w:szCs w:val="24"/>
          <w:lang w:val="zh-CN" w:eastAsia="zh-CN"/>
        </w:rPr>
        <w:id w:val="-718582941"/>
        <w:docPartObj>
          <w:docPartGallery w:val="Table of Contents"/>
          <w:docPartUnique/>
        </w:docPartObj>
      </w:sdtPr>
      <w:sdtEndPr>
        <w:rPr>
          <w:rFonts w:ascii="Times New Roman" w:eastAsia="Times New Roman" w:hAnsi="Times New Roman" w:cstheme="minorBidi" w:hint="default"/>
          <w:lang w:eastAsia="en-US"/>
        </w:rPr>
      </w:sdtEndPr>
      <w:sdtContent>
        <w:p w14:paraId="363FAEEA" w14:textId="42429EDA" w:rsidR="00995C18" w:rsidRDefault="00995C18">
          <w:pPr>
            <w:pStyle w:val="TOC"/>
          </w:pPr>
          <w:r>
            <w:rPr>
              <w:rFonts w:ascii="宋体" w:eastAsia="宋体" w:hAnsi="宋体" w:cs="宋体" w:hint="eastAsia"/>
              <w:lang w:val="zh-CN" w:eastAsia="zh-CN"/>
            </w:rPr>
            <w:t>Table of contents</w:t>
          </w:r>
        </w:p>
        <w:p w14:paraId="5F711E49" w14:textId="5AC60768"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r>
            <w:fldChar w:fldCharType="begin"/>
          </w:r>
          <w:r>
            <w:instrText xml:space="preserve"> TOC \o "1-3" \h \z \u </w:instrText>
          </w:r>
          <w:r>
            <w:fldChar w:fldCharType="separate"/>
          </w:r>
          <w:hyperlink w:anchor="_Toc234801862" w:history="1">
            <w:r w:rsidRPr="00A54A7C">
              <w:rPr>
                <w:rStyle w:val="affa"/>
                <w:noProof/>
              </w:rPr>
              <w:t>1. 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11A3ADE4" w14:textId="61739695"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63" w:history="1">
            <w:r w:rsidRPr="00A54A7C">
              <w:rPr>
                <w:rStyle w:val="affa"/>
                <w:noProof/>
              </w:rPr>
              <w:t>1.1 Research background and organisational context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4F52AF5C" w14:textId="7730EC35"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64" w:history="1">
            <w:r w:rsidRPr="00A54A7C">
              <w:rPr>
                <w:rStyle w:val="affa"/>
                <w:noProof/>
              </w:rPr>
              <w:t>1.2 Research rationale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321E4AB8" w14:textId="51372084"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65" w:history="1">
            <w:r w:rsidRPr="00A54A7C">
              <w:rPr>
                <w:rStyle w:val="affa"/>
                <w:noProof/>
              </w:rPr>
              <w:t>1.3 Research aim, objectives and questions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w:t>
            </w:r>
            <w:r>
              <w:rPr>
                <w:rFonts w:hint="eastAsia"/>
                <w:noProof/>
                <w:webHidden/>
              </w:rPr>
              <w:fldChar w:fldCharType="end"/>
            </w:r>
          </w:hyperlink>
        </w:p>
        <w:p w14:paraId="4F2536B5" w14:textId="237DC9CF"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66" w:history="1">
            <w:r w:rsidRPr="00A54A7C">
              <w:rPr>
                <w:rStyle w:val="affa"/>
                <w:noProof/>
              </w:rPr>
              <w:t>2. Preliminary Literature Review</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61B08AA1" w14:textId="2DEFD470"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67" w:history="1">
            <w:r w:rsidRPr="00A54A7C">
              <w:rPr>
                <w:rStyle w:val="affa"/>
                <w:noProof/>
              </w:rPr>
              <w:t>2.1 Digital HRM and the changing role of HR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4CC32A43" w14:textId="2535D813"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68" w:history="1">
            <w:r w:rsidRPr="00A54A7C">
              <w:rPr>
                <w:rStyle w:val="affa"/>
                <w:noProof/>
              </w:rPr>
              <w:t>2.2 HR analytics, AI and responsible use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76393C21" w14:textId="606CD635"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69" w:history="1">
            <w:r w:rsidRPr="00A54A7C">
              <w:rPr>
                <w:rStyle w:val="affa"/>
                <w:noProof/>
              </w:rPr>
              <w:t>2.3 Digital learning and capability development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_Toc234801869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0CC4BE7E" w14:textId="43E6F039"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0" w:history="1">
            <w:r w:rsidRPr="00A54A7C">
              <w:rPr>
                <w:rStyle w:val="affa"/>
                <w:noProof/>
              </w:rPr>
              <w:t>2.4 Digital performance management: feedback, fairness and control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72CCAF07" w14:textId="7ED429EF"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1" w:history="1">
            <w:r w:rsidRPr="00A54A7C">
              <w:rPr>
                <w:rStyle w:val="affa"/>
                <w:noProof/>
              </w:rPr>
              <w:t>2.5 Digital communication, employee voice and engagement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316395C8" w14:textId="05D77CAE"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2" w:history="1">
            <w:r w:rsidRPr="00A54A7C">
              <w:rPr>
                <w:rStyle w:val="affa"/>
                <w:noProof/>
              </w:rPr>
              <w:t>2.6 Technology acceptance, line managers and change implementation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5475E568" w14:textId="6A159ED7"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3" w:history="1">
            <w:r w:rsidRPr="00A54A7C">
              <w:rPr>
                <w:rStyle w:val="affa"/>
                <w:noProof/>
              </w:rPr>
              <w:t>2.7 Integrating the debates: value, control and implementation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49EEB91F" w14:textId="519503F8"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4" w:history="1">
            <w:r w:rsidRPr="00A54A7C">
              <w:rPr>
                <w:rStyle w:val="affa"/>
                <w:noProof/>
              </w:rPr>
              <w:t>2.8 Critical synthesis, research gap and conceptual framework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6640BB24" w14:textId="3699B948"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75" w:history="1">
            <w:r w:rsidRPr="00A54A7C">
              <w:rPr>
                <w:rStyle w:val="affa"/>
                <w:noProof/>
              </w:rPr>
              <w:t>3. Methodology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5C584EF6" w14:textId="580BE2C4"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6" w:history="1">
            <w:r w:rsidRPr="00A54A7C">
              <w:rPr>
                <w:rStyle w:val="affa"/>
                <w:noProof/>
              </w:rPr>
              <w:t>3.1 Research philosophy, ontology, epistemology, axiology and positionality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14</w:t>
            </w:r>
            <w:r>
              <w:rPr>
                <w:rFonts w:hint="eastAsia"/>
                <w:noProof/>
                <w:webHidden/>
              </w:rPr>
              <w:fldChar w:fldCharType="end"/>
            </w:r>
          </w:hyperlink>
        </w:p>
        <w:p w14:paraId="42DA0903" w14:textId="4334BCBA"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7" w:history="1">
            <w:r w:rsidRPr="00A54A7C">
              <w:rPr>
                <w:rStyle w:val="affa"/>
                <w:noProof/>
              </w:rPr>
              <w:t>3.2 Research approach, methodological choice, strategy and case boundaries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4198832B" w14:textId="7DBC25DA"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8" w:history="1">
            <w:r w:rsidRPr="00A54A7C">
              <w:rPr>
                <w:rStyle w:val="affa"/>
                <w:noProof/>
              </w:rPr>
              <w:t>3.3 Access, sampling and recruitment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12ECE29D" w14:textId="7E97D5EE"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79" w:history="1">
            <w:r w:rsidRPr="00A54A7C">
              <w:rPr>
                <w:rStyle w:val="affa"/>
                <w:noProof/>
              </w:rPr>
              <w:t>3.4 Data collection and transcription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_Toc234801879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24BE5A48" w14:textId="1F225817"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80" w:history="1">
            <w:r w:rsidRPr="00A54A7C">
              <w:rPr>
                <w:rStyle w:val="affa"/>
                <w:noProof/>
              </w:rPr>
              <w:t>3.5 Reflexive thematic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359A4D4E" w14:textId="4A68E6B2"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81" w:history="1">
            <w:r w:rsidRPr="00A54A7C">
              <w:rPr>
                <w:rStyle w:val="affa"/>
                <w:noProof/>
              </w:rPr>
              <w:t>3.6 Trustworthiness and evaluation of the method</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7B94784F" w14:textId="518FA7BF"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82" w:history="1">
            <w:r w:rsidRPr="00A54A7C">
              <w:rPr>
                <w:rStyle w:val="affa"/>
                <w:noProof/>
              </w:rPr>
              <w:t>4. Significance, Ethics, Limitations and Resources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09D859C6" w14:textId="52B8B0AA"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83" w:history="1">
            <w:r w:rsidRPr="00A54A7C">
              <w:rPr>
                <w:rStyle w:val="affa"/>
                <w:noProof/>
              </w:rPr>
              <w:t>4.1 Significance of the study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4BF8CA22" w14:textId="44FAFA43"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84" w:history="1">
            <w:r w:rsidRPr="00A54A7C">
              <w:rPr>
                <w:rStyle w:val="affa"/>
                <w:noProof/>
              </w:rPr>
              <w:t>4.2 Ethical considerations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226F65F3" w14:textId="53B15F4D"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85" w:history="1">
            <w:r w:rsidRPr="00A54A7C">
              <w:rPr>
                <w:rStyle w:val="affa"/>
                <w:noProof/>
              </w:rPr>
              <w:t>4.3 Limitations, feasibility and resources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26A6EED3" w14:textId="1EE3AB6C"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86" w:history="1">
            <w:r w:rsidRPr="00A54A7C">
              <w:rPr>
                <w:rStyle w:val="affa"/>
                <w:noProof/>
              </w:rPr>
              <w:t>5. Provisional Timeline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6D24DC6E" w14:textId="2C6E4F8B"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87" w:history="1">
            <w:r w:rsidRPr="00A54A7C">
              <w:rPr>
                <w:rStyle w:val="affa"/>
                <w:noProof/>
              </w:rPr>
              <w:t>6.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23</w:t>
            </w:r>
            <w:r>
              <w:rPr>
                <w:rFonts w:hint="eastAsia"/>
                <w:noProof/>
                <w:webHidden/>
              </w:rPr>
              <w:fldChar w:fldCharType="end"/>
            </w:r>
          </w:hyperlink>
        </w:p>
        <w:p w14:paraId="3A29689D" w14:textId="3A63AE8D"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88" w:history="1">
            <w:r w:rsidRPr="00A54A7C">
              <w:rPr>
                <w:rStyle w:val="aff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619F243A" w14:textId="4482778D"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89" w:history="1">
            <w:r w:rsidRPr="00A54A7C">
              <w:rPr>
                <w:rStyle w:val="affa"/>
                <w:noProof/>
              </w:rPr>
              <w:t xml:space="preserve">Appendix A: </w:t>
            </w:r>
            <w:r w:rsidRPr="00A54A7C">
              <w:rPr>
                <w:rStyle w:val="affa"/>
                <w:rFonts w:eastAsia="宋体"/>
                <w:noProof/>
                <w:lang w:eastAsia="zh-CN"/>
              </w:rPr>
              <w:t>S</w:t>
            </w:r>
            <w:r w:rsidRPr="00A54A7C">
              <w:rPr>
                <w:rStyle w:val="affa"/>
                <w:noProof/>
              </w:rPr>
              <w:t>emi-structured interview guide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_Toc234801889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30</w:t>
            </w:r>
            <w:r>
              <w:rPr>
                <w:rFonts w:hint="eastAsia"/>
                <w:noProof/>
                <w:webHidden/>
              </w:rPr>
              <w:fldChar w:fldCharType="end"/>
            </w:r>
          </w:hyperlink>
        </w:p>
        <w:p w14:paraId="313DB311" w14:textId="685E0530"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90" w:history="1">
            <w:r w:rsidRPr="00A54A7C">
              <w:rPr>
                <w:rStyle w:val="affa"/>
                <w:noProof/>
              </w:rPr>
              <w:t xml:space="preserve">Appendix B: </w:t>
            </w:r>
            <w:r w:rsidRPr="00A54A7C">
              <w:rPr>
                <w:rStyle w:val="affa"/>
                <w:rFonts w:eastAsia="宋体"/>
                <w:noProof/>
                <w:lang w:eastAsia="zh-CN"/>
              </w:rPr>
              <w:t>P</w:t>
            </w:r>
            <w:r w:rsidRPr="00A54A7C">
              <w:rPr>
                <w:rStyle w:val="affa"/>
                <w:noProof/>
              </w:rPr>
              <w:t>articipant information sheet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270B5F88" w14:textId="041F4377"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91" w:history="1">
            <w:r w:rsidRPr="00A54A7C">
              <w:rPr>
                <w:rStyle w:val="affa"/>
                <w:noProof/>
              </w:rPr>
              <w:t>Purpose of the study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7A5C9B66" w14:textId="4BD96FC5"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92" w:history="1">
            <w:r w:rsidRPr="00A54A7C">
              <w:rPr>
                <w:rStyle w:val="affa"/>
                <w:noProof/>
              </w:rPr>
              <w:t>What participation involves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4DC2A4B2" w14:textId="29F84970"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93" w:history="1">
            <w:r w:rsidRPr="00A54A7C">
              <w:rPr>
                <w:rStyle w:val="affa"/>
                <w:noProof/>
              </w:rPr>
              <w:t>Potential risks and benefits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3F351841" w14:textId="0FEA6435" w:rsidR="00995C18" w:rsidRDefault="00995C18">
          <w:pPr>
            <w:pStyle w:val="TOC2"/>
            <w:tabs>
              <w:tab w:val="right" w:leader="dot" w:pos="9061"/>
            </w:tabs>
            <w:ind w:left="480"/>
            <w:rPr>
              <w:rFonts w:asciiTheme="minorHAnsi" w:eastAsiaTheme="minorEastAsia" w:hAnsiTheme="minorHAnsi"/>
              <w:noProof/>
              <w:color w:val="auto"/>
              <w:kern w:val="2"/>
              <w:sz w:val="22"/>
              <w:lang w:val="en-US" w:eastAsia="zh-CN"/>
              <w14:ligatures w14:val="standardContextual"/>
            </w:rPr>
          </w:pPr>
          <w:hyperlink w:anchor="_Toc234801894" w:history="1">
            <w:r w:rsidRPr="00A54A7C">
              <w:rPr>
                <w:rStyle w:val="affa"/>
                <w:noProof/>
              </w:rPr>
              <w:t>Voluntary participation, withdrawal and confidentiality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72F05C6A" w14:textId="2886B37D"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95" w:history="1">
            <w:r w:rsidRPr="00A54A7C">
              <w:rPr>
                <w:rStyle w:val="affa"/>
                <w:noProof/>
              </w:rPr>
              <w:t xml:space="preserve">Appendix C: </w:t>
            </w:r>
            <w:r w:rsidRPr="00A54A7C">
              <w:rPr>
                <w:rStyle w:val="affa"/>
                <w:rFonts w:eastAsia="宋体"/>
                <w:noProof/>
                <w:lang w:eastAsia="zh-CN"/>
              </w:rPr>
              <w:t>C</w:t>
            </w:r>
            <w:r w:rsidRPr="00A54A7C">
              <w:rPr>
                <w:rStyle w:val="affa"/>
                <w:noProof/>
              </w:rPr>
              <w:t>onsent form</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32</w:t>
            </w:r>
            <w:r>
              <w:rPr>
                <w:rFonts w:hint="eastAsia"/>
                <w:noProof/>
                <w:webHidden/>
              </w:rPr>
              <w:fldChar w:fldCharType="end"/>
            </w:r>
          </w:hyperlink>
        </w:p>
        <w:p w14:paraId="0A163071" w14:textId="720DC92B" w:rsidR="00995C18" w:rsidRDefault="00995C18">
          <w:pPr>
            <w:pStyle w:val="TOC1"/>
            <w:tabs>
              <w:tab w:val="right" w:leader="dot" w:pos="9061"/>
            </w:tabs>
            <w:rPr>
              <w:rFonts w:asciiTheme="minorHAnsi" w:eastAsiaTheme="minorEastAsia" w:hAnsiTheme="minorHAnsi"/>
              <w:noProof/>
              <w:color w:val="auto"/>
              <w:kern w:val="2"/>
              <w:sz w:val="22"/>
              <w:lang w:val="en-US" w:eastAsia="zh-CN"/>
              <w14:ligatures w14:val="standardContextual"/>
            </w:rPr>
          </w:pPr>
          <w:hyperlink w:anchor="_Toc234801896" w:history="1">
            <w:r w:rsidRPr="00A54A7C">
              <w:rPr>
                <w:rStyle w:val="affa"/>
                <w:noProof/>
              </w:rPr>
              <w:t xml:space="preserve">Appendix D: </w:t>
            </w:r>
            <w:r w:rsidRPr="00A54A7C">
              <w:rPr>
                <w:rStyle w:val="affa"/>
                <w:rFonts w:eastAsia="宋体"/>
                <w:noProof/>
                <w:lang w:eastAsia="zh-CN"/>
              </w:rPr>
              <w:t>R</w:t>
            </w:r>
            <w:r w:rsidRPr="00A54A7C">
              <w:rPr>
                <w:rStyle w:val="affa"/>
                <w:noProof/>
              </w:rPr>
              <w:t>ecruitment and gatekeeper invitation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_Toc234801896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33</w:t>
            </w:r>
            <w:r>
              <w:rPr>
                <w:rFonts w:hint="eastAsia"/>
                <w:noProof/>
                <w:webHidden/>
              </w:rPr>
              <w:fldChar w:fldCharType="end"/>
            </w:r>
          </w:hyperlink>
        </w:p>
        <w:p w14:paraId="26BDF8EF" w14:textId="104D221D" w:rsidR="00995C18" w:rsidRPr="00995C18" w:rsidRDefault="00995C18" w:rsidP="00995C18">
          <w:r>
            <w:rPr>
              <w:b/>
              <w:bCs/>
              <w:lang w:val="zh-CN"/>
            </w:rPr>
            <w:fldChar w:fldCharType="end"/>
          </w:r>
        </w:p>
      </w:sdtContent>
    </w:sdt>
    <w:p w14:paraId="4921432C" w14:textId="77777777" w:rsidR="00702D0A" w:rsidRPr="00EA5420" w:rsidRDefault="00000000">
      <w:pPr>
        <w:pStyle w:val="1"/>
        <w:pageBreakBefore/>
      </w:pPr>
      <w:bookmarkStart w:id="0" w:name="_Toc234801862"/>
      <w:r w:rsidRPr="00EA5420">
        <w:lastRenderedPageBreak/>
        <w:t>1. Introduction</w:t>
      </w:r>
      <w:bookmarkEnd w:id="0"/>
    </w:p>
    <w:p w14:paraId="1C1AC1B5" w14:textId="77777777" w:rsidR="00702D0A" w:rsidRPr="00EA5420" w:rsidRDefault="00000000">
      <w:pPr>
        <w:pStyle w:val="2"/>
      </w:pPr>
      <w:bookmarkStart w:id="1" w:name="_Toc234801863"/>
      <w:r w:rsidRPr="00EA5420">
        <w:t>1.1 Research background and organisational context</w:t>
      </w:r>
      <w:bookmarkEnd w:id="1"/>
    </w:p>
    <w:p w14:paraId="4986049C" w14:textId="77777777" w:rsidR="00702D0A" w:rsidRPr="00EA5420" w:rsidRDefault="00000000">
      <w:r w:rsidRPr="00EA5420">
        <w:t xml:space="preserve">Digital transformation is changing how organisations recruit, develop, communicate with and evaluate employees. Online learning platforms, employee self-service systems, continuous performance feedback, collaboration tools and people analytics may reduce some administrative work and support more timely decisions. However, HR technology also changes relationships between HR professionals, line managers and employees (Stone et al., 2015; </w:t>
      </w:r>
      <w:proofErr w:type="spellStart"/>
      <w:r w:rsidRPr="00EA5420">
        <w:t>Bondarouk</w:t>
      </w:r>
      <w:proofErr w:type="spellEnd"/>
      <w:r w:rsidRPr="00EA5420">
        <w:t xml:space="preserve"> and Brewster, 2016). When the same system is understood by different groups as support, control or additional work, Digital HRM becomes more than a software application; it becomes a social process involving power, trust and organisational change.</w:t>
      </w:r>
    </w:p>
    <w:p w14:paraId="356BB5EE" w14:textId="77777777" w:rsidR="00702D0A" w:rsidRPr="00EA5420" w:rsidRDefault="00000000">
      <w:r w:rsidRPr="00EA5420">
        <w:t>Keep Inc. provides a relevant setting in which to examine these issues. The company operates online fitness memberships and content, self-branded fitness products, advertising and related services. Its 2025 annual results reported revenue of RMB1.637 billion and linked some efficiency improvements to labour productivity and administrative efficiency. The number of full-time employees fell from 827 at the end of 2024 to 645 at the end of 2025, while the company also reported improvements to career development pathways and talent training systems (Keep Inc., 2025, 2026a, 2026b). These public disclosures indicate that workforce efficiency, capability development and organisational change are practically important to Keep, but they do not show how employees experience specific HR systems. Participants' accounts are therefore needed to address this gap.</w:t>
      </w:r>
    </w:p>
    <w:p w14:paraId="002F3C76" w14:textId="05386CF4" w:rsidR="00702D0A" w:rsidRPr="00EA5420" w:rsidRDefault="00EA5420">
      <w:r w:rsidRPr="00EA5420">
        <w:rPr>
          <w:rFonts w:eastAsia="宋体" w:hint="eastAsia"/>
          <w:lang w:eastAsia="zh-CN"/>
        </w:rPr>
        <w:t xml:space="preserve">The study </w:t>
      </w:r>
      <w:r w:rsidRPr="00EA5420">
        <w:t>focuses on digital learning and development, digital performance management, and digital communication, employee voice and engagement. Recruitment and retention remain part of the wider employee-life-cycle context (Holm, 2012; Boxall and Purcell, 2022) but are not the primary areas of interview analysis.</w:t>
      </w:r>
    </w:p>
    <w:p w14:paraId="2F2F3BE8" w14:textId="77777777" w:rsidR="00702D0A" w:rsidRPr="00EA5420" w:rsidRDefault="00000000">
      <w:pPr>
        <w:pStyle w:val="2"/>
      </w:pPr>
      <w:bookmarkStart w:id="2" w:name="_Toc234801864"/>
      <w:r w:rsidRPr="00EA5420">
        <w:lastRenderedPageBreak/>
        <w:t>1.2 Research rationale</w:t>
      </w:r>
      <w:bookmarkEnd w:id="2"/>
    </w:p>
    <w:p w14:paraId="421A003C" w14:textId="77777777" w:rsidR="00702D0A" w:rsidRPr="00EA5420" w:rsidRDefault="00000000">
      <w:r w:rsidRPr="00EA5420">
        <w:t>Research on Digital HRM is expanding, but the evidence is uneven. Much of it concerns large Western or multinational organisations, while some studies rely on cross-sectional surveys, technology-acceptance measures or management data. Such evidence is useful for identifying broad patterns but offers less explanation of why employees and managers interpret the same system differently. Research on Chinese digital businesses also tends to emphasise technological deployment, efficiency or macro-level skills needs, with relatively limited qualitative comparison of HR professionals, line managers and employees. Keep's public reporting can indicate organisational change, but it cannot substitute for the experiences of internal users.</w:t>
      </w:r>
    </w:p>
    <w:p w14:paraId="7A87D490" w14:textId="18C661D0" w:rsidR="00702D0A" w:rsidRPr="00EA5420" w:rsidRDefault="00000000">
      <w:r w:rsidRPr="00EA5420">
        <w:t xml:space="preserve">The study has practical relevance, but it is not positioned as a complete consultancy solution for Keep. A qualitative design is appropriate because issues such as trust, fairness, managerial support and digital pressure require participants to explain </w:t>
      </w:r>
      <w:proofErr w:type="gramStart"/>
      <w:r w:rsidRPr="00EA5420">
        <w:t>particular experiences</w:t>
      </w:r>
      <w:proofErr w:type="gramEnd"/>
      <w:r w:rsidRPr="00EA5420">
        <w:t>; these meanings are difficult to understand fully through predetermined scales alone. The value of the study lies in showing similarities and differences across organisational roles rather than proving that a digital tool objectively improves performance.</w:t>
      </w:r>
    </w:p>
    <w:p w14:paraId="47F27F30" w14:textId="77777777" w:rsidR="00702D0A" w:rsidRPr="00EA5420" w:rsidRDefault="00000000">
      <w:pPr>
        <w:pStyle w:val="2"/>
      </w:pPr>
      <w:bookmarkStart w:id="3" w:name="_Toc234801865"/>
      <w:r w:rsidRPr="00EA5420">
        <w:t>1.3 Research aim, objectives and questions</w:t>
      </w:r>
      <w:bookmarkEnd w:id="3"/>
    </w:p>
    <w:p w14:paraId="3D063D6A" w14:textId="77777777" w:rsidR="00702D0A" w:rsidRPr="00EA5420" w:rsidRDefault="00000000">
      <w:r w:rsidRPr="00EA5420">
        <w:t>The overall aim is to explore how HR professionals, line managers and employees at Keep experience digital learning and development, digital performance management, and digital communication, employee voice and engagement, and to understand what improvements they consider necessary.</w:t>
      </w:r>
    </w:p>
    <w:p w14:paraId="336ED158" w14:textId="77777777" w:rsidR="00702D0A" w:rsidRPr="00EA5420" w:rsidRDefault="00000000">
      <w:pPr>
        <w:pStyle w:val="af1"/>
        <w:numPr>
          <w:ilvl w:val="0"/>
          <w:numId w:val="1"/>
        </w:numPr>
      </w:pPr>
      <w:r w:rsidRPr="00EA5420">
        <w:t>To describe participants' accounts of how Digital HRM is used in the three focal areas at Keep.</w:t>
      </w:r>
    </w:p>
    <w:p w14:paraId="3D61DB89" w14:textId="77777777" w:rsidR="00702D0A" w:rsidRPr="00EA5420" w:rsidRDefault="00000000">
      <w:pPr>
        <w:pStyle w:val="af1"/>
        <w:numPr>
          <w:ilvl w:val="0"/>
          <w:numId w:val="1"/>
        </w:numPr>
      </w:pPr>
      <w:r w:rsidRPr="00EA5420">
        <w:t>To compare how HR professionals, line managers and employees experience and interpret the effects of these practices.</w:t>
      </w:r>
    </w:p>
    <w:p w14:paraId="6E2FE3F1" w14:textId="77777777" w:rsidR="00702D0A" w:rsidRPr="00EA5420" w:rsidRDefault="00000000">
      <w:pPr>
        <w:pStyle w:val="af1"/>
        <w:numPr>
          <w:ilvl w:val="0"/>
          <w:numId w:val="1"/>
        </w:numPr>
      </w:pPr>
      <w:r w:rsidRPr="00EA5420">
        <w:lastRenderedPageBreak/>
        <w:t>To identify enabling conditions, challenges and risks affecting acceptance, trust and user experience.</w:t>
      </w:r>
    </w:p>
    <w:p w14:paraId="3E489833" w14:textId="77777777" w:rsidR="00702D0A" w:rsidRPr="00EA5420" w:rsidRDefault="00000000">
      <w:pPr>
        <w:pStyle w:val="af1"/>
        <w:numPr>
          <w:ilvl w:val="0"/>
          <w:numId w:val="1"/>
        </w:numPr>
      </w:pPr>
      <w:r w:rsidRPr="00EA5420">
        <w:t>To develop cautious, context-specific suggestions grounded in participants' experiences.</w:t>
      </w:r>
    </w:p>
    <w:p w14:paraId="4E2E379B" w14:textId="77777777" w:rsidR="00CC33B0" w:rsidRDefault="00000000" w:rsidP="00CC33B0">
      <w:pPr>
        <w:rPr>
          <w:rFonts w:eastAsia="宋体"/>
          <w:lang w:eastAsia="zh-CN"/>
        </w:rPr>
      </w:pPr>
      <w:r w:rsidRPr="00EA5420">
        <w:t>The main research question is: How do HR professionals, line managers and employees at Keep experience digital learning, digital performance management, and digital communication, employee voice and engagement, and what improvements do they consider necessary?</w:t>
      </w:r>
    </w:p>
    <w:p w14:paraId="5081E441" w14:textId="1CFDC2FD" w:rsidR="00CC33B0" w:rsidRPr="00CC33B0" w:rsidRDefault="00000000" w:rsidP="00CC33B0">
      <w:pPr>
        <w:pStyle w:val="ad"/>
        <w:numPr>
          <w:ilvl w:val="0"/>
          <w:numId w:val="2"/>
        </w:numPr>
      </w:pPr>
      <w:r w:rsidRPr="00EA5420">
        <w:t>How do participants understand the current use of digital tools in the three focal HR areas?</w:t>
      </w:r>
    </w:p>
    <w:p w14:paraId="6EDEBE96" w14:textId="147F99F5" w:rsidR="00702D0A" w:rsidRPr="00EA5420" w:rsidRDefault="00000000" w:rsidP="00CC33B0">
      <w:pPr>
        <w:pStyle w:val="af1"/>
        <w:numPr>
          <w:ilvl w:val="0"/>
          <w:numId w:val="2"/>
        </w:numPr>
      </w:pPr>
      <w:r w:rsidRPr="00EA5420">
        <w:t>How do different participant groups perceive their effects on efficiency, development, fairness, employee voice and well-being?</w:t>
      </w:r>
    </w:p>
    <w:p w14:paraId="4C39A3EA" w14:textId="48CCD6FF" w:rsidR="00CC33B0" w:rsidRDefault="00000000" w:rsidP="00CC33B0">
      <w:pPr>
        <w:pStyle w:val="af1"/>
        <w:numPr>
          <w:ilvl w:val="0"/>
          <w:numId w:val="2"/>
        </w:numPr>
        <w:rPr>
          <w:rFonts w:eastAsia="宋体"/>
          <w:lang w:eastAsia="zh-CN"/>
        </w:rPr>
      </w:pPr>
      <w:r w:rsidRPr="00EA5420">
        <w:t>Which organisational and managerial conditions enable or hinder acceptance, trust and effective use?</w:t>
      </w:r>
    </w:p>
    <w:p w14:paraId="7C6CBD1D" w14:textId="1EB2A66D" w:rsidR="00702D0A" w:rsidRPr="00CC33B0" w:rsidRDefault="00000000" w:rsidP="00CC33B0">
      <w:pPr>
        <w:pStyle w:val="af1"/>
        <w:numPr>
          <w:ilvl w:val="0"/>
          <w:numId w:val="2"/>
        </w:numPr>
        <w:rPr>
          <w:rFonts w:eastAsia="宋体"/>
          <w:lang w:eastAsia="zh-CN"/>
        </w:rPr>
      </w:pPr>
      <w:r w:rsidRPr="00EA5420">
        <w:t>How do participants suggest that Keep should improve these Digital HRM practices?</w:t>
      </w:r>
    </w:p>
    <w:p w14:paraId="72A0057B" w14:textId="77777777" w:rsidR="00702D0A" w:rsidRPr="00EA5420" w:rsidRDefault="00000000">
      <w:pPr>
        <w:pStyle w:val="TableCaption"/>
        <w:rPr>
          <w:lang w:val="en-GB"/>
        </w:rPr>
        <w:pageBreakBefore/>
      </w:pPr>
      <w:r w:rsidRPr="00EA5420">
        <w:rPr>
          <w:lang w:val="en-GB"/>
        </w:rPr>
        <w:lastRenderedPageBreak/>
        <w:t>Table 1: Golden-thread alignment of objectives, questions, evidence and analysis</w:t>
      </w:r>
    </w:p>
    <w:tbl>
      <w:tblPr>
        <w:tblW w:w="9071" w:type="dxa"/>
        <w:tblLayout w:type="fixed"/>
        <w:tblLook w:val="04A0" w:firstRow="1" w:lastRow="0" w:firstColumn="1" w:lastColumn="0" w:noHBand="0" w:noVBand="1"/>
      </w:tblPr>
      <w:tblGrid>
        <w:gridCol w:w="1633"/>
        <w:gridCol w:w="2177"/>
        <w:gridCol w:w="2721"/>
        <w:gridCol w:w="2540"/>
      </w:tblGrid>
      <w:tr w:rsidR="00702D0A" w:rsidRPr="00EA5420" w14:paraId="4469DFB5" w14:textId="77777777" w:rsidTr="00204F92">
        <w:trPr>
          <w:cantSplit/>
          <w:tblHeader/>
        </w:trPr>
        <w:tc>
          <w:tcPr>
            <w:tcW w:w="1633" w:type="dxa"/>
            <w:shd w:val="clear" w:color="auto" w:fill="E7E6E6"/>
            <w:tcMar>
              <w:top w:w="90" w:type="dxa"/>
              <w:left w:w="120" w:type="dxa"/>
              <w:bottom w:w="90" w:type="dxa"/>
              <w:right w:w="120" w:type="dxa"/>
            </w:tcMar>
            <w:vAlign w:val="center"/>
          </w:tcPr>
          <w:p w14:paraId="7FFF3AF0" w14:textId="77777777" w:rsidR="00702D0A" w:rsidRPr="00EA5420" w:rsidRDefault="00000000" w:rsidP="00204F92">
            <w:pPr>
              <w:spacing w:line="300" w:lineRule="auto"/>
              <w:jc w:val="center"/>
            </w:pPr>
            <w:r w:rsidRPr="00204F92">
              <w:rPr>
                <w:b/>
              </w:rPr>
              <w:t>Objective</w:t>
            </w:r>
          </w:p>
        </w:tc>
        <w:tc>
          <w:tcPr>
            <w:tcW w:w="2177" w:type="dxa"/>
            <w:shd w:val="clear" w:color="auto" w:fill="E7E6E6"/>
            <w:tcMar>
              <w:top w:w="90" w:type="dxa"/>
              <w:left w:w="120" w:type="dxa"/>
              <w:bottom w:w="90" w:type="dxa"/>
              <w:right w:w="120" w:type="dxa"/>
            </w:tcMar>
            <w:vAlign w:val="center"/>
          </w:tcPr>
          <w:p w14:paraId="7D8501BE" w14:textId="77777777" w:rsidR="00702D0A" w:rsidRPr="00EA5420" w:rsidRDefault="00000000">
            <w:pPr>
              <w:keepNext/>
              <w:spacing w:line="300" w:lineRule="auto"/>
              <w:jc w:val="center"/>
            </w:pPr>
            <w:r w:rsidRPr="00EA5420">
              <w:rPr>
                <w:b/>
              </w:rPr>
              <w:t>Research question</w:t>
            </w:r>
          </w:p>
        </w:tc>
        <w:tc>
          <w:tcPr>
            <w:tcW w:w="2721" w:type="dxa"/>
            <w:shd w:val="clear" w:color="auto" w:fill="E7E6E6"/>
            <w:tcMar>
              <w:top w:w="90" w:type="dxa"/>
              <w:left w:w="120" w:type="dxa"/>
              <w:bottom w:w="90" w:type="dxa"/>
              <w:right w:w="120" w:type="dxa"/>
            </w:tcMar>
            <w:vAlign w:val="center"/>
          </w:tcPr>
          <w:p w14:paraId="72A0E043" w14:textId="77777777" w:rsidR="00702D0A" w:rsidRPr="00EA5420" w:rsidRDefault="00000000">
            <w:pPr>
              <w:keepNext/>
              <w:spacing w:line="300" w:lineRule="auto"/>
              <w:jc w:val="center"/>
            </w:pPr>
            <w:r w:rsidRPr="00EA5420">
              <w:rPr>
                <w:b/>
              </w:rPr>
              <w:t>Interview evidence</w:t>
            </w:r>
          </w:p>
        </w:tc>
        <w:tc>
          <w:tcPr>
            <w:tcW w:w="2540" w:type="dxa"/>
            <w:shd w:val="clear" w:color="auto" w:fill="E7E6E6"/>
            <w:tcMar>
              <w:top w:w="90" w:type="dxa"/>
              <w:left w:w="120" w:type="dxa"/>
              <w:bottom w:w="90" w:type="dxa"/>
              <w:right w:w="120" w:type="dxa"/>
            </w:tcMar>
            <w:vAlign w:val="center"/>
          </w:tcPr>
          <w:p w14:paraId="20C86F7D" w14:textId="77777777" w:rsidR="00702D0A" w:rsidRPr="00EA5420" w:rsidRDefault="00000000">
            <w:pPr>
              <w:keepNext/>
              <w:spacing w:line="300" w:lineRule="auto"/>
              <w:jc w:val="center"/>
            </w:pPr>
            <w:r w:rsidRPr="00EA5420">
              <w:rPr>
                <w:b/>
              </w:rPr>
              <w:t>Planned analytical output</w:t>
            </w:r>
          </w:p>
        </w:tc>
      </w:tr>
      <w:tr w:rsidR="00702D0A" w:rsidRPr="00EA5420" w14:paraId="57ED2CEB" w14:textId="77777777" w:rsidTr="00204F92">
        <w:trPr>
          <w:cantSplit/>
        </w:trPr>
        <w:tc>
          <w:tcPr>
            <w:tcW w:w="1633" w:type="dxa"/>
            <w:tcMar>
              <w:top w:w="90" w:type="dxa"/>
              <w:left w:w="120" w:type="dxa"/>
              <w:bottom w:w="90" w:type="dxa"/>
              <w:right w:w="120" w:type="dxa"/>
            </w:tcMar>
            <w:vAlign w:val="center"/>
          </w:tcPr>
          <w:p w14:paraId="2CB7FFAB" w14:textId="77777777" w:rsidR="00702D0A" w:rsidRPr="00EA5420" w:rsidRDefault="00000000" w:rsidP="00204F92">
            <w:pPr>
              <w:spacing w:line="300" w:lineRule="auto"/>
              <w:jc w:val="left"/>
            </w:pPr>
            <w:r w:rsidRPr="00EA5420">
              <w:t>Describe current practices</w:t>
            </w:r>
          </w:p>
        </w:tc>
        <w:tc>
          <w:tcPr>
            <w:tcW w:w="2177" w:type="dxa"/>
            <w:tcMar>
              <w:top w:w="90" w:type="dxa"/>
              <w:left w:w="120" w:type="dxa"/>
              <w:bottom w:w="90" w:type="dxa"/>
              <w:right w:w="120" w:type="dxa"/>
            </w:tcMar>
            <w:vAlign w:val="center"/>
          </w:tcPr>
          <w:p w14:paraId="29D7FF97" w14:textId="77777777" w:rsidR="00702D0A" w:rsidRPr="00EA5420" w:rsidRDefault="00000000">
            <w:pPr>
              <w:keepNext/>
              <w:spacing w:line="300" w:lineRule="auto"/>
              <w:jc w:val="left"/>
            </w:pPr>
            <w:r w:rsidRPr="00EA5420">
              <w:t>RQ1: How are tools used?</w:t>
            </w:r>
          </w:p>
        </w:tc>
        <w:tc>
          <w:tcPr>
            <w:tcW w:w="2721" w:type="dxa"/>
            <w:tcMar>
              <w:top w:w="90" w:type="dxa"/>
              <w:left w:w="120" w:type="dxa"/>
              <w:bottom w:w="90" w:type="dxa"/>
              <w:right w:w="120" w:type="dxa"/>
            </w:tcMar>
            <w:vAlign w:val="center"/>
          </w:tcPr>
          <w:p w14:paraId="5E750DBC" w14:textId="77777777" w:rsidR="00702D0A" w:rsidRPr="00EA5420" w:rsidRDefault="00000000">
            <w:pPr>
              <w:keepNext/>
              <w:spacing w:line="300" w:lineRule="auto"/>
              <w:jc w:val="left"/>
            </w:pPr>
            <w:r w:rsidRPr="00EA5420">
              <w:t>Specific experiences in the three focal areas</w:t>
            </w:r>
          </w:p>
        </w:tc>
        <w:tc>
          <w:tcPr>
            <w:tcW w:w="2540" w:type="dxa"/>
            <w:tcMar>
              <w:top w:w="90" w:type="dxa"/>
              <w:left w:w="120" w:type="dxa"/>
              <w:bottom w:w="90" w:type="dxa"/>
              <w:right w:w="120" w:type="dxa"/>
            </w:tcMar>
            <w:vAlign w:val="center"/>
          </w:tcPr>
          <w:p w14:paraId="4B9CC2E2" w14:textId="77777777" w:rsidR="00702D0A" w:rsidRPr="00EA5420" w:rsidRDefault="00000000">
            <w:pPr>
              <w:keepNext/>
              <w:spacing w:line="300" w:lineRule="auto"/>
              <w:jc w:val="left"/>
            </w:pPr>
            <w:r w:rsidRPr="00EA5420">
              <w:t>Contextual account of current practice</w:t>
            </w:r>
          </w:p>
        </w:tc>
      </w:tr>
      <w:tr w:rsidR="00702D0A" w:rsidRPr="00EA5420" w14:paraId="24AAAA63" w14:textId="77777777" w:rsidTr="00204F92">
        <w:trPr>
          <w:cantSplit/>
        </w:trPr>
        <w:tc>
          <w:tcPr>
            <w:tcW w:w="1633" w:type="dxa"/>
            <w:tcMar>
              <w:top w:w="90" w:type="dxa"/>
              <w:left w:w="120" w:type="dxa"/>
              <w:bottom w:w="90" w:type="dxa"/>
              <w:right w:w="120" w:type="dxa"/>
            </w:tcMar>
            <w:vAlign w:val="center"/>
          </w:tcPr>
          <w:p w14:paraId="40E124E3" w14:textId="77777777" w:rsidR="00702D0A" w:rsidRPr="00EA5420" w:rsidRDefault="00000000" w:rsidP="00204F92">
            <w:pPr>
              <w:spacing w:line="300" w:lineRule="auto"/>
              <w:jc w:val="left"/>
            </w:pPr>
            <w:r w:rsidRPr="00EA5420">
              <w:t>Compare role experiences</w:t>
            </w:r>
          </w:p>
        </w:tc>
        <w:tc>
          <w:tcPr>
            <w:tcW w:w="2177" w:type="dxa"/>
            <w:tcMar>
              <w:top w:w="90" w:type="dxa"/>
              <w:left w:w="120" w:type="dxa"/>
              <w:bottom w:w="90" w:type="dxa"/>
              <w:right w:w="120" w:type="dxa"/>
            </w:tcMar>
            <w:vAlign w:val="center"/>
          </w:tcPr>
          <w:p w14:paraId="1850F96D" w14:textId="77777777" w:rsidR="00702D0A" w:rsidRPr="00EA5420" w:rsidRDefault="00000000">
            <w:pPr>
              <w:keepNext/>
              <w:spacing w:line="300" w:lineRule="auto"/>
              <w:jc w:val="left"/>
            </w:pPr>
            <w:r w:rsidRPr="00EA5420">
              <w:t>RQ2: How do groups interpret effects?</w:t>
            </w:r>
          </w:p>
        </w:tc>
        <w:tc>
          <w:tcPr>
            <w:tcW w:w="2721" w:type="dxa"/>
            <w:tcMar>
              <w:top w:w="90" w:type="dxa"/>
              <w:left w:w="120" w:type="dxa"/>
              <w:bottom w:w="90" w:type="dxa"/>
              <w:right w:w="120" w:type="dxa"/>
            </w:tcMar>
            <w:vAlign w:val="center"/>
          </w:tcPr>
          <w:p w14:paraId="757D7FB8" w14:textId="77777777" w:rsidR="00702D0A" w:rsidRPr="00EA5420" w:rsidRDefault="00000000">
            <w:pPr>
              <w:keepNext/>
              <w:spacing w:line="300" w:lineRule="auto"/>
              <w:jc w:val="left"/>
            </w:pPr>
            <w:r w:rsidRPr="00EA5420">
              <w:t>Efficiency, development, fairness, voice and well-being</w:t>
            </w:r>
          </w:p>
        </w:tc>
        <w:tc>
          <w:tcPr>
            <w:tcW w:w="2540" w:type="dxa"/>
            <w:tcMar>
              <w:top w:w="90" w:type="dxa"/>
              <w:left w:w="120" w:type="dxa"/>
              <w:bottom w:w="90" w:type="dxa"/>
              <w:right w:w="120" w:type="dxa"/>
            </w:tcMar>
            <w:vAlign w:val="center"/>
          </w:tcPr>
          <w:p w14:paraId="6A99ADBA" w14:textId="77777777" w:rsidR="00702D0A" w:rsidRPr="00EA5420" w:rsidRDefault="00000000">
            <w:pPr>
              <w:keepNext/>
              <w:spacing w:line="300" w:lineRule="auto"/>
              <w:jc w:val="left"/>
            </w:pPr>
            <w:r w:rsidRPr="00EA5420">
              <w:t>Within- and across-role matrix</w:t>
            </w:r>
          </w:p>
        </w:tc>
      </w:tr>
      <w:tr w:rsidR="00702D0A" w:rsidRPr="00EA5420" w14:paraId="3EFC3E46" w14:textId="77777777" w:rsidTr="00204F92">
        <w:trPr>
          <w:cantSplit/>
        </w:trPr>
        <w:tc>
          <w:tcPr>
            <w:tcW w:w="1633" w:type="dxa"/>
            <w:tcMar>
              <w:top w:w="90" w:type="dxa"/>
              <w:left w:w="120" w:type="dxa"/>
              <w:bottom w:w="90" w:type="dxa"/>
              <w:right w:w="120" w:type="dxa"/>
            </w:tcMar>
            <w:vAlign w:val="center"/>
          </w:tcPr>
          <w:p w14:paraId="42576E6F" w14:textId="77777777" w:rsidR="00702D0A" w:rsidRPr="00EA5420" w:rsidRDefault="00000000" w:rsidP="00204F92">
            <w:pPr>
              <w:spacing w:line="300" w:lineRule="auto"/>
              <w:jc w:val="left"/>
            </w:pPr>
            <w:r w:rsidRPr="00EA5420">
              <w:t>Identify conditions and risks</w:t>
            </w:r>
          </w:p>
        </w:tc>
        <w:tc>
          <w:tcPr>
            <w:tcW w:w="2177" w:type="dxa"/>
            <w:tcMar>
              <w:top w:w="90" w:type="dxa"/>
              <w:left w:w="120" w:type="dxa"/>
              <w:bottom w:w="90" w:type="dxa"/>
              <w:right w:w="120" w:type="dxa"/>
            </w:tcMar>
            <w:vAlign w:val="center"/>
          </w:tcPr>
          <w:p w14:paraId="2F346354" w14:textId="77777777" w:rsidR="00702D0A" w:rsidRPr="00EA5420" w:rsidRDefault="00000000">
            <w:pPr>
              <w:keepNext/>
              <w:spacing w:line="300" w:lineRule="auto"/>
              <w:jc w:val="left"/>
            </w:pPr>
            <w:r w:rsidRPr="00EA5420">
              <w:t>RQ3: What enables or hinders use?</w:t>
            </w:r>
          </w:p>
        </w:tc>
        <w:tc>
          <w:tcPr>
            <w:tcW w:w="2721" w:type="dxa"/>
            <w:tcMar>
              <w:top w:w="90" w:type="dxa"/>
              <w:left w:w="120" w:type="dxa"/>
              <w:bottom w:w="90" w:type="dxa"/>
              <w:right w:w="120" w:type="dxa"/>
            </w:tcMar>
            <w:vAlign w:val="center"/>
          </w:tcPr>
          <w:p w14:paraId="07D3608A" w14:textId="77777777" w:rsidR="00702D0A" w:rsidRPr="00EA5420" w:rsidRDefault="00000000">
            <w:pPr>
              <w:keepNext/>
              <w:spacing w:line="300" w:lineRule="auto"/>
              <w:jc w:val="left"/>
            </w:pPr>
            <w:r w:rsidRPr="00EA5420">
              <w:t>Managerial support, transparency, privacy and workload</w:t>
            </w:r>
          </w:p>
        </w:tc>
        <w:tc>
          <w:tcPr>
            <w:tcW w:w="2540" w:type="dxa"/>
            <w:tcMar>
              <w:top w:w="90" w:type="dxa"/>
              <w:left w:w="120" w:type="dxa"/>
              <w:bottom w:w="90" w:type="dxa"/>
              <w:right w:w="120" w:type="dxa"/>
            </w:tcMar>
            <w:vAlign w:val="center"/>
          </w:tcPr>
          <w:p w14:paraId="532B4B80" w14:textId="77777777" w:rsidR="00702D0A" w:rsidRPr="00EA5420" w:rsidRDefault="00000000">
            <w:pPr>
              <w:keepNext/>
              <w:spacing w:line="300" w:lineRule="auto"/>
              <w:jc w:val="left"/>
            </w:pPr>
            <w:r w:rsidRPr="00EA5420">
              <w:t>Enabling and constraining themes</w:t>
            </w:r>
          </w:p>
        </w:tc>
      </w:tr>
      <w:tr w:rsidR="00702D0A" w:rsidRPr="00EA5420" w14:paraId="4D1A4505" w14:textId="77777777" w:rsidTr="00204F92">
        <w:trPr>
          <w:cantSplit/>
        </w:trPr>
        <w:tc>
          <w:tcPr>
            <w:tcW w:w="1633" w:type="dxa"/>
            <w:tcMar>
              <w:top w:w="90" w:type="dxa"/>
              <w:left w:w="120" w:type="dxa"/>
              <w:bottom w:w="90" w:type="dxa"/>
              <w:right w:w="120" w:type="dxa"/>
            </w:tcMar>
            <w:vAlign w:val="center"/>
          </w:tcPr>
          <w:p w14:paraId="6DEDD5EC" w14:textId="77777777" w:rsidR="00702D0A" w:rsidRPr="00EA5420" w:rsidRDefault="00000000" w:rsidP="00204F92">
            <w:pPr>
              <w:spacing w:line="300" w:lineRule="auto"/>
              <w:jc w:val="left"/>
            </w:pPr>
            <w:r w:rsidRPr="00EA5420">
              <w:t>Develop contextual suggestions</w:t>
            </w:r>
          </w:p>
        </w:tc>
        <w:tc>
          <w:tcPr>
            <w:tcW w:w="2177" w:type="dxa"/>
            <w:tcMar>
              <w:top w:w="90" w:type="dxa"/>
              <w:left w:w="120" w:type="dxa"/>
              <w:bottom w:w="90" w:type="dxa"/>
              <w:right w:w="120" w:type="dxa"/>
            </w:tcMar>
            <w:vAlign w:val="center"/>
          </w:tcPr>
          <w:p w14:paraId="5834BE69" w14:textId="77777777" w:rsidR="00702D0A" w:rsidRPr="00EA5420" w:rsidRDefault="00000000">
            <w:pPr>
              <w:spacing w:line="300" w:lineRule="auto"/>
              <w:jc w:val="left"/>
            </w:pPr>
            <w:r w:rsidRPr="00EA5420">
              <w:t>RQ4: What improvements are suggested?</w:t>
            </w:r>
          </w:p>
        </w:tc>
        <w:tc>
          <w:tcPr>
            <w:tcW w:w="2721" w:type="dxa"/>
            <w:tcMar>
              <w:top w:w="90" w:type="dxa"/>
              <w:left w:w="120" w:type="dxa"/>
              <w:bottom w:w="90" w:type="dxa"/>
              <w:right w:w="120" w:type="dxa"/>
            </w:tcMar>
            <w:vAlign w:val="center"/>
          </w:tcPr>
          <w:p w14:paraId="7A79AFC3" w14:textId="77777777" w:rsidR="00702D0A" w:rsidRPr="00EA5420" w:rsidRDefault="00000000">
            <w:pPr>
              <w:spacing w:line="300" w:lineRule="auto"/>
              <w:jc w:val="left"/>
            </w:pPr>
            <w:r w:rsidRPr="00EA5420">
              <w:t>Priorities, safeguards and feasibility</w:t>
            </w:r>
          </w:p>
        </w:tc>
        <w:tc>
          <w:tcPr>
            <w:tcW w:w="2540" w:type="dxa"/>
            <w:tcMar>
              <w:top w:w="90" w:type="dxa"/>
              <w:left w:w="120" w:type="dxa"/>
              <w:bottom w:w="90" w:type="dxa"/>
              <w:right w:w="120" w:type="dxa"/>
            </w:tcMar>
            <w:vAlign w:val="center"/>
          </w:tcPr>
          <w:p w14:paraId="2958C214" w14:textId="77777777" w:rsidR="00702D0A" w:rsidRPr="00EA5420" w:rsidRDefault="00000000">
            <w:pPr>
              <w:spacing w:line="300" w:lineRule="auto"/>
              <w:jc w:val="left"/>
            </w:pPr>
            <w:r w:rsidRPr="00EA5420">
              <w:t>Cautious participant-grounded suggestions</w:t>
            </w:r>
          </w:p>
        </w:tc>
      </w:tr>
    </w:tbl>
    <w:p w14:paraId="03D69CCC" w14:textId="77777777" w:rsidR="00702D0A" w:rsidRPr="00204F92" w:rsidRDefault="00702D0A">
      <w:pPr>
        <w:rPr>
          <w:rFonts w:eastAsia="宋体" w:hint="eastAsia"/>
          <w:lang w:eastAsia="zh-CN"/>
        </w:rPr>
      </w:pPr>
    </w:p>
    <w:p w14:paraId="5B49F8A1" w14:textId="77777777" w:rsidR="00702D0A" w:rsidRPr="00EA5420" w:rsidRDefault="00000000">
      <w:pPr>
        <w:pStyle w:val="1"/>
      </w:pPr>
      <w:bookmarkStart w:id="4" w:name="_Toc234801866"/>
      <w:r w:rsidRPr="00EA5420">
        <w:t>2. Preliminary Literature Review</w:t>
      </w:r>
      <w:bookmarkEnd w:id="4"/>
    </w:p>
    <w:p w14:paraId="3FD40D02" w14:textId="77777777" w:rsidR="00702D0A" w:rsidRPr="00EA5420" w:rsidRDefault="00000000">
      <w:pPr>
        <w:pStyle w:val="2"/>
      </w:pPr>
      <w:bookmarkStart w:id="5" w:name="_Toc234801867"/>
      <w:r w:rsidRPr="00EA5420">
        <w:t>2.1 Digital HRM and the changing role of HR</w:t>
      </w:r>
      <w:bookmarkEnd w:id="5"/>
    </w:p>
    <w:p w14:paraId="4503DB5F" w14:textId="77777777" w:rsidR="00702D0A" w:rsidRPr="00EA5420" w:rsidRDefault="00000000">
      <w:r w:rsidRPr="00EA5420">
        <w:t xml:space="preserve">Digital HRM developed from earlier work on electronic human resource management. Strohmeier (2007) describes e-HRM as the use of information technology to support HR activities, while </w:t>
      </w:r>
      <w:proofErr w:type="spellStart"/>
      <w:r w:rsidRPr="00EA5420">
        <w:t>Ruël</w:t>
      </w:r>
      <w:proofErr w:type="spellEnd"/>
      <w:r w:rsidRPr="00EA5420">
        <w:t xml:space="preserve">, </w:t>
      </w:r>
      <w:proofErr w:type="spellStart"/>
      <w:r w:rsidRPr="00EA5420">
        <w:t>Bondarouk</w:t>
      </w:r>
      <w:proofErr w:type="spellEnd"/>
      <w:r w:rsidRPr="00EA5420">
        <w:t xml:space="preserve"> and </w:t>
      </w:r>
      <w:proofErr w:type="spellStart"/>
      <w:r w:rsidRPr="00EA5420">
        <w:t>Looise</w:t>
      </w:r>
      <w:proofErr w:type="spellEnd"/>
      <w:r w:rsidRPr="00EA5420">
        <w:t xml:space="preserve"> (2004) show that implementation may also create difficulties when technology does not match organisational needs. Earlier work concentrated on electronic records, employee self-service and administrative efficiency. More recent literature connects Digital HRM with workforce planning, learning, employee engagement, analytics and strategic HRM (Marler and Fisher, 2013; Kavanagh and Johnson, 2018; </w:t>
      </w:r>
      <w:proofErr w:type="spellStart"/>
      <w:r w:rsidRPr="00EA5420">
        <w:t>Thite</w:t>
      </w:r>
      <w:proofErr w:type="spellEnd"/>
      <w:r w:rsidRPr="00EA5420">
        <w:t>, 2019; Vial, 2019). This development increases both the possible value of HR technology and the need for responsible governance.</w:t>
      </w:r>
    </w:p>
    <w:p w14:paraId="40039697" w14:textId="77777777" w:rsidR="00702D0A" w:rsidRPr="00EA5420" w:rsidRDefault="00000000">
      <w:r w:rsidRPr="00EA5420">
        <w:t xml:space="preserve">A central debate is whether Digital HRM empowers employees or strengthens organisational control. Parry and Tyson (2011) find that e-HRM may improve service and release HR time </w:t>
      </w:r>
      <w:r w:rsidRPr="00EA5420">
        <w:lastRenderedPageBreak/>
        <w:t>for more strategic work, but expected benefits are not automatically achieved. Stone et al. (2015) further warn that technology may make HRM feel less human when judgement, transparent communication and support are absent. From a resource-based perspective, technology is likely to create value only when combined with human capital, managerial capability and employee trust (Barney, 1991; Boxall and Purcell, 2022). The present study therefore does not equate system functionality with positive employee outcomes; it compares how different roles understand the same practices.</w:t>
      </w:r>
    </w:p>
    <w:p w14:paraId="64B4F8D8" w14:textId="77777777" w:rsidR="00702D0A" w:rsidRPr="00EA5420" w:rsidRDefault="00000000">
      <w:pPr>
        <w:pStyle w:val="2"/>
      </w:pPr>
      <w:bookmarkStart w:id="6" w:name="_Toc234801868"/>
      <w:r w:rsidRPr="00EA5420">
        <w:t>2.2 HR analytics, AI and responsible use</w:t>
      </w:r>
      <w:bookmarkEnd w:id="6"/>
    </w:p>
    <w:p w14:paraId="0DBB5615" w14:textId="77777777" w:rsidR="00702D0A" w:rsidRPr="00EA5420" w:rsidRDefault="00000000">
      <w:r w:rsidRPr="00EA5420">
        <w:t xml:space="preserve">HR analytics combines employee data, analytical tools and organisational knowledge to support decisions (Marler and Boudreau, 2017; Edwards and Edwards, 2019). It may help identify skills gaps, plan training and understand workforce-movement risks, but dashboards alone do not guarantee useful decisions. </w:t>
      </w:r>
      <w:proofErr w:type="spellStart"/>
      <w:r w:rsidRPr="00EA5420">
        <w:t>Angrave</w:t>
      </w:r>
      <w:proofErr w:type="spellEnd"/>
      <w:r w:rsidRPr="00EA5420">
        <w:t xml:space="preserve"> et al. (2016) argue that big-data projects may reinforce superficial measurement rather than understanding when HR teams lack analytical capability or projects are disconnected from genuine business questions. </w:t>
      </w:r>
      <w:proofErr w:type="spellStart"/>
      <w:r w:rsidRPr="00EA5420">
        <w:t>Minbaeva</w:t>
      </w:r>
      <w:proofErr w:type="spellEnd"/>
      <w:r w:rsidRPr="00EA5420">
        <w:t xml:space="preserve"> (2018) similarly emphasises data quality, analytical capability and organisational infrastructure. This evidence suggests that employee trust in how data are generated, interpreted and used is as important as technical capability.</w:t>
      </w:r>
    </w:p>
    <w:p w14:paraId="66E20E69" w14:textId="77777777" w:rsidR="00702D0A" w:rsidRPr="00EA5420" w:rsidRDefault="00000000">
      <w:r>
        <w:t xml:space="preserve">AI-assisted HR decisions may reproduce historical bias, extend surveillance or make outcomes difficult for employees to challenge (Tambe, Cappelli and Yakubovich, 2019; Charlwood and Guenole, 2022). Recent employee-generated evidence also links negative algorithmic experiences with weaker employee voice through perceptions of control and cultural disconnection (Zhang, Yu and Yang, 2025). Professional material emphasises transparency, accountability, sustainable adoption and good work (Chartered Institute of Personnel and Development [CIPD], 2025, 2026a, 2026c; Deloitte, 2025b). However, industry reports often foreground potential benefits, while many empirical studies rely on </w:t>
      </w:r>
      <w:r>
        <w:lastRenderedPageBreak/>
        <w:t>managerial perspectives or survey attitudes. Employees' everyday interpretations of data-driven management therefore remain less visible.</w:t>
      </w:r>
    </w:p>
    <w:p w14:paraId="094FC77C" w14:textId="77777777" w:rsidR="00702D0A" w:rsidRPr="00EA5420" w:rsidRDefault="00000000">
      <w:pPr>
        <w:pStyle w:val="2"/>
      </w:pPr>
      <w:bookmarkStart w:id="7" w:name="_Toc234801869"/>
      <w:r w:rsidRPr="00EA5420">
        <w:t>2.3 Digital learning and capability development</w:t>
      </w:r>
      <w:bookmarkEnd w:id="7"/>
    </w:p>
    <w:p w14:paraId="54A4A4C1" w14:textId="77777777" w:rsidR="00702D0A" w:rsidRPr="00EA5420" w:rsidRDefault="00000000">
      <w:r w:rsidRPr="00EA5420">
        <w:t xml:space="preserve">Technology-intensive businesses require continuing development of capabilities in AI, data, content production, product work and cross-functional collaboration. Online learning platforms, micro-learning, virtual classrooms and AI-assisted learning can extend the reach of training and provide more flexible access. The World Economic Forum (2025), OECD (2025b), LinkedIn Learning (2025) and CIPD (2026b) identify technological literacy, adaptability and continuous learning as important future skills. However, such reports mainly describe trends and employer needs; they do not show whether employees consider </w:t>
      </w:r>
      <w:proofErr w:type="gramStart"/>
      <w:r w:rsidRPr="00EA5420">
        <w:t>particular learning</w:t>
      </w:r>
      <w:proofErr w:type="gramEnd"/>
      <w:r w:rsidRPr="00EA5420">
        <w:t xml:space="preserve"> content relevant to their work, career goals or progression opportunities.</w:t>
      </w:r>
    </w:p>
    <w:p w14:paraId="4B516F9B" w14:textId="77777777" w:rsidR="00702D0A" w:rsidRPr="00EA5420" w:rsidRDefault="00000000">
      <w:r w:rsidRPr="00EA5420">
        <w:t>Self-determination theory suggests that autonomy, competence and relatedness influence motivation to learn (Deci and Ryan, 2000). Completion rates therefore cannot be treated as equivalent to capability development: mandatory or generic online courses that are disconnected from career pathways may become administrative tasks. Organisations may also allocate development differently according to roles and human-capital needs (Lepak and Snell, 1999). Armstrong and Taylor (2023) consequently argue that learning should respond both to organisational capability and employee development. For Keep, the relevant question is whether content is relevant, employees have time to learn, managers provide support and learning connects with genuine opportunities.</w:t>
      </w:r>
    </w:p>
    <w:p w14:paraId="0E3371F1" w14:textId="77777777" w:rsidR="00702D0A" w:rsidRPr="00EA5420" w:rsidRDefault="00000000">
      <w:pPr>
        <w:pStyle w:val="2"/>
      </w:pPr>
      <w:bookmarkStart w:id="8" w:name="_Toc234801870"/>
      <w:r w:rsidRPr="00EA5420">
        <w:t>2.4 Digital performance management: feedback, fairness and control</w:t>
      </w:r>
      <w:bookmarkEnd w:id="8"/>
    </w:p>
    <w:p w14:paraId="66A6DBDA" w14:textId="77777777" w:rsidR="00702D0A" w:rsidRPr="00EA5420" w:rsidRDefault="00000000">
      <w:r w:rsidRPr="00EA5420">
        <w:t xml:space="preserve">Performance management has increasingly moved from annual appraisal towards more continuous goal tracking and feedback (DeNisi and Murphy, 2017). Digital systems may make objectives clearer, create more timely records and help managers identify support needs earlier. However, performance data also affect rewards, development opportunities and </w:t>
      </w:r>
      <w:r w:rsidRPr="00EA5420">
        <w:lastRenderedPageBreak/>
        <w:t xml:space="preserve">feelings of job security. Transparency therefore depends not only on whether employees can see metrics, but also on whether measures fit </w:t>
      </w:r>
      <w:proofErr w:type="gramStart"/>
      <w:r w:rsidRPr="00EA5420">
        <w:t>particular roles</w:t>
      </w:r>
      <w:proofErr w:type="gramEnd"/>
      <w:r w:rsidRPr="00EA5420">
        <w:t>, data can be explained and employees can challenge inaccurate judgements.</w:t>
      </w:r>
    </w:p>
    <w:p w14:paraId="2A4D27F8" w14:textId="7A73A0AF" w:rsidR="00702D0A" w:rsidRPr="00EA5420" w:rsidRDefault="00000000">
      <w:r w:rsidRPr="00EA5420">
        <w:t xml:space="preserve">Guest (2017) argues that HRM should be evaluated in relation to employee well-being as well as organisational performance. In creative, technical and collaborative roles, not every valuable contribution can be captured through standardised digital indicators. A system may be understood by managers as evidence for decision-making but experienced by employees as continuous monitoring. Existing literature discusses performance-management principles </w:t>
      </w:r>
      <w:r w:rsidR="00CC33B0" w:rsidRPr="00EA5420">
        <w:t>extensively yet</w:t>
      </w:r>
      <w:r w:rsidRPr="00EA5420">
        <w:t xml:space="preserve"> gives less attention to interpretive differences among HR professionals, managers and employees within the same organisation. This study therefore examines whether feedback is experienced as developmental, whether evaluation is considered fair and how managers translate systems into everyday practice. It does not attempt to use interviews to prove objective performance change.</w:t>
      </w:r>
    </w:p>
    <w:p w14:paraId="6D030C8A" w14:textId="77777777" w:rsidR="00702D0A" w:rsidRPr="00EA5420" w:rsidRDefault="00000000">
      <w:pPr>
        <w:pStyle w:val="2"/>
      </w:pPr>
      <w:bookmarkStart w:id="9" w:name="_Toc234801871"/>
      <w:r w:rsidRPr="00EA5420">
        <w:t>2.5 Digital communication, employee voice and engagement</w:t>
      </w:r>
      <w:bookmarkEnd w:id="9"/>
    </w:p>
    <w:p w14:paraId="2904F3DC" w14:textId="77777777" w:rsidR="00702D0A" w:rsidRPr="00EA5420" w:rsidRDefault="00000000">
      <w:r w:rsidRPr="00EA5420">
        <w:t>Digital communication platforms, pulse surveys, internal forums and online recognition tools may accelerate information sharing and widen channels for employee expression. Kahn (1990) connects engagement with the ability to invest and express oneself in a work role, while Saks (2006) emphasises organisational support and social exchange. From this perspective, collecting feedback is not equivalent to meaningful employee voice. When employees see no response, fear identification or believe that speaking will not influence decisions, frequent surveys may reduce rather than strengthen trust.</w:t>
      </w:r>
    </w:p>
    <w:p w14:paraId="3E0BFDCA" w14:textId="77777777" w:rsidR="00702D0A" w:rsidRPr="00EA5420" w:rsidRDefault="00000000">
      <w:r w:rsidRPr="00EA5420">
        <w:t xml:space="preserve">Technology also changes the boundaries of work. Cascio and Montealegre (2016) observe that connectivity may improve collaboration while creating an expectation of constant availability. In a fast-moving digital business, messages, meetings, task platforms and HR notifications may overlap and produce digital overload. Engagement research sometimes </w:t>
      </w:r>
      <w:r w:rsidRPr="00EA5420">
        <w:lastRenderedPageBreak/>
        <w:t>relies on scale scores (Schaufeli et al., 2002). Such measures can compare overall levels but are less able to explain the circumstances in which employees feel heard or exhausted. Open interviews in the present study will examine relationships among communication tools, managerial follow-up and psychological safety.</w:t>
      </w:r>
    </w:p>
    <w:p w14:paraId="6D13F111" w14:textId="77777777" w:rsidR="00702D0A" w:rsidRPr="00EA5420" w:rsidRDefault="00000000">
      <w:pPr>
        <w:pStyle w:val="2"/>
      </w:pPr>
      <w:bookmarkStart w:id="10" w:name="_Toc234801872"/>
      <w:r w:rsidRPr="00EA5420">
        <w:t>2.6 Technology acceptance, line managers and change implementation</w:t>
      </w:r>
      <w:bookmarkEnd w:id="10"/>
    </w:p>
    <w:p w14:paraId="31140C58" w14:textId="2C981B51" w:rsidR="00702D0A" w:rsidRPr="00EA5420" w:rsidRDefault="00000000">
      <w:r w:rsidRPr="00EA5420">
        <w:t xml:space="preserve">Davis's (1989) technology acceptance model identifies perceived usefulness and perceived ease of use as important influences on acceptance. Venkatesh et al. (2003) extend this through performance expectancy, effort expectancy, social influence and facilitating conditions. These models can help sensitise the interview analysis to relevant </w:t>
      </w:r>
      <w:r w:rsidR="00CC33B0" w:rsidRPr="00EA5420">
        <w:t>issues but</w:t>
      </w:r>
      <w:r w:rsidRPr="00EA5420">
        <w:t xml:space="preserve"> using them as a fixed measurement structure could restrict participants from raising concerns outside the models. They are therefore treated as sensitising concepts rather than variables to be tested.</w:t>
      </w:r>
    </w:p>
    <w:p w14:paraId="692A467C" w14:textId="77777777" w:rsidR="00702D0A" w:rsidRPr="00EA5420" w:rsidRDefault="00000000">
      <w:r w:rsidRPr="00EA5420">
        <w:t xml:space="preserve">Line managers are important intermediaries in Digital HRM implementation. </w:t>
      </w:r>
      <w:proofErr w:type="spellStart"/>
      <w:r w:rsidRPr="00EA5420">
        <w:t>Bondarouk</w:t>
      </w:r>
      <w:proofErr w:type="spellEnd"/>
      <w:r w:rsidRPr="00EA5420">
        <w:t xml:space="preserve"> and Brewster (2016) note that HR technology redistributes responsibility among HR, managers and employees. The same tool may be experienced as control when explanation and support are limited, but as support when coaching, feedback and learning resources are available. Recent reports also emphasise work redesign, skills development and responsible governance (Deloitte, 2025a; Gartner, 2025; McKinsey &amp; Company, 2025; Microsoft, 2025; OECD, 2025a; International Labour Organization, 2025; Stanford Institute for Human-</w:t>
      </w:r>
      <w:proofErr w:type="spellStart"/>
      <w:r w:rsidRPr="00EA5420">
        <w:t>Centered</w:t>
      </w:r>
      <w:proofErr w:type="spellEnd"/>
      <w:r w:rsidRPr="00EA5420">
        <w:t xml:space="preserve"> Artificial Intelligence, 2026), but macro-level evidence cannot replace comparison of organisational roles.</w:t>
      </w:r>
    </w:p>
    <w:p w14:paraId="15DEFDEF" w14:textId="77777777" w:rsidR="00702D0A" w:rsidRPr="00EA5420" w:rsidRDefault="00000000">
      <w:pPr>
        <w:pStyle w:val="2"/>
      </w:pPr>
      <w:bookmarkStart w:id="11" w:name="_Toc234801873"/>
      <w:r w:rsidRPr="00EA5420">
        <w:t>2.7 Integrating the debates: value, control and implementation</w:t>
      </w:r>
      <w:bookmarkEnd w:id="11"/>
    </w:p>
    <w:p w14:paraId="26C0691B" w14:textId="611E7390" w:rsidR="00702D0A" w:rsidRPr="00EA5420" w:rsidRDefault="00000000">
      <w:r w:rsidRPr="00EA5420">
        <w:t xml:space="preserve">Across the three focal areas, the literature reveals a recurring difference between efficiency and meaningful HR outcomes. Digital learning can widen provision, yet completion does not demonstrate capability development. Performance dashboards can accelerate </w:t>
      </w:r>
      <w:r w:rsidR="00CC33B0" w:rsidRPr="00EA5420">
        <w:t>feedback but</w:t>
      </w:r>
      <w:r w:rsidRPr="00EA5420">
        <w:t xml:space="preserve"> may turn partial indicators into apparently complete judgements of contribution. Digital </w:t>
      </w:r>
      <w:r w:rsidRPr="00EA5420">
        <w:lastRenderedPageBreak/>
        <w:t xml:space="preserve">communication can widen opportunities to </w:t>
      </w:r>
      <w:r w:rsidR="00CC33B0" w:rsidRPr="00EA5420">
        <w:t>speak but</w:t>
      </w:r>
      <w:r w:rsidRPr="00EA5420">
        <w:t xml:space="preserve"> may produce survey fatigue and voice without influence when there is no response. Technological adoption, process efficiency and employee outcomes should therefore not be treated as the same result. Parry and Tyson (2011) and </w:t>
      </w:r>
      <w:proofErr w:type="spellStart"/>
      <w:r w:rsidRPr="00EA5420">
        <w:t>Angrave</w:t>
      </w:r>
      <w:proofErr w:type="spellEnd"/>
      <w:r w:rsidRPr="00EA5420">
        <w:t xml:space="preserve"> et al. (2016) show that expected gains depend on implementation capability and connection to genuine business questions. Stone et al. (2015) and Guest (2017) further suggest that an efficiency gain cannot simply be labelled HRM optimisation if it weakens judgement, trust or well-being.</w:t>
      </w:r>
    </w:p>
    <w:p w14:paraId="3E8CFBE3" w14:textId="1D55D838" w:rsidR="00702D0A" w:rsidRPr="00EA5420" w:rsidRDefault="00000000">
      <w:r w:rsidRPr="00EA5420">
        <w:t>Theories also illuminate different parts of the problem but have limits. The resource-based view explains how Digital HRM may connect with organisational capability and strategic value (Barney, 1991; Boxall and Purcell, 2022</w:t>
      </w:r>
      <w:r w:rsidR="00CC33B0" w:rsidRPr="00EA5420">
        <w:t>) yet</w:t>
      </w:r>
      <w:r w:rsidRPr="00EA5420">
        <w:t xml:space="preserve"> can treat employee trust and well-being mainly as resources for performance. Technology-acceptance and UTAUT perspectives emphasise usefulness, ease of use and facilitating conditions (Davis, 1989; Venkatesh et al., 2003), but may individualise 'acceptance' and understate power, fairness and employees' ability to question system judgements. Self-determination, engagement and social-exchange perspectives foreground autonomy, support and employee voice (Deci and Ryan, 2000; Kahn, 1990; Saks, 2006), but say less about data governance and implementation. No single model is therefore used to explain the whole dataset in advance. These perspectives will operate as complementary sensitising concepts that the data may support, qualify or challenge.</w:t>
      </w:r>
    </w:p>
    <w:p w14:paraId="41A80D74" w14:textId="77777777" w:rsidR="00702D0A" w:rsidRPr="00EA5420" w:rsidRDefault="00000000">
      <w:r>
        <w:t xml:space="preserve">Implementation also depends on how organisational roles translate technology into everyday practice. HR professionals may prioritise consistency, governance and strategic information; line managers may experience both clearer accountability and additional work; employees may encounter the same feature as support, surveillance or both (Bondarouk and Brewster, 2016). Recent qualitative evidence suggests that middle managers may become intermediaries who interpret algorithmic outputs and mediate control rather than simply being displaced by technology (Vieira and Junte, 2025). Technology characteristics alone do not determine </w:t>
      </w:r>
      <w:r>
        <w:lastRenderedPageBreak/>
        <w:t>outcomes: managerial explanation, appeal routes, psychological safety and follow-up shape how a practice is understood. The study therefore compares three role groups and asks for specific incidents rather than general satisfaction. This comparison is not intended to decide which group is 'correct', but to explain how contradictory experiences are produced within one organisation.</w:t>
      </w:r>
    </w:p>
    <w:p w14:paraId="6718FABF" w14:textId="77777777" w:rsidR="00702D0A" w:rsidRPr="00EA5420" w:rsidRDefault="00000000">
      <w:pPr>
        <w:pStyle w:val="2"/>
      </w:pPr>
      <w:bookmarkStart w:id="12" w:name="_Toc234801874"/>
      <w:r w:rsidRPr="00EA5420">
        <w:t>2.8 Critical synthesis, research gap and conceptual framework</w:t>
      </w:r>
      <w:bookmarkEnd w:id="12"/>
    </w:p>
    <w:p w14:paraId="445868E6" w14:textId="77777777" w:rsidR="00702D0A" w:rsidRPr="00EA5420" w:rsidRDefault="00000000">
      <w:r w:rsidRPr="00EA5420">
        <w:t xml:space="preserve">Taken together, the literature suggests three main limitations. First, discussions of technological potential often draw on vendors, industry reports or managerial perspectives, while employees' everyday experiences are less visible. Second, many empirical studies use surveys or samples from a single organisational group. These approaches can identify associations among attitudes but are less able to explain why HR professionals, managers and employees develop different interpretations. Third, research on Chinese digital businesses more often concerns large platforms, macro-level skills or technological transformation than multi-role qualitative cases in smaller, focused businesses. These gaps do not mean that </w:t>
      </w:r>
      <w:proofErr w:type="gramStart"/>
      <w:r w:rsidRPr="00EA5420">
        <w:t>Keep</w:t>
      </w:r>
      <w:proofErr w:type="gramEnd"/>
      <w:r w:rsidRPr="00EA5420">
        <w:t xml:space="preserve"> necessarily has </w:t>
      </w:r>
      <w:proofErr w:type="gramStart"/>
      <w:r w:rsidRPr="00EA5420">
        <w:t>particular problems</w:t>
      </w:r>
      <w:proofErr w:type="gramEnd"/>
      <w:r w:rsidRPr="00EA5420">
        <w:t>; they show why open exploration may be valuable.</w:t>
      </w:r>
    </w:p>
    <w:p w14:paraId="0EBD0E88" w14:textId="77777777" w:rsidR="00702D0A" w:rsidRPr="00EA5420" w:rsidRDefault="00000000">
      <w:r w:rsidRPr="00EA5420">
        <w:t>The gap is therefore not an absence of Digital HRM literature, but a shortage of contextual explanation of multi-role experiences, underlying mechanisms and conditions for improvement within a focused Chinese digital business. This gap leads directly to the research questions: describe practice in the three focal areas, compare role-based interpretations, identify enabling and constraining conditions, and develop suggestions grounded in participants' experiences. This sequence aligns the literature review, interview guide and thematic analysis, while avoiding an assumption that Keep has a predetermined failure before data are collected.</w:t>
      </w:r>
    </w:p>
    <w:p w14:paraId="05E33C1F" w14:textId="77777777" w:rsidR="00702D0A" w:rsidRPr="00EA5420" w:rsidRDefault="00000000">
      <w:r w:rsidRPr="00EA5420">
        <w:t xml:space="preserve">The proposed conceptual framework connects the three focal HR areas with three interpretive lenses: efficiency, employee experience and strategic HR value. Perceived usefulness, </w:t>
      </w:r>
      <w:r w:rsidRPr="00EA5420">
        <w:lastRenderedPageBreak/>
        <w:t>managerial support, transparency, privacy and employee voice operate as cross-cutting sensitising concepts. The framework will help the researcher ask relevant questions and compare themes, but it will not become a fixed coding template or be used to test causal relationships. Final themes may confirm, modify or extend beyond these concepts.</w:t>
      </w:r>
    </w:p>
    <w:p w14:paraId="79861406" w14:textId="77777777" w:rsidR="00702D0A" w:rsidRPr="00EA5420" w:rsidRDefault="00000000">
      <w:pPr>
        <w:pStyle w:val="TableCaption"/>
        <w:rPr>
          <w:lang w:val="en-GB"/>
        </w:rPr>
      </w:pPr>
      <w:r w:rsidRPr="00EA5420">
        <w:rPr>
          <w:lang w:val="en-GB"/>
        </w:rPr>
        <w:t>Table 2: Proposed conceptual framework</w:t>
      </w:r>
    </w:p>
    <w:tbl>
      <w:tblPr>
        <w:tblW w:w="9071" w:type="dxa"/>
        <w:tblLayout w:type="fixed"/>
        <w:tblLook w:val="04A0" w:firstRow="1" w:lastRow="0" w:firstColumn="1" w:lastColumn="0" w:noHBand="0" w:noVBand="1"/>
      </w:tblPr>
      <w:tblGrid>
        <w:gridCol w:w="1814"/>
        <w:gridCol w:w="2631"/>
        <w:gridCol w:w="2631"/>
        <w:gridCol w:w="1995"/>
      </w:tblGrid>
      <w:tr w:rsidR="00702D0A" w:rsidRPr="00EA5420" w14:paraId="4934CC0B" w14:textId="77777777" w:rsidTr="00204F92">
        <w:trPr>
          <w:cantSplit/>
          <w:tblHeader/>
        </w:trPr>
        <w:tc>
          <w:tcPr>
            <w:tcW w:w="1814" w:type="dxa"/>
            <w:shd w:val="clear" w:color="auto" w:fill="E7E6E6"/>
            <w:tcMar>
              <w:top w:w="90" w:type="dxa"/>
              <w:left w:w="120" w:type="dxa"/>
              <w:bottom w:w="90" w:type="dxa"/>
              <w:right w:w="120" w:type="dxa"/>
            </w:tcMar>
            <w:vAlign w:val="center"/>
          </w:tcPr>
          <w:p w14:paraId="27BB352C" w14:textId="77777777" w:rsidR="00702D0A" w:rsidRPr="00EA5420" w:rsidRDefault="00000000">
            <w:pPr>
              <w:spacing w:line="300" w:lineRule="auto"/>
              <w:jc w:val="center"/>
            </w:pPr>
            <w:r w:rsidRPr="00EA5420">
              <w:rPr>
                <w:b/>
              </w:rPr>
              <w:t>Focal area</w:t>
            </w:r>
          </w:p>
        </w:tc>
        <w:tc>
          <w:tcPr>
            <w:tcW w:w="2631" w:type="dxa"/>
            <w:shd w:val="clear" w:color="auto" w:fill="E7E6E6"/>
            <w:tcMar>
              <w:top w:w="90" w:type="dxa"/>
              <w:left w:w="120" w:type="dxa"/>
              <w:bottom w:w="90" w:type="dxa"/>
              <w:right w:w="120" w:type="dxa"/>
            </w:tcMar>
            <w:vAlign w:val="center"/>
          </w:tcPr>
          <w:p w14:paraId="53F3B0B9" w14:textId="77777777" w:rsidR="00702D0A" w:rsidRPr="00EA5420" w:rsidRDefault="00000000">
            <w:pPr>
              <w:keepNext/>
              <w:spacing w:line="300" w:lineRule="auto"/>
              <w:jc w:val="center"/>
            </w:pPr>
            <w:r w:rsidRPr="00EA5420">
              <w:rPr>
                <w:b/>
              </w:rPr>
              <w:t>Potential enabling experience</w:t>
            </w:r>
          </w:p>
        </w:tc>
        <w:tc>
          <w:tcPr>
            <w:tcW w:w="2631" w:type="dxa"/>
            <w:shd w:val="clear" w:color="auto" w:fill="E7E6E6"/>
            <w:tcMar>
              <w:top w:w="90" w:type="dxa"/>
              <w:left w:w="120" w:type="dxa"/>
              <w:bottom w:w="90" w:type="dxa"/>
              <w:right w:w="120" w:type="dxa"/>
            </w:tcMar>
            <w:vAlign w:val="center"/>
          </w:tcPr>
          <w:p w14:paraId="46CF9DF2" w14:textId="77777777" w:rsidR="00702D0A" w:rsidRPr="00EA5420" w:rsidRDefault="00000000">
            <w:pPr>
              <w:keepNext/>
              <w:spacing w:line="300" w:lineRule="auto"/>
              <w:jc w:val="center"/>
            </w:pPr>
            <w:r w:rsidRPr="00EA5420">
              <w:rPr>
                <w:b/>
              </w:rPr>
              <w:t>Potential risk</w:t>
            </w:r>
          </w:p>
        </w:tc>
        <w:tc>
          <w:tcPr>
            <w:tcW w:w="1995" w:type="dxa"/>
            <w:shd w:val="clear" w:color="auto" w:fill="E7E6E6"/>
            <w:tcMar>
              <w:top w:w="90" w:type="dxa"/>
              <w:left w:w="120" w:type="dxa"/>
              <w:bottom w:w="90" w:type="dxa"/>
              <w:right w:w="120" w:type="dxa"/>
            </w:tcMar>
            <w:vAlign w:val="center"/>
          </w:tcPr>
          <w:p w14:paraId="25EB269B" w14:textId="77777777" w:rsidR="00702D0A" w:rsidRPr="00EA5420" w:rsidRDefault="00000000">
            <w:pPr>
              <w:keepNext/>
              <w:spacing w:line="300" w:lineRule="auto"/>
              <w:jc w:val="center"/>
            </w:pPr>
            <w:r w:rsidRPr="00EA5420">
              <w:rPr>
                <w:b/>
              </w:rPr>
              <w:t>Interpretive lens</w:t>
            </w:r>
          </w:p>
        </w:tc>
      </w:tr>
      <w:tr w:rsidR="00702D0A" w:rsidRPr="00EA5420" w14:paraId="676220C8" w14:textId="77777777" w:rsidTr="00204F92">
        <w:trPr>
          <w:cantSplit/>
        </w:trPr>
        <w:tc>
          <w:tcPr>
            <w:tcW w:w="1814" w:type="dxa"/>
            <w:tcMar>
              <w:top w:w="90" w:type="dxa"/>
              <w:left w:w="120" w:type="dxa"/>
              <w:bottom w:w="90" w:type="dxa"/>
              <w:right w:w="120" w:type="dxa"/>
            </w:tcMar>
            <w:vAlign w:val="center"/>
          </w:tcPr>
          <w:p w14:paraId="0984A3A2" w14:textId="77777777" w:rsidR="00702D0A" w:rsidRPr="00EA5420" w:rsidRDefault="00000000">
            <w:pPr>
              <w:spacing w:line="300" w:lineRule="auto"/>
              <w:jc w:val="left"/>
            </w:pPr>
            <w:r w:rsidRPr="00EA5420">
              <w:t>Digital learning and development</w:t>
            </w:r>
          </w:p>
        </w:tc>
        <w:tc>
          <w:tcPr>
            <w:tcW w:w="2631" w:type="dxa"/>
            <w:tcMar>
              <w:top w:w="90" w:type="dxa"/>
              <w:left w:w="120" w:type="dxa"/>
              <w:bottom w:w="90" w:type="dxa"/>
              <w:right w:w="120" w:type="dxa"/>
            </w:tcMar>
            <w:vAlign w:val="center"/>
          </w:tcPr>
          <w:p w14:paraId="408624F7" w14:textId="77777777" w:rsidR="00702D0A" w:rsidRPr="00EA5420" w:rsidRDefault="00000000">
            <w:pPr>
              <w:keepNext/>
              <w:spacing w:line="300" w:lineRule="auto"/>
              <w:jc w:val="left"/>
            </w:pPr>
            <w:r w:rsidRPr="00EA5420">
              <w:t>Relevant content, flexible access and capability development</w:t>
            </w:r>
          </w:p>
        </w:tc>
        <w:tc>
          <w:tcPr>
            <w:tcW w:w="2631" w:type="dxa"/>
            <w:tcMar>
              <w:top w:w="90" w:type="dxa"/>
              <w:left w:w="120" w:type="dxa"/>
              <w:bottom w:w="90" w:type="dxa"/>
              <w:right w:w="120" w:type="dxa"/>
            </w:tcMar>
            <w:vAlign w:val="center"/>
          </w:tcPr>
          <w:p w14:paraId="7544EA86" w14:textId="77777777" w:rsidR="00702D0A" w:rsidRPr="00EA5420" w:rsidRDefault="00000000">
            <w:pPr>
              <w:keepNext/>
              <w:spacing w:line="300" w:lineRule="auto"/>
              <w:jc w:val="left"/>
            </w:pPr>
            <w:r w:rsidRPr="00EA5420">
              <w:t>Mandatory completion, limited time and weak career connection</w:t>
            </w:r>
          </w:p>
        </w:tc>
        <w:tc>
          <w:tcPr>
            <w:tcW w:w="1995" w:type="dxa"/>
            <w:tcMar>
              <w:top w:w="90" w:type="dxa"/>
              <w:left w:w="120" w:type="dxa"/>
              <w:bottom w:w="90" w:type="dxa"/>
              <w:right w:w="120" w:type="dxa"/>
            </w:tcMar>
            <w:vAlign w:val="center"/>
          </w:tcPr>
          <w:p w14:paraId="6FE60BDD" w14:textId="77777777" w:rsidR="00702D0A" w:rsidRPr="00EA5420" w:rsidRDefault="00000000">
            <w:pPr>
              <w:keepNext/>
              <w:spacing w:line="300" w:lineRule="auto"/>
              <w:jc w:val="left"/>
            </w:pPr>
            <w:r w:rsidRPr="00EA5420">
              <w:t>Relevance, support and development</w:t>
            </w:r>
          </w:p>
        </w:tc>
      </w:tr>
      <w:tr w:rsidR="00702D0A" w:rsidRPr="00EA5420" w14:paraId="610364FA" w14:textId="77777777" w:rsidTr="00204F92">
        <w:trPr>
          <w:cantSplit/>
        </w:trPr>
        <w:tc>
          <w:tcPr>
            <w:tcW w:w="1814" w:type="dxa"/>
            <w:tcMar>
              <w:top w:w="90" w:type="dxa"/>
              <w:left w:w="120" w:type="dxa"/>
              <w:bottom w:w="90" w:type="dxa"/>
              <w:right w:w="120" w:type="dxa"/>
            </w:tcMar>
            <w:vAlign w:val="center"/>
          </w:tcPr>
          <w:p w14:paraId="3A909078" w14:textId="77777777" w:rsidR="00702D0A" w:rsidRPr="00EA5420" w:rsidRDefault="00000000">
            <w:pPr>
              <w:spacing w:line="300" w:lineRule="auto"/>
              <w:jc w:val="left"/>
            </w:pPr>
            <w:r w:rsidRPr="00EA5420">
              <w:t>Digital performance management</w:t>
            </w:r>
          </w:p>
        </w:tc>
        <w:tc>
          <w:tcPr>
            <w:tcW w:w="2631" w:type="dxa"/>
            <w:tcMar>
              <w:top w:w="90" w:type="dxa"/>
              <w:left w:w="120" w:type="dxa"/>
              <w:bottom w:w="90" w:type="dxa"/>
              <w:right w:w="120" w:type="dxa"/>
            </w:tcMar>
            <w:vAlign w:val="center"/>
          </w:tcPr>
          <w:p w14:paraId="57031014" w14:textId="77777777" w:rsidR="00702D0A" w:rsidRPr="00EA5420" w:rsidRDefault="00000000">
            <w:pPr>
              <w:keepNext/>
              <w:spacing w:line="300" w:lineRule="auto"/>
              <w:jc w:val="left"/>
            </w:pPr>
            <w:r w:rsidRPr="00EA5420">
              <w:t>Clear objectives, timely feedback and developmental discussion</w:t>
            </w:r>
          </w:p>
        </w:tc>
        <w:tc>
          <w:tcPr>
            <w:tcW w:w="2631" w:type="dxa"/>
            <w:tcMar>
              <w:top w:w="90" w:type="dxa"/>
              <w:left w:w="120" w:type="dxa"/>
              <w:bottom w:w="90" w:type="dxa"/>
              <w:right w:w="120" w:type="dxa"/>
            </w:tcMar>
            <w:vAlign w:val="center"/>
          </w:tcPr>
          <w:p w14:paraId="2B8CA9DB" w14:textId="77777777" w:rsidR="00702D0A" w:rsidRPr="00EA5420" w:rsidRDefault="00000000">
            <w:pPr>
              <w:keepNext/>
              <w:spacing w:line="300" w:lineRule="auto"/>
              <w:jc w:val="left"/>
            </w:pPr>
            <w:r w:rsidRPr="00EA5420">
              <w:t>Surveillance, unsuitable metrics and limited ability to challenge outcomes</w:t>
            </w:r>
          </w:p>
        </w:tc>
        <w:tc>
          <w:tcPr>
            <w:tcW w:w="1995" w:type="dxa"/>
            <w:tcMar>
              <w:top w:w="90" w:type="dxa"/>
              <w:left w:w="120" w:type="dxa"/>
              <w:bottom w:w="90" w:type="dxa"/>
              <w:right w:w="120" w:type="dxa"/>
            </w:tcMar>
            <w:vAlign w:val="center"/>
          </w:tcPr>
          <w:p w14:paraId="4E5D0130" w14:textId="77777777" w:rsidR="00702D0A" w:rsidRPr="00EA5420" w:rsidRDefault="00000000">
            <w:pPr>
              <w:keepNext/>
              <w:spacing w:line="300" w:lineRule="auto"/>
              <w:jc w:val="left"/>
            </w:pPr>
            <w:r w:rsidRPr="00EA5420">
              <w:t>Fairness, transparency and well-being</w:t>
            </w:r>
          </w:p>
        </w:tc>
      </w:tr>
      <w:tr w:rsidR="00702D0A" w:rsidRPr="00EA5420" w14:paraId="23C622DB" w14:textId="77777777" w:rsidTr="00204F92">
        <w:trPr>
          <w:cantSplit/>
        </w:trPr>
        <w:tc>
          <w:tcPr>
            <w:tcW w:w="1814" w:type="dxa"/>
            <w:tcMar>
              <w:top w:w="90" w:type="dxa"/>
              <w:left w:w="120" w:type="dxa"/>
              <w:bottom w:w="90" w:type="dxa"/>
              <w:right w:w="120" w:type="dxa"/>
            </w:tcMar>
            <w:vAlign w:val="center"/>
          </w:tcPr>
          <w:p w14:paraId="5A45C327" w14:textId="77777777" w:rsidR="00702D0A" w:rsidRPr="00EA5420" w:rsidRDefault="00000000">
            <w:pPr>
              <w:spacing w:line="300" w:lineRule="auto"/>
              <w:jc w:val="left"/>
            </w:pPr>
            <w:r w:rsidRPr="00EA5420">
              <w:t>Digital communication, voice and engagement</w:t>
            </w:r>
          </w:p>
        </w:tc>
        <w:tc>
          <w:tcPr>
            <w:tcW w:w="2631" w:type="dxa"/>
            <w:tcMar>
              <w:top w:w="90" w:type="dxa"/>
              <w:left w:w="120" w:type="dxa"/>
              <w:bottom w:w="90" w:type="dxa"/>
              <w:right w:w="120" w:type="dxa"/>
            </w:tcMar>
            <w:vAlign w:val="center"/>
          </w:tcPr>
          <w:p w14:paraId="415CA46E" w14:textId="77777777" w:rsidR="00702D0A" w:rsidRPr="00EA5420" w:rsidRDefault="00000000">
            <w:pPr>
              <w:spacing w:line="300" w:lineRule="auto"/>
              <w:jc w:val="left"/>
            </w:pPr>
            <w:r w:rsidRPr="00EA5420">
              <w:t>Information sharing, channels for voice and managerial response</w:t>
            </w:r>
          </w:p>
        </w:tc>
        <w:tc>
          <w:tcPr>
            <w:tcW w:w="2631" w:type="dxa"/>
            <w:tcMar>
              <w:top w:w="90" w:type="dxa"/>
              <w:left w:w="120" w:type="dxa"/>
              <w:bottom w:w="90" w:type="dxa"/>
              <w:right w:w="120" w:type="dxa"/>
            </w:tcMar>
            <w:vAlign w:val="center"/>
          </w:tcPr>
          <w:p w14:paraId="1A1CF411" w14:textId="77777777" w:rsidR="00702D0A" w:rsidRPr="00EA5420" w:rsidRDefault="00000000">
            <w:pPr>
              <w:spacing w:line="300" w:lineRule="auto"/>
              <w:jc w:val="left"/>
            </w:pPr>
            <w:r w:rsidRPr="00EA5420">
              <w:t>Survey fatigue, overload and limited follow-up</w:t>
            </w:r>
          </w:p>
        </w:tc>
        <w:tc>
          <w:tcPr>
            <w:tcW w:w="1995" w:type="dxa"/>
            <w:tcMar>
              <w:top w:w="90" w:type="dxa"/>
              <w:left w:w="120" w:type="dxa"/>
              <w:bottom w:w="90" w:type="dxa"/>
              <w:right w:w="120" w:type="dxa"/>
            </w:tcMar>
            <w:vAlign w:val="center"/>
          </w:tcPr>
          <w:p w14:paraId="63CBFD6D" w14:textId="77777777" w:rsidR="00702D0A" w:rsidRPr="00EA5420" w:rsidRDefault="00000000">
            <w:pPr>
              <w:spacing w:line="300" w:lineRule="auto"/>
              <w:jc w:val="left"/>
            </w:pPr>
            <w:r w:rsidRPr="00EA5420">
              <w:t>Trust, voice and belonging</w:t>
            </w:r>
          </w:p>
        </w:tc>
      </w:tr>
    </w:tbl>
    <w:p w14:paraId="0333E063" w14:textId="77777777" w:rsidR="00702D0A" w:rsidRPr="00EA5420" w:rsidRDefault="00702D0A"/>
    <w:p w14:paraId="7833EB9C" w14:textId="77777777" w:rsidR="00702D0A" w:rsidRPr="00EA5420" w:rsidRDefault="00000000">
      <w:pPr>
        <w:pStyle w:val="1"/>
      </w:pPr>
      <w:bookmarkStart w:id="13" w:name="_Toc234801875"/>
      <w:r w:rsidRPr="00EA5420">
        <w:t>3. Methodology</w:t>
      </w:r>
      <w:bookmarkEnd w:id="13"/>
    </w:p>
    <w:p w14:paraId="7AE2C1F9" w14:textId="77777777" w:rsidR="00702D0A" w:rsidRPr="00EA5420" w:rsidRDefault="00000000">
      <w:pPr>
        <w:pStyle w:val="2"/>
      </w:pPr>
      <w:bookmarkStart w:id="14" w:name="_Toc234801876"/>
      <w:r w:rsidRPr="00EA5420">
        <w:t>3.1 Research philosophy, ontology, epistemology, axiology and positionality</w:t>
      </w:r>
      <w:bookmarkEnd w:id="14"/>
    </w:p>
    <w:p w14:paraId="6838596D" w14:textId="77777777" w:rsidR="00702D0A" w:rsidRPr="00EA5420" w:rsidRDefault="00000000">
      <w:r w:rsidRPr="00EA5420">
        <w:t>The study adopts interpretivism and a constructionist ontology because the questions concern how participants understand Digital HRM rather than context-free universal laws (Bryman, 2016; Creswell and Creswell, 2018; Saunders, Lewis and Thornhill, 2019). Reality may have several versions shaped by role and interaction, while knowledge is co-constructed through participants' accounts, questioning and interpretation. Axiologically, topic selection and analysis are recognised as influenced by prior knowledge and judgement; continuing reflexivity is therefore required rather than a claim of value neutrality.</w:t>
      </w:r>
    </w:p>
    <w:p w14:paraId="54CBA10F" w14:textId="3478208E" w:rsidR="00702D0A" w:rsidRPr="00EA5420" w:rsidRDefault="00000000">
      <w:r w:rsidRPr="00EA5420">
        <w:lastRenderedPageBreak/>
        <w:t xml:space="preserve">The researcher is external to Keep, has no private relationship with participants and has no role in performance, promotion or employment decisions. This may reduce direct power pressure but limits internal understanding and makes access and trust harder. Open questions, requests for clarification, a reflexive journal and analytic memos will be used. </w:t>
      </w:r>
    </w:p>
    <w:p w14:paraId="22EE9CF5" w14:textId="77777777" w:rsidR="00702D0A" w:rsidRPr="00EA5420" w:rsidRDefault="00000000">
      <w:pPr>
        <w:pStyle w:val="2"/>
      </w:pPr>
      <w:bookmarkStart w:id="15" w:name="_Toc234801877"/>
      <w:r w:rsidRPr="00EA5420">
        <w:t>3.2 Research approach, methodological choice, strategy and case boundaries</w:t>
      </w:r>
      <w:bookmarkEnd w:id="15"/>
    </w:p>
    <w:p w14:paraId="37083B0C" w14:textId="090ED6AA" w:rsidR="00702D0A" w:rsidRPr="00EA5420" w:rsidRDefault="00000000">
      <w:r w:rsidRPr="00EA5420">
        <w:t xml:space="preserve">The approach is predominantly inductive: themes will be developed </w:t>
      </w:r>
      <w:r w:rsidR="007B19D2" w:rsidRPr="00EA5420">
        <w:t>from interview</w:t>
      </w:r>
      <w:r w:rsidRPr="00EA5420">
        <w:t xml:space="preserve"> material rather than deduced through hypothesis testing. Literature informs prompts and sensitising concepts but not fixed variables or a codebook. A mono-method qualitative design fits questions about meaning, trust, fairness and particular experience (Bickman and Rog, 2009; Leavy, 2020). A survey could reveal attitude patterns but explain less about why one system is interpreted as support or control, while mixed methods may weaken qualitative depth within limited time and access. No hypotheses or statistical tests are proposed. The research-onion layers therefore connect interpretivism, induction, a qualitative single case, purposive interviews and thematic analysis.</w:t>
      </w:r>
    </w:p>
    <w:p w14:paraId="51CDFF3E" w14:textId="77777777" w:rsidR="00702D0A" w:rsidRPr="00EA5420" w:rsidRDefault="00000000">
      <w:r w:rsidRPr="00EA5420">
        <w:t>The strategy is an exploratory single-case study (Yin, 2018). The case is Digital HRM within Keep in China, and the unit of analysis is participants' experience and interpretation of the three focal areas. The three role groups enable within-case comparison rather than forming separate cases. The temporal boundary is direct experience during the previous three years. The design seeks contextual depth and cannot support statistical generalisation, but transparent reporting can help readers judge transferability.</w:t>
      </w:r>
    </w:p>
    <w:p w14:paraId="66C5DD17" w14:textId="77777777" w:rsidR="00702D0A" w:rsidRPr="00EA5420" w:rsidRDefault="00000000">
      <w:pPr>
        <w:pStyle w:val="2"/>
      </w:pPr>
      <w:bookmarkStart w:id="16" w:name="_Toc234801878"/>
      <w:r w:rsidRPr="00EA5420">
        <w:t>3.3 Access, sampling and recruitment</w:t>
      </w:r>
      <w:bookmarkEnd w:id="16"/>
    </w:p>
    <w:p w14:paraId="4FBFA6F4" w14:textId="36F373AD" w:rsidR="00702D0A" w:rsidRPr="00EA5420" w:rsidRDefault="00000000">
      <w:r w:rsidRPr="00EA5420">
        <w:t xml:space="preserve">Formal access is the principal feasibility condition. After ethical approval, Keep's permission or gatekeeper support will be sought formally. A gatekeeper will only circulate one invitation, without selecting participants or learning who joins or what they say. If internal circulation is unavailable, eligible current or former employees will be contacted through public </w:t>
      </w:r>
      <w:r w:rsidRPr="00EA5420">
        <w:lastRenderedPageBreak/>
        <w:t xml:space="preserve">professional channels and told that the study is independent, voluntary and non-commercial. No private-group content will be </w:t>
      </w:r>
      <w:r w:rsidR="007B19D2" w:rsidRPr="00EA5420">
        <w:t>harvested,</w:t>
      </w:r>
      <w:r w:rsidRPr="00EA5420">
        <w:t xml:space="preserve"> and invitations will not be repeated intrusively.</w:t>
      </w:r>
    </w:p>
    <w:p w14:paraId="0674B231" w14:textId="77777777" w:rsidR="00702D0A" w:rsidRPr="00EA5420" w:rsidRDefault="00000000">
      <w:r>
        <w:t>Purposive sampling will be supplemented by snowball sampling where needed. The target population is adults currently at Keep or who left within the previous three years, worked there for at least six months and directly used, implemented or managed one focal Digital HRM area. Participants must also be sufficiently comfortable using English to understand the participant information, provide informed consent and discuss workplace experience in an English-language interview. Short-term interns and contractors without relevant experience are excluded. Variation will be sought across department, tenure and role. Referrals provide contact opportunities only; the researcher will independently confirm eligibility and voluntariness.</w:t>
      </w:r>
    </w:p>
    <w:p w14:paraId="45E4A338" w14:textId="6DDA9A33" w:rsidR="00702D0A" w:rsidRPr="00EA5420" w:rsidRDefault="00000000">
      <w:r>
        <w:rPr>
          <w:rFonts w:eastAsia="宋体" w:hint="eastAsia"/>
          <w:lang w:eastAsia="zh-CN"/>
        </w:rPr>
        <w:t>The initial target is 8</w:t>
      </w:r>
      <w:r>
        <w:rPr>
          <w:rFonts w:eastAsia="宋体" w:hint="eastAsia"/>
          <w:lang w:eastAsia="zh-CN"/>
        </w:rPr>
        <w:t>–</w:t>
      </w:r>
      <w:r>
        <w:rPr>
          <w:rFonts w:eastAsia="宋体" w:hint="eastAsia"/>
          <w:lang w:eastAsia="zh-CN"/>
        </w:rPr>
        <w:t>12 participants: two to three HR professionals, two to three line managers and four to six employees. This range supports meaningful role comparison while remaining feasible for an in-depth Master's project. The final number will be guided by information power, including the specificity of the sample, the quality of dialogue and coverage of the research questions, rather than statistical representativeness (Malterud, Siersma and Guassora, 2016). Each role group will normally include at least two participants; if access produces only one participant in a group, that account will be presented as an individual perspective rather than a role-level pattern. Eligible former staff may be included if access is limited, but other firms will not be added to change the case boundary.</w:t>
      </w:r>
    </w:p>
    <w:p w14:paraId="6F5675A1" w14:textId="77777777" w:rsidR="00702D0A" w:rsidRPr="00EA5420" w:rsidRDefault="00000000">
      <w:pPr>
        <w:pStyle w:val="TableCaption"/>
        <w:rPr>
          <w:lang w:val="en-GB"/>
        </w:rPr>
        <w:pageBreakBefore/>
      </w:pPr>
      <w:r w:rsidRPr="00EA5420">
        <w:rPr>
          <w:lang w:val="en-GB"/>
        </w:rPr>
        <w:lastRenderedPageBreak/>
        <w:t>Table 3: Proposed sample and rationale</w:t>
      </w:r>
    </w:p>
    <w:tbl>
      <w:tblPr>
        <w:tblW w:w="9071" w:type="dxa"/>
        <w:tblBorders>
          <w:top w:val="nil"/>
          <w:left w:val="nil"/>
          <w:bottom w:val="nil"/>
          <w:right w:val="nil"/>
          <w:insideH w:val="nil"/>
          <w:insideV w:val="nil"/>
        </w:tblBorders>
        <w:tblLayout w:type="fixed"/>
        <w:tblLook w:val="04A0" w:firstRow="1" w:lastRow="0" w:firstColumn="1" w:lastColumn="0" w:noHBand="0" w:noVBand="1"/>
      </w:tblPr>
      <w:tblGrid>
        <w:gridCol w:w="2268"/>
        <w:gridCol w:w="1633"/>
        <w:gridCol w:w="5170"/>
      </w:tblGrid>
      <w:tr w:rsidR="00702D0A" w:rsidRPr="00EA5420" w14:paraId="1C34EF49" w14:textId="77777777">
        <w:trPr>
          <w:cantSplit/>
          <w:tblHeader/>
        </w:trPr>
        <w:tc>
          <w:tcPr>
            <w:tcW w:w="2268" w:type="dxa"/>
            <w:tcBorders>
              <w:bottom w:val="single" w:sz="4" w:space="0" w:color="FFFFFF"/>
              <w:right w:val="single" w:sz="4" w:space="0" w:color="FFFFFF"/>
            </w:tcBorders>
            <w:shd w:val="clear" w:color="auto" w:fill="E7E6E6"/>
            <w:tcMar>
              <w:top w:w="90" w:type="dxa"/>
              <w:left w:w="120" w:type="dxa"/>
              <w:bottom w:w="90" w:type="dxa"/>
              <w:right w:w="120" w:type="dxa"/>
            </w:tcMar>
            <w:vAlign w:val="center"/>
          </w:tcPr>
          <w:p w14:paraId="62EB9CF8" w14:textId="77777777" w:rsidR="00702D0A" w:rsidRPr="00EA5420" w:rsidRDefault="00000000">
            <w:pPr>
              <w:spacing w:line="300" w:lineRule="auto"/>
              <w:jc w:val="center"/>
            </w:pPr>
            <w:r w:rsidRPr="00EA5420">
              <w:rPr>
                <w:b/>
              </w:rPr>
              <w:t>Participant group</w:t>
            </w:r>
          </w:p>
        </w:tc>
        <w:tc>
          <w:tcPr>
            <w:tcW w:w="1633" w:type="dxa"/>
            <w:tcBorders>
              <w:bottom w:val="single" w:sz="4" w:space="0" w:color="FFFFFF"/>
              <w:right w:val="single" w:sz="4" w:space="0" w:color="FFFFFF"/>
            </w:tcBorders>
            <w:shd w:val="clear" w:color="auto" w:fill="E7E6E6"/>
            <w:tcMar>
              <w:top w:w="90" w:type="dxa"/>
              <w:left w:w="120" w:type="dxa"/>
              <w:bottom w:w="90" w:type="dxa"/>
              <w:right w:w="120" w:type="dxa"/>
            </w:tcMar>
            <w:vAlign w:val="center"/>
          </w:tcPr>
          <w:p w14:paraId="03F1BD20" w14:textId="77777777" w:rsidR="00702D0A" w:rsidRPr="00EA5420" w:rsidRDefault="00000000">
            <w:pPr>
              <w:keepNext/>
              <w:spacing w:line="300" w:lineRule="auto"/>
              <w:jc w:val="center"/>
            </w:pPr>
            <w:r w:rsidRPr="00EA5420">
              <w:rPr>
                <w:b/>
              </w:rPr>
              <w:t>Indicative number</w:t>
            </w:r>
          </w:p>
        </w:tc>
        <w:tc>
          <w:tcPr>
            <w:tcW w:w="5170" w:type="dxa"/>
            <w:tcBorders>
              <w:bottom w:val="single" w:sz="4" w:space="0" w:color="FFFFFF"/>
              <w:right w:val="single" w:sz="4" w:space="0" w:color="FFFFFF"/>
            </w:tcBorders>
            <w:shd w:val="clear" w:color="auto" w:fill="E7E6E6"/>
            <w:tcMar>
              <w:top w:w="90" w:type="dxa"/>
              <w:left w:w="120" w:type="dxa"/>
              <w:bottom w:w="90" w:type="dxa"/>
              <w:right w:w="120" w:type="dxa"/>
            </w:tcMar>
            <w:vAlign w:val="center"/>
          </w:tcPr>
          <w:p w14:paraId="6BF11EBB" w14:textId="77777777" w:rsidR="00702D0A" w:rsidRPr="00EA5420" w:rsidRDefault="00000000">
            <w:pPr>
              <w:keepNext/>
              <w:spacing w:line="300" w:lineRule="auto"/>
              <w:jc w:val="center"/>
            </w:pPr>
            <w:r w:rsidRPr="00EA5420">
              <w:rPr>
                <w:b/>
              </w:rPr>
              <w:t>Reason for inclusion</w:t>
            </w:r>
          </w:p>
        </w:tc>
      </w:tr>
      <w:tr w:rsidR="00702D0A" w:rsidRPr="00EA5420" w14:paraId="6A1AD1F9" w14:textId="77777777">
        <w:trPr>
          <w:cantSplit/>
        </w:trPr>
        <w:tc>
          <w:tcPr>
            <w:tcW w:w="2268" w:type="dxa"/>
            <w:tcMar>
              <w:top w:w="90" w:type="dxa"/>
              <w:left w:w="120" w:type="dxa"/>
              <w:bottom w:w="90" w:type="dxa"/>
              <w:right w:w="120" w:type="dxa"/>
            </w:tcMar>
            <w:vAlign w:val="center"/>
          </w:tcPr>
          <w:p w14:paraId="35CC8708" w14:textId="77777777" w:rsidR="00702D0A" w:rsidRPr="00EA5420" w:rsidRDefault="00000000">
            <w:pPr>
              <w:spacing w:line="300" w:lineRule="auto"/>
              <w:jc w:val="left"/>
            </w:pPr>
            <w:r w:rsidRPr="00EA5420">
              <w:t>HR professionals</w:t>
            </w:r>
          </w:p>
        </w:tc>
        <w:tc>
          <w:tcPr>
            <w:tcW w:w="1633" w:type="dxa"/>
            <w:tcMar>
              <w:top w:w="90" w:type="dxa"/>
              <w:left w:w="120" w:type="dxa"/>
              <w:bottom w:w="90" w:type="dxa"/>
              <w:right w:w="120" w:type="dxa"/>
            </w:tcMar>
            <w:vAlign w:val="center"/>
          </w:tcPr>
          <w:p w14:paraId="02650AA3" w14:textId="6DEC5391" w:rsidR="00702D0A" w:rsidRPr="000B323B" w:rsidRDefault="000B323B">
            <w:pPr>
              <w:keepNext/>
              <w:spacing w:line="300" w:lineRule="auto"/>
              <w:jc w:val="center"/>
              <w:rPr>
                <w:rFonts w:eastAsia="宋体"/>
                <w:lang w:eastAsia="zh-CN"/>
              </w:rPr>
            </w:pPr>
            <w:r>
              <w:rPr>
                <w:rFonts w:eastAsia="宋体" w:hint="eastAsia"/>
                <w:lang w:eastAsia="zh-CN"/>
              </w:rPr>
              <w:t>2</w:t>
            </w:r>
            <w:r>
              <w:rPr>
                <w:rFonts w:eastAsia="宋体" w:hint="eastAsia"/>
                <w:lang w:eastAsia="zh-CN"/>
              </w:rPr>
              <w:t>–</w:t>
            </w:r>
            <w:r>
              <w:rPr>
                <w:rFonts w:eastAsia="宋体" w:hint="eastAsia"/>
                <w:lang w:eastAsia="zh-CN"/>
              </w:rPr>
              <w:t>3</w:t>
            </w:r>
          </w:p>
        </w:tc>
        <w:tc>
          <w:tcPr>
            <w:tcW w:w="5170" w:type="dxa"/>
            <w:tcMar>
              <w:top w:w="90" w:type="dxa"/>
              <w:left w:w="120" w:type="dxa"/>
              <w:bottom w:w="90" w:type="dxa"/>
              <w:right w:w="120" w:type="dxa"/>
            </w:tcMar>
            <w:vAlign w:val="center"/>
          </w:tcPr>
          <w:p w14:paraId="7955C2B0" w14:textId="77777777" w:rsidR="00702D0A" w:rsidRPr="00EA5420" w:rsidRDefault="00000000">
            <w:pPr>
              <w:keepNext/>
              <w:spacing w:line="300" w:lineRule="auto"/>
              <w:jc w:val="left"/>
            </w:pPr>
            <w:r w:rsidRPr="00EA5420">
              <w:t>Knowledge of system selection, implementation, governance and HR objectives.</w:t>
            </w:r>
          </w:p>
        </w:tc>
      </w:tr>
      <w:tr w:rsidR="00702D0A" w:rsidRPr="00EA5420" w14:paraId="69D9AD65" w14:textId="77777777">
        <w:trPr>
          <w:cantSplit/>
        </w:trPr>
        <w:tc>
          <w:tcPr>
            <w:tcW w:w="2268" w:type="dxa"/>
            <w:tcMar>
              <w:top w:w="90" w:type="dxa"/>
              <w:left w:w="120" w:type="dxa"/>
              <w:bottom w:w="90" w:type="dxa"/>
              <w:right w:w="120" w:type="dxa"/>
            </w:tcMar>
            <w:vAlign w:val="center"/>
          </w:tcPr>
          <w:p w14:paraId="21F62DED" w14:textId="77777777" w:rsidR="00702D0A" w:rsidRPr="00EA5420" w:rsidRDefault="00000000">
            <w:pPr>
              <w:spacing w:line="300" w:lineRule="auto"/>
              <w:jc w:val="left"/>
            </w:pPr>
            <w:r w:rsidRPr="00EA5420">
              <w:t>Line managers</w:t>
            </w:r>
          </w:p>
        </w:tc>
        <w:tc>
          <w:tcPr>
            <w:tcW w:w="1633" w:type="dxa"/>
            <w:tcMar>
              <w:top w:w="90" w:type="dxa"/>
              <w:left w:w="120" w:type="dxa"/>
              <w:bottom w:w="90" w:type="dxa"/>
              <w:right w:w="120" w:type="dxa"/>
            </w:tcMar>
            <w:vAlign w:val="center"/>
          </w:tcPr>
          <w:p w14:paraId="7C4CA939" w14:textId="3B38B71D" w:rsidR="00702D0A" w:rsidRPr="000B323B" w:rsidRDefault="000B323B">
            <w:pPr>
              <w:keepNext/>
              <w:spacing w:line="300" w:lineRule="auto"/>
              <w:jc w:val="center"/>
              <w:rPr>
                <w:rFonts w:eastAsia="宋体"/>
                <w:lang w:eastAsia="zh-CN"/>
              </w:rPr>
            </w:pPr>
            <w:r>
              <w:rPr>
                <w:rFonts w:eastAsia="宋体" w:hint="eastAsia"/>
                <w:lang w:eastAsia="zh-CN"/>
              </w:rPr>
              <w:t>2</w:t>
            </w:r>
            <w:r>
              <w:rPr>
                <w:rFonts w:eastAsia="宋体" w:hint="eastAsia"/>
                <w:lang w:eastAsia="zh-CN"/>
              </w:rPr>
              <w:t>–</w:t>
            </w:r>
            <w:r>
              <w:rPr>
                <w:rFonts w:eastAsia="宋体" w:hint="eastAsia"/>
                <w:lang w:eastAsia="zh-CN"/>
              </w:rPr>
              <w:t>3</w:t>
            </w:r>
          </w:p>
        </w:tc>
        <w:tc>
          <w:tcPr>
            <w:tcW w:w="5170" w:type="dxa"/>
            <w:tcMar>
              <w:top w:w="90" w:type="dxa"/>
              <w:left w:w="120" w:type="dxa"/>
              <w:bottom w:w="90" w:type="dxa"/>
              <w:right w:w="120" w:type="dxa"/>
            </w:tcMar>
            <w:vAlign w:val="center"/>
          </w:tcPr>
          <w:p w14:paraId="2404DE87" w14:textId="77777777" w:rsidR="00702D0A" w:rsidRPr="00EA5420" w:rsidRDefault="00000000">
            <w:pPr>
              <w:keepNext/>
              <w:spacing w:line="300" w:lineRule="auto"/>
              <w:jc w:val="left"/>
            </w:pPr>
            <w:r w:rsidRPr="00EA5420">
              <w:t>Translate HR systems into everyday feedback, learning support and communication practices.</w:t>
            </w:r>
          </w:p>
        </w:tc>
      </w:tr>
      <w:tr w:rsidR="00702D0A" w:rsidRPr="00EA5420" w14:paraId="796F60C9" w14:textId="77777777">
        <w:trPr>
          <w:cantSplit/>
        </w:trPr>
        <w:tc>
          <w:tcPr>
            <w:tcW w:w="2268" w:type="dxa"/>
            <w:tcMar>
              <w:top w:w="90" w:type="dxa"/>
              <w:left w:w="120" w:type="dxa"/>
              <w:bottom w:w="90" w:type="dxa"/>
              <w:right w:w="120" w:type="dxa"/>
            </w:tcMar>
            <w:vAlign w:val="center"/>
          </w:tcPr>
          <w:p w14:paraId="5EDDD90D" w14:textId="77777777" w:rsidR="00702D0A" w:rsidRPr="00EA5420" w:rsidRDefault="00000000">
            <w:pPr>
              <w:spacing w:line="300" w:lineRule="auto"/>
              <w:jc w:val="left"/>
            </w:pPr>
            <w:r w:rsidRPr="00EA5420">
              <w:t>Employees</w:t>
            </w:r>
          </w:p>
        </w:tc>
        <w:tc>
          <w:tcPr>
            <w:tcW w:w="1633" w:type="dxa"/>
            <w:tcMar>
              <w:top w:w="90" w:type="dxa"/>
              <w:left w:w="120" w:type="dxa"/>
              <w:bottom w:w="90" w:type="dxa"/>
              <w:right w:w="120" w:type="dxa"/>
            </w:tcMar>
            <w:vAlign w:val="center"/>
          </w:tcPr>
          <w:p w14:paraId="7FDCADFF" w14:textId="565DDCC7" w:rsidR="00702D0A" w:rsidRPr="000B323B" w:rsidRDefault="000B323B">
            <w:pPr>
              <w:spacing w:line="300" w:lineRule="auto"/>
              <w:jc w:val="center"/>
              <w:rPr>
                <w:rFonts w:eastAsia="宋体"/>
                <w:lang w:eastAsia="zh-CN"/>
              </w:rPr>
            </w:pPr>
            <w:r>
              <w:rPr>
                <w:rFonts w:eastAsia="宋体" w:hint="eastAsia"/>
                <w:lang w:eastAsia="zh-CN"/>
              </w:rPr>
              <w:t>4</w:t>
            </w:r>
            <w:r>
              <w:rPr>
                <w:rFonts w:eastAsia="宋体" w:hint="eastAsia"/>
                <w:lang w:eastAsia="zh-CN"/>
              </w:rPr>
              <w:t>–</w:t>
            </w:r>
            <w:r>
              <w:rPr>
                <w:rFonts w:eastAsia="宋体" w:hint="eastAsia"/>
                <w:lang w:eastAsia="zh-CN"/>
              </w:rPr>
              <w:t>6</w:t>
            </w:r>
          </w:p>
        </w:tc>
        <w:tc>
          <w:tcPr>
            <w:tcW w:w="5170" w:type="dxa"/>
            <w:tcMar>
              <w:top w:w="90" w:type="dxa"/>
              <w:left w:w="120" w:type="dxa"/>
              <w:bottom w:w="90" w:type="dxa"/>
              <w:right w:w="120" w:type="dxa"/>
            </w:tcMar>
            <w:vAlign w:val="center"/>
          </w:tcPr>
          <w:p w14:paraId="500C0D84" w14:textId="77777777" w:rsidR="00702D0A" w:rsidRPr="00EA5420" w:rsidRDefault="00000000">
            <w:pPr>
              <w:spacing w:line="300" w:lineRule="auto"/>
              <w:jc w:val="left"/>
            </w:pPr>
            <w:r w:rsidRPr="00EA5420">
              <w:t>Provide direct experience as users of Digital HRM practices.</w:t>
            </w:r>
          </w:p>
        </w:tc>
      </w:tr>
    </w:tbl>
    <w:p w14:paraId="40E0E512" w14:textId="77777777" w:rsidR="00702D0A" w:rsidRPr="00EA5420" w:rsidRDefault="00702D0A"/>
    <w:p w14:paraId="0EC0CCAB" w14:textId="77777777" w:rsidR="00702D0A" w:rsidRPr="00EA5420" w:rsidRDefault="00000000">
      <w:pPr>
        <w:pStyle w:val="2"/>
      </w:pPr>
      <w:bookmarkStart w:id="17" w:name="_Toc234801879"/>
      <w:r w:rsidRPr="00EA5420">
        <w:t>3.4 Data collection and transcription</w:t>
      </w:r>
      <w:bookmarkEnd w:id="17"/>
    </w:p>
    <w:p w14:paraId="47753CBB" w14:textId="74D44BEF" w:rsidR="00702D0A" w:rsidRPr="00EA5420" w:rsidRDefault="00000000">
      <w:r>
        <w:rPr>
          <w:rFonts w:eastAsia="宋体" w:hint="eastAsia"/>
          <w:lang w:eastAsia="zh-CN"/>
        </w:rPr>
        <w:t>Primary data will be collected through 45</w:t>
      </w:r>
      <w:r>
        <w:rPr>
          <w:rFonts w:eastAsia="宋体" w:hint="eastAsia"/>
          <w:lang w:eastAsia="zh-CN"/>
        </w:rPr>
        <w:t>–</w:t>
      </w:r>
      <w:r>
        <w:rPr>
          <w:rFonts w:eastAsia="宋体" w:hint="eastAsia"/>
          <w:lang w:eastAsia="zh-CN"/>
        </w:rPr>
        <w:t>60-minute semi-structured interviews conducted in English, preferably on a University-approved online platform. All participant information and consent materials will also be provided in English. Any face-to-face interview will use a bookable University or professional meeting space rather than a private home; the researcher will use a University email address, share the itinerary with a trusted contact and keep a working phone available. The semi-structured format maintains alignment with the research questions while permitting incident-based probes, plain-language clarification and checking of internal terminology. The guide will be piloted with one or two English-speaking people who have relevant Digital HRM experience but are outside the final Keep sample, testing clarity, sequence and leading language. Pilot data will not enter the analysis. With written consent, interviews will be audio-recorded and transcribed verbatim in English. Transcripts will be checked against the recordings, de-identified before analysis and accompanied by non-identifying contextual notes and reflexive memos.</w:t>
      </w:r>
    </w:p>
    <w:p w14:paraId="77A79FDB" w14:textId="77777777" w:rsidR="00702D0A" w:rsidRPr="00EA5420" w:rsidRDefault="00000000">
      <w:pPr>
        <w:pStyle w:val="2"/>
      </w:pPr>
      <w:bookmarkStart w:id="18" w:name="_Toc234801880"/>
      <w:r w:rsidRPr="00EA5420">
        <w:t>3.5 Reflexive thematic analysis</w:t>
      </w:r>
      <w:bookmarkEnd w:id="18"/>
    </w:p>
    <w:p w14:paraId="74AC9129" w14:textId="77777777" w:rsidR="00702D0A" w:rsidRPr="00EA5420" w:rsidRDefault="00000000">
      <w:r>
        <w:t xml:space="preserve">The English-language interview transcripts will be examined through Braun and Clarke's (2006, 2021) reflexive thematic analysis, predominantly inductive and semantic with limited </w:t>
      </w:r>
      <w:r>
        <w:lastRenderedPageBreak/>
        <w:t>contextual interpretation. Perceived usefulness, managerial support, fairness, privacy, employee voice and digital overload are sensitising concepts, not a fixed codebook. The researcher's interpretation forms part of the analysis; coding-agreement statistics will not be used to imply one objectively correct solution.</w:t>
      </w:r>
    </w:p>
    <w:p w14:paraId="1B49D4CC" w14:textId="67F805B0" w:rsidR="00702D0A" w:rsidRPr="00EA5420" w:rsidRDefault="00000000" w:rsidP="000B323B">
      <w:pPr>
        <w:pStyle w:val="af1"/>
        <w:numPr>
          <w:ilvl w:val="0"/>
          <w:numId w:val="3"/>
        </w:numPr>
      </w:pPr>
      <w:r w:rsidRPr="00EA5420">
        <w:t>Read the transcripts repeatedly and record initial observations.</w:t>
      </w:r>
    </w:p>
    <w:p w14:paraId="7A75562B" w14:textId="77777777" w:rsidR="00702D0A" w:rsidRPr="00EA5420" w:rsidRDefault="00000000" w:rsidP="000B323B">
      <w:pPr>
        <w:pStyle w:val="af1"/>
        <w:numPr>
          <w:ilvl w:val="0"/>
          <w:numId w:val="3"/>
        </w:numPr>
      </w:pPr>
      <w:r w:rsidRPr="00EA5420">
        <w:t>Code across the full dataset rather than selecting only material that supports expected ideas.</w:t>
      </w:r>
    </w:p>
    <w:p w14:paraId="0277BB71" w14:textId="77777777" w:rsidR="00702D0A" w:rsidRPr="00EA5420" w:rsidRDefault="00000000" w:rsidP="000B323B">
      <w:pPr>
        <w:pStyle w:val="af1"/>
        <w:numPr>
          <w:ilvl w:val="0"/>
          <w:numId w:val="3"/>
        </w:numPr>
      </w:pPr>
      <w:r w:rsidRPr="00EA5420">
        <w:t>Develop candidate themes from related codes and identify the central organising concept of each theme.</w:t>
      </w:r>
    </w:p>
    <w:p w14:paraId="465E8F6E" w14:textId="77777777" w:rsidR="00702D0A" w:rsidRPr="00EA5420" w:rsidRDefault="00000000" w:rsidP="000B323B">
      <w:pPr>
        <w:pStyle w:val="af1"/>
        <w:numPr>
          <w:ilvl w:val="0"/>
          <w:numId w:val="3"/>
        </w:numPr>
      </w:pPr>
      <w:r w:rsidRPr="00EA5420">
        <w:t>Review themes against coded extracts and the full dataset, including contradictions, exceptions and role differences.</w:t>
      </w:r>
    </w:p>
    <w:p w14:paraId="34B13D57" w14:textId="77777777" w:rsidR="00702D0A" w:rsidRPr="00EA5420" w:rsidRDefault="00000000" w:rsidP="000B323B">
      <w:pPr>
        <w:pStyle w:val="af1"/>
        <w:numPr>
          <w:ilvl w:val="0"/>
          <w:numId w:val="3"/>
        </w:numPr>
      </w:pPr>
      <w:r w:rsidRPr="00EA5420">
        <w:t>Define, name and interpret relationships among themes.</w:t>
      </w:r>
    </w:p>
    <w:p w14:paraId="0E8AFCF0" w14:textId="77777777" w:rsidR="00702D0A" w:rsidRPr="00EA5420" w:rsidRDefault="00000000" w:rsidP="000B323B">
      <w:pPr>
        <w:pStyle w:val="af1"/>
        <w:numPr>
          <w:ilvl w:val="0"/>
          <w:numId w:val="3"/>
        </w:numPr>
      </w:pPr>
      <w:r>
        <w:t>Select analytically useful de-identified quotations and write the themes in relation to the literature and research questions.</w:t>
      </w:r>
    </w:p>
    <w:p w14:paraId="05163DDC" w14:textId="705EFE59" w:rsidR="00702D0A" w:rsidRPr="00EA5420" w:rsidRDefault="00000000">
      <w:r w:rsidRPr="00EA5420">
        <w:t xml:space="preserve">A role matrix will compare shared meanings, differences and tensions across the three groups without counting opinion frequency. A theme matters through its relevance and interpretive value, not recurrence alone. NVivo may organise transcripts, codes and memos if University access is available; </w:t>
      </w:r>
      <w:r w:rsidR="000B323B" w:rsidRPr="00EA5420">
        <w:t>otherwise,</w:t>
      </w:r>
      <w:r w:rsidRPr="00EA5420">
        <w:t xml:space="preserve"> password-protected Word or Excel files will be used. Software manages data and does not constitute statistical analysis.</w:t>
      </w:r>
    </w:p>
    <w:p w14:paraId="414FDD04" w14:textId="77777777" w:rsidR="00702D0A" w:rsidRPr="00EA5420" w:rsidRDefault="00000000">
      <w:pPr>
        <w:pStyle w:val="2"/>
      </w:pPr>
      <w:bookmarkStart w:id="19" w:name="_Toc234801881"/>
      <w:r w:rsidRPr="00EA5420">
        <w:t>3.6 Trustworthiness and evaluation of the method</w:t>
      </w:r>
      <w:bookmarkEnd w:id="19"/>
    </w:p>
    <w:p w14:paraId="2FDEAFDB" w14:textId="35D7DC0A" w:rsidR="00702D0A" w:rsidRPr="00EA5420" w:rsidRDefault="00000000">
      <w:r>
        <w:t xml:space="preserve">Trustworthiness will be assessed through credibility, transferability, dependability and confirmability (Nowell et al., 2017). Familiarisation, role comparison, attention to exceptions and supervisory discussion of de-identified analysis support credibility. Participants may check a factual summary but will not be asked to validate one interpretation as the truth. Context and sample description support transferability; an audit trail of recruitment, </w:t>
      </w:r>
      <w:r>
        <w:lastRenderedPageBreak/>
        <w:t>transcription checks, coding and theme decisions supports dependability; and reflexive records distinguishing participants' words, researcher interpretation and literature support confirmability.</w:t>
      </w:r>
    </w:p>
    <w:p w14:paraId="0D0D3064" w14:textId="77777777" w:rsidR="00702D0A" w:rsidRPr="00EA5420" w:rsidRDefault="00000000">
      <w:r w:rsidRPr="00EA5420">
        <w:t>The design can generate detailed multi-role accounts in a real context and suits sensitive discussion of fairness, surveillance, voice and trust. However, self-reports may contain withheld criticism, an outsider may misread internal language and a small single case limits transfer. Reflexive thematic analysis is flexible, but themes remain the researcher's interpretive product. Neutral probing, transparent records, contextual description and cautious conclusions can manage rather than remove these limitations.</w:t>
      </w:r>
    </w:p>
    <w:p w14:paraId="4E0618E9" w14:textId="77777777" w:rsidR="00702D0A" w:rsidRPr="00EA5420" w:rsidRDefault="00000000">
      <w:pPr>
        <w:pStyle w:val="1"/>
      </w:pPr>
      <w:bookmarkStart w:id="20" w:name="_Toc234801882"/>
      <w:r w:rsidRPr="00EA5420">
        <w:t>4. Significance, Ethics, Limitations and Resources</w:t>
      </w:r>
      <w:bookmarkEnd w:id="20"/>
    </w:p>
    <w:p w14:paraId="5AF67F68" w14:textId="77777777" w:rsidR="00702D0A" w:rsidRPr="00EA5420" w:rsidRDefault="00000000">
      <w:pPr>
        <w:pStyle w:val="2"/>
      </w:pPr>
      <w:bookmarkStart w:id="21" w:name="_Toc234801883"/>
      <w:r w:rsidRPr="00EA5420">
        <w:t>4.1 Significance of the study</w:t>
      </w:r>
      <w:bookmarkEnd w:id="21"/>
    </w:p>
    <w:p w14:paraId="3D828DAD" w14:textId="77777777" w:rsidR="00702D0A" w:rsidRPr="00EA5420" w:rsidRDefault="00000000">
      <w:r w:rsidRPr="00EA5420">
        <w:t>Academically, the study places technological, employee-experience and implementation debates in Digital HRM within a specific Chinese digital-business context and compares interpretations across HR, line managers and employees. It cannot represent all Chinese businesses, but it may add to evidence that relies heavily on large organisations, managerial perspectives or survey data. Practically, the study may identify which digital learning, performance and communication practices are experienced as supportive and which conditions may undermine fairness, trust or employee voice. Recommendations will be explicitly presented as context-specific suggestions grounded in perceptions rather than universally proven solutions.</w:t>
      </w:r>
    </w:p>
    <w:p w14:paraId="5481F7F8" w14:textId="77777777" w:rsidR="00702D0A" w:rsidRPr="00EA5420" w:rsidRDefault="00000000">
      <w:pPr>
        <w:pStyle w:val="2"/>
      </w:pPr>
      <w:bookmarkStart w:id="22" w:name="_Toc234801884"/>
      <w:r w:rsidRPr="00EA5420">
        <w:t>4.2 Ethical considerations</w:t>
      </w:r>
      <w:bookmarkEnd w:id="22"/>
    </w:p>
    <w:p w14:paraId="1912C1EF" w14:textId="1F94AF58" w:rsidR="00702D0A" w:rsidRPr="00EA5420" w:rsidRDefault="00000000">
      <w:r>
        <w:t xml:space="preserve">University ethical approval will be required before formal recruitment or data collection. Eligibility screening will confirm that each participant can understand the information and communicate sufficiently in English to provide informed consent and discuss workplace experience. Participation is voluntary: individuals may decline questions, pause or withdraw </w:t>
      </w:r>
      <w:r>
        <w:lastRenderedPageBreak/>
        <w:t>before the stated analytical cut-off. Once material has been de-identified and incorporated into themes, individual removal may no longer be possible. The researcher has no private or employment relationship with participants, but hierarchy may still shape decisions; line managers will therefore not recruit direct reports, and Keep will receive neither a participant list nor individual responses.</w:t>
      </w:r>
    </w:p>
    <w:p w14:paraId="7FA6A352" w14:textId="4914D6BB" w:rsidR="00702D0A" w:rsidRPr="00EA5420" w:rsidRDefault="00000000">
      <w:r w:rsidRPr="00EA5420">
        <w:t xml:space="preserve">Interviews cannot be anonymous at collection because the researcher will know participants' identities; the commitment is confidentiality followed by pseudonymisation and de-identification. Names, specific teams, exact job titles, project names and combinations of indirect identifiers will be removed, and only broad role labels will be reported. Quotations that could expose identity will be paraphrased or omitted. Audio, transcripts and coding files will be encrypted in </w:t>
      </w:r>
      <w:r w:rsidR="007B19D2" w:rsidRPr="00EA5420">
        <w:t>university</w:t>
      </w:r>
      <w:r w:rsidR="007B19D2">
        <w:rPr>
          <w:rFonts w:eastAsia="宋体" w:hint="eastAsia"/>
          <w:lang w:eastAsia="zh-CN"/>
        </w:rPr>
        <w:t xml:space="preserve"> </w:t>
      </w:r>
      <w:r w:rsidRPr="00EA5420">
        <w:t>approved storage, with consent forms stored separately. The final information sheet submitted for ethical review will state the exact retention period and destruction date, and recruitment will not begin before approval. Neither the company nor a gatekeeper will access raw data.</w:t>
      </w:r>
    </w:p>
    <w:p w14:paraId="36D47527" w14:textId="7DE06E12" w:rsidR="00702D0A" w:rsidRPr="00EA5420" w:rsidRDefault="00000000">
      <w:r>
        <w:t>Discussion of performance pressure, surveillance, unfairness or job insecurity may cause discomfort. Participants need not disclose commercial secrets and may skip questions; interviews will pause or end if distress occurs. Only data necessary to answer the questions will be collected. University data-protection requirements, including the UK GDPR and Data Protection Act 2018 where applicable, and relevant cross-border requirements will be followed. Data will not be fabricated, altered or selectively omitted to fit expected conclusions. The report will not disclose proprietary configurations, unpublished business information or identifiable allegations.</w:t>
      </w:r>
    </w:p>
    <w:p w14:paraId="0F9F3675" w14:textId="77777777" w:rsidR="00702D0A" w:rsidRPr="00EA5420" w:rsidRDefault="00000000">
      <w:pPr>
        <w:pStyle w:val="2"/>
      </w:pPr>
      <w:bookmarkStart w:id="23" w:name="_Toc234801885"/>
      <w:r w:rsidRPr="00EA5420">
        <w:t>4.3 Limitations, feasibility and resources</w:t>
      </w:r>
      <w:bookmarkEnd w:id="23"/>
    </w:p>
    <w:p w14:paraId="69F8DF72" w14:textId="177B3316" w:rsidR="00702D0A" w:rsidRPr="00EA5420" w:rsidRDefault="00000000">
      <w:r>
        <w:rPr>
          <w:rFonts w:eastAsia="宋体" w:hint="eastAsia"/>
          <w:lang w:eastAsia="zh-CN"/>
        </w:rPr>
        <w:t xml:space="preserve">Access remains the principal limitation. An external researcher may struggle to obtain permission or a varied sample, snowball sampling may produce similar viewpoints, and </w:t>
      </w:r>
      <w:r>
        <w:rPr>
          <w:rFonts w:eastAsia="宋体" w:hint="eastAsia"/>
          <w:lang w:eastAsia="zh-CN"/>
        </w:rPr>
        <w:lastRenderedPageBreak/>
        <w:t>former employees' retrospective accounts may differ from current experience. English</w:t>
      </w:r>
      <w:r w:rsidR="007B19D2">
        <w:rPr>
          <w:rFonts w:eastAsia="宋体" w:hint="eastAsia"/>
          <w:lang w:eastAsia="zh-CN"/>
        </w:rPr>
        <w:t xml:space="preserve"> </w:t>
      </w:r>
      <w:r>
        <w:rPr>
          <w:rFonts w:eastAsia="宋体" w:hint="eastAsia"/>
          <w:lang w:eastAsia="zh-CN"/>
        </w:rPr>
        <w:t>only recruitment may exclude otherwise eligible employees who are less confident using English and may reduce the nuance of accounts given in a second language. Plain</w:t>
      </w:r>
      <w:r w:rsidR="007B19D2">
        <w:rPr>
          <w:rFonts w:eastAsia="宋体" w:hint="eastAsia"/>
          <w:lang w:eastAsia="zh-CN"/>
        </w:rPr>
        <w:t xml:space="preserve"> </w:t>
      </w:r>
      <w:r>
        <w:rPr>
          <w:rFonts w:eastAsia="宋体" w:hint="eastAsia"/>
          <w:lang w:eastAsia="zh-CN"/>
        </w:rPr>
        <w:t>language questions, clarification of internal terms and careful transcript checking can reduce but not remove this limitation. Group composition and English</w:t>
      </w:r>
      <w:r w:rsidR="007B19D2">
        <w:rPr>
          <w:rFonts w:eastAsia="宋体" w:hint="eastAsia"/>
          <w:lang w:eastAsia="zh-CN"/>
        </w:rPr>
        <w:t xml:space="preserve"> </w:t>
      </w:r>
      <w:r>
        <w:rPr>
          <w:rFonts w:eastAsia="宋体" w:hint="eastAsia"/>
          <w:lang w:eastAsia="zh-CN"/>
        </w:rPr>
        <w:t>language eligibility will therefore be reported transparently. The study is also a cross-sectional snapshot and cannot show how Digital HRM experience changes over time. A single case, self-reporting and socially desirable responses further limit conclusions.</w:t>
      </w:r>
    </w:p>
    <w:p w14:paraId="0BA11A6B" w14:textId="7B6FFAA8" w:rsidR="00702D0A" w:rsidRPr="00EA5420" w:rsidRDefault="00000000">
      <w:r>
        <w:rPr>
          <w:rFonts w:eastAsia="宋体" w:hint="eastAsia"/>
          <w:lang w:eastAsia="zh-CN"/>
        </w:rPr>
        <w:t>The project is potentially feasible within six months but requires realistic planning. Eight to twelve interviews will require approximately 6</w:t>
      </w:r>
      <w:r>
        <w:rPr>
          <w:rFonts w:eastAsia="宋体" w:hint="eastAsia"/>
          <w:lang w:eastAsia="zh-CN"/>
        </w:rPr>
        <w:t>–</w:t>
      </w:r>
      <w:r>
        <w:rPr>
          <w:rFonts w:eastAsia="宋体" w:hint="eastAsia"/>
          <w:lang w:eastAsia="zh-CN"/>
        </w:rPr>
        <w:t>12 interview hours, and each recorded hour may require three to five hours for verbatim transcription and checking before coding and theme development. Online interviews can avoid travel costs. Principal resources are secure recording equipment, University-approved storage, word-processing software and NVivo if available. Direct financial cost should remain low if no participation incentive is offered, but access delays, cancellations, transcription and analysis require time contingency.</w:t>
      </w:r>
    </w:p>
    <w:p w14:paraId="3E7F33F8" w14:textId="77777777" w:rsidR="00702D0A" w:rsidRPr="00EA5420" w:rsidRDefault="00000000">
      <w:pPr>
        <w:pStyle w:val="TableCaption"/>
        <w:rPr>
          <w:lang w:val="en-GB"/>
        </w:rPr>
        <w:pageBreakBefore/>
      </w:pPr>
      <w:r w:rsidRPr="00EA5420">
        <w:rPr>
          <w:lang w:val="en-GB"/>
        </w:rPr>
        <w:lastRenderedPageBreak/>
        <w:t>Table 4: Principal resources and risk arrangements</w:t>
      </w:r>
    </w:p>
    <w:tbl>
      <w:tblPr>
        <w:tblW w:w="9071" w:type="dxa"/>
        <w:tblBorders>
          <w:top w:val="nil"/>
          <w:left w:val="nil"/>
          <w:bottom w:val="nil"/>
          <w:right w:val="nil"/>
          <w:insideH w:val="nil"/>
          <w:insideV w:val="nil"/>
        </w:tblBorders>
        <w:tblLayout w:type="fixed"/>
        <w:tblLook w:val="04A0" w:firstRow="1" w:lastRow="0" w:firstColumn="1" w:lastColumn="0" w:noHBand="0" w:noVBand="1"/>
      </w:tblPr>
      <w:tblGrid>
        <w:gridCol w:w="1905"/>
        <w:gridCol w:w="3266"/>
        <w:gridCol w:w="3900"/>
      </w:tblGrid>
      <w:tr w:rsidR="00702D0A" w:rsidRPr="00EA5420" w14:paraId="128E0D1C" w14:textId="77777777">
        <w:trPr>
          <w:cantSplit/>
          <w:tblHeader/>
        </w:trPr>
        <w:tc>
          <w:tcPr>
            <w:tcW w:w="1905" w:type="dxa"/>
            <w:tcBorders>
              <w:bottom w:val="single" w:sz="4" w:space="0" w:color="FFFFFF"/>
              <w:right w:val="single" w:sz="4" w:space="0" w:color="FFFFFF"/>
            </w:tcBorders>
            <w:shd w:val="clear" w:color="auto" w:fill="E7E6E6"/>
            <w:tcMar>
              <w:top w:w="90" w:type="dxa"/>
              <w:left w:w="120" w:type="dxa"/>
              <w:bottom w:w="90" w:type="dxa"/>
              <w:right w:w="120" w:type="dxa"/>
            </w:tcMar>
            <w:vAlign w:val="center"/>
          </w:tcPr>
          <w:p w14:paraId="30F9744E" w14:textId="77777777" w:rsidR="00702D0A" w:rsidRPr="00EA5420" w:rsidRDefault="00000000">
            <w:pPr>
              <w:spacing w:line="300" w:lineRule="auto"/>
              <w:jc w:val="center"/>
            </w:pPr>
            <w:r w:rsidRPr="00EA5420">
              <w:rPr>
                <w:b/>
              </w:rPr>
              <w:t>Item</w:t>
            </w:r>
          </w:p>
        </w:tc>
        <w:tc>
          <w:tcPr>
            <w:tcW w:w="3266" w:type="dxa"/>
            <w:tcBorders>
              <w:bottom w:val="single" w:sz="4" w:space="0" w:color="FFFFFF"/>
              <w:right w:val="single" w:sz="4" w:space="0" w:color="FFFFFF"/>
            </w:tcBorders>
            <w:shd w:val="clear" w:color="auto" w:fill="E7E6E6"/>
            <w:tcMar>
              <w:top w:w="90" w:type="dxa"/>
              <w:left w:w="120" w:type="dxa"/>
              <w:bottom w:w="90" w:type="dxa"/>
              <w:right w:w="120" w:type="dxa"/>
            </w:tcMar>
            <w:vAlign w:val="center"/>
          </w:tcPr>
          <w:p w14:paraId="6CEFAB8D" w14:textId="77777777" w:rsidR="00702D0A" w:rsidRPr="00EA5420" w:rsidRDefault="00000000">
            <w:pPr>
              <w:keepNext/>
              <w:spacing w:line="300" w:lineRule="auto"/>
              <w:jc w:val="center"/>
            </w:pPr>
            <w:r w:rsidRPr="00EA5420">
              <w:rPr>
                <w:b/>
              </w:rPr>
              <w:t>Requirement</w:t>
            </w:r>
          </w:p>
        </w:tc>
        <w:tc>
          <w:tcPr>
            <w:tcW w:w="3900" w:type="dxa"/>
            <w:tcBorders>
              <w:bottom w:val="single" w:sz="4" w:space="0" w:color="FFFFFF"/>
              <w:right w:val="single" w:sz="4" w:space="0" w:color="FFFFFF"/>
            </w:tcBorders>
            <w:shd w:val="clear" w:color="auto" w:fill="E7E6E6"/>
            <w:tcMar>
              <w:top w:w="90" w:type="dxa"/>
              <w:left w:w="120" w:type="dxa"/>
              <w:bottom w:w="90" w:type="dxa"/>
              <w:right w:w="120" w:type="dxa"/>
            </w:tcMar>
            <w:vAlign w:val="center"/>
          </w:tcPr>
          <w:p w14:paraId="41952A8C" w14:textId="77777777" w:rsidR="00702D0A" w:rsidRPr="00EA5420" w:rsidRDefault="00000000">
            <w:pPr>
              <w:keepNext/>
              <w:spacing w:line="300" w:lineRule="auto"/>
              <w:jc w:val="center"/>
            </w:pPr>
            <w:r w:rsidRPr="00EA5420">
              <w:rPr>
                <w:b/>
              </w:rPr>
              <w:t>Main risk and response</w:t>
            </w:r>
          </w:p>
        </w:tc>
      </w:tr>
      <w:tr w:rsidR="00702D0A" w:rsidRPr="00EA5420" w14:paraId="18EE0C7A" w14:textId="77777777">
        <w:trPr>
          <w:cantSplit/>
        </w:trPr>
        <w:tc>
          <w:tcPr>
            <w:tcW w:w="1905" w:type="dxa"/>
            <w:tcMar>
              <w:top w:w="90" w:type="dxa"/>
              <w:left w:w="120" w:type="dxa"/>
              <w:bottom w:w="90" w:type="dxa"/>
              <w:right w:w="120" w:type="dxa"/>
            </w:tcMar>
            <w:vAlign w:val="center"/>
          </w:tcPr>
          <w:p w14:paraId="6E99B340" w14:textId="77777777" w:rsidR="00702D0A" w:rsidRPr="00EA5420" w:rsidRDefault="00000000">
            <w:pPr>
              <w:spacing w:line="300" w:lineRule="auto"/>
              <w:jc w:val="left"/>
            </w:pPr>
            <w:r w:rsidRPr="00EA5420">
              <w:t>Access and recruitment</w:t>
            </w:r>
          </w:p>
        </w:tc>
        <w:tc>
          <w:tcPr>
            <w:tcW w:w="3266" w:type="dxa"/>
            <w:tcMar>
              <w:top w:w="90" w:type="dxa"/>
              <w:left w:w="120" w:type="dxa"/>
              <w:bottom w:w="90" w:type="dxa"/>
              <w:right w:w="120" w:type="dxa"/>
            </w:tcMar>
            <w:vAlign w:val="center"/>
          </w:tcPr>
          <w:p w14:paraId="197E946A" w14:textId="77777777" w:rsidR="00702D0A" w:rsidRPr="00EA5420" w:rsidRDefault="00000000">
            <w:pPr>
              <w:keepNext/>
              <w:spacing w:line="300" w:lineRule="auto"/>
              <w:jc w:val="center"/>
            </w:pPr>
            <w:r w:rsidRPr="00EA5420">
              <w:t>Ethical approval, gatekeeper or public professional channels</w:t>
            </w:r>
          </w:p>
        </w:tc>
        <w:tc>
          <w:tcPr>
            <w:tcW w:w="3900" w:type="dxa"/>
            <w:tcMar>
              <w:top w:w="90" w:type="dxa"/>
              <w:left w:w="120" w:type="dxa"/>
              <w:bottom w:w="90" w:type="dxa"/>
              <w:right w:w="120" w:type="dxa"/>
            </w:tcMar>
            <w:vAlign w:val="center"/>
          </w:tcPr>
          <w:p w14:paraId="28106B38" w14:textId="77777777" w:rsidR="00702D0A" w:rsidRPr="00EA5420" w:rsidRDefault="00000000">
            <w:pPr>
              <w:keepNext/>
              <w:spacing w:line="300" w:lineRule="auto"/>
              <w:jc w:val="left"/>
            </w:pPr>
            <w:r w:rsidRPr="00EA5420">
              <w:t>Access delay; begin contact early and retain an eligible former-employee route.</w:t>
            </w:r>
          </w:p>
        </w:tc>
      </w:tr>
      <w:tr w:rsidR="00702D0A" w:rsidRPr="00EA5420" w14:paraId="27C22F87" w14:textId="77777777">
        <w:trPr>
          <w:cantSplit/>
        </w:trPr>
        <w:tc>
          <w:tcPr>
            <w:tcW w:w="1905" w:type="dxa"/>
            <w:tcMar>
              <w:top w:w="90" w:type="dxa"/>
              <w:left w:w="120" w:type="dxa"/>
              <w:bottom w:w="90" w:type="dxa"/>
              <w:right w:w="120" w:type="dxa"/>
            </w:tcMar>
            <w:vAlign w:val="center"/>
          </w:tcPr>
          <w:p w14:paraId="7F616295" w14:textId="77777777" w:rsidR="00702D0A" w:rsidRPr="00EA5420" w:rsidRDefault="00000000">
            <w:pPr>
              <w:spacing w:line="300" w:lineRule="auto"/>
              <w:jc w:val="left"/>
            </w:pPr>
            <w:r w:rsidRPr="00EA5420">
              <w:t>Interviews and transcription</w:t>
            </w:r>
          </w:p>
        </w:tc>
        <w:tc>
          <w:tcPr>
            <w:tcW w:w="3266" w:type="dxa"/>
            <w:tcMar>
              <w:top w:w="90" w:type="dxa"/>
              <w:left w:w="120" w:type="dxa"/>
              <w:bottom w:w="90" w:type="dxa"/>
              <w:right w:w="120" w:type="dxa"/>
            </w:tcMar>
            <w:vAlign w:val="center"/>
          </w:tcPr>
          <w:p w14:paraId="560FEC28" w14:textId="1F778066" w:rsidR="00702D0A" w:rsidRPr="00EA5420" w:rsidRDefault="00000000">
            <w:pPr>
              <w:keepNext/>
              <w:spacing w:line="300" w:lineRule="auto"/>
              <w:jc w:val="center"/>
            </w:pPr>
            <w:r>
              <w:rPr>
                <w:rFonts w:eastAsia="宋体" w:hint="eastAsia"/>
                <w:lang w:eastAsia="zh-CN"/>
              </w:rPr>
              <w:t>Approximately 6</w:t>
            </w:r>
            <w:r>
              <w:rPr>
                <w:rFonts w:eastAsia="宋体" w:hint="eastAsia"/>
                <w:lang w:eastAsia="zh-CN"/>
              </w:rPr>
              <w:t>–</w:t>
            </w:r>
            <w:r>
              <w:rPr>
                <w:rFonts w:eastAsia="宋体" w:hint="eastAsia"/>
                <w:lang w:eastAsia="zh-CN"/>
              </w:rPr>
              <w:t>12 interview hours</w:t>
            </w:r>
          </w:p>
        </w:tc>
        <w:tc>
          <w:tcPr>
            <w:tcW w:w="3900" w:type="dxa"/>
            <w:tcMar>
              <w:top w:w="90" w:type="dxa"/>
              <w:left w:w="120" w:type="dxa"/>
              <w:bottom w:w="90" w:type="dxa"/>
              <w:right w:w="120" w:type="dxa"/>
            </w:tcMar>
            <w:vAlign w:val="center"/>
          </w:tcPr>
          <w:p w14:paraId="3BE3A874" w14:textId="77777777" w:rsidR="00702D0A" w:rsidRPr="00EA5420" w:rsidRDefault="00000000">
            <w:pPr>
              <w:keepNext/>
              <w:spacing w:line="300" w:lineRule="auto"/>
              <w:jc w:val="left"/>
            </w:pPr>
            <w:r w:rsidRPr="00EA5420">
              <w:t>Cancellation or backlog; transcribe concurrently and retain contingency time.</w:t>
            </w:r>
          </w:p>
        </w:tc>
      </w:tr>
      <w:tr w:rsidR="00702D0A" w:rsidRPr="00EA5420" w14:paraId="32A21FF5" w14:textId="77777777">
        <w:trPr>
          <w:cantSplit/>
        </w:trPr>
        <w:tc>
          <w:tcPr>
            <w:tcW w:w="1905" w:type="dxa"/>
            <w:tcMar>
              <w:top w:w="90" w:type="dxa"/>
              <w:left w:w="120" w:type="dxa"/>
              <w:bottom w:w="90" w:type="dxa"/>
              <w:right w:w="120" w:type="dxa"/>
            </w:tcMar>
            <w:vAlign w:val="center"/>
          </w:tcPr>
          <w:p w14:paraId="5FA60929" w14:textId="77777777" w:rsidR="00702D0A" w:rsidRPr="00EA5420" w:rsidRDefault="00000000">
            <w:pPr>
              <w:spacing w:line="300" w:lineRule="auto"/>
              <w:jc w:val="left"/>
            </w:pPr>
            <w:r>
              <w:t>Analysis and data management</w:t>
            </w:r>
          </w:p>
        </w:tc>
        <w:tc>
          <w:tcPr>
            <w:tcW w:w="3266" w:type="dxa"/>
            <w:tcMar>
              <w:top w:w="90" w:type="dxa"/>
              <w:left w:w="120" w:type="dxa"/>
              <w:bottom w:w="90" w:type="dxa"/>
              <w:right w:w="120" w:type="dxa"/>
            </w:tcMar>
            <w:vAlign w:val="center"/>
          </w:tcPr>
          <w:p w14:paraId="7FBA4FCB" w14:textId="77777777" w:rsidR="00702D0A" w:rsidRPr="00EA5420" w:rsidRDefault="00000000">
            <w:pPr>
              <w:keepNext/>
              <w:spacing w:line="300" w:lineRule="auto"/>
              <w:jc w:val="center"/>
            </w:pPr>
            <w:r>
              <w:t>Secure software, analytic memos and audit trail</w:t>
            </w:r>
          </w:p>
        </w:tc>
        <w:tc>
          <w:tcPr>
            <w:tcW w:w="3900" w:type="dxa"/>
            <w:tcMar>
              <w:top w:w="90" w:type="dxa"/>
              <w:left w:w="120" w:type="dxa"/>
              <w:bottom w:w="90" w:type="dxa"/>
              <w:right w:w="120" w:type="dxa"/>
            </w:tcMar>
            <w:vAlign w:val="center"/>
          </w:tcPr>
          <w:p w14:paraId="29942026" w14:textId="31B71530" w:rsidR="00702D0A" w:rsidRPr="005A7456" w:rsidRDefault="00000000">
            <w:pPr>
              <w:keepNext/>
              <w:spacing w:line="300" w:lineRule="auto"/>
              <w:jc w:val="left"/>
              <w:rPr>
                <w:rFonts w:eastAsia="宋体"/>
                <w:lang w:eastAsia="zh-CN"/>
              </w:rPr>
            </w:pPr>
            <w:r>
              <w:rPr>
                <w:rFonts w:eastAsia="宋体" w:hint="eastAsia"/>
                <w:lang w:eastAsia="zh-CN"/>
              </w:rPr>
              <w:t>Misinterpretation of internal terminology or context; use clarification questions, incident-based probes, reflexive memos and supervisory discussion of de-identified analysis.</w:t>
            </w:r>
          </w:p>
        </w:tc>
      </w:tr>
      <w:tr w:rsidR="00702D0A" w:rsidRPr="00EA5420" w14:paraId="6B6615D7" w14:textId="77777777">
        <w:trPr>
          <w:cantSplit/>
        </w:trPr>
        <w:tc>
          <w:tcPr>
            <w:tcW w:w="1905" w:type="dxa"/>
            <w:tcMar>
              <w:top w:w="90" w:type="dxa"/>
              <w:left w:w="120" w:type="dxa"/>
              <w:bottom w:w="90" w:type="dxa"/>
              <w:right w:w="120" w:type="dxa"/>
            </w:tcMar>
            <w:vAlign w:val="center"/>
          </w:tcPr>
          <w:p w14:paraId="10B0BECB" w14:textId="77777777" w:rsidR="00702D0A" w:rsidRPr="00EA5420" w:rsidRDefault="00000000">
            <w:pPr>
              <w:spacing w:line="300" w:lineRule="auto"/>
              <w:jc w:val="left"/>
            </w:pPr>
            <w:r w:rsidRPr="00EA5420">
              <w:t>Cost</w:t>
            </w:r>
          </w:p>
        </w:tc>
        <w:tc>
          <w:tcPr>
            <w:tcW w:w="3266" w:type="dxa"/>
            <w:tcMar>
              <w:top w:w="90" w:type="dxa"/>
              <w:left w:w="120" w:type="dxa"/>
              <w:bottom w:w="90" w:type="dxa"/>
              <w:right w:w="120" w:type="dxa"/>
            </w:tcMar>
            <w:vAlign w:val="center"/>
          </w:tcPr>
          <w:p w14:paraId="67941B7B" w14:textId="77777777" w:rsidR="00702D0A" w:rsidRPr="00EA5420" w:rsidRDefault="00000000">
            <w:pPr>
              <w:spacing w:line="300" w:lineRule="auto"/>
              <w:jc w:val="center"/>
            </w:pPr>
            <w:r w:rsidRPr="00EA5420">
              <w:t>Online interviews and existing University software/storage</w:t>
            </w:r>
          </w:p>
        </w:tc>
        <w:tc>
          <w:tcPr>
            <w:tcW w:w="3900" w:type="dxa"/>
            <w:tcMar>
              <w:top w:w="90" w:type="dxa"/>
              <w:left w:w="120" w:type="dxa"/>
              <w:bottom w:w="90" w:type="dxa"/>
              <w:right w:w="120" w:type="dxa"/>
            </w:tcMar>
            <w:vAlign w:val="center"/>
          </w:tcPr>
          <w:p w14:paraId="37EF1E31" w14:textId="77777777" w:rsidR="00702D0A" w:rsidRPr="00EA5420" w:rsidRDefault="00000000">
            <w:pPr>
              <w:spacing w:line="300" w:lineRule="auto"/>
              <w:jc w:val="left"/>
            </w:pPr>
            <w:r w:rsidRPr="00EA5420">
              <w:t>Low anticipated direct cost; no incentive without ethical approval.</w:t>
            </w:r>
          </w:p>
        </w:tc>
      </w:tr>
    </w:tbl>
    <w:p w14:paraId="4660C35B" w14:textId="77777777" w:rsidR="00702D0A" w:rsidRPr="00EA5420" w:rsidRDefault="00702D0A"/>
    <w:p w14:paraId="0933436B" w14:textId="77777777" w:rsidR="00702D0A" w:rsidRPr="00EA5420" w:rsidRDefault="00000000">
      <w:pPr>
        <w:pStyle w:val="1"/>
      </w:pPr>
      <w:bookmarkStart w:id="24" w:name="_Toc234801886"/>
      <w:r w:rsidRPr="00EA5420">
        <w:t>5. Provisional Timeline</w:t>
      </w:r>
      <w:bookmarkEnd w:id="24"/>
    </w:p>
    <w:p w14:paraId="0EAE0CAE" w14:textId="57B4A981" w:rsidR="00702D0A" w:rsidRPr="00EA5420" w:rsidRDefault="00000000">
      <w:r w:rsidRPr="00EA5420">
        <w:t>The Gantt chart places ethical and access approval before formal recruitment and interviews, while retaining contingency for cancellations and access delay. M denotes month and ■ denotes planned activity.</w:t>
      </w:r>
    </w:p>
    <w:p w14:paraId="46293A84" w14:textId="77777777" w:rsidR="00702D0A" w:rsidRPr="00EA5420" w:rsidRDefault="00000000">
      <w:pPr>
        <w:pStyle w:val="TableCaption"/>
        <w:rPr>
          <w:lang w:val="en-GB"/>
        </w:rPr>
        <w:pageBreakBefore/>
      </w:pPr>
      <w:r w:rsidRPr="00EA5420">
        <w:rPr>
          <w:lang w:val="en-GB"/>
        </w:rPr>
        <w:lastRenderedPageBreak/>
        <w:t>Table 5: Six-month research Gantt chart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3"/>
        <w:gridCol w:w="816"/>
        <w:gridCol w:w="816"/>
        <w:gridCol w:w="816"/>
        <w:gridCol w:w="816"/>
        <w:gridCol w:w="816"/>
        <w:gridCol w:w="818"/>
      </w:tblGrid>
      <w:tr w:rsidR="00702D0A" w:rsidRPr="00EA5420" w14:paraId="65C388D2" w14:textId="77777777" w:rsidTr="007B19D2">
        <w:trPr>
          <w:cantSplit/>
          <w:tblHeader/>
        </w:trPr>
        <w:tc>
          <w:tcPr>
            <w:tcW w:w="4173" w:type="dxa"/>
            <w:shd w:val="clear" w:color="auto" w:fill="E7E6E6"/>
            <w:tcMar>
              <w:top w:w="90" w:type="dxa"/>
              <w:left w:w="120" w:type="dxa"/>
              <w:bottom w:w="90" w:type="dxa"/>
              <w:right w:w="120" w:type="dxa"/>
            </w:tcMar>
            <w:vAlign w:val="center"/>
          </w:tcPr>
          <w:p w14:paraId="36B6A27C" w14:textId="77777777" w:rsidR="00702D0A" w:rsidRPr="00EA5420" w:rsidRDefault="00000000">
            <w:pPr>
              <w:spacing w:line="300" w:lineRule="auto"/>
              <w:jc w:val="center"/>
            </w:pPr>
            <w:r w:rsidRPr="00EA5420">
              <w:rPr>
                <w:b/>
              </w:rPr>
              <w:t>Research activity</w:t>
            </w:r>
          </w:p>
        </w:tc>
        <w:tc>
          <w:tcPr>
            <w:tcW w:w="816" w:type="dxa"/>
            <w:shd w:val="clear" w:color="auto" w:fill="E7E6E6"/>
            <w:tcMar>
              <w:top w:w="90" w:type="dxa"/>
              <w:left w:w="120" w:type="dxa"/>
              <w:bottom w:w="90" w:type="dxa"/>
              <w:right w:w="120" w:type="dxa"/>
            </w:tcMar>
            <w:vAlign w:val="center"/>
          </w:tcPr>
          <w:p w14:paraId="1784424C" w14:textId="77777777" w:rsidR="00702D0A" w:rsidRPr="00EA5420" w:rsidRDefault="00000000">
            <w:pPr>
              <w:keepNext/>
              <w:spacing w:line="300" w:lineRule="auto"/>
              <w:jc w:val="center"/>
            </w:pPr>
            <w:r w:rsidRPr="00EA5420">
              <w:rPr>
                <w:b/>
              </w:rPr>
              <w:t>M1</w:t>
            </w:r>
          </w:p>
        </w:tc>
        <w:tc>
          <w:tcPr>
            <w:tcW w:w="816" w:type="dxa"/>
            <w:shd w:val="clear" w:color="auto" w:fill="E7E6E6"/>
            <w:tcMar>
              <w:top w:w="90" w:type="dxa"/>
              <w:left w:w="120" w:type="dxa"/>
              <w:bottom w:w="90" w:type="dxa"/>
              <w:right w:w="120" w:type="dxa"/>
            </w:tcMar>
            <w:vAlign w:val="center"/>
          </w:tcPr>
          <w:p w14:paraId="47F00984" w14:textId="77777777" w:rsidR="00702D0A" w:rsidRPr="00EA5420" w:rsidRDefault="00000000">
            <w:pPr>
              <w:keepNext/>
              <w:spacing w:line="300" w:lineRule="auto"/>
              <w:jc w:val="center"/>
            </w:pPr>
            <w:r w:rsidRPr="00EA5420">
              <w:rPr>
                <w:b/>
              </w:rPr>
              <w:t>M2</w:t>
            </w:r>
          </w:p>
        </w:tc>
        <w:tc>
          <w:tcPr>
            <w:tcW w:w="816" w:type="dxa"/>
            <w:shd w:val="clear" w:color="auto" w:fill="E7E6E6"/>
            <w:tcMar>
              <w:top w:w="90" w:type="dxa"/>
              <w:left w:w="120" w:type="dxa"/>
              <w:bottom w:w="90" w:type="dxa"/>
              <w:right w:w="120" w:type="dxa"/>
            </w:tcMar>
            <w:vAlign w:val="center"/>
          </w:tcPr>
          <w:p w14:paraId="5EA9F7B9" w14:textId="77777777" w:rsidR="00702D0A" w:rsidRPr="00EA5420" w:rsidRDefault="00000000">
            <w:pPr>
              <w:keepNext/>
              <w:spacing w:line="300" w:lineRule="auto"/>
              <w:jc w:val="center"/>
            </w:pPr>
            <w:r w:rsidRPr="00EA5420">
              <w:rPr>
                <w:b/>
              </w:rPr>
              <w:t>M3</w:t>
            </w:r>
          </w:p>
        </w:tc>
        <w:tc>
          <w:tcPr>
            <w:tcW w:w="816" w:type="dxa"/>
            <w:shd w:val="clear" w:color="auto" w:fill="E7E6E6"/>
            <w:tcMar>
              <w:top w:w="90" w:type="dxa"/>
              <w:left w:w="120" w:type="dxa"/>
              <w:bottom w:w="90" w:type="dxa"/>
              <w:right w:w="120" w:type="dxa"/>
            </w:tcMar>
            <w:vAlign w:val="center"/>
          </w:tcPr>
          <w:p w14:paraId="39916E31" w14:textId="77777777" w:rsidR="00702D0A" w:rsidRPr="00EA5420" w:rsidRDefault="00000000">
            <w:pPr>
              <w:keepNext/>
              <w:spacing w:line="300" w:lineRule="auto"/>
              <w:jc w:val="center"/>
            </w:pPr>
            <w:r w:rsidRPr="00EA5420">
              <w:rPr>
                <w:b/>
              </w:rPr>
              <w:t>M4</w:t>
            </w:r>
          </w:p>
        </w:tc>
        <w:tc>
          <w:tcPr>
            <w:tcW w:w="816" w:type="dxa"/>
            <w:shd w:val="clear" w:color="auto" w:fill="E7E6E6"/>
            <w:tcMar>
              <w:top w:w="90" w:type="dxa"/>
              <w:left w:w="120" w:type="dxa"/>
              <w:bottom w:w="90" w:type="dxa"/>
              <w:right w:w="120" w:type="dxa"/>
            </w:tcMar>
            <w:vAlign w:val="center"/>
          </w:tcPr>
          <w:p w14:paraId="1B3D1C8E" w14:textId="77777777" w:rsidR="00702D0A" w:rsidRPr="00EA5420" w:rsidRDefault="00000000">
            <w:pPr>
              <w:keepNext/>
              <w:spacing w:line="300" w:lineRule="auto"/>
              <w:jc w:val="center"/>
            </w:pPr>
            <w:r w:rsidRPr="00EA5420">
              <w:rPr>
                <w:b/>
              </w:rPr>
              <w:t>M5</w:t>
            </w:r>
          </w:p>
        </w:tc>
        <w:tc>
          <w:tcPr>
            <w:tcW w:w="818" w:type="dxa"/>
            <w:shd w:val="clear" w:color="auto" w:fill="E7E6E6"/>
            <w:tcMar>
              <w:top w:w="90" w:type="dxa"/>
              <w:left w:w="120" w:type="dxa"/>
              <w:bottom w:w="90" w:type="dxa"/>
              <w:right w:w="120" w:type="dxa"/>
            </w:tcMar>
            <w:vAlign w:val="center"/>
          </w:tcPr>
          <w:p w14:paraId="127D2365" w14:textId="77777777" w:rsidR="00702D0A" w:rsidRPr="00EA5420" w:rsidRDefault="00000000">
            <w:pPr>
              <w:keepNext/>
              <w:spacing w:line="300" w:lineRule="auto"/>
              <w:jc w:val="center"/>
            </w:pPr>
            <w:r w:rsidRPr="00EA5420">
              <w:rPr>
                <w:b/>
              </w:rPr>
              <w:t>M6</w:t>
            </w:r>
          </w:p>
        </w:tc>
      </w:tr>
      <w:tr w:rsidR="00702D0A" w:rsidRPr="00EA5420" w14:paraId="3109C432" w14:textId="77777777" w:rsidTr="007B19D2">
        <w:trPr>
          <w:cantSplit/>
        </w:trPr>
        <w:tc>
          <w:tcPr>
            <w:tcW w:w="4173" w:type="dxa"/>
            <w:tcMar>
              <w:top w:w="90" w:type="dxa"/>
              <w:left w:w="120" w:type="dxa"/>
              <w:bottom w:w="90" w:type="dxa"/>
              <w:right w:w="120" w:type="dxa"/>
            </w:tcMar>
            <w:vAlign w:val="center"/>
          </w:tcPr>
          <w:p w14:paraId="1964C3CC" w14:textId="77777777" w:rsidR="00702D0A" w:rsidRPr="00EA5420" w:rsidRDefault="00000000">
            <w:pPr>
              <w:spacing w:line="300" w:lineRule="auto"/>
              <w:jc w:val="left"/>
            </w:pPr>
            <w:r w:rsidRPr="00EA5420">
              <w:t>Refine literature review and questions</w:t>
            </w:r>
          </w:p>
        </w:tc>
        <w:tc>
          <w:tcPr>
            <w:tcW w:w="816" w:type="dxa"/>
            <w:shd w:val="clear" w:color="auto" w:fill="7F7F7F"/>
            <w:tcMar>
              <w:top w:w="90" w:type="dxa"/>
              <w:left w:w="120" w:type="dxa"/>
              <w:bottom w:w="90" w:type="dxa"/>
              <w:right w:w="120" w:type="dxa"/>
            </w:tcMar>
            <w:vAlign w:val="center"/>
          </w:tcPr>
          <w:p w14:paraId="49B824FA" w14:textId="77777777" w:rsidR="00702D0A" w:rsidRPr="00EA5420" w:rsidRDefault="00000000">
            <w:pPr>
              <w:keepNext/>
              <w:spacing w:line="300" w:lineRule="auto"/>
              <w:jc w:val="center"/>
            </w:pPr>
            <w:r w:rsidRPr="00EA5420">
              <w:rPr>
                <w:color w:val="FFFFFF"/>
              </w:rPr>
              <w:t>■</w:t>
            </w:r>
          </w:p>
        </w:tc>
        <w:tc>
          <w:tcPr>
            <w:tcW w:w="816" w:type="dxa"/>
            <w:tcMar>
              <w:top w:w="90" w:type="dxa"/>
              <w:left w:w="120" w:type="dxa"/>
              <w:bottom w:w="90" w:type="dxa"/>
              <w:right w:w="120" w:type="dxa"/>
            </w:tcMar>
            <w:vAlign w:val="center"/>
          </w:tcPr>
          <w:p w14:paraId="386F69AE"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25361067"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2620113E"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3742387D" w14:textId="77777777" w:rsidR="00702D0A" w:rsidRPr="00EA5420" w:rsidRDefault="00702D0A">
            <w:pPr>
              <w:keepNext/>
              <w:spacing w:line="300" w:lineRule="auto"/>
              <w:jc w:val="center"/>
            </w:pPr>
          </w:p>
        </w:tc>
        <w:tc>
          <w:tcPr>
            <w:tcW w:w="818" w:type="dxa"/>
            <w:tcMar>
              <w:top w:w="90" w:type="dxa"/>
              <w:left w:w="120" w:type="dxa"/>
              <w:bottom w:w="90" w:type="dxa"/>
              <w:right w:w="120" w:type="dxa"/>
            </w:tcMar>
            <w:vAlign w:val="center"/>
          </w:tcPr>
          <w:p w14:paraId="027DD966" w14:textId="77777777" w:rsidR="00702D0A" w:rsidRPr="00EA5420" w:rsidRDefault="00702D0A">
            <w:pPr>
              <w:keepNext/>
              <w:spacing w:line="300" w:lineRule="auto"/>
              <w:jc w:val="center"/>
            </w:pPr>
          </w:p>
        </w:tc>
      </w:tr>
      <w:tr w:rsidR="00702D0A" w:rsidRPr="00EA5420" w14:paraId="75DB5C40" w14:textId="77777777" w:rsidTr="007B19D2">
        <w:trPr>
          <w:cantSplit/>
        </w:trPr>
        <w:tc>
          <w:tcPr>
            <w:tcW w:w="4173" w:type="dxa"/>
            <w:tcMar>
              <w:top w:w="90" w:type="dxa"/>
              <w:left w:w="120" w:type="dxa"/>
              <w:bottom w:w="90" w:type="dxa"/>
              <w:right w:w="120" w:type="dxa"/>
            </w:tcMar>
            <w:vAlign w:val="center"/>
          </w:tcPr>
          <w:p w14:paraId="5EB87719" w14:textId="77777777" w:rsidR="00702D0A" w:rsidRPr="00EA5420" w:rsidRDefault="00000000">
            <w:pPr>
              <w:spacing w:line="300" w:lineRule="auto"/>
              <w:jc w:val="left"/>
            </w:pPr>
            <w:r w:rsidRPr="00EA5420">
              <w:t>Ethics and access application/approval</w:t>
            </w:r>
          </w:p>
        </w:tc>
        <w:tc>
          <w:tcPr>
            <w:tcW w:w="816" w:type="dxa"/>
            <w:shd w:val="clear" w:color="auto" w:fill="7F7F7F"/>
            <w:tcMar>
              <w:top w:w="90" w:type="dxa"/>
              <w:left w:w="120" w:type="dxa"/>
              <w:bottom w:w="90" w:type="dxa"/>
              <w:right w:w="120" w:type="dxa"/>
            </w:tcMar>
            <w:vAlign w:val="center"/>
          </w:tcPr>
          <w:p w14:paraId="65BDEF1E" w14:textId="77777777" w:rsidR="00702D0A" w:rsidRPr="00EA5420" w:rsidRDefault="00000000">
            <w:pPr>
              <w:keepNext/>
              <w:spacing w:line="300" w:lineRule="auto"/>
              <w:jc w:val="center"/>
            </w:pPr>
            <w:r w:rsidRPr="00EA5420">
              <w:rPr>
                <w:color w:val="FFFFFF"/>
              </w:rPr>
              <w:t>■</w:t>
            </w:r>
          </w:p>
        </w:tc>
        <w:tc>
          <w:tcPr>
            <w:tcW w:w="816" w:type="dxa"/>
            <w:shd w:val="clear" w:color="auto" w:fill="7F7F7F"/>
            <w:tcMar>
              <w:top w:w="90" w:type="dxa"/>
              <w:left w:w="120" w:type="dxa"/>
              <w:bottom w:w="90" w:type="dxa"/>
              <w:right w:w="120" w:type="dxa"/>
            </w:tcMar>
            <w:vAlign w:val="center"/>
          </w:tcPr>
          <w:p w14:paraId="428B4776" w14:textId="77777777" w:rsidR="00702D0A" w:rsidRPr="00EA5420" w:rsidRDefault="00000000">
            <w:pPr>
              <w:keepNext/>
              <w:spacing w:line="300" w:lineRule="auto"/>
              <w:jc w:val="center"/>
            </w:pPr>
            <w:r w:rsidRPr="00EA5420">
              <w:rPr>
                <w:color w:val="FFFFFF"/>
              </w:rPr>
              <w:t>■</w:t>
            </w:r>
          </w:p>
        </w:tc>
        <w:tc>
          <w:tcPr>
            <w:tcW w:w="816" w:type="dxa"/>
            <w:tcMar>
              <w:top w:w="90" w:type="dxa"/>
              <w:left w:w="120" w:type="dxa"/>
              <w:bottom w:w="90" w:type="dxa"/>
              <w:right w:w="120" w:type="dxa"/>
            </w:tcMar>
            <w:vAlign w:val="center"/>
          </w:tcPr>
          <w:p w14:paraId="7441537B"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092C78D1"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0A23A965" w14:textId="77777777" w:rsidR="00702D0A" w:rsidRPr="00EA5420" w:rsidRDefault="00702D0A">
            <w:pPr>
              <w:keepNext/>
              <w:spacing w:line="300" w:lineRule="auto"/>
              <w:jc w:val="center"/>
            </w:pPr>
          </w:p>
        </w:tc>
        <w:tc>
          <w:tcPr>
            <w:tcW w:w="818" w:type="dxa"/>
            <w:tcMar>
              <w:top w:w="90" w:type="dxa"/>
              <w:left w:w="120" w:type="dxa"/>
              <w:bottom w:w="90" w:type="dxa"/>
              <w:right w:w="120" w:type="dxa"/>
            </w:tcMar>
            <w:vAlign w:val="center"/>
          </w:tcPr>
          <w:p w14:paraId="15263567" w14:textId="77777777" w:rsidR="00702D0A" w:rsidRPr="00EA5420" w:rsidRDefault="00702D0A">
            <w:pPr>
              <w:keepNext/>
              <w:spacing w:line="300" w:lineRule="auto"/>
              <w:jc w:val="center"/>
            </w:pPr>
          </w:p>
        </w:tc>
      </w:tr>
      <w:tr w:rsidR="00702D0A" w:rsidRPr="00EA5420" w14:paraId="324D82F9" w14:textId="77777777" w:rsidTr="007B19D2">
        <w:trPr>
          <w:cantSplit/>
        </w:trPr>
        <w:tc>
          <w:tcPr>
            <w:tcW w:w="4173" w:type="dxa"/>
            <w:tcMar>
              <w:top w:w="90" w:type="dxa"/>
              <w:left w:w="120" w:type="dxa"/>
              <w:bottom w:w="90" w:type="dxa"/>
              <w:right w:w="120" w:type="dxa"/>
            </w:tcMar>
            <w:vAlign w:val="center"/>
          </w:tcPr>
          <w:p w14:paraId="7B6EE70D" w14:textId="77777777" w:rsidR="00702D0A" w:rsidRPr="00EA5420" w:rsidRDefault="00000000">
            <w:pPr>
              <w:spacing w:line="300" w:lineRule="auto"/>
              <w:jc w:val="left"/>
            </w:pPr>
            <w:r w:rsidRPr="00EA5420">
              <w:t>Finalise participant materials and pilot</w:t>
            </w:r>
          </w:p>
        </w:tc>
        <w:tc>
          <w:tcPr>
            <w:tcW w:w="816" w:type="dxa"/>
            <w:tcMar>
              <w:top w:w="90" w:type="dxa"/>
              <w:left w:w="120" w:type="dxa"/>
              <w:bottom w:w="90" w:type="dxa"/>
              <w:right w:w="120" w:type="dxa"/>
            </w:tcMar>
            <w:vAlign w:val="center"/>
          </w:tcPr>
          <w:p w14:paraId="68A2DBD3" w14:textId="77777777" w:rsidR="00702D0A" w:rsidRPr="00EA5420" w:rsidRDefault="00702D0A">
            <w:pPr>
              <w:keepNext/>
              <w:spacing w:line="300" w:lineRule="auto"/>
              <w:jc w:val="center"/>
            </w:pPr>
          </w:p>
        </w:tc>
        <w:tc>
          <w:tcPr>
            <w:tcW w:w="816" w:type="dxa"/>
            <w:shd w:val="clear" w:color="auto" w:fill="7F7F7F"/>
            <w:tcMar>
              <w:top w:w="90" w:type="dxa"/>
              <w:left w:w="120" w:type="dxa"/>
              <w:bottom w:w="90" w:type="dxa"/>
              <w:right w:w="120" w:type="dxa"/>
            </w:tcMar>
            <w:vAlign w:val="center"/>
          </w:tcPr>
          <w:p w14:paraId="4AD82277" w14:textId="77777777" w:rsidR="00702D0A" w:rsidRPr="00EA5420" w:rsidRDefault="00000000">
            <w:pPr>
              <w:keepNext/>
              <w:spacing w:line="300" w:lineRule="auto"/>
              <w:jc w:val="center"/>
            </w:pPr>
            <w:r w:rsidRPr="00EA5420">
              <w:rPr>
                <w:color w:val="FFFFFF"/>
              </w:rPr>
              <w:t>■</w:t>
            </w:r>
          </w:p>
        </w:tc>
        <w:tc>
          <w:tcPr>
            <w:tcW w:w="816" w:type="dxa"/>
            <w:tcMar>
              <w:top w:w="90" w:type="dxa"/>
              <w:left w:w="120" w:type="dxa"/>
              <w:bottom w:w="90" w:type="dxa"/>
              <w:right w:w="120" w:type="dxa"/>
            </w:tcMar>
            <w:vAlign w:val="center"/>
          </w:tcPr>
          <w:p w14:paraId="60AF0FE3"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37015D71"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4A6A9A0F" w14:textId="77777777" w:rsidR="00702D0A" w:rsidRPr="00EA5420" w:rsidRDefault="00702D0A">
            <w:pPr>
              <w:keepNext/>
              <w:spacing w:line="300" w:lineRule="auto"/>
              <w:jc w:val="center"/>
            </w:pPr>
          </w:p>
        </w:tc>
        <w:tc>
          <w:tcPr>
            <w:tcW w:w="818" w:type="dxa"/>
            <w:tcMar>
              <w:top w:w="90" w:type="dxa"/>
              <w:left w:w="120" w:type="dxa"/>
              <w:bottom w:w="90" w:type="dxa"/>
              <w:right w:w="120" w:type="dxa"/>
            </w:tcMar>
            <w:vAlign w:val="center"/>
          </w:tcPr>
          <w:p w14:paraId="76A4FB67" w14:textId="77777777" w:rsidR="00702D0A" w:rsidRPr="00EA5420" w:rsidRDefault="00702D0A">
            <w:pPr>
              <w:keepNext/>
              <w:spacing w:line="300" w:lineRule="auto"/>
              <w:jc w:val="center"/>
            </w:pPr>
          </w:p>
        </w:tc>
      </w:tr>
      <w:tr w:rsidR="00702D0A" w:rsidRPr="00EA5420" w14:paraId="5B7736E8" w14:textId="77777777" w:rsidTr="007B19D2">
        <w:trPr>
          <w:cantSplit/>
        </w:trPr>
        <w:tc>
          <w:tcPr>
            <w:tcW w:w="4173" w:type="dxa"/>
            <w:tcMar>
              <w:top w:w="90" w:type="dxa"/>
              <w:left w:w="120" w:type="dxa"/>
              <w:bottom w:w="90" w:type="dxa"/>
              <w:right w:w="120" w:type="dxa"/>
            </w:tcMar>
            <w:vAlign w:val="center"/>
          </w:tcPr>
          <w:p w14:paraId="62A65B4E" w14:textId="48D79640" w:rsidR="00702D0A" w:rsidRPr="00EA5420" w:rsidRDefault="00000000">
            <w:pPr>
              <w:spacing w:line="300" w:lineRule="auto"/>
              <w:jc w:val="left"/>
            </w:pPr>
            <w:r w:rsidRPr="00EA5420">
              <w:t>Recruit and conduct interviews</w:t>
            </w:r>
          </w:p>
        </w:tc>
        <w:tc>
          <w:tcPr>
            <w:tcW w:w="816" w:type="dxa"/>
            <w:tcMar>
              <w:top w:w="90" w:type="dxa"/>
              <w:left w:w="120" w:type="dxa"/>
              <w:bottom w:w="90" w:type="dxa"/>
              <w:right w:w="120" w:type="dxa"/>
            </w:tcMar>
            <w:vAlign w:val="center"/>
          </w:tcPr>
          <w:p w14:paraId="230998CD"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4237C5AB" w14:textId="77777777" w:rsidR="00702D0A" w:rsidRPr="00EA5420" w:rsidRDefault="00702D0A">
            <w:pPr>
              <w:keepNext/>
              <w:spacing w:line="300" w:lineRule="auto"/>
              <w:jc w:val="center"/>
            </w:pPr>
          </w:p>
        </w:tc>
        <w:tc>
          <w:tcPr>
            <w:tcW w:w="816" w:type="dxa"/>
            <w:shd w:val="clear" w:color="auto" w:fill="7F7F7F"/>
            <w:tcMar>
              <w:top w:w="90" w:type="dxa"/>
              <w:left w:w="120" w:type="dxa"/>
              <w:bottom w:w="90" w:type="dxa"/>
              <w:right w:w="120" w:type="dxa"/>
            </w:tcMar>
            <w:vAlign w:val="center"/>
          </w:tcPr>
          <w:p w14:paraId="70A6F8C0" w14:textId="77777777" w:rsidR="00702D0A" w:rsidRPr="00EA5420" w:rsidRDefault="00000000">
            <w:pPr>
              <w:keepNext/>
              <w:spacing w:line="300" w:lineRule="auto"/>
              <w:jc w:val="center"/>
            </w:pPr>
            <w:r w:rsidRPr="00EA5420">
              <w:rPr>
                <w:color w:val="FFFFFF"/>
              </w:rPr>
              <w:t>■</w:t>
            </w:r>
          </w:p>
        </w:tc>
        <w:tc>
          <w:tcPr>
            <w:tcW w:w="816" w:type="dxa"/>
            <w:shd w:val="clear" w:color="auto" w:fill="7F7F7F"/>
            <w:tcMar>
              <w:top w:w="90" w:type="dxa"/>
              <w:left w:w="120" w:type="dxa"/>
              <w:bottom w:w="90" w:type="dxa"/>
              <w:right w:w="120" w:type="dxa"/>
            </w:tcMar>
            <w:vAlign w:val="center"/>
          </w:tcPr>
          <w:p w14:paraId="50A1D077" w14:textId="77777777" w:rsidR="00702D0A" w:rsidRPr="00EA5420" w:rsidRDefault="00000000">
            <w:pPr>
              <w:keepNext/>
              <w:spacing w:line="300" w:lineRule="auto"/>
              <w:jc w:val="center"/>
            </w:pPr>
            <w:r w:rsidRPr="00EA5420">
              <w:rPr>
                <w:color w:val="FFFFFF"/>
              </w:rPr>
              <w:t>■</w:t>
            </w:r>
          </w:p>
        </w:tc>
        <w:tc>
          <w:tcPr>
            <w:tcW w:w="816" w:type="dxa"/>
            <w:tcMar>
              <w:top w:w="90" w:type="dxa"/>
              <w:left w:w="120" w:type="dxa"/>
              <w:bottom w:w="90" w:type="dxa"/>
              <w:right w:w="120" w:type="dxa"/>
            </w:tcMar>
            <w:vAlign w:val="center"/>
          </w:tcPr>
          <w:p w14:paraId="6AC742AA" w14:textId="77777777" w:rsidR="00702D0A" w:rsidRPr="00EA5420" w:rsidRDefault="00702D0A">
            <w:pPr>
              <w:keepNext/>
              <w:spacing w:line="300" w:lineRule="auto"/>
              <w:jc w:val="center"/>
            </w:pPr>
          </w:p>
        </w:tc>
        <w:tc>
          <w:tcPr>
            <w:tcW w:w="818" w:type="dxa"/>
            <w:tcMar>
              <w:top w:w="90" w:type="dxa"/>
              <w:left w:w="120" w:type="dxa"/>
              <w:bottom w:w="90" w:type="dxa"/>
              <w:right w:w="120" w:type="dxa"/>
            </w:tcMar>
            <w:vAlign w:val="center"/>
          </w:tcPr>
          <w:p w14:paraId="79556100" w14:textId="77777777" w:rsidR="00702D0A" w:rsidRPr="00EA5420" w:rsidRDefault="00702D0A">
            <w:pPr>
              <w:keepNext/>
              <w:spacing w:line="300" w:lineRule="auto"/>
              <w:jc w:val="center"/>
            </w:pPr>
          </w:p>
        </w:tc>
      </w:tr>
      <w:tr w:rsidR="00702D0A" w:rsidRPr="00EA5420" w14:paraId="2DC56478" w14:textId="77777777" w:rsidTr="007B19D2">
        <w:trPr>
          <w:cantSplit/>
        </w:trPr>
        <w:tc>
          <w:tcPr>
            <w:tcW w:w="4173" w:type="dxa"/>
            <w:tcMar>
              <w:top w:w="90" w:type="dxa"/>
              <w:left w:w="120" w:type="dxa"/>
              <w:bottom w:w="90" w:type="dxa"/>
              <w:right w:w="120" w:type="dxa"/>
            </w:tcMar>
            <w:vAlign w:val="center"/>
          </w:tcPr>
          <w:p w14:paraId="07825081" w14:textId="5354C577" w:rsidR="00702D0A" w:rsidRPr="00EA5420" w:rsidRDefault="005A7456">
            <w:pPr>
              <w:spacing w:line="300" w:lineRule="auto"/>
              <w:jc w:val="left"/>
            </w:pPr>
            <w:r>
              <w:rPr>
                <w:rFonts w:eastAsia="宋体" w:hint="eastAsia"/>
                <w:lang w:eastAsia="zh-CN"/>
              </w:rPr>
              <w:t>T</w:t>
            </w:r>
            <w:r w:rsidRPr="00EA5420">
              <w:t>ranscription and data cleaning</w:t>
            </w:r>
          </w:p>
        </w:tc>
        <w:tc>
          <w:tcPr>
            <w:tcW w:w="816" w:type="dxa"/>
            <w:tcMar>
              <w:top w:w="90" w:type="dxa"/>
              <w:left w:w="120" w:type="dxa"/>
              <w:bottom w:w="90" w:type="dxa"/>
              <w:right w:w="120" w:type="dxa"/>
            </w:tcMar>
            <w:vAlign w:val="center"/>
          </w:tcPr>
          <w:p w14:paraId="2D571FC2"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026A267A" w14:textId="77777777" w:rsidR="00702D0A" w:rsidRPr="00EA5420" w:rsidRDefault="00702D0A">
            <w:pPr>
              <w:keepNext/>
              <w:spacing w:line="300" w:lineRule="auto"/>
              <w:jc w:val="center"/>
            </w:pPr>
          </w:p>
        </w:tc>
        <w:tc>
          <w:tcPr>
            <w:tcW w:w="816" w:type="dxa"/>
            <w:shd w:val="clear" w:color="auto" w:fill="7F7F7F"/>
            <w:tcMar>
              <w:top w:w="90" w:type="dxa"/>
              <w:left w:w="120" w:type="dxa"/>
              <w:bottom w:w="90" w:type="dxa"/>
              <w:right w:w="120" w:type="dxa"/>
            </w:tcMar>
            <w:vAlign w:val="center"/>
          </w:tcPr>
          <w:p w14:paraId="3D52D75C" w14:textId="77777777" w:rsidR="00702D0A" w:rsidRPr="00EA5420" w:rsidRDefault="00000000">
            <w:pPr>
              <w:keepNext/>
              <w:spacing w:line="300" w:lineRule="auto"/>
              <w:jc w:val="center"/>
            </w:pPr>
            <w:r w:rsidRPr="00EA5420">
              <w:rPr>
                <w:color w:val="FFFFFF"/>
              </w:rPr>
              <w:t>■</w:t>
            </w:r>
          </w:p>
        </w:tc>
        <w:tc>
          <w:tcPr>
            <w:tcW w:w="816" w:type="dxa"/>
            <w:shd w:val="clear" w:color="auto" w:fill="7F7F7F"/>
            <w:tcMar>
              <w:top w:w="90" w:type="dxa"/>
              <w:left w:w="120" w:type="dxa"/>
              <w:bottom w:w="90" w:type="dxa"/>
              <w:right w:w="120" w:type="dxa"/>
            </w:tcMar>
            <w:vAlign w:val="center"/>
          </w:tcPr>
          <w:p w14:paraId="2E1CB161" w14:textId="77777777" w:rsidR="00702D0A" w:rsidRPr="00EA5420" w:rsidRDefault="00000000">
            <w:pPr>
              <w:keepNext/>
              <w:spacing w:line="300" w:lineRule="auto"/>
              <w:jc w:val="center"/>
            </w:pPr>
            <w:r w:rsidRPr="00EA5420">
              <w:rPr>
                <w:color w:val="FFFFFF"/>
              </w:rPr>
              <w:t>■</w:t>
            </w:r>
          </w:p>
        </w:tc>
        <w:tc>
          <w:tcPr>
            <w:tcW w:w="816" w:type="dxa"/>
            <w:tcMar>
              <w:top w:w="90" w:type="dxa"/>
              <w:left w:w="120" w:type="dxa"/>
              <w:bottom w:w="90" w:type="dxa"/>
              <w:right w:w="120" w:type="dxa"/>
            </w:tcMar>
            <w:vAlign w:val="center"/>
          </w:tcPr>
          <w:p w14:paraId="1DCD8F43" w14:textId="77777777" w:rsidR="00702D0A" w:rsidRPr="00EA5420" w:rsidRDefault="00702D0A">
            <w:pPr>
              <w:keepNext/>
              <w:spacing w:line="300" w:lineRule="auto"/>
              <w:jc w:val="center"/>
            </w:pPr>
          </w:p>
        </w:tc>
        <w:tc>
          <w:tcPr>
            <w:tcW w:w="818" w:type="dxa"/>
            <w:tcMar>
              <w:top w:w="90" w:type="dxa"/>
              <w:left w:w="120" w:type="dxa"/>
              <w:bottom w:w="90" w:type="dxa"/>
              <w:right w:w="120" w:type="dxa"/>
            </w:tcMar>
            <w:vAlign w:val="center"/>
          </w:tcPr>
          <w:p w14:paraId="71FDB994" w14:textId="77777777" w:rsidR="00702D0A" w:rsidRPr="00EA5420" w:rsidRDefault="00702D0A">
            <w:pPr>
              <w:keepNext/>
              <w:spacing w:line="300" w:lineRule="auto"/>
              <w:jc w:val="center"/>
            </w:pPr>
          </w:p>
        </w:tc>
      </w:tr>
      <w:tr w:rsidR="00702D0A" w:rsidRPr="00EA5420" w14:paraId="6538E358" w14:textId="77777777" w:rsidTr="007B19D2">
        <w:trPr>
          <w:cantSplit/>
        </w:trPr>
        <w:tc>
          <w:tcPr>
            <w:tcW w:w="4173" w:type="dxa"/>
            <w:tcMar>
              <w:top w:w="90" w:type="dxa"/>
              <w:left w:w="120" w:type="dxa"/>
              <w:bottom w:w="90" w:type="dxa"/>
              <w:right w:w="120" w:type="dxa"/>
            </w:tcMar>
            <w:vAlign w:val="center"/>
          </w:tcPr>
          <w:p w14:paraId="08AC1342" w14:textId="77777777" w:rsidR="00702D0A" w:rsidRPr="00EA5420" w:rsidRDefault="00000000">
            <w:pPr>
              <w:spacing w:line="300" w:lineRule="auto"/>
              <w:jc w:val="left"/>
            </w:pPr>
            <w:r w:rsidRPr="00EA5420">
              <w:t>Coding, role comparison and theme development</w:t>
            </w:r>
          </w:p>
        </w:tc>
        <w:tc>
          <w:tcPr>
            <w:tcW w:w="816" w:type="dxa"/>
            <w:tcMar>
              <w:top w:w="90" w:type="dxa"/>
              <w:left w:w="120" w:type="dxa"/>
              <w:bottom w:w="90" w:type="dxa"/>
              <w:right w:w="120" w:type="dxa"/>
            </w:tcMar>
            <w:vAlign w:val="center"/>
          </w:tcPr>
          <w:p w14:paraId="4C6B7F47"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52FE9864"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0C2906C1" w14:textId="77777777" w:rsidR="00702D0A" w:rsidRPr="00EA5420" w:rsidRDefault="00702D0A">
            <w:pPr>
              <w:keepNext/>
              <w:spacing w:line="300" w:lineRule="auto"/>
              <w:jc w:val="center"/>
            </w:pPr>
          </w:p>
        </w:tc>
        <w:tc>
          <w:tcPr>
            <w:tcW w:w="816" w:type="dxa"/>
            <w:shd w:val="clear" w:color="auto" w:fill="7F7F7F"/>
            <w:tcMar>
              <w:top w:w="90" w:type="dxa"/>
              <w:left w:w="120" w:type="dxa"/>
              <w:bottom w:w="90" w:type="dxa"/>
              <w:right w:w="120" w:type="dxa"/>
            </w:tcMar>
            <w:vAlign w:val="center"/>
          </w:tcPr>
          <w:p w14:paraId="1CF4C619" w14:textId="77777777" w:rsidR="00702D0A" w:rsidRPr="00EA5420" w:rsidRDefault="00000000">
            <w:pPr>
              <w:keepNext/>
              <w:spacing w:line="300" w:lineRule="auto"/>
              <w:jc w:val="center"/>
            </w:pPr>
            <w:r w:rsidRPr="00EA5420">
              <w:rPr>
                <w:color w:val="FFFFFF"/>
              </w:rPr>
              <w:t>■</w:t>
            </w:r>
          </w:p>
        </w:tc>
        <w:tc>
          <w:tcPr>
            <w:tcW w:w="816" w:type="dxa"/>
            <w:shd w:val="clear" w:color="auto" w:fill="7F7F7F"/>
            <w:tcMar>
              <w:top w:w="90" w:type="dxa"/>
              <w:left w:w="120" w:type="dxa"/>
              <w:bottom w:w="90" w:type="dxa"/>
              <w:right w:w="120" w:type="dxa"/>
            </w:tcMar>
            <w:vAlign w:val="center"/>
          </w:tcPr>
          <w:p w14:paraId="75607875" w14:textId="77777777" w:rsidR="00702D0A" w:rsidRPr="00EA5420" w:rsidRDefault="00000000">
            <w:pPr>
              <w:keepNext/>
              <w:spacing w:line="300" w:lineRule="auto"/>
              <w:jc w:val="center"/>
            </w:pPr>
            <w:r w:rsidRPr="00EA5420">
              <w:rPr>
                <w:color w:val="FFFFFF"/>
              </w:rPr>
              <w:t>■</w:t>
            </w:r>
          </w:p>
        </w:tc>
        <w:tc>
          <w:tcPr>
            <w:tcW w:w="818" w:type="dxa"/>
            <w:tcMar>
              <w:top w:w="90" w:type="dxa"/>
              <w:left w:w="120" w:type="dxa"/>
              <w:bottom w:w="90" w:type="dxa"/>
              <w:right w:w="120" w:type="dxa"/>
            </w:tcMar>
            <w:vAlign w:val="center"/>
          </w:tcPr>
          <w:p w14:paraId="10FA165F" w14:textId="77777777" w:rsidR="00702D0A" w:rsidRPr="00EA5420" w:rsidRDefault="00702D0A">
            <w:pPr>
              <w:keepNext/>
              <w:spacing w:line="300" w:lineRule="auto"/>
              <w:jc w:val="center"/>
            </w:pPr>
          </w:p>
        </w:tc>
      </w:tr>
      <w:tr w:rsidR="00702D0A" w:rsidRPr="00EA5420" w14:paraId="6DA62B56" w14:textId="77777777" w:rsidTr="007B19D2">
        <w:trPr>
          <w:cantSplit/>
        </w:trPr>
        <w:tc>
          <w:tcPr>
            <w:tcW w:w="4173" w:type="dxa"/>
            <w:tcMar>
              <w:top w:w="90" w:type="dxa"/>
              <w:left w:w="120" w:type="dxa"/>
              <w:bottom w:w="90" w:type="dxa"/>
              <w:right w:w="120" w:type="dxa"/>
            </w:tcMar>
            <w:vAlign w:val="center"/>
          </w:tcPr>
          <w:p w14:paraId="5276A6F2" w14:textId="77777777" w:rsidR="00702D0A" w:rsidRPr="00EA5420" w:rsidRDefault="00000000">
            <w:pPr>
              <w:spacing w:line="300" w:lineRule="auto"/>
              <w:jc w:val="left"/>
            </w:pPr>
            <w:r>
              <w:t>Review themes, select quotations and write</w:t>
            </w:r>
          </w:p>
        </w:tc>
        <w:tc>
          <w:tcPr>
            <w:tcW w:w="816" w:type="dxa"/>
            <w:tcMar>
              <w:top w:w="90" w:type="dxa"/>
              <w:left w:w="120" w:type="dxa"/>
              <w:bottom w:w="90" w:type="dxa"/>
              <w:right w:w="120" w:type="dxa"/>
            </w:tcMar>
            <w:vAlign w:val="center"/>
          </w:tcPr>
          <w:p w14:paraId="2CEF750C"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796A0CBF"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7477EED9" w14:textId="77777777" w:rsidR="00702D0A" w:rsidRPr="00EA5420" w:rsidRDefault="00702D0A">
            <w:pPr>
              <w:keepNext/>
              <w:spacing w:line="300" w:lineRule="auto"/>
              <w:jc w:val="center"/>
            </w:pPr>
          </w:p>
        </w:tc>
        <w:tc>
          <w:tcPr>
            <w:tcW w:w="816" w:type="dxa"/>
            <w:tcMar>
              <w:top w:w="90" w:type="dxa"/>
              <w:left w:w="120" w:type="dxa"/>
              <w:bottom w:w="90" w:type="dxa"/>
              <w:right w:w="120" w:type="dxa"/>
            </w:tcMar>
            <w:vAlign w:val="center"/>
          </w:tcPr>
          <w:p w14:paraId="3812F797" w14:textId="77777777" w:rsidR="00702D0A" w:rsidRPr="00EA5420" w:rsidRDefault="00702D0A">
            <w:pPr>
              <w:keepNext/>
              <w:spacing w:line="300" w:lineRule="auto"/>
              <w:jc w:val="center"/>
            </w:pPr>
          </w:p>
        </w:tc>
        <w:tc>
          <w:tcPr>
            <w:tcW w:w="816" w:type="dxa"/>
            <w:shd w:val="clear" w:color="auto" w:fill="7F7F7F"/>
            <w:tcMar>
              <w:top w:w="90" w:type="dxa"/>
              <w:left w:w="120" w:type="dxa"/>
              <w:bottom w:w="90" w:type="dxa"/>
              <w:right w:w="120" w:type="dxa"/>
            </w:tcMar>
            <w:vAlign w:val="center"/>
          </w:tcPr>
          <w:p w14:paraId="4AB11FF7" w14:textId="77777777" w:rsidR="00702D0A" w:rsidRPr="00EA5420" w:rsidRDefault="00000000">
            <w:pPr>
              <w:keepNext/>
              <w:spacing w:line="300" w:lineRule="auto"/>
              <w:jc w:val="center"/>
            </w:pPr>
            <w:r w:rsidRPr="00EA5420">
              <w:rPr>
                <w:color w:val="FFFFFF"/>
              </w:rPr>
              <w:t>■</w:t>
            </w:r>
          </w:p>
        </w:tc>
        <w:tc>
          <w:tcPr>
            <w:tcW w:w="818" w:type="dxa"/>
            <w:shd w:val="clear" w:color="auto" w:fill="7F7F7F"/>
            <w:tcMar>
              <w:top w:w="90" w:type="dxa"/>
              <w:left w:w="120" w:type="dxa"/>
              <w:bottom w:w="90" w:type="dxa"/>
              <w:right w:w="120" w:type="dxa"/>
            </w:tcMar>
            <w:vAlign w:val="center"/>
          </w:tcPr>
          <w:p w14:paraId="082424D8" w14:textId="77777777" w:rsidR="00702D0A" w:rsidRPr="00EA5420" w:rsidRDefault="00000000">
            <w:pPr>
              <w:keepNext/>
              <w:spacing w:line="300" w:lineRule="auto"/>
              <w:jc w:val="center"/>
            </w:pPr>
            <w:r w:rsidRPr="00EA5420">
              <w:rPr>
                <w:color w:val="FFFFFF"/>
              </w:rPr>
              <w:t>■</w:t>
            </w:r>
          </w:p>
        </w:tc>
      </w:tr>
      <w:tr w:rsidR="00702D0A" w:rsidRPr="00EA5420" w14:paraId="62F8F35F" w14:textId="77777777" w:rsidTr="007B19D2">
        <w:trPr>
          <w:cantSplit/>
        </w:trPr>
        <w:tc>
          <w:tcPr>
            <w:tcW w:w="4173" w:type="dxa"/>
            <w:tcMar>
              <w:top w:w="90" w:type="dxa"/>
              <w:left w:w="120" w:type="dxa"/>
              <w:bottom w:w="90" w:type="dxa"/>
              <w:right w:w="120" w:type="dxa"/>
            </w:tcMar>
            <w:vAlign w:val="center"/>
          </w:tcPr>
          <w:p w14:paraId="1AD97D47" w14:textId="77777777" w:rsidR="00702D0A" w:rsidRPr="00EA5420" w:rsidRDefault="00000000">
            <w:pPr>
              <w:spacing w:line="300" w:lineRule="auto"/>
              <w:jc w:val="left"/>
            </w:pPr>
            <w:r w:rsidRPr="00EA5420">
              <w:t>Proofread, check references, submit and archive</w:t>
            </w:r>
          </w:p>
        </w:tc>
        <w:tc>
          <w:tcPr>
            <w:tcW w:w="816" w:type="dxa"/>
            <w:tcMar>
              <w:top w:w="90" w:type="dxa"/>
              <w:left w:w="120" w:type="dxa"/>
              <w:bottom w:w="90" w:type="dxa"/>
              <w:right w:w="120" w:type="dxa"/>
            </w:tcMar>
            <w:vAlign w:val="center"/>
          </w:tcPr>
          <w:p w14:paraId="24A7CA29" w14:textId="77777777" w:rsidR="00702D0A" w:rsidRPr="00EA5420" w:rsidRDefault="00702D0A">
            <w:pPr>
              <w:spacing w:line="300" w:lineRule="auto"/>
              <w:jc w:val="center"/>
            </w:pPr>
          </w:p>
        </w:tc>
        <w:tc>
          <w:tcPr>
            <w:tcW w:w="816" w:type="dxa"/>
            <w:tcMar>
              <w:top w:w="90" w:type="dxa"/>
              <w:left w:w="120" w:type="dxa"/>
              <w:bottom w:w="90" w:type="dxa"/>
              <w:right w:w="120" w:type="dxa"/>
            </w:tcMar>
            <w:vAlign w:val="center"/>
          </w:tcPr>
          <w:p w14:paraId="540357AB" w14:textId="77777777" w:rsidR="00702D0A" w:rsidRPr="00EA5420" w:rsidRDefault="00702D0A">
            <w:pPr>
              <w:spacing w:line="300" w:lineRule="auto"/>
              <w:jc w:val="center"/>
            </w:pPr>
          </w:p>
        </w:tc>
        <w:tc>
          <w:tcPr>
            <w:tcW w:w="816" w:type="dxa"/>
            <w:tcMar>
              <w:top w:w="90" w:type="dxa"/>
              <w:left w:w="120" w:type="dxa"/>
              <w:bottom w:w="90" w:type="dxa"/>
              <w:right w:w="120" w:type="dxa"/>
            </w:tcMar>
            <w:vAlign w:val="center"/>
          </w:tcPr>
          <w:p w14:paraId="1F470D9F" w14:textId="77777777" w:rsidR="00702D0A" w:rsidRPr="00EA5420" w:rsidRDefault="00702D0A">
            <w:pPr>
              <w:spacing w:line="300" w:lineRule="auto"/>
              <w:jc w:val="center"/>
            </w:pPr>
          </w:p>
        </w:tc>
        <w:tc>
          <w:tcPr>
            <w:tcW w:w="816" w:type="dxa"/>
            <w:tcMar>
              <w:top w:w="90" w:type="dxa"/>
              <w:left w:w="120" w:type="dxa"/>
              <w:bottom w:w="90" w:type="dxa"/>
              <w:right w:w="120" w:type="dxa"/>
            </w:tcMar>
            <w:vAlign w:val="center"/>
          </w:tcPr>
          <w:p w14:paraId="03E23FB8" w14:textId="77777777" w:rsidR="00702D0A" w:rsidRPr="00EA5420" w:rsidRDefault="00702D0A">
            <w:pPr>
              <w:spacing w:line="300" w:lineRule="auto"/>
              <w:jc w:val="center"/>
            </w:pPr>
          </w:p>
        </w:tc>
        <w:tc>
          <w:tcPr>
            <w:tcW w:w="816" w:type="dxa"/>
            <w:tcMar>
              <w:top w:w="90" w:type="dxa"/>
              <w:left w:w="120" w:type="dxa"/>
              <w:bottom w:w="90" w:type="dxa"/>
              <w:right w:w="120" w:type="dxa"/>
            </w:tcMar>
            <w:vAlign w:val="center"/>
          </w:tcPr>
          <w:p w14:paraId="19B316BD" w14:textId="77777777" w:rsidR="00702D0A" w:rsidRPr="00EA5420" w:rsidRDefault="00702D0A">
            <w:pPr>
              <w:spacing w:line="300" w:lineRule="auto"/>
              <w:jc w:val="center"/>
            </w:pPr>
          </w:p>
        </w:tc>
        <w:tc>
          <w:tcPr>
            <w:tcW w:w="818" w:type="dxa"/>
            <w:shd w:val="clear" w:color="auto" w:fill="7F7F7F"/>
            <w:tcMar>
              <w:top w:w="90" w:type="dxa"/>
              <w:left w:w="120" w:type="dxa"/>
              <w:bottom w:w="90" w:type="dxa"/>
              <w:right w:w="120" w:type="dxa"/>
            </w:tcMar>
            <w:vAlign w:val="center"/>
          </w:tcPr>
          <w:p w14:paraId="067C208A" w14:textId="77777777" w:rsidR="00702D0A" w:rsidRPr="00EA5420" w:rsidRDefault="00000000">
            <w:pPr>
              <w:spacing w:line="300" w:lineRule="auto"/>
              <w:jc w:val="center"/>
            </w:pPr>
            <w:r w:rsidRPr="00EA5420">
              <w:rPr>
                <w:color w:val="FFFFFF"/>
              </w:rPr>
              <w:t>■</w:t>
            </w:r>
          </w:p>
        </w:tc>
      </w:tr>
    </w:tbl>
    <w:p w14:paraId="039D67EB" w14:textId="77777777" w:rsidR="00702D0A" w:rsidRPr="00EA5420" w:rsidRDefault="00702D0A"/>
    <w:p w14:paraId="48A86522" w14:textId="4087FBB2" w:rsidR="00702D0A" w:rsidRPr="00EA5420" w:rsidRDefault="00000000" w:rsidP="00204F92">
      <w:pPr>
        <w:pStyle w:val="1"/>
        <w:spacing w:before="0"/>
      </w:pPr>
      <w:bookmarkStart w:id="25" w:name="_Toc234801887"/>
      <w:r w:rsidRPr="00EA5420">
        <w:t>Conclusion</w:t>
      </w:r>
      <w:bookmarkEnd w:id="25"/>
    </w:p>
    <w:p w14:paraId="7F3C9D1E" w14:textId="77777777" w:rsidR="00702D0A" w:rsidRPr="00EA5420" w:rsidRDefault="00000000" w:rsidP="00204F92">
      <w:pPr>
        <w:keepLines/>
      </w:pPr>
      <w:r w:rsidRPr="00EA5420">
        <w:t>This proposal outlines an exploratory qualitative single-case study of Digital HRM at Keep, focusing on digital learning, digital performance management, and digital communication, employee voice and engagement. Its interpretivist and constructionist position aligns with the purpose of understanding participants' meanings and experiences. As an external researcher with no private relationship with participants, the researcher has some independence but must deal transparently with limitations in access, insider knowledge and trust.</w:t>
      </w:r>
    </w:p>
    <w:p w14:paraId="53648AF2" w14:textId="2453E121" w:rsidR="00702D0A" w:rsidRPr="00EA5420" w:rsidRDefault="00000000" w:rsidP="00204F92">
      <w:pPr>
        <w:keepLines/>
        <w:rPr>
          <w:lang w:eastAsia="zh-CN"/>
        </w:rPr>
      </w:pPr>
      <w:r>
        <w:t>A purposive multi-role sample, clear case boundaries,</w:t>
      </w:r>
      <w:r w:rsidR="00204F92">
        <w:rPr>
          <w:rFonts w:eastAsia="宋体" w:hint="eastAsia"/>
          <w:lang w:eastAsia="zh-CN"/>
        </w:rPr>
        <w:t xml:space="preserve"> </w:t>
      </w:r>
      <w:r>
        <w:t>verbatim transcription, reflexive thematic analysis, a reflexive journal and an audit trail will support trustworthiness. The study will not measure objective performance or claim a universally effective solution. It will instead develop a cautious, context-sensitive understanding of Keep and explore improvements considered necessary by participants, while reporting access constraints,</w:t>
      </w:r>
      <w:r w:rsidR="00204F92">
        <w:rPr>
          <w:rFonts w:eastAsia="宋体" w:hint="eastAsia"/>
          <w:lang w:eastAsia="zh-CN"/>
        </w:rPr>
        <w:t xml:space="preserve"> and </w:t>
      </w:r>
      <w:r>
        <w:t>group composition</w:t>
      </w:r>
      <w:r w:rsidR="00204F92">
        <w:rPr>
          <w:rFonts w:ascii="宋体" w:eastAsia="宋体" w:hAnsi="宋体" w:cs="宋体" w:hint="eastAsia"/>
          <w:lang w:eastAsia="zh-CN"/>
        </w:rPr>
        <w:t>.</w:t>
      </w:r>
    </w:p>
    <w:p w14:paraId="53335A47" w14:textId="77777777" w:rsidR="00702D0A" w:rsidRPr="00EA5420" w:rsidRDefault="00000000">
      <w:pPr>
        <w:pStyle w:val="1"/>
        <w:pageBreakBefore/>
      </w:pPr>
      <w:bookmarkStart w:id="26" w:name="_Toc234801888"/>
      <w:r w:rsidRPr="00EA5420">
        <w:lastRenderedPageBreak/>
        <w:t>References</w:t>
      </w:r>
      <w:bookmarkEnd w:id="26"/>
    </w:p>
    <w:p w14:paraId="741B3300" w14:textId="77777777" w:rsidR="00702D0A" w:rsidRPr="00EA5420" w:rsidRDefault="00000000">
      <w:pPr>
        <w:pStyle w:val="Reference"/>
        <w:rPr>
          <w:lang w:val="en-GB"/>
        </w:rPr>
      </w:pPr>
      <w:proofErr w:type="spellStart"/>
      <w:r w:rsidRPr="00EA5420">
        <w:rPr>
          <w:lang w:val="en-GB"/>
        </w:rPr>
        <w:t>Angrave</w:t>
      </w:r>
      <w:proofErr w:type="spellEnd"/>
      <w:r w:rsidRPr="00EA5420">
        <w:rPr>
          <w:lang w:val="en-GB"/>
        </w:rPr>
        <w:t>, D., Charlwood, A., Kirkpatrick, I., Lawrence, M. and Stuart, M. (2016) 'HR and analytics: why HR is set to fail the big data challenge', Human Resource Management Journal, 26(1), pp. 1-11.</w:t>
      </w:r>
    </w:p>
    <w:p w14:paraId="528085B4" w14:textId="77777777" w:rsidR="00702D0A" w:rsidRPr="00EA5420" w:rsidRDefault="00000000">
      <w:pPr>
        <w:pStyle w:val="Reference"/>
        <w:rPr>
          <w:lang w:val="en-GB"/>
        </w:rPr>
      </w:pPr>
      <w:r w:rsidRPr="00EA5420">
        <w:rPr>
          <w:lang w:val="en-GB"/>
        </w:rPr>
        <w:t xml:space="preserve">Armstrong, M. and Taylor, S. (2023) Armstrong's Handbook of Human Resource Management Practice. 16th </w:t>
      </w:r>
      <w:proofErr w:type="spellStart"/>
      <w:r w:rsidRPr="00EA5420">
        <w:rPr>
          <w:lang w:val="en-GB"/>
        </w:rPr>
        <w:t>edn</w:t>
      </w:r>
      <w:proofErr w:type="spellEnd"/>
      <w:r w:rsidRPr="00EA5420">
        <w:rPr>
          <w:lang w:val="en-GB"/>
        </w:rPr>
        <w:t>. London: Kogan Page.</w:t>
      </w:r>
    </w:p>
    <w:p w14:paraId="27962A3A" w14:textId="77777777" w:rsidR="00702D0A" w:rsidRPr="00EA5420" w:rsidRDefault="00000000">
      <w:pPr>
        <w:pStyle w:val="Reference"/>
        <w:rPr>
          <w:lang w:val="en-GB"/>
        </w:rPr>
      </w:pPr>
      <w:r w:rsidRPr="00EA5420">
        <w:rPr>
          <w:lang w:val="en-GB"/>
        </w:rPr>
        <w:t>Barney, J. (1991) 'Firm resources and sustained competitive advantage', Journal of Management, 17(1), pp. 99-120.</w:t>
      </w:r>
    </w:p>
    <w:p w14:paraId="46DEB2C2" w14:textId="77777777" w:rsidR="00702D0A" w:rsidRPr="00EA5420" w:rsidRDefault="00000000">
      <w:pPr>
        <w:pStyle w:val="Reference"/>
        <w:rPr>
          <w:lang w:val="en-GB"/>
        </w:rPr>
      </w:pPr>
      <w:r w:rsidRPr="00EA5420">
        <w:rPr>
          <w:lang w:val="en-GB"/>
        </w:rPr>
        <w:t xml:space="preserve">Bickman, L. and Rog, D.J. (2009) The SAGE Handbook of Applied Social Research Methods. 2nd </w:t>
      </w:r>
      <w:proofErr w:type="spellStart"/>
      <w:r w:rsidRPr="00EA5420">
        <w:rPr>
          <w:lang w:val="en-GB"/>
        </w:rPr>
        <w:t>edn</w:t>
      </w:r>
      <w:proofErr w:type="spellEnd"/>
      <w:r w:rsidRPr="00EA5420">
        <w:rPr>
          <w:lang w:val="en-GB"/>
        </w:rPr>
        <w:t>. London: SAGE.</w:t>
      </w:r>
    </w:p>
    <w:p w14:paraId="687CA573" w14:textId="77777777" w:rsidR="00702D0A" w:rsidRPr="00EA5420" w:rsidRDefault="00000000">
      <w:pPr>
        <w:pStyle w:val="Reference"/>
        <w:rPr>
          <w:lang w:val="en-GB"/>
        </w:rPr>
      </w:pPr>
      <w:r w:rsidRPr="00EA5420">
        <w:rPr>
          <w:lang w:val="en-GB"/>
        </w:rPr>
        <w:t>Bondarouk, T. and Brewster, C. (2016) 'Conceptualising the future of HRM and technology research', The International Journal of Human Resource Management, 27(21), pp. 2652-2671.</w:t>
      </w:r>
    </w:p>
    <w:p w14:paraId="10E418FA" w14:textId="77777777" w:rsidR="00702D0A" w:rsidRPr="00EA5420" w:rsidRDefault="00000000">
      <w:pPr>
        <w:pStyle w:val="Reference"/>
        <w:rPr>
          <w:lang w:val="en-GB"/>
        </w:rPr>
      </w:pPr>
      <w:r w:rsidRPr="00EA5420">
        <w:rPr>
          <w:lang w:val="en-GB"/>
        </w:rPr>
        <w:t xml:space="preserve">Bondarouk, T. and </w:t>
      </w:r>
      <w:proofErr w:type="spellStart"/>
      <w:r w:rsidRPr="00EA5420">
        <w:rPr>
          <w:lang w:val="en-GB"/>
        </w:rPr>
        <w:t>Ruël</w:t>
      </w:r>
      <w:proofErr w:type="spellEnd"/>
      <w:r w:rsidRPr="00EA5420">
        <w:rPr>
          <w:lang w:val="en-GB"/>
        </w:rPr>
        <w:t>, H. (2009) 'Electronic human resource management: challenges in the digital era', The International Journal of Human Resource Management, 20(3), pp. 505-514.</w:t>
      </w:r>
    </w:p>
    <w:p w14:paraId="199EED63" w14:textId="77777777" w:rsidR="00702D0A" w:rsidRPr="00EA5420" w:rsidRDefault="00000000">
      <w:pPr>
        <w:pStyle w:val="Reference"/>
        <w:rPr>
          <w:lang w:val="en-GB"/>
        </w:rPr>
      </w:pPr>
      <w:r w:rsidRPr="00EA5420">
        <w:rPr>
          <w:lang w:val="en-GB"/>
        </w:rPr>
        <w:t xml:space="preserve">Boxall, P. and Purcell, J. (2022) Strategy and Human Resource Management. 5th </w:t>
      </w:r>
      <w:proofErr w:type="spellStart"/>
      <w:r w:rsidRPr="00EA5420">
        <w:rPr>
          <w:lang w:val="en-GB"/>
        </w:rPr>
        <w:t>edn</w:t>
      </w:r>
      <w:proofErr w:type="spellEnd"/>
      <w:r w:rsidRPr="00EA5420">
        <w:rPr>
          <w:lang w:val="en-GB"/>
        </w:rPr>
        <w:t>. London: Bloomsbury Academic.</w:t>
      </w:r>
    </w:p>
    <w:p w14:paraId="0105BC25" w14:textId="77777777" w:rsidR="00702D0A" w:rsidRPr="00EA5420" w:rsidRDefault="00000000">
      <w:pPr>
        <w:pStyle w:val="Reference"/>
        <w:rPr>
          <w:lang w:val="en-GB"/>
        </w:rPr>
      </w:pPr>
      <w:r w:rsidRPr="00EA5420">
        <w:rPr>
          <w:lang w:val="en-GB"/>
        </w:rPr>
        <w:t>Braun, V. and Clarke, V. (2006) 'Using thematic analysis in psychology', Qualitative Research in Psychology, 3(2), pp. 77-101.</w:t>
      </w:r>
    </w:p>
    <w:p w14:paraId="540F8E5D" w14:textId="77777777" w:rsidR="00702D0A" w:rsidRPr="00EA5420" w:rsidRDefault="00000000">
      <w:pPr>
        <w:pStyle w:val="Reference"/>
        <w:rPr>
          <w:lang w:val="en-GB"/>
        </w:rPr>
      </w:pPr>
      <w:r w:rsidRPr="00EA5420">
        <w:rPr>
          <w:lang w:val="en-GB"/>
        </w:rPr>
        <w:t>Braun, V. and Clarke, V. (2021) Thematic Analysis: A Practical Guide. London: SAGE.</w:t>
      </w:r>
    </w:p>
    <w:p w14:paraId="73D56518" w14:textId="77777777" w:rsidR="00702D0A" w:rsidRPr="00EA5420" w:rsidRDefault="00000000">
      <w:pPr>
        <w:pStyle w:val="Reference"/>
        <w:rPr>
          <w:lang w:val="en-GB"/>
        </w:rPr>
      </w:pPr>
      <w:r w:rsidRPr="00EA5420">
        <w:rPr>
          <w:lang w:val="en-GB"/>
        </w:rPr>
        <w:t xml:space="preserve">Bryman, A. (2016) Social Research Methods. 5th </w:t>
      </w:r>
      <w:proofErr w:type="spellStart"/>
      <w:r w:rsidRPr="00EA5420">
        <w:rPr>
          <w:lang w:val="en-GB"/>
        </w:rPr>
        <w:t>edn</w:t>
      </w:r>
      <w:proofErr w:type="spellEnd"/>
      <w:r w:rsidRPr="00EA5420">
        <w:rPr>
          <w:lang w:val="en-GB"/>
        </w:rPr>
        <w:t>. Oxford: Oxford University Press.</w:t>
      </w:r>
    </w:p>
    <w:p w14:paraId="5C9430D2" w14:textId="77777777" w:rsidR="00702D0A" w:rsidRPr="00EA5420" w:rsidRDefault="00000000">
      <w:pPr>
        <w:pStyle w:val="Reference"/>
        <w:rPr>
          <w:lang w:val="en-GB"/>
        </w:rPr>
      </w:pPr>
      <w:r w:rsidRPr="00EA5420">
        <w:rPr>
          <w:lang w:val="en-GB"/>
        </w:rPr>
        <w:t xml:space="preserve">Cascio, W.F. and Montealegre, R. (2016) 'How technology is changing work and organizations', Annual Review of Organizational Psychology and Organizational </w:t>
      </w:r>
      <w:proofErr w:type="spellStart"/>
      <w:r w:rsidRPr="00EA5420">
        <w:rPr>
          <w:lang w:val="en-GB"/>
        </w:rPr>
        <w:t>Behavior</w:t>
      </w:r>
      <w:proofErr w:type="spellEnd"/>
      <w:r w:rsidRPr="00EA5420">
        <w:rPr>
          <w:lang w:val="en-GB"/>
        </w:rPr>
        <w:t>, 3, pp. 349-375.</w:t>
      </w:r>
    </w:p>
    <w:p w14:paraId="3C21BFBB" w14:textId="77777777" w:rsidR="00702D0A" w:rsidRPr="00EA5420" w:rsidRDefault="00000000">
      <w:pPr>
        <w:pStyle w:val="Reference"/>
        <w:rPr>
          <w:lang w:val="en-GB"/>
        </w:rPr>
      </w:pPr>
      <w:r w:rsidRPr="00EA5420">
        <w:rPr>
          <w:lang w:val="en-GB"/>
        </w:rPr>
        <w:lastRenderedPageBreak/>
        <w:t xml:space="preserve">Charlwood, A. and </w:t>
      </w:r>
      <w:proofErr w:type="spellStart"/>
      <w:r w:rsidRPr="00EA5420">
        <w:rPr>
          <w:lang w:val="en-GB"/>
        </w:rPr>
        <w:t>Guenole</w:t>
      </w:r>
      <w:proofErr w:type="spellEnd"/>
      <w:r w:rsidRPr="00EA5420">
        <w:rPr>
          <w:lang w:val="en-GB"/>
        </w:rPr>
        <w:t>, N. (2022) 'Can HR adapt to the paradoxes of artificial intelligence?', Human Resource Management Journal, 32(4), pp. 729-742.</w:t>
      </w:r>
    </w:p>
    <w:p w14:paraId="75C541CC" w14:textId="77777777" w:rsidR="00702D0A" w:rsidRPr="00EA5420" w:rsidRDefault="00000000">
      <w:pPr>
        <w:pStyle w:val="Reference"/>
        <w:rPr>
          <w:lang w:val="en-GB"/>
        </w:rPr>
      </w:pPr>
      <w:r w:rsidRPr="00EA5420">
        <w:rPr>
          <w:lang w:val="en-GB"/>
        </w:rPr>
        <w:t>Chartered Institute of Personnel and Development (2025) People profession key to helping organisations adopt AI sustainably and responsibly in an uncertain labour market. Available at: https://www.cipd.org/uk/ (Accessed: 29 June 2026).</w:t>
      </w:r>
    </w:p>
    <w:p w14:paraId="2B7A1949" w14:textId="77777777" w:rsidR="00702D0A" w:rsidRPr="00EA5420" w:rsidRDefault="00000000">
      <w:pPr>
        <w:pStyle w:val="Reference"/>
        <w:rPr>
          <w:lang w:val="en-GB"/>
        </w:rPr>
      </w:pPr>
      <w:r w:rsidRPr="00EA5420">
        <w:rPr>
          <w:lang w:val="en-GB"/>
        </w:rPr>
        <w:t>Chartered Institute of Personnel and Development (2026a) AI and technology. Available at: https://www.cipd.org/uk/knowledge/factsheets/emerging-future-work-factsheet/ (Accessed: 29 June 2026).</w:t>
      </w:r>
    </w:p>
    <w:p w14:paraId="0628C7D6" w14:textId="77777777" w:rsidR="00702D0A" w:rsidRPr="00EA5420" w:rsidRDefault="00000000">
      <w:pPr>
        <w:pStyle w:val="Reference"/>
        <w:rPr>
          <w:lang w:val="en-GB"/>
        </w:rPr>
      </w:pPr>
      <w:r w:rsidRPr="00EA5420">
        <w:rPr>
          <w:lang w:val="en-GB"/>
        </w:rPr>
        <w:t>Chartered Institute of Personnel and Development (2026b) Futureproofing your skills: AI is changing how HR skills are applied. Available at: https://www.cipd.org/uk/ (Accessed: 29 June 2026).</w:t>
      </w:r>
    </w:p>
    <w:p w14:paraId="658706B3" w14:textId="77777777" w:rsidR="00702D0A" w:rsidRPr="00EA5420" w:rsidRDefault="00000000">
      <w:pPr>
        <w:pStyle w:val="Reference"/>
        <w:rPr>
          <w:lang w:val="en-GB"/>
        </w:rPr>
      </w:pPr>
      <w:r w:rsidRPr="00EA5420">
        <w:rPr>
          <w:lang w:val="en-GB"/>
        </w:rPr>
        <w:t>Chartered Institute of Personnel and Development (2026c) AI rollout ideas for people professionals. Available at: https://www.cipd.org/uk/ (Accessed: 29 June 2026).</w:t>
      </w:r>
    </w:p>
    <w:p w14:paraId="0818F672" w14:textId="77777777" w:rsidR="00702D0A" w:rsidRPr="00EA5420" w:rsidRDefault="00000000">
      <w:pPr>
        <w:pStyle w:val="Reference"/>
        <w:rPr>
          <w:lang w:val="en-GB"/>
        </w:rPr>
      </w:pPr>
      <w:r w:rsidRPr="00EA5420">
        <w:rPr>
          <w:lang w:val="en-GB"/>
        </w:rPr>
        <w:t xml:space="preserve">Creswell, J.W. and Creswell, J.D. (2018) Research Design: Qualitative, Quantitative, and Mixed Methods Approaches. 5th </w:t>
      </w:r>
      <w:proofErr w:type="spellStart"/>
      <w:r w:rsidRPr="00EA5420">
        <w:rPr>
          <w:lang w:val="en-GB"/>
        </w:rPr>
        <w:t>edn</w:t>
      </w:r>
      <w:proofErr w:type="spellEnd"/>
      <w:r w:rsidRPr="00EA5420">
        <w:rPr>
          <w:lang w:val="en-GB"/>
        </w:rPr>
        <w:t>. London: SAGE.</w:t>
      </w:r>
    </w:p>
    <w:p w14:paraId="40B318BB" w14:textId="77777777" w:rsidR="00702D0A" w:rsidRPr="00EA5420" w:rsidRDefault="00000000">
      <w:pPr>
        <w:pStyle w:val="Reference"/>
        <w:rPr>
          <w:lang w:val="en-GB"/>
        </w:rPr>
      </w:pPr>
      <w:r w:rsidRPr="00EA5420">
        <w:rPr>
          <w:lang w:val="en-GB"/>
        </w:rPr>
        <w:t>Davis, F.D. (1989) 'Perceived usefulness, perceived ease of use, and user acceptance of information technology', MIS Quarterly, 13(3), pp. 319-340.</w:t>
      </w:r>
    </w:p>
    <w:p w14:paraId="31C882F2" w14:textId="77777777" w:rsidR="00702D0A" w:rsidRPr="00EA5420" w:rsidRDefault="00000000">
      <w:pPr>
        <w:pStyle w:val="Reference"/>
        <w:rPr>
          <w:lang w:val="en-GB"/>
        </w:rPr>
      </w:pPr>
      <w:r w:rsidRPr="00EA5420">
        <w:rPr>
          <w:lang w:val="en-GB"/>
        </w:rPr>
        <w:t>Deci, E.L. and Ryan, R.M. (2000) '</w:t>
      </w:r>
      <w:proofErr w:type="gramStart"/>
      <w:r w:rsidRPr="00EA5420">
        <w:rPr>
          <w:lang w:val="en-GB"/>
        </w:rPr>
        <w:t>The what</w:t>
      </w:r>
      <w:proofErr w:type="gramEnd"/>
      <w:r w:rsidRPr="00EA5420">
        <w:rPr>
          <w:lang w:val="en-GB"/>
        </w:rPr>
        <w:t xml:space="preserve"> and why of goal pursuits: human needs and the self-determination of </w:t>
      </w:r>
      <w:proofErr w:type="spellStart"/>
      <w:r w:rsidRPr="00EA5420">
        <w:rPr>
          <w:lang w:val="en-GB"/>
        </w:rPr>
        <w:t>behavior</w:t>
      </w:r>
      <w:proofErr w:type="spellEnd"/>
      <w:r w:rsidRPr="00EA5420">
        <w:rPr>
          <w:lang w:val="en-GB"/>
        </w:rPr>
        <w:t>', Psychological Inquiry, 11(4), pp. 227-268.</w:t>
      </w:r>
    </w:p>
    <w:p w14:paraId="74543C8D" w14:textId="77777777" w:rsidR="00702D0A" w:rsidRPr="00EA5420" w:rsidRDefault="00000000">
      <w:pPr>
        <w:pStyle w:val="Reference"/>
        <w:rPr>
          <w:lang w:val="en-GB"/>
        </w:rPr>
      </w:pPr>
      <w:r w:rsidRPr="00EA5420">
        <w:rPr>
          <w:lang w:val="en-GB"/>
        </w:rPr>
        <w:t>Deloitte (2025a) 2025 Global Human Capital Trends. Available at: https://www.deloitte.com/ (Accessed: 29 June 2026).</w:t>
      </w:r>
    </w:p>
    <w:p w14:paraId="5EA3E7BB" w14:textId="77777777" w:rsidR="00702D0A" w:rsidRPr="00EA5420" w:rsidRDefault="00000000">
      <w:pPr>
        <w:pStyle w:val="Reference"/>
        <w:rPr>
          <w:lang w:val="en-GB"/>
        </w:rPr>
      </w:pPr>
      <w:r w:rsidRPr="00EA5420">
        <w:rPr>
          <w:lang w:val="en-GB"/>
        </w:rPr>
        <w:t>Deloitte (2025b) HR Reimagined: Generative AI and the future of HR. Available at: https://www.deloitte.com/ (Accessed: 29 June 2026).</w:t>
      </w:r>
    </w:p>
    <w:p w14:paraId="50FDCA2C" w14:textId="77777777" w:rsidR="00702D0A" w:rsidRPr="00EA5420" w:rsidRDefault="00000000">
      <w:pPr>
        <w:pStyle w:val="Reference"/>
        <w:rPr>
          <w:lang w:val="en-GB"/>
        </w:rPr>
      </w:pPr>
      <w:r w:rsidRPr="00EA5420">
        <w:rPr>
          <w:lang w:val="en-GB"/>
        </w:rPr>
        <w:t>DeNisi, A.S. and Murphy, K.R. (2017) 'Performance appraisal and performance management: 100 years of progress?', Journal of Applied Psychology, 102(3), pp. 421-433.</w:t>
      </w:r>
    </w:p>
    <w:p w14:paraId="3341E0A3" w14:textId="77777777" w:rsidR="00702D0A" w:rsidRPr="00EA5420" w:rsidRDefault="00000000">
      <w:pPr>
        <w:pStyle w:val="Reference"/>
        <w:rPr>
          <w:lang w:val="en-GB"/>
        </w:rPr>
      </w:pPr>
      <w:r w:rsidRPr="00EA5420">
        <w:rPr>
          <w:lang w:val="en-GB"/>
        </w:rPr>
        <w:lastRenderedPageBreak/>
        <w:t xml:space="preserve">Edwards, M.R. and Edwards, K. (2019) Predictive HR Analytics: Mastering the HR Metric. 2nd </w:t>
      </w:r>
      <w:proofErr w:type="spellStart"/>
      <w:r w:rsidRPr="00EA5420">
        <w:rPr>
          <w:lang w:val="en-GB"/>
        </w:rPr>
        <w:t>edn</w:t>
      </w:r>
      <w:proofErr w:type="spellEnd"/>
      <w:r w:rsidRPr="00EA5420">
        <w:rPr>
          <w:lang w:val="en-GB"/>
        </w:rPr>
        <w:t>. London: Kogan Page.</w:t>
      </w:r>
    </w:p>
    <w:p w14:paraId="0153A137" w14:textId="77777777" w:rsidR="00702D0A" w:rsidRPr="00EA5420" w:rsidRDefault="00000000">
      <w:pPr>
        <w:pStyle w:val="Reference"/>
        <w:rPr>
          <w:lang w:val="en-GB"/>
        </w:rPr>
      </w:pPr>
      <w:r w:rsidRPr="00EA5420">
        <w:rPr>
          <w:lang w:val="en-GB"/>
        </w:rPr>
        <w:t>Gartner (2025) Top 5 Priorities for HR Leaders in 2025. Stamford: Gartner.</w:t>
      </w:r>
    </w:p>
    <w:p w14:paraId="005C5FD9" w14:textId="77777777" w:rsidR="00702D0A" w:rsidRPr="00EA5420" w:rsidRDefault="00000000">
      <w:pPr>
        <w:pStyle w:val="Reference"/>
        <w:rPr>
          <w:lang w:val="en-GB"/>
        </w:rPr>
      </w:pPr>
      <w:r w:rsidRPr="00EA5420">
        <w:rPr>
          <w:lang w:val="en-GB"/>
        </w:rPr>
        <w:t>Guest, D.E. (2017) 'Human resource management and employee well-being: towards a new analytic framework', Human Resource Management Journal, 27(1), pp. 22-38.</w:t>
      </w:r>
    </w:p>
    <w:p w14:paraId="72D5C965" w14:textId="77777777" w:rsidR="00702D0A" w:rsidRPr="00EA5420" w:rsidRDefault="00000000">
      <w:pPr>
        <w:pStyle w:val="Reference"/>
        <w:rPr>
          <w:lang w:val="en-GB"/>
        </w:rPr>
      </w:pPr>
      <w:r w:rsidRPr="00EA5420">
        <w:rPr>
          <w:lang w:val="en-GB"/>
        </w:rPr>
        <w:t xml:space="preserve">Holm, A.B. (2012) 'E-recruitment: towards </w:t>
      </w:r>
      <w:proofErr w:type="gramStart"/>
      <w:r w:rsidRPr="00EA5420">
        <w:rPr>
          <w:lang w:val="en-GB"/>
        </w:rPr>
        <w:t>an</w:t>
      </w:r>
      <w:proofErr w:type="gramEnd"/>
      <w:r w:rsidRPr="00EA5420">
        <w:rPr>
          <w:lang w:val="en-GB"/>
        </w:rPr>
        <w:t xml:space="preserve"> ubiquitous recruitment process and candidate relationship management', German Journal of Human Resource Management, 26(3), pp. 241-259.</w:t>
      </w:r>
    </w:p>
    <w:p w14:paraId="0E9C0A90" w14:textId="77777777" w:rsidR="00702D0A" w:rsidRPr="00EA5420" w:rsidRDefault="00000000">
      <w:pPr>
        <w:pStyle w:val="Reference"/>
        <w:rPr>
          <w:lang w:val="en-GB"/>
        </w:rPr>
      </w:pPr>
      <w:r w:rsidRPr="00EA5420">
        <w:rPr>
          <w:lang w:val="en-GB"/>
        </w:rPr>
        <w:t>International Labour Organization (2025) Generative AI and Jobs: A Refined Global Index of Occupational Exposure. Geneva: ILO. Available at: https://www.ilo.org/ (Accessed: 29 June 2026).</w:t>
      </w:r>
    </w:p>
    <w:p w14:paraId="134DDC74" w14:textId="77777777" w:rsidR="00702D0A" w:rsidRPr="00EA5420" w:rsidRDefault="00000000">
      <w:pPr>
        <w:pStyle w:val="Reference"/>
        <w:rPr>
          <w:lang w:val="en-GB"/>
        </w:rPr>
      </w:pPr>
      <w:r w:rsidRPr="00EA5420">
        <w:rPr>
          <w:lang w:val="en-GB"/>
        </w:rPr>
        <w:t>Kahn, W.A. (1990) 'Psychological conditions of personal engagement and disengagement at work', Academy of Management Journal, 33(4), pp. 692-724.</w:t>
      </w:r>
    </w:p>
    <w:p w14:paraId="2D0F1313" w14:textId="77777777" w:rsidR="00702D0A" w:rsidRPr="00EA5420" w:rsidRDefault="00000000">
      <w:pPr>
        <w:pStyle w:val="Reference"/>
        <w:rPr>
          <w:lang w:val="en-GB"/>
        </w:rPr>
      </w:pPr>
      <w:r w:rsidRPr="00EA5420">
        <w:rPr>
          <w:lang w:val="en-GB"/>
        </w:rPr>
        <w:t xml:space="preserve">Kavanagh, M.J. and Johnson, R.D. (2018) Human Resource Information Systems: Basics, Applications, and Future Directions. 4th </w:t>
      </w:r>
      <w:proofErr w:type="spellStart"/>
      <w:r w:rsidRPr="00EA5420">
        <w:rPr>
          <w:lang w:val="en-GB"/>
        </w:rPr>
        <w:t>edn</w:t>
      </w:r>
      <w:proofErr w:type="spellEnd"/>
      <w:r w:rsidRPr="00EA5420">
        <w:rPr>
          <w:lang w:val="en-GB"/>
        </w:rPr>
        <w:t>. London: SAGE.</w:t>
      </w:r>
    </w:p>
    <w:p w14:paraId="365B9DF0" w14:textId="77777777" w:rsidR="00702D0A" w:rsidRPr="00EA5420" w:rsidRDefault="00000000">
      <w:pPr>
        <w:pStyle w:val="Reference"/>
        <w:rPr>
          <w:lang w:val="en-GB"/>
        </w:rPr>
      </w:pPr>
      <w:r w:rsidRPr="00EA5420">
        <w:rPr>
          <w:lang w:val="en-GB"/>
        </w:rPr>
        <w:t>Keep Inc. (2025) Interim Results Announcement for the Six Months Ended 30 June 2025. Hong Kong: Keep Inc. Available at: https://ir.keep.com/ (Accessed: 29 June 2026).</w:t>
      </w:r>
    </w:p>
    <w:p w14:paraId="73C6D873" w14:textId="77777777" w:rsidR="00702D0A" w:rsidRPr="00EA5420" w:rsidRDefault="00000000">
      <w:pPr>
        <w:pStyle w:val="Reference"/>
        <w:rPr>
          <w:lang w:val="en-GB"/>
        </w:rPr>
      </w:pPr>
      <w:r w:rsidRPr="00EA5420">
        <w:rPr>
          <w:lang w:val="en-GB"/>
        </w:rPr>
        <w:t>Keep Inc. (2026a) Annual Results Announcement for the Year Ended 31 December 2025. Hong Kong: Keep Inc. Available at: https://www.hkexnews.hk/ (Accessed: 29 June 2026).</w:t>
      </w:r>
    </w:p>
    <w:p w14:paraId="2E6AB2EF" w14:textId="77777777" w:rsidR="00702D0A" w:rsidRPr="00EA5420" w:rsidRDefault="00000000">
      <w:pPr>
        <w:pStyle w:val="Reference"/>
        <w:rPr>
          <w:lang w:val="en-GB"/>
        </w:rPr>
      </w:pPr>
      <w:r w:rsidRPr="00EA5420">
        <w:rPr>
          <w:lang w:val="en-GB"/>
        </w:rPr>
        <w:t>Keep Inc. (2026b) Investor Relations: Financial Reports. Available at: https://ir.keep.com/en/index.php (Accessed: 29 June 2026).</w:t>
      </w:r>
    </w:p>
    <w:p w14:paraId="4E5F37BE" w14:textId="77777777" w:rsidR="00702D0A" w:rsidRPr="00EA5420" w:rsidRDefault="00000000">
      <w:pPr>
        <w:pStyle w:val="Reference"/>
        <w:rPr>
          <w:lang w:val="en-GB"/>
        </w:rPr>
      </w:pPr>
      <w:r w:rsidRPr="00EA5420">
        <w:rPr>
          <w:lang w:val="en-GB"/>
        </w:rPr>
        <w:t xml:space="preserve">Leavy, P. (2020) The Oxford Handbook of Qualitative Research. 2nd </w:t>
      </w:r>
      <w:proofErr w:type="spellStart"/>
      <w:r w:rsidRPr="00EA5420">
        <w:rPr>
          <w:lang w:val="en-GB"/>
        </w:rPr>
        <w:t>edn</w:t>
      </w:r>
      <w:proofErr w:type="spellEnd"/>
      <w:r w:rsidRPr="00EA5420">
        <w:rPr>
          <w:lang w:val="en-GB"/>
        </w:rPr>
        <w:t>. Oxford: Oxford University Press.</w:t>
      </w:r>
    </w:p>
    <w:p w14:paraId="35EA415A" w14:textId="77777777" w:rsidR="00702D0A" w:rsidRPr="00EA5420" w:rsidRDefault="00000000">
      <w:pPr>
        <w:pStyle w:val="Reference"/>
        <w:rPr>
          <w:lang w:val="en-GB"/>
        </w:rPr>
      </w:pPr>
      <w:r w:rsidRPr="00EA5420">
        <w:rPr>
          <w:lang w:val="en-GB"/>
        </w:rPr>
        <w:lastRenderedPageBreak/>
        <w:t>Lepak, D.P. and Snell, S.A. (1999) 'The human resource architecture: toward a theory of human capital allocation and development', Academy of Management Review, 24(1), pp. 31-48.</w:t>
      </w:r>
    </w:p>
    <w:p w14:paraId="76D9DE8D" w14:textId="77777777" w:rsidR="00702D0A" w:rsidRPr="00EA5420" w:rsidRDefault="00000000">
      <w:pPr>
        <w:pStyle w:val="Reference"/>
        <w:rPr>
          <w:lang w:val="en-GB"/>
        </w:rPr>
      </w:pPr>
      <w:r w:rsidRPr="00EA5420">
        <w:rPr>
          <w:lang w:val="en-GB"/>
        </w:rPr>
        <w:t>LinkedIn Learning (2025) Workplace Learning Report 2025. Available at: https://business.linkedin.com/learn/ (Accessed: 29 June 2026).</w:t>
      </w:r>
    </w:p>
    <w:p w14:paraId="0D3679CD" w14:textId="77777777" w:rsidR="00702D0A" w:rsidRPr="00EA5420" w:rsidRDefault="00000000">
      <w:pPr>
        <w:pStyle w:val="Reference"/>
        <w:rPr>
          <w:lang w:val="en-GB"/>
        </w:rPr>
      </w:pPr>
      <w:r>
        <w:rPr>
          <w:lang w:val="en-GB"/>
        </w:rPr>
        <w:t>Malterud, K., Siersma, V.D. and Guassora, A.D. (2016) 'Sample size in qualitative interview studies: guided by information power', Qualitative Health Research, 26(13), pp. 1753-1760. doi: 10.1177/1049732315617444.</w:t>
      </w:r>
    </w:p>
    <w:p w14:paraId="1F3BC4A8" w14:textId="77777777" w:rsidR="00702D0A" w:rsidRPr="00EA5420" w:rsidRDefault="00000000">
      <w:pPr>
        <w:pStyle w:val="Reference"/>
        <w:rPr>
          <w:lang w:val="en-GB"/>
        </w:rPr>
      </w:pPr>
      <w:r w:rsidRPr="00EA5420">
        <w:rPr>
          <w:lang w:val="en-GB"/>
        </w:rPr>
        <w:t>Marler, J.H. and Boudreau, J.W. (2017) 'An evidence-based review of HR analytics', The International Journal of Human Resource Management, 28(1), pp. 3-26.</w:t>
      </w:r>
    </w:p>
    <w:p w14:paraId="52F41734" w14:textId="77777777" w:rsidR="00702D0A" w:rsidRPr="00EA5420" w:rsidRDefault="00000000">
      <w:pPr>
        <w:pStyle w:val="Reference"/>
        <w:rPr>
          <w:lang w:val="en-GB"/>
        </w:rPr>
      </w:pPr>
      <w:r w:rsidRPr="00EA5420">
        <w:rPr>
          <w:lang w:val="en-GB"/>
        </w:rPr>
        <w:t>Marler, J.H. and Fisher, S.L. (2013) 'An evidence-based review of e-HRM and strategic human resource management', Human Resource Management Review, 23(1), pp. 18-36.</w:t>
      </w:r>
    </w:p>
    <w:p w14:paraId="792B0C3D" w14:textId="77777777" w:rsidR="00702D0A" w:rsidRPr="00EA5420" w:rsidRDefault="00000000">
      <w:pPr>
        <w:pStyle w:val="Reference"/>
        <w:rPr>
          <w:lang w:val="en-GB"/>
        </w:rPr>
      </w:pPr>
      <w:r w:rsidRPr="00EA5420">
        <w:rPr>
          <w:lang w:val="en-GB"/>
        </w:rPr>
        <w:t>McKinsey &amp; Company (2025) The State of AI: How Organisations Are Rewiring to Capture Value. Available at: https://www.mckinsey.com/ (Accessed: 29 June 2026).</w:t>
      </w:r>
    </w:p>
    <w:p w14:paraId="03818503" w14:textId="77777777" w:rsidR="00702D0A" w:rsidRPr="00EA5420" w:rsidRDefault="00000000">
      <w:pPr>
        <w:pStyle w:val="Reference"/>
        <w:rPr>
          <w:lang w:val="en-GB"/>
        </w:rPr>
      </w:pPr>
      <w:r w:rsidRPr="00EA5420">
        <w:rPr>
          <w:lang w:val="en-GB"/>
        </w:rPr>
        <w:t>Microsoft (2025) 2025 Work Trend Index Annual Report. Available at: https://news.microsoft.com/ (Accessed: 29 June 2026).</w:t>
      </w:r>
    </w:p>
    <w:p w14:paraId="1AD87984" w14:textId="77777777" w:rsidR="00702D0A" w:rsidRPr="00EA5420" w:rsidRDefault="00000000">
      <w:pPr>
        <w:pStyle w:val="Reference"/>
        <w:rPr>
          <w:lang w:val="en-GB"/>
        </w:rPr>
      </w:pPr>
      <w:r w:rsidRPr="00EA5420">
        <w:rPr>
          <w:lang w:val="en-GB"/>
        </w:rPr>
        <w:t>Minbaeva, D. (2018) 'Building credible human capital analytics for organisational competitive advantage', Human Resource Management, 57(3), pp. 701-713.</w:t>
      </w:r>
    </w:p>
    <w:p w14:paraId="7DBA83FB" w14:textId="77777777" w:rsidR="00702D0A" w:rsidRPr="00EA5420" w:rsidRDefault="00000000">
      <w:pPr>
        <w:pStyle w:val="Reference"/>
        <w:rPr>
          <w:lang w:val="en-GB"/>
        </w:rPr>
      </w:pPr>
      <w:r w:rsidRPr="00EA5420">
        <w:rPr>
          <w:lang w:val="en-GB"/>
        </w:rPr>
        <w:t>Nowell, L.S., Norris, J.M., White, D.E. and Moules, N.J. (2017) 'Thematic analysis: striving to meet the trustworthiness criteria', International Journal of Qualitative Methods, 16(1), pp. 1-13.</w:t>
      </w:r>
    </w:p>
    <w:p w14:paraId="77663BE0" w14:textId="77777777" w:rsidR="00702D0A" w:rsidRPr="00EA5420" w:rsidRDefault="00000000">
      <w:pPr>
        <w:pStyle w:val="Reference"/>
        <w:rPr>
          <w:lang w:val="en-GB"/>
        </w:rPr>
      </w:pPr>
      <w:r w:rsidRPr="00EA5420">
        <w:rPr>
          <w:lang w:val="en-GB"/>
        </w:rPr>
        <w:t>OECD (2025a) Generative AI and the SME Workforce. Paris: OECD Publishing. Available at: https://www.oecd.org/ (Accessed: 29 June 2026).</w:t>
      </w:r>
    </w:p>
    <w:p w14:paraId="2813FEC8" w14:textId="77777777" w:rsidR="00702D0A" w:rsidRPr="00EA5420" w:rsidRDefault="00000000">
      <w:pPr>
        <w:pStyle w:val="Reference"/>
        <w:rPr>
          <w:lang w:val="en-GB"/>
        </w:rPr>
      </w:pPr>
      <w:r w:rsidRPr="00EA5420">
        <w:rPr>
          <w:lang w:val="en-GB"/>
        </w:rPr>
        <w:t>OECD (2025b) OECD Skills Outlook 2025. Paris: OECD Publishing. Available at: https://www.oecd.org/ (Accessed: 29 June 2026).</w:t>
      </w:r>
    </w:p>
    <w:p w14:paraId="2222029E" w14:textId="77777777" w:rsidR="00702D0A" w:rsidRPr="00EA5420" w:rsidRDefault="00000000">
      <w:pPr>
        <w:pStyle w:val="Reference"/>
        <w:rPr>
          <w:lang w:val="en-GB"/>
        </w:rPr>
      </w:pPr>
      <w:r w:rsidRPr="00EA5420">
        <w:rPr>
          <w:lang w:val="en-GB"/>
        </w:rPr>
        <w:lastRenderedPageBreak/>
        <w:t>Parry, E. and Tyson, S. (2011) 'Desired goals and actual outcomes of e-HRM', Human Resource Management Journal, 21(3), pp. 335-354.</w:t>
      </w:r>
    </w:p>
    <w:p w14:paraId="0DCB3793" w14:textId="77777777" w:rsidR="00702D0A" w:rsidRPr="00EA5420" w:rsidRDefault="00000000">
      <w:pPr>
        <w:pStyle w:val="Reference"/>
        <w:rPr>
          <w:lang w:val="en-GB"/>
        </w:rPr>
      </w:pPr>
      <w:proofErr w:type="spellStart"/>
      <w:r w:rsidRPr="00EA5420">
        <w:rPr>
          <w:lang w:val="en-GB"/>
        </w:rPr>
        <w:t>Ruël</w:t>
      </w:r>
      <w:proofErr w:type="spellEnd"/>
      <w:r w:rsidRPr="00EA5420">
        <w:rPr>
          <w:lang w:val="en-GB"/>
        </w:rPr>
        <w:t xml:space="preserve">, H., Bondarouk, T. and </w:t>
      </w:r>
      <w:proofErr w:type="spellStart"/>
      <w:r w:rsidRPr="00EA5420">
        <w:rPr>
          <w:lang w:val="en-GB"/>
        </w:rPr>
        <w:t>Looise</w:t>
      </w:r>
      <w:proofErr w:type="spellEnd"/>
      <w:r w:rsidRPr="00EA5420">
        <w:rPr>
          <w:lang w:val="en-GB"/>
        </w:rPr>
        <w:t>, J.K. (2004) 'E-HRM: innovation or irritation? An explorative empirical study in five large companies on web-based HRM', Management Revue, 15(3), pp. 364-380.</w:t>
      </w:r>
    </w:p>
    <w:p w14:paraId="481FC384" w14:textId="77777777" w:rsidR="00702D0A" w:rsidRPr="00EA5420" w:rsidRDefault="00000000">
      <w:pPr>
        <w:pStyle w:val="Reference"/>
        <w:rPr>
          <w:lang w:val="en-GB"/>
        </w:rPr>
      </w:pPr>
      <w:r w:rsidRPr="00EA5420">
        <w:rPr>
          <w:lang w:val="en-GB"/>
        </w:rPr>
        <w:t>Saks, A.M. (2006) 'Antecedents and consequences of employee engagement', Journal of Managerial Psychology, 21(7), pp. 600-619.</w:t>
      </w:r>
    </w:p>
    <w:p w14:paraId="059C72E0" w14:textId="77777777" w:rsidR="00702D0A" w:rsidRPr="00EA5420" w:rsidRDefault="00000000">
      <w:pPr>
        <w:pStyle w:val="Reference"/>
        <w:rPr>
          <w:lang w:val="en-GB"/>
        </w:rPr>
      </w:pPr>
      <w:r w:rsidRPr="00EA5420">
        <w:rPr>
          <w:lang w:val="en-GB"/>
        </w:rPr>
        <w:t xml:space="preserve">Saunders, M., Lewis, P. and Thornhill, A. (2019) Research Methods for Business Students. 8th </w:t>
      </w:r>
      <w:proofErr w:type="spellStart"/>
      <w:r w:rsidRPr="00EA5420">
        <w:rPr>
          <w:lang w:val="en-GB"/>
        </w:rPr>
        <w:t>edn</w:t>
      </w:r>
      <w:proofErr w:type="spellEnd"/>
      <w:r w:rsidRPr="00EA5420">
        <w:rPr>
          <w:lang w:val="en-GB"/>
        </w:rPr>
        <w:t>. Harlow: Pearson.</w:t>
      </w:r>
    </w:p>
    <w:p w14:paraId="5DEFBFA2" w14:textId="77777777" w:rsidR="00702D0A" w:rsidRPr="00EA5420" w:rsidRDefault="00000000">
      <w:pPr>
        <w:pStyle w:val="Reference"/>
        <w:rPr>
          <w:lang w:val="en-GB"/>
        </w:rPr>
      </w:pPr>
      <w:r w:rsidRPr="00EA5420">
        <w:rPr>
          <w:lang w:val="en-GB"/>
        </w:rPr>
        <w:t>Schaufeli, W.B., Salanova, M., González-</w:t>
      </w:r>
      <w:proofErr w:type="spellStart"/>
      <w:r w:rsidRPr="00EA5420">
        <w:rPr>
          <w:lang w:val="en-GB"/>
        </w:rPr>
        <w:t>Romá</w:t>
      </w:r>
      <w:proofErr w:type="spellEnd"/>
      <w:r w:rsidRPr="00EA5420">
        <w:rPr>
          <w:lang w:val="en-GB"/>
        </w:rPr>
        <w:t xml:space="preserve">, V. and Bakker, A.B. (2002) 'The measurement of engagement and burnout: a </w:t>
      </w:r>
      <w:proofErr w:type="gramStart"/>
      <w:r w:rsidRPr="00EA5420">
        <w:rPr>
          <w:lang w:val="en-GB"/>
        </w:rPr>
        <w:t>two sample</w:t>
      </w:r>
      <w:proofErr w:type="gramEnd"/>
      <w:r w:rsidRPr="00EA5420">
        <w:rPr>
          <w:lang w:val="en-GB"/>
        </w:rPr>
        <w:t xml:space="preserve"> confirmatory factor analytic approach', Journal of Happiness Studies, 3(1), pp. 71-92.</w:t>
      </w:r>
    </w:p>
    <w:p w14:paraId="519795E6" w14:textId="77777777" w:rsidR="00702D0A" w:rsidRPr="00EA5420" w:rsidRDefault="00000000">
      <w:pPr>
        <w:pStyle w:val="Reference"/>
        <w:rPr>
          <w:lang w:val="en-GB"/>
        </w:rPr>
      </w:pPr>
      <w:r w:rsidRPr="00EA5420">
        <w:rPr>
          <w:lang w:val="en-GB"/>
        </w:rPr>
        <w:t>Stanford Institute for Human-</w:t>
      </w:r>
      <w:proofErr w:type="spellStart"/>
      <w:r w:rsidRPr="00EA5420">
        <w:rPr>
          <w:lang w:val="en-GB"/>
        </w:rPr>
        <w:t>Centered</w:t>
      </w:r>
      <w:proofErr w:type="spellEnd"/>
      <w:r w:rsidRPr="00EA5420">
        <w:rPr>
          <w:lang w:val="en-GB"/>
        </w:rPr>
        <w:t xml:space="preserve"> Artificial Intelligence (2026) Artificial Intelligence Index Report 2026. Stanford: Stanford University. Available at: https://aiindex.stanford.edu/ (Accessed: 29 June 2026).</w:t>
      </w:r>
    </w:p>
    <w:p w14:paraId="3F5E6F8C" w14:textId="77777777" w:rsidR="00702D0A" w:rsidRPr="00EA5420" w:rsidRDefault="00000000">
      <w:pPr>
        <w:pStyle w:val="Reference"/>
        <w:rPr>
          <w:lang w:val="en-GB"/>
        </w:rPr>
      </w:pPr>
      <w:r w:rsidRPr="00EA5420">
        <w:rPr>
          <w:lang w:val="en-GB"/>
        </w:rPr>
        <w:t>Stone, D.L., Deadrick, D.L., Lukaszewski, K.M. and Johnson, R. (2015) 'The influence of technology on the future of human resource management', Human Resource Management Review, 25(2), pp. 216-231.</w:t>
      </w:r>
    </w:p>
    <w:p w14:paraId="24EA2348" w14:textId="77777777" w:rsidR="00702D0A" w:rsidRPr="00EA5420" w:rsidRDefault="00000000">
      <w:pPr>
        <w:pStyle w:val="Reference"/>
        <w:rPr>
          <w:lang w:val="en-GB"/>
        </w:rPr>
      </w:pPr>
      <w:r w:rsidRPr="00EA5420">
        <w:rPr>
          <w:lang w:val="en-GB"/>
        </w:rPr>
        <w:t>Strohmeier, S. (2007) 'Research in e-HRM: review and implications', Human Resource Management Review, 17(1), pp. 19-37.</w:t>
      </w:r>
    </w:p>
    <w:p w14:paraId="45583754" w14:textId="77777777" w:rsidR="00702D0A" w:rsidRPr="00EA5420" w:rsidRDefault="00000000">
      <w:pPr>
        <w:pStyle w:val="Reference"/>
        <w:rPr>
          <w:lang w:val="en-GB"/>
        </w:rPr>
      </w:pPr>
      <w:r w:rsidRPr="00EA5420">
        <w:rPr>
          <w:lang w:val="en-GB"/>
        </w:rPr>
        <w:t>Tambe, P., Cappelli, P. and Yakubovich, V. (2019) 'Artificial intelligence in human resources management: challenges and a path forward', California Management Review, 61(4), pp. 15-42.</w:t>
      </w:r>
    </w:p>
    <w:p w14:paraId="644F77DE" w14:textId="77777777" w:rsidR="00702D0A" w:rsidRPr="00EA5420" w:rsidRDefault="00000000">
      <w:pPr>
        <w:pStyle w:val="Reference"/>
        <w:rPr>
          <w:lang w:val="en-GB"/>
        </w:rPr>
      </w:pPr>
      <w:proofErr w:type="spellStart"/>
      <w:r w:rsidRPr="00EA5420">
        <w:rPr>
          <w:lang w:val="en-GB"/>
        </w:rPr>
        <w:t>Thite</w:t>
      </w:r>
      <w:proofErr w:type="spellEnd"/>
      <w:r w:rsidRPr="00EA5420">
        <w:rPr>
          <w:lang w:val="en-GB"/>
        </w:rPr>
        <w:t>, M. (2019) e-HRM: Digital Approaches, Directions and Applications. London: Routledge.</w:t>
      </w:r>
    </w:p>
    <w:p w14:paraId="57B65E22" w14:textId="77777777" w:rsidR="00702D0A" w:rsidRPr="00EA5420" w:rsidRDefault="00000000">
      <w:pPr>
        <w:pStyle w:val="Reference"/>
        <w:rPr>
          <w:lang w:val="en-GB"/>
        </w:rPr>
      </w:pPr>
      <w:r w:rsidRPr="00EA5420">
        <w:rPr>
          <w:lang w:val="en-GB"/>
        </w:rPr>
        <w:lastRenderedPageBreak/>
        <w:t>Venkatesh, V., Morris, M.G., Davis, G.B. and Davis, F.D. (2003) 'User acceptance of information technology: toward a unified view', MIS Quarterly, 27(3), pp. 425-478.</w:t>
      </w:r>
    </w:p>
    <w:p w14:paraId="0A461A11" w14:textId="77777777" w:rsidR="00702D0A" w:rsidRPr="00EA5420" w:rsidRDefault="00000000">
      <w:pPr>
        <w:pStyle w:val="Reference"/>
        <w:rPr>
          <w:lang w:val="en-GB"/>
        </w:rPr>
      </w:pPr>
      <w:r w:rsidRPr="00EA5420">
        <w:rPr>
          <w:lang w:val="en-GB"/>
        </w:rPr>
        <w:t>Vial, G. (2019) 'Understanding digital transformation: a review and a research agenda', Journal of Strategic Information Systems, 28(2), pp. 118-144.</w:t>
      </w:r>
    </w:p>
    <w:p w14:paraId="7DEB61B2" w14:textId="77777777" w:rsidR="00702D0A" w:rsidRPr="00EA5420" w:rsidRDefault="00000000">
      <w:pPr>
        <w:pStyle w:val="Reference"/>
        <w:rPr>
          <w:lang w:val="en-GB"/>
        </w:rPr>
      </w:pPr>
      <w:r>
        <w:rPr>
          <w:lang w:val="en-GB"/>
        </w:rPr>
        <w:t>Vieira, T. and Junte, S. (2025) 'Lost in automation? Algorithmic management and the evolving role of middle managers: insights from the Spanish dark stores sector', Work and Occupations, OnlineFirst. doi: 10.1177/07308884251398078.</w:t>
      </w:r>
    </w:p>
    <w:p w14:paraId="3E62BE3D" w14:textId="77777777" w:rsidR="00702D0A" w:rsidRPr="00EA5420" w:rsidRDefault="00000000">
      <w:pPr>
        <w:pStyle w:val="Reference"/>
        <w:rPr>
          <w:lang w:val="en-GB"/>
        </w:rPr>
      </w:pPr>
      <w:r w:rsidRPr="00EA5420">
        <w:rPr>
          <w:lang w:val="en-GB"/>
        </w:rPr>
        <w:t>World Economic Forum (2025) The Future of Jobs Report 2025. Geneva: World Economic Forum. Available at: https://www.weforum.org/ (Accessed: 29 June 2026).</w:t>
      </w:r>
    </w:p>
    <w:p w14:paraId="6D290F9C" w14:textId="77777777" w:rsidR="00702D0A" w:rsidRPr="00EA5420" w:rsidRDefault="00000000">
      <w:pPr>
        <w:pStyle w:val="Reference"/>
        <w:rPr>
          <w:lang w:val="en-GB"/>
        </w:rPr>
      </w:pPr>
      <w:r w:rsidRPr="00EA5420">
        <w:rPr>
          <w:lang w:val="en-GB"/>
        </w:rPr>
        <w:t xml:space="preserve">Yin, R.K. (2018) Case Study Research and Applications: Design and Methods. 6th </w:t>
      </w:r>
      <w:proofErr w:type="spellStart"/>
      <w:r w:rsidRPr="00EA5420">
        <w:rPr>
          <w:lang w:val="en-GB"/>
        </w:rPr>
        <w:t>edn</w:t>
      </w:r>
      <w:proofErr w:type="spellEnd"/>
      <w:r w:rsidRPr="00EA5420">
        <w:rPr>
          <w:lang w:val="en-GB"/>
        </w:rPr>
        <w:t>. London: SAGE.</w:t>
      </w:r>
    </w:p>
    <w:p w14:paraId="4A0FDAA8" w14:textId="77777777" w:rsidR="00702D0A" w:rsidRPr="00EA5420" w:rsidRDefault="00000000">
      <w:pPr>
        <w:pStyle w:val="Reference"/>
        <w:rPr>
          <w:lang w:val="en-GB"/>
        </w:rPr>
      </w:pPr>
      <w:r>
        <w:rPr>
          <w:lang w:val="en-GB"/>
        </w:rPr>
        <w:t>Zhang, X., Yu, D. and Yang, J. (2025) 'Discovering the dark side of AI and algorithmic HRM: evidence from negative experiences of employees on online delivery platforms', SAGE Open, 15(4). doi: 10.1177/21582440251405329.</w:t>
      </w:r>
    </w:p>
    <w:p w14:paraId="5B48D1A0" w14:textId="4213057B" w:rsidR="00702D0A" w:rsidRPr="00EA5420" w:rsidRDefault="00000000">
      <w:pPr>
        <w:pStyle w:val="1"/>
        <w:pageBreakBefore/>
      </w:pPr>
      <w:bookmarkStart w:id="27" w:name="_Toc234801889"/>
      <w:r w:rsidRPr="00EA5420">
        <w:lastRenderedPageBreak/>
        <w:t xml:space="preserve">Appendix A: </w:t>
      </w:r>
      <w:r w:rsidR="005A7456">
        <w:rPr>
          <w:rFonts w:eastAsia="宋体" w:hint="eastAsia"/>
          <w:lang w:eastAsia="zh-CN"/>
        </w:rPr>
        <w:t>S</w:t>
      </w:r>
      <w:r w:rsidRPr="00EA5420">
        <w:t>emi-structured interview guide</w:t>
      </w:r>
      <w:bookmarkEnd w:id="27"/>
    </w:p>
    <w:p w14:paraId="139ECE01" w14:textId="40F080E3" w:rsidR="00702D0A" w:rsidRPr="00EA5420" w:rsidRDefault="00000000">
      <w:pPr>
        <w:spacing w:line="360" w:lineRule="auto"/>
      </w:pPr>
      <w:r>
        <w:t>Neutral prompts will include 'Could you give a specific example?', 'What happened at that time?', 'What did this mean to you?' and 'Could you explain that term in your own words?'. Questions that are not relevant to a participant's role may be omitted.</w:t>
      </w:r>
    </w:p>
    <w:p w14:paraId="4E51BEE6" w14:textId="77777777" w:rsidR="00702D0A" w:rsidRPr="00EA5420" w:rsidRDefault="00000000" w:rsidP="005A7456">
      <w:pPr>
        <w:pStyle w:val="a"/>
        <w:numPr>
          <w:ilvl w:val="0"/>
          <w:numId w:val="4"/>
        </w:numPr>
        <w:spacing w:line="360" w:lineRule="auto"/>
      </w:pPr>
      <w:r w:rsidRPr="00EA5420">
        <w:t>Please briefly describe your role at Keep, your length of service and how you have encountered Digital HRM tools.</w:t>
      </w:r>
    </w:p>
    <w:p w14:paraId="311562C9" w14:textId="77777777" w:rsidR="00702D0A" w:rsidRPr="00EA5420" w:rsidRDefault="00000000">
      <w:pPr>
        <w:pStyle w:val="af1"/>
        <w:numPr>
          <w:ilvl w:val="0"/>
          <w:numId w:val="1"/>
        </w:numPr>
        <w:spacing w:line="360" w:lineRule="auto"/>
      </w:pPr>
      <w:r w:rsidRPr="00EA5420">
        <w:t>(RQ1) How are digital tools currently used to support learning and development at Keep? Please describe a specific experience.</w:t>
      </w:r>
    </w:p>
    <w:p w14:paraId="1C7B7BB5" w14:textId="77777777" w:rsidR="00702D0A" w:rsidRPr="00EA5420" w:rsidRDefault="00000000">
      <w:pPr>
        <w:pStyle w:val="af1"/>
        <w:numPr>
          <w:ilvl w:val="0"/>
          <w:numId w:val="1"/>
        </w:numPr>
        <w:spacing w:line="360" w:lineRule="auto"/>
      </w:pPr>
      <w:r w:rsidRPr="00EA5420">
        <w:t>(RQ1–RQ2) Which digital learning content or features have supported your work, and which have felt less relevant or difficult to use?</w:t>
      </w:r>
    </w:p>
    <w:p w14:paraId="48459B8E" w14:textId="77777777" w:rsidR="00702D0A" w:rsidRPr="00EA5420" w:rsidRDefault="00000000">
      <w:pPr>
        <w:pStyle w:val="af1"/>
        <w:numPr>
          <w:ilvl w:val="0"/>
          <w:numId w:val="1"/>
        </w:numPr>
        <w:spacing w:line="360" w:lineRule="auto"/>
      </w:pPr>
      <w:r w:rsidRPr="00EA5420">
        <w:t>(RQ1) How are digital tools used for goal setting, feedback or performance evaluation?</w:t>
      </w:r>
    </w:p>
    <w:p w14:paraId="316D7765" w14:textId="77777777" w:rsidR="00702D0A" w:rsidRPr="00EA5420" w:rsidRDefault="00000000">
      <w:pPr>
        <w:pStyle w:val="af1"/>
        <w:numPr>
          <w:ilvl w:val="0"/>
          <w:numId w:val="1"/>
        </w:numPr>
        <w:spacing w:line="360" w:lineRule="auto"/>
      </w:pPr>
      <w:r w:rsidRPr="00EA5420">
        <w:t>(RQ2) Please describe how digital performance management has affected clarity, fairness or pressure.</w:t>
      </w:r>
    </w:p>
    <w:p w14:paraId="4F8A2B3E" w14:textId="77777777" w:rsidR="00702D0A" w:rsidRPr="00EA5420" w:rsidRDefault="00000000">
      <w:pPr>
        <w:pStyle w:val="af1"/>
        <w:numPr>
          <w:ilvl w:val="0"/>
          <w:numId w:val="1"/>
        </w:numPr>
        <w:spacing w:line="360" w:lineRule="auto"/>
      </w:pPr>
      <w:r w:rsidRPr="00EA5420">
        <w:t>(RQ1–RQ2) How have digital communication tools affected information sharing, employee voice and engagement?</w:t>
      </w:r>
    </w:p>
    <w:p w14:paraId="02A9C34B" w14:textId="77777777" w:rsidR="00702D0A" w:rsidRPr="00EA5420" w:rsidRDefault="00000000">
      <w:pPr>
        <w:pStyle w:val="af1"/>
        <w:numPr>
          <w:ilvl w:val="0"/>
          <w:numId w:val="1"/>
        </w:numPr>
        <w:spacing w:line="360" w:lineRule="auto"/>
      </w:pPr>
      <w:r w:rsidRPr="00EA5420">
        <w:t>(RQ2–RQ3) Have you experienced digital overload, privacy concerns or feelings of surveillance? If not, please also explain your experience.</w:t>
      </w:r>
    </w:p>
    <w:p w14:paraId="45B5B896" w14:textId="77777777" w:rsidR="00702D0A" w:rsidRPr="00EA5420" w:rsidRDefault="00000000">
      <w:pPr>
        <w:pStyle w:val="af1"/>
        <w:numPr>
          <w:ilvl w:val="0"/>
          <w:numId w:val="1"/>
        </w:numPr>
        <w:spacing w:line="360" w:lineRule="auto"/>
      </w:pPr>
      <w:r w:rsidRPr="00EA5420">
        <w:t>(RQ3) How have line managers and HR respectively supported or hindered use of these digital tools?</w:t>
      </w:r>
    </w:p>
    <w:p w14:paraId="67773001" w14:textId="77777777" w:rsidR="00702D0A" w:rsidRPr="00EA5420" w:rsidRDefault="00000000">
      <w:pPr>
        <w:pStyle w:val="af1"/>
        <w:numPr>
          <w:ilvl w:val="0"/>
          <w:numId w:val="1"/>
        </w:numPr>
        <w:spacing w:line="360" w:lineRule="auto"/>
      </w:pPr>
      <w:r w:rsidRPr="00EA5420">
        <w:t>(RQ2–RQ3) Do HR professionals, managers and employees appear to view the same system differently? Please give an example.</w:t>
      </w:r>
    </w:p>
    <w:p w14:paraId="62797B37" w14:textId="77777777" w:rsidR="00702D0A" w:rsidRPr="00EA5420" w:rsidRDefault="00000000">
      <w:pPr>
        <w:pStyle w:val="af1"/>
        <w:numPr>
          <w:ilvl w:val="0"/>
          <w:numId w:val="1"/>
        </w:numPr>
        <w:spacing w:line="360" w:lineRule="auto"/>
      </w:pPr>
      <w:r w:rsidRPr="00EA5420">
        <w:t>(RQ4) If one area could be improved first, what would you choose and why?</w:t>
      </w:r>
    </w:p>
    <w:p w14:paraId="6978D98D" w14:textId="77777777" w:rsidR="00702D0A" w:rsidRPr="00EA5420" w:rsidRDefault="00000000">
      <w:pPr>
        <w:pStyle w:val="af1"/>
        <w:numPr>
          <w:ilvl w:val="0"/>
          <w:numId w:val="1"/>
        </w:numPr>
        <w:spacing w:line="360" w:lineRule="auto"/>
      </w:pPr>
      <w:r w:rsidRPr="00EA5420">
        <w:t>(RQ4) What additional support or safeguards should Keep provide when implementing Digital HRM?</w:t>
      </w:r>
    </w:p>
    <w:p w14:paraId="5C3ED7A1" w14:textId="77777777" w:rsidR="00702D0A" w:rsidRPr="00EA5420" w:rsidRDefault="00000000">
      <w:pPr>
        <w:pStyle w:val="af1"/>
        <w:numPr>
          <w:ilvl w:val="0"/>
          <w:numId w:val="1"/>
        </w:numPr>
        <w:spacing w:line="360" w:lineRule="auto"/>
      </w:pPr>
      <w:r w:rsidRPr="00EA5420">
        <w:t>Is there anything important about Digital HRM that the earlier questions have not covered?</w:t>
      </w:r>
    </w:p>
    <w:p w14:paraId="71E31A6B" w14:textId="4DF3E3A0" w:rsidR="00702D0A" w:rsidRPr="005A7456" w:rsidRDefault="00000000">
      <w:pPr>
        <w:pStyle w:val="1"/>
        <w:pageBreakBefore/>
        <w:rPr>
          <w:rFonts w:eastAsia="宋体"/>
          <w:lang w:eastAsia="zh-CN"/>
        </w:rPr>
      </w:pPr>
      <w:bookmarkStart w:id="28" w:name="_Toc234801890"/>
      <w:r w:rsidRPr="00EA5420">
        <w:lastRenderedPageBreak/>
        <w:t xml:space="preserve">Appendix B: </w:t>
      </w:r>
      <w:r w:rsidR="005A7456">
        <w:rPr>
          <w:rFonts w:eastAsia="宋体" w:hint="eastAsia"/>
          <w:lang w:eastAsia="zh-CN"/>
        </w:rPr>
        <w:t>P</w:t>
      </w:r>
      <w:r w:rsidRPr="00EA5420">
        <w:t>articipant information sheet</w:t>
      </w:r>
      <w:bookmarkEnd w:id="28"/>
      <w:r w:rsidRPr="00EA5420">
        <w:t xml:space="preserve"> </w:t>
      </w:r>
    </w:p>
    <w:p w14:paraId="30798065" w14:textId="77777777" w:rsidR="00702D0A" w:rsidRPr="00EA5420" w:rsidRDefault="00000000" w:rsidP="00995C18">
      <w:pPr>
        <w:pStyle w:val="2"/>
      </w:pPr>
      <w:bookmarkStart w:id="29" w:name="_Toc234801891"/>
      <w:r w:rsidRPr="00EA5420">
        <w:t>Purpose of the study</w:t>
      </w:r>
      <w:bookmarkEnd w:id="29"/>
    </w:p>
    <w:p w14:paraId="403F708B" w14:textId="2707B434" w:rsidR="00702D0A" w:rsidRPr="00EA5420" w:rsidRDefault="00000000">
      <w:pPr>
        <w:spacing w:line="360" w:lineRule="auto"/>
      </w:pPr>
      <w:r>
        <w:rPr>
          <w:rFonts w:eastAsia="宋体" w:hint="eastAsia"/>
          <w:lang w:eastAsia="zh-CN"/>
        </w:rPr>
        <w:t xml:space="preserve">This participant-facing information sheet relates to a </w:t>
      </w:r>
      <w:r w:rsidR="00D005D1">
        <w:rPr>
          <w:rFonts w:eastAsia="宋体"/>
          <w:lang w:eastAsia="zh-CN"/>
        </w:rPr>
        <w:t>master’s</w:t>
      </w:r>
      <w:r>
        <w:rPr>
          <w:rFonts w:eastAsia="宋体" w:hint="eastAsia"/>
          <w:lang w:eastAsia="zh-CN"/>
        </w:rPr>
        <w:t xml:space="preserve"> research project. The researcher is external to Keep and has no private or employment relationship with prospective participants. The project examines how Keep's HR professionals, line managers and employees experience digital learning, performance management and digital communication, employee voice and engagement.</w:t>
      </w:r>
    </w:p>
    <w:p w14:paraId="5CCD53C5" w14:textId="77777777" w:rsidR="00702D0A" w:rsidRPr="00EA5420" w:rsidRDefault="00000000" w:rsidP="00995C18">
      <w:pPr>
        <w:pStyle w:val="2"/>
      </w:pPr>
      <w:bookmarkStart w:id="30" w:name="_Toc234801892"/>
      <w:r w:rsidRPr="00EA5420">
        <w:t>What participation involves</w:t>
      </w:r>
      <w:bookmarkEnd w:id="30"/>
    </w:p>
    <w:p w14:paraId="4C138D26" w14:textId="16C027BA" w:rsidR="00702D0A" w:rsidRPr="00EA5420" w:rsidRDefault="00000000">
      <w:pPr>
        <w:spacing w:line="360" w:lineRule="auto"/>
      </w:pPr>
      <w:r>
        <w:t>If you volunteer, you will take part in one 45–60-minute semi-structured interview, normally online. You must be able to understand this information, consent and discuss your workplace experience. With written consent, the interview will be audio-recorded and transcribed verbatim. You may decline a question, request clarification, pause or end the interview.</w:t>
      </w:r>
    </w:p>
    <w:p w14:paraId="251AC9D1" w14:textId="77777777" w:rsidR="00702D0A" w:rsidRPr="00EA5420" w:rsidRDefault="00000000" w:rsidP="00995C18">
      <w:pPr>
        <w:pStyle w:val="2"/>
      </w:pPr>
      <w:bookmarkStart w:id="31" w:name="_Toc234801893"/>
      <w:r w:rsidRPr="00EA5420">
        <w:t>Potential risks and benefits</w:t>
      </w:r>
      <w:bookmarkEnd w:id="31"/>
    </w:p>
    <w:p w14:paraId="0FBD16B1" w14:textId="77777777" w:rsidR="00702D0A" w:rsidRPr="00EA5420" w:rsidRDefault="00000000">
      <w:pPr>
        <w:spacing w:line="360" w:lineRule="auto"/>
      </w:pPr>
      <w:r w:rsidRPr="00EA5420">
        <w:t>No personal benefit is guaranteed, although your experience may inform understanding of Digital HRM. Discussion of performance, surveillance, fairness or job insecurity may cause mild discomfort. You need not disclose commercial secrets and may skip a question or stop.</w:t>
      </w:r>
    </w:p>
    <w:p w14:paraId="641C4DE1" w14:textId="77777777" w:rsidR="00702D0A" w:rsidRPr="00EA5420" w:rsidRDefault="00000000" w:rsidP="00995C18">
      <w:pPr>
        <w:pStyle w:val="2"/>
      </w:pPr>
      <w:bookmarkStart w:id="32" w:name="_Toc234801894"/>
      <w:r w:rsidRPr="00EA5420">
        <w:t>Voluntary participation, withdrawal and confidentiality</w:t>
      </w:r>
      <w:bookmarkEnd w:id="32"/>
    </w:p>
    <w:p w14:paraId="2CE498D1" w14:textId="64C0BD5F" w:rsidR="00702D0A" w:rsidRPr="00EA5420" w:rsidRDefault="00000000">
      <w:pPr>
        <w:spacing w:line="360" w:lineRule="auto"/>
      </w:pPr>
      <w:r>
        <w:t>Participation is voluntary and will not affect your relationship with Keep. You may withdraw before the analytical cut-off stated in the approved information sheet. Interviews are not anonymous at collection, but data will be confidential, pseudonymised and de-identified. De-identified quotations may be used in the report. Keep and any gatekeeper will receive neither a participant list nor individual responses. Audio and transcripts will be kept in University-approved secure storage, separately from consent forms. The recruitment information sheet will state the retention period, destruction date and withdrawal cut-off; recruitment will not begin before ethical approval.</w:t>
      </w:r>
    </w:p>
    <w:p w14:paraId="58C748DD" w14:textId="5A20B8FB" w:rsidR="00702D0A" w:rsidRPr="00EA5420" w:rsidRDefault="00000000">
      <w:pPr>
        <w:pStyle w:val="1"/>
        <w:pageBreakBefore/>
      </w:pPr>
      <w:bookmarkStart w:id="33" w:name="_Toc234801895"/>
      <w:r w:rsidRPr="00EA5420">
        <w:lastRenderedPageBreak/>
        <w:t xml:space="preserve">Appendix C: </w:t>
      </w:r>
      <w:r w:rsidR="005A7456">
        <w:rPr>
          <w:rFonts w:eastAsia="宋体" w:hint="eastAsia"/>
          <w:lang w:eastAsia="zh-CN"/>
        </w:rPr>
        <w:t>C</w:t>
      </w:r>
      <w:r w:rsidRPr="00EA5420">
        <w:t>onsent form</w:t>
      </w:r>
      <w:bookmarkEnd w:id="33"/>
    </w:p>
    <w:p w14:paraId="7043364D" w14:textId="77777777" w:rsidR="00702D0A" w:rsidRPr="00EA5420" w:rsidRDefault="00000000">
      <w:pPr>
        <w:pStyle w:val="TableCaption"/>
        <w:spacing w:after="0" w:line="360" w:lineRule="auto"/>
        <w:rPr>
          <w:lang w:val="en-GB"/>
        </w:rPr>
      </w:pPr>
      <w:r w:rsidRPr="00EA5420">
        <w:rPr>
          <w:lang w:val="en-GB"/>
        </w:rPr>
        <w:t>Please indicate Yes or No for each statement.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4"/>
        <w:gridCol w:w="1089"/>
        <w:gridCol w:w="1088"/>
      </w:tblGrid>
      <w:tr w:rsidR="00702D0A" w:rsidRPr="00EA5420" w14:paraId="639441D3" w14:textId="77777777" w:rsidTr="007B19D2">
        <w:trPr>
          <w:cantSplit/>
          <w:tblHeader/>
        </w:trPr>
        <w:tc>
          <w:tcPr>
            <w:tcW w:w="6894" w:type="dxa"/>
            <w:shd w:val="clear" w:color="auto" w:fill="E7E6E6"/>
            <w:tcMar>
              <w:top w:w="90" w:type="dxa"/>
              <w:left w:w="120" w:type="dxa"/>
              <w:bottom w:w="90" w:type="dxa"/>
              <w:right w:w="120" w:type="dxa"/>
            </w:tcMar>
            <w:vAlign w:val="center"/>
          </w:tcPr>
          <w:p w14:paraId="5D871704" w14:textId="77777777" w:rsidR="00702D0A" w:rsidRPr="00EA5420" w:rsidRDefault="00000000">
            <w:pPr>
              <w:spacing w:line="300" w:lineRule="auto"/>
              <w:jc w:val="center"/>
            </w:pPr>
            <w:r w:rsidRPr="00EA5420">
              <w:rPr>
                <w:b/>
              </w:rPr>
              <w:t>Consent statement</w:t>
            </w:r>
          </w:p>
        </w:tc>
        <w:tc>
          <w:tcPr>
            <w:tcW w:w="1089" w:type="dxa"/>
            <w:shd w:val="clear" w:color="auto" w:fill="E7E6E6"/>
            <w:tcMar>
              <w:top w:w="90" w:type="dxa"/>
              <w:left w:w="120" w:type="dxa"/>
              <w:bottom w:w="90" w:type="dxa"/>
              <w:right w:w="120" w:type="dxa"/>
            </w:tcMar>
            <w:vAlign w:val="center"/>
          </w:tcPr>
          <w:p w14:paraId="228AD5C9" w14:textId="77777777" w:rsidR="00702D0A" w:rsidRPr="00EA5420" w:rsidRDefault="00000000">
            <w:pPr>
              <w:keepNext/>
              <w:spacing w:line="300" w:lineRule="auto"/>
              <w:jc w:val="center"/>
            </w:pPr>
            <w:r w:rsidRPr="00EA5420">
              <w:rPr>
                <w:b/>
              </w:rPr>
              <w:t>Yes</w:t>
            </w:r>
          </w:p>
        </w:tc>
        <w:tc>
          <w:tcPr>
            <w:tcW w:w="1088" w:type="dxa"/>
            <w:shd w:val="clear" w:color="auto" w:fill="E7E6E6"/>
            <w:tcMar>
              <w:top w:w="90" w:type="dxa"/>
              <w:left w:w="120" w:type="dxa"/>
              <w:bottom w:w="90" w:type="dxa"/>
              <w:right w:w="120" w:type="dxa"/>
            </w:tcMar>
            <w:vAlign w:val="center"/>
          </w:tcPr>
          <w:p w14:paraId="433857FC" w14:textId="77777777" w:rsidR="00702D0A" w:rsidRPr="00EA5420" w:rsidRDefault="00000000">
            <w:pPr>
              <w:keepNext/>
              <w:spacing w:line="300" w:lineRule="auto"/>
              <w:jc w:val="center"/>
            </w:pPr>
            <w:r w:rsidRPr="00EA5420">
              <w:rPr>
                <w:b/>
              </w:rPr>
              <w:t>No</w:t>
            </w:r>
          </w:p>
        </w:tc>
      </w:tr>
      <w:tr w:rsidR="00702D0A" w:rsidRPr="00EA5420" w14:paraId="58102D04" w14:textId="77777777" w:rsidTr="007B19D2">
        <w:trPr>
          <w:cantSplit/>
        </w:trPr>
        <w:tc>
          <w:tcPr>
            <w:tcW w:w="6894" w:type="dxa"/>
            <w:tcMar>
              <w:top w:w="90" w:type="dxa"/>
              <w:left w:w="120" w:type="dxa"/>
              <w:bottom w:w="90" w:type="dxa"/>
              <w:right w:w="120" w:type="dxa"/>
            </w:tcMar>
            <w:vAlign w:val="center"/>
          </w:tcPr>
          <w:p w14:paraId="49AE2F57" w14:textId="512DC532" w:rsidR="00702D0A" w:rsidRPr="00EA5420" w:rsidRDefault="00000000">
            <w:pPr>
              <w:spacing w:line="300" w:lineRule="auto"/>
              <w:jc w:val="left"/>
            </w:pPr>
            <w:r>
              <w:t>I have read and understood the participant information sheet.</w:t>
            </w:r>
          </w:p>
        </w:tc>
        <w:tc>
          <w:tcPr>
            <w:tcW w:w="1089" w:type="dxa"/>
            <w:tcMar>
              <w:top w:w="90" w:type="dxa"/>
              <w:left w:w="120" w:type="dxa"/>
              <w:bottom w:w="90" w:type="dxa"/>
              <w:right w:w="120" w:type="dxa"/>
            </w:tcMar>
            <w:vAlign w:val="center"/>
          </w:tcPr>
          <w:p w14:paraId="3A5B07D4"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51482715" w14:textId="77777777" w:rsidR="00702D0A" w:rsidRPr="00EA5420" w:rsidRDefault="00000000">
            <w:pPr>
              <w:keepNext/>
              <w:spacing w:line="300" w:lineRule="auto"/>
              <w:jc w:val="left"/>
            </w:pPr>
            <w:r w:rsidRPr="00EA5420">
              <w:t>☐</w:t>
            </w:r>
          </w:p>
        </w:tc>
      </w:tr>
      <w:tr w:rsidR="00702D0A" w:rsidRPr="00EA5420" w14:paraId="32FCBD16" w14:textId="77777777" w:rsidTr="007B19D2">
        <w:trPr>
          <w:cantSplit/>
        </w:trPr>
        <w:tc>
          <w:tcPr>
            <w:tcW w:w="6894" w:type="dxa"/>
            <w:tcMar>
              <w:top w:w="90" w:type="dxa"/>
              <w:left w:w="120" w:type="dxa"/>
              <w:bottom w:w="90" w:type="dxa"/>
              <w:right w:w="120" w:type="dxa"/>
            </w:tcMar>
            <w:vAlign w:val="center"/>
          </w:tcPr>
          <w:p w14:paraId="7F9BCADD" w14:textId="77777777" w:rsidR="00702D0A" w:rsidRPr="00EA5420" w:rsidRDefault="00000000">
            <w:pPr>
              <w:spacing w:line="300" w:lineRule="auto"/>
              <w:jc w:val="left"/>
            </w:pPr>
            <w:r w:rsidRPr="00EA5420">
              <w:t>I have had an opportunity to ask questions and receive satisfactory answers.</w:t>
            </w:r>
          </w:p>
        </w:tc>
        <w:tc>
          <w:tcPr>
            <w:tcW w:w="1089" w:type="dxa"/>
            <w:tcMar>
              <w:top w:w="90" w:type="dxa"/>
              <w:left w:w="120" w:type="dxa"/>
              <w:bottom w:w="90" w:type="dxa"/>
              <w:right w:w="120" w:type="dxa"/>
            </w:tcMar>
            <w:vAlign w:val="center"/>
          </w:tcPr>
          <w:p w14:paraId="16C28D61"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40B676EA" w14:textId="77777777" w:rsidR="00702D0A" w:rsidRPr="00EA5420" w:rsidRDefault="00000000">
            <w:pPr>
              <w:keepNext/>
              <w:spacing w:line="300" w:lineRule="auto"/>
              <w:jc w:val="left"/>
            </w:pPr>
            <w:r w:rsidRPr="00EA5420">
              <w:t>☐</w:t>
            </w:r>
          </w:p>
        </w:tc>
      </w:tr>
      <w:tr w:rsidR="00702D0A" w:rsidRPr="00EA5420" w14:paraId="447F8200" w14:textId="77777777" w:rsidTr="007B19D2">
        <w:trPr>
          <w:cantSplit/>
        </w:trPr>
        <w:tc>
          <w:tcPr>
            <w:tcW w:w="6894" w:type="dxa"/>
            <w:tcMar>
              <w:top w:w="90" w:type="dxa"/>
              <w:left w:w="120" w:type="dxa"/>
              <w:bottom w:w="90" w:type="dxa"/>
              <w:right w:w="120" w:type="dxa"/>
            </w:tcMar>
            <w:vAlign w:val="center"/>
          </w:tcPr>
          <w:p w14:paraId="24EEB2CF" w14:textId="77777777" w:rsidR="00702D0A" w:rsidRPr="00EA5420" w:rsidRDefault="00000000">
            <w:pPr>
              <w:spacing w:line="300" w:lineRule="auto"/>
              <w:jc w:val="left"/>
            </w:pPr>
            <w:r w:rsidRPr="00EA5420">
              <w:t>I understand that there is no guaranteed personal benefit and that discussion may cause mild discomfort.</w:t>
            </w:r>
          </w:p>
        </w:tc>
        <w:tc>
          <w:tcPr>
            <w:tcW w:w="1089" w:type="dxa"/>
            <w:tcMar>
              <w:top w:w="90" w:type="dxa"/>
              <w:left w:w="120" w:type="dxa"/>
              <w:bottom w:w="90" w:type="dxa"/>
              <w:right w:w="120" w:type="dxa"/>
            </w:tcMar>
            <w:vAlign w:val="center"/>
          </w:tcPr>
          <w:p w14:paraId="744E836A"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03148002" w14:textId="77777777" w:rsidR="00702D0A" w:rsidRPr="00EA5420" w:rsidRDefault="00000000">
            <w:pPr>
              <w:keepNext/>
              <w:spacing w:line="300" w:lineRule="auto"/>
              <w:jc w:val="left"/>
            </w:pPr>
            <w:r w:rsidRPr="00EA5420">
              <w:t>☐</w:t>
            </w:r>
          </w:p>
        </w:tc>
      </w:tr>
      <w:tr w:rsidR="00702D0A" w:rsidRPr="00EA5420" w14:paraId="37061271" w14:textId="77777777" w:rsidTr="007B19D2">
        <w:trPr>
          <w:cantSplit/>
        </w:trPr>
        <w:tc>
          <w:tcPr>
            <w:tcW w:w="6894" w:type="dxa"/>
            <w:tcMar>
              <w:top w:w="90" w:type="dxa"/>
              <w:left w:w="120" w:type="dxa"/>
              <w:bottom w:w="90" w:type="dxa"/>
              <w:right w:w="120" w:type="dxa"/>
            </w:tcMar>
            <w:vAlign w:val="center"/>
          </w:tcPr>
          <w:p w14:paraId="6AAB1975" w14:textId="77777777" w:rsidR="00702D0A" w:rsidRPr="00EA5420" w:rsidRDefault="00000000">
            <w:pPr>
              <w:spacing w:line="300" w:lineRule="auto"/>
              <w:jc w:val="left"/>
            </w:pPr>
            <w:r w:rsidRPr="00EA5420">
              <w:t>I understand that participation is voluntary and that I may withdraw before the stated cut-off.</w:t>
            </w:r>
          </w:p>
        </w:tc>
        <w:tc>
          <w:tcPr>
            <w:tcW w:w="1089" w:type="dxa"/>
            <w:tcMar>
              <w:top w:w="90" w:type="dxa"/>
              <w:left w:w="120" w:type="dxa"/>
              <w:bottom w:w="90" w:type="dxa"/>
              <w:right w:w="120" w:type="dxa"/>
            </w:tcMar>
            <w:vAlign w:val="center"/>
          </w:tcPr>
          <w:p w14:paraId="40FC9E15"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364959C8" w14:textId="77777777" w:rsidR="00702D0A" w:rsidRPr="00EA5420" w:rsidRDefault="00000000">
            <w:pPr>
              <w:keepNext/>
              <w:spacing w:line="300" w:lineRule="auto"/>
              <w:jc w:val="left"/>
            </w:pPr>
            <w:r w:rsidRPr="00EA5420">
              <w:t>☐</w:t>
            </w:r>
          </w:p>
        </w:tc>
      </w:tr>
      <w:tr w:rsidR="00702D0A" w:rsidRPr="00EA5420" w14:paraId="57123FC4" w14:textId="77777777" w:rsidTr="007B19D2">
        <w:trPr>
          <w:cantSplit/>
        </w:trPr>
        <w:tc>
          <w:tcPr>
            <w:tcW w:w="6894" w:type="dxa"/>
            <w:tcMar>
              <w:top w:w="90" w:type="dxa"/>
              <w:left w:w="120" w:type="dxa"/>
              <w:bottom w:w="90" w:type="dxa"/>
              <w:right w:w="120" w:type="dxa"/>
            </w:tcMar>
            <w:vAlign w:val="center"/>
          </w:tcPr>
          <w:p w14:paraId="7EFE4925" w14:textId="1D1CF633" w:rsidR="00702D0A" w:rsidRPr="00EA5420" w:rsidRDefault="00000000">
            <w:pPr>
              <w:spacing w:line="300" w:lineRule="auto"/>
              <w:jc w:val="left"/>
            </w:pPr>
            <w:r>
              <w:t xml:space="preserve">I </w:t>
            </w:r>
            <w:r w:rsidR="00D005D1">
              <w:t>consent interview</w:t>
            </w:r>
            <w:r>
              <w:t xml:space="preserve"> being audio-recorded and transcribed verbatim.</w:t>
            </w:r>
          </w:p>
        </w:tc>
        <w:tc>
          <w:tcPr>
            <w:tcW w:w="1089" w:type="dxa"/>
            <w:tcMar>
              <w:top w:w="90" w:type="dxa"/>
              <w:left w:w="120" w:type="dxa"/>
              <w:bottom w:w="90" w:type="dxa"/>
              <w:right w:w="120" w:type="dxa"/>
            </w:tcMar>
            <w:vAlign w:val="center"/>
          </w:tcPr>
          <w:p w14:paraId="7C49174F"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1B10301B" w14:textId="77777777" w:rsidR="00702D0A" w:rsidRPr="00EA5420" w:rsidRDefault="00000000">
            <w:pPr>
              <w:keepNext/>
              <w:spacing w:line="300" w:lineRule="auto"/>
              <w:jc w:val="left"/>
            </w:pPr>
            <w:r w:rsidRPr="00EA5420">
              <w:t>☐</w:t>
            </w:r>
          </w:p>
        </w:tc>
      </w:tr>
      <w:tr w:rsidR="00702D0A" w:rsidRPr="00EA5420" w14:paraId="1F0F3D59" w14:textId="77777777" w:rsidTr="007B19D2">
        <w:trPr>
          <w:cantSplit/>
        </w:trPr>
        <w:tc>
          <w:tcPr>
            <w:tcW w:w="6894" w:type="dxa"/>
            <w:tcMar>
              <w:top w:w="90" w:type="dxa"/>
              <w:left w:w="120" w:type="dxa"/>
              <w:bottom w:w="90" w:type="dxa"/>
              <w:right w:w="120" w:type="dxa"/>
            </w:tcMar>
            <w:vAlign w:val="center"/>
          </w:tcPr>
          <w:p w14:paraId="722538BD" w14:textId="77777777" w:rsidR="00702D0A" w:rsidRPr="00EA5420" w:rsidRDefault="00000000">
            <w:pPr>
              <w:spacing w:line="300" w:lineRule="auto"/>
              <w:jc w:val="left"/>
            </w:pPr>
            <w:r>
              <w:t>I understand that the interview is not anonymous at collection, but data will be confidential and de-identified quotations may be used in the research report.</w:t>
            </w:r>
          </w:p>
        </w:tc>
        <w:tc>
          <w:tcPr>
            <w:tcW w:w="1089" w:type="dxa"/>
            <w:tcMar>
              <w:top w:w="90" w:type="dxa"/>
              <w:left w:w="120" w:type="dxa"/>
              <w:bottom w:w="90" w:type="dxa"/>
              <w:right w:w="120" w:type="dxa"/>
            </w:tcMar>
            <w:vAlign w:val="center"/>
          </w:tcPr>
          <w:p w14:paraId="18FE9224"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79391CB5" w14:textId="77777777" w:rsidR="00702D0A" w:rsidRPr="00EA5420" w:rsidRDefault="00000000">
            <w:pPr>
              <w:keepNext/>
              <w:spacing w:line="300" w:lineRule="auto"/>
              <w:jc w:val="left"/>
            </w:pPr>
            <w:r w:rsidRPr="00EA5420">
              <w:t>☐</w:t>
            </w:r>
          </w:p>
        </w:tc>
      </w:tr>
      <w:tr w:rsidR="00702D0A" w:rsidRPr="00EA5420" w14:paraId="6D175E80" w14:textId="77777777" w:rsidTr="007B19D2">
        <w:trPr>
          <w:cantSplit/>
        </w:trPr>
        <w:tc>
          <w:tcPr>
            <w:tcW w:w="6894" w:type="dxa"/>
            <w:tcMar>
              <w:top w:w="90" w:type="dxa"/>
              <w:left w:w="120" w:type="dxa"/>
              <w:bottom w:w="90" w:type="dxa"/>
              <w:right w:w="120" w:type="dxa"/>
            </w:tcMar>
            <w:vAlign w:val="center"/>
          </w:tcPr>
          <w:p w14:paraId="09F11C04" w14:textId="77777777" w:rsidR="00702D0A" w:rsidRPr="00EA5420" w:rsidRDefault="00000000">
            <w:pPr>
              <w:spacing w:line="300" w:lineRule="auto"/>
              <w:jc w:val="left"/>
            </w:pPr>
            <w:r w:rsidRPr="00EA5420">
              <w:t>I have been told the data-retention period, destruction date and who may access the data.</w:t>
            </w:r>
          </w:p>
        </w:tc>
        <w:tc>
          <w:tcPr>
            <w:tcW w:w="1089" w:type="dxa"/>
            <w:tcMar>
              <w:top w:w="90" w:type="dxa"/>
              <w:left w:w="120" w:type="dxa"/>
              <w:bottom w:w="90" w:type="dxa"/>
              <w:right w:w="120" w:type="dxa"/>
            </w:tcMar>
            <w:vAlign w:val="center"/>
          </w:tcPr>
          <w:p w14:paraId="01CC6ED1"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1AC40598" w14:textId="77777777" w:rsidR="00702D0A" w:rsidRPr="00EA5420" w:rsidRDefault="00000000">
            <w:pPr>
              <w:keepNext/>
              <w:spacing w:line="300" w:lineRule="auto"/>
              <w:jc w:val="left"/>
            </w:pPr>
            <w:r w:rsidRPr="00EA5420">
              <w:t>☐</w:t>
            </w:r>
          </w:p>
        </w:tc>
      </w:tr>
      <w:tr w:rsidR="00702D0A" w:rsidRPr="00EA5420" w14:paraId="034510E4" w14:textId="77777777" w:rsidTr="007B19D2">
        <w:trPr>
          <w:cantSplit/>
        </w:trPr>
        <w:tc>
          <w:tcPr>
            <w:tcW w:w="6894" w:type="dxa"/>
            <w:tcMar>
              <w:top w:w="90" w:type="dxa"/>
              <w:left w:w="120" w:type="dxa"/>
              <w:bottom w:w="90" w:type="dxa"/>
              <w:right w:w="120" w:type="dxa"/>
            </w:tcMar>
            <w:vAlign w:val="center"/>
          </w:tcPr>
          <w:p w14:paraId="349153E1" w14:textId="77777777" w:rsidR="00702D0A" w:rsidRPr="00EA5420" w:rsidRDefault="00000000">
            <w:pPr>
              <w:spacing w:line="300" w:lineRule="auto"/>
              <w:jc w:val="left"/>
            </w:pPr>
            <w:r w:rsidRPr="00EA5420">
              <w:t xml:space="preserve">I understand that </w:t>
            </w:r>
            <w:proofErr w:type="gramStart"/>
            <w:r w:rsidRPr="00EA5420">
              <w:t>Keep</w:t>
            </w:r>
            <w:proofErr w:type="gramEnd"/>
            <w:r w:rsidRPr="00EA5420">
              <w:t xml:space="preserve"> and any gatekeeper will not receive my individual responses.</w:t>
            </w:r>
          </w:p>
        </w:tc>
        <w:tc>
          <w:tcPr>
            <w:tcW w:w="1089" w:type="dxa"/>
            <w:tcMar>
              <w:top w:w="90" w:type="dxa"/>
              <w:left w:w="120" w:type="dxa"/>
              <w:bottom w:w="90" w:type="dxa"/>
              <w:right w:w="120" w:type="dxa"/>
            </w:tcMar>
            <w:vAlign w:val="center"/>
          </w:tcPr>
          <w:p w14:paraId="464BB07C" w14:textId="77777777" w:rsidR="00702D0A" w:rsidRPr="00EA5420" w:rsidRDefault="00000000">
            <w:pPr>
              <w:keepNext/>
              <w:spacing w:line="300" w:lineRule="auto"/>
              <w:jc w:val="center"/>
            </w:pPr>
            <w:r w:rsidRPr="00EA5420">
              <w:t>☐</w:t>
            </w:r>
          </w:p>
        </w:tc>
        <w:tc>
          <w:tcPr>
            <w:tcW w:w="1088" w:type="dxa"/>
            <w:tcMar>
              <w:top w:w="90" w:type="dxa"/>
              <w:left w:w="120" w:type="dxa"/>
              <w:bottom w:w="90" w:type="dxa"/>
              <w:right w:w="120" w:type="dxa"/>
            </w:tcMar>
            <w:vAlign w:val="center"/>
          </w:tcPr>
          <w:p w14:paraId="60BE6567" w14:textId="77777777" w:rsidR="00702D0A" w:rsidRPr="00EA5420" w:rsidRDefault="00000000">
            <w:pPr>
              <w:keepNext/>
              <w:spacing w:line="300" w:lineRule="auto"/>
              <w:jc w:val="left"/>
            </w:pPr>
            <w:r w:rsidRPr="00EA5420">
              <w:t>☐</w:t>
            </w:r>
          </w:p>
        </w:tc>
      </w:tr>
      <w:tr w:rsidR="00702D0A" w:rsidRPr="00EA5420" w14:paraId="7AC55A60" w14:textId="77777777" w:rsidTr="007B19D2">
        <w:trPr>
          <w:cantSplit/>
        </w:trPr>
        <w:tc>
          <w:tcPr>
            <w:tcW w:w="6894" w:type="dxa"/>
            <w:tcMar>
              <w:top w:w="90" w:type="dxa"/>
              <w:left w:w="120" w:type="dxa"/>
              <w:bottom w:w="90" w:type="dxa"/>
              <w:right w:w="120" w:type="dxa"/>
            </w:tcMar>
            <w:vAlign w:val="center"/>
          </w:tcPr>
          <w:p w14:paraId="0BA5A098" w14:textId="77777777" w:rsidR="00702D0A" w:rsidRPr="00EA5420" w:rsidRDefault="00000000">
            <w:pPr>
              <w:spacing w:line="300" w:lineRule="auto"/>
              <w:jc w:val="left"/>
            </w:pPr>
            <w:r w:rsidRPr="00EA5420">
              <w:t>I voluntarily agree to participate in this study.</w:t>
            </w:r>
          </w:p>
        </w:tc>
        <w:tc>
          <w:tcPr>
            <w:tcW w:w="1089" w:type="dxa"/>
            <w:tcMar>
              <w:top w:w="90" w:type="dxa"/>
              <w:left w:w="120" w:type="dxa"/>
              <w:bottom w:w="90" w:type="dxa"/>
              <w:right w:w="120" w:type="dxa"/>
            </w:tcMar>
            <w:vAlign w:val="center"/>
          </w:tcPr>
          <w:p w14:paraId="6C0EAFAD" w14:textId="77777777" w:rsidR="00702D0A" w:rsidRPr="00EA5420" w:rsidRDefault="00000000">
            <w:pPr>
              <w:spacing w:line="300" w:lineRule="auto"/>
              <w:jc w:val="center"/>
            </w:pPr>
            <w:r w:rsidRPr="00EA5420">
              <w:t>☐</w:t>
            </w:r>
          </w:p>
        </w:tc>
        <w:tc>
          <w:tcPr>
            <w:tcW w:w="1088" w:type="dxa"/>
            <w:tcMar>
              <w:top w:w="90" w:type="dxa"/>
              <w:left w:w="120" w:type="dxa"/>
              <w:bottom w:w="90" w:type="dxa"/>
              <w:right w:w="120" w:type="dxa"/>
            </w:tcMar>
            <w:vAlign w:val="center"/>
          </w:tcPr>
          <w:p w14:paraId="0A76631F" w14:textId="77777777" w:rsidR="00702D0A" w:rsidRPr="00EA5420" w:rsidRDefault="00000000">
            <w:pPr>
              <w:spacing w:line="300" w:lineRule="auto"/>
              <w:jc w:val="left"/>
            </w:pPr>
            <w:r w:rsidRPr="00EA5420">
              <w:t>☐</w:t>
            </w:r>
          </w:p>
        </w:tc>
      </w:tr>
    </w:tbl>
    <w:p w14:paraId="002904F9" w14:textId="77777777" w:rsidR="00702D0A" w:rsidRPr="00EA5420" w:rsidRDefault="00702D0A">
      <w:pPr>
        <w:spacing w:line="360" w:lineRule="auto"/>
      </w:pPr>
    </w:p>
    <w:p w14:paraId="40B06DBE" w14:textId="1F954074" w:rsidR="00702D0A" w:rsidRPr="005A7456" w:rsidRDefault="00000000">
      <w:pPr>
        <w:spacing w:line="360" w:lineRule="auto"/>
        <w:rPr>
          <w:rFonts w:eastAsia="宋体"/>
          <w:lang w:eastAsia="zh-CN"/>
        </w:rPr>
      </w:pPr>
      <w:r w:rsidRPr="00EA5420">
        <w:t>Participant name: _______________</w:t>
      </w:r>
      <w:proofErr w:type="gramStart"/>
      <w:r w:rsidRPr="00EA5420">
        <w:t>_  Signature</w:t>
      </w:r>
      <w:proofErr w:type="gramEnd"/>
      <w:r w:rsidRPr="00EA5420">
        <w:t>: ____________</w:t>
      </w:r>
      <w:proofErr w:type="gramStart"/>
      <w:r w:rsidRPr="00EA5420">
        <w:t>_  Date</w:t>
      </w:r>
      <w:proofErr w:type="gramEnd"/>
      <w:r w:rsidRPr="00EA5420">
        <w:t>: _______________</w:t>
      </w:r>
    </w:p>
    <w:p w14:paraId="4B6EEF16" w14:textId="0EBF404C" w:rsidR="00702D0A" w:rsidRPr="00EA5420" w:rsidRDefault="00000000">
      <w:pPr>
        <w:pStyle w:val="1"/>
        <w:pageBreakBefore/>
      </w:pPr>
      <w:bookmarkStart w:id="34" w:name="_Toc234801896"/>
      <w:r w:rsidRPr="00EA5420">
        <w:lastRenderedPageBreak/>
        <w:t xml:space="preserve">Appendix D: </w:t>
      </w:r>
      <w:r w:rsidR="005A7456">
        <w:rPr>
          <w:rFonts w:eastAsia="宋体" w:hint="eastAsia"/>
          <w:lang w:eastAsia="zh-CN"/>
        </w:rPr>
        <w:t>R</w:t>
      </w:r>
      <w:r w:rsidRPr="00EA5420">
        <w:t>ecruitment and gatekeeper invitation</w:t>
      </w:r>
      <w:bookmarkEnd w:id="34"/>
      <w:r w:rsidRPr="00EA5420">
        <w:t xml:space="preserve"> </w:t>
      </w:r>
    </w:p>
    <w:p w14:paraId="79D6F7C7" w14:textId="55529AEF" w:rsidR="00702D0A" w:rsidRPr="00EA5420" w:rsidRDefault="00000000">
      <w:pPr>
        <w:spacing w:line="360" w:lineRule="auto"/>
      </w:pPr>
      <w:r>
        <w:t xml:space="preserve">I am a </w:t>
      </w:r>
      <w:r w:rsidR="00D005D1">
        <w:t>master’s</w:t>
      </w:r>
      <w:r>
        <w:t xml:space="preserve"> student conducting an independent academic study of experiences of Digital HRM at Keep. Eligible adult current employees, or former employees who left within the previous three years, are invited to one English-language interview lasting 45–60 minutes. Participants must have at least six months' relevant experience, direct experience of one focal Digital HRM </w:t>
      </w:r>
      <w:r w:rsidR="00D005D1">
        <w:t>area</w:t>
      </w:r>
      <w:r w:rsidR="00D005D1">
        <w:rPr>
          <w:rFonts w:ascii="宋体" w:eastAsia="宋体" w:hAnsi="宋体" w:cs="宋体"/>
          <w:lang w:eastAsia="zh-CN"/>
        </w:rPr>
        <w:t>.</w:t>
      </w:r>
      <w:r w:rsidR="00D005D1">
        <w:t xml:space="preserve"> Participation</w:t>
      </w:r>
      <w:r>
        <w:t xml:space="preserve"> is voluntary. Keep will not be told who participates and will not receive individual responses. Anyone interested should contact the researcher directly rather than enrol through a line manager.</w:t>
      </w:r>
    </w:p>
    <w:p w14:paraId="570328E2" w14:textId="36D975BF" w:rsidR="00702D0A" w:rsidRPr="00995C18" w:rsidRDefault="00000000">
      <w:pPr>
        <w:spacing w:line="360" w:lineRule="auto"/>
        <w:rPr>
          <w:rFonts w:eastAsia="宋体"/>
          <w:lang w:eastAsia="zh-CN"/>
        </w:rPr>
      </w:pPr>
      <w:r w:rsidRPr="00EA5420">
        <w:t>A gatekeeper is asked only to circulate the same invitation to potentially eligible people. The gatekeeper will not select participants, attend interviews, receive a participant list or access raw data, and will not influence whether an employee participates or withdraws.</w:t>
      </w:r>
    </w:p>
    <w:sectPr w:rsidR="00702D0A" w:rsidRPr="00995C18" w:rsidSect="00034616">
      <w:headerReference w:type="default" r:id="rId8"/>
      <w:footerReference w:type="default" r:id="rId9"/>
      <w:pgSz w:w="11905" w:h="16838"/>
      <w:pgMar w:top="1417" w:right="1417" w:bottom="1417" w:left="1417" w:header="648"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073ED" w14:textId="77777777" w:rsidR="00681B25" w:rsidRPr="00EA5420" w:rsidRDefault="00681B25">
      <w:pPr>
        <w:spacing w:line="240" w:lineRule="auto"/>
      </w:pPr>
      <w:r w:rsidRPr="00EA5420">
        <w:separator/>
      </w:r>
    </w:p>
  </w:endnote>
  <w:endnote w:type="continuationSeparator" w:id="0">
    <w:p w14:paraId="71754569" w14:textId="77777777" w:rsidR="00681B25" w:rsidRPr="00EA5420" w:rsidRDefault="00681B25">
      <w:pPr>
        <w:spacing w:line="240" w:lineRule="auto"/>
      </w:pPr>
      <w:r w:rsidRPr="00EA54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5EEC3" w14:textId="77777777" w:rsidR="00702D0A" w:rsidRPr="00EA5420" w:rsidRDefault="00000000">
    <w:pPr>
      <w:pStyle w:val="a6"/>
      <w:jc w:val="center"/>
    </w:pPr>
    <w:r w:rsidRPr="00EA5420">
      <w:rPr>
        <w:sz w:val="20"/>
        <w:szCs w:val="20"/>
      </w:rPr>
      <w:fldChar w:fldCharType="begin"/>
    </w:r>
    <w:r w:rsidRPr="00EA5420">
      <w:rPr>
        <w:sz w:val="20"/>
        <w:szCs w:val="20"/>
      </w:rPr>
      <w:instrText xml:space="preserve"> PAGE </w:instrText>
    </w:r>
    <w:r w:rsidRPr="00EA5420">
      <w:rPr>
        <w:sz w:val="20"/>
        <w:szCs w:val="20"/>
      </w:rPr>
      <w:fldChar w:fldCharType="separate"/>
    </w:r>
    <w:r w:rsidRPr="00EA5420">
      <w:rPr>
        <w:sz w:val="20"/>
        <w:szCs w:val="20"/>
      </w:rPr>
      <w:t>1</w:t>
    </w:r>
    <w:r w:rsidRPr="00EA5420">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86C2" w14:textId="77777777" w:rsidR="00681B25" w:rsidRPr="00EA5420" w:rsidRDefault="00681B25">
      <w:pPr>
        <w:spacing w:line="240" w:lineRule="auto"/>
      </w:pPr>
      <w:r w:rsidRPr="00EA5420">
        <w:separator/>
      </w:r>
    </w:p>
  </w:footnote>
  <w:footnote w:type="continuationSeparator" w:id="0">
    <w:p w14:paraId="7060EE3A" w14:textId="77777777" w:rsidR="00681B25" w:rsidRPr="00EA5420" w:rsidRDefault="00681B25">
      <w:pPr>
        <w:spacing w:line="240" w:lineRule="auto"/>
      </w:pPr>
      <w:r w:rsidRPr="00EA54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6E4C" w14:textId="74036D48" w:rsidR="00702D0A" w:rsidRPr="00EA5420" w:rsidRDefault="00702D0A">
    <w:pPr>
      <w:pStyle w:val="a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0A566FB"/>
    <w:multiLevelType w:val="hybridMultilevel"/>
    <w:tmpl w:val="D8FE2C4E"/>
    <w:lvl w:ilvl="0" w:tplc="0409000F">
      <w:start w:val="1"/>
      <w:numFmt w:val="decimal"/>
      <w:lvlText w:val="%1."/>
      <w:lvlJc w:val="left"/>
      <w:pPr>
        <w:ind w:left="1007" w:hanging="440"/>
      </w:p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10" w15:restartNumberingAfterBreak="0">
    <w:nsid w:val="15FF0031"/>
    <w:multiLevelType w:val="hybridMultilevel"/>
    <w:tmpl w:val="1E8A1C34"/>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D41498F"/>
    <w:multiLevelType w:val="singleLevel"/>
    <w:tmpl w:val="5276DCF2"/>
    <w:lvl w:ilvl="0">
      <w:start w:val="1"/>
      <w:numFmt w:val="decimal"/>
      <w:pStyle w:val="a"/>
      <w:lvlText w:val="%1."/>
      <w:lvlJc w:val="left"/>
      <w:pPr>
        <w:tabs>
          <w:tab w:val="num" w:pos="720"/>
        </w:tabs>
        <w:ind w:left="720" w:hanging="360"/>
      </w:pPr>
    </w:lvl>
  </w:abstractNum>
  <w:abstractNum w:abstractNumId="12" w15:restartNumberingAfterBreak="0">
    <w:nsid w:val="3AF51858"/>
    <w:multiLevelType w:val="singleLevel"/>
    <w:tmpl w:val="39501AE2"/>
    <w:lvl w:ilvl="0">
      <w:start w:val="1"/>
      <w:numFmt w:val="decimal"/>
      <w:lvlText w:val="%1."/>
      <w:lvlJc w:val="left"/>
      <w:pPr>
        <w:tabs>
          <w:tab w:val="num" w:pos="720"/>
        </w:tabs>
        <w:ind w:left="720" w:hanging="360"/>
      </w:pPr>
    </w:lvl>
  </w:abstractNum>
  <w:abstractNum w:abstractNumId="13" w15:restartNumberingAfterBreak="0">
    <w:nsid w:val="3E016AA8"/>
    <w:multiLevelType w:val="singleLevel"/>
    <w:tmpl w:val="D5FCAD4C"/>
    <w:lvl w:ilvl="0">
      <w:start w:val="1"/>
      <w:numFmt w:val="decimal"/>
      <w:lvlText w:val="%1."/>
      <w:lvlJc w:val="left"/>
      <w:pPr>
        <w:tabs>
          <w:tab w:val="num" w:pos="720"/>
        </w:tabs>
        <w:ind w:left="720" w:hanging="360"/>
      </w:pPr>
    </w:lvl>
  </w:abstractNum>
  <w:abstractNum w:abstractNumId="14" w15:restartNumberingAfterBreak="0">
    <w:nsid w:val="47793900"/>
    <w:multiLevelType w:val="hybridMultilevel"/>
    <w:tmpl w:val="03E0130A"/>
    <w:lvl w:ilvl="0" w:tplc="0409000F">
      <w:start w:val="1"/>
      <w:numFmt w:val="decimal"/>
      <w:lvlText w:val="%1."/>
      <w:lvlJc w:val="left"/>
      <w:pPr>
        <w:ind w:left="724" w:hanging="440"/>
      </w:pPr>
    </w:lvl>
    <w:lvl w:ilvl="1" w:tplc="04090019" w:tentative="1">
      <w:start w:val="1"/>
      <w:numFmt w:val="lowerLetter"/>
      <w:lvlText w:val="%2)"/>
      <w:lvlJc w:val="left"/>
      <w:pPr>
        <w:ind w:left="1164" w:hanging="440"/>
      </w:pPr>
    </w:lvl>
    <w:lvl w:ilvl="2" w:tplc="0409001B" w:tentative="1">
      <w:start w:val="1"/>
      <w:numFmt w:val="lowerRoman"/>
      <w:lvlText w:val="%3."/>
      <w:lvlJc w:val="right"/>
      <w:pPr>
        <w:ind w:left="1604" w:hanging="440"/>
      </w:pPr>
    </w:lvl>
    <w:lvl w:ilvl="3" w:tplc="0409000F" w:tentative="1">
      <w:start w:val="1"/>
      <w:numFmt w:val="decimal"/>
      <w:lvlText w:val="%4."/>
      <w:lvlJc w:val="left"/>
      <w:pPr>
        <w:ind w:left="2044" w:hanging="440"/>
      </w:pPr>
    </w:lvl>
    <w:lvl w:ilvl="4" w:tplc="04090019" w:tentative="1">
      <w:start w:val="1"/>
      <w:numFmt w:val="lowerLetter"/>
      <w:lvlText w:val="%5)"/>
      <w:lvlJc w:val="left"/>
      <w:pPr>
        <w:ind w:left="2484" w:hanging="440"/>
      </w:pPr>
    </w:lvl>
    <w:lvl w:ilvl="5" w:tplc="0409001B" w:tentative="1">
      <w:start w:val="1"/>
      <w:numFmt w:val="lowerRoman"/>
      <w:lvlText w:val="%6."/>
      <w:lvlJc w:val="right"/>
      <w:pPr>
        <w:ind w:left="2924" w:hanging="440"/>
      </w:pPr>
    </w:lvl>
    <w:lvl w:ilvl="6" w:tplc="0409000F" w:tentative="1">
      <w:start w:val="1"/>
      <w:numFmt w:val="decimal"/>
      <w:lvlText w:val="%7."/>
      <w:lvlJc w:val="left"/>
      <w:pPr>
        <w:ind w:left="3364" w:hanging="440"/>
      </w:pPr>
    </w:lvl>
    <w:lvl w:ilvl="7" w:tplc="04090019" w:tentative="1">
      <w:start w:val="1"/>
      <w:numFmt w:val="lowerLetter"/>
      <w:lvlText w:val="%8)"/>
      <w:lvlJc w:val="left"/>
      <w:pPr>
        <w:ind w:left="3804" w:hanging="440"/>
      </w:pPr>
    </w:lvl>
    <w:lvl w:ilvl="8" w:tplc="0409001B" w:tentative="1">
      <w:start w:val="1"/>
      <w:numFmt w:val="lowerRoman"/>
      <w:lvlText w:val="%9."/>
      <w:lvlJc w:val="right"/>
      <w:pPr>
        <w:ind w:left="4244" w:hanging="440"/>
      </w:pPr>
    </w:lvl>
  </w:abstractNum>
  <w:abstractNum w:abstractNumId="15" w15:restartNumberingAfterBreak="0">
    <w:nsid w:val="5D74705B"/>
    <w:multiLevelType w:val="singleLevel"/>
    <w:tmpl w:val="33C42F7C"/>
    <w:lvl w:ilvl="0">
      <w:start w:val="1"/>
      <w:numFmt w:val="decimal"/>
      <w:lvlText w:val="%1."/>
      <w:lvlJc w:val="left"/>
      <w:pPr>
        <w:tabs>
          <w:tab w:val="num" w:pos="720"/>
        </w:tabs>
        <w:ind w:left="720" w:hanging="360"/>
      </w:pPr>
    </w:lvl>
  </w:abstractNum>
  <w:abstractNum w:abstractNumId="16" w15:restartNumberingAfterBreak="0">
    <w:nsid w:val="5E4D6751"/>
    <w:multiLevelType w:val="hybridMultilevel"/>
    <w:tmpl w:val="98E2A4D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239553877">
    <w:abstractNumId w:val="11"/>
    <w:lvlOverride w:ilvl="0">
      <w:startOverride w:val="1"/>
    </w:lvlOverride>
  </w:num>
  <w:num w:numId="2" w16cid:durableId="1098790620">
    <w:abstractNumId w:val="14"/>
  </w:num>
  <w:num w:numId="3" w16cid:durableId="2518266">
    <w:abstractNumId w:val="9"/>
  </w:num>
  <w:num w:numId="4" w16cid:durableId="478690791">
    <w:abstractNumId w:val="11"/>
    <w:lvlOverride w:ilvl="0">
      <w:startOverride w:val="1"/>
    </w:lvlOverride>
  </w:num>
  <w:num w:numId="5" w16cid:durableId="413549135">
    <w:abstractNumId w:val="10"/>
  </w:num>
  <w:num w:numId="6" w16cid:durableId="1405416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323B"/>
    <w:rsid w:val="0015074B"/>
    <w:rsid w:val="00197B1B"/>
    <w:rsid w:val="00204F92"/>
    <w:rsid w:val="0029639D"/>
    <w:rsid w:val="00326F90"/>
    <w:rsid w:val="005A7456"/>
    <w:rsid w:val="00681B25"/>
    <w:rsid w:val="00702D0A"/>
    <w:rsid w:val="007B19D2"/>
    <w:rsid w:val="00995C18"/>
    <w:rsid w:val="00AA1D8D"/>
    <w:rsid w:val="00B47730"/>
    <w:rsid w:val="00C3078D"/>
    <w:rsid w:val="00C36735"/>
    <w:rsid w:val="00CB0664"/>
    <w:rsid w:val="00CC33B0"/>
    <w:rsid w:val="00D005D1"/>
    <w:rsid w:val="00EA5420"/>
    <w:rsid w:val="00ED2250"/>
    <w:rsid w:val="00F9455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4F3285"/>
  <w14:defaultImageDpi w14:val="300"/>
  <w15:docId w15:val="{A5D069A7-1824-4166-8965-7CC055FB1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C693F"/>
    <w:pPr>
      <w:spacing w:after="0" w:line="480" w:lineRule="auto"/>
      <w:jc w:val="both"/>
    </w:pPr>
    <w:rPr>
      <w:rFonts w:ascii="Times New Roman" w:eastAsia="Times New Roman" w:hAnsi="Times New Roman"/>
      <w:color w:val="000000"/>
      <w:sz w:val="24"/>
      <w:szCs w:val="24"/>
      <w:lang w:val="en-GB"/>
    </w:rPr>
  </w:style>
  <w:style w:type="paragraph" w:styleId="1">
    <w:name w:val="heading 1"/>
    <w:basedOn w:val="a0"/>
    <w:next w:val="a0"/>
    <w:link w:val="10"/>
    <w:uiPriority w:val="9"/>
    <w:qFormat/>
    <w:rsid w:val="00FC693F"/>
    <w:pPr>
      <w:keepNext/>
      <w:keepLines/>
      <w:spacing w:before="240" w:after="120" w:line="276" w:lineRule="auto"/>
      <w:outlineLvl w:val="0"/>
    </w:pPr>
    <w:rPr>
      <w:b/>
      <w:bCs/>
      <w:sz w:val="28"/>
      <w:szCs w:val="28"/>
    </w:rPr>
  </w:style>
  <w:style w:type="paragraph" w:styleId="2">
    <w:name w:val="heading 2"/>
    <w:basedOn w:val="a0"/>
    <w:next w:val="a0"/>
    <w:link w:val="20"/>
    <w:uiPriority w:val="9"/>
    <w:unhideWhenUsed/>
    <w:qFormat/>
    <w:rsid w:val="00FC693F"/>
    <w:pPr>
      <w:keepNext/>
      <w:keepLines/>
      <w:spacing w:before="200" w:after="80" w:line="276" w:lineRule="auto"/>
      <w:outlineLvl w:val="1"/>
    </w:pPr>
    <w:rPr>
      <w:b/>
      <w:bCs/>
    </w:rPr>
  </w:style>
  <w:style w:type="paragraph" w:styleId="3">
    <w:name w:val="heading 3"/>
    <w:basedOn w:val="a0"/>
    <w:next w:val="a0"/>
    <w:link w:val="30"/>
    <w:uiPriority w:val="9"/>
    <w:unhideWhenUsed/>
    <w:qFormat/>
    <w:rsid w:val="00FC693F"/>
    <w:pPr>
      <w:keepNext/>
      <w:keepLines/>
      <w:spacing w:before="160" w:after="60" w:line="276" w:lineRule="auto"/>
      <w:outlineLvl w:val="2"/>
    </w:pPr>
    <w:rPr>
      <w:bCs/>
      <w:i/>
    </w:rPr>
  </w:style>
  <w:style w:type="paragraph" w:styleId="4">
    <w:name w:val="heading 4"/>
    <w:basedOn w:val="a0"/>
    <w:next w:val="a0"/>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line="240" w:lineRule="auto"/>
    </w:pPr>
  </w:style>
  <w:style w:type="character" w:customStyle="1" w:styleId="a5">
    <w:name w:val="页眉 字符"/>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line="240" w:lineRule="auto"/>
    </w:pPr>
  </w:style>
  <w:style w:type="character" w:customStyle="1" w:styleId="a7">
    <w:name w:val="页脚 字符"/>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标题 1 字符"/>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标题 2 字符"/>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标题 3 字符"/>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pBdr>
        <w:bottom w:val="single" w:sz="8" w:space="4" w:color="4F81BD" w:themeColor="accent1"/>
      </w:pBdr>
      <w:spacing w:after="200" w:line="276" w:lineRule="auto"/>
      <w:contextualSpacing/>
      <w:jc w:val="center"/>
    </w:pPr>
    <w:rPr>
      <w:b/>
      <w:spacing w:val="5"/>
      <w:kern w:val="28"/>
      <w:sz w:val="36"/>
      <w:szCs w:val="36"/>
    </w:rPr>
  </w:style>
  <w:style w:type="character" w:customStyle="1" w:styleId="aa">
    <w:name w:val="标题 字符"/>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spacing w:after="480"/>
      <w:jc w:val="center"/>
    </w:pPr>
    <w:rPr>
      <w:i/>
      <w:iCs/>
      <w:spacing w:val="15"/>
      <w:sz w:val="26"/>
      <w:szCs w:val="26"/>
    </w:rPr>
  </w:style>
  <w:style w:type="character" w:customStyle="1" w:styleId="ac">
    <w:name w:val="副标题 字符"/>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pPr>
      <w:spacing w:after="120"/>
    </w:pPr>
  </w:style>
  <w:style w:type="character" w:customStyle="1" w:styleId="af">
    <w:name w:val="正文文本 字符"/>
    <w:basedOn w:val="a1"/>
    <w:link w:val="ae"/>
    <w:uiPriority w:val="99"/>
    <w:rsid w:val="00AA1D8D"/>
  </w:style>
  <w:style w:type="paragraph" w:styleId="21">
    <w:name w:val="Body Text 2"/>
    <w:basedOn w:val="a0"/>
    <w:link w:val="22"/>
    <w:uiPriority w:val="99"/>
    <w:unhideWhenUsed/>
    <w:rsid w:val="00AA1D8D"/>
    <w:pPr>
      <w:spacing w:after="120"/>
    </w:pPr>
  </w:style>
  <w:style w:type="character" w:customStyle="1" w:styleId="22">
    <w:name w:val="正文文本 2 字符"/>
    <w:basedOn w:val="a1"/>
    <w:link w:val="21"/>
    <w:uiPriority w:val="99"/>
    <w:rsid w:val="00AA1D8D"/>
  </w:style>
  <w:style w:type="paragraph" w:styleId="31">
    <w:name w:val="Body Text 3"/>
    <w:basedOn w:val="a0"/>
    <w:link w:val="32"/>
    <w:uiPriority w:val="99"/>
    <w:unhideWhenUsed/>
    <w:rsid w:val="00AA1D8D"/>
    <w:pPr>
      <w:spacing w:after="120"/>
    </w:pPr>
    <w:rPr>
      <w:sz w:val="16"/>
      <w:szCs w:val="16"/>
    </w:rPr>
  </w:style>
  <w:style w:type="character" w:customStyle="1" w:styleId="32">
    <w:name w:val="正文文本 3 字符"/>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ind w:left="720" w:hanging="360"/>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spacing w:after="120"/>
      <w:ind w:left="360"/>
      <w:contextualSpacing/>
    </w:pPr>
  </w:style>
  <w:style w:type="paragraph" w:styleId="26">
    <w:name w:val="List Continue 2"/>
    <w:basedOn w:val="a0"/>
    <w:uiPriority w:val="99"/>
    <w:unhideWhenUsed/>
    <w:rsid w:val="0029639D"/>
    <w:pPr>
      <w:spacing w:after="120"/>
      <w:ind w:left="720"/>
      <w:contextualSpacing/>
    </w:pPr>
  </w:style>
  <w:style w:type="paragraph" w:styleId="36">
    <w:name w:val="List Continue 3"/>
    <w:basedOn w:val="a0"/>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1"/>
    <w:link w:val="af3"/>
    <w:uiPriority w:val="99"/>
    <w:rsid w:val="0029639D"/>
    <w:rPr>
      <w:rFonts w:ascii="Courier" w:hAnsi="Courier"/>
      <w:sz w:val="20"/>
      <w:szCs w:val="20"/>
    </w:rPr>
  </w:style>
  <w:style w:type="paragraph" w:styleId="af5">
    <w:name w:val="Quote"/>
    <w:basedOn w:val="a0"/>
    <w:next w:val="a0"/>
    <w:link w:val="af6"/>
    <w:uiPriority w:val="29"/>
    <w:qFormat/>
    <w:rsid w:val="00FC693F"/>
    <w:rPr>
      <w:i/>
      <w:iCs/>
      <w:color w:val="000000" w:themeColor="text1"/>
    </w:rPr>
  </w:style>
  <w:style w:type="character" w:customStyle="1" w:styleId="af6">
    <w:name w:val="引用 字符"/>
    <w:basedOn w:val="a1"/>
    <w:link w:val="af5"/>
    <w:uiPriority w:val="29"/>
    <w:rsid w:val="00FC693F"/>
    <w:rPr>
      <w:i/>
      <w:iCs/>
      <w:color w:val="000000" w:themeColor="text1"/>
    </w:rPr>
  </w:style>
  <w:style w:type="character" w:customStyle="1" w:styleId="40">
    <w:name w:val="标题 4 字符"/>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8">
    <w:name w:val="Strong"/>
    <w:basedOn w:val="a1"/>
    <w:uiPriority w:val="22"/>
    <w:qFormat/>
    <w:rsid w:val="00FC693F"/>
    <w:rPr>
      <w:b/>
      <w:bCs/>
    </w:rPr>
  </w:style>
  <w:style w:type="character" w:styleId="af9">
    <w:name w:val="Emphasis"/>
    <w:basedOn w:val="a1"/>
    <w:uiPriority w:val="20"/>
    <w:qFormat/>
    <w:rsid w:val="00FC693F"/>
    <w:rPr>
      <w:i/>
      <w:iCs/>
    </w:rPr>
  </w:style>
  <w:style w:type="paragraph" w:styleId="afa">
    <w:name w:val="Intense Quote"/>
    <w:basedOn w:val="a0"/>
    <w:next w:val="a0"/>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1"/>
    <w:link w:val="afa"/>
    <w:uiPriority w:val="30"/>
    <w:rsid w:val="00FC693F"/>
    <w:rPr>
      <w:b/>
      <w:bCs/>
      <w:i/>
      <w:iCs/>
      <w:color w:val="4F81BD" w:themeColor="accent1"/>
    </w:rPr>
  </w:style>
  <w:style w:type="character" w:styleId="afc">
    <w:name w:val="Subtle Emphasis"/>
    <w:basedOn w:val="a1"/>
    <w:uiPriority w:val="19"/>
    <w:qFormat/>
    <w:rsid w:val="00FC693F"/>
    <w:rPr>
      <w:i/>
      <w:iCs/>
      <w:color w:val="808080" w:themeColor="text1" w:themeTint="7F"/>
    </w:rPr>
  </w:style>
  <w:style w:type="character" w:styleId="afd">
    <w:name w:val="Intense Emphasis"/>
    <w:basedOn w:val="a1"/>
    <w:uiPriority w:val="21"/>
    <w:qFormat/>
    <w:rsid w:val="00FC693F"/>
    <w:rPr>
      <w:b/>
      <w:bCs/>
      <w:i/>
      <w:iCs/>
      <w:color w:val="4F81BD" w:themeColor="accent1"/>
    </w:rPr>
  </w:style>
  <w:style w:type="character" w:styleId="afe">
    <w:name w:val="Subtle Reference"/>
    <w:basedOn w:val="a1"/>
    <w:uiPriority w:val="31"/>
    <w:qFormat/>
    <w:rsid w:val="00FC693F"/>
    <w:rPr>
      <w:smallCaps/>
      <w:color w:val="C0504D" w:themeColor="accent2"/>
      <w:u w:val="single"/>
    </w:rPr>
  </w:style>
  <w:style w:type="character" w:styleId="aff">
    <w:name w:val="Intense Reference"/>
    <w:basedOn w:val="a1"/>
    <w:uiPriority w:val="32"/>
    <w:qFormat/>
    <w:rsid w:val="00FC693F"/>
    <w:rPr>
      <w:b/>
      <w:bCs/>
      <w:smallCaps/>
      <w:color w:val="C0504D" w:themeColor="accent2"/>
      <w:spacing w:val="5"/>
      <w:u w:val="single"/>
    </w:rPr>
  </w:style>
  <w:style w:type="character" w:styleId="aff0">
    <w:name w:val="Book Title"/>
    <w:basedOn w:val="a1"/>
    <w:uiPriority w:val="33"/>
    <w:qFormat/>
    <w:rsid w:val="00FC693F"/>
    <w:rPr>
      <w:b/>
      <w:bCs/>
      <w:smallCaps/>
      <w:spacing w:val="5"/>
    </w:rPr>
  </w:style>
  <w:style w:type="paragraph" w:styleId="TOC">
    <w:name w:val="TOC Heading"/>
    <w:basedOn w:val="1"/>
    <w:next w:val="a0"/>
    <w:uiPriority w:val="39"/>
    <w:unhideWhenUsed/>
    <w:qFormat/>
    <w:rsid w:val="00FC693F"/>
    <w:pPr>
      <w:outlineLvl w:val="9"/>
    </w:pPr>
  </w:style>
  <w:style w:type="table" w:styleId="aff1">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Caption">
    <w:name w:val="Table Caption"/>
    <w:pPr>
      <w:keepNext/>
      <w:spacing w:before="120" w:after="80"/>
    </w:pPr>
    <w:rPr>
      <w:rFonts w:ascii="Times New Roman" w:eastAsia="Times New Roman" w:hAnsi="Times New Roman"/>
      <w:b/>
      <w:color w:val="000000"/>
    </w:rPr>
  </w:style>
  <w:style w:type="paragraph" w:customStyle="1" w:styleId="Reference">
    <w:name w:val="Reference"/>
    <w:pPr>
      <w:spacing w:after="0" w:line="480" w:lineRule="auto"/>
      <w:ind w:left="432" w:hanging="432"/>
    </w:pPr>
    <w:rPr>
      <w:rFonts w:ascii="Times New Roman" w:eastAsia="Times New Roman" w:hAnsi="Times New Roman"/>
      <w:color w:val="000000"/>
      <w:sz w:val="24"/>
      <w:szCs w:val="24"/>
    </w:rPr>
  </w:style>
  <w:style w:type="character" w:styleId="aff9">
    <w:name w:val="line number"/>
    <w:basedOn w:val="a1"/>
    <w:uiPriority w:val="99"/>
    <w:semiHidden/>
    <w:unhideWhenUsed/>
    <w:rsid w:val="00CC33B0"/>
  </w:style>
  <w:style w:type="paragraph" w:styleId="TOC1">
    <w:name w:val="toc 1"/>
    <w:basedOn w:val="a0"/>
    <w:next w:val="a0"/>
    <w:autoRedefine/>
    <w:uiPriority w:val="39"/>
    <w:unhideWhenUsed/>
    <w:rsid w:val="00995C18"/>
  </w:style>
  <w:style w:type="paragraph" w:styleId="TOC2">
    <w:name w:val="toc 2"/>
    <w:basedOn w:val="a0"/>
    <w:next w:val="a0"/>
    <w:autoRedefine/>
    <w:uiPriority w:val="39"/>
    <w:unhideWhenUsed/>
    <w:rsid w:val="00995C18"/>
    <w:pPr>
      <w:ind w:leftChars="200" w:left="420"/>
    </w:pPr>
  </w:style>
  <w:style w:type="character" w:styleId="affa">
    <w:name w:val="Hyperlink"/>
    <w:basedOn w:val="a1"/>
    <w:uiPriority w:val="99"/>
    <w:unhideWhenUsed/>
    <w:rsid w:val="00995C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33</Pages>
  <Words>8137</Words>
  <Characters>46386</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54415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Optimisation of Human Resource Management at Keep: A Qualitative Study of Digital Learning, Performance Management and Employee Engagement</dc:title>
  <dc:subject>BMMB7028 qualitative research proposal</dc:subject>
  <dc:creator>[Insert student name]</dc:creator>
  <cp:keywords/>
  <dc:description>generated by python-docx</dc:description>
  <cp:lastModifiedBy>V66884</cp:lastModifiedBy>
  <cp:revision>4</cp:revision>
  <dcterms:created xsi:type="dcterms:W3CDTF">2013-12-23T23:15:00Z</dcterms:created>
  <dcterms:modified xsi:type="dcterms:W3CDTF">2026-07-12T20:04:00Z</dcterms:modified>
  <cp:category/>
</cp:coreProperties>
</file>