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13654" w:rsidR="00013654" w:rsidP="00013654" w:rsidRDefault="00013654" w14:paraId="261E669E" w14:textId="2C13386F">
      <w:pPr>
        <w:rPr>
          <w:b/>
          <w:bCs/>
          <w:sz w:val="28"/>
          <w:szCs w:val="28"/>
          <w:lang w:val="en-GB"/>
        </w:rPr>
      </w:pPr>
      <w:r w:rsidRPr="00013654">
        <w:rPr>
          <w:lang w:val="en-GB"/>
        </w:rPr>
        <w:t>  </w:t>
      </w:r>
      <w:r>
        <w:rPr>
          <w:lang w:val="en-GB"/>
        </w:rPr>
        <w:t xml:space="preserve">                                      </w:t>
      </w:r>
      <w:r w:rsidRPr="00013654">
        <w:rPr>
          <w:lang w:val="en-GB"/>
        </w:rPr>
        <w:t>  </w:t>
      </w:r>
      <w:r w:rsidRPr="00013654">
        <w:rPr>
          <w:b/>
          <w:bCs/>
          <w:sz w:val="28"/>
          <w:szCs w:val="28"/>
          <w:lang w:val="en-GB"/>
        </w:rPr>
        <w:t>Modul Name: LCLM 5001 </w:t>
      </w:r>
    </w:p>
    <w:p w:rsidRPr="00013654" w:rsidR="00013654" w:rsidP="00013654" w:rsidRDefault="00013654" w14:paraId="77536FFF" w14:textId="09BFC51F">
      <w:pPr>
        <w:rPr>
          <w:lang w:val="en-GB"/>
        </w:rPr>
      </w:pPr>
      <w:r w:rsidRPr="199BC9C1" w:rsidR="00013654">
        <w:rPr>
          <w:b w:val="1"/>
          <w:bCs w:val="1"/>
          <w:lang w:val="en-GB"/>
        </w:rPr>
        <w:t>                                        Lecture Name: Sharin </w:t>
      </w:r>
      <w:r w:rsidRPr="199BC9C1" w:rsidR="00013654">
        <w:rPr>
          <w:b w:val="1"/>
          <w:bCs w:val="1"/>
          <w:lang w:val="en-GB"/>
        </w:rPr>
        <w:t>Mc</w:t>
      </w:r>
      <w:r w:rsidRPr="199BC9C1" w:rsidR="07FF7AE2">
        <w:rPr>
          <w:b w:val="1"/>
          <w:bCs w:val="1"/>
          <w:lang w:val="en-GB"/>
        </w:rPr>
        <w:t>D</w:t>
      </w:r>
      <w:r w:rsidRPr="199BC9C1" w:rsidR="00013654">
        <w:rPr>
          <w:b w:val="1"/>
          <w:bCs w:val="1"/>
          <w:lang w:val="en-GB"/>
        </w:rPr>
        <w:t>owall-Emefiele</w:t>
      </w:r>
      <w:r w:rsidRPr="199BC9C1" w:rsidR="00013654">
        <w:rPr>
          <w:lang w:val="en-GB"/>
        </w:rPr>
        <w:t> </w:t>
      </w:r>
    </w:p>
    <w:p w:rsidRPr="00013654" w:rsidR="00013654" w:rsidP="00013654" w:rsidRDefault="00013654" w14:paraId="56FC771B" w14:textId="77777777">
      <w:pPr>
        <w:rPr>
          <w:lang w:val="en-GB"/>
        </w:rPr>
      </w:pPr>
      <w:r w:rsidRPr="00013654">
        <w:rPr>
          <w:b/>
          <w:bCs/>
          <w:lang w:val="en-GB"/>
        </w:rPr>
        <w:t>                                       Student Name: Adnan Rasheed Khan</w:t>
      </w:r>
      <w:r w:rsidRPr="00013654">
        <w:rPr>
          <w:lang w:val="en-GB"/>
        </w:rPr>
        <w:t> </w:t>
      </w:r>
    </w:p>
    <w:p w:rsidRPr="00013654" w:rsidR="00013654" w:rsidP="00013654" w:rsidRDefault="00013654" w14:paraId="2E722F2F" w14:textId="77777777">
      <w:pPr>
        <w:rPr>
          <w:lang w:val="en-GB"/>
        </w:rPr>
      </w:pPr>
      <w:r w:rsidRPr="00013654">
        <w:rPr>
          <w:b/>
          <w:bCs/>
          <w:lang w:val="en-GB"/>
        </w:rPr>
        <w:t>                                       Student Number:2408399</w:t>
      </w:r>
      <w:r w:rsidRPr="00013654">
        <w:rPr>
          <w:lang w:val="en-GB"/>
        </w:rPr>
        <w:t> </w:t>
      </w:r>
    </w:p>
    <w:p w:rsidRPr="00013654" w:rsidR="00013654" w:rsidP="00013654" w:rsidRDefault="00013654" w14:paraId="6D88F8E3" w14:textId="77777777">
      <w:pPr>
        <w:rPr>
          <w:lang w:val="en-GB"/>
        </w:rPr>
      </w:pPr>
      <w:r w:rsidRPr="00013654">
        <w:rPr>
          <w:lang w:val="en-GB"/>
        </w:rPr>
        <w:t> </w:t>
      </w:r>
    </w:p>
    <w:p w:rsidRPr="00013654" w:rsidR="00013654" w:rsidP="00013654" w:rsidRDefault="00013654" w14:paraId="3AC0FC00" w14:textId="77777777">
      <w:pPr>
        <w:rPr>
          <w:lang w:val="en-GB"/>
        </w:rPr>
      </w:pPr>
      <w:r w:rsidRPr="00013654">
        <w:rPr>
          <w:lang w:val="en-GB"/>
        </w:rPr>
        <w:t> </w:t>
      </w:r>
    </w:p>
    <w:p w:rsidRPr="00013654" w:rsidR="00013654" w:rsidP="00013654" w:rsidRDefault="00013654" w14:paraId="18905642" w14:textId="77777777">
      <w:pPr>
        <w:rPr>
          <w:lang w:val="en-GB"/>
        </w:rPr>
      </w:pPr>
      <w:r w:rsidRPr="00013654">
        <w:rPr>
          <w:lang w:val="en-GB"/>
        </w:rPr>
        <w:t> </w:t>
      </w:r>
    </w:p>
    <w:p w:rsidRPr="00013654" w:rsidR="00013654" w:rsidP="00013654" w:rsidRDefault="00013654" w14:paraId="7449D5AD" w14:textId="77777777">
      <w:pPr>
        <w:rPr>
          <w:lang w:val="en-GB"/>
        </w:rPr>
      </w:pPr>
      <w:r w:rsidRPr="00013654">
        <w:rPr>
          <w:lang w:val="en-GB"/>
        </w:rPr>
        <w:t> </w:t>
      </w:r>
    </w:p>
    <w:p w:rsidRPr="00013654" w:rsidR="00013654" w:rsidP="00013654" w:rsidRDefault="00013654" w14:paraId="4F97346D" w14:textId="77777777">
      <w:pPr>
        <w:rPr>
          <w:sz w:val="28"/>
          <w:szCs w:val="28"/>
          <w:lang w:val="en-GB"/>
        </w:rPr>
      </w:pPr>
      <w:r w:rsidRPr="199BC9C1" w:rsidR="00013654">
        <w:rPr>
          <w:b w:val="1"/>
          <w:bCs w:val="1"/>
          <w:sz w:val="28"/>
          <w:szCs w:val="28"/>
          <w:lang w:val="en-GB"/>
        </w:rPr>
        <w:t>Table of content: </w:t>
      </w:r>
      <w:r w:rsidRPr="199BC9C1" w:rsidR="00013654">
        <w:rPr>
          <w:sz w:val="28"/>
          <w:szCs w:val="28"/>
          <w:lang w:val="en-GB"/>
        </w:rPr>
        <w:t> </w:t>
      </w:r>
    </w:p>
    <w:sdt>
      <w:sdtPr>
        <w:id w:val="1282641420"/>
        <w:docPartObj>
          <w:docPartGallery w:val="Table of Contents"/>
          <w:docPartUnique/>
        </w:docPartObj>
      </w:sdtPr>
      <w:sdtContent>
        <w:p w:rsidR="199BC9C1" w:rsidP="199BC9C1" w:rsidRDefault="199BC9C1" w14:paraId="3E6F810E" w14:textId="7FECFEA7">
          <w:pPr>
            <w:pStyle w:val="TOC1"/>
            <w:tabs>
              <w:tab w:val="right" w:leader="dot" w:pos="9360"/>
            </w:tabs>
            <w:bidi w:val="0"/>
            <w:rPr>
              <w:rStyle w:val="Hyperlink"/>
            </w:rPr>
          </w:pPr>
          <w:r>
            <w:fldChar w:fldCharType="begin"/>
          </w:r>
          <w:r>
            <w:instrText xml:space="preserve">TOC \o "1-9" \z \u \h</w:instrText>
          </w:r>
          <w:r>
            <w:fldChar w:fldCharType="separate"/>
          </w:r>
          <w:hyperlink w:anchor="_Toc835611943">
            <w:r w:rsidRPr="199BC9C1" w:rsidR="199BC9C1">
              <w:rPr>
                <w:rStyle w:val="Hyperlink"/>
              </w:rPr>
              <w:t>Introduction</w:t>
            </w:r>
            <w:r>
              <w:tab/>
            </w:r>
            <w:r>
              <w:fldChar w:fldCharType="begin"/>
            </w:r>
            <w:r>
              <w:instrText xml:space="preserve">PAGEREF _Toc835611943 \h</w:instrText>
            </w:r>
            <w:r>
              <w:fldChar w:fldCharType="separate"/>
            </w:r>
            <w:r w:rsidRPr="199BC9C1" w:rsidR="199BC9C1">
              <w:rPr>
                <w:rStyle w:val="Hyperlink"/>
              </w:rPr>
              <w:t>1</w:t>
            </w:r>
            <w:r>
              <w:fldChar w:fldCharType="end"/>
            </w:r>
          </w:hyperlink>
        </w:p>
        <w:p w:rsidR="199BC9C1" w:rsidP="199BC9C1" w:rsidRDefault="199BC9C1" w14:paraId="63D9DF60" w14:textId="10E5AA51">
          <w:pPr>
            <w:pStyle w:val="TOC1"/>
            <w:tabs>
              <w:tab w:val="right" w:leader="dot" w:pos="9360"/>
            </w:tabs>
            <w:bidi w:val="0"/>
            <w:rPr>
              <w:rStyle w:val="Hyperlink"/>
            </w:rPr>
          </w:pPr>
          <w:hyperlink w:anchor="_Toc830166160">
            <w:r w:rsidRPr="199BC9C1" w:rsidR="199BC9C1">
              <w:rPr>
                <w:rStyle w:val="Hyperlink"/>
              </w:rPr>
              <w:t>Company Appraisal</w:t>
            </w:r>
            <w:r>
              <w:tab/>
            </w:r>
            <w:r>
              <w:fldChar w:fldCharType="begin"/>
            </w:r>
            <w:r>
              <w:instrText xml:space="preserve">PAGEREF _Toc830166160 \h</w:instrText>
            </w:r>
            <w:r>
              <w:fldChar w:fldCharType="separate"/>
            </w:r>
            <w:r w:rsidRPr="199BC9C1" w:rsidR="199BC9C1">
              <w:rPr>
                <w:rStyle w:val="Hyperlink"/>
              </w:rPr>
              <w:t>2</w:t>
            </w:r>
            <w:r>
              <w:fldChar w:fldCharType="end"/>
            </w:r>
          </w:hyperlink>
        </w:p>
        <w:p w:rsidR="199BC9C1" w:rsidP="199BC9C1" w:rsidRDefault="199BC9C1" w14:paraId="32205D4E" w14:textId="535A8569">
          <w:pPr>
            <w:pStyle w:val="TOC2"/>
            <w:tabs>
              <w:tab w:val="right" w:leader="dot" w:pos="9360"/>
            </w:tabs>
            <w:bidi w:val="0"/>
            <w:rPr>
              <w:rStyle w:val="Hyperlink"/>
            </w:rPr>
          </w:pPr>
          <w:hyperlink w:anchor="_Toc1267323110">
            <w:r w:rsidRPr="199BC9C1" w:rsidR="199BC9C1">
              <w:rPr>
                <w:rStyle w:val="Hyperlink"/>
              </w:rPr>
              <w:t>A Realistic Look at Pi Health’s Wearable Launch: SWOT and Stakeholder Strategy</w:t>
            </w:r>
            <w:r>
              <w:tab/>
            </w:r>
            <w:r>
              <w:fldChar w:fldCharType="begin"/>
            </w:r>
            <w:r>
              <w:instrText xml:space="preserve">PAGEREF _Toc1267323110 \h</w:instrText>
            </w:r>
            <w:r>
              <w:fldChar w:fldCharType="separate"/>
            </w:r>
            <w:r w:rsidRPr="199BC9C1" w:rsidR="199BC9C1">
              <w:rPr>
                <w:rStyle w:val="Hyperlink"/>
              </w:rPr>
              <w:t>2</w:t>
            </w:r>
            <w:r>
              <w:fldChar w:fldCharType="end"/>
            </w:r>
          </w:hyperlink>
        </w:p>
        <w:p w:rsidR="199BC9C1" w:rsidP="199BC9C1" w:rsidRDefault="199BC9C1" w14:paraId="671D1143" w14:textId="23A8284F">
          <w:pPr>
            <w:pStyle w:val="TOC1"/>
            <w:tabs>
              <w:tab w:val="right" w:leader="dot" w:pos="9360"/>
            </w:tabs>
            <w:bidi w:val="0"/>
            <w:rPr>
              <w:rStyle w:val="Hyperlink"/>
            </w:rPr>
          </w:pPr>
          <w:hyperlink w:anchor="_Toc139184434">
            <w:r w:rsidRPr="199BC9C1" w:rsidR="199BC9C1">
              <w:rPr>
                <w:rStyle w:val="Hyperlink"/>
              </w:rPr>
              <w:t>Stakeholder Mapping</w:t>
            </w:r>
            <w:r>
              <w:tab/>
            </w:r>
            <w:r>
              <w:fldChar w:fldCharType="begin"/>
            </w:r>
            <w:r>
              <w:instrText xml:space="preserve">PAGEREF _Toc139184434 \h</w:instrText>
            </w:r>
            <w:r>
              <w:fldChar w:fldCharType="separate"/>
            </w:r>
            <w:r w:rsidRPr="199BC9C1" w:rsidR="199BC9C1">
              <w:rPr>
                <w:rStyle w:val="Hyperlink"/>
              </w:rPr>
              <w:t>3</w:t>
            </w:r>
            <w:r>
              <w:fldChar w:fldCharType="end"/>
            </w:r>
          </w:hyperlink>
        </w:p>
        <w:p w:rsidR="199BC9C1" w:rsidP="199BC9C1" w:rsidRDefault="199BC9C1" w14:paraId="6316DA32" w14:textId="5FC3972B">
          <w:pPr>
            <w:pStyle w:val="TOC2"/>
            <w:tabs>
              <w:tab w:val="right" w:leader="dot" w:pos="9360"/>
            </w:tabs>
            <w:bidi w:val="0"/>
            <w:rPr>
              <w:rStyle w:val="Hyperlink"/>
            </w:rPr>
          </w:pPr>
          <w:hyperlink w:anchor="_Toc706856130">
            <w:r w:rsidRPr="199BC9C1" w:rsidR="199BC9C1">
              <w:rPr>
                <w:rStyle w:val="Hyperlink"/>
              </w:rPr>
              <w:t>Stakeholders: Alignment Over Assumption</w:t>
            </w:r>
            <w:r>
              <w:tab/>
            </w:r>
            <w:r>
              <w:fldChar w:fldCharType="begin"/>
            </w:r>
            <w:r>
              <w:instrText xml:space="preserve">PAGEREF _Toc706856130 \h</w:instrText>
            </w:r>
            <w:r>
              <w:fldChar w:fldCharType="separate"/>
            </w:r>
            <w:r w:rsidRPr="199BC9C1" w:rsidR="199BC9C1">
              <w:rPr>
                <w:rStyle w:val="Hyperlink"/>
              </w:rPr>
              <w:t>3</w:t>
            </w:r>
            <w:r>
              <w:fldChar w:fldCharType="end"/>
            </w:r>
          </w:hyperlink>
        </w:p>
        <w:p w:rsidR="199BC9C1" w:rsidP="199BC9C1" w:rsidRDefault="199BC9C1" w14:paraId="39868B50" w14:textId="34881DBE">
          <w:pPr>
            <w:pStyle w:val="TOC3"/>
            <w:tabs>
              <w:tab w:val="right" w:leader="dot" w:pos="9360"/>
            </w:tabs>
            <w:bidi w:val="0"/>
            <w:rPr>
              <w:rStyle w:val="Hyperlink"/>
            </w:rPr>
          </w:pPr>
          <w:hyperlink w:anchor="_Toc2008684376">
            <w:r w:rsidRPr="199BC9C1" w:rsidR="199BC9C1">
              <w:rPr>
                <w:rStyle w:val="Hyperlink"/>
              </w:rPr>
              <w:t>Internal: Collaboration or Chaos?</w:t>
            </w:r>
            <w:r>
              <w:tab/>
            </w:r>
            <w:r>
              <w:fldChar w:fldCharType="begin"/>
            </w:r>
            <w:r>
              <w:instrText xml:space="preserve">PAGEREF _Toc2008684376 \h</w:instrText>
            </w:r>
            <w:r>
              <w:fldChar w:fldCharType="separate"/>
            </w:r>
            <w:r w:rsidRPr="199BC9C1" w:rsidR="199BC9C1">
              <w:rPr>
                <w:rStyle w:val="Hyperlink"/>
              </w:rPr>
              <w:t>3</w:t>
            </w:r>
            <w:r>
              <w:fldChar w:fldCharType="end"/>
            </w:r>
          </w:hyperlink>
        </w:p>
        <w:p w:rsidR="199BC9C1" w:rsidP="199BC9C1" w:rsidRDefault="199BC9C1" w14:paraId="37AD85BC" w14:textId="799B4EE6">
          <w:pPr>
            <w:pStyle w:val="TOC3"/>
            <w:tabs>
              <w:tab w:val="right" w:leader="dot" w:pos="9360"/>
            </w:tabs>
            <w:bidi w:val="0"/>
            <w:rPr>
              <w:rStyle w:val="Hyperlink"/>
            </w:rPr>
          </w:pPr>
          <w:hyperlink w:anchor="_Toc1034522237">
            <w:r w:rsidRPr="199BC9C1" w:rsidR="199BC9C1">
              <w:rPr>
                <w:rStyle w:val="Hyperlink"/>
              </w:rPr>
              <w:t>External: Influence and Impact</w:t>
            </w:r>
            <w:r>
              <w:tab/>
            </w:r>
            <w:r>
              <w:fldChar w:fldCharType="begin"/>
            </w:r>
            <w:r>
              <w:instrText xml:space="preserve">PAGEREF _Toc1034522237 \h</w:instrText>
            </w:r>
            <w:r>
              <w:fldChar w:fldCharType="separate"/>
            </w:r>
            <w:r w:rsidRPr="199BC9C1" w:rsidR="199BC9C1">
              <w:rPr>
                <w:rStyle w:val="Hyperlink"/>
              </w:rPr>
              <w:t>4</w:t>
            </w:r>
            <w:r>
              <w:fldChar w:fldCharType="end"/>
            </w:r>
          </w:hyperlink>
        </w:p>
        <w:p w:rsidR="199BC9C1" w:rsidP="199BC9C1" w:rsidRDefault="199BC9C1" w14:paraId="5A414715" w14:textId="0AAE32A1">
          <w:pPr>
            <w:pStyle w:val="TOC3"/>
            <w:tabs>
              <w:tab w:val="right" w:leader="dot" w:pos="9360"/>
            </w:tabs>
            <w:bidi w:val="0"/>
            <w:rPr>
              <w:rStyle w:val="Hyperlink"/>
            </w:rPr>
          </w:pPr>
          <w:hyperlink w:anchor="_Toc267444431">
            <w:r w:rsidRPr="199BC9C1" w:rsidR="199BC9C1">
              <w:rPr>
                <w:rStyle w:val="Hyperlink"/>
              </w:rPr>
              <w:t>Final Thought: Strategy Over Optimism</w:t>
            </w:r>
            <w:r>
              <w:tab/>
            </w:r>
            <w:r>
              <w:fldChar w:fldCharType="begin"/>
            </w:r>
            <w:r>
              <w:instrText xml:space="preserve">PAGEREF _Toc267444431 \h</w:instrText>
            </w:r>
            <w:r>
              <w:fldChar w:fldCharType="separate"/>
            </w:r>
            <w:r w:rsidRPr="199BC9C1" w:rsidR="199BC9C1">
              <w:rPr>
                <w:rStyle w:val="Hyperlink"/>
              </w:rPr>
              <w:t>4</w:t>
            </w:r>
            <w:r>
              <w:fldChar w:fldCharType="end"/>
            </w:r>
          </w:hyperlink>
        </w:p>
        <w:p w:rsidR="199BC9C1" w:rsidP="199BC9C1" w:rsidRDefault="199BC9C1" w14:paraId="6F6243BF" w14:textId="5432C7C5">
          <w:pPr>
            <w:pStyle w:val="TOC3"/>
            <w:tabs>
              <w:tab w:val="right" w:leader="dot" w:pos="9360"/>
            </w:tabs>
            <w:bidi w:val="0"/>
            <w:rPr>
              <w:rStyle w:val="Hyperlink"/>
            </w:rPr>
          </w:pPr>
          <w:hyperlink w:anchor="_Toc1823118694">
            <w:r w:rsidRPr="199BC9C1" w:rsidR="199BC9C1">
              <w:rPr>
                <w:rStyle w:val="Hyperlink"/>
              </w:rPr>
              <w:t>Internal Stakeholders: The Risk of Siloed Thinking</w:t>
            </w:r>
            <w:r>
              <w:tab/>
            </w:r>
            <w:r>
              <w:fldChar w:fldCharType="begin"/>
            </w:r>
            <w:r>
              <w:instrText xml:space="preserve">PAGEREF _Toc1823118694 \h</w:instrText>
            </w:r>
            <w:r>
              <w:fldChar w:fldCharType="separate"/>
            </w:r>
            <w:r w:rsidRPr="199BC9C1" w:rsidR="199BC9C1">
              <w:rPr>
                <w:rStyle w:val="Hyperlink"/>
              </w:rPr>
              <w:t>5</w:t>
            </w:r>
            <w:r>
              <w:fldChar w:fldCharType="end"/>
            </w:r>
          </w:hyperlink>
        </w:p>
        <w:p w:rsidR="199BC9C1" w:rsidP="199BC9C1" w:rsidRDefault="199BC9C1" w14:paraId="6EBCAF2B" w14:textId="5A38F71F">
          <w:pPr>
            <w:pStyle w:val="TOC3"/>
            <w:tabs>
              <w:tab w:val="right" w:leader="dot" w:pos="9360"/>
            </w:tabs>
            <w:bidi w:val="0"/>
            <w:rPr>
              <w:rStyle w:val="Hyperlink"/>
            </w:rPr>
          </w:pPr>
          <w:hyperlink w:anchor="_Toc2079650985">
            <w:r w:rsidRPr="199BC9C1" w:rsidR="199BC9C1">
              <w:rPr>
                <w:rStyle w:val="Hyperlink"/>
              </w:rPr>
              <w:t>External Stakeholders: Power Isn’t Everything</w:t>
            </w:r>
            <w:r>
              <w:tab/>
            </w:r>
            <w:r>
              <w:fldChar w:fldCharType="begin"/>
            </w:r>
            <w:r>
              <w:instrText xml:space="preserve">PAGEREF _Toc2079650985 \h</w:instrText>
            </w:r>
            <w:r>
              <w:fldChar w:fldCharType="separate"/>
            </w:r>
            <w:r w:rsidRPr="199BC9C1" w:rsidR="199BC9C1">
              <w:rPr>
                <w:rStyle w:val="Hyperlink"/>
              </w:rPr>
              <w:t>5</w:t>
            </w:r>
            <w:r>
              <w:fldChar w:fldCharType="end"/>
            </w:r>
          </w:hyperlink>
        </w:p>
        <w:p w:rsidR="199BC9C1" w:rsidP="199BC9C1" w:rsidRDefault="199BC9C1" w14:paraId="0BB730D6" w14:textId="62016586">
          <w:pPr>
            <w:pStyle w:val="TOC3"/>
            <w:tabs>
              <w:tab w:val="right" w:leader="dot" w:pos="9360"/>
            </w:tabs>
            <w:bidi w:val="0"/>
            <w:rPr>
              <w:rStyle w:val="Hyperlink"/>
            </w:rPr>
          </w:pPr>
          <w:hyperlink w:anchor="_Toc430398228">
            <w:r w:rsidRPr="199BC9C1" w:rsidR="199BC9C1">
              <w:rPr>
                <w:rStyle w:val="Hyperlink"/>
              </w:rPr>
              <w:t>Strategic Blind Spots: Who’s Missing?</w:t>
            </w:r>
            <w:r>
              <w:tab/>
            </w:r>
            <w:r>
              <w:fldChar w:fldCharType="begin"/>
            </w:r>
            <w:r>
              <w:instrText xml:space="preserve">PAGEREF _Toc430398228 \h</w:instrText>
            </w:r>
            <w:r>
              <w:fldChar w:fldCharType="separate"/>
            </w:r>
            <w:r w:rsidRPr="199BC9C1" w:rsidR="199BC9C1">
              <w:rPr>
                <w:rStyle w:val="Hyperlink"/>
              </w:rPr>
              <w:t>5</w:t>
            </w:r>
            <w:r>
              <w:fldChar w:fldCharType="end"/>
            </w:r>
          </w:hyperlink>
        </w:p>
        <w:p w:rsidR="199BC9C1" w:rsidP="199BC9C1" w:rsidRDefault="199BC9C1" w14:paraId="00C60E1F" w14:textId="266A3E44">
          <w:pPr>
            <w:pStyle w:val="TOC3"/>
            <w:tabs>
              <w:tab w:val="right" w:leader="dot" w:pos="9360"/>
            </w:tabs>
            <w:bidi w:val="0"/>
            <w:rPr>
              <w:rStyle w:val="Hyperlink"/>
            </w:rPr>
          </w:pPr>
          <w:hyperlink w:anchor="_Toc858811011">
            <w:r w:rsidRPr="199BC9C1" w:rsidR="199BC9C1">
              <w:rPr>
                <w:rStyle w:val="Hyperlink"/>
              </w:rPr>
              <w:t>Mendelow’s Matrix: Helpful, But Not Enough</w:t>
            </w:r>
            <w:r>
              <w:tab/>
            </w:r>
            <w:r>
              <w:fldChar w:fldCharType="begin"/>
            </w:r>
            <w:r>
              <w:instrText xml:space="preserve">PAGEREF _Toc858811011 \h</w:instrText>
            </w:r>
            <w:r>
              <w:fldChar w:fldCharType="separate"/>
            </w:r>
            <w:r w:rsidRPr="199BC9C1" w:rsidR="199BC9C1">
              <w:rPr>
                <w:rStyle w:val="Hyperlink"/>
              </w:rPr>
              <w:t>6</w:t>
            </w:r>
            <w:r>
              <w:fldChar w:fldCharType="end"/>
            </w:r>
          </w:hyperlink>
        </w:p>
        <w:p w:rsidR="199BC9C1" w:rsidP="199BC9C1" w:rsidRDefault="199BC9C1" w14:paraId="49B5468D" w14:textId="42471318">
          <w:pPr>
            <w:pStyle w:val="TOC1"/>
            <w:tabs>
              <w:tab w:val="right" w:leader="dot" w:pos="9360"/>
            </w:tabs>
            <w:bidi w:val="0"/>
            <w:rPr>
              <w:rStyle w:val="Hyperlink"/>
            </w:rPr>
          </w:pPr>
          <w:hyperlink w:anchor="_Toc1899470824">
            <w:r w:rsidRPr="199BC9C1" w:rsidR="199BC9C1">
              <w:rPr>
                <w:rStyle w:val="Hyperlink"/>
              </w:rPr>
              <w:t>Framework, models and Theories</w:t>
            </w:r>
            <w:r>
              <w:tab/>
            </w:r>
            <w:r>
              <w:fldChar w:fldCharType="begin"/>
            </w:r>
            <w:r>
              <w:instrText xml:space="preserve">PAGEREF _Toc1899470824 \h</w:instrText>
            </w:r>
            <w:r>
              <w:fldChar w:fldCharType="separate"/>
            </w:r>
            <w:r w:rsidRPr="199BC9C1" w:rsidR="199BC9C1">
              <w:rPr>
                <w:rStyle w:val="Hyperlink"/>
              </w:rPr>
              <w:t>6</w:t>
            </w:r>
            <w:r>
              <w:fldChar w:fldCharType="end"/>
            </w:r>
          </w:hyperlink>
        </w:p>
        <w:p w:rsidR="199BC9C1" w:rsidP="199BC9C1" w:rsidRDefault="199BC9C1" w14:paraId="370F6044" w14:textId="381FDB57">
          <w:pPr>
            <w:pStyle w:val="TOC2"/>
            <w:tabs>
              <w:tab w:val="right" w:leader="dot" w:pos="9360"/>
            </w:tabs>
            <w:bidi w:val="0"/>
            <w:rPr>
              <w:rStyle w:val="Hyperlink"/>
            </w:rPr>
          </w:pPr>
          <w:hyperlink w:anchor="_Toc1908411683">
            <w:r w:rsidRPr="199BC9C1" w:rsidR="199BC9C1">
              <w:rPr>
                <w:rStyle w:val="Hyperlink"/>
              </w:rPr>
              <w:t>Engagement: From Updates to Involvement</w:t>
            </w:r>
            <w:r>
              <w:tab/>
            </w:r>
            <w:r>
              <w:fldChar w:fldCharType="begin"/>
            </w:r>
            <w:r>
              <w:instrText xml:space="preserve">PAGEREF _Toc1908411683 \h</w:instrText>
            </w:r>
            <w:r>
              <w:fldChar w:fldCharType="separate"/>
            </w:r>
            <w:r w:rsidRPr="199BC9C1" w:rsidR="199BC9C1">
              <w:rPr>
                <w:rStyle w:val="Hyperlink"/>
              </w:rPr>
              <w:t>6</w:t>
            </w:r>
            <w:r>
              <w:fldChar w:fldCharType="end"/>
            </w:r>
          </w:hyperlink>
        </w:p>
        <w:p w:rsidR="199BC9C1" w:rsidP="199BC9C1" w:rsidRDefault="199BC9C1" w14:paraId="1E6A9794" w14:textId="70526660">
          <w:pPr>
            <w:pStyle w:val="TOC2"/>
            <w:tabs>
              <w:tab w:val="right" w:leader="dot" w:pos="9360"/>
            </w:tabs>
            <w:bidi w:val="0"/>
            <w:rPr>
              <w:rStyle w:val="Hyperlink"/>
            </w:rPr>
          </w:pPr>
          <w:hyperlink w:anchor="_Toc827880135">
            <w:r w:rsidRPr="199BC9C1" w:rsidR="199BC9C1">
              <w:rPr>
                <w:rStyle w:val="Hyperlink"/>
              </w:rPr>
              <w:t>Stakeholder Engagement at Pi Health: Tools, Tensions, and the Human Factor</w:t>
            </w:r>
            <w:r>
              <w:tab/>
            </w:r>
            <w:r>
              <w:fldChar w:fldCharType="begin"/>
            </w:r>
            <w:r>
              <w:instrText xml:space="preserve">PAGEREF _Toc827880135 \h</w:instrText>
            </w:r>
            <w:r>
              <w:fldChar w:fldCharType="separate"/>
            </w:r>
            <w:r w:rsidRPr="199BC9C1" w:rsidR="199BC9C1">
              <w:rPr>
                <w:rStyle w:val="Hyperlink"/>
              </w:rPr>
              <w:t>7</w:t>
            </w:r>
            <w:r>
              <w:fldChar w:fldCharType="end"/>
            </w:r>
          </w:hyperlink>
        </w:p>
        <w:p w:rsidR="199BC9C1" w:rsidP="199BC9C1" w:rsidRDefault="199BC9C1" w14:paraId="3172D313" w14:textId="109A2904">
          <w:pPr>
            <w:pStyle w:val="TOC3"/>
            <w:tabs>
              <w:tab w:val="right" w:leader="dot" w:pos="9360"/>
            </w:tabs>
            <w:bidi w:val="0"/>
            <w:rPr>
              <w:rStyle w:val="Hyperlink"/>
            </w:rPr>
          </w:pPr>
          <w:hyperlink w:anchor="_Toc940451712">
            <w:r w:rsidRPr="199BC9C1" w:rsidR="199BC9C1">
              <w:rPr>
                <w:rStyle w:val="Hyperlink"/>
              </w:rPr>
              <w:t>RACI: Helpful for Clarity, Risky if Static</w:t>
            </w:r>
            <w:r>
              <w:tab/>
            </w:r>
            <w:r>
              <w:fldChar w:fldCharType="begin"/>
            </w:r>
            <w:r>
              <w:instrText xml:space="preserve">PAGEREF _Toc940451712 \h</w:instrText>
            </w:r>
            <w:r>
              <w:fldChar w:fldCharType="separate"/>
            </w:r>
            <w:r w:rsidRPr="199BC9C1" w:rsidR="199BC9C1">
              <w:rPr>
                <w:rStyle w:val="Hyperlink"/>
              </w:rPr>
              <w:t>7</w:t>
            </w:r>
            <w:r>
              <w:fldChar w:fldCharType="end"/>
            </w:r>
          </w:hyperlink>
        </w:p>
        <w:p w:rsidR="199BC9C1" w:rsidP="199BC9C1" w:rsidRDefault="199BC9C1" w14:paraId="767FEA42" w14:textId="2F8C360E">
          <w:pPr>
            <w:pStyle w:val="TOC3"/>
            <w:tabs>
              <w:tab w:val="right" w:leader="dot" w:pos="9360"/>
            </w:tabs>
            <w:bidi w:val="0"/>
            <w:rPr>
              <w:rStyle w:val="Hyperlink"/>
            </w:rPr>
          </w:pPr>
          <w:hyperlink w:anchor="_Toc1933813661">
            <w:r w:rsidRPr="199BC9C1" w:rsidR="199BC9C1">
              <w:rPr>
                <w:rStyle w:val="Hyperlink"/>
              </w:rPr>
              <w:t>Communication: Strong Foundation, Needs Empathy</w:t>
            </w:r>
            <w:r>
              <w:tab/>
            </w:r>
            <w:r>
              <w:fldChar w:fldCharType="begin"/>
            </w:r>
            <w:r>
              <w:instrText xml:space="preserve">PAGEREF _Toc1933813661 \h</w:instrText>
            </w:r>
            <w:r>
              <w:fldChar w:fldCharType="separate"/>
            </w:r>
            <w:r w:rsidRPr="199BC9C1" w:rsidR="199BC9C1">
              <w:rPr>
                <w:rStyle w:val="Hyperlink"/>
              </w:rPr>
              <w:t>7</w:t>
            </w:r>
            <w:r>
              <w:fldChar w:fldCharType="end"/>
            </w:r>
          </w:hyperlink>
        </w:p>
        <w:p w:rsidR="199BC9C1" w:rsidP="199BC9C1" w:rsidRDefault="199BC9C1" w14:paraId="2624120A" w14:textId="3932C395">
          <w:pPr>
            <w:pStyle w:val="TOC2"/>
            <w:tabs>
              <w:tab w:val="right" w:leader="dot" w:pos="9360"/>
            </w:tabs>
            <w:bidi w:val="0"/>
            <w:rPr>
              <w:rStyle w:val="Hyperlink"/>
            </w:rPr>
          </w:pPr>
          <w:hyperlink w:anchor="_Toc1881736852">
            <w:r w:rsidRPr="199BC9C1" w:rsidR="199BC9C1">
              <w:rPr>
                <w:rStyle w:val="Hyperlink"/>
              </w:rPr>
              <w:t>Final Thought: Frameworks Are Tools, Not Guarantees</w:t>
            </w:r>
            <w:r>
              <w:tab/>
            </w:r>
            <w:r>
              <w:fldChar w:fldCharType="begin"/>
            </w:r>
            <w:r>
              <w:instrText xml:space="preserve">PAGEREF _Toc1881736852 \h</w:instrText>
            </w:r>
            <w:r>
              <w:fldChar w:fldCharType="separate"/>
            </w:r>
            <w:r w:rsidRPr="199BC9C1" w:rsidR="199BC9C1">
              <w:rPr>
                <w:rStyle w:val="Hyperlink"/>
              </w:rPr>
              <w:t>8</w:t>
            </w:r>
            <w:r>
              <w:fldChar w:fldCharType="end"/>
            </w:r>
          </w:hyperlink>
        </w:p>
        <w:p w:rsidR="199BC9C1" w:rsidP="199BC9C1" w:rsidRDefault="199BC9C1" w14:paraId="731FD693" w14:textId="119FB3E6">
          <w:pPr>
            <w:pStyle w:val="TOC2"/>
            <w:tabs>
              <w:tab w:val="right" w:leader="dot" w:pos="9360"/>
            </w:tabs>
            <w:bidi w:val="0"/>
            <w:rPr>
              <w:rStyle w:val="Hyperlink"/>
            </w:rPr>
          </w:pPr>
          <w:hyperlink w:anchor="_Toc955651930">
            <w:r w:rsidRPr="199BC9C1" w:rsidR="199BC9C1">
              <w:rPr>
                <w:rStyle w:val="Hyperlink"/>
              </w:rPr>
              <w:t>Stakeholder Engagement at Pi Health: Where Innovation Meets Friction</w:t>
            </w:r>
            <w:r>
              <w:tab/>
            </w:r>
            <w:r>
              <w:fldChar w:fldCharType="begin"/>
            </w:r>
            <w:r>
              <w:instrText xml:space="preserve">PAGEREF _Toc955651930 \h</w:instrText>
            </w:r>
            <w:r>
              <w:fldChar w:fldCharType="separate"/>
            </w:r>
            <w:r w:rsidRPr="199BC9C1" w:rsidR="199BC9C1">
              <w:rPr>
                <w:rStyle w:val="Hyperlink"/>
              </w:rPr>
              <w:t>9</w:t>
            </w:r>
            <w:r>
              <w:fldChar w:fldCharType="end"/>
            </w:r>
          </w:hyperlink>
        </w:p>
        <w:p w:rsidR="199BC9C1" w:rsidP="199BC9C1" w:rsidRDefault="199BC9C1" w14:paraId="3580245B" w14:textId="234DFF6E">
          <w:pPr>
            <w:pStyle w:val="TOC1"/>
            <w:tabs>
              <w:tab w:val="right" w:leader="dot" w:pos="9360"/>
            </w:tabs>
            <w:bidi w:val="0"/>
            <w:rPr>
              <w:rStyle w:val="Hyperlink"/>
            </w:rPr>
          </w:pPr>
          <w:hyperlink w:anchor="_Toc888489279">
            <w:r w:rsidRPr="199BC9C1" w:rsidR="199BC9C1">
              <w:rPr>
                <w:rStyle w:val="Hyperlink"/>
              </w:rPr>
              <w:t>Stakeholder Management</w:t>
            </w:r>
            <w:r>
              <w:tab/>
            </w:r>
            <w:r>
              <w:fldChar w:fldCharType="begin"/>
            </w:r>
            <w:r>
              <w:instrText xml:space="preserve">PAGEREF _Toc888489279 \h</w:instrText>
            </w:r>
            <w:r>
              <w:fldChar w:fldCharType="separate"/>
            </w:r>
            <w:r w:rsidRPr="199BC9C1" w:rsidR="199BC9C1">
              <w:rPr>
                <w:rStyle w:val="Hyperlink"/>
              </w:rPr>
              <w:t>9</w:t>
            </w:r>
            <w:r>
              <w:fldChar w:fldCharType="end"/>
            </w:r>
          </w:hyperlink>
        </w:p>
        <w:p w:rsidR="199BC9C1" w:rsidP="199BC9C1" w:rsidRDefault="199BC9C1" w14:paraId="75F3935A" w14:textId="45B2BD59">
          <w:pPr>
            <w:pStyle w:val="TOC2"/>
            <w:tabs>
              <w:tab w:val="right" w:leader="dot" w:pos="9360"/>
            </w:tabs>
            <w:bidi w:val="0"/>
            <w:rPr>
              <w:rStyle w:val="Hyperlink"/>
            </w:rPr>
          </w:pPr>
          <w:hyperlink w:anchor="_Toc1875607293">
            <w:r w:rsidRPr="199BC9C1" w:rsidR="199BC9C1">
              <w:rPr>
                <w:rStyle w:val="Hyperlink"/>
              </w:rPr>
              <w:t>Conflict Management: Structure Meets Emotional Intelligence</w:t>
            </w:r>
            <w:r>
              <w:tab/>
            </w:r>
            <w:r>
              <w:fldChar w:fldCharType="begin"/>
            </w:r>
            <w:r>
              <w:instrText xml:space="preserve">PAGEREF _Toc1875607293 \h</w:instrText>
            </w:r>
            <w:r>
              <w:fldChar w:fldCharType="separate"/>
            </w:r>
            <w:r w:rsidRPr="199BC9C1" w:rsidR="199BC9C1">
              <w:rPr>
                <w:rStyle w:val="Hyperlink"/>
              </w:rPr>
              <w:t>9</w:t>
            </w:r>
            <w:r>
              <w:fldChar w:fldCharType="end"/>
            </w:r>
          </w:hyperlink>
        </w:p>
        <w:p w:rsidR="199BC9C1" w:rsidP="199BC9C1" w:rsidRDefault="199BC9C1" w14:paraId="35B795D0" w14:textId="633FAC5A">
          <w:pPr>
            <w:pStyle w:val="TOC2"/>
            <w:tabs>
              <w:tab w:val="right" w:leader="dot" w:pos="9360"/>
            </w:tabs>
            <w:bidi w:val="0"/>
            <w:rPr>
              <w:rStyle w:val="Hyperlink"/>
            </w:rPr>
          </w:pPr>
          <w:hyperlink w:anchor="_Toc872978786">
            <w:r w:rsidRPr="199BC9C1" w:rsidR="199BC9C1">
              <w:rPr>
                <w:rStyle w:val="Hyperlink"/>
              </w:rPr>
              <w:t>Continuous Evaluation: The Missing Link</w:t>
            </w:r>
            <w:r>
              <w:tab/>
            </w:r>
            <w:r>
              <w:fldChar w:fldCharType="begin"/>
            </w:r>
            <w:r>
              <w:instrText xml:space="preserve">PAGEREF _Toc872978786 \h</w:instrText>
            </w:r>
            <w:r>
              <w:fldChar w:fldCharType="separate"/>
            </w:r>
            <w:r w:rsidRPr="199BC9C1" w:rsidR="199BC9C1">
              <w:rPr>
                <w:rStyle w:val="Hyperlink"/>
              </w:rPr>
              <w:t>10</w:t>
            </w:r>
            <w:r>
              <w:fldChar w:fldCharType="end"/>
            </w:r>
          </w:hyperlink>
        </w:p>
        <w:p w:rsidR="199BC9C1" w:rsidP="199BC9C1" w:rsidRDefault="199BC9C1" w14:paraId="375FBA43" w14:textId="37FC52BC">
          <w:pPr>
            <w:pStyle w:val="TOC2"/>
            <w:tabs>
              <w:tab w:val="right" w:leader="dot" w:pos="9360"/>
            </w:tabs>
            <w:bidi w:val="0"/>
            <w:rPr>
              <w:rStyle w:val="Hyperlink"/>
            </w:rPr>
          </w:pPr>
          <w:hyperlink w:anchor="_Toc2048811602">
            <w:r w:rsidRPr="199BC9C1" w:rsidR="199BC9C1">
              <w:rPr>
                <w:rStyle w:val="Hyperlink"/>
              </w:rPr>
              <w:t>Engagement Is a Living Process</w:t>
            </w:r>
            <w:r>
              <w:tab/>
            </w:r>
            <w:r>
              <w:fldChar w:fldCharType="begin"/>
            </w:r>
            <w:r>
              <w:instrText xml:space="preserve">PAGEREF _Toc2048811602 \h</w:instrText>
            </w:r>
            <w:r>
              <w:fldChar w:fldCharType="separate"/>
            </w:r>
            <w:r w:rsidRPr="199BC9C1" w:rsidR="199BC9C1">
              <w:rPr>
                <w:rStyle w:val="Hyperlink"/>
              </w:rPr>
              <w:t>10</w:t>
            </w:r>
            <w:r>
              <w:fldChar w:fldCharType="end"/>
            </w:r>
          </w:hyperlink>
        </w:p>
        <w:p w:rsidR="199BC9C1" w:rsidP="199BC9C1" w:rsidRDefault="199BC9C1" w14:paraId="3DF9BED3" w14:textId="6B264DED">
          <w:pPr>
            <w:pStyle w:val="TOC2"/>
            <w:tabs>
              <w:tab w:val="right" w:leader="dot" w:pos="9360"/>
            </w:tabs>
            <w:bidi w:val="0"/>
            <w:rPr>
              <w:rStyle w:val="Hyperlink"/>
            </w:rPr>
          </w:pPr>
          <w:hyperlink w:anchor="_Toc263784227">
            <w:r w:rsidRPr="199BC9C1" w:rsidR="199BC9C1">
              <w:rPr>
                <w:rStyle w:val="Hyperlink"/>
              </w:rPr>
              <w:t>The Upside: When Engagement Works, Everyone Wins</w:t>
            </w:r>
            <w:r>
              <w:tab/>
            </w:r>
            <w:r>
              <w:fldChar w:fldCharType="begin"/>
            </w:r>
            <w:r>
              <w:instrText xml:space="preserve">PAGEREF _Toc263784227 \h</w:instrText>
            </w:r>
            <w:r>
              <w:fldChar w:fldCharType="separate"/>
            </w:r>
            <w:r w:rsidRPr="199BC9C1" w:rsidR="199BC9C1">
              <w:rPr>
                <w:rStyle w:val="Hyperlink"/>
              </w:rPr>
              <w:t>10</w:t>
            </w:r>
            <w:r>
              <w:fldChar w:fldCharType="end"/>
            </w:r>
          </w:hyperlink>
        </w:p>
        <w:p w:rsidR="199BC9C1" w:rsidP="199BC9C1" w:rsidRDefault="199BC9C1" w14:paraId="3B88314A" w14:textId="61555C5D">
          <w:pPr>
            <w:pStyle w:val="TOC1"/>
            <w:tabs>
              <w:tab w:val="right" w:leader="dot" w:pos="9360"/>
            </w:tabs>
            <w:bidi w:val="0"/>
            <w:rPr>
              <w:rStyle w:val="Hyperlink"/>
            </w:rPr>
          </w:pPr>
          <w:hyperlink w:anchor="_Toc321113199">
            <w:r w:rsidRPr="199BC9C1" w:rsidR="199BC9C1">
              <w:rPr>
                <w:rStyle w:val="Hyperlink"/>
              </w:rPr>
              <w:t>Conclusion</w:t>
            </w:r>
            <w:r>
              <w:tab/>
            </w:r>
            <w:r>
              <w:fldChar w:fldCharType="begin"/>
            </w:r>
            <w:r>
              <w:instrText xml:space="preserve">PAGEREF _Toc321113199 \h</w:instrText>
            </w:r>
            <w:r>
              <w:fldChar w:fldCharType="separate"/>
            </w:r>
            <w:r w:rsidRPr="199BC9C1" w:rsidR="199BC9C1">
              <w:rPr>
                <w:rStyle w:val="Hyperlink"/>
              </w:rPr>
              <w:t>11</w:t>
            </w:r>
            <w:r>
              <w:fldChar w:fldCharType="end"/>
            </w:r>
          </w:hyperlink>
        </w:p>
        <w:p w:rsidR="199BC9C1" w:rsidP="199BC9C1" w:rsidRDefault="199BC9C1" w14:paraId="2A9A999C" w14:textId="00FF6A0C">
          <w:pPr>
            <w:pStyle w:val="TOC2"/>
            <w:tabs>
              <w:tab w:val="right" w:leader="dot" w:pos="9360"/>
            </w:tabs>
            <w:bidi w:val="0"/>
            <w:rPr>
              <w:rStyle w:val="Hyperlink"/>
            </w:rPr>
          </w:pPr>
          <w:hyperlink w:anchor="_Toc1346324591">
            <w:r w:rsidRPr="199BC9C1" w:rsidR="199BC9C1">
              <w:rPr>
                <w:rStyle w:val="Hyperlink"/>
              </w:rPr>
              <w:t>Final Reflection: From Frameworks to Relationships</w:t>
            </w:r>
            <w:r>
              <w:tab/>
            </w:r>
            <w:r>
              <w:fldChar w:fldCharType="begin"/>
            </w:r>
            <w:r>
              <w:instrText xml:space="preserve">PAGEREF _Toc1346324591 \h</w:instrText>
            </w:r>
            <w:r>
              <w:fldChar w:fldCharType="separate"/>
            </w:r>
            <w:r w:rsidRPr="199BC9C1" w:rsidR="199BC9C1">
              <w:rPr>
                <w:rStyle w:val="Hyperlink"/>
              </w:rPr>
              <w:t>11</w:t>
            </w:r>
            <w:r>
              <w:fldChar w:fldCharType="end"/>
            </w:r>
          </w:hyperlink>
        </w:p>
        <w:p w:rsidR="199BC9C1" w:rsidP="199BC9C1" w:rsidRDefault="199BC9C1" w14:paraId="1FFF1BB6" w14:textId="6AA17DAC">
          <w:pPr>
            <w:pStyle w:val="TOC1"/>
            <w:tabs>
              <w:tab w:val="right" w:leader="dot" w:pos="9360"/>
            </w:tabs>
            <w:bidi w:val="0"/>
            <w:rPr>
              <w:rStyle w:val="Hyperlink"/>
            </w:rPr>
          </w:pPr>
          <w:hyperlink w:anchor="_Toc1087570126">
            <w:r w:rsidRPr="199BC9C1" w:rsidR="199BC9C1">
              <w:rPr>
                <w:rStyle w:val="Hyperlink"/>
              </w:rPr>
              <w:t>References</w:t>
            </w:r>
            <w:r>
              <w:tab/>
            </w:r>
            <w:r>
              <w:fldChar w:fldCharType="begin"/>
            </w:r>
            <w:r>
              <w:instrText xml:space="preserve">PAGEREF _Toc1087570126 \h</w:instrText>
            </w:r>
            <w:r>
              <w:fldChar w:fldCharType="separate"/>
            </w:r>
            <w:r w:rsidRPr="199BC9C1" w:rsidR="199BC9C1">
              <w:rPr>
                <w:rStyle w:val="Hyperlink"/>
              </w:rPr>
              <w:t>11</w:t>
            </w:r>
            <w:r>
              <w:fldChar w:fldCharType="end"/>
            </w:r>
          </w:hyperlink>
          <w:r>
            <w:fldChar w:fldCharType="end"/>
          </w:r>
        </w:p>
      </w:sdtContent>
    </w:sdt>
    <w:p w:rsidRPr="00013654" w:rsidR="00013654" w:rsidP="199BC9C1" w:rsidRDefault="00802625" w14:paraId="76C306B2" w14:noSpellErr="1" w14:textId="33FF5FCB">
      <w:pPr>
        <w:rPr>
          <w:b w:val="1"/>
          <w:bCs w:val="1"/>
          <w:lang w:val="en-GB"/>
        </w:rPr>
      </w:pPr>
    </w:p>
    <w:p w:rsidRPr="00013654" w:rsidR="00013654" w:rsidP="00013654" w:rsidRDefault="00013654" w14:paraId="5B5FE43B" w14:textId="77777777">
      <w:pPr>
        <w:rPr>
          <w:lang w:val="en-GB"/>
        </w:rPr>
      </w:pPr>
      <w:r w:rsidRPr="00013654">
        <w:rPr>
          <w:lang w:val="en-GB"/>
        </w:rPr>
        <w:t> </w:t>
      </w:r>
    </w:p>
    <w:p w:rsidRPr="00013654" w:rsidR="00013654" w:rsidP="00013654" w:rsidRDefault="00013654" w14:paraId="08C3898C" w14:textId="77777777">
      <w:pPr>
        <w:rPr>
          <w:lang w:val="en-GB"/>
        </w:rPr>
      </w:pPr>
      <w:r w:rsidRPr="00013654">
        <w:rPr>
          <w:lang w:val="en-GB"/>
        </w:rPr>
        <w:t>                                 </w:t>
      </w:r>
    </w:p>
    <w:p w:rsidRPr="00013654" w:rsidR="00013654" w:rsidP="00013654" w:rsidRDefault="00013654" w14:paraId="508078BB" w14:textId="77777777">
      <w:pPr>
        <w:rPr>
          <w:lang w:val="en-GB"/>
        </w:rPr>
      </w:pPr>
      <w:r w:rsidRPr="00013654">
        <w:rPr>
          <w:lang w:val="en-GB"/>
        </w:rPr>
        <w:t> </w:t>
      </w:r>
    </w:p>
    <w:p w:rsidR="00006D91" w:rsidP="00013654" w:rsidRDefault="00006D91" w14:paraId="2CAD46AF" w14:textId="77777777">
      <w:pPr>
        <w:rPr>
          <w:lang w:val="en-GB"/>
        </w:rPr>
      </w:pPr>
    </w:p>
    <w:p w:rsidRPr="00013654" w:rsidR="00013654" w:rsidP="199BC9C1" w:rsidRDefault="00013654" w14:paraId="2C1AA74B" w14:noSpellErr="1" w14:textId="3F4D96E8">
      <w:pPr>
        <w:pStyle w:val="Heading1"/>
        <w:rPr>
          <w:lang w:val="en-GB"/>
        </w:rPr>
      </w:pPr>
      <w:bookmarkStart w:name="_Toc835611943" w:id="1198389234"/>
      <w:r w:rsidRPr="199BC9C1" w:rsidR="00013654">
        <w:rPr>
          <w:lang w:val="en-GB"/>
        </w:rPr>
        <w:t>Introduction</w:t>
      </w:r>
      <w:bookmarkEnd w:id="1198389234"/>
      <w:r w:rsidRPr="199BC9C1" w:rsidR="00013654">
        <w:rPr>
          <w:lang w:val="en-GB"/>
        </w:rPr>
        <w:t> </w:t>
      </w:r>
    </w:p>
    <w:p w:rsidRPr="00013654" w:rsidR="00013654" w:rsidP="00013654" w:rsidRDefault="00013654" w14:paraId="1590C1F0" w14:textId="5B2A25F2">
      <w:pPr>
        <w:rPr>
          <w:lang w:val="en-GB"/>
        </w:rPr>
      </w:pPr>
      <w:r w:rsidRPr="030767A1">
        <w:rPr>
          <w:lang w:val="en-GB"/>
        </w:rPr>
        <w:t>Pi Health is a UK-based company</w:t>
      </w:r>
      <w:r w:rsidRPr="030767A1" w:rsidR="005D43BE">
        <w:rPr>
          <w:lang w:val="en-GB"/>
        </w:rPr>
        <w:t xml:space="preserve"> locat</w:t>
      </w:r>
      <w:r w:rsidRPr="030767A1" w:rsidR="00E03B5C">
        <w:rPr>
          <w:lang w:val="en-GB"/>
        </w:rPr>
        <w:t>ed at Marsel House</w:t>
      </w:r>
      <w:r w:rsidRPr="030767A1" w:rsidR="006E25C3">
        <w:rPr>
          <w:lang w:val="en-GB"/>
        </w:rPr>
        <w:t xml:space="preserve"> </w:t>
      </w:r>
      <w:r w:rsidRPr="030767A1" w:rsidR="00394174">
        <w:rPr>
          <w:lang w:val="en-GB"/>
        </w:rPr>
        <w:t>Stephenson’s</w:t>
      </w:r>
      <w:r w:rsidRPr="030767A1" w:rsidR="006E25C3">
        <w:rPr>
          <w:lang w:val="en-GB"/>
        </w:rPr>
        <w:t xml:space="preserve"> Way </w:t>
      </w:r>
      <w:r w:rsidRPr="030767A1" w:rsidR="00394174">
        <w:rPr>
          <w:lang w:val="en-GB"/>
        </w:rPr>
        <w:t>Ilkley</w:t>
      </w:r>
      <w:r w:rsidRPr="030767A1" w:rsidR="00C0630A">
        <w:rPr>
          <w:lang w:val="en-GB"/>
        </w:rPr>
        <w:t xml:space="preserve"> LS</w:t>
      </w:r>
      <w:r w:rsidRPr="030767A1" w:rsidR="00394174">
        <w:rPr>
          <w:lang w:val="en-GB"/>
        </w:rPr>
        <w:t>29 8DD</w:t>
      </w:r>
      <w:r w:rsidRPr="030767A1">
        <w:rPr>
          <w:lang w:val="en-GB"/>
        </w:rPr>
        <w:t> that’s been making waves in healthcare technology since 2016. Their focus is on wearable and remote monitoring devices that help people   and their doctors   keep a closer eye on vital signs like heart rate, oxygen levels, and sleep patterns. What sets Pi Health apart is how they turn this data into meaningful insights using AI-powered dashboards, making it easier for clinicians to spot issues early and </w:t>
      </w:r>
      <w:r w:rsidRPr="030767A1" w:rsidR="34626A18">
        <w:rPr>
          <w:lang w:val="en-GB"/>
        </w:rPr>
        <w:t>act</w:t>
      </w:r>
      <w:r w:rsidRPr="030767A1">
        <w:rPr>
          <w:lang w:val="en-GB"/>
        </w:rPr>
        <w:t> (Pi Health, 2025). </w:t>
      </w:r>
    </w:p>
    <w:p w:rsidRPr="00013654" w:rsidR="00013654" w:rsidP="00013654" w:rsidRDefault="00013654" w14:paraId="6D6CD7EC" w14:noSpellErr="1" w14:textId="6EB6C5BE">
      <w:pPr>
        <w:rPr>
          <w:lang w:val="en-GB"/>
        </w:rPr>
      </w:pPr>
      <w:r w:rsidRPr="199BC9C1" w:rsidR="00013654">
        <w:rPr>
          <w:lang w:val="en-GB"/>
        </w:rPr>
        <w:t>Now, t</w:t>
      </w:r>
      <w:r w:rsidRPr="199BC9C1" w:rsidR="00013654">
        <w:rPr>
          <w:lang w:val="en-GB"/>
        </w:rPr>
        <w:t>he company is gearing up to launch a new</w:t>
      </w:r>
      <w:r w:rsidRPr="199BC9C1" w:rsidR="00013654">
        <w:rPr>
          <w:color w:val="FF0000"/>
          <w:lang w:val="en-GB"/>
        </w:rPr>
        <w:t xml:space="preserve"> </w:t>
      </w:r>
      <w:r w:rsidRPr="199BC9C1" w:rsidR="251CF8E5">
        <w:rPr>
          <w:color w:val="auto"/>
          <w:lang w:val="en-GB"/>
        </w:rPr>
        <w:t>watch</w:t>
      </w:r>
      <w:r w:rsidRPr="199BC9C1" w:rsidR="251CF8E5">
        <w:rPr>
          <w:color w:val="FF0000"/>
          <w:lang w:val="en-GB"/>
        </w:rPr>
        <w:t xml:space="preserve"> </w:t>
      </w:r>
      <w:r w:rsidRPr="199BC9C1" w:rsidR="00013654">
        <w:rPr>
          <w:lang w:val="en-GB"/>
        </w:rPr>
        <w:t>designed specifically to track heart rate, oxygen saturation, and sleep quality. The goal is to give users more control over their health from the comfort of home, while giving healthcare professionals the tools they need to intervene before problems escalate. </w:t>
      </w:r>
      <w:r w:rsidRPr="199BC9C1" w:rsidR="00013654">
        <w:rPr>
          <w:lang w:val="en-GB"/>
        </w:rPr>
        <w:t>It’s</w:t>
      </w:r>
      <w:r w:rsidRPr="199BC9C1" w:rsidR="00013654">
        <w:rPr>
          <w:lang w:val="en-GB"/>
        </w:rPr>
        <w:t> </w:t>
      </w:r>
      <w:r w:rsidRPr="199BC9C1" w:rsidR="00013654">
        <w:rPr>
          <w:lang w:val="en-GB"/>
        </w:rPr>
        <w:t>a timely</w:t>
      </w:r>
      <w:r w:rsidRPr="199BC9C1" w:rsidR="00013654">
        <w:rPr>
          <w:lang w:val="en-GB"/>
        </w:rPr>
        <w:t> move, especially as demand for telehealth and remote care continues to grow across the UK particularly for managing chronic conditions and supporting preventative care. </w:t>
      </w:r>
    </w:p>
    <w:p w:rsidRPr="00013654" w:rsidR="00013654" w:rsidP="00013654" w:rsidRDefault="00013654" w14:paraId="03A45A5F" w14:noSpellErr="1" w14:textId="2E9EBCC6">
      <w:pPr>
        <w:rPr>
          <w:lang w:val="en-GB"/>
        </w:rPr>
      </w:pPr>
      <w:r w:rsidRPr="199BC9C1" w:rsidR="00013654">
        <w:rPr>
          <w:lang w:val="en-GB"/>
        </w:rPr>
        <w:t>But launching a product like this </w:t>
      </w:r>
      <w:r w:rsidRPr="199BC9C1" w:rsidR="00013654">
        <w:rPr>
          <w:lang w:val="en-GB"/>
        </w:rPr>
        <w:t>isn’t</w:t>
      </w:r>
      <w:r w:rsidRPr="199BC9C1" w:rsidR="00013654">
        <w:rPr>
          <w:lang w:val="en-GB"/>
        </w:rPr>
        <w:t> </w:t>
      </w:r>
      <w:r w:rsidRPr="199BC9C1" w:rsidR="00013654">
        <w:rPr>
          <w:lang w:val="en-GB"/>
        </w:rPr>
        <w:t>just about the</w:t>
      </w:r>
      <w:r w:rsidRPr="199BC9C1" w:rsidR="00013654">
        <w:rPr>
          <w:lang w:val="en-GB"/>
        </w:rPr>
        <w:t> tech. </w:t>
      </w:r>
      <w:r w:rsidRPr="199BC9C1" w:rsidR="00013654">
        <w:rPr>
          <w:lang w:val="en-GB"/>
        </w:rPr>
        <w:t>It’s</w:t>
      </w:r>
      <w:r w:rsidRPr="199BC9C1" w:rsidR="00013654">
        <w:rPr>
          <w:lang w:val="en-GB"/>
        </w:rPr>
        <w:t xml:space="preserve"> about people. Success will depend on how well Pi Health engages with everyone </w:t>
      </w:r>
      <w:r w:rsidRPr="199BC9C1" w:rsidR="00013654">
        <w:rPr>
          <w:lang w:val="en-GB"/>
        </w:rPr>
        <w:t>involved from</w:t>
      </w:r>
      <w:r w:rsidRPr="199BC9C1" w:rsidR="00013654">
        <w:rPr>
          <w:lang w:val="en-GB"/>
        </w:rPr>
        <w:t xml:space="preserve"> internal teams and healthcare providers to regulators, patients, and investors. Each group plays a vital role in making sure the device reaches the market and delivers real value. </w:t>
      </w:r>
    </w:p>
    <w:p w:rsidR="00013654" w:rsidP="00013654" w:rsidRDefault="00013654" w14:paraId="532B95B3" w14:textId="77777777">
      <w:pPr>
        <w:rPr>
          <w:lang w:val="en-GB"/>
        </w:rPr>
      </w:pPr>
      <w:r w:rsidRPr="030767A1">
        <w:rPr>
          <w:lang w:val="en-GB"/>
        </w:rPr>
        <w:t>This report looks at how Pi Health can build strong relationships with these stakeholders, keep them informed and involved, and create the kind of support that leads to a smooth, successful launch. </w:t>
      </w:r>
    </w:p>
    <w:p w:rsidR="030767A1" w:rsidP="030767A1" w:rsidRDefault="030767A1" w14:paraId="533F91F4" w14:textId="1EF89DEA">
      <w:pPr>
        <w:rPr>
          <w:b/>
          <w:bCs/>
          <w:lang w:val="en-GB"/>
        </w:rPr>
      </w:pPr>
    </w:p>
    <w:p w:rsidR="7E8CEA40" w:rsidP="199BC9C1" w:rsidRDefault="7E8CEA40" w14:paraId="4CEB60CB" w14:textId="6C37FA66">
      <w:pPr>
        <w:pStyle w:val="Heading1"/>
        <w:rPr>
          <w:lang w:val="en-GB"/>
        </w:rPr>
      </w:pPr>
      <w:bookmarkStart w:name="_Toc830166160" w:id="167627008"/>
      <w:r w:rsidRPr="199BC9C1" w:rsidR="7E8CEA40">
        <w:rPr>
          <w:lang w:val="en-GB"/>
        </w:rPr>
        <w:t xml:space="preserve">Company </w:t>
      </w:r>
      <w:r w:rsidRPr="199BC9C1" w:rsidR="7E8CEA40">
        <w:rPr>
          <w:lang w:val="en-GB"/>
        </w:rPr>
        <w:t>Appraisal</w:t>
      </w:r>
      <w:bookmarkEnd w:id="167627008"/>
    </w:p>
    <w:p w:rsidRPr="00325DD3" w:rsidR="00013654" w:rsidP="199BC9C1" w:rsidRDefault="00013654" w14:paraId="668F0B7B" w14:textId="38464044" w14:noSpellErr="1">
      <w:pPr>
        <w:pStyle w:val="Heading2"/>
        <w:rPr>
          <w:lang w:val="en-GB"/>
        </w:rPr>
      </w:pPr>
      <w:bookmarkStart w:name="_Toc1267323110" w:id="1533128498"/>
      <w:r w:rsidRPr="199BC9C1" w:rsidR="00013654">
        <w:rPr>
          <w:lang w:val="en-GB"/>
        </w:rPr>
        <w:t>A Realistic Look at Pi Health’s Wearable Launch: SWOT and Stakeholder Strategy</w:t>
      </w:r>
      <w:bookmarkEnd w:id="1533128498"/>
    </w:p>
    <w:p w:rsidR="00013654" w:rsidP="00013654" w:rsidRDefault="00013654" w14:paraId="18B86BCA" w14:textId="0EFE1E71">
      <w:pPr>
        <w:rPr>
          <w:lang w:val="en-GB"/>
        </w:rPr>
      </w:pPr>
      <w:r w:rsidRPr="00325DD3">
        <w:rPr>
          <w:lang w:val="en-GB"/>
        </w:rPr>
        <w:t>As Pi Health gears up to launch its new wearable health device, it’s time for a clear-eyed look at what’s working, what’s not, and what’s at stake. A SWOT analysis isn’t just about listing strengths and weaknesses</w:t>
      </w:r>
      <w:r w:rsidR="001C7C92">
        <w:rPr>
          <w:lang w:val="en-GB"/>
        </w:rPr>
        <w:t xml:space="preserve"> </w:t>
      </w:r>
      <w:r w:rsidRPr="00325DD3">
        <w:rPr>
          <w:lang w:val="en-GB"/>
        </w:rPr>
        <w:t>it’s about understanding how they interact, and what they mean for the real-world success of this launch.</w:t>
      </w:r>
    </w:p>
    <w:p w:rsidR="00802625" w:rsidP="00013654" w:rsidRDefault="00802625" w14:paraId="6A5AC8DD" w14:textId="77777777">
      <w:pPr>
        <w:rPr>
          <w:lang w:val="en-GB"/>
        </w:rPr>
      </w:pPr>
    </w:p>
    <w:p w:rsidRPr="00325DD3" w:rsidR="00013654" w:rsidP="030767A1" w:rsidRDefault="00013654" w14:paraId="760BF2C1" w14:textId="47BFE9AE">
      <w:pPr>
        <w:rPr>
          <w:b/>
          <w:bCs/>
          <w:lang w:val="en-GB"/>
        </w:rPr>
      </w:pPr>
      <w:r w:rsidRPr="030767A1">
        <w:rPr>
          <w:b/>
          <w:bCs/>
          <w:lang w:val="en-GB"/>
        </w:rPr>
        <w:t>Strengths: Innovation That Matters</w:t>
      </w:r>
    </w:p>
    <w:p w:rsidRPr="00325DD3" w:rsidR="00013654" w:rsidP="00013654" w:rsidRDefault="00013654" w14:paraId="436CD62A" w14:noSpellErr="1" w14:textId="3BF3F8EA">
      <w:pPr>
        <w:rPr>
          <w:lang w:val="en-GB"/>
        </w:rPr>
      </w:pPr>
      <w:r w:rsidRPr="199BC9C1" w:rsidR="00013654">
        <w:rPr>
          <w:lang w:val="en-GB"/>
        </w:rPr>
        <w:t xml:space="preserve">Pi Health’s biggest strength is its ability to blend </w:t>
      </w:r>
      <w:r w:rsidRPr="199BC9C1" w:rsidR="00013654">
        <w:rPr>
          <w:lang w:val="en-GB"/>
        </w:rPr>
        <w:t>cutting-edge</w:t>
      </w:r>
      <w:r w:rsidRPr="199BC9C1" w:rsidR="00013654">
        <w:rPr>
          <w:lang w:val="en-GB"/>
        </w:rPr>
        <w:t xml:space="preserve"> tech with clinical credibility. This </w:t>
      </w:r>
      <w:r w:rsidRPr="199BC9C1" w:rsidR="00013654">
        <w:rPr>
          <w:lang w:val="en-GB"/>
        </w:rPr>
        <w:t>isn’t</w:t>
      </w:r>
      <w:r w:rsidRPr="199BC9C1" w:rsidR="00013654">
        <w:rPr>
          <w:lang w:val="en-GB"/>
        </w:rPr>
        <w:t xml:space="preserve"> just another fitness band</w:t>
      </w:r>
      <w:r w:rsidRPr="199BC9C1" w:rsidR="19D84E55">
        <w:rPr>
          <w:lang w:val="en-GB"/>
        </w:rPr>
        <w:t xml:space="preserve"> </w:t>
      </w:r>
      <w:r w:rsidRPr="199BC9C1" w:rsidR="00013654">
        <w:rPr>
          <w:lang w:val="en-GB"/>
        </w:rPr>
        <w:t xml:space="preserve">it’s designed to meet medical standards, with </w:t>
      </w:r>
      <w:r w:rsidRPr="199BC9C1" w:rsidR="00013654">
        <w:rPr>
          <w:lang w:val="en-GB"/>
        </w:rPr>
        <w:t>accurate</w:t>
      </w:r>
      <w:r w:rsidRPr="199BC9C1" w:rsidR="00013654">
        <w:rPr>
          <w:lang w:val="en-GB"/>
        </w:rPr>
        <w:t xml:space="preserve"> tracking of heart rate, oxygen levels, and sleep patterns. </w:t>
      </w:r>
      <w:r w:rsidRPr="199BC9C1" w:rsidR="00013654">
        <w:rPr>
          <w:lang w:val="en-GB"/>
        </w:rPr>
        <w:t>That’s</w:t>
      </w:r>
      <w:r w:rsidRPr="199BC9C1" w:rsidR="00013654">
        <w:rPr>
          <w:lang w:val="en-GB"/>
        </w:rPr>
        <w:t xml:space="preserve"> a major differentiator in a market full of lifestyle gadgets.</w:t>
      </w:r>
    </w:p>
    <w:p w:rsidRPr="00325DD3" w:rsidR="00013654" w:rsidP="00013654" w:rsidRDefault="00013654" w14:paraId="4160F36E" w14:textId="1E28E83D">
      <w:pPr>
        <w:rPr>
          <w:lang w:val="en-GB"/>
        </w:rPr>
      </w:pPr>
      <w:r w:rsidRPr="00325DD3">
        <w:rPr>
          <w:lang w:val="en-GB"/>
        </w:rPr>
        <w:t>The company’s partnerships with NHS hospitals and universities add serious weight. These aren’t just for show</w:t>
      </w:r>
      <w:r w:rsidR="00802625">
        <w:rPr>
          <w:lang w:val="en-GB"/>
        </w:rPr>
        <w:t xml:space="preserve"> </w:t>
      </w:r>
      <w:r w:rsidRPr="00325DD3">
        <w:rPr>
          <w:lang w:val="en-GB"/>
        </w:rPr>
        <w:t>they give Pi Health access to clinical trials and frontline feedback, which helps refine the product and build trust with healthcare providers.</w:t>
      </w:r>
    </w:p>
    <w:p w:rsidR="00013654" w:rsidP="00013654" w:rsidRDefault="00013654" w14:paraId="3F67AB90" w14:textId="58D32C23">
      <w:pPr>
        <w:rPr>
          <w:lang w:val="en-GB"/>
        </w:rPr>
      </w:pPr>
      <w:r w:rsidRPr="00325DD3">
        <w:rPr>
          <w:lang w:val="en-GB"/>
        </w:rPr>
        <w:t>And let’s not overlook agility. As a mid-sized company, Pi Health can move fast, respond to feedback, and iterate quickly. That kind of responsiveness is a real asset</w:t>
      </w:r>
      <w:r w:rsidR="00802625">
        <w:rPr>
          <w:lang w:val="en-GB"/>
        </w:rPr>
        <w:t xml:space="preserve"> </w:t>
      </w:r>
      <w:r w:rsidRPr="00325DD3">
        <w:rPr>
          <w:lang w:val="en-GB"/>
        </w:rPr>
        <w:t>if it’s backed by clear direction and strong internal coordination.</w:t>
      </w:r>
    </w:p>
    <w:p w:rsidRPr="00325DD3" w:rsidR="000252F7" w:rsidP="00013654" w:rsidRDefault="000252F7" w14:paraId="26CB4496" w14:textId="77777777">
      <w:pPr>
        <w:rPr>
          <w:lang w:val="en-GB"/>
        </w:rPr>
      </w:pPr>
    </w:p>
    <w:p w:rsidRPr="00325DD3" w:rsidR="00013654" w:rsidP="00013654" w:rsidRDefault="00013654" w14:paraId="072D7CAC" w14:textId="77777777">
      <w:pPr>
        <w:rPr>
          <w:b/>
          <w:bCs/>
          <w:lang w:val="en-GB"/>
        </w:rPr>
      </w:pPr>
      <w:r w:rsidRPr="00325DD3">
        <w:rPr>
          <w:b/>
          <w:bCs/>
          <w:lang w:val="en-GB"/>
        </w:rPr>
        <w:t>Weaknesses: Visibility and Internal Friction</w:t>
      </w:r>
    </w:p>
    <w:p w:rsidRPr="00325DD3" w:rsidR="00013654" w:rsidP="00013654" w:rsidRDefault="00013654" w14:paraId="77147F4A" w14:textId="224CB329">
      <w:pPr>
        <w:rPr>
          <w:lang w:val="en-GB"/>
        </w:rPr>
      </w:pPr>
      <w:r w:rsidRPr="00325DD3">
        <w:rPr>
          <w:lang w:val="en-GB"/>
        </w:rPr>
        <w:t>But there are challenges. Pi Health doesn’t have the brand recognition of Apple or Fitbit, and it lacks the marketing firepower to compete head-to-head. That makes it harder to build trust with consumers</w:t>
      </w:r>
      <w:r w:rsidR="00802625">
        <w:rPr>
          <w:lang w:val="en-GB"/>
        </w:rPr>
        <w:t xml:space="preserve"> </w:t>
      </w:r>
      <w:r w:rsidRPr="00325DD3">
        <w:rPr>
          <w:lang w:val="en-GB"/>
        </w:rPr>
        <w:t>especially those already loyal to bigger names.</w:t>
      </w:r>
    </w:p>
    <w:p w:rsidRPr="00325DD3" w:rsidR="00013654" w:rsidP="00013654" w:rsidRDefault="00013654" w14:paraId="68642B8C" w14:textId="77777777">
      <w:pPr>
        <w:rPr>
          <w:lang w:val="en-GB"/>
        </w:rPr>
      </w:pPr>
      <w:r w:rsidRPr="00325DD3">
        <w:rPr>
          <w:lang w:val="en-GB"/>
        </w:rPr>
        <w:t>Regulatory compliance is another hurdle. Getting certified by the MHRA and staying GDPR-compliant isn’t just paperwork</w:t>
      </w:r>
      <w:r>
        <w:rPr>
          <w:lang w:val="en-GB"/>
        </w:rPr>
        <w:t xml:space="preserve"> </w:t>
      </w:r>
      <w:r w:rsidRPr="00325DD3">
        <w:rPr>
          <w:lang w:val="en-GB"/>
        </w:rPr>
        <w:t>it’s a complex, resource-heavy process that can slow things down.</w:t>
      </w:r>
    </w:p>
    <w:p w:rsidR="00013654" w:rsidP="00013654" w:rsidRDefault="00013654" w14:paraId="65E788D4" w14:textId="7ECFE822">
      <w:pPr>
        <w:rPr>
          <w:lang w:val="en-GB"/>
        </w:rPr>
      </w:pPr>
      <w:r w:rsidRPr="00325DD3">
        <w:rPr>
          <w:lang w:val="en-GB"/>
        </w:rPr>
        <w:t xml:space="preserve">Internally, communication between teams is a potential weak spot. If developers, marketers, and compliance leads aren’t aligned, decisions get </w:t>
      </w:r>
      <w:r w:rsidRPr="00325DD3" w:rsidR="000252F7">
        <w:rPr>
          <w:lang w:val="en-GB"/>
        </w:rPr>
        <w:t>delayed,</w:t>
      </w:r>
      <w:r w:rsidRPr="00325DD3">
        <w:rPr>
          <w:lang w:val="en-GB"/>
        </w:rPr>
        <w:t xml:space="preserve"> and messaging gets muddled. That’s a risk Pi Health can’t afford during a </w:t>
      </w:r>
      <w:r w:rsidRPr="00325DD3" w:rsidR="000252F7">
        <w:rPr>
          <w:lang w:val="en-GB"/>
        </w:rPr>
        <w:t>high stakes</w:t>
      </w:r>
      <w:r w:rsidRPr="00325DD3">
        <w:rPr>
          <w:lang w:val="en-GB"/>
        </w:rPr>
        <w:t xml:space="preserve"> launch.</w:t>
      </w:r>
    </w:p>
    <w:p w:rsidR="000252F7" w:rsidP="00013654" w:rsidRDefault="000252F7" w14:paraId="50C562A8" w14:textId="77777777">
      <w:pPr>
        <w:rPr>
          <w:lang w:val="en-GB"/>
        </w:rPr>
      </w:pPr>
    </w:p>
    <w:p w:rsidRPr="00325DD3" w:rsidR="000252F7" w:rsidP="00013654" w:rsidRDefault="000252F7" w14:paraId="6291D603" w14:textId="77777777">
      <w:pPr>
        <w:rPr>
          <w:lang w:val="en-GB"/>
        </w:rPr>
      </w:pPr>
    </w:p>
    <w:p w:rsidRPr="00325DD3" w:rsidR="00013654" w:rsidP="00013654" w:rsidRDefault="00013654" w14:paraId="7E79073A" w14:textId="77777777">
      <w:pPr>
        <w:rPr>
          <w:b/>
          <w:bCs/>
          <w:lang w:val="en-GB"/>
        </w:rPr>
      </w:pPr>
      <w:r w:rsidRPr="00325DD3">
        <w:rPr>
          <w:b/>
          <w:bCs/>
          <w:lang w:val="en-GB"/>
        </w:rPr>
        <w:t>Opportunities: A Market Ready for Change</w:t>
      </w:r>
    </w:p>
    <w:p w:rsidRPr="00325DD3" w:rsidR="00013654" w:rsidP="00013654" w:rsidRDefault="00013654" w14:paraId="04173096" w14:textId="77777777">
      <w:pPr>
        <w:rPr>
          <w:lang w:val="en-GB"/>
        </w:rPr>
      </w:pPr>
      <w:r w:rsidRPr="00325DD3">
        <w:rPr>
          <w:lang w:val="en-GB"/>
        </w:rPr>
        <w:t>The timing is right. More people are tracking their health, and the NHS is actively pushing for digital solutions. Chronic conditions like heart disease and sleep disorders are on the rise, and remote monitoring is becoming a key part of managing them.</w:t>
      </w:r>
    </w:p>
    <w:p w:rsidRPr="00325DD3" w:rsidR="00013654" w:rsidP="00013654" w:rsidRDefault="00013654" w14:paraId="08AFAF5B" w14:textId="5B8F2EC6">
      <w:pPr>
        <w:rPr>
          <w:lang w:val="en-GB"/>
        </w:rPr>
      </w:pPr>
      <w:r w:rsidRPr="030767A1">
        <w:rPr>
          <w:lang w:val="en-GB"/>
        </w:rPr>
        <w:t>If Pi Health can position its device as a trusted clinical tool</w:t>
      </w:r>
      <w:r w:rsidRPr="030767A1" w:rsidR="6FFBA6AC">
        <w:rPr>
          <w:lang w:val="en-GB"/>
        </w:rPr>
        <w:t xml:space="preserve"> </w:t>
      </w:r>
      <w:r w:rsidRPr="030767A1">
        <w:rPr>
          <w:lang w:val="en-GB"/>
        </w:rPr>
        <w:t>not just for patients, but for clinicians</w:t>
      </w:r>
      <w:r w:rsidRPr="030767A1" w:rsidR="4DB897FE">
        <w:rPr>
          <w:lang w:val="en-GB"/>
        </w:rPr>
        <w:t xml:space="preserve"> </w:t>
      </w:r>
      <w:r w:rsidRPr="030767A1">
        <w:rPr>
          <w:lang w:val="en-GB"/>
        </w:rPr>
        <w:t>it could carve out a valuable niche. Collaborations with hospitals, insurers, and research institutions could accelerate adoption and help validate the device’s impact.</w:t>
      </w:r>
    </w:p>
    <w:p w:rsidR="00013654" w:rsidP="00013654" w:rsidRDefault="00013654" w14:paraId="56E6E6C3" w14:textId="77777777">
      <w:pPr>
        <w:rPr>
          <w:lang w:val="en-GB"/>
        </w:rPr>
      </w:pPr>
      <w:r w:rsidRPr="00325DD3">
        <w:rPr>
          <w:lang w:val="en-GB"/>
        </w:rPr>
        <w:t>But these opportunities won’t just fall into Pi Health’s lap. They’ll require smart outreach, clear messaging, and a compelling story about why this device matters.</w:t>
      </w:r>
    </w:p>
    <w:p w:rsidR="000252F7" w:rsidP="00013654" w:rsidRDefault="000252F7" w14:paraId="60C979A5" w14:textId="77777777">
      <w:pPr>
        <w:rPr>
          <w:lang w:val="en-GB"/>
        </w:rPr>
      </w:pPr>
    </w:p>
    <w:p w:rsidRPr="00325DD3" w:rsidR="000252F7" w:rsidP="00013654" w:rsidRDefault="000252F7" w14:paraId="0FC64B38" w14:textId="77777777">
      <w:pPr>
        <w:rPr>
          <w:lang w:val="en-GB"/>
        </w:rPr>
      </w:pPr>
    </w:p>
    <w:p w:rsidRPr="00325DD3" w:rsidR="00013654" w:rsidP="00013654" w:rsidRDefault="00013654" w14:paraId="732FA339" w14:textId="77777777">
      <w:pPr>
        <w:rPr>
          <w:b/>
          <w:bCs/>
          <w:lang w:val="en-GB"/>
        </w:rPr>
      </w:pPr>
      <w:r w:rsidRPr="00325DD3">
        <w:rPr>
          <w:b/>
          <w:bCs/>
          <w:lang w:val="en-GB"/>
        </w:rPr>
        <w:t>Threats: Competition and High Stakes</w:t>
      </w:r>
    </w:p>
    <w:p w:rsidRPr="00325DD3" w:rsidR="00013654" w:rsidP="00013654" w:rsidRDefault="00013654" w14:paraId="0595C07D" w14:textId="3012324E">
      <w:pPr>
        <w:rPr>
          <w:lang w:val="en-GB"/>
        </w:rPr>
      </w:pPr>
      <w:r w:rsidRPr="00325DD3">
        <w:rPr>
          <w:lang w:val="en-GB"/>
        </w:rPr>
        <w:t>The wearable tech space is crowded. Big brands dominate attention and have deep pockets to stay there. Pi Health will need more than a good product</w:t>
      </w:r>
      <w:r w:rsidR="001C7C92">
        <w:rPr>
          <w:lang w:val="en-GB"/>
        </w:rPr>
        <w:t xml:space="preserve"> </w:t>
      </w:r>
      <w:r w:rsidRPr="00325DD3">
        <w:rPr>
          <w:lang w:val="en-GB"/>
        </w:rPr>
        <w:t>it’ll need to stand out with purpose.</w:t>
      </w:r>
    </w:p>
    <w:p w:rsidRPr="00325DD3" w:rsidR="00013654" w:rsidP="00013654" w:rsidRDefault="00013654" w14:paraId="5D063BC6" w14:textId="77777777">
      <w:pPr>
        <w:rPr>
          <w:lang w:val="en-GB"/>
        </w:rPr>
      </w:pPr>
      <w:r w:rsidRPr="00325DD3">
        <w:rPr>
          <w:lang w:val="en-GB"/>
        </w:rPr>
        <w:t>Cybersecurity and data privacy are also critical. One misstep could damage user trust and invite regulatory scrutiny. In healthcare, trust is everything.</w:t>
      </w:r>
    </w:p>
    <w:p w:rsidR="00013654" w:rsidP="00013654" w:rsidRDefault="00013654" w14:paraId="71F9194C" w14:textId="4F8A0017">
      <w:pPr>
        <w:rPr>
          <w:lang w:val="en-GB"/>
        </w:rPr>
      </w:pPr>
      <w:r w:rsidRPr="00325DD3">
        <w:rPr>
          <w:lang w:val="en-GB"/>
        </w:rPr>
        <w:t>Other risks include supply chain hiccups, regulatory delays, and potential product recalls. These aren’t just operational issues</w:t>
      </w:r>
      <w:r w:rsidR="001C7C92">
        <w:rPr>
          <w:lang w:val="en-GB"/>
        </w:rPr>
        <w:t xml:space="preserve"> </w:t>
      </w:r>
      <w:r w:rsidRPr="00325DD3">
        <w:rPr>
          <w:lang w:val="en-GB"/>
        </w:rPr>
        <w:t xml:space="preserve">they’re reputational risks. Pi Health needs contingency plans and clear communication strategies to stay </w:t>
      </w:r>
    </w:p>
    <w:p w:rsidR="00013654" w:rsidP="199BC9C1" w:rsidRDefault="00013654" w14:paraId="6E22D2C3" w14:noSpellErr="1" w14:textId="615249CC">
      <w:pPr>
        <w:pStyle w:val="Heading1"/>
        <w:rPr>
          <w:lang w:val="en-GB"/>
        </w:rPr>
      </w:pPr>
      <w:bookmarkStart w:name="_Toc139184434" w:id="1132067617"/>
      <w:r w:rsidRPr="199BC9C1" w:rsidR="30375B22">
        <w:rPr>
          <w:lang w:val="en-GB"/>
        </w:rPr>
        <w:t>Stakeholder Mapping</w:t>
      </w:r>
      <w:bookmarkEnd w:id="1132067617"/>
    </w:p>
    <w:p w:rsidRPr="00325DD3" w:rsidR="00013654" w:rsidP="199BC9C1" w:rsidRDefault="00013654" w14:paraId="7C4C60E8" w14:textId="3A1060F7" w14:noSpellErr="1">
      <w:pPr>
        <w:pStyle w:val="Heading2"/>
        <w:rPr>
          <w:lang w:val="en-GB"/>
        </w:rPr>
      </w:pPr>
      <w:bookmarkStart w:name="_Toc706856130" w:id="1906926897"/>
      <w:r w:rsidRPr="199BC9C1" w:rsidR="00013654">
        <w:rPr>
          <w:lang w:val="en-GB"/>
        </w:rPr>
        <w:t>Stakeholders: Alignment Over Assumption</w:t>
      </w:r>
      <w:bookmarkEnd w:id="1906926897"/>
    </w:p>
    <w:p w:rsidR="00013654" w:rsidP="00013654" w:rsidRDefault="00013654" w14:paraId="192E9E7E" w14:textId="42652E7E">
      <w:pPr>
        <w:rPr>
          <w:lang w:val="en-GB"/>
        </w:rPr>
      </w:pPr>
      <w:r w:rsidRPr="00325DD3">
        <w:rPr>
          <w:lang w:val="en-GB"/>
        </w:rPr>
        <w:t>Knowing who your stakeholders are is essential</w:t>
      </w:r>
      <w:r w:rsidR="001C7C92">
        <w:rPr>
          <w:lang w:val="en-GB"/>
        </w:rPr>
        <w:t xml:space="preserve"> </w:t>
      </w:r>
      <w:r w:rsidRPr="00325DD3">
        <w:rPr>
          <w:lang w:val="en-GB"/>
        </w:rPr>
        <w:t>but it’s just the beginning. The real challenge is understanding their influence, anticipating their concerns, and actively managing their expectations.</w:t>
      </w:r>
    </w:p>
    <w:p w:rsidR="000252F7" w:rsidP="00013654" w:rsidRDefault="000252F7" w14:paraId="14535862" w14:textId="77777777">
      <w:pPr>
        <w:rPr>
          <w:lang w:val="en-GB"/>
        </w:rPr>
      </w:pPr>
    </w:p>
    <w:p w:rsidRPr="00325DD3" w:rsidR="005C2129" w:rsidP="199BC9C1" w:rsidRDefault="00013654" w14:paraId="6BD77AB0" w14:textId="7F475C1A" w14:noSpellErr="1">
      <w:pPr>
        <w:pStyle w:val="Heading3"/>
        <w:rPr>
          <w:b w:val="1"/>
          <w:bCs w:val="1"/>
          <w:lang w:val="en-GB"/>
        </w:rPr>
      </w:pPr>
      <w:bookmarkStart w:name="_Toc2008684376" w:id="1953896932"/>
      <w:r w:rsidRPr="199BC9C1" w:rsidR="00013654">
        <w:rPr>
          <w:lang w:val="en-GB"/>
        </w:rPr>
        <w:t>Internal: Collaboration or Chaos?</w:t>
      </w:r>
      <w:bookmarkEnd w:id="1953896932"/>
    </w:p>
    <w:p w:rsidRPr="00325DD3" w:rsidR="00013654" w:rsidP="00013654" w:rsidRDefault="00013654" w14:paraId="396906DA" w14:textId="3657F80C">
      <w:pPr>
        <w:rPr>
          <w:lang w:val="en-GB"/>
        </w:rPr>
      </w:pPr>
      <w:r w:rsidRPr="00325DD3">
        <w:rPr>
          <w:lang w:val="en-GB"/>
        </w:rPr>
        <w:t>Inside Pi Health, the right teams are in place</w:t>
      </w:r>
      <w:r w:rsidR="001C7C92">
        <w:rPr>
          <w:lang w:val="en-GB"/>
        </w:rPr>
        <w:t xml:space="preserve"> </w:t>
      </w:r>
      <w:r w:rsidRPr="00325DD3">
        <w:rPr>
          <w:lang w:val="en-GB"/>
        </w:rPr>
        <w:t>executives, developers, compliance leads, marketers. But having the right people doesn’t guarantee alignment.</w:t>
      </w:r>
    </w:p>
    <w:p w:rsidRPr="00325DD3" w:rsidR="00013654" w:rsidP="00013654" w:rsidRDefault="00013654" w14:paraId="0D38ABB2" w14:textId="77777777">
      <w:pPr>
        <w:rPr>
          <w:lang w:val="en-GB"/>
        </w:rPr>
      </w:pPr>
      <w:r w:rsidRPr="00325DD3">
        <w:rPr>
          <w:lang w:val="en-GB"/>
        </w:rPr>
        <w:t>If developers aren’t looped into marketing strategy, the product might be brilliant but poorly positioned. If compliance isn’t involved early, regulatory delays could derail the timeline. And if executive priorities shift midstream, the whole launch could lose momentum.</w:t>
      </w:r>
    </w:p>
    <w:p w:rsidR="00013654" w:rsidP="00013654" w:rsidRDefault="00013654" w14:paraId="521F7E9D" w14:textId="5EA1D494">
      <w:pPr>
        <w:rPr>
          <w:lang w:val="en-GB"/>
        </w:rPr>
      </w:pPr>
      <w:r w:rsidRPr="00325DD3">
        <w:rPr>
          <w:lang w:val="en-GB"/>
        </w:rPr>
        <w:t>Intentional collaboration is key. Shared goals, open communication, and cross-functional planning aren’t optional</w:t>
      </w:r>
      <w:r w:rsidR="0093124B">
        <w:rPr>
          <w:lang w:val="en-GB"/>
        </w:rPr>
        <w:t xml:space="preserve"> </w:t>
      </w:r>
      <w:r w:rsidRPr="00325DD3">
        <w:rPr>
          <w:lang w:val="en-GB"/>
        </w:rPr>
        <w:t>they’re launch-critical.</w:t>
      </w:r>
    </w:p>
    <w:p w:rsidR="005C2129" w:rsidP="00013654" w:rsidRDefault="005C2129" w14:paraId="3B6A2A4C" w14:textId="77777777">
      <w:pPr>
        <w:rPr>
          <w:lang w:val="en-GB"/>
        </w:rPr>
      </w:pPr>
    </w:p>
    <w:p w:rsidRPr="00325DD3" w:rsidR="00013654" w:rsidP="199BC9C1" w:rsidRDefault="00013654" w14:paraId="1D493AA8" w14:textId="0109AB11" w14:noSpellErr="1">
      <w:pPr>
        <w:pStyle w:val="Heading3"/>
        <w:rPr>
          <w:b w:val="1"/>
          <w:bCs w:val="1"/>
          <w:lang w:val="en-GB"/>
        </w:rPr>
      </w:pPr>
      <w:bookmarkStart w:name="_Toc1034522237" w:id="1429828922"/>
      <w:r w:rsidRPr="199BC9C1" w:rsidR="00013654">
        <w:rPr>
          <w:lang w:val="en-GB"/>
        </w:rPr>
        <w:t>External: Influence and Impact</w:t>
      </w:r>
      <w:bookmarkEnd w:id="1429828922"/>
    </w:p>
    <w:p w:rsidRPr="00325DD3" w:rsidR="00013654" w:rsidP="00013654" w:rsidRDefault="00013654" w14:paraId="1D5C0EE8" w14:textId="1F1BACB8">
      <w:pPr>
        <w:rPr>
          <w:lang w:val="en-GB"/>
        </w:rPr>
      </w:pPr>
      <w:r w:rsidRPr="00325DD3">
        <w:rPr>
          <w:lang w:val="en-GB"/>
        </w:rPr>
        <w:t>Externally, Pi Health needs to engage regulators, NHS partners, clinicians, patients, and investors. Each group brings different expectations</w:t>
      </w:r>
      <w:r w:rsidR="0093124B">
        <w:rPr>
          <w:lang w:val="en-GB"/>
        </w:rPr>
        <w:t xml:space="preserve"> </w:t>
      </w:r>
      <w:r w:rsidRPr="00325DD3">
        <w:rPr>
          <w:lang w:val="en-GB"/>
        </w:rPr>
        <w:t>and different kinds of influence.</w:t>
      </w:r>
    </w:p>
    <w:p w:rsidRPr="00325DD3" w:rsidR="00013654" w:rsidP="00013654" w:rsidRDefault="00013654" w14:paraId="6FB4A5E2" w14:textId="77777777">
      <w:pPr>
        <w:rPr>
          <w:lang w:val="en-GB"/>
        </w:rPr>
      </w:pPr>
      <w:r w:rsidRPr="00325DD3">
        <w:rPr>
          <w:lang w:val="en-GB"/>
        </w:rPr>
        <w:t>Regulators want safety and compliance. NHS partners need evidence of clinical impact. Clinicians care about usability and integration. Patients want clarity and trust. Investors expect traction and strategic clarity.</w:t>
      </w:r>
    </w:p>
    <w:p w:rsidRPr="00325DD3" w:rsidR="00013654" w:rsidP="00013654" w:rsidRDefault="00013654" w14:paraId="004CB382" w14:textId="67792DD3">
      <w:pPr>
        <w:rPr>
          <w:lang w:val="en-GB"/>
        </w:rPr>
      </w:pPr>
      <w:r w:rsidRPr="00325DD3">
        <w:rPr>
          <w:lang w:val="en-GB"/>
        </w:rPr>
        <w:t>Mapping these stakeholders</w:t>
      </w:r>
      <w:r w:rsidR="0093124B">
        <w:rPr>
          <w:lang w:val="en-GB"/>
        </w:rPr>
        <w:t xml:space="preserve"> </w:t>
      </w:r>
      <w:r w:rsidRPr="00325DD3">
        <w:rPr>
          <w:lang w:val="en-GB"/>
        </w:rPr>
        <w:t>who holds power, who’s most invested</w:t>
      </w:r>
      <w:r w:rsidR="0093124B">
        <w:rPr>
          <w:lang w:val="en-GB"/>
        </w:rPr>
        <w:t xml:space="preserve"> </w:t>
      </w:r>
      <w:r w:rsidRPr="00325DD3">
        <w:rPr>
          <w:lang w:val="en-GB"/>
        </w:rPr>
        <w:t>can help Pi Health focus its efforts. High-power, high-interest groups like regulators and NHS partners need tailored engagement. Patients, while less powerful, can become powerful advocates if they feel heard.</w:t>
      </w:r>
    </w:p>
    <w:p w:rsidR="00013654" w:rsidP="00013654" w:rsidRDefault="00013654" w14:paraId="198F44FE" w14:textId="2E42CBF4">
      <w:pPr>
        <w:rPr>
          <w:lang w:val="en-GB"/>
        </w:rPr>
      </w:pPr>
    </w:p>
    <w:p w:rsidRPr="001A5188" w:rsidR="001A5188" w:rsidP="001A5188" w:rsidRDefault="001A5188" w14:paraId="1B46D445" w14:textId="6210B6A3">
      <w:pPr>
        <w:rPr>
          <w:lang w:val="en-GB"/>
        </w:rPr>
      </w:pPr>
    </w:p>
    <w:p w:rsidRPr="001A5188" w:rsidR="001A5188" w:rsidP="001A5188" w:rsidRDefault="001A5188" w14:paraId="074A09E6" w14:noSpellErr="1" w14:textId="5625BABE">
      <w:pPr>
        <w:rPr>
          <w:lang w:val="en-GB"/>
        </w:rPr>
      </w:pPr>
      <w:bookmarkStart w:name="_Toc267444431" w:id="1347373333"/>
      <w:r w:rsidRPr="199BC9C1" w:rsidR="001A5188">
        <w:rPr>
          <w:rStyle w:val="Heading3Char"/>
          <w:lang w:val="en-GB"/>
        </w:rPr>
        <w:t>Final Thought: Strategy Over Optimism</w:t>
      </w:r>
      <w:bookmarkEnd w:id="1347373333"/>
      <w:r>
        <w:br/>
      </w:r>
      <w:r w:rsidRPr="199BC9C1" w:rsidR="001A5188">
        <w:rPr>
          <w:lang w:val="en-GB"/>
        </w:rPr>
        <w:t xml:space="preserve">Pi Health enters the market with </w:t>
      </w:r>
      <w:r w:rsidRPr="199BC9C1" w:rsidR="001A5188">
        <w:rPr>
          <w:lang w:val="en-GB"/>
        </w:rPr>
        <w:t>a strong foundation</w:t>
      </w:r>
      <w:r w:rsidRPr="199BC9C1" w:rsidR="001A5188">
        <w:rPr>
          <w:lang w:val="en-GB"/>
        </w:rPr>
        <w:t xml:space="preserve"> and a promising product. But success in healthcare technology demands more than </w:t>
      </w:r>
      <w:r w:rsidRPr="199BC9C1" w:rsidR="001A5188">
        <w:rPr>
          <w:lang w:val="en-GB"/>
        </w:rPr>
        <w:t>innovation it</w:t>
      </w:r>
      <w:r w:rsidRPr="199BC9C1" w:rsidR="001A5188">
        <w:rPr>
          <w:lang w:val="en-GB"/>
        </w:rPr>
        <w:t xml:space="preserve"> requires strategic clarity, stakeholder trust, and operational discipline. The SWOT and stakeholder analyses reveal genuine potential, yet they also expose critical gaps in alignment, execution, and adaptability.</w:t>
      </w:r>
    </w:p>
    <w:p w:rsidRPr="001A5188" w:rsidR="001A5188" w:rsidP="001A5188" w:rsidRDefault="001A5188" w14:paraId="3E6A8430" w14:textId="77777777">
      <w:pPr>
        <w:rPr>
          <w:lang w:val="en-GB"/>
        </w:rPr>
      </w:pPr>
      <w:r w:rsidRPr="001A5188">
        <w:rPr>
          <w:lang w:val="en-GB"/>
        </w:rPr>
        <w:t>To thrive, Pi Health must treat stakeholder engagement not as a static checklist, but as a dynamic, relational process. This means listening actively, responding transparently, and building trust across clinical, regulatory, and consumer domains. Regulatory navigation will require foresight and flexibility, while market competition will test the company’s ability to differentiate meaningfully and scale responsibly.</w:t>
      </w:r>
    </w:p>
    <w:p w:rsidRPr="001A5188" w:rsidR="001A5188" w:rsidP="001A5188" w:rsidRDefault="001A5188" w14:paraId="175DF1CB" w14:textId="244AD9C7">
      <w:pPr>
        <w:rPr>
          <w:lang w:val="en-GB"/>
        </w:rPr>
      </w:pPr>
      <w:r w:rsidRPr="030767A1">
        <w:rPr>
          <w:lang w:val="en-GB"/>
        </w:rPr>
        <w:t xml:space="preserve">Internal cohesion is equally vital. Teams must be aligned not just on goals, but on values, feedback culture, and shared purpose. Execution must be relentless </w:t>
      </w:r>
      <w:r w:rsidRPr="030767A1" w:rsidR="3A412793">
        <w:rPr>
          <w:lang w:val="en-GB"/>
        </w:rPr>
        <w:t xml:space="preserve"> </w:t>
      </w:r>
      <w:r w:rsidRPr="030767A1">
        <w:rPr>
          <w:lang w:val="en-GB"/>
        </w:rPr>
        <w:t xml:space="preserve"> guided by clear priorities, adaptive leadership, and continuous learning.</w:t>
      </w:r>
    </w:p>
    <w:p w:rsidRPr="001A5188" w:rsidR="001A5188" w:rsidP="2A374194" w:rsidRDefault="001A5188" w14:noSpellErr="1" w14:paraId="0B3CCE09" w14:textId="151A6772">
      <w:pPr>
        <w:rPr>
          <w:lang w:val="en-GB"/>
        </w:rPr>
      </w:pPr>
      <w:r w:rsidRPr="2A374194" w:rsidR="001A5188">
        <w:rPr>
          <w:lang w:val="en-GB"/>
        </w:rPr>
        <w:t>Optimism is valuable, but strategy is essential. Pi Health’s future depends on its ability to bridge vision and reality, turning potential into performance through thoughtful engagement and disciplined action.</w:t>
      </w:r>
    </w:p>
    <w:p w:rsidRPr="001A5188" w:rsidR="001A5188" w:rsidP="001A5188" w:rsidRDefault="001A5188" w14:paraId="244F4B7E" w14:textId="26E19F18">
      <w:pPr>
        <w:rPr>
          <w:lang w:val="en-GB"/>
        </w:rPr>
      </w:pPr>
      <w:r w:rsidRPr="2A374194" w:rsidR="001A5188">
        <w:rPr>
          <w:lang w:val="en-GB"/>
        </w:rPr>
        <w:t xml:space="preserve"> With the right strategic mindset, the company can move from promising to </w:t>
      </w:r>
      <w:r w:rsidRPr="2A374194" w:rsidR="67CD2C41">
        <w:rPr>
          <w:lang w:val="en-GB"/>
        </w:rPr>
        <w:t>transformative not</w:t>
      </w:r>
      <w:r w:rsidRPr="2A374194" w:rsidR="001A5188">
        <w:rPr>
          <w:lang w:val="en-GB"/>
        </w:rPr>
        <w:t xml:space="preserve"> just launching a product, but shaping a healthier, more connected future.</w:t>
      </w:r>
    </w:p>
    <w:p w:rsidR="19BA8FD1" w:rsidP="2A374194" w:rsidRDefault="19BA8FD1" w14:paraId="292B77A7" w14:textId="760D8094">
      <w:pPr>
        <w:pStyle w:val="ListParagraph"/>
        <w:spacing w:before="0" w:beforeAutospacing="off" w:after="0" w:afterAutospacing="off" w:line="276" w:lineRule="auto"/>
        <w:ind w:left="720"/>
        <w:rPr>
          <w:rFonts w:ascii="Calibri" w:hAnsi="Calibri" w:eastAsia="Calibri" w:cs="Calibri"/>
          <w:noProof w:val="0"/>
          <w:sz w:val="22"/>
          <w:szCs w:val="22"/>
          <w:lang w:val="en-GB"/>
        </w:rPr>
      </w:pPr>
      <w:hyperlink r:id="R33b3432f48cc4647">
        <w:r w:rsidRPr="2A374194" w:rsidR="19BA8FD1">
          <w:rPr>
            <w:rStyle w:val="Hyperlink"/>
            <w:rFonts w:ascii="Calibri" w:hAnsi="Calibri" w:eastAsia="Calibri" w:cs="Calibri"/>
            <w:strike w:val="0"/>
            <w:dstrike w:val="0"/>
            <w:noProof w:val="0"/>
            <w:color w:val="0000FF"/>
            <w:sz w:val="22"/>
            <w:szCs w:val="22"/>
            <w:u w:val="single"/>
            <w:lang w:val="en-GB"/>
          </w:rPr>
          <w:t>CSR Education’s Strategic Stakeholder Mapping Guide</w:t>
        </w:r>
      </w:hyperlink>
      <w:r w:rsidRPr="2A374194" w:rsidR="19BA8FD1">
        <w:rPr>
          <w:rFonts w:ascii="Calibri" w:hAnsi="Calibri" w:eastAsia="Calibri" w:cs="Calibri"/>
          <w:noProof w:val="0"/>
          <w:sz w:val="22"/>
          <w:szCs w:val="22"/>
          <w:lang w:val="en-GB"/>
        </w:rPr>
        <w:t xml:space="preserve"> explains </w:t>
      </w:r>
      <w:r w:rsidRPr="2A374194" w:rsidR="19BA8FD1">
        <w:rPr>
          <w:rFonts w:ascii="Calibri" w:hAnsi="Calibri" w:eastAsia="Calibri" w:cs="Calibri"/>
          <w:noProof w:val="0"/>
          <w:sz w:val="22"/>
          <w:szCs w:val="22"/>
          <w:lang w:val="en-GB"/>
        </w:rPr>
        <w:t>Style's</w:t>
      </w:r>
      <w:r w:rsidRPr="2A374194" w:rsidR="19BA8FD1">
        <w:rPr>
          <w:rFonts w:ascii="Calibri" w:hAnsi="Calibri" w:eastAsia="Calibri" w:cs="Calibri"/>
          <w:noProof w:val="0"/>
          <w:sz w:val="22"/>
          <w:szCs w:val="22"/>
          <w:lang w:val="en-GB"/>
        </w:rPr>
        <w:t xml:space="preserve"> grid and its application to business launches.</w:t>
      </w:r>
    </w:p>
    <w:p w:rsidR="19BA8FD1" w:rsidP="2A374194" w:rsidRDefault="19BA8FD1" w14:paraId="62DDB65F" w14:textId="71D46690">
      <w:pPr>
        <w:pStyle w:val="ListParagraph"/>
        <w:spacing w:before="0" w:beforeAutospacing="off" w:after="0" w:afterAutospacing="off" w:line="276" w:lineRule="auto"/>
        <w:ind w:left="720"/>
        <w:rPr>
          <w:rFonts w:ascii="Calibri" w:hAnsi="Calibri" w:eastAsia="Calibri" w:cs="Calibri"/>
          <w:noProof w:val="0"/>
          <w:sz w:val="22"/>
          <w:szCs w:val="22"/>
          <w:lang w:val="en-GB"/>
        </w:rPr>
      </w:pPr>
      <w:hyperlink r:id="R333bec7251db46fe">
        <w:r w:rsidRPr="2A374194" w:rsidR="19BA8FD1">
          <w:rPr>
            <w:rStyle w:val="Hyperlink"/>
            <w:rFonts w:ascii="Calibri" w:hAnsi="Calibri" w:eastAsia="Calibri" w:cs="Calibri"/>
            <w:strike w:val="0"/>
            <w:dstrike w:val="0"/>
            <w:noProof w:val="0"/>
            <w:color w:val="0000FF"/>
            <w:sz w:val="22"/>
            <w:szCs w:val="22"/>
            <w:u w:val="single"/>
            <w:lang w:val="en-GB"/>
          </w:rPr>
          <w:t>Infomineo’s Stakeholder Mapping Models</w:t>
        </w:r>
      </w:hyperlink>
      <w:r w:rsidRPr="2A374194" w:rsidR="19BA8FD1">
        <w:rPr>
          <w:rFonts w:ascii="Calibri" w:hAnsi="Calibri" w:eastAsia="Calibri" w:cs="Calibri"/>
          <w:noProof w:val="0"/>
          <w:sz w:val="22"/>
          <w:szCs w:val="22"/>
          <w:lang w:val="en-GB"/>
        </w:rPr>
        <w:t xml:space="preserve"> includes </w:t>
      </w:r>
      <w:r w:rsidRPr="2A374194" w:rsidR="19BA8FD1">
        <w:rPr>
          <w:rFonts w:ascii="Calibri" w:hAnsi="Calibri" w:eastAsia="Calibri" w:cs="Calibri"/>
          <w:noProof w:val="0"/>
          <w:sz w:val="22"/>
          <w:szCs w:val="22"/>
          <w:lang w:val="en-GB"/>
        </w:rPr>
        <w:t>Style's</w:t>
      </w:r>
      <w:r w:rsidRPr="2A374194" w:rsidR="19BA8FD1">
        <w:rPr>
          <w:rFonts w:ascii="Calibri" w:hAnsi="Calibri" w:eastAsia="Calibri" w:cs="Calibri"/>
          <w:noProof w:val="0"/>
          <w:sz w:val="22"/>
          <w:szCs w:val="22"/>
          <w:lang w:val="en-GB"/>
        </w:rPr>
        <w:t xml:space="preserve"> framework among five essential models for stakeholder engagement.</w:t>
      </w:r>
    </w:p>
    <w:p w:rsidR="19BA8FD1" w:rsidP="2A374194" w:rsidRDefault="19BA8FD1" w14:paraId="3DC5B403" w14:textId="708A1B0F">
      <w:pPr>
        <w:pStyle w:val="ListParagraph"/>
        <w:spacing w:before="0" w:beforeAutospacing="off" w:after="0" w:afterAutospacing="off" w:line="276" w:lineRule="auto"/>
        <w:ind w:left="720"/>
        <w:rPr>
          <w:rFonts w:ascii="Calibri" w:hAnsi="Calibri" w:eastAsia="Calibri" w:cs="Calibri"/>
          <w:noProof w:val="0"/>
          <w:sz w:val="22"/>
          <w:szCs w:val="22"/>
          <w:lang w:val="en-GB"/>
        </w:rPr>
      </w:pPr>
      <w:hyperlink r:id="R653064c39f4f4426">
        <w:r w:rsidRPr="2A374194" w:rsidR="19BA8FD1">
          <w:rPr>
            <w:rStyle w:val="Hyperlink"/>
            <w:rFonts w:ascii="Calibri" w:hAnsi="Calibri" w:eastAsia="Calibri" w:cs="Calibri"/>
            <w:strike w:val="0"/>
            <w:dstrike w:val="0"/>
            <w:noProof w:val="0"/>
            <w:color w:val="0000FF"/>
            <w:sz w:val="22"/>
            <w:szCs w:val="22"/>
            <w:u w:val="single"/>
            <w:lang w:val="en-GB"/>
          </w:rPr>
          <w:t>ICAEW’s Governance Guide</w:t>
        </w:r>
      </w:hyperlink>
      <w:r w:rsidRPr="2A374194" w:rsidR="19BA8FD1">
        <w:rPr>
          <w:rFonts w:ascii="Calibri" w:hAnsi="Calibri" w:eastAsia="Calibri" w:cs="Calibri"/>
          <w:noProof w:val="0"/>
          <w:sz w:val="22"/>
          <w:szCs w:val="22"/>
          <w:lang w:val="en-GB"/>
        </w:rPr>
        <w:t xml:space="preserve"> highlights how mapping supports long-term success and cross-functional alignment.</w:t>
      </w:r>
    </w:p>
    <w:p w:rsidR="2A374194" w:rsidP="2A374194" w:rsidRDefault="2A374194" w14:paraId="6C5A8C7C" w14:textId="646F0071">
      <w:pPr>
        <w:rPr>
          <w:lang w:val="en-GB"/>
        </w:rPr>
      </w:pPr>
    </w:p>
    <w:p w:rsidR="00AC78A8" w:rsidP="00013654" w:rsidRDefault="00AC78A8" w14:paraId="03DC3EEC" w14:textId="77777777">
      <w:pPr>
        <w:rPr>
          <w:lang w:val="en-GB"/>
        </w:rPr>
      </w:pPr>
    </w:p>
    <w:p w:rsidRPr="00013654" w:rsidR="00013654" w:rsidP="030767A1" w:rsidRDefault="005C2129" w14:paraId="13538A45" w14:textId="5C283DB0" w14:noSpellErr="1">
      <w:pPr>
        <w:rPr>
          <w:lang w:val="en-GB"/>
        </w:rPr>
      </w:pPr>
      <w:r w:rsidRPr="199BC9C1" w:rsidR="005C2129">
        <w:rPr>
          <w:lang w:val="en-GB"/>
        </w:rPr>
        <w:t> </w:t>
      </w:r>
      <w:r w:rsidRPr="199BC9C1" w:rsidR="001C7C92">
        <w:rPr>
          <w:rStyle w:val="Heading2Char"/>
          <w:lang w:val="en-GB"/>
        </w:rPr>
        <w:t>Stakeholders</w:t>
      </w:r>
      <w:r w:rsidRPr="199BC9C1" w:rsidR="00013654">
        <w:rPr>
          <w:rStyle w:val="Heading2Char"/>
          <w:lang w:val="en-GB"/>
        </w:rPr>
        <w:t xml:space="preserve"> in Pi Health’s Wearable Launch: A Critical Look</w:t>
      </w:r>
    </w:p>
    <w:p w:rsidRPr="00013654" w:rsidR="00013654" w:rsidP="00013654" w:rsidRDefault="00013654" w14:paraId="06EC3AA2" w14:textId="77777777">
      <w:pPr>
        <w:rPr>
          <w:lang w:val="en-GB"/>
        </w:rPr>
      </w:pPr>
      <w:r w:rsidRPr="00013654">
        <w:rPr>
          <w:lang w:val="en-GB"/>
        </w:rPr>
        <w:t>Launching a new health device isn’t just about getting the tech right—it’s about people. From developers and executives to patients and regulators, Pi Health’s stakeholder landscape is wide and varied. But identifying who’s involved is only the beginning. The real challenge is understanding how much influence each group has, what they care about, and how to keep them engaged throughout the journey.</w:t>
      </w:r>
    </w:p>
    <w:p w:rsidRPr="00013654" w:rsidR="00013654" w:rsidP="199BC9C1" w:rsidRDefault="00013654" w14:paraId="2F9209DB" w14:textId="77777777" w14:noSpellErr="1">
      <w:pPr>
        <w:pStyle w:val="Heading3"/>
        <w:rPr>
          <w:b w:val="1"/>
          <w:bCs w:val="1"/>
          <w:lang w:val="en-GB"/>
        </w:rPr>
      </w:pPr>
      <w:bookmarkStart w:name="_Toc1823118694" w:id="1140290814"/>
      <w:r w:rsidRPr="199BC9C1" w:rsidR="00013654">
        <w:rPr>
          <w:lang w:val="en-GB"/>
        </w:rPr>
        <w:t>Internal Stakeholders: The Risk of Siloed Thinking</w:t>
      </w:r>
      <w:bookmarkEnd w:id="1140290814"/>
    </w:p>
    <w:p w:rsidRPr="00013654" w:rsidR="00013654" w:rsidP="00013654" w:rsidRDefault="00013654" w14:paraId="1090E875" w14:textId="77777777">
      <w:pPr>
        <w:rPr>
          <w:lang w:val="en-GB"/>
        </w:rPr>
      </w:pPr>
      <w:r w:rsidRPr="00013654">
        <w:rPr>
          <w:lang w:val="en-GB"/>
        </w:rPr>
        <w:t>Inside Pi Health, the core teams are in place. Executives set the vision, developers build the product, and compliance teams make sure it meets regulatory standards. On paper, it looks solid. But in practice, alignment isn’t automatic.</w:t>
      </w:r>
    </w:p>
    <w:p w:rsidRPr="00013654" w:rsidR="00013654" w:rsidP="00013654" w:rsidRDefault="00013654" w14:paraId="22329870" w14:textId="77777777">
      <w:pPr>
        <w:rPr>
          <w:lang w:val="en-GB"/>
        </w:rPr>
      </w:pPr>
      <w:r w:rsidRPr="00013654">
        <w:rPr>
          <w:lang w:val="en-GB"/>
        </w:rPr>
        <w:t>If developers aren’t talking to marketing, the product might be technically brilliant but poorly positioned. If compliance isn’t looped in early, regulatory delays could throw off the timeline. And if executives shift priorities mid-project, the whole launch could lose momentum.</w:t>
      </w:r>
    </w:p>
    <w:p w:rsidRPr="00013654" w:rsidR="00013654" w:rsidP="00013654" w:rsidRDefault="00013654" w14:paraId="0A0EC28E" w14:textId="77777777">
      <w:pPr>
        <w:rPr>
          <w:lang w:val="en-GB"/>
        </w:rPr>
      </w:pPr>
      <w:r w:rsidRPr="030767A1">
        <w:rPr>
          <w:lang w:val="en-GB"/>
        </w:rPr>
        <w:t>The takeaway? Collaboration needs to be intentional. Clear communication, shared goals, and regular cross-functional check-ins are essential. Without them, even the best ideas can get stuck in internal friction.</w:t>
      </w:r>
    </w:p>
    <w:p w:rsidR="030767A1" w:rsidP="030767A1" w:rsidRDefault="030767A1" w14:paraId="39785937" w14:textId="2EE7A239">
      <w:pPr>
        <w:rPr>
          <w:b/>
          <w:bCs/>
          <w:lang w:val="en-GB"/>
        </w:rPr>
      </w:pPr>
    </w:p>
    <w:p w:rsidR="030767A1" w:rsidP="030767A1" w:rsidRDefault="030767A1" w14:paraId="24222FA3" w14:textId="3AB17E0B">
      <w:pPr>
        <w:rPr>
          <w:b/>
          <w:bCs/>
          <w:lang w:val="en-GB"/>
        </w:rPr>
      </w:pPr>
    </w:p>
    <w:p w:rsidRPr="00013654" w:rsidR="00013654" w:rsidP="199BC9C1" w:rsidRDefault="00013654" w14:paraId="734A6819" w14:textId="77777777" w14:noSpellErr="1">
      <w:pPr>
        <w:pStyle w:val="Heading3"/>
        <w:rPr>
          <w:b w:val="1"/>
          <w:bCs w:val="1"/>
          <w:lang w:val="en-GB"/>
        </w:rPr>
      </w:pPr>
      <w:bookmarkStart w:name="_Toc2079650985" w:id="1811145896"/>
      <w:r w:rsidRPr="199BC9C1" w:rsidR="00013654">
        <w:rPr>
          <w:lang w:val="en-GB"/>
        </w:rPr>
        <w:t xml:space="preserve">External Stakeholders: Power </w:t>
      </w:r>
      <w:r w:rsidRPr="199BC9C1" w:rsidR="00013654">
        <w:rPr>
          <w:lang w:val="en-GB"/>
        </w:rPr>
        <w:t>Isn’t</w:t>
      </w:r>
      <w:r w:rsidRPr="199BC9C1" w:rsidR="00013654">
        <w:rPr>
          <w:lang w:val="en-GB"/>
        </w:rPr>
        <w:t xml:space="preserve"> Everything</w:t>
      </w:r>
      <w:bookmarkEnd w:id="1811145896"/>
    </w:p>
    <w:p w:rsidRPr="00013654" w:rsidR="00013654" w:rsidP="00013654" w:rsidRDefault="00013654" w14:paraId="08886EDD" w14:noSpellErr="1" w14:textId="50E009CB">
      <w:pPr>
        <w:rPr>
          <w:lang w:val="en-GB"/>
        </w:rPr>
      </w:pPr>
      <w:r w:rsidRPr="199BC9C1" w:rsidR="00013654">
        <w:rPr>
          <w:lang w:val="en-GB"/>
        </w:rPr>
        <w:t xml:space="preserve">Outside the company, things get more complicated. Patients and clinicians are the ones </w:t>
      </w:r>
      <w:r w:rsidRPr="199BC9C1" w:rsidR="00013654">
        <w:rPr>
          <w:lang w:val="en-GB"/>
        </w:rPr>
        <w:t>who’ll</w:t>
      </w:r>
      <w:r w:rsidRPr="199BC9C1" w:rsidR="00013654">
        <w:rPr>
          <w:lang w:val="en-GB"/>
        </w:rPr>
        <w:t xml:space="preserve"> </w:t>
      </w:r>
      <w:r w:rsidRPr="199BC9C1" w:rsidR="6B25C4E5">
        <w:rPr>
          <w:lang w:val="en-GB"/>
        </w:rPr>
        <w:t>use</w:t>
      </w:r>
      <w:r w:rsidRPr="199BC9C1" w:rsidR="00013654">
        <w:rPr>
          <w:lang w:val="en-GB"/>
        </w:rPr>
        <w:t xml:space="preserve"> the </w:t>
      </w:r>
      <w:r w:rsidRPr="199BC9C1" w:rsidR="27ECA27C">
        <w:rPr>
          <w:lang w:val="en-GB"/>
        </w:rPr>
        <w:t>device,</w:t>
      </w:r>
      <w:r w:rsidRPr="199BC9C1" w:rsidR="001C7C92">
        <w:rPr>
          <w:lang w:val="en-GB"/>
        </w:rPr>
        <w:t xml:space="preserve"> </w:t>
      </w:r>
      <w:r w:rsidRPr="199BC9C1" w:rsidR="00013654">
        <w:rPr>
          <w:lang w:val="en-GB"/>
        </w:rPr>
        <w:t xml:space="preserve">but they </w:t>
      </w:r>
      <w:r w:rsidRPr="199BC9C1" w:rsidR="00013654">
        <w:rPr>
          <w:lang w:val="en-GB"/>
        </w:rPr>
        <w:t>don’t</w:t>
      </w:r>
      <w:r w:rsidRPr="199BC9C1" w:rsidR="00013654">
        <w:rPr>
          <w:lang w:val="en-GB"/>
        </w:rPr>
        <w:t xml:space="preserve"> hold formal power. Regulators and investors, on the other hand, have </w:t>
      </w:r>
      <w:r w:rsidRPr="199BC9C1" w:rsidR="00013654">
        <w:rPr>
          <w:lang w:val="en-GB"/>
        </w:rPr>
        <w:t>significant influence</w:t>
      </w:r>
      <w:r w:rsidRPr="199BC9C1" w:rsidR="00013654">
        <w:rPr>
          <w:lang w:val="en-GB"/>
        </w:rPr>
        <w:t xml:space="preserve"> but may be more removed from day-to-day use.</w:t>
      </w:r>
    </w:p>
    <w:p w:rsidRPr="00013654" w:rsidR="00013654" w:rsidP="00013654" w:rsidRDefault="00013654" w14:paraId="7511B76C" w14:textId="3B549EB6">
      <w:pPr>
        <w:rPr>
          <w:lang w:val="en-GB"/>
        </w:rPr>
      </w:pPr>
      <w:r w:rsidRPr="00013654">
        <w:rPr>
          <w:lang w:val="en-GB"/>
        </w:rPr>
        <w:t>This creates a tension: the people with the most power aren’t necessarily the ones who’ll determine long-term success. If patients find the device confusing or clinicians don’t trust the data, adoption will stall</w:t>
      </w:r>
      <w:r w:rsidR="001C7C92">
        <w:rPr>
          <w:lang w:val="en-GB"/>
        </w:rPr>
        <w:t xml:space="preserve"> </w:t>
      </w:r>
      <w:r w:rsidRPr="00013654">
        <w:rPr>
          <w:lang w:val="en-GB"/>
        </w:rPr>
        <w:t>no matter how well-funded or compliant the product is.</w:t>
      </w:r>
    </w:p>
    <w:p w:rsidRPr="00013654" w:rsidR="00013654" w:rsidP="00013654" w:rsidRDefault="00013654" w14:paraId="43B6B1B4" w14:textId="55750778">
      <w:pPr>
        <w:rPr>
          <w:lang w:val="en-GB"/>
        </w:rPr>
      </w:pPr>
      <w:r w:rsidRPr="030767A1">
        <w:rPr>
          <w:lang w:val="en-GB"/>
        </w:rPr>
        <w:t>Pi Health needs to balance influence with impact. Regulators and investors must be kept close, but patients and clinicians need to be actively involved. Their feedback isn’t just helpful</w:t>
      </w:r>
      <w:r w:rsidRPr="030767A1" w:rsidR="1E1BAD6D">
        <w:rPr>
          <w:lang w:val="en-GB"/>
        </w:rPr>
        <w:t xml:space="preserve"> </w:t>
      </w:r>
      <w:r w:rsidRPr="030767A1">
        <w:rPr>
          <w:lang w:val="en-GB"/>
        </w:rPr>
        <w:t>it’s vital.</w:t>
      </w:r>
    </w:p>
    <w:p w:rsidRPr="00013654" w:rsidR="00013654" w:rsidP="199BC9C1" w:rsidRDefault="00013654" w14:paraId="52CC2FD0" w14:textId="77777777" w14:noSpellErr="1">
      <w:pPr>
        <w:pStyle w:val="Heading3"/>
        <w:rPr>
          <w:b w:val="1"/>
          <w:bCs w:val="1"/>
          <w:lang w:val="en-GB"/>
        </w:rPr>
      </w:pPr>
      <w:bookmarkStart w:name="_Toc430398228" w:id="1810583603"/>
      <w:r w:rsidRPr="199BC9C1" w:rsidR="00013654">
        <w:rPr>
          <w:lang w:val="en-GB"/>
        </w:rPr>
        <w:t>Strategic Blind Spots: Who’s Missing?</w:t>
      </w:r>
      <w:bookmarkEnd w:id="1810583603"/>
    </w:p>
    <w:p w:rsidRPr="00013654" w:rsidR="00013654" w:rsidP="00013654" w:rsidRDefault="00013654" w14:paraId="7E532E34" w14:textId="77777777">
      <w:pPr>
        <w:rPr>
          <w:lang w:val="en-GB"/>
        </w:rPr>
      </w:pPr>
      <w:r w:rsidRPr="00013654">
        <w:rPr>
          <w:lang w:val="en-GB"/>
        </w:rPr>
        <w:t>Pi Health’s stakeholder map is broad, but a few key players deserve more attention:</w:t>
      </w:r>
    </w:p>
    <w:p w:rsidRPr="00013654" w:rsidR="00013654" w:rsidP="00013654" w:rsidRDefault="00013654" w14:paraId="58207374" w14:textId="77777777">
      <w:pPr>
        <w:numPr>
          <w:ilvl w:val="0"/>
          <w:numId w:val="1"/>
        </w:numPr>
        <w:rPr>
          <w:lang w:val="en-GB"/>
        </w:rPr>
      </w:pPr>
      <w:r w:rsidRPr="00013654">
        <w:rPr>
          <w:b/>
          <w:bCs/>
          <w:lang w:val="en-GB"/>
        </w:rPr>
        <w:t>Healthcare Partners</w:t>
      </w:r>
      <w:r w:rsidRPr="00013654">
        <w:rPr>
          <w:lang w:val="en-GB"/>
        </w:rPr>
        <w:t>: Hospitals and clinical teams offer credibility and real-world insight. Their support can open doors to NHS pathways and wider adoption. But healthcare systems move slowly, and even enthusiastic partners can get bogged down in bureaucracy. Pi Health needs to stay patient, persistent, and proactive.</w:t>
      </w:r>
    </w:p>
    <w:p w:rsidRPr="00013654" w:rsidR="00013654" w:rsidP="00013654" w:rsidRDefault="00013654" w14:paraId="6FFA1F00" w14:textId="0A7C4836">
      <w:pPr>
        <w:numPr>
          <w:ilvl w:val="0"/>
          <w:numId w:val="1"/>
        </w:numPr>
        <w:rPr>
          <w:lang w:val="en-GB"/>
        </w:rPr>
      </w:pPr>
      <w:r w:rsidRPr="00013654">
        <w:rPr>
          <w:b/>
          <w:bCs/>
          <w:lang w:val="en-GB"/>
        </w:rPr>
        <w:t>Patients and Consumers</w:t>
      </w:r>
      <w:r w:rsidRPr="00013654">
        <w:rPr>
          <w:lang w:val="en-GB"/>
        </w:rPr>
        <w:t>: They may not have formal power, but their experience will define the product’s success. If the device isn’t easy to use, trustworthy, or clearly beneficial, it won’t stick. Privacy concerns are also a major barrier</w:t>
      </w:r>
      <w:r w:rsidR="001C7C92">
        <w:rPr>
          <w:lang w:val="en-GB"/>
        </w:rPr>
        <w:t xml:space="preserve"> </w:t>
      </w:r>
      <w:r w:rsidRPr="00013654">
        <w:rPr>
          <w:lang w:val="en-GB"/>
        </w:rPr>
        <w:t>especially in healthcare. Building trust here is non-negotiable.</w:t>
      </w:r>
    </w:p>
    <w:p w:rsidRPr="00013654" w:rsidR="00013654" w:rsidP="2A374194" w:rsidRDefault="00013654" w14:paraId="6984387C" w14:textId="7D03EC9F" w14:noSpellErr="1">
      <w:pPr>
        <w:ind w:left="720"/>
        <w:rPr>
          <w:lang w:val="en-GB"/>
        </w:rPr>
      </w:pPr>
      <w:r w:rsidRPr="2A374194" w:rsidR="00013654">
        <w:rPr>
          <w:b w:val="1"/>
          <w:bCs w:val="1"/>
          <w:lang w:val="en-GB"/>
        </w:rPr>
        <w:t>Suppliers and Logistics Partners</w:t>
      </w:r>
      <w:r w:rsidRPr="2A374194" w:rsidR="00013654">
        <w:rPr>
          <w:lang w:val="en-GB"/>
        </w:rPr>
        <w:t>: Often overlooked, these behind-the-scenes players are critical. A delay in components or a breakdown in the supply chain can ripple through the entire launch. One weak link can damage timelines</w:t>
      </w:r>
      <w:r w:rsidRPr="2A374194" w:rsidR="613B0AE3">
        <w:rPr>
          <w:lang w:val="en-GB"/>
        </w:rPr>
        <w:t xml:space="preserve"> </w:t>
      </w:r>
      <w:r w:rsidRPr="2A374194" w:rsidR="00013654">
        <w:rPr>
          <w:lang w:val="en-GB"/>
        </w:rPr>
        <w:t>and reputation.</w:t>
      </w:r>
    </w:p>
    <w:p w:rsidR="7472AEAC" w:rsidP="2A374194" w:rsidRDefault="7472AEAC" w14:paraId="5D174970" w14:textId="03FB49CF">
      <w:pPr>
        <w:ind w:left="720"/>
        <w:rPr>
          <w:lang w:val="en-GB"/>
        </w:rPr>
      </w:pPr>
      <w:r w:rsidRPr="2A374194" w:rsidR="7472AEAC">
        <w:rPr>
          <w:rFonts w:ascii="Calibri" w:hAnsi="Calibri" w:eastAsia="Calibri" w:cs="Calibri"/>
          <w:b w:val="1"/>
          <w:bCs w:val="1"/>
          <w:noProof w:val="0"/>
          <w:sz w:val="22"/>
          <w:szCs w:val="22"/>
          <w:lang w:val="en-GB"/>
        </w:rPr>
        <w:t>1. CSR Education – Strategic Stakeholder Mapping Guide</w:t>
      </w:r>
    </w:p>
    <w:p w:rsidR="7472AEAC" w:rsidP="2A374194" w:rsidRDefault="7472AEAC" w14:paraId="4A36035C" w14:textId="0D89B800">
      <w:pPr>
        <w:pStyle w:val="ListParagraph"/>
        <w:spacing w:before="0" w:beforeAutospacing="off" w:after="0" w:afterAutospacing="off" w:line="276" w:lineRule="auto"/>
        <w:ind w:left="720"/>
        <w:rPr>
          <w:rFonts w:ascii="Calibri" w:hAnsi="Calibri" w:eastAsia="Calibri" w:cs="Calibri"/>
          <w:strike w:val="0"/>
          <w:dstrike w:val="0"/>
          <w:noProof w:val="0"/>
          <w:color w:val="0000FF"/>
          <w:sz w:val="22"/>
          <w:szCs w:val="22"/>
          <w:u w:val="single"/>
          <w:lang w:val="en-GB"/>
        </w:rPr>
      </w:pPr>
      <w:r w:rsidRPr="2A374194" w:rsidR="7472AEAC">
        <w:rPr>
          <w:rFonts w:ascii="Calibri" w:hAnsi="Calibri" w:eastAsia="Calibri" w:cs="Calibri"/>
          <w:b w:val="1"/>
          <w:bCs w:val="1"/>
          <w:noProof w:val="0"/>
          <w:sz w:val="22"/>
          <w:szCs w:val="22"/>
          <w:lang w:val="en-GB"/>
        </w:rPr>
        <w:t>Link:</w:t>
      </w:r>
      <w:r w:rsidRPr="2A374194" w:rsidR="7472AEAC">
        <w:rPr>
          <w:rFonts w:ascii="Calibri" w:hAnsi="Calibri" w:eastAsia="Calibri" w:cs="Calibri"/>
          <w:noProof w:val="0"/>
          <w:sz w:val="22"/>
          <w:szCs w:val="22"/>
          <w:lang w:val="en-GB"/>
        </w:rPr>
        <w:t xml:space="preserve"> </w:t>
      </w:r>
      <w:hyperlink r:id="Rec9de9a2cd3d407d">
        <w:r w:rsidRPr="2A374194" w:rsidR="7472AEAC">
          <w:rPr>
            <w:rStyle w:val="Hyperlink"/>
            <w:rFonts w:ascii="Calibri" w:hAnsi="Calibri" w:eastAsia="Calibri" w:cs="Calibri"/>
            <w:strike w:val="0"/>
            <w:dstrike w:val="0"/>
            <w:noProof w:val="0"/>
            <w:color w:val="0000FF"/>
            <w:sz w:val="22"/>
            <w:szCs w:val="22"/>
            <w:u w:val="single"/>
            <w:lang w:val="en-GB"/>
          </w:rPr>
          <w:t>CSR Education</w:t>
        </w:r>
      </w:hyperlink>
    </w:p>
    <w:p w:rsidR="7472AEAC" w:rsidP="2A374194" w:rsidRDefault="7472AEAC" w14:paraId="6E2FFFA4" w14:textId="727D7703">
      <w:pPr>
        <w:pStyle w:val="ListParagraph"/>
        <w:spacing w:before="0" w:beforeAutospacing="off" w:after="0" w:afterAutospacing="off" w:line="276" w:lineRule="auto"/>
        <w:ind w:left="720"/>
        <w:rPr>
          <w:rFonts w:ascii="Calibri" w:hAnsi="Calibri" w:eastAsia="Calibri" w:cs="Calibri"/>
          <w:noProof w:val="0"/>
          <w:sz w:val="22"/>
          <w:szCs w:val="22"/>
          <w:lang w:val="en-GB"/>
        </w:rPr>
      </w:pPr>
      <w:r w:rsidRPr="2A374194" w:rsidR="7472AEAC">
        <w:rPr>
          <w:rFonts w:ascii="Calibri" w:hAnsi="Calibri" w:eastAsia="Calibri" w:cs="Calibri"/>
          <w:b w:val="1"/>
          <w:bCs w:val="1"/>
          <w:noProof w:val="0"/>
          <w:sz w:val="22"/>
          <w:szCs w:val="22"/>
          <w:lang w:val="en-GB"/>
        </w:rPr>
        <w:t>Why it matters:</w:t>
      </w:r>
      <w:r w:rsidRPr="2A374194" w:rsidR="7472AEAC">
        <w:rPr>
          <w:rFonts w:ascii="Calibri" w:hAnsi="Calibri" w:eastAsia="Calibri" w:cs="Calibri"/>
          <w:noProof w:val="0"/>
          <w:sz w:val="22"/>
          <w:szCs w:val="22"/>
          <w:lang w:val="en-GB"/>
        </w:rPr>
        <w:t xml:space="preserve"> This guide outlines Howard </w:t>
      </w:r>
      <w:r w:rsidRPr="2A374194" w:rsidR="7472AEAC">
        <w:rPr>
          <w:rFonts w:ascii="Calibri" w:hAnsi="Calibri" w:eastAsia="Calibri" w:cs="Calibri"/>
          <w:noProof w:val="0"/>
          <w:sz w:val="22"/>
          <w:szCs w:val="22"/>
          <w:lang w:val="en-GB"/>
        </w:rPr>
        <w:t>Stayle’s</w:t>
      </w:r>
      <w:r w:rsidRPr="2A374194" w:rsidR="7472AEAC">
        <w:rPr>
          <w:rFonts w:ascii="Calibri" w:hAnsi="Calibri" w:eastAsia="Calibri" w:cs="Calibri"/>
          <w:noProof w:val="0"/>
          <w:sz w:val="22"/>
          <w:szCs w:val="22"/>
          <w:lang w:val="en-GB"/>
        </w:rPr>
        <w:t xml:space="preserve"> Power–Interest Grid and its practical application in managing stakeholder relationships. It reinforces the importance of tailoring engagement strategies based on each group’s influence and investment</w:t>
      </w:r>
      <w:r w:rsidRPr="2A374194" w:rsidR="04A46FDA">
        <w:rPr>
          <w:rFonts w:ascii="Calibri" w:hAnsi="Calibri" w:eastAsia="Calibri" w:cs="Calibri"/>
          <w:noProof w:val="0"/>
          <w:sz w:val="22"/>
          <w:szCs w:val="22"/>
          <w:lang w:val="en-GB"/>
        </w:rPr>
        <w:t xml:space="preserve"> </w:t>
      </w:r>
      <w:r w:rsidRPr="2A374194" w:rsidR="7472AEAC">
        <w:rPr>
          <w:rFonts w:ascii="Calibri" w:hAnsi="Calibri" w:eastAsia="Calibri" w:cs="Calibri"/>
          <w:noProof w:val="0"/>
          <w:sz w:val="22"/>
          <w:szCs w:val="22"/>
          <w:lang w:val="en-GB"/>
        </w:rPr>
        <w:t>exactly what Pi Health needs to navigate regulators, clinicians, and patients effectively.</w:t>
      </w:r>
    </w:p>
    <w:p w:rsidR="2A374194" w:rsidP="2A374194" w:rsidRDefault="2A374194" w14:paraId="493C5C78" w14:textId="1562A6AA">
      <w:pPr>
        <w:pStyle w:val="ListParagraph"/>
        <w:spacing w:before="0" w:beforeAutospacing="off" w:after="200" w:afterAutospacing="off" w:line="276" w:lineRule="auto"/>
        <w:ind w:left="720"/>
        <w:jc w:val="center"/>
        <w:rPr>
          <w:sz w:val="22"/>
          <w:szCs w:val="22"/>
        </w:rPr>
      </w:pPr>
    </w:p>
    <w:p w:rsidR="7472AEAC" w:rsidP="2A374194" w:rsidRDefault="7472AEAC" w14:paraId="061ABE69" w14:textId="56AA91E0">
      <w:pPr>
        <w:pStyle w:val="ListParagraph"/>
        <w:spacing w:before="0" w:beforeAutospacing="off" w:after="200" w:afterAutospacing="off" w:line="276" w:lineRule="auto"/>
        <w:ind w:left="720"/>
        <w:rPr>
          <w:rFonts w:ascii="Calibri" w:hAnsi="Calibri" w:eastAsia="Calibri" w:cs="Calibri"/>
          <w:b w:val="1"/>
          <w:bCs w:val="1"/>
          <w:noProof w:val="0"/>
          <w:sz w:val="22"/>
          <w:szCs w:val="22"/>
          <w:lang w:val="en-GB"/>
        </w:rPr>
      </w:pPr>
      <w:r w:rsidRPr="2A374194" w:rsidR="7472AEAC">
        <w:rPr>
          <w:rFonts w:ascii="Calibri" w:hAnsi="Calibri" w:eastAsia="Calibri" w:cs="Calibri"/>
          <w:b w:val="1"/>
          <w:bCs w:val="1"/>
          <w:noProof w:val="0"/>
          <w:sz w:val="22"/>
          <w:szCs w:val="22"/>
          <w:lang w:val="en-GB"/>
        </w:rPr>
        <w:t>2. StakeholderMap.com – Stakeholder SWOT Analysis</w:t>
      </w:r>
    </w:p>
    <w:p w:rsidR="7472AEAC" w:rsidP="2A374194" w:rsidRDefault="7472AEAC" w14:paraId="2A72EBC3" w14:textId="33E9F140">
      <w:pPr>
        <w:pStyle w:val="ListParagraph"/>
        <w:spacing w:before="0" w:beforeAutospacing="off" w:after="0" w:afterAutospacing="off" w:line="276" w:lineRule="auto"/>
        <w:ind w:left="720"/>
        <w:rPr>
          <w:rFonts w:ascii="Calibri" w:hAnsi="Calibri" w:eastAsia="Calibri" w:cs="Calibri"/>
          <w:strike w:val="0"/>
          <w:dstrike w:val="0"/>
          <w:noProof w:val="0"/>
          <w:color w:val="0000FF"/>
          <w:sz w:val="22"/>
          <w:szCs w:val="22"/>
          <w:u w:val="single"/>
          <w:lang w:val="en-GB"/>
        </w:rPr>
      </w:pPr>
      <w:r w:rsidRPr="2A374194" w:rsidR="7472AEAC">
        <w:rPr>
          <w:rFonts w:ascii="Calibri" w:hAnsi="Calibri" w:eastAsia="Calibri" w:cs="Calibri"/>
          <w:b w:val="1"/>
          <w:bCs w:val="1"/>
          <w:noProof w:val="0"/>
          <w:sz w:val="22"/>
          <w:szCs w:val="22"/>
          <w:lang w:val="en-GB"/>
        </w:rPr>
        <w:t>Link:</w:t>
      </w:r>
      <w:r w:rsidRPr="2A374194" w:rsidR="7472AEAC">
        <w:rPr>
          <w:rFonts w:ascii="Calibri" w:hAnsi="Calibri" w:eastAsia="Calibri" w:cs="Calibri"/>
          <w:noProof w:val="0"/>
          <w:sz w:val="22"/>
          <w:szCs w:val="22"/>
          <w:lang w:val="en-GB"/>
        </w:rPr>
        <w:t xml:space="preserve"> </w:t>
      </w:r>
      <w:hyperlink r:id="Rc2e0cc46b8d44673">
        <w:r w:rsidRPr="2A374194" w:rsidR="7472AEAC">
          <w:rPr>
            <w:rStyle w:val="Hyperlink"/>
            <w:rFonts w:ascii="Calibri" w:hAnsi="Calibri" w:eastAsia="Calibri" w:cs="Calibri"/>
            <w:strike w:val="0"/>
            <w:dstrike w:val="0"/>
            <w:noProof w:val="0"/>
            <w:color w:val="0000FF"/>
            <w:sz w:val="22"/>
            <w:szCs w:val="22"/>
            <w:u w:val="single"/>
            <w:lang w:val="en-GB"/>
          </w:rPr>
          <w:t>StakeholderMap.com</w:t>
        </w:r>
      </w:hyperlink>
    </w:p>
    <w:p w:rsidR="7472AEAC" w:rsidP="2A374194" w:rsidRDefault="7472AEAC" w14:paraId="6214A56C" w14:textId="09CC67B4">
      <w:pPr>
        <w:pStyle w:val="ListParagraph"/>
        <w:spacing w:before="0" w:beforeAutospacing="off" w:after="0" w:afterAutospacing="off" w:line="276" w:lineRule="auto"/>
        <w:ind w:left="720"/>
        <w:rPr>
          <w:rFonts w:ascii="Calibri" w:hAnsi="Calibri" w:eastAsia="Calibri" w:cs="Calibri"/>
          <w:noProof w:val="0"/>
          <w:sz w:val="22"/>
          <w:szCs w:val="22"/>
          <w:lang w:val="en-GB"/>
        </w:rPr>
      </w:pPr>
      <w:r w:rsidRPr="2A374194" w:rsidR="7472AEAC">
        <w:rPr>
          <w:rFonts w:ascii="Calibri" w:hAnsi="Calibri" w:eastAsia="Calibri" w:cs="Calibri"/>
          <w:b w:val="1"/>
          <w:bCs w:val="1"/>
          <w:noProof w:val="0"/>
          <w:sz w:val="22"/>
          <w:szCs w:val="22"/>
          <w:lang w:val="en-GB"/>
        </w:rPr>
        <w:t>Why it matters:</w:t>
      </w:r>
      <w:r w:rsidRPr="2A374194" w:rsidR="7472AEAC">
        <w:rPr>
          <w:rFonts w:ascii="Calibri" w:hAnsi="Calibri" w:eastAsia="Calibri" w:cs="Calibri"/>
          <w:noProof w:val="0"/>
          <w:sz w:val="22"/>
          <w:szCs w:val="22"/>
          <w:lang w:val="en-GB"/>
        </w:rPr>
        <w:t xml:space="preserve"> This resource expands on how to apply SWOT analysis to stakeholder groups, helping Pi Health </w:t>
      </w:r>
      <w:r w:rsidRPr="2A374194" w:rsidR="7472AEAC">
        <w:rPr>
          <w:rFonts w:ascii="Calibri" w:hAnsi="Calibri" w:eastAsia="Calibri" w:cs="Calibri"/>
          <w:noProof w:val="0"/>
          <w:sz w:val="22"/>
          <w:szCs w:val="22"/>
          <w:lang w:val="en-GB"/>
        </w:rPr>
        <w:t>identify</w:t>
      </w:r>
      <w:r w:rsidRPr="2A374194" w:rsidR="7472AEAC">
        <w:rPr>
          <w:rFonts w:ascii="Calibri" w:hAnsi="Calibri" w:eastAsia="Calibri" w:cs="Calibri"/>
          <w:noProof w:val="0"/>
          <w:sz w:val="22"/>
          <w:szCs w:val="22"/>
          <w:lang w:val="en-GB"/>
        </w:rPr>
        <w:t xml:space="preserve"> strategic blind spots and internal misalignments. It supports the argument that collaboration and communication are launch-critical, especially across internal teams.</w:t>
      </w:r>
    </w:p>
    <w:p w:rsidR="2A374194" w:rsidP="2A374194" w:rsidRDefault="2A374194" w14:paraId="2EAB6D17" w14:textId="536841EA">
      <w:pPr>
        <w:ind w:left="0"/>
        <w:rPr>
          <w:lang w:val="en-GB"/>
        </w:rPr>
      </w:pPr>
    </w:p>
    <w:p w:rsidRPr="00013654" w:rsidR="00013654" w:rsidP="199BC9C1" w:rsidRDefault="00013654" w14:paraId="1077E60F" w14:textId="77777777" w14:noSpellErr="1">
      <w:pPr>
        <w:pStyle w:val="Heading3"/>
        <w:rPr>
          <w:b w:val="1"/>
          <w:bCs w:val="1"/>
          <w:lang w:val="en-GB"/>
        </w:rPr>
      </w:pPr>
      <w:bookmarkStart w:name="_Toc858811011" w:id="1228605916"/>
      <w:r w:rsidRPr="199BC9C1" w:rsidR="00013654">
        <w:rPr>
          <w:lang w:val="en-GB"/>
        </w:rPr>
        <w:t>Mendelow’s Matrix: Helpful, But Not Enough</w:t>
      </w:r>
      <w:bookmarkEnd w:id="1228605916"/>
    </w:p>
    <w:p w:rsidRPr="00013654" w:rsidR="00013654" w:rsidP="00013654" w:rsidRDefault="00013654" w14:paraId="62C18E56" w14:textId="26F39324">
      <w:pPr>
        <w:rPr>
          <w:lang w:val="en-GB"/>
        </w:rPr>
      </w:pPr>
      <w:r w:rsidRPr="030767A1">
        <w:rPr>
          <w:lang w:val="en-GB"/>
        </w:rPr>
        <w:t>Using Mendelow’s Power</w:t>
      </w:r>
      <w:r w:rsidRPr="030767A1" w:rsidR="6CF35891">
        <w:rPr>
          <w:lang w:val="en-GB"/>
        </w:rPr>
        <w:t xml:space="preserve"> </w:t>
      </w:r>
      <w:r w:rsidRPr="030767A1">
        <w:rPr>
          <w:lang w:val="en-GB"/>
        </w:rPr>
        <w:t>Interest Matrix is a smart way to prioritise stakeholders. It helps Pi Health focus on the groups that matter most</w:t>
      </w:r>
      <w:r w:rsidRPr="030767A1" w:rsidR="001C7C92">
        <w:rPr>
          <w:lang w:val="en-GB"/>
        </w:rPr>
        <w:t xml:space="preserve"> </w:t>
      </w:r>
      <w:r w:rsidRPr="030767A1">
        <w:rPr>
          <w:lang w:val="en-GB"/>
        </w:rPr>
        <w:t>like regulators, executive sponsors, and healthcare partners. These are the people who can either accelerate the launch or bring it to a halt.</w:t>
      </w:r>
    </w:p>
    <w:p w:rsidRPr="00013654" w:rsidR="00013654" w:rsidP="00013654" w:rsidRDefault="00013654" w14:paraId="367E5E9F" w14:textId="27486BE3">
      <w:pPr>
        <w:rPr>
          <w:lang w:val="en-GB"/>
        </w:rPr>
      </w:pPr>
      <w:r w:rsidRPr="00013654">
        <w:rPr>
          <w:lang w:val="en-GB"/>
        </w:rPr>
        <w:t xml:space="preserve">But the model has its limits. It assumes stakeholders stay in fixed positions, </w:t>
      </w:r>
      <w:r w:rsidRPr="00013654" w:rsidR="001C7C92">
        <w:rPr>
          <w:lang w:val="en-GB"/>
        </w:rPr>
        <w:t>when their</w:t>
      </w:r>
      <w:r w:rsidRPr="00013654">
        <w:rPr>
          <w:lang w:val="en-GB"/>
        </w:rPr>
        <w:t xml:space="preserve"> interest and influence can shift quickly. Investors might start off with low interest but become highly involved if financial risks emerge. Patients, while low in formal power, can have a huge impact on public perception and adoption.</w:t>
      </w:r>
    </w:p>
    <w:p w:rsidRPr="00013654" w:rsidR="00013654" w:rsidP="00013654" w:rsidRDefault="00013654" w14:paraId="2900CA63" w14:textId="58A427CC">
      <w:pPr>
        <w:rPr>
          <w:lang w:val="en-GB"/>
        </w:rPr>
      </w:pPr>
      <w:r w:rsidRPr="030767A1">
        <w:rPr>
          <w:lang w:val="en-GB"/>
        </w:rPr>
        <w:t xml:space="preserve">Bottom line: Mendelow’s Matrix is a useful </w:t>
      </w:r>
      <w:r w:rsidRPr="030767A1" w:rsidR="07DFFFE0">
        <w:rPr>
          <w:lang w:val="en-GB"/>
        </w:rPr>
        <w:t>tool,</w:t>
      </w:r>
      <w:r w:rsidRPr="030767A1" w:rsidR="001C7C92">
        <w:rPr>
          <w:lang w:val="en-GB"/>
        </w:rPr>
        <w:t xml:space="preserve"> </w:t>
      </w:r>
      <w:r w:rsidRPr="030767A1">
        <w:rPr>
          <w:lang w:val="en-GB"/>
        </w:rPr>
        <w:t>but it needs to be revisited regularly. Stakeholder dynamics change, and Pi Health needs to stay ahead of those shifts.</w:t>
      </w:r>
    </w:p>
    <w:p w:rsidR="030767A1" w:rsidP="199BC9C1" w:rsidRDefault="030767A1" w14:paraId="1C356945" w14:noSpellErr="1" w14:textId="1F925E82">
      <w:pPr>
        <w:pStyle w:val="Heading1"/>
        <w:rPr>
          <w:lang w:val="en-US"/>
        </w:rPr>
      </w:pPr>
      <w:bookmarkStart w:name="_Toc1899470824" w:id="292917587"/>
      <w:r w:rsidRPr="199BC9C1" w:rsidR="56FE7A05">
        <w:rPr>
          <w:lang w:val="en-US"/>
        </w:rPr>
        <w:t xml:space="preserve">Framework, </w:t>
      </w:r>
      <w:r w:rsidRPr="199BC9C1" w:rsidR="56FE7A05">
        <w:rPr>
          <w:lang w:val="en-US"/>
        </w:rPr>
        <w:t>models</w:t>
      </w:r>
      <w:r w:rsidRPr="199BC9C1" w:rsidR="56FE7A05">
        <w:rPr>
          <w:lang w:val="en-US"/>
        </w:rPr>
        <w:t xml:space="preserve"> and Theories</w:t>
      </w:r>
      <w:bookmarkEnd w:id="292917587"/>
    </w:p>
    <w:p w:rsidRPr="00013654" w:rsidR="00013654" w:rsidP="00013654" w:rsidRDefault="00013654" w14:paraId="1E60FC87" w14:textId="77777777" w14:noSpellErr="1">
      <w:pPr>
        <w:rPr>
          <w:b w:val="1"/>
          <w:bCs w:val="1"/>
          <w:lang w:val="en-GB"/>
        </w:rPr>
      </w:pPr>
      <w:bookmarkStart w:name="_Toc1908411683" w:id="588892296"/>
      <w:r w:rsidRPr="199BC9C1" w:rsidR="00013654">
        <w:rPr>
          <w:rStyle w:val="Heading2Char"/>
          <w:lang w:val="en-GB"/>
        </w:rPr>
        <w:t>E</w:t>
      </w:r>
      <w:r w:rsidRPr="199BC9C1" w:rsidR="00013654">
        <w:rPr>
          <w:rStyle w:val="Heading2Char"/>
          <w:lang w:val="en-GB"/>
        </w:rPr>
        <w:t>ng</w:t>
      </w:r>
      <w:r w:rsidRPr="199BC9C1" w:rsidR="00013654">
        <w:rPr>
          <w:rStyle w:val="Heading2Char"/>
          <w:lang w:val="en-GB"/>
        </w:rPr>
        <w:t>agement: From Updates to Involvement</w:t>
      </w:r>
      <w:bookmarkEnd w:id="588892296"/>
    </w:p>
    <w:p w:rsidRPr="00013654" w:rsidR="00013654" w:rsidP="00013654" w:rsidRDefault="00013654" w14:paraId="09C4823D" w14:textId="77777777">
      <w:pPr>
        <w:rPr>
          <w:lang w:val="en-GB"/>
        </w:rPr>
      </w:pPr>
      <w:r w:rsidRPr="00013654">
        <w:rPr>
          <w:lang w:val="en-GB"/>
        </w:rPr>
        <w:t>Pi Health’s engagement plan lays out who’s responsible, how often to communicate, and what methods to use. That’s a good start. But frequency alone isn’t enough. What matters is the quality of those interactions.</w:t>
      </w:r>
    </w:p>
    <w:p w:rsidRPr="00013654" w:rsidR="00013654" w:rsidP="00013654" w:rsidRDefault="00013654" w14:paraId="52C524AB" w14:textId="40C40F34">
      <w:pPr>
        <w:rPr>
          <w:lang w:val="en-GB"/>
        </w:rPr>
      </w:pPr>
      <w:r w:rsidRPr="00013654">
        <w:rPr>
          <w:lang w:val="en-GB"/>
        </w:rPr>
        <w:t>Are stakeholders being asked for input</w:t>
      </w:r>
      <w:r w:rsidR="004F3D6D">
        <w:rPr>
          <w:lang w:val="en-GB"/>
        </w:rPr>
        <w:t xml:space="preserve"> </w:t>
      </w:r>
      <w:r w:rsidRPr="00013654">
        <w:rPr>
          <w:lang w:val="en-GB"/>
        </w:rPr>
        <w:t>or just updated? Are workshops designed to gather real feedback</w:t>
      </w:r>
      <w:r w:rsidR="004F3D6D">
        <w:rPr>
          <w:lang w:val="en-GB"/>
        </w:rPr>
        <w:t xml:space="preserve"> </w:t>
      </w:r>
      <w:r w:rsidRPr="00013654">
        <w:rPr>
          <w:lang w:val="en-GB"/>
        </w:rPr>
        <w:t>or just tick a box? And what happens when stakeholders disagree?</w:t>
      </w:r>
    </w:p>
    <w:p w:rsidRPr="00DD4792" w:rsidR="00DD4792" w:rsidP="00DD4792" w:rsidRDefault="00DD4792" w14:paraId="633ECC6B" w14:noSpellErr="1" w14:textId="2EDA6579">
      <w:pPr>
        <w:rPr>
          <w:lang w:val="en-GB"/>
        </w:rPr>
      </w:pPr>
      <w:r w:rsidRPr="199BC9C1" w:rsidR="00013654">
        <w:rPr>
          <w:lang w:val="en-GB"/>
        </w:rPr>
        <w:t xml:space="preserve">Engagement </w:t>
      </w:r>
      <w:r w:rsidRPr="199BC9C1" w:rsidR="00013654">
        <w:rPr>
          <w:lang w:val="en-GB"/>
        </w:rPr>
        <w:t>isn’t</w:t>
      </w:r>
      <w:r w:rsidRPr="199BC9C1" w:rsidR="00013654">
        <w:rPr>
          <w:lang w:val="en-GB"/>
        </w:rPr>
        <w:t xml:space="preserve"> </w:t>
      </w:r>
      <w:r w:rsidRPr="199BC9C1" w:rsidR="00013654">
        <w:rPr>
          <w:lang w:val="en-GB"/>
        </w:rPr>
        <w:t>just about informing</w:t>
      </w:r>
      <w:r w:rsidRPr="199BC9C1" w:rsidR="00013654">
        <w:rPr>
          <w:lang w:val="en-GB"/>
        </w:rPr>
        <w:t xml:space="preserve"> people</w:t>
      </w:r>
      <w:r w:rsidRPr="199BC9C1" w:rsidR="004F3D6D">
        <w:rPr>
          <w:lang w:val="en-GB"/>
        </w:rPr>
        <w:t xml:space="preserve"> </w:t>
      </w:r>
      <w:r w:rsidRPr="199BC9C1" w:rsidR="00013654">
        <w:rPr>
          <w:lang w:val="en-GB"/>
        </w:rPr>
        <w:t>it’s</w:t>
      </w:r>
      <w:r w:rsidRPr="199BC9C1" w:rsidR="00013654">
        <w:rPr>
          <w:lang w:val="en-GB"/>
        </w:rPr>
        <w:t xml:space="preserve"> about involving them. Especially with clinicians and patients, Pi Health needs to create space for real dialogue. If it can do that, it </w:t>
      </w:r>
      <w:r w:rsidRPr="199BC9C1" w:rsidR="00013654">
        <w:rPr>
          <w:lang w:val="en-GB"/>
        </w:rPr>
        <w:t>won’t</w:t>
      </w:r>
      <w:r w:rsidRPr="199BC9C1" w:rsidR="00013654">
        <w:rPr>
          <w:lang w:val="en-GB"/>
        </w:rPr>
        <w:t xml:space="preserve"> just launch a product</w:t>
      </w:r>
      <w:r w:rsidRPr="199BC9C1" w:rsidR="004F3D6D">
        <w:rPr>
          <w:lang w:val="en-GB"/>
        </w:rPr>
        <w:t xml:space="preserve"> </w:t>
      </w:r>
      <w:r w:rsidRPr="199BC9C1" w:rsidR="00013654">
        <w:rPr>
          <w:lang w:val="en-GB"/>
        </w:rPr>
        <w:t>it’ll</w:t>
      </w:r>
      <w:r w:rsidRPr="199BC9C1" w:rsidR="00013654">
        <w:rPr>
          <w:lang w:val="en-GB"/>
        </w:rPr>
        <w:t xml:space="preserve"> build trust, credibility, and long-term success</w:t>
      </w:r>
      <w:r w:rsidRPr="199BC9C1" w:rsidR="43E3CD36">
        <w:rPr>
          <w:lang w:val="en-GB"/>
        </w:rPr>
        <w:t>.</w:t>
      </w:r>
    </w:p>
    <w:p w:rsidRPr="00DD4792" w:rsidR="00DD4792" w:rsidP="00DD4792" w:rsidRDefault="00E82752" w14:paraId="7B350500" w14:textId="77777777">
      <w:pPr>
        <w:rPr>
          <w:lang w:val="en-GB"/>
        </w:rPr>
      </w:pPr>
      <w:r>
        <w:rPr>
          <w:lang w:val="en-GB"/>
        </w:rPr>
        <w:pict w14:anchorId="68E98FCE">
          <v:rect id="_x0000_i1025" style="width:0;height:1.5pt" o:hr="t" o:hrstd="t" o:hralign="center" fillcolor="#a0a0a0" stroked="f"/>
        </w:pict>
      </w:r>
    </w:p>
    <w:p w:rsidRPr="00DD4792" w:rsidR="00DD4792" w:rsidP="199BC9C1" w:rsidRDefault="00DD4792" w14:paraId="3C0DD2ED" w14:textId="77777777" w14:noSpellErr="1">
      <w:pPr>
        <w:pStyle w:val="Heading2"/>
        <w:rPr>
          <w:lang w:val="en-GB"/>
        </w:rPr>
      </w:pPr>
      <w:bookmarkStart w:name="_Toc827880135" w:id="1231281334"/>
      <w:r w:rsidRPr="199BC9C1" w:rsidR="00DD4792">
        <w:rPr>
          <w:lang w:val="en-GB"/>
        </w:rPr>
        <w:t>Stakeholder Engagement at Pi Health: Tools, Tensions, and the Human Factor</w:t>
      </w:r>
      <w:bookmarkEnd w:id="1231281334"/>
    </w:p>
    <w:p w:rsidR="00DD4792" w:rsidP="00DD4792" w:rsidRDefault="00DD4792" w14:paraId="7961A6BC" w14:textId="1E577AC3">
      <w:pPr>
        <w:rPr>
          <w:lang w:val="en-GB"/>
        </w:rPr>
      </w:pPr>
      <w:r w:rsidRPr="030767A1">
        <w:rPr>
          <w:lang w:val="en-GB"/>
        </w:rPr>
        <w:t>Pi Health is using smart frameworks to guide its wearable launch</w:t>
      </w:r>
      <w:r w:rsidRPr="030767A1" w:rsidR="1CCFD79C">
        <w:rPr>
          <w:lang w:val="en-GB"/>
        </w:rPr>
        <w:t xml:space="preserve"> </w:t>
      </w:r>
      <w:r w:rsidRPr="030767A1">
        <w:rPr>
          <w:lang w:val="en-GB"/>
        </w:rPr>
        <w:t>from RACI charts to communication plans and agile coordination tools. These models offer structure, clarity, and accountability. But they’re not magic. Real-world projects are messy, and success depends on how these tools are used—not just whether they exist.</w:t>
      </w:r>
    </w:p>
    <w:p w:rsidRPr="00DD4792" w:rsidR="00DD4792" w:rsidP="00DD4792" w:rsidRDefault="00DD4792" w14:paraId="1A498D6D" w14:textId="77777777">
      <w:pPr>
        <w:rPr>
          <w:lang w:val="en-GB"/>
        </w:rPr>
      </w:pPr>
    </w:p>
    <w:p w:rsidRPr="00DD4792" w:rsidR="00DD4792" w:rsidP="199BC9C1" w:rsidRDefault="00DD4792" w14:paraId="324675EE" w14:textId="77777777" w14:noSpellErr="1">
      <w:pPr>
        <w:pStyle w:val="Heading3"/>
        <w:rPr>
          <w:b w:val="1"/>
          <w:bCs w:val="1"/>
          <w:lang w:val="en-GB"/>
        </w:rPr>
      </w:pPr>
      <w:bookmarkStart w:name="_Toc940451712" w:id="94650090"/>
      <w:r w:rsidRPr="199BC9C1" w:rsidR="00DD4792">
        <w:rPr>
          <w:lang w:val="en-GB"/>
        </w:rPr>
        <w:t>RACI: Helpful for Clarity, Risky if Static</w:t>
      </w:r>
      <w:bookmarkEnd w:id="94650090"/>
    </w:p>
    <w:p w:rsidRPr="00DD4792" w:rsidR="00DD4792" w:rsidP="00DD4792" w:rsidRDefault="00DD4792" w14:paraId="5426FA36" w14:textId="59FAC59E">
      <w:pPr>
        <w:rPr>
          <w:lang w:val="en-GB"/>
        </w:rPr>
      </w:pPr>
      <w:r w:rsidRPr="030767A1">
        <w:rPr>
          <w:lang w:val="en-GB"/>
        </w:rPr>
        <w:t>The RACI framework is a solid starting point. It helps clarify who’s Responsible, Accountable, Consulted, and Informed</w:t>
      </w:r>
      <w:r w:rsidRPr="030767A1" w:rsidR="69B694C0">
        <w:rPr>
          <w:lang w:val="en-GB"/>
        </w:rPr>
        <w:t xml:space="preserve"> </w:t>
      </w:r>
      <w:r w:rsidRPr="030767A1">
        <w:rPr>
          <w:lang w:val="en-GB"/>
        </w:rPr>
        <w:t>reducing confusion and finger-pointing. But it’s only as effective as the conversations behind it.</w:t>
      </w:r>
    </w:p>
    <w:p w:rsidRPr="00DD4792" w:rsidR="00DD4792" w:rsidP="00DD4792" w:rsidRDefault="00DD4792" w14:paraId="7659BFC8" w14:textId="48553355">
      <w:pPr>
        <w:rPr>
          <w:lang w:val="en-GB"/>
        </w:rPr>
      </w:pPr>
      <w:r w:rsidRPr="030767A1">
        <w:rPr>
          <w:lang w:val="en-GB"/>
        </w:rPr>
        <w:t>In practice, roles shift. Decisions overlap. People wear multiple hats. For example, listing R&amp;D as “responsible” for device design makes sense</w:t>
      </w:r>
      <w:r w:rsidRPr="030767A1" w:rsidR="2E58A198">
        <w:rPr>
          <w:lang w:val="en-GB"/>
        </w:rPr>
        <w:t xml:space="preserve"> </w:t>
      </w:r>
      <w:r w:rsidRPr="030767A1">
        <w:rPr>
          <w:lang w:val="en-GB"/>
        </w:rPr>
        <w:t>but what happens when marketing wants to tweak a feature for user appeal? Or when legal flags a compliance issue mid-development? These tensions aren’t captured in a static chart.</w:t>
      </w:r>
    </w:p>
    <w:p w:rsidRPr="00DD4792" w:rsidR="00DD4792" w:rsidP="00DD4792" w:rsidRDefault="00DD4792" w14:paraId="6C1F5783" w14:textId="77777777">
      <w:pPr>
        <w:rPr>
          <w:lang w:val="en-GB"/>
        </w:rPr>
      </w:pPr>
      <w:r w:rsidRPr="030767A1">
        <w:rPr>
          <w:lang w:val="en-GB"/>
        </w:rPr>
        <w:t>The risk is over-relying on RACI and assuming clarity equals alignment. Pi Health must go beyond role definitions and foster real cross-functional collaboration. That means encouraging dialogue, surfacing trade-offs, and staying flexible when priorities evolve.</w:t>
      </w:r>
    </w:p>
    <w:p w:rsidR="030767A1" w:rsidP="030767A1" w:rsidRDefault="030767A1" w14:paraId="2EC52138" w14:textId="28DA740A">
      <w:pPr>
        <w:rPr>
          <w:b/>
          <w:bCs/>
          <w:lang w:val="en-GB"/>
        </w:rPr>
      </w:pPr>
    </w:p>
    <w:p w:rsidR="030767A1" w:rsidP="030767A1" w:rsidRDefault="030767A1" w14:paraId="6615512A" w14:textId="24CF7CC2">
      <w:pPr>
        <w:rPr>
          <w:b/>
          <w:bCs/>
          <w:lang w:val="en-GB"/>
        </w:rPr>
      </w:pPr>
    </w:p>
    <w:p w:rsidR="030767A1" w:rsidP="030767A1" w:rsidRDefault="030767A1" w14:paraId="4BD92D32" w14:textId="6C448537">
      <w:pPr>
        <w:rPr>
          <w:b/>
          <w:bCs/>
          <w:lang w:val="en-GB"/>
        </w:rPr>
      </w:pPr>
    </w:p>
    <w:p w:rsidRPr="00DD4792" w:rsidR="00DD4792" w:rsidP="199BC9C1" w:rsidRDefault="00DD4792" w14:paraId="096D202C" w14:textId="77777777" w14:noSpellErr="1">
      <w:pPr>
        <w:pStyle w:val="Heading3"/>
        <w:rPr>
          <w:b w:val="1"/>
          <w:bCs w:val="1"/>
          <w:lang w:val="en-GB"/>
        </w:rPr>
      </w:pPr>
      <w:bookmarkStart w:name="_Toc1933813661" w:id="1228828032"/>
      <w:r w:rsidRPr="199BC9C1" w:rsidR="00DD4792">
        <w:rPr>
          <w:lang w:val="en-GB"/>
        </w:rPr>
        <w:t>Communication: Strong Foundation, Needs Empathy</w:t>
      </w:r>
      <w:bookmarkEnd w:id="1228828032"/>
    </w:p>
    <w:p w:rsidRPr="00DD4792" w:rsidR="00DD4792" w:rsidP="00DD4792" w:rsidRDefault="00DD4792" w14:paraId="3A77FAE5" w14:textId="77777777">
      <w:pPr>
        <w:rPr>
          <w:lang w:val="en-GB"/>
        </w:rPr>
      </w:pPr>
      <w:r w:rsidRPr="00DD4792">
        <w:rPr>
          <w:lang w:val="en-GB"/>
        </w:rPr>
        <w:t>Pi Health’s mix of formal tools (dashboards, reports) and informal channels (Slack, quick check-ins) shows an understanding that communication isn’t one-size-fits-all. That’s a strong foundation.</w:t>
      </w:r>
    </w:p>
    <w:p w:rsidRPr="00DD4792" w:rsidR="00DD4792" w:rsidP="00DD4792" w:rsidRDefault="00DD4792" w14:paraId="27E104E6" w14:textId="77777777">
      <w:pPr>
        <w:rPr>
          <w:lang w:val="en-GB"/>
        </w:rPr>
      </w:pPr>
      <w:r w:rsidRPr="00DD4792">
        <w:rPr>
          <w:lang w:val="en-GB"/>
        </w:rPr>
        <w:t>But frequency alone doesn’t guarantee effectiveness. Communication is about tone, timing, and trust. Different stakeholders need different messages:</w:t>
      </w:r>
    </w:p>
    <w:p w:rsidRPr="00DD4792" w:rsidR="00DD4792" w:rsidP="00DD4792" w:rsidRDefault="00DD4792" w14:paraId="7E85BFFF" w14:textId="77777777">
      <w:pPr>
        <w:numPr>
          <w:ilvl w:val="0"/>
          <w:numId w:val="2"/>
        </w:numPr>
        <w:rPr>
          <w:lang w:val="en-GB"/>
        </w:rPr>
      </w:pPr>
      <w:r w:rsidRPr="00DD4792">
        <w:rPr>
          <w:lang w:val="en-GB"/>
        </w:rPr>
        <w:t>Investors want financial clarity.</w:t>
      </w:r>
    </w:p>
    <w:p w:rsidRPr="00DD4792" w:rsidR="00DD4792" w:rsidP="00DD4792" w:rsidRDefault="00DD4792" w14:paraId="6C238EAC" w14:textId="77777777">
      <w:pPr>
        <w:numPr>
          <w:ilvl w:val="0"/>
          <w:numId w:val="2"/>
        </w:numPr>
        <w:rPr>
          <w:lang w:val="en-GB"/>
        </w:rPr>
      </w:pPr>
      <w:r w:rsidRPr="00DD4792">
        <w:rPr>
          <w:lang w:val="en-GB"/>
        </w:rPr>
        <w:t>Clinicians want clinical evidence.</w:t>
      </w:r>
    </w:p>
    <w:p w:rsidRPr="00DD4792" w:rsidR="00DD4792" w:rsidP="00DD4792" w:rsidRDefault="00DD4792" w14:paraId="2B255233" w14:textId="77777777">
      <w:pPr>
        <w:numPr>
          <w:ilvl w:val="0"/>
          <w:numId w:val="2"/>
        </w:numPr>
        <w:rPr>
          <w:lang w:val="en-GB"/>
        </w:rPr>
      </w:pPr>
      <w:r w:rsidRPr="00DD4792">
        <w:rPr>
          <w:lang w:val="en-GB"/>
        </w:rPr>
        <w:t>Patients want simplicity and reassurance.</w:t>
      </w:r>
    </w:p>
    <w:p w:rsidRPr="00DD4792" w:rsidR="00DD4792" w:rsidP="00DD4792" w:rsidRDefault="00DD4792" w14:paraId="51CF2FCA" w14:noSpellErr="1" w14:textId="78CF0756">
      <w:pPr>
        <w:rPr>
          <w:lang w:val="en-GB"/>
        </w:rPr>
      </w:pPr>
      <w:r w:rsidRPr="2A374194" w:rsidR="00DD4792">
        <w:rPr>
          <w:lang w:val="en-GB"/>
        </w:rPr>
        <w:t>And it must be two-way. Updates are useful</w:t>
      </w:r>
      <w:r w:rsidRPr="2A374194" w:rsidR="1C54D2C9">
        <w:rPr>
          <w:lang w:val="en-GB"/>
        </w:rPr>
        <w:t xml:space="preserve"> </w:t>
      </w:r>
      <w:r w:rsidRPr="2A374194" w:rsidR="00DD4792">
        <w:rPr>
          <w:lang w:val="en-GB"/>
        </w:rPr>
        <w:t>but feedback, questions, and even pushback are vital. Pi Health should create space for real dialogue, not just status reports.</w:t>
      </w:r>
    </w:p>
    <w:p w:rsidRPr="00DD4792" w:rsidR="00DD4792" w:rsidP="00DD4792" w:rsidRDefault="00DD4792" w14:paraId="14693A3E" w14:textId="77777777">
      <w:pPr>
        <w:rPr>
          <w:lang w:val="en-GB"/>
        </w:rPr>
      </w:pPr>
      <w:r w:rsidRPr="00DD4792">
        <w:rPr>
          <w:lang w:val="en-GB"/>
        </w:rPr>
        <w:t>The key insight: Communication must be structured, but also empathetic. In a fast-moving project, information overload and misinterpretation are real risks. Clarity, relevance, and responsiveness matter more than volume.</w:t>
      </w:r>
    </w:p>
    <w:p w:rsidRPr="00DD4792" w:rsidR="00DD4792" w:rsidP="00DD4792" w:rsidRDefault="00DD4792" w14:paraId="23EC188B" w14:textId="77777777">
      <w:pPr>
        <w:rPr>
          <w:b/>
          <w:bCs/>
          <w:lang w:val="en-GB"/>
        </w:rPr>
      </w:pPr>
      <w:r w:rsidRPr="00DD4792">
        <w:rPr>
          <w:b/>
          <w:bCs/>
          <w:lang w:val="en-GB"/>
        </w:rPr>
        <w:t>Coordination: Necessary, But Often Overlooked</w:t>
      </w:r>
    </w:p>
    <w:p w:rsidRPr="00DD4792" w:rsidR="00DD4792" w:rsidP="00DD4792" w:rsidRDefault="00DD4792" w14:paraId="337652EE" w14:textId="77777777">
      <w:pPr>
        <w:rPr>
          <w:lang w:val="en-GB"/>
        </w:rPr>
      </w:pPr>
      <w:r w:rsidRPr="00DD4792">
        <w:rPr>
          <w:lang w:val="en-GB"/>
        </w:rPr>
        <w:t>With R&amp;D, marketing, IT, compliance, and suppliers all in play, coordination is critical. Shared calendars, agile sprints, and cross-functional meetings help keep teams aligned.</w:t>
      </w:r>
    </w:p>
    <w:p w:rsidRPr="00DD4792" w:rsidR="00DD4792" w:rsidP="00DD4792" w:rsidRDefault="00DD4792" w14:paraId="5D584468" w14:textId="77777777">
      <w:pPr>
        <w:rPr>
          <w:lang w:val="en-GB"/>
        </w:rPr>
      </w:pPr>
      <w:r w:rsidRPr="00DD4792">
        <w:rPr>
          <w:lang w:val="en-GB"/>
        </w:rPr>
        <w:t>But coordination often breaks down when priorities clash. Marketing might push for a launch date that R&amp;D isn’t ready for. Compliance might flag issues that disrupt timelines. Without strong leadership and clear escalation paths, these tensions can lead to delays, duplicated efforts, or missed opportunities.</w:t>
      </w:r>
    </w:p>
    <w:p w:rsidRPr="00DD4792" w:rsidR="00DD4792" w:rsidP="00DD4792" w:rsidRDefault="00DD4792" w14:paraId="1E4542B8" w14:textId="725A6855">
      <w:pPr>
        <w:rPr>
          <w:lang w:val="en-GB"/>
        </w:rPr>
      </w:pPr>
      <w:r w:rsidRPr="00DD4792">
        <w:rPr>
          <w:lang w:val="en-GB"/>
        </w:rPr>
        <w:t>Coordination isn’t just about logistics</w:t>
      </w:r>
      <w:r w:rsidR="00E47F3B">
        <w:rPr>
          <w:lang w:val="en-GB"/>
        </w:rPr>
        <w:t xml:space="preserve"> </w:t>
      </w:r>
      <w:r w:rsidRPr="00DD4792">
        <w:rPr>
          <w:lang w:val="en-GB"/>
        </w:rPr>
        <w:t>it’s about alignment. Everyone needs to understand not just what they’re doing, but why. That shared purpose is what keeps the launch on track.</w:t>
      </w:r>
    </w:p>
    <w:p w:rsidRPr="00DD4792" w:rsidR="00DD4792" w:rsidP="00DD4792" w:rsidRDefault="00DD4792" w14:paraId="621D46C3" w14:textId="77777777">
      <w:pPr>
        <w:rPr>
          <w:b/>
          <w:bCs/>
          <w:lang w:val="en-GB"/>
        </w:rPr>
      </w:pPr>
      <w:r w:rsidRPr="00DD4792">
        <w:rPr>
          <w:b/>
          <w:bCs/>
          <w:lang w:val="en-GB"/>
        </w:rPr>
        <w:t>Cooperation: Culture Is the Glue</w:t>
      </w:r>
    </w:p>
    <w:p w:rsidRPr="00DD4792" w:rsidR="00DD4792" w:rsidP="00DD4792" w:rsidRDefault="00DD4792" w14:paraId="18309057" w14:textId="0159A1BF">
      <w:pPr>
        <w:rPr>
          <w:lang w:val="en-GB"/>
        </w:rPr>
      </w:pPr>
      <w:r w:rsidRPr="00DD4792">
        <w:rPr>
          <w:lang w:val="en-GB"/>
        </w:rPr>
        <w:t>Cooperation is about trust, respect, and shared ownership. Pi Health’s use of Tuckman’s team development model</w:t>
      </w:r>
      <w:r w:rsidR="00E47F3B">
        <w:rPr>
          <w:lang w:val="en-GB"/>
        </w:rPr>
        <w:t xml:space="preserve"> </w:t>
      </w:r>
      <w:r w:rsidRPr="00DD4792">
        <w:rPr>
          <w:lang w:val="en-GB"/>
        </w:rPr>
        <w:t>forming, storming, norming, performing</w:t>
      </w:r>
      <w:r w:rsidR="00E47F3B">
        <w:rPr>
          <w:lang w:val="en-GB"/>
        </w:rPr>
        <w:t xml:space="preserve"> </w:t>
      </w:r>
      <w:r w:rsidRPr="00DD4792">
        <w:rPr>
          <w:lang w:val="en-GB"/>
        </w:rPr>
        <w:t>is a thoughtful way to guide team dynamics.</w:t>
      </w:r>
    </w:p>
    <w:p w:rsidRPr="00DD4792" w:rsidR="00DD4792" w:rsidP="00DD4792" w:rsidRDefault="00DD4792" w14:paraId="1A1E29DB" w14:textId="77777777">
      <w:pPr>
        <w:rPr>
          <w:lang w:val="en-GB"/>
        </w:rPr>
      </w:pPr>
      <w:r w:rsidRPr="00DD4792">
        <w:rPr>
          <w:lang w:val="en-GB"/>
        </w:rPr>
        <w:t>Recognising contributions and encouraging inclusive decision-making helps reduce resistance and build morale. But cooperation can’t be forced. If teams feel excluded or undervalued, goodwill evaporates quickly.</w:t>
      </w:r>
    </w:p>
    <w:p w:rsidRPr="00DD4792" w:rsidR="00DD4792" w:rsidP="00DD4792" w:rsidRDefault="00DD4792" w14:paraId="12387EA5" w14:textId="77777777">
      <w:pPr>
        <w:rPr>
          <w:lang w:val="en-GB"/>
        </w:rPr>
      </w:pPr>
      <w:r w:rsidRPr="00DD4792">
        <w:rPr>
          <w:lang w:val="en-GB"/>
        </w:rPr>
        <w:t>Technical and non-technical teams often speak different languages. Bridging that gap takes effort—through active listening, plain language, and mutual respect.</w:t>
      </w:r>
    </w:p>
    <w:p w:rsidRPr="00DD4792" w:rsidR="00DD4792" w:rsidP="00DD4792" w:rsidRDefault="00DD4792" w14:paraId="1C5F2961" w14:textId="3137B39D">
      <w:pPr>
        <w:rPr>
          <w:lang w:val="en-GB"/>
        </w:rPr>
      </w:pPr>
      <w:r w:rsidRPr="00DD4792">
        <w:rPr>
          <w:lang w:val="en-GB"/>
        </w:rPr>
        <w:t>The risk: Without a strong, inclusive culture, cooperation becomes superficial. Pi Health must invest in team building and recognition</w:t>
      </w:r>
      <w:r w:rsidR="00E47F3B">
        <w:rPr>
          <w:lang w:val="en-GB"/>
        </w:rPr>
        <w:t xml:space="preserve"> </w:t>
      </w:r>
      <w:r w:rsidRPr="00DD4792">
        <w:rPr>
          <w:lang w:val="en-GB"/>
        </w:rPr>
        <w:t>not just task management.</w:t>
      </w:r>
    </w:p>
    <w:p w:rsidRPr="00DD4792" w:rsidR="00DD4792" w:rsidP="199BC9C1" w:rsidRDefault="00DD4792" w14:paraId="09C332E0" w14:textId="77777777" w14:noSpellErr="1">
      <w:pPr>
        <w:pStyle w:val="Heading2"/>
        <w:rPr>
          <w:b w:val="1"/>
          <w:bCs w:val="1"/>
          <w:lang w:val="en-GB"/>
        </w:rPr>
      </w:pPr>
      <w:bookmarkStart w:name="_Toc1881736852" w:id="1681888954"/>
      <w:r w:rsidRPr="199BC9C1" w:rsidR="00DD4792">
        <w:rPr>
          <w:lang w:val="en-GB"/>
        </w:rPr>
        <w:t>Final Thought: Frameworks Are Tools, Not Guarantees</w:t>
      </w:r>
      <w:bookmarkEnd w:id="1681888954"/>
    </w:p>
    <w:p w:rsidRPr="00DD4792" w:rsidR="00DD4792" w:rsidP="00DD4792" w:rsidRDefault="00DD4792" w14:paraId="20837D8A" w14:textId="01672294">
      <w:pPr>
        <w:rPr>
          <w:lang w:val="en-GB"/>
        </w:rPr>
      </w:pPr>
      <w:r w:rsidRPr="00DD4792">
        <w:rPr>
          <w:lang w:val="en-GB"/>
        </w:rPr>
        <w:t>Pi Health is using the right models to guide stakeholder engagement. But frameworks don’t guarantee success</w:t>
      </w:r>
      <w:r w:rsidR="004F3D6D">
        <w:rPr>
          <w:lang w:val="en-GB"/>
        </w:rPr>
        <w:t xml:space="preserve"> </w:t>
      </w:r>
      <w:r w:rsidRPr="00DD4792">
        <w:rPr>
          <w:lang w:val="en-GB"/>
        </w:rPr>
        <w:t>they just provide structure. What matters most is how they’re applied.</w:t>
      </w:r>
    </w:p>
    <w:p w:rsidRPr="00DD4792" w:rsidR="00DD4792" w:rsidP="00DD4792" w:rsidRDefault="00DD4792" w14:paraId="6F73D984" w14:textId="403B8B32">
      <w:pPr>
        <w:rPr>
          <w:lang w:val="en-GB"/>
        </w:rPr>
      </w:pPr>
      <w:r w:rsidRPr="00DD4792">
        <w:rPr>
          <w:lang w:val="en-GB"/>
        </w:rPr>
        <w:t>If Pi Health treats these tools as living documents</w:t>
      </w:r>
      <w:r w:rsidR="004F3D6D">
        <w:rPr>
          <w:lang w:val="en-GB"/>
        </w:rPr>
        <w:t xml:space="preserve"> </w:t>
      </w:r>
      <w:r w:rsidRPr="00DD4792">
        <w:rPr>
          <w:lang w:val="en-GB"/>
        </w:rPr>
        <w:t>updated regularly, adapted to real-world dynamics, and grounded in human connection</w:t>
      </w:r>
      <w:r w:rsidR="00E47F3B">
        <w:rPr>
          <w:lang w:val="en-GB"/>
        </w:rPr>
        <w:t xml:space="preserve"> </w:t>
      </w:r>
      <w:r w:rsidRPr="00DD4792">
        <w:rPr>
          <w:lang w:val="en-GB"/>
        </w:rPr>
        <w:t>it will be far better equipped to manage relationships, resolve tensions, and launch its wearable device successfully.</w:t>
      </w:r>
    </w:p>
    <w:p w:rsidRPr="00190CEC" w:rsidR="00190CEC" w:rsidP="00190CEC" w:rsidRDefault="00DD4792" w14:paraId="2AD43FDE" w14:textId="2B76DFC3">
      <w:pPr>
        <w:rPr>
          <w:lang w:val="en-GB"/>
        </w:rPr>
      </w:pPr>
      <w:r w:rsidRPr="00DD4792">
        <w:rPr>
          <w:lang w:val="en-GB"/>
        </w:rPr>
        <w:t>In the end, it’s not just about managing stakeholders. It’s about engaging people. And that takes clarity, empathy, and a culture of collaboration</w:t>
      </w:r>
    </w:p>
    <w:p w:rsidRPr="00190CEC" w:rsidR="00190CEC" w:rsidP="00190CEC" w:rsidRDefault="00190CEC" w14:paraId="2BA2DF9F" w14:textId="4757E218">
      <w:pPr>
        <w:rPr>
          <w:lang w:val="en-GB"/>
        </w:rPr>
      </w:pPr>
    </w:p>
    <w:p w:rsidRPr="00190CEC" w:rsidR="00190CEC" w:rsidP="199BC9C1" w:rsidRDefault="00190CEC" w14:paraId="2269A48A" w14:textId="77777777" w14:noSpellErr="1">
      <w:pPr>
        <w:pStyle w:val="Heading2"/>
        <w:rPr>
          <w:lang w:val="en-GB"/>
        </w:rPr>
      </w:pPr>
      <w:bookmarkStart w:name="_Toc955651930" w:id="326837152"/>
      <w:r w:rsidRPr="199BC9C1" w:rsidR="00190CEC">
        <w:rPr>
          <w:lang w:val="en-GB"/>
        </w:rPr>
        <w:t>Stakeholder Engagement at Pi Health: Where Innovation Meets Friction</w:t>
      </w:r>
      <w:bookmarkEnd w:id="326837152"/>
    </w:p>
    <w:p w:rsidRPr="00190CEC" w:rsidR="00190CEC" w:rsidP="00190CEC" w:rsidRDefault="00190CEC" w14:paraId="49DA0A70" w14:textId="77777777">
      <w:pPr>
        <w:rPr>
          <w:lang w:val="en-GB"/>
        </w:rPr>
      </w:pPr>
      <w:r w:rsidRPr="00190CEC">
        <w:rPr>
          <w:lang w:val="en-GB"/>
        </w:rPr>
        <w:t>At Pi Health, collaboration isn’t just a buzzword—it’s the engine behind innovation. The company’s wearable health device is being shaped not only by internal teams but by a diverse network of external partners: clinicians, researchers, patients, regulators, and investors. Co-designing trials, beta testing with real users, and gathering feedback from frontline professionals ensures the product reflects actual needs—not just assumptions.</w:t>
      </w:r>
    </w:p>
    <w:p w:rsidRPr="00190CEC" w:rsidR="00190CEC" w:rsidP="00190CEC" w:rsidRDefault="00190CEC" w14:paraId="4CCF4F64" w14:textId="62FC517A">
      <w:pPr>
        <w:rPr>
          <w:lang w:val="en-GB"/>
        </w:rPr>
      </w:pPr>
      <w:r w:rsidRPr="00190CEC">
        <w:rPr>
          <w:lang w:val="en-GB"/>
        </w:rPr>
        <w:t>But collaboration, while powerful, is also fragile. It brings together people with different priorities, pressures, and perspectives. Regulators may focus on safety and compliance. Investors push for speed and market traction. Clinicians want robust data. Patients want simplicity and reassurance. These tensions are inevitable</w:t>
      </w:r>
      <w:r w:rsidR="004F3D6D">
        <w:rPr>
          <w:lang w:val="en-GB"/>
        </w:rPr>
        <w:t xml:space="preserve"> </w:t>
      </w:r>
      <w:r w:rsidRPr="00190CEC">
        <w:rPr>
          <w:lang w:val="en-GB"/>
        </w:rPr>
        <w:t>and if not managed well, they can stall progress or dilute the product’s impact.</w:t>
      </w:r>
    </w:p>
    <w:p w:rsidRPr="00190CEC" w:rsidR="00190CEC" w:rsidP="00190CEC" w:rsidRDefault="00190CEC" w14:paraId="48258DF6" w14:textId="0428C021">
      <w:pPr>
        <w:rPr>
          <w:lang w:val="en-GB"/>
        </w:rPr>
      </w:pPr>
      <w:r w:rsidRPr="00190CEC">
        <w:rPr>
          <w:lang w:val="en-GB"/>
        </w:rPr>
        <w:t>The critical insight here is that collaboration isn’t just about bringing people together</w:t>
      </w:r>
      <w:r w:rsidR="004F3D6D">
        <w:rPr>
          <w:lang w:val="en-GB"/>
        </w:rPr>
        <w:t xml:space="preserve"> </w:t>
      </w:r>
      <w:r w:rsidRPr="00190CEC">
        <w:rPr>
          <w:lang w:val="en-GB"/>
        </w:rPr>
        <w:t>it’s about navigating the friction that comes with it. Pi Health must be ready to mediate between competing priorities, find common ground, and make tough trade-offs without losing sight of its mission.</w:t>
      </w:r>
    </w:p>
    <w:p w:rsidRPr="00190CEC" w:rsidR="00190CEC" w:rsidP="199BC9C1" w:rsidRDefault="00190CEC" w14:paraId="63C40004" w14:noSpellErr="1" w14:textId="51817C6A">
      <w:pPr>
        <w:pStyle w:val="Heading1"/>
        <w:rPr>
          <w:lang w:val="en-GB"/>
        </w:rPr>
      </w:pPr>
      <w:bookmarkStart w:name="_Toc888489279" w:id="636251909"/>
      <w:r w:rsidRPr="199BC9C1" w:rsidR="0684CEE9">
        <w:rPr>
          <w:lang w:val="en-GB"/>
        </w:rPr>
        <w:t>Stakeholder Management</w:t>
      </w:r>
      <w:bookmarkEnd w:id="636251909"/>
    </w:p>
    <w:p w:rsidRPr="00190CEC" w:rsidR="00190CEC" w:rsidP="199BC9C1" w:rsidRDefault="00190CEC" w14:paraId="714177A3" w14:textId="77777777" w14:noSpellErr="1">
      <w:pPr>
        <w:pStyle w:val="Heading2"/>
        <w:rPr>
          <w:lang w:val="en-GB"/>
        </w:rPr>
      </w:pPr>
      <w:bookmarkStart w:name="_Toc1875607293" w:id="1793720641"/>
      <w:r w:rsidRPr="199BC9C1" w:rsidR="00190CEC">
        <w:rPr>
          <w:lang w:val="en-GB"/>
        </w:rPr>
        <w:t>Conflict Management: Structure Meets Emotional Intelligence</w:t>
      </w:r>
      <w:bookmarkEnd w:id="1793720641"/>
    </w:p>
    <w:p w:rsidRPr="00190CEC" w:rsidR="00190CEC" w:rsidP="00190CEC" w:rsidRDefault="00190CEC" w14:paraId="77978E6A" w14:textId="5E0E181B">
      <w:pPr>
        <w:rPr>
          <w:lang w:val="en-GB"/>
        </w:rPr>
      </w:pPr>
      <w:r w:rsidRPr="00190CEC">
        <w:rPr>
          <w:lang w:val="en-GB"/>
        </w:rPr>
        <w:t>To manage these tensions, Pi Health has wisely adopted the Thomas–Kilmann Conflict Mode Instrument (TKI). It’s a structured tool that helps teams understand different conflict styles</w:t>
      </w:r>
      <w:r w:rsidR="004F3D6D">
        <w:rPr>
          <w:lang w:val="en-GB"/>
        </w:rPr>
        <w:t xml:space="preserve"> </w:t>
      </w:r>
      <w:r w:rsidRPr="00190CEC">
        <w:rPr>
          <w:lang w:val="en-GB"/>
        </w:rPr>
        <w:t>competing, accommodating, avoiding, compromising, and collaborating. In most cases, compromise and collaboration are the healthiest paths forward, especially in a multi-stakeholder environment.</w:t>
      </w:r>
    </w:p>
    <w:p w:rsidRPr="00190CEC" w:rsidR="00190CEC" w:rsidP="00190CEC" w:rsidRDefault="00190CEC" w14:paraId="0C3F6F6C" w14:textId="1D881E87">
      <w:pPr>
        <w:rPr>
          <w:lang w:val="en-GB"/>
        </w:rPr>
      </w:pPr>
      <w:r w:rsidRPr="00190CEC">
        <w:rPr>
          <w:lang w:val="en-GB"/>
        </w:rPr>
        <w:t>But frameworks alone aren’t enough. Conflict resolution is deeply human. It requires listening, empathy, and clarity. Formal meetings and documentation help, but they must be backed by genuine efforts to understand concerns and build trust. A clinician’s frustration over data gaps, or a patient’s anxiety about privacy, can’t be solved with a spreadsheet</w:t>
      </w:r>
      <w:r w:rsidR="004F3D6D">
        <w:rPr>
          <w:lang w:val="en-GB"/>
        </w:rPr>
        <w:t xml:space="preserve"> </w:t>
      </w:r>
      <w:r w:rsidRPr="00190CEC">
        <w:rPr>
          <w:lang w:val="en-GB"/>
        </w:rPr>
        <w:t>they need to be heard, acknowledged, and addressed with care.</w:t>
      </w:r>
    </w:p>
    <w:p w:rsidRPr="00190CEC" w:rsidR="00190CEC" w:rsidP="00190CEC" w:rsidRDefault="00190CEC" w14:paraId="78A23FE6" w14:textId="6B7BEC73">
      <w:pPr>
        <w:rPr>
          <w:lang w:val="en-GB"/>
        </w:rPr>
      </w:pPr>
      <w:r w:rsidRPr="00190CEC">
        <w:rPr>
          <w:lang w:val="en-GB"/>
        </w:rPr>
        <w:t>Conflict isn’t a failure. It’s a signal</w:t>
      </w:r>
      <w:r w:rsidR="004F3D6D">
        <w:rPr>
          <w:lang w:val="en-GB"/>
        </w:rPr>
        <w:t xml:space="preserve"> </w:t>
      </w:r>
      <w:r w:rsidRPr="00190CEC">
        <w:rPr>
          <w:lang w:val="en-GB"/>
        </w:rPr>
        <w:t>an opportunity to improve alignment, strengthen relationships, and refine the product. Pi Health should treat it as a catalyst, not a complication.</w:t>
      </w:r>
    </w:p>
    <w:p w:rsidRPr="00190CEC" w:rsidR="00190CEC" w:rsidP="00190CEC" w:rsidRDefault="00E82752" w14:paraId="037A4734" w14:textId="77777777">
      <w:pPr>
        <w:rPr>
          <w:lang w:val="en-GB"/>
        </w:rPr>
      </w:pPr>
      <w:r>
        <w:rPr>
          <w:lang w:val="en-GB"/>
        </w:rPr>
        <w:pict w14:anchorId="67D6E6D8">
          <v:rect id="_x0000_i1026" style="width:0;height:1.5pt" o:hr="t" o:hrstd="t" o:hralign="center" fillcolor="#a0a0a0" stroked="f"/>
        </w:pict>
      </w:r>
    </w:p>
    <w:p w:rsidRPr="00190CEC" w:rsidR="00190CEC" w:rsidP="199BC9C1" w:rsidRDefault="00190CEC" w14:paraId="050A580E" w14:textId="77777777" w14:noSpellErr="1">
      <w:pPr>
        <w:pStyle w:val="Heading2"/>
        <w:rPr>
          <w:lang w:val="en-GB"/>
        </w:rPr>
      </w:pPr>
      <w:bookmarkStart w:name="_Toc872978786" w:id="1735877235"/>
      <w:r w:rsidRPr="199BC9C1" w:rsidR="00190CEC">
        <w:rPr>
          <w:lang w:val="en-GB"/>
        </w:rPr>
        <w:t>Continuous Evaluation: The Missing Link</w:t>
      </w:r>
      <w:bookmarkEnd w:id="1735877235"/>
    </w:p>
    <w:p w:rsidRPr="00190CEC" w:rsidR="00190CEC" w:rsidP="00190CEC" w:rsidRDefault="00190CEC" w14:paraId="78E0D378" w14:textId="77777777">
      <w:pPr>
        <w:rPr>
          <w:lang w:val="en-GB"/>
        </w:rPr>
      </w:pPr>
      <w:r w:rsidRPr="00190CEC">
        <w:rPr>
          <w:lang w:val="en-GB"/>
        </w:rPr>
        <w:t>One area that often gets overlooked in stakeholder engagement is evaluation. It’s easy to assume that if meetings are happening and feedback is being collected, things are working. But without regular, thoughtful assessment, engagement can become performative.</w:t>
      </w:r>
    </w:p>
    <w:p w:rsidRPr="00190CEC" w:rsidR="00190CEC" w:rsidP="00190CEC" w:rsidRDefault="00190CEC" w14:paraId="641DA03F" w14:textId="77777777">
      <w:pPr>
        <w:rPr>
          <w:lang w:val="en-GB"/>
        </w:rPr>
      </w:pPr>
      <w:r w:rsidRPr="00190CEC">
        <w:rPr>
          <w:lang w:val="en-GB"/>
        </w:rPr>
        <w:t>Metrics like satisfaction scores, issue response times, and participation rates are useful—but they don’t tell the whole story. A high attendance rate doesn’t mean stakeholders feel heard. A fast response time doesn’t mean concerns are resolved. Pi Health needs to interpret these metrics in context and ask deeper questions: Are we listening? Are we adapting? Are we building trust?</w:t>
      </w:r>
    </w:p>
    <w:p w:rsidRPr="00190CEC" w:rsidR="00190CEC" w:rsidP="00190CEC" w:rsidRDefault="00190CEC" w14:paraId="5F998240" w14:textId="643C4F2D">
      <w:pPr>
        <w:rPr>
          <w:lang w:val="en-GB"/>
        </w:rPr>
      </w:pPr>
      <w:r w:rsidRPr="00190CEC">
        <w:rPr>
          <w:lang w:val="en-GB"/>
        </w:rPr>
        <w:t>The key recommendation is to build a feedback culture</w:t>
      </w:r>
      <w:r w:rsidR="004F3D6D">
        <w:rPr>
          <w:lang w:val="en-GB"/>
        </w:rPr>
        <w:t xml:space="preserve"> </w:t>
      </w:r>
      <w:r w:rsidRPr="00190CEC">
        <w:rPr>
          <w:lang w:val="en-GB"/>
        </w:rPr>
        <w:t>not just a reporting system. Reflection and adjustment should be part of the rhythm, not an afterthought. That means creating space for honest conversations, acting on feedback, and being transparent about what’s changing and why.</w:t>
      </w:r>
    </w:p>
    <w:p w:rsidRPr="00190CEC" w:rsidR="00190CEC" w:rsidP="00190CEC" w:rsidRDefault="00190CEC" w14:paraId="1F26CAA3" w14:textId="78B64F4E">
      <w:pPr>
        <w:rPr>
          <w:lang w:val="en-GB"/>
        </w:rPr>
      </w:pPr>
    </w:p>
    <w:p w:rsidRPr="00190CEC" w:rsidR="00190CEC" w:rsidP="199BC9C1" w:rsidRDefault="00190CEC" w14:paraId="2E388C95" w14:textId="77777777" w14:noSpellErr="1">
      <w:pPr>
        <w:pStyle w:val="Heading2"/>
        <w:rPr>
          <w:lang w:val="en-GB"/>
        </w:rPr>
      </w:pPr>
      <w:bookmarkStart w:name="_Toc2048811602" w:id="1680467442"/>
      <w:r w:rsidRPr="199BC9C1" w:rsidR="00190CEC">
        <w:rPr>
          <w:lang w:val="en-GB"/>
        </w:rPr>
        <w:t>Engagement Is a Living Process</w:t>
      </w:r>
      <w:bookmarkEnd w:id="1680467442"/>
    </w:p>
    <w:p w:rsidRPr="00190CEC" w:rsidR="00190CEC" w:rsidP="00190CEC" w:rsidRDefault="00190CEC" w14:paraId="4A7600E7" w14:textId="6C68C59F">
      <w:pPr>
        <w:rPr>
          <w:lang w:val="en-GB"/>
        </w:rPr>
      </w:pPr>
      <w:r w:rsidRPr="00190CEC">
        <w:rPr>
          <w:lang w:val="en-GB"/>
        </w:rPr>
        <w:t>Pi Health has a strong foundation. Its stakeholder engagement and conflict management frameworks are well chosen. But success depends on how these models are brought to life. Engagement isn’t a checklist</w:t>
      </w:r>
      <w:r w:rsidR="004F3D6D">
        <w:rPr>
          <w:lang w:val="en-GB"/>
        </w:rPr>
        <w:t xml:space="preserve"> </w:t>
      </w:r>
      <w:r w:rsidRPr="00190CEC">
        <w:rPr>
          <w:lang w:val="en-GB"/>
        </w:rPr>
        <w:t>it’s a relationship. And like any relationship, it requires trust, empathy, and ongoing effort.</w:t>
      </w:r>
    </w:p>
    <w:p w:rsidRPr="00190CEC" w:rsidR="00190CEC" w:rsidP="00190CEC" w:rsidRDefault="00190CEC" w14:paraId="2C0D706A" w14:textId="77777777" w14:noSpellErr="1">
      <w:pPr>
        <w:rPr>
          <w:lang w:val="en-GB"/>
        </w:rPr>
      </w:pPr>
      <w:r w:rsidRPr="2A374194" w:rsidR="00190CEC">
        <w:rPr>
          <w:lang w:val="en-GB"/>
        </w:rPr>
        <w:t xml:space="preserve">That means staying flexible when priorities shift. Listening actively when concerns arise. Adapting when the real world </w:t>
      </w:r>
      <w:r w:rsidRPr="2A374194" w:rsidR="00190CEC">
        <w:rPr>
          <w:lang w:val="en-GB"/>
        </w:rPr>
        <w:t>doesn’t</w:t>
      </w:r>
      <w:r w:rsidRPr="2A374194" w:rsidR="00190CEC">
        <w:rPr>
          <w:lang w:val="en-GB"/>
        </w:rPr>
        <w:t xml:space="preserve"> match the plan. It means treating stakeholders not as boxes to tick, but as partners in progress.</w:t>
      </w:r>
    </w:p>
    <w:p w:rsidR="568B95CB" w:rsidP="2A374194" w:rsidRDefault="568B95CB" w14:paraId="67E01CED" w14:textId="5B190475">
      <w:pPr>
        <w:spacing w:before="0" w:beforeAutospacing="off" w:after="200" w:afterAutospacing="off" w:line="276" w:lineRule="auto"/>
      </w:pPr>
      <w:r w:rsidRPr="2A374194" w:rsidR="568B95CB">
        <w:rPr>
          <w:rFonts w:ascii="Calibri" w:hAnsi="Calibri" w:eastAsia="Calibri" w:cs="Calibri"/>
          <w:noProof w:val="0"/>
          <w:sz w:val="22"/>
          <w:szCs w:val="22"/>
          <w:lang w:val="en-GB"/>
        </w:rPr>
        <w:t xml:space="preserve">1. </w:t>
      </w:r>
      <w:r w:rsidRPr="2A374194" w:rsidR="568B95CB">
        <w:rPr>
          <w:rFonts w:ascii="Calibri" w:hAnsi="Calibri" w:eastAsia="Calibri" w:cs="Calibri"/>
          <w:b w:val="1"/>
          <w:bCs w:val="1"/>
          <w:noProof w:val="0"/>
          <w:sz w:val="22"/>
          <w:szCs w:val="22"/>
          <w:lang w:val="en-GB"/>
        </w:rPr>
        <w:t>BMJ Quality &amp; Safety – Balancing Stakeholder Needs in Healthcare Evaluation</w:t>
      </w:r>
    </w:p>
    <w:p w:rsidR="568B95CB" w:rsidP="2A374194" w:rsidRDefault="568B95CB" w14:paraId="29F69FCD" w14:textId="4E1A60D2">
      <w:pPr>
        <w:pStyle w:val="ListParagraph"/>
        <w:spacing w:before="0" w:beforeAutospacing="off" w:after="0" w:afterAutospacing="off" w:line="276" w:lineRule="auto"/>
        <w:ind w:left="720"/>
        <w:rPr>
          <w:rFonts w:ascii="Calibri" w:hAnsi="Calibri" w:eastAsia="Calibri" w:cs="Calibri"/>
          <w:strike w:val="0"/>
          <w:dstrike w:val="0"/>
          <w:noProof w:val="0"/>
          <w:color w:val="0000FF"/>
          <w:sz w:val="22"/>
          <w:szCs w:val="22"/>
          <w:u w:val="single"/>
          <w:lang w:val="en-GB"/>
        </w:rPr>
      </w:pPr>
      <w:r w:rsidRPr="2A374194" w:rsidR="568B95CB">
        <w:rPr>
          <w:rFonts w:ascii="Calibri" w:hAnsi="Calibri" w:eastAsia="Calibri" w:cs="Calibri"/>
          <w:b w:val="1"/>
          <w:bCs w:val="1"/>
          <w:noProof w:val="0"/>
          <w:sz w:val="22"/>
          <w:szCs w:val="22"/>
          <w:lang w:val="en-GB"/>
        </w:rPr>
        <w:t>Link:</w:t>
      </w:r>
      <w:r w:rsidRPr="2A374194" w:rsidR="568B95CB">
        <w:rPr>
          <w:rFonts w:ascii="Calibri" w:hAnsi="Calibri" w:eastAsia="Calibri" w:cs="Calibri"/>
          <w:noProof w:val="0"/>
          <w:sz w:val="22"/>
          <w:szCs w:val="22"/>
          <w:lang w:val="en-GB"/>
        </w:rPr>
        <w:t xml:space="preserve"> </w:t>
      </w:r>
      <w:hyperlink r:id="R17562d31de474cd0">
        <w:r w:rsidRPr="2A374194" w:rsidR="568B95CB">
          <w:rPr>
            <w:rStyle w:val="Hyperlink"/>
            <w:rFonts w:ascii="Calibri" w:hAnsi="Calibri" w:eastAsia="Calibri" w:cs="Calibri"/>
            <w:strike w:val="0"/>
            <w:dstrike w:val="0"/>
            <w:noProof w:val="0"/>
            <w:color w:val="0000FF"/>
            <w:sz w:val="22"/>
            <w:szCs w:val="22"/>
            <w:u w:val="single"/>
            <w:lang w:val="en-GB"/>
          </w:rPr>
          <w:t>BMJ Quality &amp; Safety</w:t>
        </w:r>
      </w:hyperlink>
    </w:p>
    <w:p w:rsidR="568B95CB" w:rsidP="2A374194" w:rsidRDefault="568B95CB" w14:paraId="325DC04D" w14:textId="749F990C">
      <w:pPr>
        <w:pStyle w:val="ListParagraph"/>
        <w:spacing w:before="0" w:beforeAutospacing="off" w:after="0" w:afterAutospacing="off" w:line="276" w:lineRule="auto"/>
        <w:ind w:left="720"/>
        <w:rPr>
          <w:rFonts w:ascii="Calibri" w:hAnsi="Calibri" w:eastAsia="Calibri" w:cs="Calibri"/>
          <w:noProof w:val="0"/>
          <w:sz w:val="22"/>
          <w:szCs w:val="22"/>
          <w:lang w:val="en-GB"/>
        </w:rPr>
      </w:pPr>
      <w:r w:rsidRPr="2A374194" w:rsidR="568B95CB">
        <w:rPr>
          <w:rFonts w:ascii="Calibri" w:hAnsi="Calibri" w:eastAsia="Calibri" w:cs="Calibri"/>
          <w:b w:val="1"/>
          <w:bCs w:val="1"/>
          <w:noProof w:val="0"/>
          <w:sz w:val="22"/>
          <w:szCs w:val="22"/>
          <w:lang w:val="en-GB"/>
        </w:rPr>
        <w:t>Why it matters:</w:t>
      </w:r>
      <w:r w:rsidRPr="2A374194" w:rsidR="568B95CB">
        <w:rPr>
          <w:rFonts w:ascii="Calibri" w:hAnsi="Calibri" w:eastAsia="Calibri" w:cs="Calibri"/>
          <w:noProof w:val="0"/>
          <w:sz w:val="22"/>
          <w:szCs w:val="22"/>
          <w:lang w:val="en-GB"/>
        </w:rPr>
        <w:t xml:space="preserve"> This article emphasizes that quality improvement efforts must reflect diverse stakeholder perspectives. It warns against </w:t>
      </w:r>
      <w:r w:rsidRPr="2A374194" w:rsidR="568B95CB">
        <w:rPr>
          <w:rFonts w:ascii="Calibri" w:hAnsi="Calibri" w:eastAsia="Calibri" w:cs="Calibri"/>
          <w:noProof w:val="0"/>
          <w:sz w:val="22"/>
          <w:szCs w:val="22"/>
          <w:lang w:val="en-GB"/>
        </w:rPr>
        <w:t>assuming that</w:t>
      </w:r>
      <w:r w:rsidRPr="2A374194" w:rsidR="568B95CB">
        <w:rPr>
          <w:rFonts w:ascii="Calibri" w:hAnsi="Calibri" w:eastAsia="Calibri" w:cs="Calibri"/>
          <w:noProof w:val="0"/>
          <w:sz w:val="22"/>
          <w:szCs w:val="22"/>
          <w:lang w:val="en-GB"/>
        </w:rPr>
        <w:t xml:space="preserve"> participation equals engagement and advocates for deeper, context-aware evaluation</w:t>
      </w:r>
      <w:r w:rsidRPr="2A374194" w:rsidR="08D9168B">
        <w:rPr>
          <w:rFonts w:ascii="Calibri" w:hAnsi="Calibri" w:eastAsia="Calibri" w:cs="Calibri"/>
          <w:noProof w:val="0"/>
          <w:sz w:val="22"/>
          <w:szCs w:val="22"/>
          <w:lang w:val="en-GB"/>
        </w:rPr>
        <w:t xml:space="preserve"> </w:t>
      </w:r>
      <w:r w:rsidRPr="2A374194" w:rsidR="568B95CB">
        <w:rPr>
          <w:rFonts w:ascii="Calibri" w:hAnsi="Calibri" w:eastAsia="Calibri" w:cs="Calibri"/>
          <w:noProof w:val="0"/>
          <w:sz w:val="22"/>
          <w:szCs w:val="22"/>
          <w:lang w:val="en-GB"/>
        </w:rPr>
        <w:t>echoing Pi Health’s need to go beyond surface metrics.</w:t>
      </w:r>
    </w:p>
    <w:p w:rsidR="568B95CB" w:rsidP="2A374194" w:rsidRDefault="568B95CB" w14:paraId="413524EA" w14:textId="46FCDB57">
      <w:pPr>
        <w:spacing w:before="0" w:beforeAutospacing="off" w:after="200" w:afterAutospacing="off" w:line="276" w:lineRule="auto"/>
      </w:pPr>
      <w:r w:rsidRPr="2A374194" w:rsidR="568B95CB">
        <w:rPr>
          <w:rFonts w:ascii="Calibri" w:hAnsi="Calibri" w:eastAsia="Calibri" w:cs="Calibri"/>
          <w:noProof w:val="0"/>
          <w:sz w:val="22"/>
          <w:szCs w:val="22"/>
          <w:lang w:val="en-GB"/>
        </w:rPr>
        <w:t xml:space="preserve">2. </w:t>
      </w:r>
      <w:r w:rsidRPr="2A374194" w:rsidR="568B95CB">
        <w:rPr>
          <w:rFonts w:ascii="Calibri" w:hAnsi="Calibri" w:eastAsia="Calibri" w:cs="Calibri"/>
          <w:b w:val="1"/>
          <w:bCs w:val="1"/>
          <w:noProof w:val="0"/>
          <w:sz w:val="22"/>
          <w:szCs w:val="22"/>
          <w:lang w:val="en-GB"/>
        </w:rPr>
        <w:t>I-STEM Toolkit – Implementation Stakeholder Engagement Model</w:t>
      </w:r>
    </w:p>
    <w:p w:rsidR="568B95CB" w:rsidP="2A374194" w:rsidRDefault="568B95CB" w14:paraId="3FCD5456" w14:textId="6F7D30CB">
      <w:pPr>
        <w:pStyle w:val="ListParagraph"/>
        <w:spacing w:before="0" w:beforeAutospacing="off" w:after="0" w:afterAutospacing="off" w:line="276" w:lineRule="auto"/>
        <w:ind w:left="720"/>
        <w:rPr>
          <w:rFonts w:ascii="Calibri" w:hAnsi="Calibri" w:eastAsia="Calibri" w:cs="Calibri"/>
          <w:strike w:val="0"/>
          <w:dstrike w:val="0"/>
          <w:noProof w:val="0"/>
          <w:color w:val="0000FF"/>
          <w:sz w:val="22"/>
          <w:szCs w:val="22"/>
          <w:u w:val="single"/>
          <w:lang w:val="en-GB"/>
        </w:rPr>
      </w:pPr>
      <w:r w:rsidRPr="2A374194" w:rsidR="568B95CB">
        <w:rPr>
          <w:rFonts w:ascii="Calibri" w:hAnsi="Calibri" w:eastAsia="Calibri" w:cs="Calibri"/>
          <w:b w:val="1"/>
          <w:bCs w:val="1"/>
          <w:noProof w:val="0"/>
          <w:sz w:val="22"/>
          <w:szCs w:val="22"/>
          <w:lang w:val="en-GB"/>
        </w:rPr>
        <w:t>Link:</w:t>
      </w:r>
      <w:r w:rsidRPr="2A374194" w:rsidR="568B95CB">
        <w:rPr>
          <w:rFonts w:ascii="Calibri" w:hAnsi="Calibri" w:eastAsia="Calibri" w:cs="Calibri"/>
          <w:noProof w:val="0"/>
          <w:sz w:val="22"/>
          <w:szCs w:val="22"/>
          <w:lang w:val="en-GB"/>
        </w:rPr>
        <w:t xml:space="preserve"> </w:t>
      </w:r>
      <w:hyperlink r:id="R61c48bb46b454167">
        <w:r w:rsidRPr="2A374194" w:rsidR="568B95CB">
          <w:rPr>
            <w:rStyle w:val="Hyperlink"/>
            <w:rFonts w:ascii="Calibri" w:hAnsi="Calibri" w:eastAsia="Calibri" w:cs="Calibri"/>
            <w:strike w:val="0"/>
            <w:dstrike w:val="0"/>
            <w:noProof w:val="0"/>
            <w:color w:val="0000FF"/>
            <w:sz w:val="22"/>
            <w:szCs w:val="22"/>
            <w:u w:val="single"/>
            <w:lang w:val="en-GB"/>
          </w:rPr>
          <w:t>NIHR ARC North East and North Cumbria</w:t>
        </w:r>
      </w:hyperlink>
    </w:p>
    <w:p w:rsidR="568B95CB" w:rsidP="2A374194" w:rsidRDefault="568B95CB" w14:paraId="1891791C" w14:textId="0C6EA7E3">
      <w:pPr>
        <w:pStyle w:val="ListParagraph"/>
        <w:spacing w:before="0" w:beforeAutospacing="off" w:after="0" w:afterAutospacing="off" w:line="276" w:lineRule="auto"/>
        <w:ind w:left="720"/>
        <w:rPr>
          <w:rFonts w:ascii="Calibri" w:hAnsi="Calibri" w:eastAsia="Calibri" w:cs="Calibri"/>
          <w:noProof w:val="0"/>
          <w:sz w:val="22"/>
          <w:szCs w:val="22"/>
          <w:lang w:val="en-GB"/>
        </w:rPr>
      </w:pPr>
      <w:r w:rsidRPr="2A374194" w:rsidR="568B95CB">
        <w:rPr>
          <w:rFonts w:ascii="Calibri" w:hAnsi="Calibri" w:eastAsia="Calibri" w:cs="Calibri"/>
          <w:b w:val="1"/>
          <w:bCs w:val="1"/>
          <w:noProof w:val="0"/>
          <w:sz w:val="22"/>
          <w:szCs w:val="22"/>
          <w:lang w:val="en-GB"/>
        </w:rPr>
        <w:t>Why it matters:</w:t>
      </w:r>
      <w:r w:rsidRPr="2A374194" w:rsidR="568B95CB">
        <w:rPr>
          <w:rFonts w:ascii="Calibri" w:hAnsi="Calibri" w:eastAsia="Calibri" w:cs="Calibri"/>
          <w:noProof w:val="0"/>
          <w:sz w:val="22"/>
          <w:szCs w:val="22"/>
          <w:lang w:val="en-GB"/>
        </w:rPr>
        <w:t xml:space="preserve"> The I-STEM toolkit offers a structured approach to stakeholder engagement in health innovation. It stresses iterative feedback, co-design, and adaptive planning—reinforcing the idea that engagement is a living process, not a static checklist.</w:t>
      </w:r>
    </w:p>
    <w:p w:rsidR="568B95CB" w:rsidP="2A374194" w:rsidRDefault="568B95CB" w14:paraId="59B64F45" w14:textId="58F3BB2A">
      <w:pPr>
        <w:spacing w:before="0" w:beforeAutospacing="off" w:after="200" w:afterAutospacing="off" w:line="276" w:lineRule="auto"/>
      </w:pPr>
      <w:r w:rsidRPr="2A374194" w:rsidR="568B95CB">
        <w:rPr>
          <w:rFonts w:ascii="Calibri" w:hAnsi="Calibri" w:eastAsia="Calibri" w:cs="Calibri"/>
          <w:noProof w:val="0"/>
          <w:sz w:val="22"/>
          <w:szCs w:val="22"/>
          <w:lang w:val="en-GB"/>
        </w:rPr>
        <w:t xml:space="preserve">3. </w:t>
      </w:r>
      <w:r w:rsidRPr="2A374194" w:rsidR="568B95CB">
        <w:rPr>
          <w:rFonts w:ascii="Calibri" w:hAnsi="Calibri" w:eastAsia="Calibri" w:cs="Calibri"/>
          <w:b w:val="1"/>
          <w:bCs w:val="1"/>
          <w:noProof w:val="0"/>
          <w:sz w:val="22"/>
          <w:szCs w:val="22"/>
          <w:lang w:val="en-GB"/>
        </w:rPr>
        <w:t>LinkedIn – The Feedback Loop in Digital Health</w:t>
      </w:r>
    </w:p>
    <w:p w:rsidR="568B95CB" w:rsidP="2A374194" w:rsidRDefault="568B95CB" w14:paraId="24FC740C" w14:textId="7B83327C">
      <w:pPr>
        <w:pStyle w:val="ListParagraph"/>
        <w:spacing w:before="0" w:beforeAutospacing="off" w:after="0" w:afterAutospacing="off" w:line="276" w:lineRule="auto"/>
        <w:ind w:left="720"/>
        <w:rPr>
          <w:rFonts w:ascii="Calibri" w:hAnsi="Calibri" w:eastAsia="Calibri" w:cs="Calibri"/>
          <w:strike w:val="0"/>
          <w:dstrike w:val="0"/>
          <w:noProof w:val="0"/>
          <w:color w:val="0000FF"/>
          <w:sz w:val="22"/>
          <w:szCs w:val="22"/>
          <w:u w:val="single"/>
          <w:lang w:val="en-GB"/>
        </w:rPr>
      </w:pPr>
      <w:r w:rsidRPr="2A374194" w:rsidR="568B95CB">
        <w:rPr>
          <w:rFonts w:ascii="Calibri" w:hAnsi="Calibri" w:eastAsia="Calibri" w:cs="Calibri"/>
          <w:b w:val="1"/>
          <w:bCs w:val="1"/>
          <w:noProof w:val="0"/>
          <w:sz w:val="22"/>
          <w:szCs w:val="22"/>
          <w:lang w:val="en-GB"/>
        </w:rPr>
        <w:t>Link:</w:t>
      </w:r>
      <w:r w:rsidRPr="2A374194" w:rsidR="568B95CB">
        <w:rPr>
          <w:rFonts w:ascii="Calibri" w:hAnsi="Calibri" w:eastAsia="Calibri" w:cs="Calibri"/>
          <w:noProof w:val="0"/>
          <w:sz w:val="22"/>
          <w:szCs w:val="22"/>
          <w:lang w:val="en-GB"/>
        </w:rPr>
        <w:t xml:space="preserve"> </w:t>
      </w:r>
      <w:hyperlink r:id="R4e5065f0045d48f0">
        <w:r w:rsidRPr="2A374194" w:rsidR="568B95CB">
          <w:rPr>
            <w:rStyle w:val="Hyperlink"/>
            <w:rFonts w:ascii="Calibri" w:hAnsi="Calibri" w:eastAsia="Calibri" w:cs="Calibri"/>
            <w:strike w:val="0"/>
            <w:dstrike w:val="0"/>
            <w:noProof w:val="0"/>
            <w:color w:val="0000FF"/>
            <w:sz w:val="22"/>
            <w:szCs w:val="22"/>
            <w:u w:val="single"/>
            <w:lang w:val="en-GB"/>
          </w:rPr>
          <w:t>Anton Dubov on LinkedIn</w:t>
        </w:r>
      </w:hyperlink>
    </w:p>
    <w:p w:rsidR="568B95CB" w:rsidP="2A374194" w:rsidRDefault="568B95CB" w14:paraId="36C245CD" w14:textId="447EF082">
      <w:pPr>
        <w:pStyle w:val="ListParagraph"/>
        <w:spacing w:before="0" w:beforeAutospacing="off" w:after="0" w:afterAutospacing="off" w:line="276" w:lineRule="auto"/>
        <w:ind w:left="720"/>
        <w:rPr>
          <w:rFonts w:ascii="Calibri" w:hAnsi="Calibri" w:eastAsia="Calibri" w:cs="Calibri"/>
          <w:noProof w:val="0"/>
          <w:sz w:val="22"/>
          <w:szCs w:val="22"/>
          <w:lang w:val="en-GB"/>
        </w:rPr>
      </w:pPr>
      <w:r w:rsidRPr="2A374194" w:rsidR="568B95CB">
        <w:rPr>
          <w:rFonts w:ascii="Calibri" w:hAnsi="Calibri" w:eastAsia="Calibri" w:cs="Calibri"/>
          <w:b w:val="1"/>
          <w:bCs w:val="1"/>
          <w:noProof w:val="0"/>
          <w:sz w:val="22"/>
          <w:szCs w:val="22"/>
          <w:lang w:val="en-GB"/>
        </w:rPr>
        <w:t>Why it matters:</w:t>
      </w:r>
      <w:r w:rsidRPr="2A374194" w:rsidR="568B95CB">
        <w:rPr>
          <w:rFonts w:ascii="Calibri" w:hAnsi="Calibri" w:eastAsia="Calibri" w:cs="Calibri"/>
          <w:noProof w:val="0"/>
          <w:sz w:val="22"/>
          <w:szCs w:val="22"/>
          <w:lang w:val="en-GB"/>
        </w:rPr>
        <w:t xml:space="preserve"> This piece highlights how continuous feedback loops drive adoption and clinical relevance in digital health. It argues that feedback should be treated as strategic intelligence, not just a reporting mechanism—aligning perfectly with Pi Health’s call for reflection, adaptation, and trust-building</w:t>
      </w:r>
    </w:p>
    <w:p w:rsidRPr="00190CEC" w:rsidR="00190CEC" w:rsidP="00190CEC" w:rsidRDefault="00190CEC" w14:paraId="1A9E6BD3" w14:textId="0A724E90">
      <w:pPr>
        <w:rPr>
          <w:lang w:val="en-GB"/>
        </w:rPr>
      </w:pPr>
    </w:p>
    <w:p w:rsidRPr="00190CEC" w:rsidR="00190CEC" w:rsidP="199BC9C1" w:rsidRDefault="00190CEC" w14:paraId="4A9B44E9" w14:textId="77777777" w14:noSpellErr="1">
      <w:pPr>
        <w:pStyle w:val="Heading2"/>
        <w:rPr>
          <w:lang w:val="en-GB"/>
        </w:rPr>
      </w:pPr>
      <w:bookmarkStart w:name="_Toc263784227" w:id="737219969"/>
      <w:r w:rsidRPr="199BC9C1" w:rsidR="00190CEC">
        <w:rPr>
          <w:lang w:val="en-GB"/>
        </w:rPr>
        <w:t>The Upside: When Engagement Works, Everyone Wins</w:t>
      </w:r>
      <w:bookmarkEnd w:id="737219969"/>
    </w:p>
    <w:p w:rsidRPr="00190CEC" w:rsidR="00190CEC" w:rsidP="00190CEC" w:rsidRDefault="00190CEC" w14:paraId="41AF6E85" w14:textId="0EDE4A1C">
      <w:pPr>
        <w:rPr>
          <w:lang w:val="en-GB"/>
        </w:rPr>
      </w:pPr>
      <w:r w:rsidRPr="00190CEC">
        <w:rPr>
          <w:lang w:val="en-GB"/>
        </w:rPr>
        <w:t>When stakeholder engagement is done well, the benefits are real</w:t>
      </w:r>
      <w:r w:rsidR="004F3D6D">
        <w:rPr>
          <w:lang w:val="en-GB"/>
        </w:rPr>
        <w:t xml:space="preserve"> </w:t>
      </w:r>
      <w:r w:rsidRPr="00190CEC">
        <w:rPr>
          <w:lang w:val="en-GB"/>
        </w:rPr>
        <w:t>and measurable:</w:t>
      </w:r>
    </w:p>
    <w:p w:rsidRPr="00190CEC" w:rsidR="00190CEC" w:rsidP="00190CEC" w:rsidRDefault="00190CEC" w14:paraId="022FAFEC" w14:textId="77777777">
      <w:pPr>
        <w:numPr>
          <w:ilvl w:val="0"/>
          <w:numId w:val="3"/>
        </w:numPr>
        <w:rPr>
          <w:lang w:val="en-GB"/>
        </w:rPr>
      </w:pPr>
      <w:r w:rsidRPr="00190CEC">
        <w:rPr>
          <w:b/>
          <w:bCs/>
          <w:lang w:val="en-GB"/>
        </w:rPr>
        <w:t>Better Products</w:t>
      </w:r>
      <w:r w:rsidRPr="00190CEC">
        <w:rPr>
          <w:lang w:val="en-GB"/>
        </w:rPr>
        <w:t>: Involving clinicians and patients early means the device is more likely to meet actual needs. That leads to smarter design, fewer revisions, and stronger adoption.</w:t>
      </w:r>
    </w:p>
    <w:p w:rsidRPr="00190CEC" w:rsidR="00190CEC" w:rsidP="00190CEC" w:rsidRDefault="00190CEC" w14:paraId="7A7CAEC6" w14:textId="0AEE76E2">
      <w:pPr>
        <w:numPr>
          <w:ilvl w:val="0"/>
          <w:numId w:val="3"/>
        </w:numPr>
        <w:rPr>
          <w:lang w:val="en-GB"/>
        </w:rPr>
      </w:pPr>
      <w:r w:rsidRPr="00190CEC">
        <w:rPr>
          <w:b/>
          <w:bCs/>
          <w:lang w:val="en-GB"/>
        </w:rPr>
        <w:t>Faster Progress</w:t>
      </w:r>
      <w:r w:rsidRPr="00190CEC">
        <w:rPr>
          <w:lang w:val="en-GB"/>
        </w:rPr>
        <w:t>: Clear roles and open communication reduce confusion, duplication, and delays. Everyone knows what they’re doing</w:t>
      </w:r>
      <w:r w:rsidR="004F3D6D">
        <w:rPr>
          <w:lang w:val="en-GB"/>
        </w:rPr>
        <w:t xml:space="preserve"> </w:t>
      </w:r>
      <w:r w:rsidRPr="00190CEC">
        <w:rPr>
          <w:lang w:val="en-GB"/>
        </w:rPr>
        <w:t>and why.</w:t>
      </w:r>
    </w:p>
    <w:p w:rsidRPr="00190CEC" w:rsidR="00190CEC" w:rsidP="00190CEC" w:rsidRDefault="00190CEC" w14:paraId="1C49CB0F" w14:textId="2C9808B2">
      <w:pPr>
        <w:numPr>
          <w:ilvl w:val="0"/>
          <w:numId w:val="3"/>
        </w:numPr>
        <w:rPr>
          <w:lang w:val="en-GB"/>
        </w:rPr>
      </w:pPr>
      <w:r w:rsidRPr="00190CEC">
        <w:rPr>
          <w:b/>
          <w:bCs/>
          <w:lang w:val="en-GB"/>
        </w:rPr>
        <w:t>Stronger Reputation</w:t>
      </w:r>
      <w:r w:rsidRPr="00190CEC">
        <w:rPr>
          <w:lang w:val="en-GB"/>
        </w:rPr>
        <w:t>: Transparency with regulators and healthcare partners builds credibility. In health tech, that’s not just valuable</w:t>
      </w:r>
      <w:r w:rsidR="004F3D6D">
        <w:rPr>
          <w:lang w:val="en-GB"/>
        </w:rPr>
        <w:t xml:space="preserve"> </w:t>
      </w:r>
      <w:r w:rsidRPr="00190CEC">
        <w:rPr>
          <w:lang w:val="en-GB"/>
        </w:rPr>
        <w:t>it’s essential.</w:t>
      </w:r>
    </w:p>
    <w:p w:rsidR="00190CEC" w:rsidP="00190CEC" w:rsidRDefault="00190CEC" w14:paraId="55FFC2DC" w14:textId="77777777">
      <w:pPr>
        <w:numPr>
          <w:ilvl w:val="0"/>
          <w:numId w:val="3"/>
        </w:numPr>
        <w:rPr>
          <w:lang w:val="en-GB"/>
        </w:rPr>
      </w:pPr>
      <w:r w:rsidRPr="00190CEC">
        <w:rPr>
          <w:b/>
          <w:bCs/>
          <w:lang w:val="en-GB"/>
        </w:rPr>
        <w:t>Happier Teams</w:t>
      </w:r>
      <w:r w:rsidRPr="00190CEC">
        <w:rPr>
          <w:lang w:val="en-GB"/>
        </w:rPr>
        <w:t>: When employees feel heard and involved, they’re more motivated, more collaborative, and more likely to stay.</w:t>
      </w:r>
    </w:p>
    <w:p w:rsidRPr="00190CEC" w:rsidR="004F3D6D" w:rsidP="004F3D6D" w:rsidRDefault="004F3D6D" w14:paraId="00279631" w14:textId="77777777">
      <w:pPr>
        <w:ind w:left="360"/>
        <w:rPr>
          <w:lang w:val="en-GB"/>
        </w:rPr>
      </w:pPr>
    </w:p>
    <w:p w:rsidRPr="00190CEC" w:rsidR="00190CEC" w:rsidP="00190CEC" w:rsidRDefault="00190CEC" w14:paraId="4FE3458B" w14:textId="52DAACA5">
      <w:pPr>
        <w:numPr>
          <w:ilvl w:val="0"/>
          <w:numId w:val="3"/>
        </w:numPr>
        <w:rPr>
          <w:lang w:val="en-GB"/>
        </w:rPr>
      </w:pPr>
      <w:r w:rsidRPr="00190CEC">
        <w:rPr>
          <w:b/>
          <w:bCs/>
          <w:lang w:val="en-GB"/>
        </w:rPr>
        <w:t>Healthier Finances</w:t>
      </w:r>
      <w:r w:rsidRPr="00190CEC">
        <w:rPr>
          <w:lang w:val="en-GB"/>
        </w:rPr>
        <w:t>: Engaged stakeholders reduce risk, improve adoption, and boost investor confidence</w:t>
      </w:r>
      <w:r w:rsidR="004F3D6D">
        <w:rPr>
          <w:lang w:val="en-GB"/>
        </w:rPr>
        <w:t xml:space="preserve"> </w:t>
      </w:r>
      <w:r w:rsidRPr="00190CEC">
        <w:rPr>
          <w:lang w:val="en-GB"/>
        </w:rPr>
        <w:t>all of which support long-term growth.</w:t>
      </w:r>
    </w:p>
    <w:p w:rsidR="00190CEC" w:rsidP="00190CEC" w:rsidRDefault="00190CEC" w14:paraId="5CEFB43F" w14:textId="5ABD7FCC">
      <w:pPr>
        <w:rPr>
          <w:lang w:val="en-GB"/>
        </w:rPr>
      </w:pPr>
      <w:r w:rsidRPr="00190CEC">
        <w:rPr>
          <w:lang w:val="en-GB"/>
        </w:rPr>
        <w:t>These aren’t just theoretical benefits. They’re practical outcomes that Pi Health can achieve</w:t>
      </w:r>
      <w:r w:rsidR="004F3D6D">
        <w:rPr>
          <w:lang w:val="en-GB"/>
        </w:rPr>
        <w:t xml:space="preserve"> </w:t>
      </w:r>
      <w:r w:rsidRPr="00190CEC">
        <w:rPr>
          <w:lang w:val="en-GB"/>
        </w:rPr>
        <w:t>if it stays focused, flexible, and intentional.</w:t>
      </w:r>
    </w:p>
    <w:p w:rsidRPr="00190CEC" w:rsidR="004F3D6D" w:rsidP="00190CEC" w:rsidRDefault="004F3D6D" w14:paraId="61117722" w14:textId="77777777">
      <w:pPr>
        <w:rPr>
          <w:lang w:val="en-GB"/>
        </w:rPr>
      </w:pPr>
    </w:p>
    <w:p w:rsidRPr="00190CEC" w:rsidR="00190CEC" w:rsidP="199BC9C1" w:rsidRDefault="00190CEC" w14:paraId="72E2AB0D" w14:noSpellErr="1" w14:textId="722056F2">
      <w:pPr>
        <w:pStyle w:val="Heading1"/>
        <w:rPr>
          <w:lang w:val="en-GB"/>
        </w:rPr>
      </w:pPr>
      <w:bookmarkStart w:name="_Toc321113199" w:id="1957868184"/>
      <w:r w:rsidRPr="199BC9C1" w:rsidR="7ED71790">
        <w:rPr>
          <w:lang w:val="en-GB"/>
        </w:rPr>
        <w:t>Conclusion</w:t>
      </w:r>
      <w:bookmarkEnd w:id="1957868184"/>
    </w:p>
    <w:p w:rsidRPr="00190CEC" w:rsidR="00190CEC" w:rsidP="199BC9C1" w:rsidRDefault="00190CEC" w14:paraId="7CC90D93" w14:textId="77777777" w14:noSpellErr="1">
      <w:pPr>
        <w:pStyle w:val="Heading2"/>
        <w:rPr>
          <w:lang w:val="en-GB"/>
        </w:rPr>
      </w:pPr>
      <w:bookmarkStart w:name="_Toc1346324591" w:id="2012797606"/>
      <w:r w:rsidRPr="199BC9C1" w:rsidR="00190CEC">
        <w:rPr>
          <w:lang w:val="en-GB"/>
        </w:rPr>
        <w:t>Final Reflection: From Frameworks to Relationships</w:t>
      </w:r>
      <w:bookmarkEnd w:id="2012797606"/>
    </w:p>
    <w:p w:rsidRPr="00190CEC" w:rsidR="00190CEC" w:rsidP="00190CEC" w:rsidRDefault="00190CEC" w14:paraId="481ACA58" w14:textId="77777777">
      <w:pPr>
        <w:rPr>
          <w:lang w:val="en-GB"/>
        </w:rPr>
      </w:pPr>
      <w:r w:rsidRPr="00190CEC">
        <w:rPr>
          <w:lang w:val="en-GB"/>
        </w:rPr>
        <w:t>Frameworks like RACI, TKI, and stakeholder maps are useful tools. They bring structure and clarity to complex projects. But they’re not guarantees. They don’t replace the need for empathy, adaptability, and human connection.</w:t>
      </w:r>
    </w:p>
    <w:p w:rsidRPr="00190CEC" w:rsidR="00190CEC" w:rsidP="00190CEC" w:rsidRDefault="00190CEC" w14:paraId="46D17B3E" w14:textId="61ABB6A8">
      <w:pPr>
        <w:rPr>
          <w:lang w:val="en-GB"/>
        </w:rPr>
      </w:pPr>
      <w:r w:rsidRPr="00190CEC">
        <w:rPr>
          <w:lang w:val="en-GB"/>
        </w:rPr>
        <w:t>Pi Health’s wearable launch is ambitious, and the stakes are high. But with thoughtful engagement, honest conflict resolution, and a culture of continuous learning, the company can turn complexity into strength</w:t>
      </w:r>
      <w:r w:rsidR="004F3D6D">
        <w:rPr>
          <w:lang w:val="en-GB"/>
        </w:rPr>
        <w:t xml:space="preserve"> </w:t>
      </w:r>
      <w:r w:rsidRPr="00190CEC">
        <w:rPr>
          <w:lang w:val="en-GB"/>
        </w:rPr>
        <w:t>and build something that truly makes a difference.</w:t>
      </w:r>
    </w:p>
    <w:p w:rsidR="00190CEC" w:rsidP="00190CEC" w:rsidRDefault="00190CEC" w14:paraId="6D71DB3A" w14:textId="77777777" w14:noSpellErr="1">
      <w:pPr>
        <w:rPr>
          <w:lang w:val="en-GB"/>
        </w:rPr>
      </w:pPr>
      <w:r w:rsidRPr="2A374194" w:rsidR="00190CEC">
        <w:rPr>
          <w:lang w:val="en-GB"/>
        </w:rPr>
        <w:t xml:space="preserve">Because in the end, successful innovation </w:t>
      </w:r>
      <w:r w:rsidRPr="2A374194" w:rsidR="00190CEC">
        <w:rPr>
          <w:lang w:val="en-GB"/>
        </w:rPr>
        <w:t>isn’t</w:t>
      </w:r>
      <w:r w:rsidRPr="2A374194" w:rsidR="00190CEC">
        <w:rPr>
          <w:lang w:val="en-GB"/>
        </w:rPr>
        <w:t xml:space="preserve"> </w:t>
      </w:r>
      <w:r w:rsidRPr="2A374194" w:rsidR="00190CEC">
        <w:rPr>
          <w:lang w:val="en-GB"/>
        </w:rPr>
        <w:t>just about technology</w:t>
      </w:r>
      <w:r w:rsidRPr="2A374194" w:rsidR="00190CEC">
        <w:rPr>
          <w:lang w:val="en-GB"/>
        </w:rPr>
        <w:t xml:space="preserve">. </w:t>
      </w:r>
      <w:r w:rsidRPr="2A374194" w:rsidR="00190CEC">
        <w:rPr>
          <w:lang w:val="en-GB"/>
        </w:rPr>
        <w:t>It’s</w:t>
      </w:r>
      <w:r w:rsidRPr="2A374194" w:rsidR="00190CEC">
        <w:rPr>
          <w:lang w:val="en-GB"/>
        </w:rPr>
        <w:t xml:space="preserve"> about people. And when people feel heard, respected, and involved, </w:t>
      </w:r>
      <w:r w:rsidRPr="2A374194" w:rsidR="00190CEC">
        <w:rPr>
          <w:lang w:val="en-GB"/>
        </w:rPr>
        <w:t>great things</w:t>
      </w:r>
      <w:r w:rsidRPr="2A374194" w:rsidR="00190CEC">
        <w:rPr>
          <w:lang w:val="en-GB"/>
        </w:rPr>
        <w:t xml:space="preserve"> happen.</w:t>
      </w:r>
    </w:p>
    <w:p w:rsidR="2A374194" w:rsidP="2A374194" w:rsidRDefault="2A374194" w14:paraId="60031DBA" w14:textId="3BC88E2E">
      <w:pPr>
        <w:rPr>
          <w:lang w:val="en-GB"/>
        </w:rPr>
      </w:pPr>
    </w:p>
    <w:p w:rsidR="2A374194" w:rsidP="2A374194" w:rsidRDefault="2A374194" w14:paraId="05DC53F0" w14:textId="46B69C9A">
      <w:pPr>
        <w:rPr>
          <w:lang w:val="en-GB"/>
        </w:rPr>
      </w:pPr>
    </w:p>
    <w:p w:rsidR="004F3D6D" w:rsidP="00190CEC" w:rsidRDefault="004F3D6D" w14:paraId="6F6B9441" w14:textId="77777777">
      <w:pPr>
        <w:rPr>
          <w:lang w:val="en-GB"/>
        </w:rPr>
      </w:pPr>
    </w:p>
    <w:p w:rsidR="004F3D6D" w:rsidP="00190CEC" w:rsidRDefault="004F3D6D" w14:paraId="225578F6" w14:textId="77777777">
      <w:pPr>
        <w:rPr>
          <w:lang w:val="en-GB"/>
        </w:rPr>
      </w:pPr>
    </w:p>
    <w:p w:rsidR="00EB1AAB" w:rsidP="00EB1AAB" w:rsidRDefault="00EB1AAB" w14:paraId="3D174AF3" w14:textId="77777777">
      <w:pPr>
        <w:rPr>
          <w:lang w:val="en-GB"/>
        </w:rPr>
      </w:pPr>
    </w:p>
    <w:p w:rsidRPr="004F3D6D" w:rsidR="00EB1AAB" w:rsidP="199BC9C1" w:rsidRDefault="00EB1AAB" w14:paraId="41A32D3C" w14:textId="77777777" w14:noSpellErr="1">
      <w:pPr>
        <w:pStyle w:val="Heading1"/>
        <w:rPr>
          <w:b w:val="1"/>
          <w:bCs w:val="1"/>
          <w:sz w:val="28"/>
          <w:szCs w:val="28"/>
          <w:lang w:val="en-GB"/>
        </w:rPr>
      </w:pPr>
      <w:bookmarkStart w:name="_Toc1087570126" w:id="314485068"/>
      <w:r w:rsidRPr="199BC9C1" w:rsidR="00EB1AAB">
        <w:rPr>
          <w:lang w:val="en-GB"/>
        </w:rPr>
        <w:t>References</w:t>
      </w:r>
      <w:bookmarkEnd w:id="314485068"/>
      <w:r w:rsidRPr="199BC9C1" w:rsidR="00EB1AAB">
        <w:rPr>
          <w:lang w:val="en-GB"/>
        </w:rPr>
        <w:t>  </w:t>
      </w:r>
    </w:p>
    <w:p w:rsidRPr="005C2129" w:rsidR="00EB1AAB" w:rsidP="00EB1AAB" w:rsidRDefault="00EB1AAB" w14:paraId="2C0B3249" w14:textId="7D4BBCB7">
      <w:pPr>
        <w:numPr>
          <w:ilvl w:val="0"/>
          <w:numId w:val="4"/>
        </w:numPr>
        <w:rPr>
          <w:lang w:val="en-GB"/>
        </w:rPr>
      </w:pPr>
      <w:r w:rsidRPr="030767A1">
        <w:rPr>
          <w:lang w:val="en-GB"/>
        </w:rPr>
        <w:t>Baldwin, Cave, and Lodge (2022) offer a comprehensive look at how regulation works in </w:t>
      </w:r>
      <w:r w:rsidRPr="030767A1" w:rsidR="66EAEE0F">
        <w:rPr>
          <w:lang w:val="en-GB"/>
        </w:rPr>
        <w:t>practice a</w:t>
      </w:r>
      <w:r w:rsidRPr="030767A1">
        <w:rPr>
          <w:lang w:val="en-GB"/>
        </w:rPr>
        <w:t> great resource for understanding the rules that shape healthcare innovation. </w:t>
      </w:r>
    </w:p>
    <w:p w:rsidRPr="005C2129" w:rsidR="00EB1AAB" w:rsidP="00EB1AAB" w:rsidRDefault="00EB1AAB" w14:paraId="4494EC0B" w14:textId="77777777">
      <w:pPr>
        <w:numPr>
          <w:ilvl w:val="0"/>
          <w:numId w:val="5"/>
        </w:numPr>
        <w:rPr>
          <w:lang w:val="en-GB"/>
        </w:rPr>
      </w:pPr>
      <w:r w:rsidRPr="005C2129">
        <w:rPr>
          <w:lang w:val="en-GB"/>
        </w:rPr>
        <w:t>Bourne (2015) provides a practical model for managing stakeholder relationships, which is especially useful for organisations launching new products. </w:t>
      </w:r>
    </w:p>
    <w:p w:rsidRPr="005C2129" w:rsidR="00EB1AAB" w:rsidP="00EB1AAB" w:rsidRDefault="00EB1AAB" w14:paraId="20302D73" w14:textId="77777777">
      <w:pPr>
        <w:numPr>
          <w:ilvl w:val="0"/>
          <w:numId w:val="6"/>
        </w:numPr>
        <w:rPr>
          <w:lang w:val="en-GB"/>
        </w:rPr>
      </w:pPr>
      <w:r w:rsidRPr="005C2129">
        <w:rPr>
          <w:lang w:val="en-GB"/>
        </w:rPr>
        <w:t>The Department of Health and Social Care (2023) outlines the UK’s digital health strategy, highlighting how technology can transform patient care. </w:t>
      </w:r>
    </w:p>
    <w:p w:rsidRPr="005C2129" w:rsidR="00EB1AAB" w:rsidP="00EB1AAB" w:rsidRDefault="00EB1AAB" w14:paraId="734C6B3E" w14:textId="77777777">
      <w:pPr>
        <w:numPr>
          <w:ilvl w:val="0"/>
          <w:numId w:val="7"/>
        </w:numPr>
        <w:rPr>
          <w:lang w:val="en-GB"/>
        </w:rPr>
      </w:pPr>
      <w:r w:rsidRPr="005C2129">
        <w:rPr>
          <w:lang w:val="en-GB"/>
        </w:rPr>
        <w:t>Edvardsson, </w:t>
      </w:r>
      <w:proofErr w:type="spellStart"/>
      <w:r w:rsidRPr="005C2129">
        <w:rPr>
          <w:lang w:val="en-GB"/>
        </w:rPr>
        <w:t>Tronvoll</w:t>
      </w:r>
      <w:proofErr w:type="spellEnd"/>
      <w:r w:rsidRPr="005C2129">
        <w:rPr>
          <w:lang w:val="en-GB"/>
        </w:rPr>
        <w:t>, and Gruber (2012) explore how value is co-created between service providers and users  a key idea for patient-centred design. </w:t>
      </w:r>
    </w:p>
    <w:p w:rsidRPr="005C2129" w:rsidR="00EB1AAB" w:rsidP="00EB1AAB" w:rsidRDefault="00EB1AAB" w14:paraId="55BB1AE4" w14:textId="77777777">
      <w:pPr>
        <w:numPr>
          <w:ilvl w:val="0"/>
          <w:numId w:val="8"/>
        </w:numPr>
        <w:rPr>
          <w:lang w:val="en-GB"/>
        </w:rPr>
      </w:pPr>
      <w:r w:rsidRPr="005C2129">
        <w:rPr>
          <w:lang w:val="en-GB"/>
        </w:rPr>
        <w:t>Freeman (1984) is a foundational voice in stakeholder theory, arguing that businesses should consider the needs of all stakeholders, not just shareholders. </w:t>
      </w:r>
    </w:p>
    <w:p w:rsidRPr="005C2129" w:rsidR="00EB1AAB" w:rsidP="00EB1AAB" w:rsidRDefault="00EB1AAB" w14:paraId="06036FED" w14:textId="77777777">
      <w:pPr>
        <w:numPr>
          <w:ilvl w:val="0"/>
          <w:numId w:val="9"/>
        </w:numPr>
        <w:rPr>
          <w:lang w:val="en-GB"/>
        </w:rPr>
      </w:pPr>
      <w:r w:rsidRPr="005C2129">
        <w:rPr>
          <w:lang w:val="en-GB"/>
        </w:rPr>
        <w:t>The Information Commissioner’s Office (2024) gives guidance on data protection in digital health  essential reading for any tech company handling patient data. </w:t>
      </w:r>
    </w:p>
    <w:p w:rsidRPr="005C2129" w:rsidR="00EB1AAB" w:rsidP="00EB1AAB" w:rsidRDefault="00EB1AAB" w14:paraId="4CE99B6F" w14:textId="77777777">
      <w:pPr>
        <w:numPr>
          <w:ilvl w:val="0"/>
          <w:numId w:val="10"/>
        </w:numPr>
        <w:rPr>
          <w:lang w:val="en-GB"/>
        </w:rPr>
      </w:pPr>
      <w:r w:rsidRPr="005C2129">
        <w:rPr>
          <w:lang w:val="en-GB"/>
        </w:rPr>
        <w:t>Kahn (1990) dives into what makes people feel engaged or disengaged at work  helpful for thinking about internal team dynamics. </w:t>
      </w:r>
    </w:p>
    <w:p w:rsidRPr="005C2129" w:rsidR="00EB1AAB" w:rsidP="00EB1AAB" w:rsidRDefault="00EB1AAB" w14:paraId="38FCBDFA" w14:textId="77777777">
      <w:pPr>
        <w:numPr>
          <w:ilvl w:val="0"/>
          <w:numId w:val="11"/>
        </w:numPr>
        <w:rPr>
          <w:lang w:val="en-GB"/>
        </w:rPr>
      </w:pPr>
      <w:r w:rsidRPr="005C2129">
        <w:rPr>
          <w:lang w:val="en-GB"/>
        </w:rPr>
        <w:t>Lewin (1951) introduced field theory, which helps explain how people behave in different environments  still relevant today in change management. </w:t>
      </w:r>
    </w:p>
    <w:p w:rsidRPr="005C2129" w:rsidR="00EB1AAB" w:rsidP="00EB1AAB" w:rsidRDefault="00EB1AAB" w14:paraId="5310F2B1" w14:textId="77777777">
      <w:pPr>
        <w:numPr>
          <w:ilvl w:val="0"/>
          <w:numId w:val="12"/>
        </w:numPr>
        <w:rPr>
          <w:lang w:val="en-GB"/>
        </w:rPr>
      </w:pPr>
      <w:r w:rsidRPr="005C2129">
        <w:rPr>
          <w:lang w:val="en-GB"/>
        </w:rPr>
        <w:t>Mendelow (1991) developed a framework for mapping stakeholders based on their power and interest  a tool still widely used in strategic planning. </w:t>
      </w:r>
    </w:p>
    <w:p w:rsidRPr="005C2129" w:rsidR="00EB1AAB" w:rsidP="00EB1AAB" w:rsidRDefault="00EB1AAB" w14:paraId="4C3B4618" w14:textId="77777777">
      <w:pPr>
        <w:numPr>
          <w:ilvl w:val="0"/>
          <w:numId w:val="13"/>
        </w:numPr>
        <w:rPr>
          <w:lang w:val="en-GB"/>
        </w:rPr>
      </w:pPr>
      <w:r w:rsidRPr="005C2129">
        <w:rPr>
          <w:lang w:val="en-GB"/>
        </w:rPr>
        <w:t>Mitchell, Agle, and Wood (1997) offer a theory for identifying and prioritising stakeholders, which helps organisations decide who to focus on and why. </w:t>
      </w:r>
    </w:p>
    <w:p w:rsidRPr="005C2129" w:rsidR="00EB1AAB" w:rsidP="00EB1AAB" w:rsidRDefault="00EB1AAB" w14:paraId="18FCDFBC" w14:textId="77777777">
      <w:pPr>
        <w:numPr>
          <w:ilvl w:val="0"/>
          <w:numId w:val="14"/>
        </w:numPr>
        <w:rPr>
          <w:lang w:val="en-GB"/>
        </w:rPr>
      </w:pPr>
      <w:r w:rsidRPr="005C2129">
        <w:rPr>
          <w:lang w:val="en-GB"/>
        </w:rPr>
        <w:t>NHS Digital (2024) sets out the UK’s strategy for digital health and care, showing where the system is heading. </w:t>
      </w:r>
    </w:p>
    <w:p w:rsidRPr="005C2129" w:rsidR="00EB1AAB" w:rsidP="00EB1AAB" w:rsidRDefault="00EB1AAB" w14:paraId="3820010B" w14:textId="77777777">
      <w:pPr>
        <w:numPr>
          <w:ilvl w:val="0"/>
          <w:numId w:val="15"/>
        </w:numPr>
        <w:rPr>
          <w:lang w:val="en-GB"/>
        </w:rPr>
      </w:pPr>
      <w:r w:rsidRPr="005C2129">
        <w:rPr>
          <w:lang w:val="en-GB"/>
        </w:rPr>
        <w:t>NICE (2023) provides evidence standards for digital health technologies  a must-follow for companies seeking NHS adoption. </w:t>
      </w:r>
    </w:p>
    <w:p w:rsidRPr="005C2129" w:rsidR="00EB1AAB" w:rsidP="00EB1AAB" w:rsidRDefault="00EB1AAB" w14:paraId="3ED4E35B" w14:textId="77777777">
      <w:pPr>
        <w:numPr>
          <w:ilvl w:val="0"/>
          <w:numId w:val="16"/>
        </w:numPr>
        <w:rPr>
          <w:lang w:val="en-GB"/>
        </w:rPr>
      </w:pPr>
      <w:r w:rsidRPr="005C2129">
        <w:rPr>
          <w:lang w:val="en-GB"/>
        </w:rPr>
        <w:t>Pi Health (2025) shares its mission and approach on its official website, offering insight into the company’s values and goals. </w:t>
      </w:r>
    </w:p>
    <w:p w:rsidRPr="005C2129" w:rsidR="00EB1AAB" w:rsidP="00EB1AAB" w:rsidRDefault="00EB1AAB" w14:paraId="0822E42B" w14:textId="77777777">
      <w:pPr>
        <w:numPr>
          <w:ilvl w:val="0"/>
          <w:numId w:val="17"/>
        </w:numPr>
        <w:rPr>
          <w:lang w:val="en-GB"/>
        </w:rPr>
      </w:pPr>
      <w:r w:rsidRPr="005C2129">
        <w:rPr>
          <w:lang w:val="en-GB"/>
        </w:rPr>
        <w:t>PMI (2021) outlines best practices in project management  a go-to guide for structuring complex product launches. </w:t>
      </w:r>
    </w:p>
    <w:p w:rsidRPr="005C2129" w:rsidR="00EB1AAB" w:rsidP="00EB1AAB" w:rsidRDefault="00EB1AAB" w14:paraId="3D97EB63" w14:textId="77777777">
      <w:pPr>
        <w:numPr>
          <w:ilvl w:val="0"/>
          <w:numId w:val="18"/>
        </w:numPr>
        <w:rPr>
          <w:lang w:val="en-GB"/>
        </w:rPr>
      </w:pPr>
      <w:r w:rsidRPr="005C2129">
        <w:rPr>
          <w:lang w:val="en-GB"/>
        </w:rPr>
        <w:t>Porter (2008) explains the five competitive forces that shape strategy a classic framework for understanding market dynamics. </w:t>
      </w:r>
    </w:p>
    <w:p w:rsidRPr="005C2129" w:rsidR="00EB1AAB" w:rsidP="00EB1AAB" w:rsidRDefault="00EB1AAB" w14:paraId="082DFD6D" w14:textId="77777777">
      <w:pPr>
        <w:numPr>
          <w:ilvl w:val="0"/>
          <w:numId w:val="19"/>
        </w:numPr>
        <w:rPr>
          <w:lang w:val="en-GB"/>
        </w:rPr>
      </w:pPr>
      <w:r w:rsidRPr="005C2129">
        <w:rPr>
          <w:lang w:val="en-GB"/>
        </w:rPr>
        <w:t>Rigby, Sutherland, and Takeuchi (2016) discuss how agile methods can help organisations stay flexible and responsive. </w:t>
      </w:r>
    </w:p>
    <w:p w:rsidRPr="005C2129" w:rsidR="00EB1AAB" w:rsidP="00EB1AAB" w:rsidRDefault="00EB1AAB" w14:paraId="675FE482" w14:textId="77777777">
      <w:pPr>
        <w:numPr>
          <w:ilvl w:val="0"/>
          <w:numId w:val="20"/>
        </w:numPr>
        <w:rPr>
          <w:lang w:val="en-GB"/>
        </w:rPr>
      </w:pPr>
      <w:r w:rsidRPr="005C2129">
        <w:rPr>
          <w:lang w:val="en-GB"/>
        </w:rPr>
        <w:t>Shannon and Weaver (1949) laid the groundwork for modern communication theory  still relevant for thinking about how information flows between stakeholders. </w:t>
      </w:r>
    </w:p>
    <w:p w:rsidRPr="005C2129" w:rsidR="00EB1AAB" w:rsidP="00EB1AAB" w:rsidRDefault="00EB1AAB" w14:paraId="64CE4BFB" w14:textId="77777777">
      <w:pPr>
        <w:numPr>
          <w:ilvl w:val="0"/>
          <w:numId w:val="21"/>
        </w:numPr>
        <w:rPr>
          <w:lang w:val="en-GB"/>
        </w:rPr>
      </w:pPr>
      <w:r w:rsidRPr="005C2129">
        <w:rPr>
          <w:lang w:val="en-GB"/>
        </w:rPr>
        <w:t>Thomas and Kilmann (1974) developed a model for understanding conflict styles  useful for managing disagreements in teams or partnerships. </w:t>
      </w:r>
    </w:p>
    <w:p w:rsidRPr="005C2129" w:rsidR="00EB1AAB" w:rsidP="00EB1AAB" w:rsidRDefault="00EB1AAB" w14:paraId="5945C695" w14:textId="77777777">
      <w:pPr>
        <w:numPr>
          <w:ilvl w:val="0"/>
          <w:numId w:val="22"/>
        </w:numPr>
        <w:rPr>
          <w:lang w:val="en-GB"/>
        </w:rPr>
      </w:pPr>
      <w:r w:rsidRPr="005C2129">
        <w:rPr>
          <w:lang w:val="en-GB"/>
        </w:rPr>
        <w:t>Tuckman (1965) introduced the stages of group development  forming, storming, norming, and performing  a helpful lens for team growth. </w:t>
      </w:r>
    </w:p>
    <w:p w:rsidRPr="00190CEC" w:rsidR="00BB3C0A" w:rsidP="00190CEC" w:rsidRDefault="00BB3C0A" w14:paraId="054D73F2" w14:textId="77777777">
      <w:pPr>
        <w:rPr>
          <w:lang w:val="en-GB"/>
        </w:rPr>
      </w:pPr>
    </w:p>
    <w:p w:rsidRPr="00DD4792" w:rsidR="008334D6" w:rsidP="00DD4792" w:rsidRDefault="008334D6" w14:paraId="4D12A7AB" w14:textId="77777777">
      <w:pPr>
        <w:rPr>
          <w:lang w:val="en-GB"/>
        </w:rPr>
      </w:pPr>
    </w:p>
    <w:p w:rsidRPr="00013654" w:rsidR="00013654" w:rsidP="00013654" w:rsidRDefault="00013654" w14:paraId="00F18C4B" w14:textId="77777777">
      <w:pPr>
        <w:rPr>
          <w:lang w:val="en-GB"/>
        </w:rPr>
      </w:pPr>
    </w:p>
    <w:p w:rsidRPr="00013654" w:rsidR="00013654" w:rsidP="00013654" w:rsidRDefault="00013654" w14:paraId="14CF0AA3" w14:textId="77777777">
      <w:pPr>
        <w:rPr>
          <w:lang w:val="en-GB"/>
        </w:rPr>
      </w:pPr>
    </w:p>
    <w:p w:rsidR="00396EA3" w:rsidRDefault="00396EA3" w14:paraId="64995B5E" w14:textId="77777777"/>
    <w:sectPr w:rsidR="00396EA3">
      <w:pgSz w:w="12240" w:h="15840" w:orient="portrait"/>
      <w:pgMar w:top="1440" w:right="1440" w:bottom="1440" w:left="1440" w:header="708" w:footer="708" w:gutter="0"/>
      <w:cols w:space="708"/>
      <w:docGrid w:linePitch="360"/>
      <w:headerReference w:type="default" r:id="Rcdcd6efe95234b9e"/>
      <w:footerReference w:type="default" r:id="R72c80ff33dcb46c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99BC9C1" w:rsidTr="199BC9C1" w14:paraId="3144FA95">
      <w:trPr>
        <w:trHeight w:val="300"/>
      </w:trPr>
      <w:tc>
        <w:tcPr>
          <w:tcW w:w="3120" w:type="dxa"/>
          <w:tcMar/>
        </w:tcPr>
        <w:p w:rsidR="199BC9C1" w:rsidP="199BC9C1" w:rsidRDefault="199BC9C1" w14:paraId="0E0D522F" w14:textId="19BD704E">
          <w:pPr>
            <w:pStyle w:val="Header"/>
            <w:bidi w:val="0"/>
            <w:ind w:left="-115"/>
            <w:jc w:val="left"/>
          </w:pPr>
        </w:p>
      </w:tc>
      <w:tc>
        <w:tcPr>
          <w:tcW w:w="3120" w:type="dxa"/>
          <w:tcMar/>
        </w:tcPr>
        <w:p w:rsidR="199BC9C1" w:rsidP="199BC9C1" w:rsidRDefault="199BC9C1" w14:paraId="31D13226" w14:textId="716C62F4">
          <w:pPr>
            <w:pStyle w:val="Header"/>
            <w:bidi w:val="0"/>
            <w:jc w:val="center"/>
          </w:pPr>
        </w:p>
      </w:tc>
      <w:tc>
        <w:tcPr>
          <w:tcW w:w="3120" w:type="dxa"/>
          <w:tcMar/>
        </w:tcPr>
        <w:p w:rsidR="199BC9C1" w:rsidP="199BC9C1" w:rsidRDefault="199BC9C1" w14:paraId="4D5C2B69" w14:textId="1C8FF1D5">
          <w:pPr>
            <w:pStyle w:val="Header"/>
            <w:bidi w:val="0"/>
            <w:ind w:right="-115"/>
            <w:jc w:val="right"/>
          </w:pPr>
          <w:r>
            <w:fldChar w:fldCharType="begin"/>
          </w:r>
          <w:r>
            <w:instrText xml:space="preserve">PAGE</w:instrText>
          </w:r>
          <w:r>
            <w:fldChar w:fldCharType="separate"/>
          </w:r>
          <w:r>
            <w:fldChar w:fldCharType="end"/>
          </w:r>
        </w:p>
      </w:tc>
    </w:tr>
  </w:tbl>
  <w:p w:rsidR="199BC9C1" w:rsidP="199BC9C1" w:rsidRDefault="199BC9C1" w14:paraId="4C4A4768" w14:textId="2EA9A83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99BC9C1" w:rsidTr="199BC9C1" w14:paraId="57B4EF88">
      <w:trPr>
        <w:trHeight w:val="300"/>
      </w:trPr>
      <w:tc>
        <w:tcPr>
          <w:tcW w:w="3120" w:type="dxa"/>
          <w:tcMar/>
        </w:tcPr>
        <w:p w:rsidR="199BC9C1" w:rsidP="199BC9C1" w:rsidRDefault="199BC9C1" w14:paraId="79A64687" w14:textId="3020C43D">
          <w:pPr>
            <w:pStyle w:val="Header"/>
            <w:bidi w:val="0"/>
            <w:ind w:left="-115"/>
            <w:jc w:val="left"/>
          </w:pPr>
        </w:p>
      </w:tc>
      <w:tc>
        <w:tcPr>
          <w:tcW w:w="3120" w:type="dxa"/>
          <w:tcMar/>
        </w:tcPr>
        <w:p w:rsidR="199BC9C1" w:rsidP="199BC9C1" w:rsidRDefault="199BC9C1" w14:paraId="21C32D1E" w14:textId="79AB958D">
          <w:pPr>
            <w:pStyle w:val="Header"/>
            <w:bidi w:val="0"/>
            <w:jc w:val="center"/>
          </w:pPr>
        </w:p>
      </w:tc>
      <w:tc>
        <w:tcPr>
          <w:tcW w:w="3120" w:type="dxa"/>
          <w:tcMar/>
        </w:tcPr>
        <w:p w:rsidR="199BC9C1" w:rsidP="199BC9C1" w:rsidRDefault="199BC9C1" w14:paraId="1A17677E" w14:textId="7499DA67">
          <w:pPr>
            <w:pStyle w:val="Header"/>
            <w:bidi w:val="0"/>
            <w:ind w:right="-115"/>
            <w:jc w:val="right"/>
          </w:pPr>
        </w:p>
      </w:tc>
    </w:tr>
  </w:tbl>
  <w:p w:rsidR="199BC9C1" w:rsidP="199BC9C1" w:rsidRDefault="199BC9C1" w14:paraId="0E041300" w14:textId="5330C94F">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0">
    <w:nsid w:val="61200f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a0282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70394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3034b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18e41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75a1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6d2f6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690d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7F7103"/>
    <w:multiLevelType w:val="multilevel"/>
    <w:tmpl w:val="A31CF6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12F4562A"/>
    <w:multiLevelType w:val="multilevel"/>
    <w:tmpl w:val="9CC602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4E42374"/>
    <w:multiLevelType w:val="multilevel"/>
    <w:tmpl w:val="7F729E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9701EFB"/>
    <w:multiLevelType w:val="multilevel"/>
    <w:tmpl w:val="555AC8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C9E19AF"/>
    <w:multiLevelType w:val="multilevel"/>
    <w:tmpl w:val="F8A208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E8B7118"/>
    <w:multiLevelType w:val="multilevel"/>
    <w:tmpl w:val="CC9AD5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2D7114DC"/>
    <w:multiLevelType w:val="multilevel"/>
    <w:tmpl w:val="CCE4E1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323D09FE"/>
    <w:multiLevelType w:val="multilevel"/>
    <w:tmpl w:val="31AE4E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2D95C82"/>
    <w:multiLevelType w:val="multilevel"/>
    <w:tmpl w:val="72A24D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3B4E633B"/>
    <w:multiLevelType w:val="multilevel"/>
    <w:tmpl w:val="230E3A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47595B19"/>
    <w:multiLevelType w:val="multilevel"/>
    <w:tmpl w:val="3E1AD6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4C291555"/>
    <w:multiLevelType w:val="multilevel"/>
    <w:tmpl w:val="34200E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4F1B0085"/>
    <w:multiLevelType w:val="multilevel"/>
    <w:tmpl w:val="432C3F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52D31CE3"/>
    <w:multiLevelType w:val="multilevel"/>
    <w:tmpl w:val="BAAAB0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54BB52E4"/>
    <w:multiLevelType w:val="multilevel"/>
    <w:tmpl w:val="5260BF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6F954DF"/>
    <w:multiLevelType w:val="multilevel"/>
    <w:tmpl w:val="70BAF1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5D4A1F03"/>
    <w:multiLevelType w:val="multilevel"/>
    <w:tmpl w:val="E7146E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5FDA0684"/>
    <w:multiLevelType w:val="multilevel"/>
    <w:tmpl w:val="4EE63C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72532418"/>
    <w:multiLevelType w:val="multilevel"/>
    <w:tmpl w:val="EC52BC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73C76730"/>
    <w:multiLevelType w:val="multilevel"/>
    <w:tmpl w:val="C2EC7A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75E06518"/>
    <w:multiLevelType w:val="multilevel"/>
    <w:tmpl w:val="21C013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7AAD191D"/>
    <w:multiLevelType w:val="multilevel"/>
    <w:tmpl w:val="41E2D6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7DC000E0"/>
    <w:multiLevelType w:val="multilevel"/>
    <w:tmpl w:val="7FE27E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1" w16cid:durableId="373508884">
    <w:abstractNumId w:val="3"/>
  </w:num>
  <w:num w:numId="2" w16cid:durableId="531695269">
    <w:abstractNumId w:val="7"/>
  </w:num>
  <w:num w:numId="3" w16cid:durableId="1202085597">
    <w:abstractNumId w:val="14"/>
  </w:num>
  <w:num w:numId="4" w16cid:durableId="921259476">
    <w:abstractNumId w:val="11"/>
  </w:num>
  <w:num w:numId="5" w16cid:durableId="712966414">
    <w:abstractNumId w:val="19"/>
  </w:num>
  <w:num w:numId="6" w16cid:durableId="722405688">
    <w:abstractNumId w:val="4"/>
  </w:num>
  <w:num w:numId="7" w16cid:durableId="1648318513">
    <w:abstractNumId w:val="17"/>
  </w:num>
  <w:num w:numId="8" w16cid:durableId="917979319">
    <w:abstractNumId w:val="2"/>
  </w:num>
  <w:num w:numId="9" w16cid:durableId="527528657">
    <w:abstractNumId w:val="20"/>
  </w:num>
  <w:num w:numId="10" w16cid:durableId="846747731">
    <w:abstractNumId w:val="0"/>
  </w:num>
  <w:num w:numId="11" w16cid:durableId="1661423170">
    <w:abstractNumId w:val="8"/>
  </w:num>
  <w:num w:numId="12" w16cid:durableId="1513185472">
    <w:abstractNumId w:val="22"/>
  </w:num>
  <w:num w:numId="13" w16cid:durableId="1876386207">
    <w:abstractNumId w:val="18"/>
  </w:num>
  <w:num w:numId="14" w16cid:durableId="2052419207">
    <w:abstractNumId w:val="13"/>
  </w:num>
  <w:num w:numId="15" w16cid:durableId="795022852">
    <w:abstractNumId w:val="1"/>
  </w:num>
  <w:num w:numId="16" w16cid:durableId="885263046">
    <w:abstractNumId w:val="15"/>
  </w:num>
  <w:num w:numId="17" w16cid:durableId="582647294">
    <w:abstractNumId w:val="21"/>
  </w:num>
  <w:num w:numId="18" w16cid:durableId="622151281">
    <w:abstractNumId w:val="10"/>
  </w:num>
  <w:num w:numId="19" w16cid:durableId="319584225">
    <w:abstractNumId w:val="5"/>
  </w:num>
  <w:num w:numId="20" w16cid:durableId="22486929">
    <w:abstractNumId w:val="12"/>
  </w:num>
  <w:num w:numId="21" w16cid:durableId="650788776">
    <w:abstractNumId w:val="6"/>
  </w:num>
  <w:num w:numId="22" w16cid:durableId="483395705">
    <w:abstractNumId w:val="16"/>
  </w:num>
  <w:num w:numId="23" w16cid:durableId="160939000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654"/>
    <w:rsid w:val="00006D91"/>
    <w:rsid w:val="00013654"/>
    <w:rsid w:val="000252F7"/>
    <w:rsid w:val="00190CEC"/>
    <w:rsid w:val="001A5188"/>
    <w:rsid w:val="001C7C92"/>
    <w:rsid w:val="002E7FA2"/>
    <w:rsid w:val="00311421"/>
    <w:rsid w:val="00322B7F"/>
    <w:rsid w:val="00394174"/>
    <w:rsid w:val="00396EA3"/>
    <w:rsid w:val="003B6452"/>
    <w:rsid w:val="004F3D6D"/>
    <w:rsid w:val="005C2129"/>
    <w:rsid w:val="005D43BE"/>
    <w:rsid w:val="00635682"/>
    <w:rsid w:val="006818C3"/>
    <w:rsid w:val="006A3096"/>
    <w:rsid w:val="006E25C3"/>
    <w:rsid w:val="007521E9"/>
    <w:rsid w:val="00802625"/>
    <w:rsid w:val="008334D6"/>
    <w:rsid w:val="0093124B"/>
    <w:rsid w:val="00982C41"/>
    <w:rsid w:val="00AC733B"/>
    <w:rsid w:val="00AC78A8"/>
    <w:rsid w:val="00AEC6C4"/>
    <w:rsid w:val="00B00E0E"/>
    <w:rsid w:val="00BB3C0A"/>
    <w:rsid w:val="00C0630A"/>
    <w:rsid w:val="00DD042A"/>
    <w:rsid w:val="00DD4792"/>
    <w:rsid w:val="00E03B5C"/>
    <w:rsid w:val="00E344CA"/>
    <w:rsid w:val="00E47F3B"/>
    <w:rsid w:val="00E81F91"/>
    <w:rsid w:val="00E82752"/>
    <w:rsid w:val="00E97F11"/>
    <w:rsid w:val="00EB1AAB"/>
    <w:rsid w:val="01AA18DA"/>
    <w:rsid w:val="030767A1"/>
    <w:rsid w:val="04A46FDA"/>
    <w:rsid w:val="0684CEE9"/>
    <w:rsid w:val="07DFFFE0"/>
    <w:rsid w:val="07FF7AE2"/>
    <w:rsid w:val="08D9168B"/>
    <w:rsid w:val="09E03B2E"/>
    <w:rsid w:val="0A0F0210"/>
    <w:rsid w:val="0C94DB3C"/>
    <w:rsid w:val="100B6F54"/>
    <w:rsid w:val="15018EE9"/>
    <w:rsid w:val="162A24AD"/>
    <w:rsid w:val="16355FC1"/>
    <w:rsid w:val="17CB3719"/>
    <w:rsid w:val="199BC9C1"/>
    <w:rsid w:val="19BA8FD1"/>
    <w:rsid w:val="19D84E55"/>
    <w:rsid w:val="1A131485"/>
    <w:rsid w:val="1C54D2C9"/>
    <w:rsid w:val="1CCFD79C"/>
    <w:rsid w:val="1E1BAD6D"/>
    <w:rsid w:val="1ED27D3C"/>
    <w:rsid w:val="2015E00C"/>
    <w:rsid w:val="23425402"/>
    <w:rsid w:val="251CF8E5"/>
    <w:rsid w:val="25659719"/>
    <w:rsid w:val="26C4C827"/>
    <w:rsid w:val="27ECA27C"/>
    <w:rsid w:val="2A374194"/>
    <w:rsid w:val="2C649F72"/>
    <w:rsid w:val="2D22F42A"/>
    <w:rsid w:val="2E58A198"/>
    <w:rsid w:val="2F0B211A"/>
    <w:rsid w:val="2F8C6BDD"/>
    <w:rsid w:val="30375B22"/>
    <w:rsid w:val="321A94B3"/>
    <w:rsid w:val="32B96262"/>
    <w:rsid w:val="339FCCCC"/>
    <w:rsid w:val="34626A18"/>
    <w:rsid w:val="35B1289B"/>
    <w:rsid w:val="361CC8CC"/>
    <w:rsid w:val="383ADB1D"/>
    <w:rsid w:val="392C20AD"/>
    <w:rsid w:val="3A412793"/>
    <w:rsid w:val="3BAF4098"/>
    <w:rsid w:val="410A88E8"/>
    <w:rsid w:val="42341828"/>
    <w:rsid w:val="43E3CD36"/>
    <w:rsid w:val="478AFDB4"/>
    <w:rsid w:val="4DB897FE"/>
    <w:rsid w:val="4FA345EB"/>
    <w:rsid w:val="568B95CB"/>
    <w:rsid w:val="56FE7A05"/>
    <w:rsid w:val="5AE8885D"/>
    <w:rsid w:val="613B0AE3"/>
    <w:rsid w:val="64EFB437"/>
    <w:rsid w:val="654901DD"/>
    <w:rsid w:val="65B3CF17"/>
    <w:rsid w:val="66EAEE0F"/>
    <w:rsid w:val="67B36311"/>
    <w:rsid w:val="67CD2C41"/>
    <w:rsid w:val="69655F42"/>
    <w:rsid w:val="69B694C0"/>
    <w:rsid w:val="6B25C4E5"/>
    <w:rsid w:val="6BC4A4D5"/>
    <w:rsid w:val="6CF35891"/>
    <w:rsid w:val="6FFBA6AC"/>
    <w:rsid w:val="7472AEAC"/>
    <w:rsid w:val="769EAAFE"/>
    <w:rsid w:val="7AC4E416"/>
    <w:rsid w:val="7BAD338F"/>
    <w:rsid w:val="7E0B56FB"/>
    <w:rsid w:val="7E8CEA40"/>
    <w:rsid w:val="7ED7179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EC62FA5"/>
  <w15:chartTrackingRefBased/>
  <w15:docId w15:val="{2E262D6A-B34B-4889-B92A-001CD450B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13654"/>
    <w:pPr>
      <w:keepNext/>
      <w:keepLines/>
      <w:spacing w:before="360" w:after="80"/>
      <w:outlineLvl w:val="0"/>
    </w:pPr>
    <w:rPr>
      <w:rFonts w:asciiTheme="majorHAnsi" w:hAnsiTheme="majorHAnsi" w:eastAsiaTheme="majorEastAsia"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013654"/>
    <w:pPr>
      <w:keepNext/>
      <w:keepLines/>
      <w:spacing w:before="160" w:after="80"/>
      <w:outlineLvl w:val="1"/>
    </w:pPr>
    <w:rPr>
      <w:rFonts w:asciiTheme="majorHAnsi" w:hAnsiTheme="majorHAnsi" w:eastAsiaTheme="majorEastAsia"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1365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1365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1365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136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36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36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365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13654"/>
    <w:rPr>
      <w:rFonts w:asciiTheme="majorHAnsi" w:hAnsiTheme="majorHAnsi" w:eastAsiaTheme="majorEastAsia" w:cstheme="majorBidi"/>
      <w:color w:val="365F91" w:themeColor="accent1" w:themeShade="BF"/>
      <w:sz w:val="40"/>
      <w:szCs w:val="40"/>
    </w:rPr>
  </w:style>
  <w:style w:type="character" w:styleId="Heading2Char" w:customStyle="1">
    <w:name w:val="Heading 2 Char"/>
    <w:basedOn w:val="DefaultParagraphFont"/>
    <w:link w:val="Heading2"/>
    <w:uiPriority w:val="9"/>
    <w:semiHidden/>
    <w:rsid w:val="00013654"/>
    <w:rPr>
      <w:rFonts w:asciiTheme="majorHAnsi" w:hAnsiTheme="majorHAnsi" w:eastAsiaTheme="majorEastAsia" w:cstheme="majorBidi"/>
      <w:color w:val="365F91" w:themeColor="accent1" w:themeShade="BF"/>
      <w:sz w:val="32"/>
      <w:szCs w:val="32"/>
    </w:rPr>
  </w:style>
  <w:style w:type="character" w:styleId="Heading3Char" w:customStyle="1">
    <w:name w:val="Heading 3 Char"/>
    <w:basedOn w:val="DefaultParagraphFont"/>
    <w:link w:val="Heading3"/>
    <w:uiPriority w:val="9"/>
    <w:semiHidden/>
    <w:rsid w:val="00013654"/>
    <w:rPr>
      <w:rFonts w:eastAsiaTheme="majorEastAsia" w:cstheme="majorBidi"/>
      <w:color w:val="365F91" w:themeColor="accent1" w:themeShade="BF"/>
      <w:sz w:val="28"/>
      <w:szCs w:val="28"/>
    </w:rPr>
  </w:style>
  <w:style w:type="character" w:styleId="Heading4Char" w:customStyle="1">
    <w:name w:val="Heading 4 Char"/>
    <w:basedOn w:val="DefaultParagraphFont"/>
    <w:link w:val="Heading4"/>
    <w:uiPriority w:val="9"/>
    <w:semiHidden/>
    <w:rsid w:val="00013654"/>
    <w:rPr>
      <w:rFonts w:eastAsiaTheme="majorEastAsia" w:cstheme="majorBidi"/>
      <w:i/>
      <w:iCs/>
      <w:color w:val="365F91" w:themeColor="accent1" w:themeShade="BF"/>
    </w:rPr>
  </w:style>
  <w:style w:type="character" w:styleId="Heading5Char" w:customStyle="1">
    <w:name w:val="Heading 5 Char"/>
    <w:basedOn w:val="DefaultParagraphFont"/>
    <w:link w:val="Heading5"/>
    <w:uiPriority w:val="9"/>
    <w:semiHidden/>
    <w:rsid w:val="00013654"/>
    <w:rPr>
      <w:rFonts w:eastAsiaTheme="majorEastAsia" w:cstheme="majorBidi"/>
      <w:color w:val="365F91" w:themeColor="accent1" w:themeShade="BF"/>
    </w:rPr>
  </w:style>
  <w:style w:type="character" w:styleId="Heading6Char" w:customStyle="1">
    <w:name w:val="Heading 6 Char"/>
    <w:basedOn w:val="DefaultParagraphFont"/>
    <w:link w:val="Heading6"/>
    <w:uiPriority w:val="9"/>
    <w:semiHidden/>
    <w:rsid w:val="0001365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1365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1365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13654"/>
    <w:rPr>
      <w:rFonts w:eastAsiaTheme="majorEastAsia" w:cstheme="majorBidi"/>
      <w:color w:val="272727" w:themeColor="text1" w:themeTint="D8"/>
    </w:rPr>
  </w:style>
  <w:style w:type="paragraph" w:styleId="Title">
    <w:name w:val="Title"/>
    <w:basedOn w:val="Normal"/>
    <w:next w:val="Normal"/>
    <w:link w:val="TitleChar"/>
    <w:uiPriority w:val="10"/>
    <w:qFormat/>
    <w:rsid w:val="0001365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1365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13654"/>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136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3654"/>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013654"/>
    <w:rPr>
      <w:i/>
      <w:iCs/>
      <w:color w:val="404040" w:themeColor="text1" w:themeTint="BF"/>
    </w:rPr>
  </w:style>
  <w:style w:type="paragraph" w:styleId="ListParagraph">
    <w:name w:val="List Paragraph"/>
    <w:basedOn w:val="Normal"/>
    <w:uiPriority w:val="34"/>
    <w:qFormat/>
    <w:rsid w:val="00013654"/>
    <w:pPr>
      <w:ind w:left="720"/>
      <w:contextualSpacing/>
    </w:pPr>
  </w:style>
  <w:style w:type="character" w:styleId="IntenseEmphasis">
    <w:name w:val="Intense Emphasis"/>
    <w:basedOn w:val="DefaultParagraphFont"/>
    <w:uiPriority w:val="21"/>
    <w:qFormat/>
    <w:rsid w:val="00013654"/>
    <w:rPr>
      <w:i/>
      <w:iCs/>
      <w:color w:val="365F91" w:themeColor="accent1" w:themeShade="BF"/>
    </w:rPr>
  </w:style>
  <w:style w:type="paragraph" w:styleId="IntenseQuote">
    <w:name w:val="Intense Quote"/>
    <w:basedOn w:val="Normal"/>
    <w:next w:val="Normal"/>
    <w:link w:val="IntenseQuoteChar"/>
    <w:uiPriority w:val="30"/>
    <w:qFormat/>
    <w:rsid w:val="00013654"/>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sid w:val="00013654"/>
    <w:rPr>
      <w:i/>
      <w:iCs/>
      <w:color w:val="365F91" w:themeColor="accent1" w:themeShade="BF"/>
    </w:rPr>
  </w:style>
  <w:style w:type="character" w:styleId="IntenseReference">
    <w:name w:val="Intense Reference"/>
    <w:basedOn w:val="DefaultParagraphFont"/>
    <w:uiPriority w:val="32"/>
    <w:qFormat/>
    <w:rsid w:val="00013654"/>
    <w:rPr>
      <w:b/>
      <w:bCs/>
      <w:smallCaps/>
      <w:color w:val="365F91" w:themeColor="accent1" w:themeShade="BF"/>
      <w:spacing w:val="5"/>
    </w:rPr>
  </w:style>
  <w:style w:type="paragraph" w:styleId="Header">
    <w:uiPriority w:val="99"/>
    <w:name w:val="header"/>
    <w:basedOn w:val="Normal"/>
    <w:unhideWhenUsed/>
    <w:rsid w:val="199BC9C1"/>
    <w:pPr>
      <w:tabs>
        <w:tab w:val="center" w:leader="none" w:pos="4680"/>
        <w:tab w:val="right" w:leader="none" w:pos="9360"/>
      </w:tabs>
      <w:spacing w:after="0" w:line="240" w:lineRule="auto"/>
    </w:pPr>
  </w:style>
  <w:style w:type="paragraph" w:styleId="Footer">
    <w:uiPriority w:val="99"/>
    <w:name w:val="footer"/>
    <w:basedOn w:val="Normal"/>
    <w:unhideWhenUsed/>
    <w:rsid w:val="199BC9C1"/>
    <w:pPr>
      <w:tabs>
        <w:tab w:val="center" w:leader="none" w:pos="4680"/>
        <w:tab w:val="right" w:leader="none" w:pos="9360"/>
      </w:tabs>
      <w:spacing w:after="0" w:line="240" w:lineRule="auto"/>
    </w:pPr>
  </w:style>
  <w:style w:type="paragraph" w:styleId="TOC1">
    <w:uiPriority w:val="39"/>
    <w:name w:val="toc 1"/>
    <w:basedOn w:val="Normal"/>
    <w:next w:val="Normal"/>
    <w:unhideWhenUsed/>
    <w:rsid w:val="199BC9C1"/>
    <w:pPr>
      <w:spacing w:after="100"/>
    </w:pPr>
  </w:style>
  <w:style w:type="character" w:styleId="Hyperlink">
    <w:uiPriority w:val="99"/>
    <w:name w:val="Hyperlink"/>
    <w:basedOn w:val="DefaultParagraphFont"/>
    <w:unhideWhenUsed/>
    <w:rsid w:val="199BC9C1"/>
    <w:rPr>
      <w:color w:val="0000FF"/>
      <w:u w:val="single"/>
    </w:rPr>
  </w:style>
  <w:style w:type="paragraph" w:styleId="TOC2">
    <w:uiPriority w:val="39"/>
    <w:name w:val="toc 2"/>
    <w:basedOn w:val="Normal"/>
    <w:next w:val="Normal"/>
    <w:unhideWhenUsed/>
    <w:rsid w:val="199BC9C1"/>
    <w:pPr>
      <w:spacing w:after="100"/>
      <w:ind w:left="220"/>
    </w:pPr>
  </w:style>
  <w:style w:type="paragraph" w:styleId="TOC3">
    <w:uiPriority w:val="39"/>
    <w:name w:val="toc 3"/>
    <w:basedOn w:val="Normal"/>
    <w:next w:val="Normal"/>
    <w:unhideWhenUsed/>
    <w:rsid w:val="199BC9C1"/>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eader" Target="header.xml" Id="Rcdcd6efe95234b9e" /><Relationship Type="http://schemas.openxmlformats.org/officeDocument/2006/relationships/footer" Target="footer.xml" Id="R72c80ff33dcb46cf" /><Relationship Type="http://schemas.openxmlformats.org/officeDocument/2006/relationships/hyperlink" Target="https://csr.education/csr-process/mapping-stakeholders-strategic-approach/" TargetMode="External" Id="R33b3432f48cc4647" /><Relationship Type="http://schemas.openxmlformats.org/officeDocument/2006/relationships/hyperlink" Target="https://infomineo.com/blog/five-stakeholder-mapping-models-every-professional-should-know/" TargetMode="External" Id="R333bec7251db46fe" /><Relationship Type="http://schemas.openxmlformats.org/officeDocument/2006/relationships/hyperlink" Target="https://www.icaew.com/technical/corporate-governance/new-boardroom-agenda/guide-to-stakeholder-mapping-and-engagement" TargetMode="External" Id="R653064c39f4f4426" /><Relationship Type="http://schemas.openxmlformats.org/officeDocument/2006/relationships/hyperlink" Target="https://csr.education/csr-process/mapping-stakeholders-strategic-approach/" TargetMode="External" Id="Rec9de9a2cd3d407d" /><Relationship Type="http://schemas.openxmlformats.org/officeDocument/2006/relationships/hyperlink" Target="https://www.stakeholdermap.com/stakeholder-SWOT.html" TargetMode="External" Id="Rc2e0cc46b8d44673" /><Relationship Type="http://schemas.openxmlformats.org/officeDocument/2006/relationships/hyperlink" Target="https://qualitysafety.bmj.com/content/25/10/803" TargetMode="External" Id="R17562d31de474cd0" /><Relationship Type="http://schemas.openxmlformats.org/officeDocument/2006/relationships/hyperlink" Target="https://arc-nenc.nihr.ac.uk/wp-content/uploads/2024/11/I-STEM-Toolkit-Oct-2024-v1.pdf" TargetMode="External" Id="R61c48bb46b454167" /><Relationship Type="http://schemas.openxmlformats.org/officeDocument/2006/relationships/hyperlink" Target="https://www.linkedin.com/pulse/feedback-loop-how-use-client-insights-continuously-improve-dubov-80rqc" TargetMode="External" Id="R4e5065f0045d48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Adnan Rasheed Khan (2408399)</dc:creator>
  <keywords/>
  <dc:description/>
  <lastModifiedBy>Adnan Rasheed Khan (2408399)</lastModifiedBy>
  <revision>31</revision>
  <dcterms:created xsi:type="dcterms:W3CDTF">2025-10-31T16:38:00.0000000Z</dcterms:created>
  <dcterms:modified xsi:type="dcterms:W3CDTF">2025-11-01T18:19:20.8516069Z</dcterms:modified>
</coreProperties>
</file>