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7063FC"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304448E2" w14:textId="77777777" w:rsidR="00AC7BBD" w:rsidRPr="00D94174" w:rsidRDefault="00AC7BBD" w:rsidP="00AC7BBD">
      <w:pPr>
        <w:tabs>
          <w:tab w:val="left" w:pos="6540"/>
        </w:tabs>
        <w:rPr>
          <w:rFonts w:cs="Arial"/>
          <w:b/>
          <w:bCs/>
          <w:sz w:val="28"/>
          <w:szCs w:val="28"/>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Pr="00D94174">
        <w:rPr>
          <w:rFonts w:ascii="Arial" w:hAnsi="Arial" w:cs="Arial"/>
          <w:sz w:val="28"/>
          <w:szCs w:val="28"/>
        </w:rPr>
        <w:t>Introduction to Independent Research Skills</w:t>
      </w:r>
      <w:r w:rsidRPr="00D94174">
        <w:rPr>
          <w:rFonts w:cs="Arial"/>
          <w:b/>
          <w:bCs/>
          <w:sz w:val="28"/>
          <w:szCs w:val="28"/>
        </w:rPr>
        <w:t xml:space="preserve"> </w:t>
      </w:r>
    </w:p>
    <w:p w14:paraId="46ACC258" w14:textId="77777777" w:rsidR="00AC7BBD" w:rsidRPr="00D94174" w:rsidRDefault="00AC7BBD" w:rsidP="00AC7BBD">
      <w:pPr>
        <w:tabs>
          <w:tab w:val="left" w:pos="6540"/>
        </w:tabs>
        <w:spacing w:line="360" w:lineRule="auto"/>
        <w:rPr>
          <w:rFonts w:ascii="Arial" w:hAnsi="Arial" w:cs="Arial"/>
          <w:sz w:val="28"/>
          <w:szCs w:val="28"/>
        </w:rPr>
      </w:pPr>
    </w:p>
    <w:p w14:paraId="6CA8854E" w14:textId="77777777" w:rsidR="00AC7BBD" w:rsidRPr="00CD33A8" w:rsidRDefault="00AC7BBD" w:rsidP="00AC7BBD">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Pr>
          <w:rFonts w:ascii="Arial" w:hAnsi="Arial" w:cs="Arial"/>
          <w:sz w:val="28"/>
          <w:szCs w:val="28"/>
        </w:rPr>
        <w:t xml:space="preserve"> </w:t>
      </w:r>
      <w:r w:rsidRPr="00D94174">
        <w:rPr>
          <w:rFonts w:ascii="Arial" w:hAnsi="Arial" w:cs="Arial"/>
          <w:sz w:val="28"/>
          <w:szCs w:val="28"/>
        </w:rPr>
        <w:t>BMHP5019_LON</w:t>
      </w:r>
    </w:p>
    <w:p w14:paraId="180EEB4A" w14:textId="77777777" w:rsidR="00AC7BBD" w:rsidRPr="00CD33A8" w:rsidRDefault="00AC7BBD" w:rsidP="00AC7BBD">
      <w:pPr>
        <w:tabs>
          <w:tab w:val="left" w:pos="6540"/>
        </w:tabs>
        <w:spacing w:line="360" w:lineRule="auto"/>
        <w:rPr>
          <w:rFonts w:ascii="Arial" w:hAnsi="Arial" w:cs="Arial"/>
          <w:b/>
          <w:bCs/>
          <w:sz w:val="28"/>
          <w:szCs w:val="28"/>
          <w:lang w:val="nl-NL"/>
        </w:rPr>
      </w:pPr>
    </w:p>
    <w:p w14:paraId="0F65235E" w14:textId="77777777" w:rsidR="00AC7BBD" w:rsidRPr="00CD33A8" w:rsidRDefault="00AC7BBD" w:rsidP="00AC7BBD">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Pr>
          <w:rFonts w:ascii="Arial" w:hAnsi="Arial" w:cs="Arial"/>
          <w:sz w:val="28"/>
          <w:szCs w:val="28"/>
          <w:lang w:val="nl-NL"/>
        </w:rPr>
        <w:t xml:space="preserve"> Luz Karina Barba Oliveira</w:t>
      </w:r>
    </w:p>
    <w:p w14:paraId="53EC6315" w14:textId="77777777" w:rsidR="00AC7BBD" w:rsidRDefault="00AC7BBD" w:rsidP="00AC7BBD">
      <w:pPr>
        <w:tabs>
          <w:tab w:val="left" w:pos="6540"/>
        </w:tabs>
        <w:spacing w:line="360" w:lineRule="auto"/>
        <w:rPr>
          <w:rFonts w:ascii="Arial" w:hAnsi="Arial" w:cs="Arial"/>
          <w:b/>
          <w:bCs/>
          <w:sz w:val="28"/>
          <w:szCs w:val="28"/>
          <w:lang w:val="nl-NL"/>
        </w:rPr>
      </w:pPr>
    </w:p>
    <w:p w14:paraId="360A8A71" w14:textId="756C39A5" w:rsidR="00AC7BBD" w:rsidRPr="00CD33A8" w:rsidRDefault="00AC7BBD" w:rsidP="00AC7BBD">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Pr>
          <w:rFonts w:ascii="Arial" w:hAnsi="Arial" w:cs="Arial"/>
          <w:sz w:val="28"/>
          <w:szCs w:val="28"/>
          <w:lang w:val="nl-NL"/>
        </w:rPr>
        <w:t xml:space="preserve"> 2416438</w:t>
      </w:r>
    </w:p>
    <w:p w14:paraId="4D6DDADB" w14:textId="77777777" w:rsidR="00AC7BBD" w:rsidRPr="00CD33A8" w:rsidRDefault="00AC7BBD" w:rsidP="00AC7BBD">
      <w:pPr>
        <w:tabs>
          <w:tab w:val="left" w:pos="6540"/>
        </w:tabs>
        <w:spacing w:line="360" w:lineRule="auto"/>
        <w:rPr>
          <w:rFonts w:ascii="Arial" w:hAnsi="Arial" w:cs="Arial"/>
          <w:sz w:val="28"/>
          <w:szCs w:val="28"/>
          <w:lang w:val="nl-NL"/>
        </w:rPr>
      </w:pPr>
    </w:p>
    <w:p w14:paraId="0A71DA2E" w14:textId="77777777" w:rsidR="00AC7BBD" w:rsidRPr="00CD33A8" w:rsidRDefault="00AC7BBD" w:rsidP="00AC7BBD">
      <w:pPr>
        <w:tabs>
          <w:tab w:val="left" w:pos="6540"/>
        </w:tabs>
        <w:spacing w:line="360" w:lineRule="auto"/>
        <w:rPr>
          <w:rFonts w:ascii="Arial" w:hAnsi="Arial" w:cs="Arial"/>
          <w:sz w:val="28"/>
          <w:szCs w:val="28"/>
        </w:rPr>
      </w:pPr>
      <w:r>
        <w:rPr>
          <w:rFonts w:ascii="Arial" w:hAnsi="Arial" w:cs="Arial"/>
          <w:b/>
          <w:bCs/>
          <w:sz w:val="28"/>
          <w:szCs w:val="28"/>
        </w:rPr>
        <w:t>Lecturer’s name</w:t>
      </w:r>
      <w:r w:rsidRPr="00CD33A8">
        <w:rPr>
          <w:rFonts w:ascii="Arial" w:hAnsi="Arial" w:cs="Arial"/>
          <w:sz w:val="28"/>
          <w:szCs w:val="28"/>
        </w:rPr>
        <w:t>:</w:t>
      </w:r>
      <w:r>
        <w:rPr>
          <w:rFonts w:ascii="Arial" w:hAnsi="Arial" w:cs="Arial"/>
          <w:sz w:val="28"/>
          <w:szCs w:val="28"/>
        </w:rPr>
        <w:t xml:space="preserve"> </w:t>
      </w:r>
      <w:r w:rsidRPr="00D94174">
        <w:rPr>
          <w:rFonts w:ascii="Arial" w:hAnsi="Arial" w:cs="Arial"/>
          <w:sz w:val="28"/>
          <w:szCs w:val="28"/>
        </w:rPr>
        <w:t> Eleni Koutsogeorgou-Andreou</w:t>
      </w:r>
    </w:p>
    <w:p w14:paraId="14210A66" w14:textId="00667391" w:rsidR="00AC7BBD" w:rsidRPr="00CD33A8" w:rsidRDefault="00AC7BBD" w:rsidP="00AC7BBD">
      <w:pPr>
        <w:tabs>
          <w:tab w:val="left" w:pos="6540"/>
        </w:tabs>
        <w:spacing w:line="360" w:lineRule="auto"/>
        <w:rPr>
          <w:rFonts w:ascii="Arial" w:hAnsi="Arial" w:cs="Arial"/>
          <w:sz w:val="28"/>
          <w:szCs w:val="28"/>
        </w:rPr>
      </w:pP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AA7396">
      <w:pPr>
        <w:pStyle w:val="Heading1"/>
      </w:pPr>
      <w:r w:rsidRPr="00CD33A8">
        <w:lastRenderedPageBreak/>
        <w:t>Table of contents</w:t>
      </w:r>
    </w:p>
    <w:p w14:paraId="13E00080" w14:textId="137FF22A" w:rsidR="00B87E75" w:rsidRPr="00CD33A8" w:rsidRDefault="00B87E75" w:rsidP="00CD33A8">
      <w:pPr>
        <w:spacing w:line="360" w:lineRule="auto"/>
        <w:rPr>
          <w:rFonts w:asciiTheme="minorBidi" w:hAnsiTheme="minorBidi"/>
          <w:sz w:val="22"/>
        </w:rPr>
      </w:pPr>
    </w:p>
    <w:p w14:paraId="736486D1" w14:textId="71E375F7" w:rsidR="004B164E" w:rsidRPr="007D6113" w:rsidRDefault="004B164E" w:rsidP="004B164E">
      <w:pPr>
        <w:pStyle w:val="Heading1"/>
        <w:rPr>
          <w:b w:val="0"/>
          <w:bCs/>
          <w:sz w:val="24"/>
          <w:szCs w:val="24"/>
        </w:rPr>
      </w:pPr>
      <w:r w:rsidRPr="007D6113">
        <w:rPr>
          <w:b w:val="0"/>
          <w:bCs/>
          <w:sz w:val="24"/>
          <w:szCs w:val="24"/>
        </w:rPr>
        <w:t>Topic: Benefits and Challenges of Social Prescribing in the UK</w:t>
      </w:r>
      <w:r w:rsidRPr="007D6113">
        <w:rPr>
          <w:b w:val="0"/>
          <w:bCs/>
          <w:sz w:val="24"/>
          <w:szCs w:val="24"/>
        </w:rPr>
        <w:t>…</w:t>
      </w:r>
      <w:r w:rsidR="00455207">
        <w:rPr>
          <w:b w:val="0"/>
          <w:bCs/>
          <w:sz w:val="24"/>
          <w:szCs w:val="24"/>
        </w:rPr>
        <w:t>…………</w:t>
      </w:r>
      <w:r w:rsidRPr="007D6113">
        <w:rPr>
          <w:b w:val="0"/>
          <w:bCs/>
          <w:sz w:val="24"/>
          <w:szCs w:val="24"/>
        </w:rPr>
        <w:t>………3</w:t>
      </w:r>
    </w:p>
    <w:p w14:paraId="7294F0D7" w14:textId="6D2A5AB9" w:rsidR="004B164E" w:rsidRPr="007D6113" w:rsidRDefault="004B164E" w:rsidP="004B164E">
      <w:pPr>
        <w:pStyle w:val="Heading1"/>
        <w:rPr>
          <w:b w:val="0"/>
          <w:bCs/>
          <w:sz w:val="24"/>
          <w:szCs w:val="24"/>
        </w:rPr>
      </w:pPr>
      <w:r w:rsidRPr="007D6113">
        <w:rPr>
          <w:b w:val="0"/>
          <w:bCs/>
          <w:sz w:val="24"/>
          <w:szCs w:val="24"/>
        </w:rPr>
        <w:t>Abstract</w:t>
      </w:r>
      <w:r w:rsidRPr="007D6113">
        <w:rPr>
          <w:b w:val="0"/>
          <w:bCs/>
          <w:sz w:val="24"/>
          <w:szCs w:val="24"/>
        </w:rPr>
        <w:t>………</w:t>
      </w:r>
      <w:r w:rsidR="00455207">
        <w:rPr>
          <w:b w:val="0"/>
          <w:bCs/>
          <w:sz w:val="24"/>
          <w:szCs w:val="24"/>
        </w:rPr>
        <w:t>………………………………………………………………………..</w:t>
      </w:r>
      <w:r w:rsidRPr="007D6113">
        <w:rPr>
          <w:b w:val="0"/>
          <w:bCs/>
          <w:sz w:val="24"/>
          <w:szCs w:val="24"/>
        </w:rPr>
        <w:t>….3</w:t>
      </w:r>
    </w:p>
    <w:p w14:paraId="75F9DF9E" w14:textId="295270DB" w:rsidR="004B164E" w:rsidRPr="007D6113" w:rsidRDefault="004B164E" w:rsidP="004B164E">
      <w:pPr>
        <w:pStyle w:val="Heading1"/>
        <w:rPr>
          <w:b w:val="0"/>
          <w:bCs/>
          <w:sz w:val="24"/>
          <w:szCs w:val="24"/>
        </w:rPr>
      </w:pPr>
      <w:r w:rsidRPr="007D6113">
        <w:rPr>
          <w:b w:val="0"/>
          <w:bCs/>
          <w:sz w:val="24"/>
          <w:szCs w:val="24"/>
        </w:rPr>
        <w:t xml:space="preserve">Introduction </w:t>
      </w:r>
      <w:r w:rsidRPr="007D6113">
        <w:rPr>
          <w:b w:val="0"/>
          <w:bCs/>
          <w:sz w:val="24"/>
          <w:szCs w:val="24"/>
        </w:rPr>
        <w:t>……</w:t>
      </w:r>
      <w:r w:rsidR="008F1AEF">
        <w:rPr>
          <w:b w:val="0"/>
          <w:bCs/>
          <w:sz w:val="24"/>
          <w:szCs w:val="24"/>
        </w:rPr>
        <w:t>………………………………………………………</w:t>
      </w:r>
      <w:r w:rsidR="00455207">
        <w:rPr>
          <w:b w:val="0"/>
          <w:bCs/>
          <w:sz w:val="24"/>
          <w:szCs w:val="24"/>
        </w:rPr>
        <w:t>…………….</w:t>
      </w:r>
      <w:r w:rsidRPr="007D6113">
        <w:rPr>
          <w:b w:val="0"/>
          <w:bCs/>
          <w:sz w:val="24"/>
          <w:szCs w:val="24"/>
        </w:rPr>
        <w:t>…</w:t>
      </w:r>
      <w:r w:rsidR="00F12769">
        <w:rPr>
          <w:b w:val="0"/>
          <w:bCs/>
          <w:sz w:val="24"/>
          <w:szCs w:val="24"/>
        </w:rPr>
        <w:t>3,4</w:t>
      </w:r>
    </w:p>
    <w:p w14:paraId="0D71F4BF" w14:textId="112625CE" w:rsidR="004C3DE8" w:rsidRPr="007D6113" w:rsidRDefault="004C3DE8" w:rsidP="00B0703E">
      <w:pPr>
        <w:pStyle w:val="Heading1"/>
        <w:rPr>
          <w:rFonts w:cs="Arial"/>
          <w:b w:val="0"/>
          <w:bCs/>
          <w:sz w:val="24"/>
          <w:szCs w:val="24"/>
        </w:rPr>
      </w:pPr>
      <w:r w:rsidRPr="007D6113">
        <w:rPr>
          <w:rFonts w:cs="Arial"/>
          <w:b w:val="0"/>
          <w:bCs/>
          <w:sz w:val="24"/>
          <w:szCs w:val="24"/>
        </w:rPr>
        <w:t xml:space="preserve">Background </w:t>
      </w:r>
      <w:r w:rsidRPr="007D6113">
        <w:rPr>
          <w:rFonts w:cs="Arial"/>
          <w:b w:val="0"/>
          <w:bCs/>
          <w:sz w:val="24"/>
          <w:szCs w:val="24"/>
        </w:rPr>
        <w:t>…</w:t>
      </w:r>
      <w:r w:rsidR="008F1AEF">
        <w:rPr>
          <w:rFonts w:cs="Arial"/>
          <w:b w:val="0"/>
          <w:bCs/>
          <w:sz w:val="24"/>
          <w:szCs w:val="24"/>
        </w:rPr>
        <w:t>…………………………………………………………………………</w:t>
      </w:r>
      <w:r w:rsidR="003108FB">
        <w:rPr>
          <w:rFonts w:cs="Arial"/>
          <w:b w:val="0"/>
          <w:bCs/>
          <w:sz w:val="24"/>
          <w:szCs w:val="24"/>
        </w:rPr>
        <w:t>4,</w:t>
      </w:r>
      <w:r w:rsidR="00F12769">
        <w:rPr>
          <w:rFonts w:cs="Arial"/>
          <w:b w:val="0"/>
          <w:bCs/>
          <w:sz w:val="24"/>
          <w:szCs w:val="24"/>
        </w:rPr>
        <w:t>5</w:t>
      </w:r>
    </w:p>
    <w:p w14:paraId="3037807B" w14:textId="67D2F251" w:rsidR="008D5514" w:rsidRPr="007D6113" w:rsidRDefault="008D5514" w:rsidP="008D5514">
      <w:pPr>
        <w:pStyle w:val="Heading1"/>
        <w:rPr>
          <w:rFonts w:cs="Arial"/>
          <w:b w:val="0"/>
          <w:bCs/>
          <w:sz w:val="24"/>
          <w:szCs w:val="24"/>
        </w:rPr>
      </w:pPr>
      <w:r w:rsidRPr="007D6113">
        <w:rPr>
          <w:rFonts w:cs="Arial"/>
          <w:b w:val="0"/>
          <w:bCs/>
          <w:sz w:val="24"/>
          <w:szCs w:val="24"/>
        </w:rPr>
        <w:t xml:space="preserve">Methods </w:t>
      </w:r>
      <w:r w:rsidRPr="007D6113">
        <w:rPr>
          <w:rFonts w:cs="Arial"/>
          <w:b w:val="0"/>
          <w:bCs/>
          <w:sz w:val="24"/>
          <w:szCs w:val="24"/>
        </w:rPr>
        <w:t>…</w:t>
      </w:r>
      <w:r w:rsidR="008F1AEF">
        <w:rPr>
          <w:rFonts w:cs="Arial"/>
          <w:b w:val="0"/>
          <w:bCs/>
          <w:sz w:val="24"/>
          <w:szCs w:val="24"/>
        </w:rPr>
        <w:t>………………………………………………………………………………..</w:t>
      </w:r>
      <w:r w:rsidRPr="007D6113">
        <w:rPr>
          <w:rFonts w:cs="Arial"/>
          <w:b w:val="0"/>
          <w:bCs/>
          <w:sz w:val="24"/>
          <w:szCs w:val="24"/>
        </w:rPr>
        <w:t>6</w:t>
      </w:r>
    </w:p>
    <w:p w14:paraId="45B6CFEA" w14:textId="77777777" w:rsidR="007D6113" w:rsidRPr="007D6113" w:rsidRDefault="007D6113" w:rsidP="007D6113">
      <w:pPr>
        <w:rPr>
          <w:bCs/>
          <w:szCs w:val="24"/>
        </w:rPr>
      </w:pPr>
    </w:p>
    <w:p w14:paraId="2488CB49" w14:textId="0C7F4EC9" w:rsidR="008D5514" w:rsidRPr="007D6113" w:rsidRDefault="008D5514" w:rsidP="008D5514">
      <w:pPr>
        <w:tabs>
          <w:tab w:val="left" w:pos="6540"/>
        </w:tabs>
        <w:spacing w:line="360" w:lineRule="auto"/>
        <w:rPr>
          <w:rFonts w:ascii="Arial" w:hAnsi="Arial" w:cs="Arial"/>
          <w:bCs/>
          <w:szCs w:val="24"/>
        </w:rPr>
      </w:pPr>
      <w:r w:rsidRPr="007D6113">
        <w:rPr>
          <w:rFonts w:ascii="Arial" w:hAnsi="Arial" w:cs="Arial"/>
          <w:bCs/>
          <w:szCs w:val="24"/>
        </w:rPr>
        <w:t>Data collection</w:t>
      </w:r>
      <w:r w:rsidRPr="007D6113">
        <w:rPr>
          <w:rFonts w:ascii="Arial" w:hAnsi="Arial" w:cs="Arial"/>
          <w:bCs/>
          <w:szCs w:val="24"/>
        </w:rPr>
        <w:t>,,</w:t>
      </w:r>
      <w:r w:rsidR="008F1AEF">
        <w:rPr>
          <w:rFonts w:ascii="Arial" w:hAnsi="Arial" w:cs="Arial"/>
          <w:bCs/>
          <w:szCs w:val="24"/>
        </w:rPr>
        <w:t>…………………………………………………………………………..</w:t>
      </w:r>
      <w:r w:rsidRPr="007D6113">
        <w:rPr>
          <w:rFonts w:ascii="Arial" w:hAnsi="Arial" w:cs="Arial"/>
          <w:bCs/>
          <w:szCs w:val="24"/>
        </w:rPr>
        <w:t>6</w:t>
      </w:r>
    </w:p>
    <w:p w14:paraId="38B7BDCC" w14:textId="67A3565C" w:rsidR="008D5514" w:rsidRPr="007D6113" w:rsidRDefault="008D5514" w:rsidP="008D5514">
      <w:pPr>
        <w:tabs>
          <w:tab w:val="left" w:pos="6540"/>
        </w:tabs>
        <w:spacing w:line="360" w:lineRule="auto"/>
        <w:rPr>
          <w:rFonts w:ascii="Arial" w:hAnsi="Arial" w:cs="Arial"/>
          <w:bCs/>
          <w:szCs w:val="24"/>
        </w:rPr>
      </w:pPr>
      <w:r w:rsidRPr="007D6113">
        <w:rPr>
          <w:rFonts w:ascii="Arial" w:hAnsi="Arial" w:cs="Arial"/>
          <w:bCs/>
          <w:szCs w:val="24"/>
        </w:rPr>
        <w:t>Inclusion and exclusion criteria</w:t>
      </w:r>
      <w:r w:rsidR="008F1AEF">
        <w:rPr>
          <w:rFonts w:ascii="Arial" w:hAnsi="Arial" w:cs="Arial"/>
          <w:bCs/>
          <w:szCs w:val="24"/>
        </w:rPr>
        <w:t>…………………………………………………………</w:t>
      </w:r>
      <w:r w:rsidRPr="007D6113">
        <w:rPr>
          <w:rFonts w:ascii="Arial" w:hAnsi="Arial" w:cs="Arial"/>
          <w:bCs/>
          <w:szCs w:val="24"/>
        </w:rPr>
        <w:t>6</w:t>
      </w:r>
    </w:p>
    <w:p w14:paraId="74AAE873" w14:textId="171461B0" w:rsidR="008D5514" w:rsidRPr="007D6113" w:rsidRDefault="008D5514" w:rsidP="008D5514">
      <w:pPr>
        <w:tabs>
          <w:tab w:val="left" w:pos="6540"/>
        </w:tabs>
        <w:spacing w:line="360" w:lineRule="auto"/>
        <w:rPr>
          <w:rFonts w:ascii="Arial" w:hAnsi="Arial" w:cs="Arial"/>
          <w:bCs/>
          <w:szCs w:val="24"/>
        </w:rPr>
      </w:pPr>
      <w:r w:rsidRPr="007D6113">
        <w:rPr>
          <w:rFonts w:ascii="Arial" w:hAnsi="Arial" w:cs="Arial"/>
          <w:bCs/>
          <w:szCs w:val="24"/>
        </w:rPr>
        <w:t>Data analysis</w:t>
      </w:r>
      <w:r w:rsidR="008F1AEF">
        <w:rPr>
          <w:rFonts w:ascii="Arial" w:hAnsi="Arial" w:cs="Arial"/>
          <w:bCs/>
          <w:szCs w:val="24"/>
        </w:rPr>
        <w:t>…………………………………………………………………………….</w:t>
      </w:r>
      <w:r w:rsidRPr="007D6113">
        <w:rPr>
          <w:rFonts w:ascii="Arial" w:hAnsi="Arial" w:cs="Arial"/>
          <w:bCs/>
          <w:szCs w:val="24"/>
        </w:rPr>
        <w:t>.6</w:t>
      </w:r>
    </w:p>
    <w:p w14:paraId="2A2FDA8E" w14:textId="30B9DD26" w:rsidR="008D5514" w:rsidRPr="007D6113" w:rsidRDefault="008D5514" w:rsidP="008D5514">
      <w:pPr>
        <w:tabs>
          <w:tab w:val="left" w:pos="6540"/>
        </w:tabs>
        <w:spacing w:line="360" w:lineRule="auto"/>
        <w:rPr>
          <w:rFonts w:ascii="Arial" w:hAnsi="Arial" w:cs="Arial"/>
          <w:bCs/>
          <w:szCs w:val="24"/>
        </w:rPr>
      </w:pPr>
      <w:r w:rsidRPr="007D6113">
        <w:rPr>
          <w:rFonts w:ascii="Arial" w:hAnsi="Arial" w:cs="Arial"/>
          <w:bCs/>
          <w:szCs w:val="24"/>
        </w:rPr>
        <w:t>Ethical considerations</w:t>
      </w:r>
      <w:r w:rsidRPr="007D6113">
        <w:rPr>
          <w:rFonts w:ascii="Arial" w:hAnsi="Arial" w:cs="Arial"/>
          <w:bCs/>
          <w:szCs w:val="24"/>
        </w:rPr>
        <w:t>…</w:t>
      </w:r>
      <w:r w:rsidR="008F1AEF">
        <w:rPr>
          <w:rFonts w:ascii="Arial" w:hAnsi="Arial" w:cs="Arial"/>
          <w:bCs/>
          <w:szCs w:val="24"/>
        </w:rPr>
        <w:t>………………………………………………………………..</w:t>
      </w:r>
      <w:r w:rsidRPr="007D6113">
        <w:rPr>
          <w:rFonts w:ascii="Arial" w:hAnsi="Arial" w:cs="Arial"/>
          <w:bCs/>
          <w:szCs w:val="24"/>
        </w:rPr>
        <w:t>.</w:t>
      </w:r>
      <w:r w:rsidR="00F122D5">
        <w:rPr>
          <w:rFonts w:ascii="Arial" w:hAnsi="Arial" w:cs="Arial"/>
          <w:bCs/>
          <w:szCs w:val="24"/>
        </w:rPr>
        <w:t>6</w:t>
      </w:r>
    </w:p>
    <w:p w14:paraId="553C07AF" w14:textId="5FEFBB4D" w:rsidR="007C5F15" w:rsidRPr="007D6113" w:rsidRDefault="007C5F15" w:rsidP="008D5514">
      <w:pPr>
        <w:tabs>
          <w:tab w:val="left" w:pos="6540"/>
        </w:tabs>
        <w:spacing w:line="360" w:lineRule="auto"/>
        <w:rPr>
          <w:rFonts w:ascii="Arial" w:hAnsi="Arial" w:cs="Arial"/>
          <w:bCs/>
          <w:szCs w:val="24"/>
        </w:rPr>
      </w:pPr>
      <w:r w:rsidRPr="007D6113">
        <w:rPr>
          <w:rFonts w:ascii="Arial" w:hAnsi="Arial" w:cs="Arial"/>
          <w:bCs/>
          <w:szCs w:val="24"/>
        </w:rPr>
        <w:t>Results</w:t>
      </w:r>
      <w:r w:rsidR="008F1AEF">
        <w:rPr>
          <w:rFonts w:cs="Arial"/>
          <w:bCs/>
          <w:szCs w:val="24"/>
        </w:rPr>
        <w:t>…………………………………………………………………………………….</w:t>
      </w:r>
      <w:r w:rsidRPr="007D6113">
        <w:rPr>
          <w:rFonts w:cs="Arial"/>
          <w:bCs/>
          <w:szCs w:val="24"/>
        </w:rPr>
        <w:t>7</w:t>
      </w:r>
    </w:p>
    <w:p w14:paraId="5F233B9D" w14:textId="45BB95E6" w:rsidR="008D5514" w:rsidRPr="007D6113" w:rsidRDefault="007C5F15" w:rsidP="007D6113">
      <w:pPr>
        <w:pStyle w:val="Heading1"/>
        <w:rPr>
          <w:rFonts w:cs="Arial"/>
          <w:b w:val="0"/>
          <w:bCs/>
          <w:sz w:val="24"/>
          <w:szCs w:val="24"/>
        </w:rPr>
      </w:pPr>
      <w:r w:rsidRPr="007D6113">
        <w:rPr>
          <w:rFonts w:cs="Arial"/>
          <w:b w:val="0"/>
          <w:bCs/>
          <w:sz w:val="24"/>
          <w:szCs w:val="24"/>
        </w:rPr>
        <w:t>Theme Template</w:t>
      </w:r>
      <w:r w:rsidR="007D6113">
        <w:rPr>
          <w:rFonts w:cs="Arial"/>
          <w:b w:val="0"/>
          <w:bCs/>
          <w:sz w:val="24"/>
          <w:szCs w:val="24"/>
        </w:rPr>
        <w:t>……………………………………………………………………..</w:t>
      </w:r>
      <w:r w:rsidRPr="007D6113">
        <w:rPr>
          <w:rFonts w:cs="Arial"/>
          <w:b w:val="0"/>
          <w:bCs/>
          <w:sz w:val="24"/>
          <w:szCs w:val="24"/>
        </w:rPr>
        <w:t>..8,9</w:t>
      </w:r>
    </w:p>
    <w:p w14:paraId="20C2437D" w14:textId="77777777" w:rsidR="007D6113" w:rsidRPr="007D6113" w:rsidRDefault="007D6113" w:rsidP="007D6113">
      <w:pPr>
        <w:rPr>
          <w:bCs/>
          <w:szCs w:val="24"/>
        </w:rPr>
      </w:pPr>
    </w:p>
    <w:p w14:paraId="4CB13206" w14:textId="47C4FAB3" w:rsidR="008D5514" w:rsidRPr="007D6113" w:rsidRDefault="008D5514" w:rsidP="008D5514">
      <w:pPr>
        <w:spacing w:line="360" w:lineRule="auto"/>
        <w:rPr>
          <w:rFonts w:ascii="Arial" w:hAnsi="Arial" w:cs="Arial"/>
          <w:bCs/>
          <w:szCs w:val="24"/>
        </w:rPr>
      </w:pPr>
      <w:r w:rsidRPr="007D6113">
        <w:rPr>
          <w:rFonts w:ascii="Arial" w:hAnsi="Arial" w:cs="Arial"/>
          <w:bCs/>
          <w:szCs w:val="24"/>
        </w:rPr>
        <w:t>Thematic analysis: synthesis of findings</w:t>
      </w:r>
      <w:r w:rsidR="00455207">
        <w:rPr>
          <w:rFonts w:ascii="Arial" w:hAnsi="Arial" w:cs="Arial"/>
          <w:bCs/>
          <w:szCs w:val="24"/>
        </w:rPr>
        <w:t>……………………………………………</w:t>
      </w:r>
      <w:r w:rsidR="00F122D5">
        <w:rPr>
          <w:rFonts w:ascii="Arial" w:hAnsi="Arial" w:cs="Arial"/>
          <w:bCs/>
          <w:szCs w:val="24"/>
        </w:rPr>
        <w:t>…9</w:t>
      </w:r>
    </w:p>
    <w:p w14:paraId="7A9EA5FC" w14:textId="38BE3BC2" w:rsidR="007C5F15" w:rsidRPr="007D6113" w:rsidRDefault="007C5F15" w:rsidP="007C5F15">
      <w:pPr>
        <w:spacing w:line="360" w:lineRule="auto"/>
        <w:rPr>
          <w:rFonts w:ascii="Arial" w:hAnsi="Arial" w:cs="Arial"/>
          <w:bCs/>
          <w:szCs w:val="24"/>
        </w:rPr>
      </w:pPr>
      <w:r w:rsidRPr="007D6113">
        <w:rPr>
          <w:rFonts w:ascii="Arial" w:hAnsi="Arial" w:cs="Arial"/>
          <w:bCs/>
          <w:szCs w:val="24"/>
        </w:rPr>
        <w:t>Theme 1: Wellbeing and social connection</w:t>
      </w:r>
      <w:r w:rsidR="00455207">
        <w:rPr>
          <w:rFonts w:ascii="Arial" w:hAnsi="Arial" w:cs="Arial"/>
          <w:bCs/>
          <w:szCs w:val="24"/>
        </w:rPr>
        <w:t>……………………………………</w:t>
      </w:r>
      <w:r w:rsidR="00F122D5">
        <w:rPr>
          <w:rFonts w:ascii="Arial" w:hAnsi="Arial" w:cs="Arial"/>
          <w:bCs/>
          <w:szCs w:val="24"/>
        </w:rPr>
        <w:t>…..9,10</w:t>
      </w:r>
    </w:p>
    <w:p w14:paraId="6D12EBB3" w14:textId="51175985" w:rsidR="007C5F15" w:rsidRPr="007D6113" w:rsidRDefault="007C5F15" w:rsidP="007C5F15">
      <w:pPr>
        <w:spacing w:line="360" w:lineRule="auto"/>
        <w:rPr>
          <w:rFonts w:ascii="Arial" w:hAnsi="Arial" w:cs="Arial"/>
          <w:bCs/>
          <w:szCs w:val="24"/>
        </w:rPr>
      </w:pPr>
      <w:r w:rsidRPr="007D6113">
        <w:rPr>
          <w:rFonts w:ascii="Arial" w:hAnsi="Arial" w:cs="Arial"/>
          <w:bCs/>
          <w:szCs w:val="24"/>
        </w:rPr>
        <w:t>Theme 2: Person-centred experiences and community connection</w:t>
      </w:r>
      <w:r w:rsidR="00455207">
        <w:rPr>
          <w:rFonts w:ascii="Arial" w:hAnsi="Arial" w:cs="Arial"/>
          <w:bCs/>
          <w:szCs w:val="24"/>
        </w:rPr>
        <w:t>…………</w:t>
      </w:r>
      <w:r w:rsidR="003A74BE">
        <w:rPr>
          <w:rFonts w:ascii="Arial" w:hAnsi="Arial" w:cs="Arial"/>
          <w:bCs/>
          <w:szCs w:val="24"/>
        </w:rPr>
        <w:t>……10</w:t>
      </w:r>
    </w:p>
    <w:p w14:paraId="77D499BC" w14:textId="3894D862" w:rsidR="00566AD4" w:rsidRPr="007D6113" w:rsidRDefault="00566AD4" w:rsidP="007C5F15">
      <w:pPr>
        <w:spacing w:line="360" w:lineRule="auto"/>
        <w:rPr>
          <w:rFonts w:ascii="Arial" w:hAnsi="Arial" w:cs="Arial"/>
          <w:bCs/>
          <w:szCs w:val="24"/>
        </w:rPr>
      </w:pPr>
      <w:r w:rsidRPr="007D6113">
        <w:rPr>
          <w:rFonts w:ascii="Arial" w:hAnsi="Arial" w:cs="Arial"/>
          <w:bCs/>
          <w:szCs w:val="24"/>
        </w:rPr>
        <w:t>Theme 3: Inequalities and access</w:t>
      </w:r>
      <w:r w:rsidRPr="007D6113">
        <w:rPr>
          <w:rFonts w:ascii="Arial" w:hAnsi="Arial" w:cs="Arial"/>
          <w:bCs/>
          <w:szCs w:val="24"/>
        </w:rPr>
        <w:t>…</w:t>
      </w:r>
      <w:r w:rsidR="00BE4E85">
        <w:rPr>
          <w:rFonts w:ascii="Arial" w:hAnsi="Arial" w:cs="Arial"/>
          <w:bCs/>
          <w:szCs w:val="24"/>
        </w:rPr>
        <w:t>………………………………………………..</w:t>
      </w:r>
      <w:r w:rsidR="003A74BE">
        <w:rPr>
          <w:rFonts w:ascii="Arial" w:hAnsi="Arial" w:cs="Arial"/>
          <w:bCs/>
          <w:szCs w:val="24"/>
        </w:rPr>
        <w:t>,,11</w:t>
      </w:r>
    </w:p>
    <w:p w14:paraId="103E2589" w14:textId="0A02D646" w:rsidR="00566AD4" w:rsidRPr="007D6113" w:rsidRDefault="00566AD4" w:rsidP="007C5F15">
      <w:pPr>
        <w:spacing w:line="360" w:lineRule="auto"/>
        <w:rPr>
          <w:rFonts w:ascii="Arial" w:hAnsi="Arial" w:cs="Arial"/>
          <w:bCs/>
          <w:szCs w:val="24"/>
        </w:rPr>
      </w:pPr>
      <w:r w:rsidRPr="007D6113">
        <w:rPr>
          <w:rFonts w:ascii="Arial" w:hAnsi="Arial" w:cs="Arial"/>
          <w:bCs/>
          <w:szCs w:val="24"/>
        </w:rPr>
        <w:t>Theme 4: Implementation, resources and sustainability</w:t>
      </w:r>
      <w:r w:rsidR="004916DD">
        <w:rPr>
          <w:rFonts w:ascii="Arial" w:hAnsi="Arial" w:cs="Arial"/>
          <w:bCs/>
          <w:szCs w:val="24"/>
        </w:rPr>
        <w:t>………………………</w:t>
      </w:r>
      <w:r w:rsidR="003A74BE">
        <w:rPr>
          <w:rFonts w:ascii="Arial" w:hAnsi="Arial" w:cs="Arial"/>
          <w:bCs/>
          <w:szCs w:val="24"/>
        </w:rPr>
        <w:t>..11,12</w:t>
      </w:r>
    </w:p>
    <w:p w14:paraId="4F51CEBF" w14:textId="15D4CF45" w:rsidR="00566AD4" w:rsidRPr="007D6113" w:rsidRDefault="00566AD4" w:rsidP="00566AD4">
      <w:pPr>
        <w:pStyle w:val="Heading1"/>
        <w:rPr>
          <w:rFonts w:cs="Arial"/>
          <w:b w:val="0"/>
          <w:bCs/>
          <w:sz w:val="24"/>
          <w:szCs w:val="24"/>
        </w:rPr>
      </w:pPr>
      <w:r w:rsidRPr="007D6113">
        <w:rPr>
          <w:rFonts w:cs="Arial"/>
          <w:b w:val="0"/>
          <w:bCs/>
          <w:sz w:val="24"/>
          <w:szCs w:val="24"/>
        </w:rPr>
        <w:t>Discussion</w:t>
      </w:r>
      <w:r w:rsidR="004916DD">
        <w:rPr>
          <w:rFonts w:cs="Arial"/>
          <w:b w:val="0"/>
          <w:bCs/>
          <w:sz w:val="24"/>
          <w:szCs w:val="24"/>
        </w:rPr>
        <w:t>……………………………………………………………………</w:t>
      </w:r>
      <w:r w:rsidR="004F203C">
        <w:rPr>
          <w:rFonts w:cs="Arial"/>
          <w:b w:val="0"/>
          <w:bCs/>
          <w:sz w:val="24"/>
          <w:szCs w:val="24"/>
        </w:rPr>
        <w:t>..</w:t>
      </w:r>
      <w:r w:rsidR="004916DD">
        <w:rPr>
          <w:rFonts w:cs="Arial"/>
          <w:b w:val="0"/>
          <w:bCs/>
          <w:sz w:val="24"/>
          <w:szCs w:val="24"/>
        </w:rPr>
        <w:t>…</w:t>
      </w:r>
      <w:r w:rsidR="004F203C">
        <w:rPr>
          <w:rFonts w:cs="Arial"/>
          <w:b w:val="0"/>
          <w:bCs/>
          <w:sz w:val="24"/>
          <w:szCs w:val="24"/>
        </w:rPr>
        <w:t>12,</w:t>
      </w:r>
      <w:r w:rsidRPr="007D6113">
        <w:rPr>
          <w:rFonts w:cs="Arial"/>
          <w:b w:val="0"/>
          <w:bCs/>
          <w:sz w:val="24"/>
          <w:szCs w:val="24"/>
        </w:rPr>
        <w:t>13,14</w:t>
      </w:r>
      <w:r w:rsidR="00C06329" w:rsidRPr="007D6113">
        <w:rPr>
          <w:rFonts w:cs="Arial"/>
          <w:b w:val="0"/>
          <w:bCs/>
          <w:sz w:val="24"/>
          <w:szCs w:val="24"/>
        </w:rPr>
        <w:t xml:space="preserve"> </w:t>
      </w:r>
    </w:p>
    <w:p w14:paraId="7B10A416" w14:textId="1998AF69" w:rsidR="00566AD4" w:rsidRPr="007D6113" w:rsidRDefault="00566AD4" w:rsidP="00566AD4">
      <w:pPr>
        <w:pStyle w:val="Heading1"/>
        <w:rPr>
          <w:rFonts w:cs="Arial"/>
          <w:b w:val="0"/>
          <w:bCs/>
          <w:sz w:val="24"/>
          <w:szCs w:val="24"/>
        </w:rPr>
      </w:pPr>
      <w:r w:rsidRPr="007D6113">
        <w:rPr>
          <w:rFonts w:cs="Arial"/>
          <w:b w:val="0"/>
          <w:bCs/>
          <w:sz w:val="24"/>
          <w:szCs w:val="24"/>
        </w:rPr>
        <w:t>Conclusion and Recommendations</w:t>
      </w:r>
      <w:r w:rsidR="004916DD">
        <w:rPr>
          <w:rFonts w:cs="Arial"/>
          <w:b w:val="0"/>
          <w:bCs/>
          <w:sz w:val="24"/>
          <w:szCs w:val="24"/>
        </w:rPr>
        <w:t>…………………………………………….</w:t>
      </w:r>
      <w:r w:rsidR="004F203C">
        <w:rPr>
          <w:rFonts w:cs="Arial"/>
          <w:b w:val="0"/>
          <w:bCs/>
          <w:sz w:val="24"/>
          <w:szCs w:val="24"/>
        </w:rPr>
        <w:t>14,15,16</w:t>
      </w:r>
    </w:p>
    <w:p w14:paraId="664CFDA8" w14:textId="74E53772" w:rsidR="00C06329" w:rsidRPr="007D6113" w:rsidRDefault="00C06329" w:rsidP="00C06329">
      <w:pPr>
        <w:pStyle w:val="Heading1"/>
        <w:rPr>
          <w:rFonts w:cs="Arial"/>
          <w:b w:val="0"/>
          <w:bCs/>
          <w:sz w:val="24"/>
          <w:szCs w:val="24"/>
        </w:rPr>
      </w:pPr>
      <w:r w:rsidRPr="007D6113">
        <w:rPr>
          <w:rFonts w:cs="Arial"/>
          <w:b w:val="0"/>
          <w:bCs/>
          <w:sz w:val="24"/>
          <w:szCs w:val="24"/>
        </w:rPr>
        <w:t>References</w:t>
      </w:r>
      <w:r w:rsidR="00BE4E85">
        <w:rPr>
          <w:rFonts w:cs="Arial"/>
          <w:b w:val="0"/>
          <w:bCs/>
          <w:sz w:val="24"/>
          <w:szCs w:val="24"/>
        </w:rPr>
        <w:t>……………………………………………………………………</w:t>
      </w:r>
      <w:r w:rsidR="004F203C">
        <w:rPr>
          <w:rFonts w:cs="Arial"/>
          <w:b w:val="0"/>
          <w:bCs/>
          <w:sz w:val="24"/>
          <w:szCs w:val="24"/>
        </w:rPr>
        <w:t>….17,18,19</w:t>
      </w:r>
    </w:p>
    <w:p w14:paraId="5D1AC038" w14:textId="77777777" w:rsidR="00C06329" w:rsidRPr="00C06329" w:rsidRDefault="00C06329" w:rsidP="00C06329"/>
    <w:p w14:paraId="02CC84D5" w14:textId="77777777" w:rsidR="00566AD4" w:rsidRPr="00566AD4" w:rsidRDefault="00566AD4" w:rsidP="00566AD4">
      <w:pPr>
        <w:rPr>
          <w:b/>
          <w:bCs/>
        </w:rPr>
      </w:pPr>
    </w:p>
    <w:p w14:paraId="2CF27283" w14:textId="540F2ABC" w:rsidR="00B8304B" w:rsidRPr="00F12769" w:rsidRDefault="00B8304B" w:rsidP="00F12769">
      <w:pPr>
        <w:spacing w:line="360" w:lineRule="auto"/>
        <w:rPr>
          <w:rFonts w:asciiTheme="minorBidi" w:hAnsiTheme="minorBidi"/>
          <w:sz w:val="22"/>
        </w:rPr>
      </w:pPr>
      <w:r w:rsidRPr="00275428">
        <w:rPr>
          <w:rFonts w:ascii="Arial" w:hAnsi="Arial" w:cs="Arial"/>
        </w:rPr>
        <w:lastRenderedPageBreak/>
        <w:t xml:space="preserve">Topic: </w:t>
      </w:r>
      <w:r w:rsidR="00D317D0" w:rsidRPr="00275428">
        <w:rPr>
          <w:rFonts w:ascii="Arial" w:hAnsi="Arial" w:cs="Arial"/>
        </w:rPr>
        <w:t xml:space="preserve">Benefits and Challenges of Social Prescribing in </w:t>
      </w:r>
      <w:r w:rsidR="00E86F70" w:rsidRPr="00275428">
        <w:rPr>
          <w:rFonts w:ascii="Arial" w:hAnsi="Arial" w:cs="Arial"/>
        </w:rPr>
        <w:t>the UK</w:t>
      </w:r>
    </w:p>
    <w:p w14:paraId="313ED97C" w14:textId="66F529C2" w:rsidR="00CD33A8" w:rsidRPr="00275428" w:rsidRDefault="00CD33A8" w:rsidP="00275428">
      <w:pPr>
        <w:pStyle w:val="Heading1"/>
        <w:rPr>
          <w:rFonts w:cs="Arial"/>
        </w:rPr>
      </w:pPr>
      <w:r w:rsidRPr="00275428">
        <w:rPr>
          <w:rFonts w:cs="Arial"/>
        </w:rPr>
        <w:t>Abstract</w:t>
      </w:r>
    </w:p>
    <w:p w14:paraId="0C68337E" w14:textId="77777777" w:rsidR="007B6DF0" w:rsidRPr="00275428" w:rsidRDefault="007B6DF0" w:rsidP="00275428">
      <w:pPr>
        <w:spacing w:line="360" w:lineRule="auto"/>
        <w:rPr>
          <w:rFonts w:ascii="Arial" w:hAnsi="Arial" w:cs="Arial"/>
          <w:sz w:val="22"/>
        </w:rPr>
      </w:pPr>
    </w:p>
    <w:p w14:paraId="0FDB2B93" w14:textId="44647A32" w:rsidR="007B6DF0" w:rsidRPr="00275428" w:rsidRDefault="00C62C02" w:rsidP="00275428">
      <w:pPr>
        <w:spacing w:line="360" w:lineRule="auto"/>
        <w:rPr>
          <w:rFonts w:ascii="Arial" w:hAnsi="Arial" w:cs="Arial"/>
          <w:sz w:val="22"/>
        </w:rPr>
      </w:pPr>
      <w:r w:rsidRPr="00275428">
        <w:rPr>
          <w:rFonts w:ascii="Arial" w:hAnsi="Arial" w:cs="Arial"/>
          <w:sz w:val="22"/>
        </w:rPr>
        <w:t>S</w:t>
      </w:r>
      <w:r w:rsidR="007B6DF0" w:rsidRPr="00275428">
        <w:rPr>
          <w:rFonts w:ascii="Arial" w:hAnsi="Arial" w:cs="Arial"/>
          <w:sz w:val="22"/>
        </w:rPr>
        <w:t>ocial prescribing (SP) has become an increasingly important approach within UK health and social care because it recognises that health is influenced not only by medical conditions but also by wider social, economic and environmental factors</w:t>
      </w:r>
      <w:r w:rsidR="003A58E6" w:rsidRPr="00275428">
        <w:rPr>
          <w:rFonts w:ascii="Arial" w:hAnsi="Arial" w:cs="Arial"/>
          <w:sz w:val="22"/>
        </w:rPr>
        <w:t xml:space="preserve"> </w:t>
      </w:r>
      <w:r w:rsidR="003A58E6" w:rsidRPr="00275428">
        <w:rPr>
          <w:rFonts w:ascii="Arial" w:hAnsi="Arial" w:cs="Arial"/>
          <w:sz w:val="22"/>
        </w:rPr>
        <w:t>(NHS England, 2023).</w:t>
      </w:r>
      <w:r w:rsidR="007B6DF0" w:rsidRPr="00275428">
        <w:rPr>
          <w:rFonts w:ascii="Arial" w:hAnsi="Arial" w:cs="Arial"/>
          <w:sz w:val="22"/>
        </w:rPr>
        <w:t xml:space="preserve"> By connecting people with community-based resources, SP aims to provide more personalised and holistic care while addressing wider determinants of health (NHS England, 2023). However, its increasing use has also raised questions about accessibility, implementation and long-term sustainability.</w:t>
      </w:r>
    </w:p>
    <w:p w14:paraId="66236DA8" w14:textId="1CD42075" w:rsidR="007B6DF0" w:rsidRPr="00275428" w:rsidRDefault="007B6DF0" w:rsidP="00275428">
      <w:pPr>
        <w:spacing w:line="360" w:lineRule="auto"/>
        <w:rPr>
          <w:rFonts w:ascii="Arial" w:hAnsi="Arial" w:cs="Arial"/>
          <w:sz w:val="22"/>
        </w:rPr>
      </w:pPr>
      <w:r w:rsidRPr="00275428">
        <w:rPr>
          <w:rFonts w:ascii="Arial" w:hAnsi="Arial" w:cs="Arial"/>
          <w:sz w:val="22"/>
        </w:rPr>
        <w:t>This scoping review examines the benefits and challenges of SP in the UK, focusing on wellbeing and social connection, experiences and engagement, inequalities in access, and barriers to implementation. A scoping review methodology was used to map and synthesise relevant literature, with findings analysed thematically to identify patterns across the selected studies (Peters et al., 2021).</w:t>
      </w:r>
    </w:p>
    <w:p w14:paraId="05F4FF68" w14:textId="56CF0A2E" w:rsidR="00EA5E62" w:rsidRPr="00275428" w:rsidRDefault="00EA5E62" w:rsidP="00275428">
      <w:pPr>
        <w:spacing w:line="360" w:lineRule="auto"/>
        <w:rPr>
          <w:rFonts w:ascii="Arial" w:hAnsi="Arial" w:cs="Arial"/>
          <w:sz w:val="22"/>
        </w:rPr>
      </w:pPr>
      <w:r w:rsidRPr="00275428">
        <w:rPr>
          <w:rFonts w:ascii="Arial" w:hAnsi="Arial" w:cs="Arial"/>
          <w:sz w:val="22"/>
        </w:rPr>
        <w:t>The findings demonstrate that social prescribing may contribute to improved wellbeing, stronger social connections and positive experiences among individuals accessing support</w:t>
      </w:r>
      <w:r w:rsidR="000B2F57">
        <w:rPr>
          <w:rFonts w:ascii="Arial" w:hAnsi="Arial" w:cs="Arial"/>
          <w:sz w:val="22"/>
        </w:rPr>
        <w:t xml:space="preserve"> (</w:t>
      </w:r>
      <w:r w:rsidRPr="00275428">
        <w:rPr>
          <w:rFonts w:ascii="Arial" w:hAnsi="Arial" w:cs="Arial"/>
          <w:sz w:val="22"/>
        </w:rPr>
        <w:t>Liebmann</w:t>
      </w:r>
      <w:r w:rsidR="00462B26">
        <w:rPr>
          <w:rFonts w:ascii="Arial" w:hAnsi="Arial" w:cs="Arial"/>
          <w:sz w:val="22"/>
        </w:rPr>
        <w:t xml:space="preserve">, </w:t>
      </w:r>
      <w:r w:rsidRPr="00275428">
        <w:rPr>
          <w:rFonts w:ascii="Arial" w:hAnsi="Arial" w:cs="Arial"/>
          <w:sz w:val="22"/>
        </w:rPr>
        <w:t>et</w:t>
      </w:r>
      <w:r w:rsidR="00462B26">
        <w:rPr>
          <w:rFonts w:ascii="Arial" w:hAnsi="Arial" w:cs="Arial"/>
          <w:sz w:val="22"/>
        </w:rPr>
        <w:t>.</w:t>
      </w:r>
      <w:r w:rsidRPr="00275428">
        <w:rPr>
          <w:rFonts w:ascii="Arial" w:hAnsi="Arial" w:cs="Arial"/>
          <w:sz w:val="22"/>
        </w:rPr>
        <w:t xml:space="preserve">al., 2022). </w:t>
      </w:r>
      <w:r w:rsidR="00BC76A9" w:rsidRPr="00275428">
        <w:rPr>
          <w:rFonts w:ascii="Arial" w:hAnsi="Arial" w:cs="Arial"/>
          <w:sz w:val="22"/>
        </w:rPr>
        <w:t>However</w:t>
      </w:r>
      <w:r w:rsidRPr="00275428">
        <w:rPr>
          <w:rFonts w:ascii="Arial" w:hAnsi="Arial" w:cs="Arial"/>
          <w:sz w:val="22"/>
        </w:rPr>
        <w:t>, the evidence also highlights challenges related to unequal access, referral pathways, integration within primary care and the sustainability of services (Koser</w:t>
      </w:r>
      <w:r w:rsidR="003E2BF5">
        <w:rPr>
          <w:rFonts w:ascii="Arial" w:hAnsi="Arial" w:cs="Arial"/>
          <w:sz w:val="22"/>
        </w:rPr>
        <w:t xml:space="preserve"> </w:t>
      </w:r>
      <w:r w:rsidRPr="00275428">
        <w:rPr>
          <w:rFonts w:ascii="Arial" w:hAnsi="Arial" w:cs="Arial"/>
          <w:sz w:val="22"/>
        </w:rPr>
        <w:t>et al., 2024; Ebrahimoghli</w:t>
      </w:r>
      <w:r w:rsidR="003E2BF5">
        <w:rPr>
          <w:rFonts w:ascii="Arial" w:hAnsi="Arial" w:cs="Arial"/>
          <w:sz w:val="22"/>
        </w:rPr>
        <w:t xml:space="preserve"> </w:t>
      </w:r>
      <w:r w:rsidRPr="00275428">
        <w:rPr>
          <w:rFonts w:ascii="Arial" w:hAnsi="Arial" w:cs="Arial"/>
          <w:sz w:val="22"/>
        </w:rPr>
        <w:t>et al., 2023; Donaghy</w:t>
      </w:r>
      <w:r w:rsidR="003E2BF5">
        <w:rPr>
          <w:rFonts w:ascii="Arial" w:hAnsi="Arial" w:cs="Arial"/>
          <w:sz w:val="22"/>
        </w:rPr>
        <w:t xml:space="preserve"> </w:t>
      </w:r>
      <w:r w:rsidRPr="00275428">
        <w:rPr>
          <w:rFonts w:ascii="Arial" w:hAnsi="Arial" w:cs="Arial"/>
          <w:sz w:val="22"/>
        </w:rPr>
        <w:t>et al., 2026).</w:t>
      </w:r>
    </w:p>
    <w:p w14:paraId="362A53A3" w14:textId="37D50020" w:rsidR="004C3DE8" w:rsidRDefault="007B6DF0" w:rsidP="00275428">
      <w:pPr>
        <w:spacing w:line="360" w:lineRule="auto"/>
        <w:rPr>
          <w:rFonts w:ascii="Arial" w:hAnsi="Arial" w:cs="Arial"/>
          <w:sz w:val="22"/>
        </w:rPr>
      </w:pPr>
      <w:r w:rsidRPr="00275428">
        <w:rPr>
          <w:rFonts w:ascii="Arial" w:hAnsi="Arial" w:cs="Arial"/>
          <w:sz w:val="22"/>
        </w:rPr>
        <w:t xml:space="preserve">Overall, </w:t>
      </w:r>
      <w:r w:rsidR="007B22AF" w:rsidRPr="00275428">
        <w:rPr>
          <w:rFonts w:ascii="Arial" w:hAnsi="Arial" w:cs="Arial"/>
          <w:sz w:val="22"/>
        </w:rPr>
        <w:t>social prescribing</w:t>
      </w:r>
      <w:r w:rsidRPr="00275428">
        <w:rPr>
          <w:rFonts w:ascii="Arial" w:hAnsi="Arial" w:cs="Arial"/>
          <w:sz w:val="22"/>
        </w:rPr>
        <w:t xml:space="preserve"> shows potential to strengthen person-centred care by linking health services with community resources. Nevertheless, its contribution depends on accessible and appropriate opportunities, effective collaboration and sufficient capacity within local services. Further research and policy development are needed to strengthen implementation, address inequalities and support sustainable provision across different UK communities.</w:t>
      </w:r>
    </w:p>
    <w:p w14:paraId="349A35C4" w14:textId="77777777" w:rsidR="004C3DE8" w:rsidRPr="00275428" w:rsidRDefault="004C3DE8" w:rsidP="00275428">
      <w:pPr>
        <w:spacing w:line="360" w:lineRule="auto"/>
        <w:rPr>
          <w:rFonts w:ascii="Arial" w:hAnsi="Arial" w:cs="Arial"/>
          <w:sz w:val="22"/>
        </w:rPr>
      </w:pPr>
    </w:p>
    <w:p w14:paraId="12D76753" w14:textId="3193DC0A" w:rsidR="00B87E75" w:rsidRPr="00275428" w:rsidRDefault="00B87E75" w:rsidP="00275428">
      <w:pPr>
        <w:pStyle w:val="Heading1"/>
        <w:rPr>
          <w:rFonts w:cs="Arial"/>
        </w:rPr>
      </w:pPr>
      <w:r w:rsidRPr="00275428">
        <w:rPr>
          <w:rFonts w:cs="Arial"/>
        </w:rPr>
        <w:t>Introduction</w:t>
      </w:r>
      <w:r w:rsidR="00917562" w:rsidRPr="00275428">
        <w:rPr>
          <w:rFonts w:cs="Arial"/>
        </w:rPr>
        <w:t xml:space="preserve"> </w:t>
      </w:r>
    </w:p>
    <w:p w14:paraId="0891B192" w14:textId="77777777" w:rsidR="00AA7396" w:rsidRPr="00275428" w:rsidRDefault="00AA7396" w:rsidP="00275428">
      <w:pPr>
        <w:spacing w:after="240" w:line="360" w:lineRule="auto"/>
        <w:rPr>
          <w:rFonts w:ascii="Arial" w:hAnsi="Arial" w:cs="Arial"/>
          <w:sz w:val="22"/>
        </w:rPr>
      </w:pPr>
    </w:p>
    <w:p w14:paraId="68C3F8F4" w14:textId="77777777" w:rsidR="00C94F26" w:rsidRPr="00275428" w:rsidRDefault="00C94F26" w:rsidP="00275428">
      <w:pPr>
        <w:spacing w:after="240" w:line="360" w:lineRule="auto"/>
        <w:rPr>
          <w:rFonts w:ascii="Arial" w:hAnsi="Arial" w:cs="Arial"/>
          <w:sz w:val="22"/>
        </w:rPr>
      </w:pPr>
      <w:r w:rsidRPr="00275428">
        <w:rPr>
          <w:rFonts w:ascii="Arial" w:hAnsi="Arial" w:cs="Arial"/>
          <w:sz w:val="22"/>
        </w:rPr>
        <w:t xml:space="preserve">Social prescribing (SP) is an approach that connects people with community-based activities, groups and services to address practical, social and emotional needs that can affect health and wellbeing (NHS England, 2024). Rather than focusing only on medical treatment, SP recognises that people's health can also be influenced by social </w:t>
      </w:r>
      <w:r w:rsidRPr="00275428">
        <w:rPr>
          <w:rFonts w:ascii="Arial" w:hAnsi="Arial" w:cs="Arial"/>
          <w:sz w:val="22"/>
        </w:rPr>
        <w:lastRenderedPageBreak/>
        <w:t>circumstances, relationships, loneliness, financial difficulties and access to community support (NHS England, 2024).</w:t>
      </w:r>
    </w:p>
    <w:p w14:paraId="41329643" w14:textId="1BA6E289" w:rsidR="00C94F26" w:rsidRPr="00275428" w:rsidRDefault="00C94F26" w:rsidP="00275428">
      <w:pPr>
        <w:spacing w:after="240" w:line="360" w:lineRule="auto"/>
        <w:rPr>
          <w:rFonts w:ascii="Arial" w:hAnsi="Arial" w:cs="Arial"/>
          <w:sz w:val="22"/>
        </w:rPr>
      </w:pPr>
      <w:r w:rsidRPr="00275428">
        <w:rPr>
          <w:rFonts w:ascii="Arial" w:hAnsi="Arial" w:cs="Arial"/>
          <w:sz w:val="22"/>
        </w:rPr>
        <w:t>In practice, social prescribing often involves a link worker who works with the individual to identify what matters to them and connect them with appropriate community or voluntary services (Mulholland et</w:t>
      </w:r>
      <w:r w:rsidR="00A95E24">
        <w:rPr>
          <w:rFonts w:ascii="Arial" w:hAnsi="Arial" w:cs="Arial"/>
          <w:sz w:val="22"/>
        </w:rPr>
        <w:t xml:space="preserve"> </w:t>
      </w:r>
      <w:r w:rsidRPr="00275428">
        <w:rPr>
          <w:rFonts w:ascii="Arial" w:hAnsi="Arial" w:cs="Arial"/>
          <w:sz w:val="22"/>
        </w:rPr>
        <w:t>al., 2025). This makes SP particularly relevant to health and social care because it aims to respond to needs that may not be fully addressed through clinical services alone (Mulholland</w:t>
      </w:r>
      <w:r w:rsidR="00A95E24">
        <w:rPr>
          <w:rFonts w:ascii="Arial" w:hAnsi="Arial" w:cs="Arial"/>
          <w:sz w:val="22"/>
        </w:rPr>
        <w:t xml:space="preserve"> </w:t>
      </w:r>
      <w:r w:rsidRPr="00275428">
        <w:rPr>
          <w:rFonts w:ascii="Arial" w:hAnsi="Arial" w:cs="Arial"/>
          <w:sz w:val="22"/>
        </w:rPr>
        <w:t>et al., 2025).</w:t>
      </w:r>
    </w:p>
    <w:p w14:paraId="4CBB5837" w14:textId="2F814EFF" w:rsidR="00C94F26" w:rsidRPr="00275428" w:rsidRDefault="00C94F26" w:rsidP="00275428">
      <w:pPr>
        <w:spacing w:after="240" w:line="360" w:lineRule="auto"/>
        <w:rPr>
          <w:rFonts w:ascii="Arial" w:hAnsi="Arial" w:cs="Arial"/>
          <w:sz w:val="22"/>
        </w:rPr>
      </w:pPr>
      <w:r w:rsidRPr="00275428">
        <w:rPr>
          <w:rFonts w:ascii="Arial" w:hAnsi="Arial" w:cs="Arial"/>
          <w:sz w:val="22"/>
        </w:rPr>
        <w:t>The rationale for this research is the increasing use of SP within UK health and social care, alongside continuing uncertainty about its overall impact (NHS England, 2024; Bu</w:t>
      </w:r>
      <w:r w:rsidR="00A95E24">
        <w:rPr>
          <w:rFonts w:ascii="Arial" w:hAnsi="Arial" w:cs="Arial"/>
          <w:sz w:val="22"/>
        </w:rPr>
        <w:t xml:space="preserve"> </w:t>
      </w:r>
      <w:r w:rsidRPr="00275428">
        <w:rPr>
          <w:rFonts w:ascii="Arial" w:hAnsi="Arial" w:cs="Arial"/>
          <w:sz w:val="22"/>
        </w:rPr>
        <w:t>et al., 2025). Earlier evidence suggested that SP had potential benefits for service users but also highlighted weaknesses in the quality and consistency of the evidence base (Bickerdike et al., 2017).</w:t>
      </w:r>
    </w:p>
    <w:p w14:paraId="4A340195" w14:textId="04D4F777" w:rsidR="00C94F26" w:rsidRPr="00275428" w:rsidRDefault="00C94F26" w:rsidP="00275428">
      <w:pPr>
        <w:spacing w:after="240" w:line="360" w:lineRule="auto"/>
        <w:rPr>
          <w:rFonts w:ascii="Arial" w:hAnsi="Arial" w:cs="Arial"/>
          <w:sz w:val="22"/>
        </w:rPr>
      </w:pPr>
      <w:r w:rsidRPr="00275428">
        <w:rPr>
          <w:rFonts w:ascii="Arial" w:hAnsi="Arial" w:cs="Arial"/>
          <w:sz w:val="22"/>
        </w:rPr>
        <w:t>More recent research continues to report benefits such as improved social connection and wellbeing, while also identifying differences in how SP is delivered and experienced (Liebmann</w:t>
      </w:r>
      <w:r w:rsidR="00A26DFB">
        <w:rPr>
          <w:rFonts w:ascii="Arial" w:hAnsi="Arial" w:cs="Arial"/>
          <w:sz w:val="22"/>
        </w:rPr>
        <w:t xml:space="preserve"> </w:t>
      </w:r>
      <w:r w:rsidRPr="00275428">
        <w:rPr>
          <w:rFonts w:ascii="Arial" w:hAnsi="Arial" w:cs="Arial"/>
          <w:sz w:val="22"/>
        </w:rPr>
        <w:t>et al., 2022; Mulholland et al., 2025). Therefore, it is important to consider not only whether SP can produce positive outcomes, but also the conditions that may influence whether those benefits are achieved.</w:t>
      </w:r>
    </w:p>
    <w:p w14:paraId="482D9588" w14:textId="77777777" w:rsidR="00C94F26" w:rsidRPr="00275428" w:rsidRDefault="00C94F26" w:rsidP="00275428">
      <w:pPr>
        <w:spacing w:after="240" w:line="360" w:lineRule="auto"/>
        <w:rPr>
          <w:rFonts w:ascii="Arial" w:hAnsi="Arial" w:cs="Arial"/>
          <w:sz w:val="22"/>
        </w:rPr>
      </w:pPr>
      <w:r w:rsidRPr="00275428">
        <w:rPr>
          <w:rFonts w:ascii="Arial" w:hAnsi="Arial" w:cs="Arial"/>
          <w:sz w:val="22"/>
        </w:rPr>
        <w:t>This scoping review therefore asks: What are the main benefits and challenges of social prescribing in the UK? The review aims to map the available evidence on the benefits and challenges associated with SP and to consider what these findings mean for health and social care practice.</w:t>
      </w:r>
    </w:p>
    <w:p w14:paraId="04C91E6D" w14:textId="464E2F19" w:rsidR="00F12769" w:rsidRPr="00F12769" w:rsidRDefault="00C94F26" w:rsidP="00F12769">
      <w:pPr>
        <w:spacing w:after="240" w:line="360" w:lineRule="auto"/>
        <w:rPr>
          <w:rFonts w:ascii="Arial" w:hAnsi="Arial" w:cs="Arial"/>
          <w:sz w:val="22"/>
        </w:rPr>
      </w:pPr>
      <w:r w:rsidRPr="00275428">
        <w:rPr>
          <w:rFonts w:ascii="Arial" w:hAnsi="Arial" w:cs="Arial"/>
          <w:sz w:val="22"/>
        </w:rPr>
        <w:t>More specifically, the review examines the reported effects of SP on wellbeing and social connection, explores experiences and engagement, considers issues relating to access and health inequalities, and identifies challenges affecting implementation and sustainability. By bringing these areas together, the review seeks to provide a clearer understanding of both the potential value and the practical limitations of SP within the UK context</w:t>
      </w:r>
      <w:r w:rsidR="003108FB">
        <w:rPr>
          <w:rFonts w:ascii="Arial" w:hAnsi="Arial" w:cs="Arial"/>
          <w:sz w:val="22"/>
        </w:rPr>
        <w:t>.</w:t>
      </w:r>
    </w:p>
    <w:p w14:paraId="24499F6E" w14:textId="77777777" w:rsidR="00F12769" w:rsidRPr="00F12769" w:rsidRDefault="00F12769" w:rsidP="00F12769"/>
    <w:p w14:paraId="232E6A2E" w14:textId="5A824C98" w:rsidR="0026393A" w:rsidRPr="00275428" w:rsidRDefault="0026393A" w:rsidP="00275428">
      <w:pPr>
        <w:pStyle w:val="Heading1"/>
        <w:rPr>
          <w:rFonts w:cs="Arial"/>
        </w:rPr>
      </w:pPr>
      <w:r w:rsidRPr="00275428">
        <w:rPr>
          <w:rFonts w:cs="Arial"/>
        </w:rPr>
        <w:t>Background</w:t>
      </w:r>
      <w:r w:rsidR="00917562" w:rsidRPr="00275428">
        <w:rPr>
          <w:rFonts w:cs="Arial"/>
        </w:rPr>
        <w:t xml:space="preserve"> </w:t>
      </w:r>
    </w:p>
    <w:p w14:paraId="43F925E9" w14:textId="77777777" w:rsidR="002B08E6" w:rsidRDefault="002B08E6" w:rsidP="00275428">
      <w:pPr>
        <w:tabs>
          <w:tab w:val="left" w:pos="6540"/>
        </w:tabs>
        <w:spacing w:line="360" w:lineRule="auto"/>
        <w:rPr>
          <w:rFonts w:ascii="Arial" w:hAnsi="Arial" w:cs="Arial"/>
          <w:sz w:val="22"/>
        </w:rPr>
      </w:pPr>
    </w:p>
    <w:p w14:paraId="1C38E13B" w14:textId="5A2B69BA" w:rsidR="0043091A" w:rsidRPr="00275428" w:rsidRDefault="0043091A" w:rsidP="00275428">
      <w:pPr>
        <w:tabs>
          <w:tab w:val="left" w:pos="6540"/>
        </w:tabs>
        <w:spacing w:line="360" w:lineRule="auto"/>
        <w:rPr>
          <w:rFonts w:ascii="Arial" w:hAnsi="Arial" w:cs="Arial"/>
          <w:sz w:val="22"/>
        </w:rPr>
      </w:pPr>
      <w:r w:rsidRPr="00275428">
        <w:rPr>
          <w:rFonts w:ascii="Arial" w:hAnsi="Arial" w:cs="Arial"/>
          <w:sz w:val="22"/>
        </w:rPr>
        <w:t>The development of social prescribing in the UK reflects a wider transformation in health and social care towards preventative, personalised and community-based approaches</w:t>
      </w:r>
      <w:r w:rsidR="00593A8C">
        <w:rPr>
          <w:rFonts w:ascii="Arial" w:hAnsi="Arial" w:cs="Arial"/>
          <w:sz w:val="22"/>
        </w:rPr>
        <w:t xml:space="preserve"> </w:t>
      </w:r>
      <w:r w:rsidR="00593A8C" w:rsidRPr="00593A8C">
        <w:rPr>
          <w:rFonts w:ascii="Arial" w:hAnsi="Arial" w:cs="Arial"/>
          <w:sz w:val="22"/>
        </w:rPr>
        <w:t>(Morse et</w:t>
      </w:r>
      <w:r w:rsidR="001D427C">
        <w:rPr>
          <w:rFonts w:ascii="Arial" w:hAnsi="Arial" w:cs="Arial"/>
          <w:sz w:val="22"/>
        </w:rPr>
        <w:t xml:space="preserve"> </w:t>
      </w:r>
      <w:r w:rsidR="00593A8C" w:rsidRPr="00593A8C">
        <w:rPr>
          <w:rFonts w:ascii="Arial" w:hAnsi="Arial" w:cs="Arial"/>
          <w:sz w:val="22"/>
        </w:rPr>
        <w:t>al., 2022)</w:t>
      </w:r>
      <w:r w:rsidR="008735D1">
        <w:rPr>
          <w:rFonts w:ascii="Arial" w:hAnsi="Arial" w:cs="Arial"/>
          <w:sz w:val="22"/>
        </w:rPr>
        <w:t xml:space="preserve">. </w:t>
      </w:r>
      <w:r w:rsidRPr="00275428">
        <w:rPr>
          <w:rFonts w:ascii="Arial" w:hAnsi="Arial" w:cs="Arial"/>
          <w:sz w:val="22"/>
        </w:rPr>
        <w:t xml:space="preserve">Traditionally, healthcare systems have focused mainly on diagnosing and treating </w:t>
      </w:r>
      <w:r w:rsidRPr="00275428">
        <w:rPr>
          <w:rFonts w:ascii="Arial" w:hAnsi="Arial" w:cs="Arial"/>
          <w:sz w:val="22"/>
        </w:rPr>
        <w:lastRenderedPageBreak/>
        <w:t>illness; however, increasing recognition of the wider determinants of health has highlighted that factors such as housing, income, employment, social relationships and community participation can significantly influence health outcomes (Marmot et</w:t>
      </w:r>
      <w:r w:rsidR="001D427C">
        <w:rPr>
          <w:rFonts w:ascii="Arial" w:hAnsi="Arial" w:cs="Arial"/>
          <w:sz w:val="22"/>
        </w:rPr>
        <w:t xml:space="preserve"> </w:t>
      </w:r>
      <w:r w:rsidRPr="00275428">
        <w:rPr>
          <w:rFonts w:ascii="Arial" w:hAnsi="Arial" w:cs="Arial"/>
          <w:sz w:val="22"/>
        </w:rPr>
        <w:t>al., 2020). Consequently, social prescribing has developed as an approach that aims to connect individuals with non-clinical support and community resources that address needs beyond traditional medical interventions.</w:t>
      </w:r>
    </w:p>
    <w:p w14:paraId="4D254549" w14:textId="04462C36" w:rsidR="0043091A" w:rsidRPr="00275428" w:rsidRDefault="0043091A" w:rsidP="00275428">
      <w:pPr>
        <w:tabs>
          <w:tab w:val="left" w:pos="6540"/>
        </w:tabs>
        <w:spacing w:line="360" w:lineRule="auto"/>
        <w:rPr>
          <w:rFonts w:ascii="Arial" w:hAnsi="Arial" w:cs="Arial"/>
          <w:sz w:val="22"/>
        </w:rPr>
      </w:pPr>
      <w:r w:rsidRPr="00275428">
        <w:rPr>
          <w:rFonts w:ascii="Arial" w:hAnsi="Arial" w:cs="Arial"/>
          <w:sz w:val="22"/>
        </w:rPr>
        <w:t>Within the NHS, social prescribing has become part of the personalised care model, recognising that individuals may require support that considers their wider social circumstances</w:t>
      </w:r>
      <w:r w:rsidR="002B0D4E">
        <w:rPr>
          <w:rFonts w:ascii="Arial" w:hAnsi="Arial" w:cs="Arial"/>
          <w:sz w:val="22"/>
        </w:rPr>
        <w:t xml:space="preserve"> </w:t>
      </w:r>
      <w:r w:rsidR="002B0D4E" w:rsidRPr="002B0D4E">
        <w:rPr>
          <w:rFonts w:ascii="Arial" w:hAnsi="Arial" w:cs="Arial"/>
          <w:sz w:val="22"/>
        </w:rPr>
        <w:t>(NHS England, 2024).</w:t>
      </w:r>
      <w:r w:rsidRPr="00275428">
        <w:rPr>
          <w:rFonts w:ascii="Arial" w:hAnsi="Arial" w:cs="Arial"/>
          <w:sz w:val="22"/>
        </w:rPr>
        <w:t xml:space="preserve"> Through the introduction of Social Prescribing Link Workers, individuals are supported to identify personal goals and access appropriate community-based services, including voluntary organisations, wellbeing activities and practical support</w:t>
      </w:r>
      <w:r w:rsidR="00245630">
        <w:rPr>
          <w:rFonts w:ascii="Arial" w:hAnsi="Arial" w:cs="Arial"/>
          <w:sz w:val="22"/>
        </w:rPr>
        <w:t xml:space="preserve"> </w:t>
      </w:r>
      <w:r w:rsidR="00245630" w:rsidRPr="00245630">
        <w:rPr>
          <w:rFonts w:ascii="Arial" w:hAnsi="Arial" w:cs="Arial"/>
          <w:sz w:val="22"/>
        </w:rPr>
        <w:t>(NHS England, 2023)</w:t>
      </w:r>
      <w:r w:rsidR="00245630">
        <w:rPr>
          <w:rFonts w:ascii="Arial" w:hAnsi="Arial" w:cs="Arial"/>
          <w:sz w:val="22"/>
        </w:rPr>
        <w:t xml:space="preserve">. </w:t>
      </w:r>
      <w:r w:rsidRPr="00275428">
        <w:rPr>
          <w:rFonts w:ascii="Arial" w:hAnsi="Arial" w:cs="Arial"/>
          <w:sz w:val="22"/>
        </w:rPr>
        <w:t>T</w:t>
      </w:r>
      <w:r w:rsidR="00245630">
        <w:rPr>
          <w:rFonts w:ascii="Arial" w:hAnsi="Arial" w:cs="Arial"/>
          <w:sz w:val="22"/>
        </w:rPr>
        <w:t>h</w:t>
      </w:r>
      <w:r w:rsidRPr="00275428">
        <w:rPr>
          <w:rFonts w:ascii="Arial" w:hAnsi="Arial" w:cs="Arial"/>
          <w:sz w:val="22"/>
        </w:rPr>
        <w:t>ese roles have been incorporated into Primary Care Networks as part of a multidisciplinary approach to improve personalised care and strengthen connections between healthcare services and communities (NHS England, 2023).</w:t>
      </w:r>
    </w:p>
    <w:p w14:paraId="29DFEBD8" w14:textId="77777777" w:rsidR="0043091A" w:rsidRPr="00275428" w:rsidRDefault="0043091A" w:rsidP="00275428">
      <w:pPr>
        <w:tabs>
          <w:tab w:val="left" w:pos="6540"/>
        </w:tabs>
        <w:spacing w:line="360" w:lineRule="auto"/>
        <w:rPr>
          <w:rFonts w:ascii="Arial" w:hAnsi="Arial" w:cs="Arial"/>
          <w:sz w:val="22"/>
        </w:rPr>
      </w:pPr>
      <w:r w:rsidRPr="00275428">
        <w:rPr>
          <w:rFonts w:ascii="Arial" w:hAnsi="Arial" w:cs="Arial"/>
          <w:sz w:val="22"/>
        </w:rPr>
        <w:t>The importance of social prescribing was further established through the NHS Long Term Plan, which identified personalised care and community-based support as key components of future NHS development (NHS England, 2019). This reflects a shift towards prevention and early intervention, particularly for individuals experiencing loneliness, long-term conditions, mental health challenges or complex social needs.</w:t>
      </w:r>
    </w:p>
    <w:p w14:paraId="0E678DA5" w14:textId="07CF771E" w:rsidR="0043091A" w:rsidRPr="00275428" w:rsidRDefault="0043091A" w:rsidP="00275428">
      <w:pPr>
        <w:tabs>
          <w:tab w:val="left" w:pos="6540"/>
        </w:tabs>
        <w:spacing w:line="360" w:lineRule="auto"/>
        <w:rPr>
          <w:rFonts w:ascii="Arial" w:hAnsi="Arial" w:cs="Arial"/>
          <w:sz w:val="22"/>
        </w:rPr>
      </w:pPr>
      <w:r w:rsidRPr="00275428">
        <w:rPr>
          <w:rFonts w:ascii="Arial" w:hAnsi="Arial" w:cs="Arial"/>
          <w:sz w:val="22"/>
        </w:rPr>
        <w:t>Social prescribing also relies on collaboration with the voluntary, community and social enterprise (VCSE) sector</w:t>
      </w:r>
      <w:r w:rsidR="00CF0C23" w:rsidRPr="00CF0C23">
        <w:t xml:space="preserve"> </w:t>
      </w:r>
      <w:r w:rsidR="00CF0C23" w:rsidRPr="00CF0C23">
        <w:rPr>
          <w:rFonts w:ascii="Arial" w:hAnsi="Arial" w:cs="Arial"/>
          <w:sz w:val="22"/>
        </w:rPr>
        <w:t>(NHS England, 2023</w:t>
      </w:r>
      <w:r w:rsidR="00DF1FA1">
        <w:rPr>
          <w:rFonts w:ascii="Arial" w:hAnsi="Arial" w:cs="Arial"/>
          <w:sz w:val="22"/>
        </w:rPr>
        <w:t xml:space="preserve">). </w:t>
      </w:r>
      <w:r w:rsidRPr="00275428">
        <w:rPr>
          <w:rFonts w:ascii="Arial" w:hAnsi="Arial" w:cs="Arial"/>
          <w:sz w:val="22"/>
        </w:rPr>
        <w:t>Community organisations provide many of the activities and services accessed through social prescribing, including social groups, physical activity programmes, volunteering opportunities and welfare support</w:t>
      </w:r>
      <w:r w:rsidR="00F726F9">
        <w:rPr>
          <w:rFonts w:ascii="Arial" w:hAnsi="Arial" w:cs="Arial"/>
          <w:sz w:val="22"/>
        </w:rPr>
        <w:t xml:space="preserve"> </w:t>
      </w:r>
      <w:r w:rsidR="00F726F9" w:rsidRPr="00F726F9">
        <w:rPr>
          <w:rFonts w:ascii="Arial" w:hAnsi="Arial" w:cs="Arial"/>
          <w:sz w:val="22"/>
        </w:rPr>
        <w:t>(McSwiggan et al., 2025).</w:t>
      </w:r>
      <w:r w:rsidR="00F726F9">
        <w:rPr>
          <w:rFonts w:ascii="Arial" w:hAnsi="Arial" w:cs="Arial"/>
          <w:sz w:val="22"/>
        </w:rPr>
        <w:t xml:space="preserve"> </w:t>
      </w:r>
      <w:r w:rsidRPr="00275428">
        <w:rPr>
          <w:rFonts w:ascii="Arial" w:hAnsi="Arial" w:cs="Arial"/>
          <w:sz w:val="22"/>
        </w:rPr>
        <w:t>Therefore, the effectiveness of social prescribing depends not only on healthcare referrals but also on the availability and sustainability of local community resources (Pescheny</w:t>
      </w:r>
      <w:r w:rsidR="00794837">
        <w:rPr>
          <w:rFonts w:ascii="Arial" w:hAnsi="Arial" w:cs="Arial"/>
          <w:sz w:val="22"/>
        </w:rPr>
        <w:t xml:space="preserve"> et</w:t>
      </w:r>
      <w:r w:rsidRPr="00275428">
        <w:rPr>
          <w:rFonts w:ascii="Arial" w:hAnsi="Arial" w:cs="Arial"/>
          <w:sz w:val="22"/>
        </w:rPr>
        <w:t xml:space="preserve"> al., 20</w:t>
      </w:r>
      <w:r w:rsidR="00481F33">
        <w:rPr>
          <w:rFonts w:ascii="Arial" w:hAnsi="Arial" w:cs="Arial"/>
          <w:sz w:val="22"/>
        </w:rPr>
        <w:t>19</w:t>
      </w:r>
      <w:r w:rsidRPr="00275428">
        <w:rPr>
          <w:rFonts w:ascii="Arial" w:hAnsi="Arial" w:cs="Arial"/>
          <w:sz w:val="22"/>
        </w:rPr>
        <w:t>).</w:t>
      </w:r>
    </w:p>
    <w:p w14:paraId="0537CEF5" w14:textId="6CFB1224" w:rsidR="003E4ECF" w:rsidRPr="00A01B0F" w:rsidRDefault="00A01B0F" w:rsidP="00275428">
      <w:pPr>
        <w:tabs>
          <w:tab w:val="left" w:pos="6540"/>
        </w:tabs>
        <w:spacing w:line="360" w:lineRule="auto"/>
        <w:rPr>
          <w:rFonts w:ascii="Arial" w:hAnsi="Arial" w:cs="Arial"/>
          <w:sz w:val="22"/>
        </w:rPr>
      </w:pPr>
      <w:r w:rsidRPr="00A01B0F">
        <w:rPr>
          <w:rFonts w:ascii="Arial" w:hAnsi="Arial" w:cs="Arial"/>
          <w:sz w:val="22"/>
        </w:rPr>
        <w:t>However, the development of social prescribing must also be considered within the context of continuing health inequalities in the UK (Melam et al., 2025). Although the approach aims to address wider determinants of health, differences in socioeconomic conditions and access to community resources may influence how individuals engage with available support (Koser</w:t>
      </w:r>
      <w:r w:rsidR="00917359">
        <w:rPr>
          <w:rFonts w:ascii="Arial" w:hAnsi="Arial" w:cs="Arial"/>
          <w:sz w:val="22"/>
        </w:rPr>
        <w:t xml:space="preserve"> </w:t>
      </w:r>
      <w:r w:rsidRPr="00A01B0F">
        <w:rPr>
          <w:rFonts w:ascii="Arial" w:hAnsi="Arial" w:cs="Arial"/>
          <w:sz w:val="22"/>
        </w:rPr>
        <w:t>et</w:t>
      </w:r>
      <w:r w:rsidR="00917359">
        <w:rPr>
          <w:rFonts w:ascii="Arial" w:hAnsi="Arial" w:cs="Arial"/>
          <w:sz w:val="22"/>
        </w:rPr>
        <w:t xml:space="preserve"> </w:t>
      </w:r>
      <w:r w:rsidRPr="00A01B0F">
        <w:rPr>
          <w:rFonts w:ascii="Arial" w:hAnsi="Arial" w:cs="Arial"/>
          <w:sz w:val="22"/>
        </w:rPr>
        <w:t>al., 2024; Melam et al., 2025). Therefore, understanding the policy and service context of social prescribing is essential before examining evidence regarding its benefits and challenges.</w:t>
      </w:r>
    </w:p>
    <w:p w14:paraId="60B2CDC3" w14:textId="0A9CB01A" w:rsidR="00B87E75" w:rsidRPr="00275428" w:rsidRDefault="00B87E75" w:rsidP="00275428">
      <w:pPr>
        <w:pStyle w:val="Heading1"/>
        <w:rPr>
          <w:rFonts w:cs="Arial"/>
        </w:rPr>
      </w:pPr>
      <w:r w:rsidRPr="00275428">
        <w:rPr>
          <w:rFonts w:cs="Arial"/>
        </w:rPr>
        <w:lastRenderedPageBreak/>
        <w:t>Method</w:t>
      </w:r>
      <w:r w:rsidR="003E4ECF" w:rsidRPr="00275428">
        <w:rPr>
          <w:rFonts w:cs="Arial"/>
        </w:rPr>
        <w:t>s</w:t>
      </w:r>
      <w:r w:rsidR="00B0703E">
        <w:rPr>
          <w:rFonts w:cs="Arial"/>
        </w:rPr>
        <w:t>:</w:t>
      </w:r>
    </w:p>
    <w:p w14:paraId="3516E39D" w14:textId="77777777" w:rsidR="00AC46AB" w:rsidRPr="00275428" w:rsidRDefault="00AC46AB" w:rsidP="00275428">
      <w:pPr>
        <w:tabs>
          <w:tab w:val="left" w:pos="6540"/>
        </w:tabs>
        <w:spacing w:line="360" w:lineRule="auto"/>
        <w:rPr>
          <w:rFonts w:ascii="Arial" w:hAnsi="Arial" w:cs="Arial"/>
          <w:b/>
          <w:bCs/>
          <w:sz w:val="22"/>
        </w:rPr>
      </w:pPr>
    </w:p>
    <w:p w14:paraId="440968CB" w14:textId="5D9EEDD5" w:rsidR="00AC46AB" w:rsidRDefault="00AC46AB" w:rsidP="00275428">
      <w:pPr>
        <w:tabs>
          <w:tab w:val="left" w:pos="6540"/>
        </w:tabs>
        <w:spacing w:line="360" w:lineRule="auto"/>
        <w:rPr>
          <w:rFonts w:ascii="Arial" w:hAnsi="Arial" w:cs="Arial"/>
          <w:b/>
          <w:bCs/>
          <w:sz w:val="22"/>
        </w:rPr>
      </w:pPr>
      <w:r w:rsidRPr="00275428">
        <w:rPr>
          <w:rFonts w:ascii="Arial" w:hAnsi="Arial" w:cs="Arial"/>
          <w:b/>
          <w:bCs/>
          <w:sz w:val="22"/>
        </w:rPr>
        <w:t>Data collection</w:t>
      </w:r>
    </w:p>
    <w:p w14:paraId="726F225B" w14:textId="0CD0A72A" w:rsidR="009C1EDA" w:rsidRPr="009C1EDA" w:rsidRDefault="009C1EDA" w:rsidP="00275428">
      <w:pPr>
        <w:tabs>
          <w:tab w:val="left" w:pos="6540"/>
        </w:tabs>
        <w:spacing w:line="360" w:lineRule="auto"/>
        <w:rPr>
          <w:rFonts w:ascii="Arial" w:hAnsi="Arial" w:cs="Arial"/>
          <w:sz w:val="22"/>
        </w:rPr>
      </w:pPr>
      <w:r w:rsidRPr="009C1EDA">
        <w:rPr>
          <w:rFonts w:ascii="Arial" w:hAnsi="Arial" w:cs="Arial"/>
          <w:sz w:val="22"/>
        </w:rPr>
        <w:t>A scoping review was used to explore the benefits and challenges of social prescribing (SP) in the UK, following the methodological guidance for scoping reviews outlined by Peters et al. (2021). The literature search was carried out using PubMed, Google Scholar, ProQuest and the University of Wales Trinity Saint David Online Library. In addition, NHS England and NICE were consulted for relevant UK policy and practice information. Several search terms were combined using Boolean operators, including “social prescribing” AND “UK”, “social prescribing” AND “wellbeing”, “social prescribing” AND “implementation”, and “social prescribing” AND “health inequalities”. Reference lists from relevant publications were also checked to identify further sources.</w:t>
      </w:r>
    </w:p>
    <w:p w14:paraId="5BF07D67" w14:textId="77777777" w:rsidR="00AC46AB" w:rsidRDefault="00AC46AB" w:rsidP="00275428">
      <w:pPr>
        <w:tabs>
          <w:tab w:val="left" w:pos="6540"/>
        </w:tabs>
        <w:spacing w:line="360" w:lineRule="auto"/>
        <w:rPr>
          <w:rFonts w:ascii="Arial" w:hAnsi="Arial" w:cs="Arial"/>
          <w:b/>
          <w:bCs/>
          <w:sz w:val="22"/>
        </w:rPr>
      </w:pPr>
      <w:r w:rsidRPr="00275428">
        <w:rPr>
          <w:rFonts w:ascii="Arial" w:hAnsi="Arial" w:cs="Arial"/>
          <w:b/>
          <w:bCs/>
          <w:sz w:val="22"/>
        </w:rPr>
        <w:t>Inclusion and exclusion criteria</w:t>
      </w:r>
    </w:p>
    <w:p w14:paraId="2FBA4636" w14:textId="77777777" w:rsidR="008458E0" w:rsidRPr="008458E0" w:rsidRDefault="008458E0" w:rsidP="00275428">
      <w:pPr>
        <w:tabs>
          <w:tab w:val="left" w:pos="6540"/>
        </w:tabs>
        <w:spacing w:line="360" w:lineRule="auto"/>
        <w:rPr>
          <w:rFonts w:ascii="Arial" w:hAnsi="Arial" w:cs="Arial"/>
          <w:sz w:val="22"/>
        </w:rPr>
      </w:pPr>
      <w:r w:rsidRPr="008458E0">
        <w:rPr>
          <w:rFonts w:ascii="Arial" w:hAnsi="Arial" w:cs="Arial"/>
          <w:sz w:val="22"/>
        </w:rPr>
        <w:t>Studies were included when they focused on social prescribing in the UK, were written in English, had been published within the previous 10 years, and examined benefits, experiences, access, health inequalities or implementation challenges relevant to the review question. In contrast, studies conducted outside the UK, publications not available in English, those published more than 10 years ago, and sources not directly related to social prescribing were excluded.</w:t>
      </w:r>
    </w:p>
    <w:p w14:paraId="296D7BB3" w14:textId="34B570EF" w:rsidR="00AC46AB" w:rsidRPr="00275428" w:rsidRDefault="00AC46AB" w:rsidP="00275428">
      <w:pPr>
        <w:tabs>
          <w:tab w:val="left" w:pos="6540"/>
        </w:tabs>
        <w:spacing w:line="360" w:lineRule="auto"/>
        <w:rPr>
          <w:rFonts w:ascii="Arial" w:hAnsi="Arial" w:cs="Arial"/>
          <w:b/>
          <w:bCs/>
          <w:sz w:val="22"/>
        </w:rPr>
      </w:pPr>
      <w:r w:rsidRPr="00275428">
        <w:rPr>
          <w:rFonts w:ascii="Arial" w:hAnsi="Arial" w:cs="Arial"/>
          <w:b/>
          <w:bCs/>
          <w:sz w:val="22"/>
        </w:rPr>
        <w:t>Data analysis</w:t>
      </w:r>
    </w:p>
    <w:p w14:paraId="02C7D7A9" w14:textId="77777777" w:rsidR="00577691" w:rsidRPr="00577691" w:rsidRDefault="00577691" w:rsidP="00275428">
      <w:pPr>
        <w:tabs>
          <w:tab w:val="left" w:pos="6540"/>
        </w:tabs>
        <w:spacing w:line="360" w:lineRule="auto"/>
        <w:rPr>
          <w:rFonts w:ascii="Arial" w:hAnsi="Arial" w:cs="Arial"/>
          <w:sz w:val="22"/>
        </w:rPr>
      </w:pPr>
      <w:r w:rsidRPr="00577691">
        <w:rPr>
          <w:rFonts w:ascii="Arial" w:hAnsi="Arial" w:cs="Arial"/>
          <w:sz w:val="22"/>
        </w:rPr>
        <w:t>The titles and abstracts were first reviewed using the inclusion and exclusion criteria, and the full texts were then examined. The selected studies were reviewed and compared according to their findings and relevance to the review question. Similarities, differences and recurring issues were identified across the evidence. This process led to four themes: wellbeing and social connection; person-centred experiences and engagement; inequalities and access; and implementation, resources and sustainability (Peters et al., 2021).</w:t>
      </w:r>
    </w:p>
    <w:p w14:paraId="76DC5F41" w14:textId="3EBD6491" w:rsidR="00AC46AB" w:rsidRPr="00275428" w:rsidRDefault="00AC46AB" w:rsidP="00275428">
      <w:pPr>
        <w:tabs>
          <w:tab w:val="left" w:pos="6540"/>
        </w:tabs>
        <w:spacing w:line="360" w:lineRule="auto"/>
        <w:rPr>
          <w:rFonts w:ascii="Arial" w:hAnsi="Arial" w:cs="Arial"/>
          <w:b/>
          <w:bCs/>
          <w:sz w:val="22"/>
        </w:rPr>
      </w:pPr>
      <w:r w:rsidRPr="00275428">
        <w:rPr>
          <w:rFonts w:ascii="Arial" w:hAnsi="Arial" w:cs="Arial"/>
          <w:b/>
          <w:bCs/>
          <w:sz w:val="22"/>
        </w:rPr>
        <w:t>Ethical considerations</w:t>
      </w:r>
    </w:p>
    <w:p w14:paraId="4FC14C6B" w14:textId="3C9154DB" w:rsidR="00B87E75" w:rsidRDefault="00D66C47" w:rsidP="00275428">
      <w:pPr>
        <w:tabs>
          <w:tab w:val="left" w:pos="6540"/>
        </w:tabs>
        <w:spacing w:line="360" w:lineRule="auto"/>
        <w:rPr>
          <w:rFonts w:ascii="Arial" w:hAnsi="Arial" w:cs="Arial"/>
          <w:sz w:val="22"/>
        </w:rPr>
      </w:pPr>
      <w:r w:rsidRPr="00D66C47">
        <w:rPr>
          <w:rFonts w:ascii="Arial" w:hAnsi="Arial" w:cs="Arial"/>
          <w:sz w:val="22"/>
        </w:rPr>
        <w:t>Ethical considerations focused on using published evidence responsibly. The selected literature was reviewed carefully, with original authors acknowledged through appropriate referencing. Findings were paraphrased while retaining their intended meaning and were presented accurately to avoid misrepresentation of the evidence.</w:t>
      </w:r>
    </w:p>
    <w:p w14:paraId="6E54D3AF" w14:textId="77777777" w:rsidR="00EB4D27" w:rsidRPr="00275428" w:rsidRDefault="00EB4D27" w:rsidP="00275428">
      <w:pPr>
        <w:tabs>
          <w:tab w:val="left" w:pos="6540"/>
        </w:tabs>
        <w:spacing w:line="360" w:lineRule="auto"/>
        <w:rPr>
          <w:rFonts w:ascii="Arial" w:hAnsi="Arial" w:cs="Arial"/>
          <w:sz w:val="22"/>
        </w:rPr>
      </w:pPr>
    </w:p>
    <w:p w14:paraId="581C99BF" w14:textId="7E814FDC" w:rsidR="00B87E75" w:rsidRPr="00275428" w:rsidRDefault="00B87E75" w:rsidP="00275428">
      <w:pPr>
        <w:pStyle w:val="Heading1"/>
        <w:rPr>
          <w:rFonts w:cs="Arial"/>
        </w:rPr>
      </w:pPr>
      <w:r w:rsidRPr="00275428">
        <w:rPr>
          <w:rFonts w:cs="Arial"/>
        </w:rPr>
        <w:lastRenderedPageBreak/>
        <w:t>Results</w:t>
      </w:r>
    </w:p>
    <w:p w14:paraId="4C204DDE" w14:textId="77777777" w:rsidR="007E2D9D" w:rsidRPr="00275428" w:rsidRDefault="007E2D9D" w:rsidP="00275428">
      <w:pPr>
        <w:tabs>
          <w:tab w:val="left" w:pos="6540"/>
        </w:tabs>
        <w:spacing w:line="360" w:lineRule="auto"/>
        <w:rPr>
          <w:rFonts w:ascii="Arial" w:hAnsi="Arial" w:cs="Arial"/>
          <w:sz w:val="22"/>
        </w:rPr>
      </w:pPr>
    </w:p>
    <w:p w14:paraId="3652C79B" w14:textId="77777777" w:rsidR="000E1609" w:rsidRPr="00275428" w:rsidRDefault="000E1609" w:rsidP="00275428">
      <w:pPr>
        <w:spacing w:line="360" w:lineRule="auto"/>
        <w:rPr>
          <w:rFonts w:ascii="Arial" w:hAnsi="Arial" w:cs="Arial"/>
          <w:sz w:val="22"/>
        </w:rPr>
      </w:pPr>
      <w:r w:rsidRPr="00275428">
        <w:rPr>
          <w:rFonts w:ascii="Arial" w:hAnsi="Arial" w:cs="Arial"/>
          <w:sz w:val="22"/>
        </w:rPr>
        <w:t>Following the search and screening process, five studies were selected for this scoping review. Together, they examined different aspects of social prescribing (SP), including wellbeing outcomes, patient experiences, referral patterns and health inequalities, community assets, and implementation challenges.</w:t>
      </w:r>
    </w:p>
    <w:p w14:paraId="20C05F86" w14:textId="682835D7" w:rsidR="000E1609" w:rsidRPr="00275428" w:rsidRDefault="000E1609" w:rsidP="00275428">
      <w:pPr>
        <w:spacing w:line="360" w:lineRule="auto"/>
        <w:rPr>
          <w:rFonts w:ascii="Arial" w:hAnsi="Arial" w:cs="Arial"/>
          <w:sz w:val="22"/>
        </w:rPr>
      </w:pPr>
      <w:r w:rsidRPr="00275428">
        <w:rPr>
          <w:rFonts w:ascii="Arial" w:hAnsi="Arial" w:cs="Arial"/>
          <w:sz w:val="22"/>
        </w:rPr>
        <w:t>Bu</w:t>
      </w:r>
      <w:r w:rsidR="00F632D1">
        <w:rPr>
          <w:rFonts w:ascii="Arial" w:hAnsi="Arial" w:cs="Arial"/>
          <w:sz w:val="22"/>
        </w:rPr>
        <w:t xml:space="preserve"> </w:t>
      </w:r>
      <w:r w:rsidRPr="00275428">
        <w:rPr>
          <w:rFonts w:ascii="Arial" w:hAnsi="Arial" w:cs="Arial"/>
          <w:sz w:val="22"/>
        </w:rPr>
        <w:t>et al. (2026) examined wellbeing outcomes, while Handayani</w:t>
      </w:r>
      <w:r w:rsidR="00984047">
        <w:rPr>
          <w:rFonts w:ascii="Arial" w:hAnsi="Arial" w:cs="Arial"/>
          <w:sz w:val="22"/>
        </w:rPr>
        <w:t xml:space="preserve"> </w:t>
      </w:r>
      <w:r w:rsidRPr="00275428">
        <w:rPr>
          <w:rFonts w:ascii="Arial" w:hAnsi="Arial" w:cs="Arial"/>
          <w:sz w:val="22"/>
        </w:rPr>
        <w:t xml:space="preserve">et al., (2025) explored experiences of </w:t>
      </w:r>
      <w:r w:rsidR="00B269C9">
        <w:rPr>
          <w:rFonts w:ascii="Arial" w:hAnsi="Arial" w:cs="Arial"/>
          <w:sz w:val="22"/>
        </w:rPr>
        <w:t>social prescribing</w:t>
      </w:r>
      <w:r w:rsidRPr="00275428">
        <w:rPr>
          <w:rFonts w:ascii="Arial" w:hAnsi="Arial" w:cs="Arial"/>
          <w:sz w:val="22"/>
        </w:rPr>
        <w:t xml:space="preserve">. Bu et al. (2024) investigated referral patterns and inequalities, Thomson et al., (2026) examined the role of community assets and partnerships, and Rafiei </w:t>
      </w:r>
      <w:r w:rsidR="00F632D1" w:rsidRPr="00275428">
        <w:rPr>
          <w:rFonts w:ascii="Arial" w:hAnsi="Arial" w:cs="Arial"/>
          <w:sz w:val="22"/>
        </w:rPr>
        <w:t>et</w:t>
      </w:r>
      <w:r w:rsidR="00F632D1">
        <w:rPr>
          <w:rFonts w:ascii="Arial" w:hAnsi="Arial" w:cs="Arial"/>
          <w:sz w:val="22"/>
        </w:rPr>
        <w:t xml:space="preserve"> </w:t>
      </w:r>
      <w:r w:rsidR="00F632D1" w:rsidRPr="00275428">
        <w:rPr>
          <w:rFonts w:ascii="Arial" w:hAnsi="Arial" w:cs="Arial"/>
          <w:sz w:val="22"/>
        </w:rPr>
        <w:t>al.</w:t>
      </w:r>
      <w:r w:rsidRPr="00275428">
        <w:rPr>
          <w:rFonts w:ascii="Arial" w:hAnsi="Arial" w:cs="Arial"/>
          <w:sz w:val="22"/>
        </w:rPr>
        <w:t>, (2024) explored barriers to implementation. This range of evidence allowed the findings to be compared across individual experiences, population-level outcomes and the wider conditions influencing implementation.</w:t>
      </w:r>
    </w:p>
    <w:p w14:paraId="1250FD08" w14:textId="77777777" w:rsidR="0027312D" w:rsidRPr="00275428" w:rsidRDefault="0027312D" w:rsidP="00275428">
      <w:pPr>
        <w:tabs>
          <w:tab w:val="left" w:pos="6540"/>
        </w:tabs>
        <w:spacing w:line="360" w:lineRule="auto"/>
        <w:rPr>
          <w:rFonts w:ascii="Arial" w:hAnsi="Arial" w:cs="Arial"/>
          <w:sz w:val="22"/>
        </w:rPr>
      </w:pPr>
    </w:p>
    <w:p w14:paraId="11FB9832" w14:textId="77777777" w:rsidR="007E2D9D" w:rsidRPr="00275428" w:rsidRDefault="007E2D9D" w:rsidP="00275428">
      <w:pPr>
        <w:tabs>
          <w:tab w:val="left" w:pos="6540"/>
        </w:tabs>
        <w:spacing w:line="360" w:lineRule="auto"/>
        <w:rPr>
          <w:rFonts w:ascii="Arial" w:hAnsi="Arial" w:cs="Arial"/>
          <w:sz w:val="22"/>
        </w:rPr>
      </w:pPr>
    </w:p>
    <w:p w14:paraId="396928E2" w14:textId="77777777" w:rsidR="007E2D9D" w:rsidRPr="00275428" w:rsidRDefault="007E2D9D" w:rsidP="00275428">
      <w:pPr>
        <w:tabs>
          <w:tab w:val="left" w:pos="6540"/>
        </w:tabs>
        <w:spacing w:line="360" w:lineRule="auto"/>
        <w:rPr>
          <w:rFonts w:ascii="Arial" w:hAnsi="Arial" w:cs="Arial"/>
          <w:sz w:val="22"/>
        </w:rPr>
      </w:pPr>
    </w:p>
    <w:p w14:paraId="79FE401D" w14:textId="77777777" w:rsidR="007E2D9D" w:rsidRPr="00275428" w:rsidRDefault="007E2D9D" w:rsidP="00275428">
      <w:pPr>
        <w:tabs>
          <w:tab w:val="left" w:pos="6540"/>
        </w:tabs>
        <w:spacing w:line="360" w:lineRule="auto"/>
        <w:rPr>
          <w:rFonts w:ascii="Arial" w:hAnsi="Arial" w:cs="Arial"/>
          <w:sz w:val="22"/>
        </w:rPr>
      </w:pPr>
    </w:p>
    <w:p w14:paraId="411B9FC5" w14:textId="77777777" w:rsidR="007E2D9D" w:rsidRPr="00275428" w:rsidRDefault="007E2D9D" w:rsidP="00275428">
      <w:pPr>
        <w:tabs>
          <w:tab w:val="left" w:pos="6540"/>
        </w:tabs>
        <w:spacing w:line="360" w:lineRule="auto"/>
        <w:rPr>
          <w:rFonts w:ascii="Arial" w:hAnsi="Arial" w:cs="Arial"/>
          <w:sz w:val="22"/>
        </w:rPr>
      </w:pPr>
    </w:p>
    <w:p w14:paraId="677723E8" w14:textId="77777777" w:rsidR="007E2D9D" w:rsidRPr="00275428" w:rsidRDefault="007E2D9D" w:rsidP="00275428">
      <w:pPr>
        <w:tabs>
          <w:tab w:val="left" w:pos="6540"/>
        </w:tabs>
        <w:spacing w:line="360" w:lineRule="auto"/>
        <w:rPr>
          <w:rFonts w:ascii="Arial" w:hAnsi="Arial" w:cs="Arial"/>
          <w:sz w:val="22"/>
        </w:rPr>
      </w:pPr>
    </w:p>
    <w:p w14:paraId="611E33C7" w14:textId="77777777" w:rsidR="007E2D9D" w:rsidRPr="00275428" w:rsidRDefault="007E2D9D" w:rsidP="00275428">
      <w:pPr>
        <w:tabs>
          <w:tab w:val="left" w:pos="6540"/>
        </w:tabs>
        <w:spacing w:line="360" w:lineRule="auto"/>
        <w:rPr>
          <w:rFonts w:ascii="Arial" w:hAnsi="Arial" w:cs="Arial"/>
          <w:sz w:val="22"/>
        </w:rPr>
      </w:pPr>
    </w:p>
    <w:p w14:paraId="6AA23810" w14:textId="77777777" w:rsidR="007E2D9D" w:rsidRPr="00275428" w:rsidRDefault="007E2D9D" w:rsidP="00275428">
      <w:pPr>
        <w:tabs>
          <w:tab w:val="left" w:pos="6540"/>
        </w:tabs>
        <w:spacing w:line="360" w:lineRule="auto"/>
        <w:rPr>
          <w:rFonts w:ascii="Arial" w:hAnsi="Arial" w:cs="Arial"/>
          <w:sz w:val="22"/>
        </w:rPr>
      </w:pPr>
    </w:p>
    <w:p w14:paraId="67A48534" w14:textId="68FDD18F" w:rsidR="00B8304B" w:rsidRPr="00275428" w:rsidRDefault="00B8304B" w:rsidP="00275428">
      <w:pPr>
        <w:tabs>
          <w:tab w:val="left" w:pos="6540"/>
        </w:tabs>
        <w:spacing w:line="360" w:lineRule="auto"/>
        <w:rPr>
          <w:rFonts w:ascii="Arial" w:hAnsi="Arial" w:cs="Arial"/>
          <w:sz w:val="22"/>
        </w:rPr>
      </w:pPr>
    </w:p>
    <w:tbl>
      <w:tblPr>
        <w:tblpPr w:leftFromText="180" w:rightFromText="180" w:vertAnchor="page" w:horzAnchor="margin" w:tblpXSpec="center" w:tblpY="5421"/>
        <w:tblW w:w="11448" w:type="dxa"/>
        <w:tblCellMar>
          <w:left w:w="0" w:type="dxa"/>
          <w:right w:w="0" w:type="dxa"/>
        </w:tblCellMar>
        <w:tblLook w:val="04A0" w:firstRow="1" w:lastRow="0" w:firstColumn="1" w:lastColumn="0" w:noHBand="0" w:noVBand="1"/>
      </w:tblPr>
      <w:tblGrid>
        <w:gridCol w:w="494"/>
        <w:gridCol w:w="2322"/>
        <w:gridCol w:w="2224"/>
        <w:gridCol w:w="2440"/>
        <w:gridCol w:w="3968"/>
      </w:tblGrid>
      <w:tr w:rsidR="001753AB" w:rsidRPr="00275428" w14:paraId="403E0F6F" w14:textId="77777777" w:rsidTr="00A3708D">
        <w:trPr>
          <w:trHeight w:val="685"/>
        </w:trPr>
        <w:tc>
          <w:tcPr>
            <w:tcW w:w="494" w:type="dxa"/>
            <w:tcBorders>
              <w:top w:val="single" w:sz="8" w:space="0" w:color="000000"/>
              <w:left w:val="single" w:sz="8" w:space="0" w:color="000000"/>
              <w:bottom w:val="single" w:sz="8" w:space="0" w:color="000000"/>
              <w:right w:val="single" w:sz="8" w:space="0" w:color="000000"/>
            </w:tcBorders>
          </w:tcPr>
          <w:p w14:paraId="20BF297E" w14:textId="77777777" w:rsidR="001753AB" w:rsidRPr="00275428" w:rsidRDefault="001753AB" w:rsidP="00275428">
            <w:pPr>
              <w:spacing w:line="360" w:lineRule="auto"/>
              <w:rPr>
                <w:rFonts w:ascii="Arial" w:hAnsi="Arial" w:cs="Arial"/>
                <w:b/>
                <w:bCs/>
              </w:rPr>
            </w:pPr>
          </w:p>
        </w:tc>
        <w:tc>
          <w:tcPr>
            <w:tcW w:w="2322"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60A79D3D" w14:textId="77777777" w:rsidR="001753AB" w:rsidRPr="00275428" w:rsidRDefault="001753AB" w:rsidP="00275428">
            <w:pPr>
              <w:spacing w:line="360" w:lineRule="auto"/>
              <w:rPr>
                <w:rFonts w:ascii="Arial" w:hAnsi="Arial" w:cs="Arial"/>
                <w:b/>
                <w:bCs/>
              </w:rPr>
            </w:pPr>
            <w:r w:rsidRPr="00275428">
              <w:rPr>
                <w:rFonts w:ascii="Arial" w:hAnsi="Arial" w:cs="Arial"/>
                <w:b/>
                <w:bCs/>
              </w:rPr>
              <w:t>Article citation</w:t>
            </w:r>
          </w:p>
        </w:tc>
        <w:tc>
          <w:tcPr>
            <w:tcW w:w="2224"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19481E88" w14:textId="77777777" w:rsidR="001753AB" w:rsidRPr="00275428" w:rsidRDefault="001753AB" w:rsidP="00275428">
            <w:pPr>
              <w:spacing w:line="360" w:lineRule="auto"/>
              <w:rPr>
                <w:rFonts w:ascii="Arial" w:hAnsi="Arial" w:cs="Arial"/>
                <w:b/>
                <w:bCs/>
              </w:rPr>
            </w:pPr>
            <w:r w:rsidRPr="00275428">
              <w:rPr>
                <w:rFonts w:ascii="Arial" w:hAnsi="Arial" w:cs="Arial"/>
                <w:b/>
                <w:bCs/>
              </w:rPr>
              <w:t>Aim of study</w:t>
            </w:r>
          </w:p>
        </w:tc>
        <w:tc>
          <w:tcPr>
            <w:tcW w:w="2440"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7EC7F40F" w14:textId="77777777" w:rsidR="001753AB" w:rsidRPr="00275428" w:rsidRDefault="001753AB" w:rsidP="00275428">
            <w:pPr>
              <w:spacing w:line="360" w:lineRule="auto"/>
              <w:rPr>
                <w:rFonts w:ascii="Arial" w:hAnsi="Arial" w:cs="Arial"/>
                <w:b/>
                <w:bCs/>
              </w:rPr>
            </w:pPr>
            <w:r w:rsidRPr="00275428">
              <w:rPr>
                <w:rFonts w:ascii="Arial" w:hAnsi="Arial" w:cs="Arial"/>
                <w:b/>
                <w:bCs/>
              </w:rPr>
              <w:t>Methods, Sample size and characteristics</w:t>
            </w:r>
          </w:p>
        </w:tc>
        <w:tc>
          <w:tcPr>
            <w:tcW w:w="3968"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57EAED8A" w14:textId="77777777" w:rsidR="001753AB" w:rsidRPr="00275428" w:rsidRDefault="001753AB" w:rsidP="00275428">
            <w:pPr>
              <w:spacing w:line="360" w:lineRule="auto"/>
              <w:rPr>
                <w:rFonts w:ascii="Arial" w:hAnsi="Arial" w:cs="Arial"/>
                <w:b/>
                <w:bCs/>
              </w:rPr>
            </w:pPr>
            <w:r w:rsidRPr="00275428">
              <w:rPr>
                <w:rFonts w:ascii="Arial" w:hAnsi="Arial" w:cs="Arial"/>
                <w:b/>
                <w:bCs/>
              </w:rPr>
              <w:t>Summary of main findings</w:t>
            </w:r>
          </w:p>
          <w:p w14:paraId="6AA7BE57" w14:textId="77777777" w:rsidR="001753AB" w:rsidRPr="00275428" w:rsidRDefault="001753AB" w:rsidP="00275428">
            <w:pPr>
              <w:spacing w:line="360" w:lineRule="auto"/>
              <w:rPr>
                <w:rFonts w:ascii="Arial" w:hAnsi="Arial" w:cs="Arial"/>
                <w:b/>
                <w:bCs/>
              </w:rPr>
            </w:pPr>
            <w:r w:rsidRPr="00275428">
              <w:rPr>
                <w:rFonts w:ascii="Arial" w:hAnsi="Arial" w:cs="Arial"/>
                <w:b/>
                <w:bCs/>
              </w:rPr>
              <w:t xml:space="preserve"> </w:t>
            </w:r>
          </w:p>
        </w:tc>
      </w:tr>
      <w:tr w:rsidR="001753AB" w:rsidRPr="00275428" w14:paraId="5D19F9C5" w14:textId="77777777" w:rsidTr="00A3708D">
        <w:trPr>
          <w:trHeight w:val="381"/>
        </w:trPr>
        <w:tc>
          <w:tcPr>
            <w:tcW w:w="494" w:type="dxa"/>
            <w:tcBorders>
              <w:top w:val="single" w:sz="8" w:space="0" w:color="000000"/>
              <w:left w:val="single" w:sz="8" w:space="0" w:color="000000"/>
              <w:bottom w:val="single" w:sz="8" w:space="0" w:color="000000"/>
              <w:right w:val="single" w:sz="8" w:space="0" w:color="000000"/>
            </w:tcBorders>
          </w:tcPr>
          <w:p w14:paraId="27E2EA85" w14:textId="77777777" w:rsidR="001753AB" w:rsidRPr="00275428" w:rsidRDefault="001753AB" w:rsidP="00275428">
            <w:pPr>
              <w:spacing w:line="360" w:lineRule="auto"/>
              <w:jc w:val="center"/>
              <w:rPr>
                <w:rFonts w:ascii="Arial" w:hAnsi="Arial" w:cs="Arial"/>
                <w:b/>
                <w:bCs/>
              </w:rPr>
            </w:pPr>
            <w:r w:rsidRPr="00275428">
              <w:rPr>
                <w:rFonts w:ascii="Arial" w:hAnsi="Arial" w:cs="Arial"/>
                <w:b/>
                <w:bCs/>
              </w:rPr>
              <w:t>1</w:t>
            </w:r>
          </w:p>
        </w:tc>
        <w:tc>
          <w:tcPr>
            <w:tcW w:w="2322"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474BB7F3" w14:textId="77777777" w:rsidR="001753AB" w:rsidRPr="00275428" w:rsidRDefault="001753AB" w:rsidP="00275428">
            <w:pPr>
              <w:spacing w:line="360" w:lineRule="auto"/>
              <w:rPr>
                <w:rFonts w:ascii="Arial" w:hAnsi="Arial" w:cs="Arial"/>
                <w:sz w:val="22"/>
              </w:rPr>
            </w:pPr>
            <w:r w:rsidRPr="00275428">
              <w:rPr>
                <w:rFonts w:ascii="Arial" w:hAnsi="Arial" w:cs="Arial"/>
                <w:sz w:val="22"/>
              </w:rPr>
              <w:t xml:space="preserve">Bu et al. (2026) </w:t>
            </w:r>
            <w:r w:rsidRPr="00275428">
              <w:rPr>
                <w:rFonts w:ascii="Arial" w:hAnsi="Arial" w:cs="Arial"/>
                <w:i/>
                <w:iCs/>
                <w:sz w:val="22"/>
              </w:rPr>
              <w:t>The impact of social prescribing on well-being outcomes in a nationwide analysis</w:t>
            </w:r>
            <w:r w:rsidRPr="00275428">
              <w:rPr>
                <w:rFonts w:ascii="Arial" w:hAnsi="Arial" w:cs="Arial"/>
                <w:sz w:val="22"/>
              </w:rPr>
              <w:t>. Nature Health.</w:t>
            </w:r>
          </w:p>
          <w:p w14:paraId="3EDCB1A1" w14:textId="77777777" w:rsidR="001753AB" w:rsidRPr="00275428" w:rsidRDefault="001753AB" w:rsidP="00275428">
            <w:pPr>
              <w:spacing w:line="360" w:lineRule="auto"/>
              <w:rPr>
                <w:rFonts w:ascii="Arial" w:hAnsi="Arial" w:cs="Arial"/>
                <w:sz w:val="22"/>
              </w:rPr>
            </w:pPr>
          </w:p>
        </w:tc>
        <w:tc>
          <w:tcPr>
            <w:tcW w:w="2224"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33974ADA" w14:textId="77777777" w:rsidR="001753AB" w:rsidRPr="00275428" w:rsidRDefault="001753AB" w:rsidP="00275428">
            <w:pPr>
              <w:spacing w:line="360" w:lineRule="auto"/>
              <w:rPr>
                <w:rFonts w:ascii="Arial" w:hAnsi="Arial" w:cs="Arial"/>
              </w:rPr>
            </w:pPr>
            <w:r w:rsidRPr="00275428">
              <w:rPr>
                <w:rFonts w:ascii="Arial" w:hAnsi="Arial" w:cs="Arial"/>
              </w:rPr>
              <w:t>To evaluate the impact of social prescribing on wellbeing outcomes in the UK.</w:t>
            </w:r>
          </w:p>
        </w:tc>
        <w:tc>
          <w:tcPr>
            <w:tcW w:w="2440"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4E1F4D1C" w14:textId="033D1AC2" w:rsidR="001753AB" w:rsidRPr="00275428" w:rsidRDefault="001F0291" w:rsidP="00275428">
            <w:pPr>
              <w:spacing w:line="360" w:lineRule="auto"/>
              <w:rPr>
                <w:rFonts w:ascii="Arial" w:hAnsi="Arial" w:cs="Arial"/>
              </w:rPr>
            </w:pPr>
            <w:r>
              <w:rPr>
                <w:rFonts w:ascii="Arial" w:hAnsi="Arial" w:cs="Arial"/>
              </w:rPr>
              <w:t>S</w:t>
            </w:r>
            <w:r w:rsidR="001753AB" w:rsidRPr="00275428">
              <w:rPr>
                <w:rFonts w:ascii="Arial" w:hAnsi="Arial" w:cs="Arial"/>
              </w:rPr>
              <w:t>tudy using routine data from 14,657–19,627 patients referred to social prescribing services across the UK.</w:t>
            </w:r>
          </w:p>
        </w:tc>
        <w:tc>
          <w:tcPr>
            <w:tcW w:w="3968"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1DE02B1" w14:textId="77777777" w:rsidR="001753AB" w:rsidRPr="00275428" w:rsidRDefault="001753AB" w:rsidP="00275428">
            <w:pPr>
              <w:spacing w:line="360" w:lineRule="auto"/>
              <w:rPr>
                <w:rFonts w:ascii="Arial" w:hAnsi="Arial" w:cs="Arial"/>
              </w:rPr>
            </w:pPr>
            <w:r w:rsidRPr="00275428">
              <w:rPr>
                <w:rFonts w:ascii="Arial" w:hAnsi="Arial" w:cs="Arial"/>
              </w:rPr>
              <w:t>Social prescribing was associated with improved mental wellbeing, happiness, life satisfaction and sense of purpose, with reduced anxiety.</w:t>
            </w:r>
          </w:p>
        </w:tc>
      </w:tr>
      <w:tr w:rsidR="001753AB" w:rsidRPr="00275428" w14:paraId="0A4C930A" w14:textId="77777777" w:rsidTr="00A3708D">
        <w:trPr>
          <w:trHeight w:val="350"/>
        </w:trPr>
        <w:tc>
          <w:tcPr>
            <w:tcW w:w="494" w:type="dxa"/>
            <w:tcBorders>
              <w:top w:val="single" w:sz="8" w:space="0" w:color="000000"/>
              <w:left w:val="single" w:sz="8" w:space="0" w:color="000000"/>
              <w:bottom w:val="single" w:sz="8" w:space="0" w:color="000000"/>
              <w:right w:val="single" w:sz="8" w:space="0" w:color="000000"/>
            </w:tcBorders>
          </w:tcPr>
          <w:p w14:paraId="488FE09E" w14:textId="77777777" w:rsidR="001753AB" w:rsidRPr="00275428" w:rsidRDefault="001753AB" w:rsidP="00275428">
            <w:pPr>
              <w:spacing w:line="360" w:lineRule="auto"/>
              <w:jc w:val="center"/>
              <w:rPr>
                <w:rFonts w:ascii="Arial" w:hAnsi="Arial" w:cs="Arial"/>
                <w:b/>
                <w:bCs/>
              </w:rPr>
            </w:pPr>
            <w:r w:rsidRPr="00275428">
              <w:rPr>
                <w:rFonts w:ascii="Arial" w:hAnsi="Arial" w:cs="Arial"/>
                <w:b/>
                <w:bCs/>
              </w:rPr>
              <w:t>2</w:t>
            </w:r>
          </w:p>
        </w:tc>
        <w:tc>
          <w:tcPr>
            <w:tcW w:w="2322"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tcPr>
          <w:p w14:paraId="52A8F65F" w14:textId="257B4161" w:rsidR="001753AB" w:rsidRPr="00275428" w:rsidRDefault="001753AB" w:rsidP="00275428">
            <w:pPr>
              <w:spacing w:line="360" w:lineRule="auto"/>
              <w:rPr>
                <w:rFonts w:ascii="Arial" w:hAnsi="Arial" w:cs="Arial"/>
                <w:sz w:val="22"/>
              </w:rPr>
            </w:pPr>
            <w:r w:rsidRPr="00275428">
              <w:rPr>
                <w:rFonts w:ascii="Arial" w:hAnsi="Arial" w:cs="Arial"/>
                <w:sz w:val="22"/>
              </w:rPr>
              <w:t>Thomson</w:t>
            </w:r>
            <w:r w:rsidR="0037643F" w:rsidRPr="00275428">
              <w:rPr>
                <w:rFonts w:ascii="Arial" w:hAnsi="Arial" w:cs="Arial"/>
                <w:sz w:val="22"/>
              </w:rPr>
              <w:t xml:space="preserve"> et al.,</w:t>
            </w:r>
            <w:r w:rsidRPr="00275428">
              <w:rPr>
                <w:rFonts w:ascii="Arial" w:hAnsi="Arial" w:cs="Arial"/>
                <w:sz w:val="22"/>
              </w:rPr>
              <w:t xml:space="preserve"> (2026) </w:t>
            </w:r>
            <w:r w:rsidRPr="00275428">
              <w:rPr>
                <w:rStyle w:val="Emphasis"/>
                <w:rFonts w:ascii="Arial" w:hAnsi="Arial" w:cs="Arial"/>
                <w:sz w:val="22"/>
              </w:rPr>
              <w:t>The role of community assets in tackling UK health inequalities through community engagement and partnerships in social prescribing</w:t>
            </w:r>
            <w:r w:rsidRPr="00275428">
              <w:rPr>
                <w:rFonts w:ascii="Arial" w:hAnsi="Arial" w:cs="Arial"/>
                <w:sz w:val="22"/>
              </w:rPr>
              <w:t xml:space="preserve">. </w:t>
            </w:r>
            <w:r w:rsidRPr="00275428">
              <w:rPr>
                <w:rStyle w:val="Strong"/>
                <w:rFonts w:ascii="Arial" w:hAnsi="Arial" w:cs="Arial"/>
                <w:b w:val="0"/>
                <w:bCs w:val="0"/>
                <w:sz w:val="22"/>
              </w:rPr>
              <w:t>Frontiers in Public Health</w:t>
            </w:r>
            <w:r w:rsidRPr="00275428">
              <w:rPr>
                <w:rFonts w:ascii="Arial" w:hAnsi="Arial" w:cs="Arial"/>
                <w:b/>
                <w:bCs/>
                <w:sz w:val="22"/>
              </w:rPr>
              <w:t>.</w:t>
            </w:r>
          </w:p>
        </w:tc>
        <w:tc>
          <w:tcPr>
            <w:tcW w:w="2224"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370086B6" w14:textId="77777777" w:rsidR="001753AB" w:rsidRPr="00275428" w:rsidRDefault="001753AB" w:rsidP="00275428">
            <w:pPr>
              <w:spacing w:line="360" w:lineRule="auto"/>
              <w:rPr>
                <w:rFonts w:ascii="Arial" w:hAnsi="Arial" w:cs="Arial"/>
                <w:sz w:val="22"/>
              </w:rPr>
            </w:pPr>
            <w:r w:rsidRPr="00275428">
              <w:rPr>
                <w:rFonts w:ascii="Arial" w:hAnsi="Arial" w:cs="Arial"/>
                <w:sz w:val="22"/>
              </w:rPr>
              <w:t>To explore how community assets and partnerships support social prescribing and address health inequalities.</w:t>
            </w:r>
          </w:p>
        </w:tc>
        <w:tc>
          <w:tcPr>
            <w:tcW w:w="2440"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A3CB2AF" w14:textId="77777777" w:rsidR="001753AB" w:rsidRPr="00275428" w:rsidRDefault="001753AB" w:rsidP="00275428">
            <w:pPr>
              <w:spacing w:line="360" w:lineRule="auto"/>
              <w:rPr>
                <w:rFonts w:ascii="Arial" w:hAnsi="Arial" w:cs="Arial"/>
                <w:sz w:val="22"/>
              </w:rPr>
            </w:pPr>
            <w:r w:rsidRPr="00275428">
              <w:rPr>
                <w:rFonts w:ascii="Arial" w:hAnsi="Arial" w:cs="Arial"/>
                <w:sz w:val="22"/>
              </w:rPr>
              <w:t>Original research involving seven UK projects using an online survey to explore successes, challenges and community engagement approaches.</w:t>
            </w:r>
          </w:p>
        </w:tc>
        <w:tc>
          <w:tcPr>
            <w:tcW w:w="3968"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759FB0BF" w14:textId="77777777" w:rsidR="001753AB" w:rsidRPr="00275428" w:rsidRDefault="001753AB" w:rsidP="00275428">
            <w:pPr>
              <w:spacing w:line="360" w:lineRule="auto"/>
              <w:rPr>
                <w:rFonts w:ascii="Arial" w:hAnsi="Arial" w:cs="Arial"/>
                <w:sz w:val="22"/>
              </w:rPr>
            </w:pPr>
            <w:r w:rsidRPr="00275428">
              <w:rPr>
                <w:rFonts w:ascii="Arial" w:hAnsi="Arial" w:cs="Arial"/>
                <w:sz w:val="22"/>
              </w:rPr>
              <w:t>Community partnerships and local assets can support wellbeing and reduce inequalities. Challenges included maintaining partnerships, resources and sustainable delivery.</w:t>
            </w:r>
          </w:p>
        </w:tc>
      </w:tr>
      <w:tr w:rsidR="001753AB" w:rsidRPr="00275428" w14:paraId="44F04048" w14:textId="77777777" w:rsidTr="00A3708D">
        <w:trPr>
          <w:trHeight w:val="350"/>
        </w:trPr>
        <w:tc>
          <w:tcPr>
            <w:tcW w:w="494" w:type="dxa"/>
            <w:tcBorders>
              <w:top w:val="single" w:sz="8" w:space="0" w:color="000000"/>
              <w:left w:val="single" w:sz="8" w:space="0" w:color="000000"/>
              <w:bottom w:val="single" w:sz="8" w:space="0" w:color="000000"/>
              <w:right w:val="single" w:sz="8" w:space="0" w:color="000000"/>
            </w:tcBorders>
          </w:tcPr>
          <w:p w14:paraId="36B19FA7" w14:textId="77777777" w:rsidR="001753AB" w:rsidRPr="00275428" w:rsidRDefault="001753AB" w:rsidP="00275428">
            <w:pPr>
              <w:spacing w:line="360" w:lineRule="auto"/>
              <w:jc w:val="center"/>
              <w:rPr>
                <w:rFonts w:ascii="Arial" w:hAnsi="Arial" w:cs="Arial"/>
                <w:b/>
                <w:bCs/>
              </w:rPr>
            </w:pPr>
            <w:r w:rsidRPr="00275428">
              <w:rPr>
                <w:rFonts w:ascii="Arial" w:hAnsi="Arial" w:cs="Arial"/>
                <w:b/>
                <w:bCs/>
              </w:rPr>
              <w:t>3</w:t>
            </w:r>
          </w:p>
        </w:tc>
        <w:tc>
          <w:tcPr>
            <w:tcW w:w="2322"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5746AC46" w14:textId="682CEE2A" w:rsidR="001753AB" w:rsidRPr="00275428" w:rsidRDefault="001753AB" w:rsidP="00275428">
            <w:pPr>
              <w:spacing w:line="360" w:lineRule="auto"/>
              <w:rPr>
                <w:rFonts w:ascii="Arial" w:hAnsi="Arial" w:cs="Arial"/>
                <w:sz w:val="22"/>
              </w:rPr>
            </w:pPr>
            <w:r w:rsidRPr="00275428">
              <w:rPr>
                <w:rFonts w:ascii="Arial" w:hAnsi="Arial" w:cs="Arial"/>
                <w:sz w:val="22"/>
              </w:rPr>
              <w:t>Handayani</w:t>
            </w:r>
            <w:r w:rsidR="00531DDD" w:rsidRPr="00275428">
              <w:rPr>
                <w:rFonts w:ascii="Arial" w:hAnsi="Arial" w:cs="Arial"/>
                <w:sz w:val="22"/>
              </w:rPr>
              <w:t xml:space="preserve"> et al.</w:t>
            </w:r>
            <w:r w:rsidR="0037643F" w:rsidRPr="00275428">
              <w:rPr>
                <w:rFonts w:ascii="Arial" w:hAnsi="Arial" w:cs="Arial"/>
                <w:sz w:val="22"/>
              </w:rPr>
              <w:t xml:space="preserve">, </w:t>
            </w:r>
            <w:r w:rsidRPr="00275428">
              <w:rPr>
                <w:rFonts w:ascii="Arial" w:hAnsi="Arial" w:cs="Arial"/>
                <w:sz w:val="22"/>
              </w:rPr>
              <w:t xml:space="preserve">(2025) </w:t>
            </w:r>
            <w:r w:rsidRPr="00275428">
              <w:rPr>
                <w:rFonts w:ascii="Arial" w:hAnsi="Arial" w:cs="Arial"/>
                <w:i/>
                <w:iCs/>
                <w:sz w:val="22"/>
              </w:rPr>
              <w:t>Experiences of social prescribing in the UK: a qualitative systematic review</w:t>
            </w:r>
            <w:r w:rsidRPr="00275428">
              <w:rPr>
                <w:rFonts w:ascii="Arial" w:hAnsi="Arial" w:cs="Arial"/>
                <w:sz w:val="22"/>
              </w:rPr>
              <w:t>. British Journal of General Practice.</w:t>
            </w:r>
          </w:p>
          <w:p w14:paraId="4D4BD4C4" w14:textId="77777777" w:rsidR="001753AB" w:rsidRPr="00275428" w:rsidRDefault="001753AB" w:rsidP="00275428">
            <w:pPr>
              <w:spacing w:line="360" w:lineRule="auto"/>
              <w:rPr>
                <w:rFonts w:ascii="Arial" w:hAnsi="Arial" w:cs="Arial"/>
                <w:sz w:val="22"/>
              </w:rPr>
            </w:pPr>
          </w:p>
        </w:tc>
        <w:tc>
          <w:tcPr>
            <w:tcW w:w="2224"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712E4D26" w14:textId="1FFFE2AD" w:rsidR="001753AB" w:rsidRPr="00275428" w:rsidRDefault="002011B1" w:rsidP="00275428">
            <w:pPr>
              <w:spacing w:line="360" w:lineRule="auto"/>
              <w:rPr>
                <w:rFonts w:ascii="Arial" w:hAnsi="Arial" w:cs="Arial"/>
              </w:rPr>
            </w:pPr>
            <w:r w:rsidRPr="002011B1">
              <w:rPr>
                <w:rFonts w:ascii="Arial" w:hAnsi="Arial" w:cs="Arial"/>
              </w:rPr>
              <w:t>To explore people's experiences of social prescribing in the UK.</w:t>
            </w:r>
          </w:p>
        </w:tc>
        <w:tc>
          <w:tcPr>
            <w:tcW w:w="2440"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1852A4DE" w14:textId="38C1C916" w:rsidR="001753AB" w:rsidRPr="00275428" w:rsidRDefault="001F0291" w:rsidP="00275428">
            <w:pPr>
              <w:spacing w:line="360" w:lineRule="auto"/>
              <w:rPr>
                <w:rFonts w:ascii="Arial" w:hAnsi="Arial" w:cs="Arial"/>
              </w:rPr>
            </w:pPr>
            <w:r>
              <w:rPr>
                <w:rFonts w:ascii="Arial" w:hAnsi="Arial" w:cs="Arial"/>
              </w:rPr>
              <w:t>S</w:t>
            </w:r>
            <w:r w:rsidR="001753AB" w:rsidRPr="00275428">
              <w:rPr>
                <w:rFonts w:ascii="Arial" w:hAnsi="Arial" w:cs="Arial"/>
              </w:rPr>
              <w:t>ystematic review of UK studies examining experiences of social prescribing.</w:t>
            </w:r>
          </w:p>
        </w:tc>
        <w:tc>
          <w:tcPr>
            <w:tcW w:w="3968"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358B8814" w14:textId="77777777" w:rsidR="001753AB" w:rsidRPr="00275428" w:rsidRDefault="001753AB" w:rsidP="00275428">
            <w:pPr>
              <w:tabs>
                <w:tab w:val="left" w:pos="910"/>
              </w:tabs>
              <w:spacing w:line="360" w:lineRule="auto"/>
              <w:rPr>
                <w:rFonts w:ascii="Arial" w:hAnsi="Arial" w:cs="Arial"/>
              </w:rPr>
            </w:pPr>
            <w:r w:rsidRPr="00275428">
              <w:rPr>
                <w:rFonts w:ascii="Arial" w:hAnsi="Arial" w:cs="Arial"/>
              </w:rPr>
              <w:t>Social prescribing improved wellbeing, confidence and social connections. Challenges included unclear roles, inconsistent referrals and limited community resources</w:t>
            </w:r>
          </w:p>
        </w:tc>
      </w:tr>
      <w:tr w:rsidR="001753AB" w:rsidRPr="00275428" w14:paraId="5EEA16ED" w14:textId="77777777" w:rsidTr="00A3708D">
        <w:trPr>
          <w:trHeight w:val="350"/>
        </w:trPr>
        <w:tc>
          <w:tcPr>
            <w:tcW w:w="494" w:type="dxa"/>
            <w:tcBorders>
              <w:top w:val="single" w:sz="8" w:space="0" w:color="000000"/>
              <w:left w:val="single" w:sz="8" w:space="0" w:color="000000"/>
              <w:bottom w:val="single" w:sz="8" w:space="0" w:color="000000"/>
              <w:right w:val="single" w:sz="8" w:space="0" w:color="000000"/>
            </w:tcBorders>
          </w:tcPr>
          <w:p w14:paraId="4FDEDBE7" w14:textId="77777777" w:rsidR="001753AB" w:rsidRPr="00275428" w:rsidRDefault="001753AB" w:rsidP="00275428">
            <w:pPr>
              <w:spacing w:line="360" w:lineRule="auto"/>
              <w:jc w:val="center"/>
              <w:rPr>
                <w:rFonts w:ascii="Arial" w:hAnsi="Arial" w:cs="Arial"/>
                <w:b/>
                <w:bCs/>
              </w:rPr>
            </w:pPr>
            <w:r w:rsidRPr="00275428">
              <w:rPr>
                <w:rFonts w:ascii="Arial" w:hAnsi="Arial" w:cs="Arial"/>
                <w:b/>
                <w:bCs/>
              </w:rPr>
              <w:t>4</w:t>
            </w:r>
          </w:p>
        </w:tc>
        <w:tc>
          <w:tcPr>
            <w:tcW w:w="2322"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33A70D47" w14:textId="6335D623" w:rsidR="001753AB" w:rsidRPr="00275428" w:rsidRDefault="001753AB" w:rsidP="00275428">
            <w:pPr>
              <w:spacing w:line="360" w:lineRule="auto"/>
              <w:rPr>
                <w:rFonts w:ascii="Arial" w:hAnsi="Arial" w:cs="Arial"/>
                <w:sz w:val="22"/>
              </w:rPr>
            </w:pPr>
            <w:r w:rsidRPr="00275428">
              <w:rPr>
                <w:rFonts w:ascii="Arial" w:hAnsi="Arial" w:cs="Arial"/>
                <w:sz w:val="22"/>
              </w:rPr>
              <w:t>Bu et al. (202</w:t>
            </w:r>
            <w:r w:rsidR="00E60715" w:rsidRPr="00275428">
              <w:rPr>
                <w:rFonts w:ascii="Arial" w:hAnsi="Arial" w:cs="Arial"/>
                <w:sz w:val="22"/>
              </w:rPr>
              <w:t>4</w:t>
            </w:r>
            <w:r w:rsidRPr="00275428">
              <w:rPr>
                <w:rFonts w:ascii="Arial" w:hAnsi="Arial" w:cs="Arial"/>
                <w:sz w:val="22"/>
              </w:rPr>
              <w:t xml:space="preserve">) </w:t>
            </w:r>
            <w:r w:rsidRPr="00275428">
              <w:rPr>
                <w:rFonts w:ascii="Arial" w:hAnsi="Arial" w:cs="Arial"/>
                <w:i/>
                <w:iCs/>
                <w:sz w:val="22"/>
              </w:rPr>
              <w:t xml:space="preserve">Equal, equitable or </w:t>
            </w:r>
            <w:r w:rsidRPr="00275428">
              <w:rPr>
                <w:rFonts w:ascii="Arial" w:hAnsi="Arial" w:cs="Arial"/>
                <w:i/>
                <w:iCs/>
                <w:sz w:val="22"/>
              </w:rPr>
              <w:lastRenderedPageBreak/>
              <w:t>exacerbating inequalities: patterns and predictors of social prescribing referrals in 160,128 UK patients</w:t>
            </w:r>
            <w:r w:rsidRPr="00275428">
              <w:rPr>
                <w:rFonts w:ascii="Arial" w:hAnsi="Arial" w:cs="Arial"/>
                <w:sz w:val="22"/>
              </w:rPr>
              <w:t>. British Journal of Psychiatry</w:t>
            </w:r>
          </w:p>
          <w:p w14:paraId="2AB526E6" w14:textId="77777777" w:rsidR="001753AB" w:rsidRPr="00275428" w:rsidRDefault="001753AB" w:rsidP="00275428">
            <w:pPr>
              <w:spacing w:line="360" w:lineRule="auto"/>
              <w:rPr>
                <w:rFonts w:ascii="Arial" w:hAnsi="Arial" w:cs="Arial"/>
              </w:rPr>
            </w:pPr>
          </w:p>
        </w:tc>
        <w:tc>
          <w:tcPr>
            <w:tcW w:w="2224"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02A211B0" w14:textId="77777777" w:rsidR="001753AB" w:rsidRPr="00275428" w:rsidRDefault="001753AB" w:rsidP="00275428">
            <w:pPr>
              <w:spacing w:line="360" w:lineRule="auto"/>
              <w:rPr>
                <w:rFonts w:ascii="Arial" w:hAnsi="Arial" w:cs="Arial"/>
              </w:rPr>
            </w:pPr>
            <w:r w:rsidRPr="00275428">
              <w:rPr>
                <w:rFonts w:ascii="Arial" w:hAnsi="Arial" w:cs="Arial"/>
              </w:rPr>
              <w:lastRenderedPageBreak/>
              <w:t xml:space="preserve">To examine whether social </w:t>
            </w:r>
            <w:r w:rsidRPr="00275428">
              <w:rPr>
                <w:rFonts w:ascii="Arial" w:hAnsi="Arial" w:cs="Arial"/>
              </w:rPr>
              <w:lastRenderedPageBreak/>
              <w:t>prescribing referrals are equitable across different groups in the UK</w:t>
            </w:r>
          </w:p>
          <w:p w14:paraId="1E8D2F08" w14:textId="77777777" w:rsidR="001753AB" w:rsidRPr="00275428" w:rsidRDefault="001753AB" w:rsidP="00275428">
            <w:pPr>
              <w:spacing w:line="360" w:lineRule="auto"/>
              <w:rPr>
                <w:rFonts w:ascii="Arial" w:hAnsi="Arial" w:cs="Arial"/>
              </w:rPr>
            </w:pPr>
          </w:p>
        </w:tc>
        <w:tc>
          <w:tcPr>
            <w:tcW w:w="2440"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9521230" w14:textId="6A6AE935" w:rsidR="001753AB" w:rsidRPr="00275428" w:rsidRDefault="001F0291" w:rsidP="00275428">
            <w:pPr>
              <w:spacing w:line="360" w:lineRule="auto"/>
              <w:rPr>
                <w:rFonts w:ascii="Arial" w:hAnsi="Arial" w:cs="Arial"/>
              </w:rPr>
            </w:pPr>
            <w:r>
              <w:rPr>
                <w:rFonts w:ascii="Arial" w:hAnsi="Arial" w:cs="Arial"/>
              </w:rPr>
              <w:lastRenderedPageBreak/>
              <w:t>A</w:t>
            </w:r>
            <w:r w:rsidR="001753AB" w:rsidRPr="00275428">
              <w:rPr>
                <w:rFonts w:ascii="Arial" w:hAnsi="Arial" w:cs="Arial"/>
              </w:rPr>
              <w:t xml:space="preserve">nalysis of 160,128 patient referrals to </w:t>
            </w:r>
            <w:r w:rsidR="001753AB" w:rsidRPr="00275428">
              <w:rPr>
                <w:rFonts w:ascii="Arial" w:hAnsi="Arial" w:cs="Arial"/>
              </w:rPr>
              <w:lastRenderedPageBreak/>
              <w:t>social prescribing services</w:t>
            </w:r>
          </w:p>
        </w:tc>
        <w:tc>
          <w:tcPr>
            <w:tcW w:w="3968"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4C908278" w14:textId="77777777" w:rsidR="001753AB" w:rsidRPr="00275428" w:rsidRDefault="001753AB" w:rsidP="00275428">
            <w:pPr>
              <w:spacing w:line="360" w:lineRule="auto"/>
              <w:rPr>
                <w:rFonts w:ascii="Arial" w:hAnsi="Arial" w:cs="Arial"/>
              </w:rPr>
            </w:pPr>
            <w:r w:rsidRPr="00275428">
              <w:rPr>
                <w:rFonts w:ascii="Arial" w:hAnsi="Arial" w:cs="Arial"/>
              </w:rPr>
              <w:lastRenderedPageBreak/>
              <w:t xml:space="preserve">Findings showed inequalities in referral patterns, suggesting that </w:t>
            </w:r>
            <w:r w:rsidRPr="00275428">
              <w:rPr>
                <w:rFonts w:ascii="Arial" w:hAnsi="Arial" w:cs="Arial"/>
              </w:rPr>
              <w:lastRenderedPageBreak/>
              <w:t>unequal access may limit the potential of social prescribing to reduce health inequalities.</w:t>
            </w:r>
            <w:r w:rsidRPr="00275428">
              <w:rPr>
                <w:rFonts w:ascii="Arial" w:hAnsi="Arial" w:cs="Arial"/>
              </w:rPr>
              <w:tab/>
            </w:r>
          </w:p>
        </w:tc>
      </w:tr>
      <w:tr w:rsidR="001753AB" w:rsidRPr="00275428" w14:paraId="4BB1B8CC" w14:textId="77777777" w:rsidTr="00A3708D">
        <w:trPr>
          <w:trHeight w:val="461"/>
        </w:trPr>
        <w:tc>
          <w:tcPr>
            <w:tcW w:w="494" w:type="dxa"/>
            <w:tcBorders>
              <w:top w:val="single" w:sz="8" w:space="0" w:color="000000"/>
              <w:left w:val="single" w:sz="8" w:space="0" w:color="000000"/>
              <w:bottom w:val="single" w:sz="8" w:space="0" w:color="000000"/>
              <w:right w:val="single" w:sz="8" w:space="0" w:color="000000"/>
            </w:tcBorders>
          </w:tcPr>
          <w:p w14:paraId="557E5A10" w14:textId="77777777" w:rsidR="001753AB" w:rsidRPr="00275428" w:rsidRDefault="001753AB" w:rsidP="00275428">
            <w:pPr>
              <w:spacing w:line="360" w:lineRule="auto"/>
              <w:jc w:val="center"/>
              <w:rPr>
                <w:rFonts w:ascii="Arial" w:hAnsi="Arial" w:cs="Arial"/>
                <w:b/>
                <w:bCs/>
              </w:rPr>
            </w:pPr>
            <w:r w:rsidRPr="00275428">
              <w:rPr>
                <w:rFonts w:ascii="Arial" w:hAnsi="Arial" w:cs="Arial"/>
                <w:b/>
                <w:bCs/>
              </w:rPr>
              <w:lastRenderedPageBreak/>
              <w:t>5</w:t>
            </w:r>
          </w:p>
        </w:tc>
        <w:tc>
          <w:tcPr>
            <w:tcW w:w="2322"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6B51FB17" w14:textId="1FCBDF1A" w:rsidR="001753AB" w:rsidRPr="00275428" w:rsidRDefault="001753AB" w:rsidP="00275428">
            <w:pPr>
              <w:spacing w:line="360" w:lineRule="auto"/>
              <w:rPr>
                <w:rFonts w:ascii="Arial" w:hAnsi="Arial" w:cs="Arial"/>
              </w:rPr>
            </w:pPr>
            <w:r w:rsidRPr="00275428">
              <w:rPr>
                <w:rFonts w:ascii="Arial" w:hAnsi="Arial" w:cs="Arial"/>
              </w:rPr>
              <w:t>Rafiei</w:t>
            </w:r>
            <w:r w:rsidR="0037643F" w:rsidRPr="00275428">
              <w:rPr>
                <w:rFonts w:ascii="Arial" w:hAnsi="Arial" w:cs="Arial"/>
              </w:rPr>
              <w:t xml:space="preserve"> et al., </w:t>
            </w:r>
            <w:r w:rsidRPr="00275428">
              <w:rPr>
                <w:rFonts w:ascii="Arial" w:hAnsi="Arial" w:cs="Arial"/>
              </w:rPr>
              <w:t xml:space="preserve">(2024) </w:t>
            </w:r>
            <w:r w:rsidRPr="00275428">
              <w:rPr>
                <w:rFonts w:ascii="Arial" w:hAnsi="Arial" w:cs="Arial"/>
                <w:i/>
                <w:iCs/>
              </w:rPr>
              <w:t>Stakeholder views on addressing challenges to the implementation of social prescribing in the United Kingdom</w:t>
            </w:r>
            <w:r w:rsidRPr="00275428">
              <w:rPr>
                <w:rFonts w:ascii="Arial" w:hAnsi="Arial" w:cs="Arial"/>
              </w:rPr>
              <w:t>. Frontiers in Health Services.</w:t>
            </w:r>
          </w:p>
          <w:p w14:paraId="431A950B" w14:textId="77777777" w:rsidR="001753AB" w:rsidRPr="00275428" w:rsidRDefault="001753AB" w:rsidP="00275428">
            <w:pPr>
              <w:spacing w:line="360" w:lineRule="auto"/>
              <w:rPr>
                <w:rFonts w:ascii="Arial" w:hAnsi="Arial" w:cs="Arial"/>
              </w:rPr>
            </w:pPr>
          </w:p>
          <w:p w14:paraId="6DD4B237" w14:textId="77777777" w:rsidR="001753AB" w:rsidRPr="00275428" w:rsidRDefault="001753AB" w:rsidP="00275428">
            <w:pPr>
              <w:spacing w:line="360" w:lineRule="auto"/>
              <w:rPr>
                <w:rFonts w:ascii="Arial" w:hAnsi="Arial" w:cs="Arial"/>
              </w:rPr>
            </w:pPr>
          </w:p>
        </w:tc>
        <w:tc>
          <w:tcPr>
            <w:tcW w:w="2224"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13C5E56A" w14:textId="77777777" w:rsidR="001753AB" w:rsidRPr="00275428" w:rsidRDefault="001753AB" w:rsidP="00275428">
            <w:pPr>
              <w:spacing w:line="360" w:lineRule="auto"/>
              <w:rPr>
                <w:rFonts w:ascii="Arial" w:hAnsi="Arial" w:cs="Arial"/>
              </w:rPr>
            </w:pPr>
            <w:r w:rsidRPr="00275428">
              <w:rPr>
                <w:rFonts w:ascii="Arial" w:hAnsi="Arial" w:cs="Arial"/>
              </w:rPr>
              <w:t>To identify barriers affecting the implementation of social prescribing in the UK.</w:t>
            </w:r>
          </w:p>
        </w:tc>
        <w:tc>
          <w:tcPr>
            <w:tcW w:w="2440"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9FEC9AF" w14:textId="608157A8" w:rsidR="001753AB" w:rsidRPr="00275428" w:rsidRDefault="001F0291" w:rsidP="00275428">
            <w:pPr>
              <w:spacing w:line="360" w:lineRule="auto"/>
              <w:rPr>
                <w:rFonts w:ascii="Arial" w:hAnsi="Arial" w:cs="Arial"/>
              </w:rPr>
            </w:pPr>
            <w:r>
              <w:rPr>
                <w:rFonts w:ascii="Arial" w:hAnsi="Arial" w:cs="Arial"/>
              </w:rPr>
              <w:t>S</w:t>
            </w:r>
            <w:r w:rsidR="001753AB" w:rsidRPr="00275428">
              <w:rPr>
                <w:rFonts w:ascii="Arial" w:hAnsi="Arial" w:cs="Arial"/>
              </w:rPr>
              <w:t>tudy using interviews and focus groups with 23 stakeholders, including link workers, service users, NHS staff and community providers.</w:t>
            </w:r>
          </w:p>
        </w:tc>
        <w:tc>
          <w:tcPr>
            <w:tcW w:w="3968"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E8BFE90" w14:textId="0BAA4471" w:rsidR="001753AB" w:rsidRPr="00275428" w:rsidRDefault="001753AB" w:rsidP="00275428">
            <w:pPr>
              <w:spacing w:line="360" w:lineRule="auto"/>
              <w:rPr>
                <w:rFonts w:ascii="Arial" w:hAnsi="Arial" w:cs="Arial"/>
              </w:rPr>
            </w:pPr>
            <w:r w:rsidRPr="00275428">
              <w:rPr>
                <w:rFonts w:ascii="Arial" w:hAnsi="Arial" w:cs="Arial"/>
              </w:rPr>
              <w:t>Identified challenges including funding sustainability, workforce capacity, inconsistent implementation, referral issues, training gaps and accessibility barriers.</w:t>
            </w:r>
          </w:p>
        </w:tc>
      </w:tr>
    </w:tbl>
    <w:p w14:paraId="0CD672BD" w14:textId="77777777" w:rsidR="007E2D9D" w:rsidRPr="00275428" w:rsidRDefault="007E2D9D" w:rsidP="00275428">
      <w:pPr>
        <w:tabs>
          <w:tab w:val="left" w:pos="6540"/>
        </w:tabs>
        <w:spacing w:line="360" w:lineRule="auto"/>
        <w:rPr>
          <w:rFonts w:ascii="Arial" w:hAnsi="Arial" w:cs="Arial"/>
          <w:sz w:val="22"/>
        </w:rPr>
      </w:pPr>
    </w:p>
    <w:p w14:paraId="052477DB" w14:textId="77777777" w:rsidR="007E2D9D" w:rsidRPr="00275428" w:rsidRDefault="007E2D9D" w:rsidP="00275428">
      <w:pPr>
        <w:tabs>
          <w:tab w:val="left" w:pos="6540"/>
        </w:tabs>
        <w:spacing w:line="360" w:lineRule="auto"/>
        <w:rPr>
          <w:rFonts w:ascii="Arial" w:hAnsi="Arial" w:cs="Arial"/>
          <w:sz w:val="22"/>
        </w:rPr>
      </w:pPr>
    </w:p>
    <w:p w14:paraId="6A92DB5F" w14:textId="77777777" w:rsidR="007E2D9D" w:rsidRPr="00275428" w:rsidRDefault="007E2D9D" w:rsidP="00275428">
      <w:pPr>
        <w:tabs>
          <w:tab w:val="left" w:pos="6540"/>
        </w:tabs>
        <w:spacing w:line="360" w:lineRule="auto"/>
        <w:rPr>
          <w:rFonts w:ascii="Arial" w:hAnsi="Arial" w:cs="Arial"/>
          <w:sz w:val="22"/>
        </w:rPr>
      </w:pPr>
    </w:p>
    <w:p w14:paraId="4DDE23BF" w14:textId="77777777" w:rsidR="00B77EA4" w:rsidRPr="00275428" w:rsidRDefault="00B77EA4" w:rsidP="00275428">
      <w:pPr>
        <w:spacing w:line="360" w:lineRule="auto"/>
        <w:rPr>
          <w:rFonts w:ascii="Arial" w:hAnsi="Arial" w:cs="Arial"/>
          <w:b/>
          <w:bCs/>
          <w:sz w:val="22"/>
        </w:rPr>
      </w:pPr>
      <w:r w:rsidRPr="00275428">
        <w:rPr>
          <w:rFonts w:ascii="Arial" w:hAnsi="Arial" w:cs="Arial"/>
          <w:b/>
          <w:bCs/>
          <w:sz w:val="22"/>
        </w:rPr>
        <w:t>Thematic analysis: synthesis of findings</w:t>
      </w:r>
    </w:p>
    <w:p w14:paraId="5E0E3459" w14:textId="77777777" w:rsidR="00B77EA4" w:rsidRPr="00275428" w:rsidRDefault="00B77EA4" w:rsidP="00275428">
      <w:pPr>
        <w:spacing w:line="360" w:lineRule="auto"/>
        <w:rPr>
          <w:rFonts w:ascii="Arial" w:hAnsi="Arial" w:cs="Arial"/>
          <w:sz w:val="22"/>
        </w:rPr>
      </w:pPr>
      <w:r w:rsidRPr="00275428">
        <w:rPr>
          <w:rFonts w:ascii="Arial" w:hAnsi="Arial" w:cs="Arial"/>
          <w:sz w:val="22"/>
        </w:rPr>
        <w:t>Four themes were identified across the selected evidence: 1: wellbeing and social connection; 2: person-centred experiences and engagement; 3: inequalities and access; and 4: implementation, resources and sustainability. Although the studies used different methods and examined different parts of the SP pathway, important areas of agreement and tension emerged.</w:t>
      </w:r>
    </w:p>
    <w:p w14:paraId="61FB22A1" w14:textId="77777777" w:rsidR="00B77EA4" w:rsidRPr="00275428" w:rsidRDefault="00B77EA4" w:rsidP="00275428">
      <w:pPr>
        <w:spacing w:line="360" w:lineRule="auto"/>
        <w:rPr>
          <w:rFonts w:ascii="Arial" w:hAnsi="Arial" w:cs="Arial"/>
          <w:b/>
          <w:bCs/>
          <w:sz w:val="22"/>
        </w:rPr>
      </w:pPr>
      <w:r w:rsidRPr="00275428">
        <w:rPr>
          <w:rFonts w:ascii="Arial" w:hAnsi="Arial" w:cs="Arial"/>
          <w:b/>
          <w:bCs/>
          <w:sz w:val="22"/>
        </w:rPr>
        <w:t>Theme 1: Wellbeing and social connection</w:t>
      </w:r>
    </w:p>
    <w:p w14:paraId="7A6C74B1" w14:textId="622CCBB0" w:rsidR="00B77EA4" w:rsidRPr="00275428" w:rsidRDefault="00B77EA4" w:rsidP="00275428">
      <w:pPr>
        <w:spacing w:line="360" w:lineRule="auto"/>
        <w:rPr>
          <w:rFonts w:ascii="Arial" w:hAnsi="Arial" w:cs="Arial"/>
          <w:sz w:val="22"/>
        </w:rPr>
      </w:pPr>
      <w:r w:rsidRPr="00275428">
        <w:rPr>
          <w:rFonts w:ascii="Arial" w:hAnsi="Arial" w:cs="Arial"/>
          <w:sz w:val="22"/>
        </w:rPr>
        <w:t>The strongest evidence of benefit comes from Bu</w:t>
      </w:r>
      <w:r w:rsidR="00047596">
        <w:rPr>
          <w:rFonts w:ascii="Arial" w:hAnsi="Arial" w:cs="Arial"/>
          <w:sz w:val="22"/>
        </w:rPr>
        <w:t xml:space="preserve"> </w:t>
      </w:r>
      <w:r w:rsidRPr="00275428">
        <w:rPr>
          <w:rFonts w:ascii="Arial" w:hAnsi="Arial" w:cs="Arial"/>
          <w:sz w:val="22"/>
        </w:rPr>
        <w:t xml:space="preserve">et al. (2026), who analysed longitudinal data from more than 14,000 patients with repeated wellbeing measures across over 300 SP sites. They found improvements in mental wellbeing, happiness, life satisfaction and sense of purpose, alongside reduced anxiety within one to six months of referral. </w:t>
      </w:r>
    </w:p>
    <w:p w14:paraId="2DC5B452" w14:textId="73906D88" w:rsidR="00B77EA4" w:rsidRPr="00275428" w:rsidRDefault="00B77EA4" w:rsidP="00275428">
      <w:pPr>
        <w:spacing w:line="360" w:lineRule="auto"/>
        <w:rPr>
          <w:rFonts w:ascii="Arial" w:hAnsi="Arial" w:cs="Arial"/>
          <w:sz w:val="22"/>
        </w:rPr>
      </w:pPr>
      <w:r w:rsidRPr="00275428">
        <w:rPr>
          <w:rFonts w:ascii="Arial" w:hAnsi="Arial" w:cs="Arial"/>
          <w:sz w:val="22"/>
        </w:rPr>
        <w:lastRenderedPageBreak/>
        <w:t>The scale of this analysis strengthens confidence that positive changes are not limited to a single local programme. However, the evidence does not establish that SP caused these improvements because the study used an uncontrolled pre-post design (Bu et</w:t>
      </w:r>
      <w:r w:rsidR="00047596">
        <w:rPr>
          <w:rFonts w:ascii="Arial" w:hAnsi="Arial" w:cs="Arial"/>
          <w:sz w:val="22"/>
        </w:rPr>
        <w:t xml:space="preserve"> </w:t>
      </w:r>
      <w:r w:rsidRPr="00275428">
        <w:rPr>
          <w:rFonts w:ascii="Arial" w:hAnsi="Arial" w:cs="Arial"/>
          <w:sz w:val="22"/>
        </w:rPr>
        <w:t>al., 2026).</w:t>
      </w:r>
    </w:p>
    <w:p w14:paraId="14A377BF" w14:textId="34F31B17" w:rsidR="00B77EA4" w:rsidRPr="00275428" w:rsidRDefault="00B77EA4" w:rsidP="00275428">
      <w:pPr>
        <w:spacing w:line="360" w:lineRule="auto"/>
        <w:rPr>
          <w:rFonts w:ascii="Arial" w:hAnsi="Arial" w:cs="Arial"/>
          <w:sz w:val="22"/>
        </w:rPr>
      </w:pPr>
      <w:r w:rsidRPr="00275428">
        <w:rPr>
          <w:rFonts w:ascii="Arial" w:hAnsi="Arial" w:cs="Arial"/>
          <w:sz w:val="22"/>
        </w:rPr>
        <w:t>The authors also acknowledge substantial missing outcome data and the possibility of selection bias, meaning that the results should be interpreted as evidence of association rather than definitive causal effect (Bu</w:t>
      </w:r>
      <w:r w:rsidR="00047596">
        <w:rPr>
          <w:rFonts w:ascii="Arial" w:hAnsi="Arial" w:cs="Arial"/>
          <w:sz w:val="22"/>
        </w:rPr>
        <w:t xml:space="preserve"> </w:t>
      </w:r>
      <w:r w:rsidRPr="00275428">
        <w:rPr>
          <w:rFonts w:ascii="Arial" w:hAnsi="Arial" w:cs="Arial"/>
          <w:sz w:val="22"/>
        </w:rPr>
        <w:t>et al., 2026).</w:t>
      </w:r>
    </w:p>
    <w:p w14:paraId="5E359893" w14:textId="0ECC36B1" w:rsidR="00B77EA4" w:rsidRPr="00275428" w:rsidRDefault="00B77EA4" w:rsidP="00275428">
      <w:pPr>
        <w:spacing w:line="360" w:lineRule="auto"/>
        <w:rPr>
          <w:rFonts w:ascii="Arial" w:hAnsi="Arial" w:cs="Arial"/>
          <w:sz w:val="22"/>
        </w:rPr>
      </w:pPr>
      <w:r w:rsidRPr="00275428">
        <w:rPr>
          <w:rFonts w:ascii="Arial" w:hAnsi="Arial" w:cs="Arial"/>
          <w:sz w:val="22"/>
        </w:rPr>
        <w:t>This finding is supported, but also qualified, by Handayani</w:t>
      </w:r>
      <w:r w:rsidR="00462B26">
        <w:rPr>
          <w:rFonts w:ascii="Arial" w:hAnsi="Arial" w:cs="Arial"/>
          <w:sz w:val="22"/>
        </w:rPr>
        <w:t xml:space="preserve"> et al., </w:t>
      </w:r>
      <w:r w:rsidRPr="00275428">
        <w:rPr>
          <w:rFonts w:ascii="Arial" w:hAnsi="Arial" w:cs="Arial"/>
          <w:sz w:val="22"/>
        </w:rPr>
        <w:t xml:space="preserve">(2025). Their qualitative synthesis found that some patients experienced increased hope, support, empowerment and sustained positive change when SP matched their needs and readiness to engage. </w:t>
      </w:r>
    </w:p>
    <w:p w14:paraId="492B3677" w14:textId="77777777" w:rsidR="00B77EA4" w:rsidRPr="00275428" w:rsidRDefault="00B77EA4" w:rsidP="00275428">
      <w:pPr>
        <w:spacing w:line="360" w:lineRule="auto"/>
        <w:rPr>
          <w:rFonts w:ascii="Arial" w:hAnsi="Arial" w:cs="Arial"/>
          <w:sz w:val="22"/>
        </w:rPr>
      </w:pPr>
      <w:r w:rsidRPr="00275428">
        <w:rPr>
          <w:rFonts w:ascii="Arial" w:hAnsi="Arial" w:cs="Arial"/>
          <w:sz w:val="22"/>
        </w:rPr>
        <w:t xml:space="preserve">However, positive experiences were not universal. A mismatch between what patients needed and what was offered could produce little or no response (Handayani et al., 2025). </w:t>
      </w:r>
    </w:p>
    <w:p w14:paraId="19D53EC3" w14:textId="77777777" w:rsidR="00B77EA4" w:rsidRPr="00275428" w:rsidRDefault="00B77EA4" w:rsidP="00275428">
      <w:pPr>
        <w:spacing w:line="360" w:lineRule="auto"/>
        <w:rPr>
          <w:rFonts w:ascii="Arial" w:hAnsi="Arial" w:cs="Arial"/>
          <w:sz w:val="22"/>
        </w:rPr>
      </w:pPr>
      <w:r w:rsidRPr="00275428">
        <w:rPr>
          <w:rFonts w:ascii="Arial" w:hAnsi="Arial" w:cs="Arial"/>
          <w:sz w:val="22"/>
        </w:rPr>
        <w:t>This suggests that wellbeing benefits depend not simply on referral, but on the quality and suitability of the support received. Therefore, the evidence points towards SP being potentially beneficial when it is genuinely person-centred rather than assuming that any community referral will produce the same outcome (Handayani et al., 2025).</w:t>
      </w:r>
    </w:p>
    <w:p w14:paraId="24D575EA" w14:textId="77777777" w:rsidR="00B77EA4" w:rsidRPr="00275428" w:rsidRDefault="00B77EA4" w:rsidP="00275428">
      <w:pPr>
        <w:spacing w:line="360" w:lineRule="auto"/>
        <w:rPr>
          <w:rFonts w:ascii="Arial" w:hAnsi="Arial" w:cs="Arial"/>
          <w:b/>
          <w:bCs/>
          <w:sz w:val="22"/>
        </w:rPr>
      </w:pPr>
    </w:p>
    <w:p w14:paraId="2C1958E4" w14:textId="77777777" w:rsidR="00B77EA4" w:rsidRPr="00275428" w:rsidRDefault="00B77EA4" w:rsidP="00275428">
      <w:pPr>
        <w:spacing w:line="360" w:lineRule="auto"/>
        <w:rPr>
          <w:rFonts w:ascii="Arial" w:hAnsi="Arial" w:cs="Arial"/>
          <w:b/>
          <w:bCs/>
          <w:sz w:val="22"/>
        </w:rPr>
      </w:pPr>
      <w:r w:rsidRPr="00275428">
        <w:rPr>
          <w:rFonts w:ascii="Arial" w:hAnsi="Arial" w:cs="Arial"/>
          <w:b/>
          <w:bCs/>
          <w:sz w:val="22"/>
        </w:rPr>
        <w:t>Theme 2: Person-centred experiences and community connection</w:t>
      </w:r>
    </w:p>
    <w:p w14:paraId="6373F639" w14:textId="249DEFBA" w:rsidR="00B77EA4" w:rsidRPr="00275428" w:rsidRDefault="00B77EA4" w:rsidP="00275428">
      <w:pPr>
        <w:spacing w:line="360" w:lineRule="auto"/>
        <w:rPr>
          <w:rFonts w:ascii="Arial" w:hAnsi="Arial" w:cs="Arial"/>
          <w:sz w:val="22"/>
        </w:rPr>
      </w:pPr>
      <w:r w:rsidRPr="00275428">
        <w:rPr>
          <w:rFonts w:ascii="Arial" w:hAnsi="Arial" w:cs="Arial"/>
          <w:sz w:val="22"/>
        </w:rPr>
        <w:t xml:space="preserve">The evidence further indicates that the value of SP lies partly in connecting people with meaningful community resources. Thomson et al., (2026) found that UK projects used cultural, creative and green community assets, particularly in deprived areas, and identified link workers as important knowledge brokers who connected people with local opportunities. </w:t>
      </w:r>
    </w:p>
    <w:p w14:paraId="72B9C8EA" w14:textId="2C98436D" w:rsidR="00B77EA4" w:rsidRPr="00275428" w:rsidRDefault="00B77EA4" w:rsidP="00275428">
      <w:pPr>
        <w:spacing w:line="360" w:lineRule="auto"/>
        <w:rPr>
          <w:rFonts w:ascii="Arial" w:hAnsi="Arial" w:cs="Arial"/>
          <w:sz w:val="22"/>
        </w:rPr>
      </w:pPr>
      <w:r w:rsidRPr="00275428">
        <w:rPr>
          <w:rFonts w:ascii="Arial" w:hAnsi="Arial" w:cs="Arial"/>
          <w:sz w:val="22"/>
        </w:rPr>
        <w:t>Partnerships between primary care, community organisations and other sectors also supported locally co-produced interventions Thomson et al., (2026). These findings suggest that SP can strengthen social connection by linking formal health services with resources that may be more relevant to people's everyday lives.</w:t>
      </w:r>
    </w:p>
    <w:p w14:paraId="5C5D9B8A" w14:textId="6C7A57FF" w:rsidR="00B77EA4" w:rsidRPr="00275428" w:rsidRDefault="00B77EA4" w:rsidP="00275428">
      <w:pPr>
        <w:spacing w:line="360" w:lineRule="auto"/>
        <w:rPr>
          <w:rFonts w:ascii="Arial" w:hAnsi="Arial" w:cs="Arial"/>
          <w:sz w:val="22"/>
        </w:rPr>
      </w:pPr>
      <w:r w:rsidRPr="00275428">
        <w:rPr>
          <w:rFonts w:ascii="Arial" w:hAnsi="Arial" w:cs="Arial"/>
          <w:sz w:val="22"/>
        </w:rPr>
        <w:t>However, Thomson et</w:t>
      </w:r>
      <w:r w:rsidR="00CE0A60">
        <w:rPr>
          <w:rFonts w:ascii="Arial" w:hAnsi="Arial" w:cs="Arial"/>
          <w:sz w:val="22"/>
        </w:rPr>
        <w:t xml:space="preserve"> </w:t>
      </w:r>
      <w:r w:rsidRPr="00275428">
        <w:rPr>
          <w:rFonts w:ascii="Arial" w:hAnsi="Arial" w:cs="Arial"/>
          <w:sz w:val="22"/>
        </w:rPr>
        <w:t xml:space="preserve">al., (2026) also identified accessibility problems, non-attendance, funding pressures and limited knowledge of community assets. This is important because the existence of community resources does not necessarily mean that people can use them. </w:t>
      </w:r>
    </w:p>
    <w:p w14:paraId="2127362D" w14:textId="280A1002" w:rsidR="004A08BF" w:rsidRPr="00F122D5" w:rsidRDefault="00B77EA4" w:rsidP="00275428">
      <w:pPr>
        <w:spacing w:line="360" w:lineRule="auto"/>
        <w:rPr>
          <w:rFonts w:ascii="Arial" w:hAnsi="Arial" w:cs="Arial"/>
          <w:sz w:val="22"/>
        </w:rPr>
      </w:pPr>
      <w:r w:rsidRPr="00275428">
        <w:rPr>
          <w:rFonts w:ascii="Arial" w:hAnsi="Arial" w:cs="Arial"/>
          <w:sz w:val="22"/>
        </w:rPr>
        <w:t>The benefit of a personalised referral may therefore be reduced when local provision is limited or poorly understood by link workers. Taken together with Handayani et al., (2025), the findings suggest that successful engagement depends on both the individual's readiness and the capacity of the local community infrastructure.</w:t>
      </w:r>
    </w:p>
    <w:p w14:paraId="3588E971" w14:textId="2B63725D" w:rsidR="00B77EA4" w:rsidRPr="00275428" w:rsidRDefault="00B77EA4" w:rsidP="00275428">
      <w:pPr>
        <w:spacing w:line="360" w:lineRule="auto"/>
        <w:rPr>
          <w:rFonts w:ascii="Arial" w:hAnsi="Arial" w:cs="Arial"/>
          <w:b/>
          <w:bCs/>
          <w:sz w:val="22"/>
        </w:rPr>
      </w:pPr>
      <w:r w:rsidRPr="00275428">
        <w:rPr>
          <w:rFonts w:ascii="Arial" w:hAnsi="Arial" w:cs="Arial"/>
          <w:b/>
          <w:bCs/>
          <w:sz w:val="22"/>
        </w:rPr>
        <w:lastRenderedPageBreak/>
        <w:t>Theme 3: Inequalities and access</w:t>
      </w:r>
    </w:p>
    <w:p w14:paraId="117D2C29" w14:textId="77777777" w:rsidR="0026493C" w:rsidRDefault="0026493C" w:rsidP="00275428">
      <w:pPr>
        <w:spacing w:line="360" w:lineRule="auto"/>
        <w:rPr>
          <w:rFonts w:ascii="Arial" w:hAnsi="Arial" w:cs="Arial"/>
          <w:sz w:val="22"/>
        </w:rPr>
      </w:pPr>
    </w:p>
    <w:p w14:paraId="60706340" w14:textId="15501EE9" w:rsidR="00B77EA4" w:rsidRPr="00275428" w:rsidRDefault="00B77EA4" w:rsidP="00275428">
      <w:pPr>
        <w:spacing w:line="360" w:lineRule="auto"/>
        <w:rPr>
          <w:rFonts w:ascii="Arial" w:hAnsi="Arial" w:cs="Arial"/>
          <w:sz w:val="22"/>
        </w:rPr>
      </w:pPr>
      <w:r w:rsidRPr="00275428">
        <w:rPr>
          <w:rFonts w:ascii="Arial" w:hAnsi="Arial" w:cs="Arial"/>
          <w:sz w:val="22"/>
        </w:rPr>
        <w:t>The evidence presents a more complex picture of whether SP improves equity. Bu</w:t>
      </w:r>
      <w:r w:rsidR="00B21D16">
        <w:rPr>
          <w:rFonts w:ascii="Arial" w:hAnsi="Arial" w:cs="Arial"/>
          <w:sz w:val="22"/>
        </w:rPr>
        <w:t xml:space="preserve"> </w:t>
      </w:r>
      <w:r w:rsidRPr="00275428">
        <w:rPr>
          <w:rFonts w:ascii="Arial" w:hAnsi="Arial" w:cs="Arial"/>
          <w:sz w:val="22"/>
        </w:rPr>
        <w:t>et</w:t>
      </w:r>
      <w:r w:rsidR="00B21D16">
        <w:rPr>
          <w:rFonts w:ascii="Arial" w:hAnsi="Arial" w:cs="Arial"/>
          <w:sz w:val="22"/>
        </w:rPr>
        <w:t xml:space="preserve"> </w:t>
      </w:r>
      <w:r w:rsidRPr="00275428">
        <w:rPr>
          <w:rFonts w:ascii="Arial" w:hAnsi="Arial" w:cs="Arial"/>
          <w:sz w:val="22"/>
        </w:rPr>
        <w:t>al.</w:t>
      </w:r>
      <w:r w:rsidR="00B21D16">
        <w:rPr>
          <w:rFonts w:ascii="Arial" w:hAnsi="Arial" w:cs="Arial"/>
          <w:sz w:val="22"/>
        </w:rPr>
        <w:t>,</w:t>
      </w:r>
      <w:r w:rsidRPr="00275428">
        <w:rPr>
          <w:rFonts w:ascii="Arial" w:hAnsi="Arial" w:cs="Arial"/>
          <w:sz w:val="22"/>
        </w:rPr>
        <w:t xml:space="preserve"> (2024) analysed more than 160,000 UK referrals and found that most referrals came through medical routes. </w:t>
      </w:r>
    </w:p>
    <w:p w14:paraId="529C67DD" w14:textId="6A2B5AD9" w:rsidR="00B77EA4" w:rsidRPr="00275428" w:rsidRDefault="00B77EA4" w:rsidP="00275428">
      <w:pPr>
        <w:spacing w:line="360" w:lineRule="auto"/>
        <w:rPr>
          <w:rFonts w:ascii="Arial" w:hAnsi="Arial" w:cs="Arial"/>
          <w:sz w:val="22"/>
        </w:rPr>
      </w:pPr>
      <w:r w:rsidRPr="00275428">
        <w:rPr>
          <w:rFonts w:ascii="Arial" w:hAnsi="Arial" w:cs="Arial"/>
          <w:sz w:val="22"/>
        </w:rPr>
        <w:t>Although these routes showed broadly similar reach across some sociodemographic groups, non-medical routes reached people from more deprived areas, younger adults, men and ethnic minority groups more equitably. Bu</w:t>
      </w:r>
      <w:r w:rsidR="0033112F">
        <w:rPr>
          <w:rFonts w:ascii="Arial" w:hAnsi="Arial" w:cs="Arial"/>
          <w:sz w:val="22"/>
        </w:rPr>
        <w:t xml:space="preserve"> </w:t>
      </w:r>
      <w:r w:rsidRPr="00275428">
        <w:rPr>
          <w:rFonts w:ascii="Arial" w:hAnsi="Arial" w:cs="Arial"/>
          <w:sz w:val="22"/>
        </w:rPr>
        <w:t>et al. (2024). More importantly, although around 90% of referrals resulted in contact with a link worker, only 38% led to an intervention. The shortage of suitable community activities was particularly evident for mental health, practical support and social relationships (Bu</w:t>
      </w:r>
      <w:r w:rsidR="0019690D">
        <w:rPr>
          <w:rFonts w:ascii="Arial" w:hAnsi="Arial" w:cs="Arial"/>
          <w:sz w:val="22"/>
        </w:rPr>
        <w:t xml:space="preserve"> </w:t>
      </w:r>
      <w:r w:rsidRPr="00275428">
        <w:rPr>
          <w:rFonts w:ascii="Arial" w:hAnsi="Arial" w:cs="Arial"/>
          <w:sz w:val="22"/>
        </w:rPr>
        <w:t>e</w:t>
      </w:r>
      <w:r w:rsidR="00B21D16">
        <w:rPr>
          <w:rFonts w:ascii="Arial" w:hAnsi="Arial" w:cs="Arial"/>
          <w:sz w:val="22"/>
        </w:rPr>
        <w:t>t</w:t>
      </w:r>
      <w:r w:rsidRPr="00275428">
        <w:rPr>
          <w:rFonts w:ascii="Arial" w:hAnsi="Arial" w:cs="Arial"/>
          <w:sz w:val="22"/>
        </w:rPr>
        <w:t xml:space="preserve"> al., 2024).</w:t>
      </w:r>
    </w:p>
    <w:p w14:paraId="55496C6A" w14:textId="3EF0F007" w:rsidR="00B77EA4" w:rsidRPr="00275428" w:rsidRDefault="00B77EA4" w:rsidP="00275428">
      <w:pPr>
        <w:spacing w:line="360" w:lineRule="auto"/>
        <w:rPr>
          <w:rFonts w:ascii="Arial" w:hAnsi="Arial" w:cs="Arial"/>
          <w:sz w:val="22"/>
        </w:rPr>
      </w:pPr>
      <w:r w:rsidRPr="00275428">
        <w:rPr>
          <w:rFonts w:ascii="Arial" w:hAnsi="Arial" w:cs="Arial"/>
          <w:sz w:val="22"/>
        </w:rPr>
        <w:t>These findings challenge the assumption that increasing referrals automatically reduces health inequalities. Access to a link worker is only one stage of the pathway; equitable benefit also requires appropriate services to be available and accessible (Bu et al., 2024).</w:t>
      </w:r>
    </w:p>
    <w:p w14:paraId="7CD10442" w14:textId="1CFCA8E2" w:rsidR="00B77EA4" w:rsidRPr="00275428" w:rsidRDefault="00B77EA4" w:rsidP="00275428">
      <w:pPr>
        <w:spacing w:line="360" w:lineRule="auto"/>
        <w:rPr>
          <w:rFonts w:ascii="Arial" w:hAnsi="Arial" w:cs="Arial"/>
          <w:sz w:val="22"/>
        </w:rPr>
      </w:pPr>
      <w:r w:rsidRPr="00275428">
        <w:rPr>
          <w:rFonts w:ascii="Arial" w:hAnsi="Arial" w:cs="Arial"/>
          <w:sz w:val="22"/>
        </w:rPr>
        <w:t>Thomson et al., (2026) similarly showed that projects in deprived areas can use place-based and community-led approaches to reach underserved groups, but they also reported accessibility and funding barriers. Thus, the two studies converge on an important point: social prescribing may help address inequalities, but its impact depends heavily on the distribution, accessibility and relevance of community provision (Bu</w:t>
      </w:r>
      <w:r w:rsidR="00B21D16">
        <w:rPr>
          <w:rFonts w:ascii="Arial" w:hAnsi="Arial" w:cs="Arial"/>
          <w:sz w:val="22"/>
        </w:rPr>
        <w:t xml:space="preserve"> </w:t>
      </w:r>
      <w:r w:rsidRPr="00275428">
        <w:rPr>
          <w:rFonts w:ascii="Arial" w:hAnsi="Arial" w:cs="Arial"/>
          <w:sz w:val="22"/>
        </w:rPr>
        <w:t>et al., 2024; Thomson</w:t>
      </w:r>
      <w:r w:rsidR="0026493C">
        <w:rPr>
          <w:rFonts w:ascii="Arial" w:hAnsi="Arial" w:cs="Arial"/>
          <w:sz w:val="22"/>
        </w:rPr>
        <w:t xml:space="preserve"> </w:t>
      </w:r>
      <w:r w:rsidRPr="00275428">
        <w:rPr>
          <w:rFonts w:ascii="Arial" w:hAnsi="Arial" w:cs="Arial"/>
          <w:sz w:val="22"/>
        </w:rPr>
        <w:t>et al., 2026).</w:t>
      </w:r>
    </w:p>
    <w:p w14:paraId="799D4B70" w14:textId="77777777" w:rsidR="00B77EA4" w:rsidRPr="00275428" w:rsidRDefault="00B77EA4" w:rsidP="00275428">
      <w:pPr>
        <w:spacing w:line="360" w:lineRule="auto"/>
        <w:rPr>
          <w:rFonts w:ascii="Arial" w:hAnsi="Arial" w:cs="Arial"/>
          <w:b/>
          <w:bCs/>
          <w:sz w:val="22"/>
        </w:rPr>
      </w:pPr>
    </w:p>
    <w:p w14:paraId="22640472" w14:textId="77777777" w:rsidR="00B77EA4" w:rsidRPr="00275428" w:rsidRDefault="00B77EA4" w:rsidP="00275428">
      <w:pPr>
        <w:spacing w:line="360" w:lineRule="auto"/>
        <w:rPr>
          <w:rFonts w:ascii="Arial" w:hAnsi="Arial" w:cs="Arial"/>
          <w:b/>
          <w:bCs/>
          <w:sz w:val="22"/>
        </w:rPr>
      </w:pPr>
      <w:r w:rsidRPr="00275428">
        <w:rPr>
          <w:rFonts w:ascii="Arial" w:hAnsi="Arial" w:cs="Arial"/>
          <w:b/>
          <w:bCs/>
          <w:sz w:val="22"/>
        </w:rPr>
        <w:t>Theme 4: Implementation, resources and sustainability</w:t>
      </w:r>
    </w:p>
    <w:p w14:paraId="720B4D85" w14:textId="77777777" w:rsidR="00B77EA4" w:rsidRPr="00275428" w:rsidRDefault="00B77EA4" w:rsidP="00275428">
      <w:pPr>
        <w:spacing w:line="360" w:lineRule="auto"/>
        <w:rPr>
          <w:rFonts w:ascii="Arial" w:hAnsi="Arial" w:cs="Arial"/>
          <w:sz w:val="22"/>
        </w:rPr>
      </w:pPr>
    </w:p>
    <w:p w14:paraId="36A9EBCA" w14:textId="634CC77F" w:rsidR="00B77EA4" w:rsidRPr="00275428" w:rsidRDefault="00B77EA4" w:rsidP="00275428">
      <w:pPr>
        <w:spacing w:line="360" w:lineRule="auto"/>
        <w:rPr>
          <w:rFonts w:ascii="Arial" w:hAnsi="Arial" w:cs="Arial"/>
          <w:sz w:val="22"/>
        </w:rPr>
      </w:pPr>
      <w:r w:rsidRPr="00275428">
        <w:rPr>
          <w:rFonts w:ascii="Arial" w:hAnsi="Arial" w:cs="Arial"/>
          <w:sz w:val="22"/>
        </w:rPr>
        <w:t>The final theme concerns whether SP can be delivered consistently and maintained over time. Rafiei et</w:t>
      </w:r>
      <w:r w:rsidR="00BE7F2D">
        <w:rPr>
          <w:rFonts w:ascii="Arial" w:hAnsi="Arial" w:cs="Arial"/>
          <w:sz w:val="22"/>
        </w:rPr>
        <w:t xml:space="preserve"> </w:t>
      </w:r>
      <w:r w:rsidRPr="00275428">
        <w:rPr>
          <w:rFonts w:ascii="Arial" w:hAnsi="Arial" w:cs="Arial"/>
          <w:sz w:val="22"/>
        </w:rPr>
        <w:t>al. (2024) identified financial pressures, workforce challenges, inconsistent implementation, partnership difficulties, information-system problems, referral delays, training gaps and accessibility concerns. These findings demonstrate that SP is not a single intervention that can be implemented simply by creating a referral pathway. It depends on coordination between primary care, link workers and voluntary and community organisations, as well as adequate infrastructure and sustainable resources (Rafiei</w:t>
      </w:r>
      <w:r w:rsidR="00AC7083">
        <w:rPr>
          <w:rFonts w:ascii="Arial" w:hAnsi="Arial" w:cs="Arial"/>
          <w:sz w:val="22"/>
        </w:rPr>
        <w:t xml:space="preserve"> </w:t>
      </w:r>
      <w:r w:rsidRPr="00275428">
        <w:rPr>
          <w:rFonts w:ascii="Arial" w:hAnsi="Arial" w:cs="Arial"/>
          <w:sz w:val="22"/>
        </w:rPr>
        <w:t>et al., 2024). This evidence is consistent with Thomson</w:t>
      </w:r>
      <w:r w:rsidR="005E7485">
        <w:rPr>
          <w:rFonts w:ascii="Arial" w:hAnsi="Arial" w:cs="Arial"/>
          <w:sz w:val="22"/>
        </w:rPr>
        <w:t xml:space="preserve">, et. al., </w:t>
      </w:r>
      <w:r w:rsidRPr="00275428">
        <w:rPr>
          <w:rFonts w:ascii="Arial" w:hAnsi="Arial" w:cs="Arial"/>
          <w:sz w:val="22"/>
        </w:rPr>
        <w:t xml:space="preserve">(2026), who also identified funding difficulties and variation in knowledge of community assets. </w:t>
      </w:r>
    </w:p>
    <w:p w14:paraId="2FC7839E" w14:textId="190597BD" w:rsidR="00B77EA4" w:rsidRPr="00275428" w:rsidRDefault="00B77EA4" w:rsidP="00275428">
      <w:pPr>
        <w:spacing w:line="360" w:lineRule="auto"/>
        <w:rPr>
          <w:rFonts w:ascii="Arial" w:hAnsi="Arial" w:cs="Arial"/>
          <w:sz w:val="22"/>
        </w:rPr>
      </w:pPr>
      <w:r w:rsidRPr="00275428">
        <w:rPr>
          <w:rFonts w:ascii="Arial" w:hAnsi="Arial" w:cs="Arial"/>
          <w:sz w:val="22"/>
        </w:rPr>
        <w:lastRenderedPageBreak/>
        <w:t>However, Thomson</w:t>
      </w:r>
      <w:r w:rsidR="0034290A">
        <w:rPr>
          <w:rFonts w:ascii="Arial" w:hAnsi="Arial" w:cs="Arial"/>
          <w:sz w:val="22"/>
        </w:rPr>
        <w:t xml:space="preserve"> </w:t>
      </w:r>
      <w:r w:rsidRPr="00275428">
        <w:rPr>
          <w:rFonts w:ascii="Arial" w:hAnsi="Arial" w:cs="Arial"/>
          <w:sz w:val="22"/>
        </w:rPr>
        <w:t>et al., (2026) emphasise the potential of partnerships and place-based working, whereas Rafie</w:t>
      </w:r>
      <w:r w:rsidR="00732607">
        <w:rPr>
          <w:rFonts w:ascii="Arial" w:hAnsi="Arial" w:cs="Arial"/>
          <w:sz w:val="22"/>
        </w:rPr>
        <w:t>i</w:t>
      </w:r>
      <w:r w:rsidR="00BE7F2D">
        <w:rPr>
          <w:rFonts w:ascii="Arial" w:hAnsi="Arial" w:cs="Arial"/>
          <w:sz w:val="22"/>
        </w:rPr>
        <w:t xml:space="preserve"> </w:t>
      </w:r>
      <w:r w:rsidRPr="00275428">
        <w:rPr>
          <w:rFonts w:ascii="Arial" w:hAnsi="Arial" w:cs="Arial"/>
          <w:sz w:val="22"/>
        </w:rPr>
        <w:t>et al., (2024) highlight the operational barriers that can prevent these partnerships from functioning effectively. This contrast suggests that collaboration is both a major strength of SP and a potential weakness when systems, funding and responsibilities are unclear.</w:t>
      </w:r>
    </w:p>
    <w:p w14:paraId="14111912" w14:textId="0FD0A5A0" w:rsidR="00B77EA4" w:rsidRPr="00275428" w:rsidRDefault="00B77EA4" w:rsidP="00275428">
      <w:pPr>
        <w:spacing w:line="360" w:lineRule="auto"/>
        <w:rPr>
          <w:rFonts w:ascii="Arial" w:hAnsi="Arial" w:cs="Arial"/>
          <w:sz w:val="22"/>
        </w:rPr>
      </w:pPr>
      <w:r w:rsidRPr="00275428">
        <w:rPr>
          <w:rFonts w:ascii="Arial" w:hAnsi="Arial" w:cs="Arial"/>
          <w:sz w:val="22"/>
        </w:rPr>
        <w:t>Overall, the five studies indicate that SP has the potential to improve wellbeing, social connection and access to community support, but these benefits are conditional rather than guaranteed (Bu</w:t>
      </w:r>
      <w:r w:rsidR="00BE7F2D">
        <w:rPr>
          <w:rFonts w:ascii="Arial" w:hAnsi="Arial" w:cs="Arial"/>
          <w:sz w:val="22"/>
        </w:rPr>
        <w:t xml:space="preserve"> </w:t>
      </w:r>
      <w:r w:rsidRPr="00275428">
        <w:rPr>
          <w:rFonts w:ascii="Arial" w:hAnsi="Arial" w:cs="Arial"/>
          <w:sz w:val="22"/>
        </w:rPr>
        <w:t>et al., 2026; Handayani</w:t>
      </w:r>
      <w:r w:rsidR="00732607">
        <w:rPr>
          <w:rFonts w:ascii="Arial" w:hAnsi="Arial" w:cs="Arial"/>
          <w:sz w:val="22"/>
        </w:rPr>
        <w:t>,</w:t>
      </w:r>
      <w:r w:rsidRPr="00275428">
        <w:rPr>
          <w:rFonts w:ascii="Arial" w:hAnsi="Arial" w:cs="Arial"/>
          <w:sz w:val="22"/>
        </w:rPr>
        <w:t xml:space="preserve"> et</w:t>
      </w:r>
      <w:r w:rsidR="00732607">
        <w:rPr>
          <w:rFonts w:ascii="Arial" w:hAnsi="Arial" w:cs="Arial"/>
          <w:sz w:val="22"/>
        </w:rPr>
        <w:t>.</w:t>
      </w:r>
      <w:r w:rsidRPr="00275428">
        <w:rPr>
          <w:rFonts w:ascii="Arial" w:hAnsi="Arial" w:cs="Arial"/>
          <w:sz w:val="22"/>
        </w:rPr>
        <w:t xml:space="preserve"> al., 2025; Thomson et al., 2026). The evidence also shows that inequalities and implementation problems can limit who benefits and how consistently services operate (Bu et al., 2024; Rafiei et al., 2024; Thomson</w:t>
      </w:r>
      <w:r w:rsidR="003D2BFC" w:rsidRPr="00275428">
        <w:rPr>
          <w:rFonts w:ascii="Arial" w:hAnsi="Arial" w:cs="Arial"/>
          <w:sz w:val="22"/>
        </w:rPr>
        <w:t xml:space="preserve"> et al., (2026).</w:t>
      </w:r>
    </w:p>
    <w:p w14:paraId="5491BB09" w14:textId="0D48A299" w:rsidR="001E4104" w:rsidRPr="00275428" w:rsidRDefault="00B77EA4" w:rsidP="003A74BE">
      <w:pPr>
        <w:spacing w:line="360" w:lineRule="auto"/>
        <w:rPr>
          <w:rFonts w:ascii="Arial" w:hAnsi="Arial" w:cs="Arial"/>
          <w:sz w:val="22"/>
        </w:rPr>
      </w:pPr>
      <w:r w:rsidRPr="00275428">
        <w:rPr>
          <w:rFonts w:ascii="Arial" w:hAnsi="Arial" w:cs="Arial"/>
          <w:sz w:val="22"/>
        </w:rPr>
        <w:t>Therefore, the findings suggest that the success of SP depends not only on referring people to community activities, but on providing suitable support, strengthening community capacity and ensuring that services are accessible, coordinated and sustainable (Handayani et al., 2025; Thomson et al., 2026; Rafiei et al., 2024). This makes the benefits inseparable from the conditions required for effective delivery.</w:t>
      </w:r>
    </w:p>
    <w:p w14:paraId="5E09FA31" w14:textId="77777777" w:rsidR="003154D9" w:rsidRPr="00275428" w:rsidRDefault="003154D9" w:rsidP="00275428">
      <w:pPr>
        <w:pStyle w:val="Heading1"/>
        <w:rPr>
          <w:rFonts w:cs="Arial"/>
        </w:rPr>
      </w:pPr>
    </w:p>
    <w:p w14:paraId="38E432BD" w14:textId="3AF2583C" w:rsidR="001C38D2" w:rsidRPr="00275428" w:rsidRDefault="00B87E75" w:rsidP="00275428">
      <w:pPr>
        <w:pStyle w:val="Heading1"/>
        <w:rPr>
          <w:rFonts w:cs="Arial"/>
        </w:rPr>
      </w:pPr>
      <w:r w:rsidRPr="00275428">
        <w:rPr>
          <w:rFonts w:cs="Arial"/>
        </w:rPr>
        <w:t>Discussion</w:t>
      </w:r>
    </w:p>
    <w:p w14:paraId="197440ED" w14:textId="77777777" w:rsidR="003F25F1" w:rsidRPr="00275428" w:rsidRDefault="003F25F1" w:rsidP="00275428">
      <w:pPr>
        <w:tabs>
          <w:tab w:val="left" w:pos="6540"/>
        </w:tabs>
        <w:spacing w:line="360" w:lineRule="auto"/>
        <w:rPr>
          <w:rFonts w:ascii="Arial" w:hAnsi="Arial" w:cs="Arial"/>
          <w:b/>
          <w:sz w:val="22"/>
        </w:rPr>
      </w:pPr>
    </w:p>
    <w:p w14:paraId="3E08AEA0" w14:textId="1ADDA2BD" w:rsidR="00DC6FCB" w:rsidRPr="00275428" w:rsidRDefault="00155CCE" w:rsidP="00275428">
      <w:pPr>
        <w:tabs>
          <w:tab w:val="left" w:pos="6540"/>
        </w:tabs>
        <w:spacing w:line="360" w:lineRule="auto"/>
        <w:rPr>
          <w:rFonts w:ascii="Arial" w:hAnsi="Arial" w:cs="Arial"/>
          <w:bCs/>
          <w:sz w:val="22"/>
        </w:rPr>
      </w:pPr>
      <w:r w:rsidRPr="00275428">
        <w:rPr>
          <w:rFonts w:ascii="Arial" w:hAnsi="Arial" w:cs="Arial"/>
          <w:bCs/>
          <w:sz w:val="22"/>
        </w:rPr>
        <w:t xml:space="preserve">The findings of this scoping review suggest that social prescribing (SP) has potential to support wellbeing and social connection, although the benefits appear to depend on meaningful engagement and access to appropriate community support (Liebmann et al., 2022). This is important because the value of SP extends beyond making a referral. </w:t>
      </w:r>
    </w:p>
    <w:p w14:paraId="39F23F47" w14:textId="77777777" w:rsidR="00C353D6" w:rsidRPr="00275428" w:rsidRDefault="00C353D6" w:rsidP="00275428">
      <w:pPr>
        <w:tabs>
          <w:tab w:val="left" w:pos="6540"/>
        </w:tabs>
        <w:spacing w:line="360" w:lineRule="auto"/>
        <w:rPr>
          <w:rFonts w:ascii="Arial" w:hAnsi="Arial" w:cs="Arial"/>
          <w:bCs/>
          <w:sz w:val="22"/>
        </w:rPr>
      </w:pPr>
      <w:r w:rsidRPr="00275428">
        <w:rPr>
          <w:rFonts w:ascii="Arial" w:hAnsi="Arial" w:cs="Arial"/>
          <w:bCs/>
          <w:sz w:val="22"/>
        </w:rPr>
        <w:t xml:space="preserve">Foster et al. (2021) reported reductions in loneliness alongside improvements in wellbeing, confidence and sense of purpose, while Liebmann et al. (2022) found that people perceived benefits when SP helped them develop meaningful connections and address loneliness or social isolation. </w:t>
      </w:r>
    </w:p>
    <w:p w14:paraId="529AFEFA" w14:textId="283CA77D" w:rsidR="00C353D6" w:rsidRPr="00275428" w:rsidRDefault="00C353D6" w:rsidP="00275428">
      <w:pPr>
        <w:tabs>
          <w:tab w:val="left" w:pos="6540"/>
        </w:tabs>
        <w:spacing w:line="360" w:lineRule="auto"/>
        <w:rPr>
          <w:rFonts w:ascii="Arial" w:hAnsi="Arial" w:cs="Arial"/>
          <w:bCs/>
          <w:sz w:val="22"/>
        </w:rPr>
      </w:pPr>
      <w:r w:rsidRPr="00275428">
        <w:rPr>
          <w:rFonts w:ascii="Arial" w:hAnsi="Arial" w:cs="Arial"/>
          <w:bCs/>
          <w:sz w:val="22"/>
        </w:rPr>
        <w:t>Together, these findings suggest that social connection may be an important part of how SP can contribute to wellbeing (Foster et al., 2021; Liebmann et al., 2022). However, referral alone does not guarantee meaningful engagement. The suitability of the support, the person's circumstances and their ability to engage can influence whether a referral develops into meaningful participation (Wildman et al., 2019).</w:t>
      </w:r>
    </w:p>
    <w:p w14:paraId="08C2CACF" w14:textId="77777777" w:rsidR="007B67A3" w:rsidRPr="00275428" w:rsidRDefault="007B67A3" w:rsidP="00275428">
      <w:pPr>
        <w:tabs>
          <w:tab w:val="left" w:pos="6540"/>
        </w:tabs>
        <w:spacing w:line="360" w:lineRule="auto"/>
        <w:rPr>
          <w:rFonts w:ascii="Arial" w:hAnsi="Arial" w:cs="Arial"/>
          <w:bCs/>
          <w:sz w:val="22"/>
        </w:rPr>
      </w:pPr>
    </w:p>
    <w:p w14:paraId="7693C776" w14:textId="77777777" w:rsidR="007B67A3" w:rsidRPr="00275428" w:rsidRDefault="007B67A3" w:rsidP="00275428">
      <w:pPr>
        <w:tabs>
          <w:tab w:val="left" w:pos="6540"/>
        </w:tabs>
        <w:spacing w:line="360" w:lineRule="auto"/>
        <w:rPr>
          <w:rFonts w:ascii="Arial" w:hAnsi="Arial" w:cs="Arial"/>
          <w:bCs/>
          <w:sz w:val="22"/>
        </w:rPr>
      </w:pPr>
      <w:r w:rsidRPr="00275428">
        <w:rPr>
          <w:rFonts w:ascii="Arial" w:hAnsi="Arial" w:cs="Arial"/>
          <w:bCs/>
          <w:sz w:val="22"/>
        </w:rPr>
        <w:lastRenderedPageBreak/>
        <w:t xml:space="preserve">The person-centred nature of SP is therefore significant. Link workers can help people identify and access local resources that reflect their individual circumstances and needs (Tierney et al., 2020). However, this involves more than offering a choice of activities, as the available support needs to be relevant and accessible. Building relationships with people and understanding the factors affecting their engagement can also make the link worker role complex and demanding (Wildman et al., 2019). </w:t>
      </w:r>
    </w:p>
    <w:p w14:paraId="5B88463F" w14:textId="783DE0A8" w:rsidR="007B67A3" w:rsidRPr="00275428" w:rsidRDefault="007B67A3" w:rsidP="00275428">
      <w:pPr>
        <w:tabs>
          <w:tab w:val="left" w:pos="6540"/>
        </w:tabs>
        <w:spacing w:line="360" w:lineRule="auto"/>
        <w:rPr>
          <w:rFonts w:ascii="Arial" w:hAnsi="Arial" w:cs="Arial"/>
          <w:bCs/>
          <w:sz w:val="22"/>
        </w:rPr>
      </w:pPr>
      <w:r w:rsidRPr="00275428">
        <w:rPr>
          <w:rFonts w:ascii="Arial" w:hAnsi="Arial" w:cs="Arial"/>
          <w:bCs/>
          <w:sz w:val="22"/>
        </w:rPr>
        <w:t xml:space="preserve">On the other hand, </w:t>
      </w:r>
      <w:r w:rsidRPr="00275428">
        <w:rPr>
          <w:rFonts w:ascii="Arial" w:hAnsi="Arial" w:cs="Arial"/>
          <w:bCs/>
          <w:sz w:val="22"/>
        </w:rPr>
        <w:t>Mulholland et al. (2025) further highlights the developing nature of the role and the need for greater clarity around its responsibilities. These factors suggest that person-centred SP depends not only on individual choice, but also on the ability of link workers to make appropriate connections within the local community (Tierney et al., 2020; Wildman et al., 2019).</w:t>
      </w:r>
    </w:p>
    <w:p w14:paraId="54EFDDE3" w14:textId="77777777" w:rsidR="00F6408F" w:rsidRPr="00275428" w:rsidRDefault="00F6408F" w:rsidP="00275428">
      <w:pPr>
        <w:tabs>
          <w:tab w:val="left" w:pos="6540"/>
        </w:tabs>
        <w:spacing w:line="360" w:lineRule="auto"/>
        <w:rPr>
          <w:rFonts w:ascii="Arial" w:hAnsi="Arial" w:cs="Arial"/>
          <w:bCs/>
          <w:sz w:val="22"/>
        </w:rPr>
      </w:pPr>
    </w:p>
    <w:p w14:paraId="7FFD9EBF" w14:textId="77777777" w:rsidR="00F6408F" w:rsidRPr="00275428" w:rsidRDefault="00F6408F" w:rsidP="00275428">
      <w:pPr>
        <w:tabs>
          <w:tab w:val="left" w:pos="6540"/>
        </w:tabs>
        <w:spacing w:line="360" w:lineRule="auto"/>
        <w:rPr>
          <w:rFonts w:ascii="Arial" w:hAnsi="Arial" w:cs="Arial"/>
          <w:bCs/>
          <w:sz w:val="22"/>
        </w:rPr>
      </w:pPr>
      <w:r w:rsidRPr="00275428">
        <w:rPr>
          <w:rFonts w:ascii="Arial" w:hAnsi="Arial" w:cs="Arial"/>
          <w:bCs/>
          <w:sz w:val="22"/>
        </w:rPr>
        <w:t xml:space="preserve">The findings also raise concerns about the extent to which SP can address health inequalities. Although SP can connect people with community-based support, the opportunity to benefit may depend on the availability and accessibility of local provision (Koser et al., 2024; Melam et al., 2025). </w:t>
      </w:r>
    </w:p>
    <w:p w14:paraId="27C05608" w14:textId="77777777" w:rsidR="00CC5272" w:rsidRPr="00275428" w:rsidRDefault="00CC5272" w:rsidP="00275428">
      <w:pPr>
        <w:tabs>
          <w:tab w:val="left" w:pos="6540"/>
        </w:tabs>
        <w:spacing w:line="360" w:lineRule="auto"/>
        <w:rPr>
          <w:rFonts w:ascii="Arial" w:hAnsi="Arial" w:cs="Arial"/>
          <w:bCs/>
          <w:sz w:val="22"/>
        </w:rPr>
      </w:pPr>
    </w:p>
    <w:p w14:paraId="624E6CEC" w14:textId="358DF83B" w:rsidR="00CC5272" w:rsidRPr="00275428" w:rsidRDefault="00CC5272" w:rsidP="00275428">
      <w:pPr>
        <w:tabs>
          <w:tab w:val="left" w:pos="6540"/>
        </w:tabs>
        <w:spacing w:line="360" w:lineRule="auto"/>
        <w:rPr>
          <w:rFonts w:ascii="Arial" w:hAnsi="Arial" w:cs="Arial"/>
          <w:bCs/>
          <w:sz w:val="22"/>
        </w:rPr>
      </w:pPr>
      <w:r w:rsidRPr="00275428">
        <w:rPr>
          <w:rFonts w:ascii="Arial" w:hAnsi="Arial" w:cs="Arial"/>
          <w:bCs/>
          <w:sz w:val="22"/>
        </w:rPr>
        <w:t>Differences in community resources and wider social circumstances can affect people's ability to engage with available support (Koser et al., 2024; Melam et al., 2025). This means that increasing referrals alone may not be sufficient to address inequalities. Where suitable activities are unavailable, difficult to access or poorly matched to people's needs, a referral may have limited practical value (Koser et al., 2024; Melam et al., 2025). SP may therefore have greater potential to address inequalities when community provision is sufficiently diverse, accessible and responsive to local needs.</w:t>
      </w:r>
    </w:p>
    <w:p w14:paraId="51ACE959" w14:textId="08FF2BE8" w:rsidR="00155CCE" w:rsidRPr="00275428" w:rsidRDefault="00155CCE" w:rsidP="00275428">
      <w:pPr>
        <w:tabs>
          <w:tab w:val="left" w:pos="6540"/>
        </w:tabs>
        <w:spacing w:line="360" w:lineRule="auto"/>
        <w:rPr>
          <w:rFonts w:ascii="Arial" w:hAnsi="Arial" w:cs="Arial"/>
          <w:b/>
          <w:sz w:val="22"/>
        </w:rPr>
      </w:pPr>
    </w:p>
    <w:p w14:paraId="18408DD3" w14:textId="77777777" w:rsidR="00AB5F9A" w:rsidRPr="00275428" w:rsidRDefault="00DC6FCB" w:rsidP="00275428">
      <w:pPr>
        <w:tabs>
          <w:tab w:val="left" w:pos="6540"/>
        </w:tabs>
        <w:spacing w:line="360" w:lineRule="auto"/>
        <w:rPr>
          <w:rFonts w:ascii="Arial" w:hAnsi="Arial" w:cs="Arial"/>
          <w:bCs/>
          <w:sz w:val="22"/>
        </w:rPr>
      </w:pPr>
      <w:r w:rsidRPr="00275428">
        <w:rPr>
          <w:rFonts w:ascii="Arial" w:hAnsi="Arial" w:cs="Arial"/>
          <w:bCs/>
          <w:sz w:val="22"/>
        </w:rPr>
        <w:t xml:space="preserve">Implementation is another important consideration because SP depends on relationships between health services, link workers and voluntary and community organisations (Pollard et al., 2023). Wider implementation factors, including organisational context, resources and partnership working, can influence how complex interventions are delivered in practice (Skivington et al., 2018). </w:t>
      </w:r>
    </w:p>
    <w:p w14:paraId="7443DAE9" w14:textId="5C6B3797" w:rsidR="00DC6FCB" w:rsidRPr="00275428" w:rsidRDefault="00DC6FCB" w:rsidP="00275428">
      <w:pPr>
        <w:tabs>
          <w:tab w:val="left" w:pos="6540"/>
        </w:tabs>
        <w:spacing w:line="360" w:lineRule="auto"/>
        <w:rPr>
          <w:rFonts w:ascii="Arial" w:hAnsi="Arial" w:cs="Arial"/>
          <w:bCs/>
          <w:sz w:val="22"/>
        </w:rPr>
      </w:pPr>
      <w:r w:rsidRPr="00275428">
        <w:rPr>
          <w:rFonts w:ascii="Arial" w:hAnsi="Arial" w:cs="Arial"/>
          <w:bCs/>
          <w:sz w:val="22"/>
        </w:rPr>
        <w:t xml:space="preserve">The availability and capacity of local community organisations are also important, as SP depends on suitable resources being available for people to access (McSwiggan et al., 2025). Sustainable SP therefore requires more than individual link workers; it also depends </w:t>
      </w:r>
      <w:r w:rsidRPr="00275428">
        <w:rPr>
          <w:rFonts w:ascii="Arial" w:hAnsi="Arial" w:cs="Arial"/>
          <w:bCs/>
          <w:sz w:val="22"/>
        </w:rPr>
        <w:lastRenderedPageBreak/>
        <w:t>on adequate resources, effective partnerships and sufficient community capacity to respond to people’s needs (McSwiggan et al., 2025). Without these conditions, opportunities to benefit may vary between communities (McSwiggan et al., 2025).</w:t>
      </w:r>
    </w:p>
    <w:p w14:paraId="593FE867" w14:textId="37FFFA85" w:rsidR="009125E4" w:rsidRPr="00275428" w:rsidRDefault="009125E4" w:rsidP="00275428">
      <w:pPr>
        <w:tabs>
          <w:tab w:val="left" w:pos="6540"/>
        </w:tabs>
        <w:spacing w:line="360" w:lineRule="auto"/>
        <w:rPr>
          <w:rFonts w:ascii="Arial" w:hAnsi="Arial" w:cs="Arial"/>
          <w:bCs/>
          <w:sz w:val="22"/>
        </w:rPr>
      </w:pPr>
      <w:r w:rsidRPr="00275428">
        <w:rPr>
          <w:rFonts w:ascii="Arial" w:hAnsi="Arial" w:cs="Arial"/>
          <w:bCs/>
          <w:sz w:val="22"/>
        </w:rPr>
        <w:t>There are also limitations to the evidence considered in this review. The included studies used different research designs, populations and outcome measures, making direct comparison difficult. Variation in how SP is delivered across settings may also affect how findings can be interpreted and transferred to other contexts (Pescheny et al., 20</w:t>
      </w:r>
      <w:r w:rsidR="00852BCD">
        <w:rPr>
          <w:rFonts w:ascii="Arial" w:hAnsi="Arial" w:cs="Arial"/>
          <w:bCs/>
          <w:sz w:val="22"/>
        </w:rPr>
        <w:t>19</w:t>
      </w:r>
      <w:r w:rsidRPr="00275428">
        <w:rPr>
          <w:rFonts w:ascii="Arial" w:hAnsi="Arial" w:cs="Arial"/>
          <w:bCs/>
          <w:sz w:val="22"/>
        </w:rPr>
        <w:t xml:space="preserve">; Pollard et al., 2023). </w:t>
      </w:r>
    </w:p>
    <w:p w14:paraId="6F9DECEE" w14:textId="451888AB" w:rsidR="009125E4" w:rsidRPr="00275428" w:rsidRDefault="009125E4" w:rsidP="00275428">
      <w:pPr>
        <w:tabs>
          <w:tab w:val="left" w:pos="6540"/>
        </w:tabs>
        <w:spacing w:line="360" w:lineRule="auto"/>
        <w:rPr>
          <w:rFonts w:ascii="Arial" w:hAnsi="Arial" w:cs="Arial"/>
          <w:bCs/>
          <w:sz w:val="22"/>
        </w:rPr>
      </w:pPr>
      <w:r w:rsidRPr="00275428">
        <w:rPr>
          <w:rFonts w:ascii="Arial" w:hAnsi="Arial" w:cs="Arial"/>
          <w:bCs/>
          <w:sz w:val="22"/>
        </w:rPr>
        <w:t xml:space="preserve">Some evidence has limited ability to establish whether changes in wellbeing are specifically attributable to SP, highlighting the need for stronger evaluation (Bickerdike et al., 2017). Differences in local resources and implementation may further influence outcomes (McSwiggan et al., 2025). These limitations support cautious interpretation and the need for more consistent </w:t>
      </w:r>
      <w:r w:rsidRPr="00275428">
        <w:rPr>
          <w:rFonts w:ascii="Arial" w:hAnsi="Arial" w:cs="Arial"/>
          <w:bCs/>
          <w:sz w:val="22"/>
        </w:rPr>
        <w:t>research</w:t>
      </w:r>
    </w:p>
    <w:p w14:paraId="47533C34" w14:textId="258FAF2E" w:rsidR="009125E4" w:rsidRPr="00275428" w:rsidRDefault="00155CCE" w:rsidP="00275428">
      <w:pPr>
        <w:tabs>
          <w:tab w:val="left" w:pos="6540"/>
        </w:tabs>
        <w:spacing w:line="360" w:lineRule="auto"/>
        <w:rPr>
          <w:rFonts w:ascii="Arial" w:hAnsi="Arial" w:cs="Arial"/>
          <w:bCs/>
          <w:sz w:val="22"/>
        </w:rPr>
      </w:pPr>
      <w:r w:rsidRPr="00275428">
        <w:rPr>
          <w:rFonts w:ascii="Arial" w:hAnsi="Arial" w:cs="Arial"/>
          <w:bCs/>
          <w:sz w:val="22"/>
        </w:rPr>
        <w:t>Future research should examine not only whether people experience improvements following SP, but also which elements of the approach contribute to sustained outcomes</w:t>
      </w:r>
      <w:r w:rsidR="00920D97" w:rsidRPr="00275428">
        <w:rPr>
          <w:rFonts w:ascii="Arial" w:hAnsi="Arial" w:cs="Arial"/>
          <w:bCs/>
          <w:sz w:val="22"/>
        </w:rPr>
        <w:t xml:space="preserve"> </w:t>
      </w:r>
      <w:r w:rsidR="00920D97" w:rsidRPr="00275428">
        <w:rPr>
          <w:rFonts w:ascii="Arial" w:hAnsi="Arial" w:cs="Arial"/>
          <w:bCs/>
          <w:sz w:val="22"/>
        </w:rPr>
        <w:t>(Bickerdike et al., 2017)</w:t>
      </w:r>
      <w:r w:rsidRPr="00275428">
        <w:rPr>
          <w:rFonts w:ascii="Arial" w:hAnsi="Arial" w:cs="Arial"/>
          <w:bCs/>
          <w:sz w:val="22"/>
        </w:rPr>
        <w:t xml:space="preserve">. Stronger and longer-term evaluation could help determine whether reported benefits are maintained and whether outcomes differ according to the type of support received (Bickerdike et al., 2017). </w:t>
      </w:r>
    </w:p>
    <w:p w14:paraId="36FD4642" w14:textId="5D523AB4" w:rsidR="009125E4" w:rsidRPr="00275428" w:rsidRDefault="00155CCE" w:rsidP="00275428">
      <w:pPr>
        <w:tabs>
          <w:tab w:val="left" w:pos="6540"/>
        </w:tabs>
        <w:spacing w:line="360" w:lineRule="auto"/>
        <w:rPr>
          <w:rFonts w:ascii="Arial" w:hAnsi="Arial" w:cs="Arial"/>
          <w:bCs/>
          <w:sz w:val="22"/>
        </w:rPr>
      </w:pPr>
      <w:r w:rsidRPr="00275428">
        <w:rPr>
          <w:rFonts w:ascii="Arial" w:hAnsi="Arial" w:cs="Arial"/>
          <w:bCs/>
          <w:sz w:val="22"/>
        </w:rPr>
        <w:t>More consistent outcome measures could also make findings from different SP models easier to compare</w:t>
      </w:r>
      <w:r w:rsidR="00916C25" w:rsidRPr="00275428">
        <w:rPr>
          <w:rFonts w:ascii="Arial" w:hAnsi="Arial" w:cs="Arial"/>
          <w:bCs/>
          <w:sz w:val="22"/>
        </w:rPr>
        <w:t xml:space="preserve"> </w:t>
      </w:r>
      <w:r w:rsidR="00916C25" w:rsidRPr="00275428">
        <w:rPr>
          <w:rFonts w:ascii="Arial" w:hAnsi="Arial" w:cs="Arial"/>
          <w:bCs/>
          <w:sz w:val="22"/>
        </w:rPr>
        <w:t>(Pescheny et al., 20</w:t>
      </w:r>
      <w:r w:rsidR="00011490">
        <w:rPr>
          <w:rFonts w:ascii="Arial" w:hAnsi="Arial" w:cs="Arial"/>
          <w:bCs/>
          <w:sz w:val="22"/>
        </w:rPr>
        <w:t>19</w:t>
      </w:r>
      <w:r w:rsidR="00916C25" w:rsidRPr="00275428">
        <w:rPr>
          <w:rFonts w:ascii="Arial" w:hAnsi="Arial" w:cs="Arial"/>
          <w:bCs/>
          <w:sz w:val="22"/>
        </w:rPr>
        <w:t>; Pollard et al., 2023).</w:t>
      </w:r>
      <w:r w:rsidRPr="00275428">
        <w:rPr>
          <w:rFonts w:ascii="Arial" w:hAnsi="Arial" w:cs="Arial"/>
          <w:bCs/>
          <w:sz w:val="22"/>
        </w:rPr>
        <w:t xml:space="preserve"> Research should further examine inequalities in access and the availability of community resources across different areas</w:t>
      </w:r>
      <w:r w:rsidR="00625902" w:rsidRPr="00275428">
        <w:rPr>
          <w:rFonts w:ascii="Arial" w:hAnsi="Arial" w:cs="Arial"/>
          <w:bCs/>
          <w:sz w:val="22"/>
        </w:rPr>
        <w:t xml:space="preserve"> </w:t>
      </w:r>
      <w:r w:rsidR="00625902" w:rsidRPr="00275428">
        <w:rPr>
          <w:rFonts w:ascii="Arial" w:hAnsi="Arial" w:cs="Arial"/>
          <w:bCs/>
          <w:sz w:val="22"/>
        </w:rPr>
        <w:t>(Koser et al., 2024; Melam et al., 2025)</w:t>
      </w:r>
      <w:r w:rsidR="00625902" w:rsidRPr="00275428">
        <w:rPr>
          <w:rFonts w:ascii="Arial" w:hAnsi="Arial" w:cs="Arial"/>
          <w:bCs/>
          <w:sz w:val="22"/>
        </w:rPr>
        <w:t>.</w:t>
      </w:r>
    </w:p>
    <w:p w14:paraId="368D2F16" w14:textId="1E657AD4" w:rsidR="003F25F1" w:rsidRPr="00275428" w:rsidRDefault="00155CCE" w:rsidP="00275428">
      <w:pPr>
        <w:tabs>
          <w:tab w:val="left" w:pos="6540"/>
        </w:tabs>
        <w:spacing w:line="360" w:lineRule="auto"/>
        <w:rPr>
          <w:rFonts w:ascii="Arial" w:hAnsi="Arial" w:cs="Arial"/>
          <w:bCs/>
          <w:sz w:val="22"/>
        </w:rPr>
      </w:pPr>
      <w:r w:rsidRPr="00275428">
        <w:rPr>
          <w:rFonts w:ascii="Arial" w:hAnsi="Arial" w:cs="Arial"/>
          <w:bCs/>
          <w:sz w:val="22"/>
        </w:rPr>
        <w:t>In practice, the findings suggest that SP is more likely to be effective when referrals are person-centred, community provision is accessible, and link workers have the resources and partnerships needed to support engagement (Tierney et al., 2020; McSwiggan et al., 2025). Overall, SP has potential value, but its success depends on the wider conditions in which it is delivered rather than referral alone.</w:t>
      </w:r>
    </w:p>
    <w:p w14:paraId="682D1769" w14:textId="77777777" w:rsidR="003E4ECF" w:rsidRPr="00275428" w:rsidRDefault="003E4ECF" w:rsidP="00275428">
      <w:pPr>
        <w:tabs>
          <w:tab w:val="left" w:pos="6540"/>
        </w:tabs>
        <w:spacing w:line="360" w:lineRule="auto"/>
        <w:rPr>
          <w:rFonts w:ascii="Arial" w:hAnsi="Arial" w:cs="Arial"/>
          <w:sz w:val="22"/>
        </w:rPr>
      </w:pPr>
    </w:p>
    <w:p w14:paraId="16FAF0EA" w14:textId="7047902D" w:rsidR="00B87E75" w:rsidRPr="00275428" w:rsidRDefault="004A736E" w:rsidP="00275428">
      <w:pPr>
        <w:pStyle w:val="Heading1"/>
        <w:rPr>
          <w:rFonts w:cs="Arial"/>
        </w:rPr>
      </w:pPr>
      <w:r w:rsidRPr="00275428">
        <w:rPr>
          <w:rFonts w:cs="Arial"/>
        </w:rPr>
        <w:t>6</w:t>
      </w:r>
      <w:r w:rsidR="00B87E75" w:rsidRPr="00275428">
        <w:rPr>
          <w:rFonts w:cs="Arial"/>
        </w:rPr>
        <w:t>. Conclusion</w:t>
      </w:r>
      <w:r w:rsidR="00CD33A8" w:rsidRPr="00275428">
        <w:rPr>
          <w:rFonts w:cs="Arial"/>
        </w:rPr>
        <w:t xml:space="preserve"> and Recommendations</w:t>
      </w:r>
    </w:p>
    <w:p w14:paraId="257DA818" w14:textId="77777777" w:rsidR="002000CA" w:rsidRPr="00275428" w:rsidRDefault="002000CA" w:rsidP="00275428">
      <w:pPr>
        <w:tabs>
          <w:tab w:val="left" w:pos="6540"/>
        </w:tabs>
        <w:spacing w:line="360" w:lineRule="auto"/>
        <w:rPr>
          <w:rFonts w:ascii="Arial" w:hAnsi="Arial" w:cs="Arial"/>
          <w:sz w:val="22"/>
        </w:rPr>
      </w:pPr>
    </w:p>
    <w:p w14:paraId="71F015EF" w14:textId="1A0DFBB2" w:rsidR="00B335A4" w:rsidRPr="00275428" w:rsidRDefault="00B335A4" w:rsidP="00275428">
      <w:pPr>
        <w:tabs>
          <w:tab w:val="left" w:pos="6540"/>
        </w:tabs>
        <w:spacing w:line="360" w:lineRule="auto"/>
        <w:rPr>
          <w:rFonts w:ascii="Arial" w:hAnsi="Arial" w:cs="Arial"/>
          <w:sz w:val="22"/>
        </w:rPr>
      </w:pPr>
      <w:r w:rsidRPr="00275428">
        <w:rPr>
          <w:rFonts w:ascii="Arial" w:hAnsi="Arial" w:cs="Arial"/>
          <w:sz w:val="22"/>
        </w:rPr>
        <w:t>This scoping review indicates that social prescribing (SP) offers a valuable way of connecting health and social care with the resources and relationships available within communities</w:t>
      </w:r>
      <w:r w:rsidR="00C2589F" w:rsidRPr="00275428">
        <w:rPr>
          <w:rFonts w:ascii="Arial" w:hAnsi="Arial" w:cs="Arial"/>
          <w:sz w:val="22"/>
        </w:rPr>
        <w:t xml:space="preserve"> </w:t>
      </w:r>
      <w:r w:rsidR="00C2589F" w:rsidRPr="00275428">
        <w:rPr>
          <w:rFonts w:ascii="Arial" w:hAnsi="Arial" w:cs="Arial"/>
          <w:sz w:val="22"/>
        </w:rPr>
        <w:t>(McSwiggan et al., 2025).</w:t>
      </w:r>
      <w:r w:rsidR="0089073B" w:rsidRPr="00275428">
        <w:rPr>
          <w:rFonts w:ascii="Arial" w:hAnsi="Arial" w:cs="Arial"/>
          <w:sz w:val="22"/>
        </w:rPr>
        <w:t xml:space="preserve"> </w:t>
      </w:r>
      <w:r w:rsidRPr="00275428">
        <w:rPr>
          <w:rFonts w:ascii="Arial" w:hAnsi="Arial" w:cs="Arial"/>
          <w:sz w:val="22"/>
        </w:rPr>
        <w:t>Its potential value lies not only</w:t>
      </w:r>
      <w:r w:rsidR="006B7FE7" w:rsidRPr="00275428">
        <w:rPr>
          <w:rFonts w:ascii="Arial" w:hAnsi="Arial" w:cs="Arial"/>
          <w:sz w:val="22"/>
        </w:rPr>
        <w:t xml:space="preserve"> s</w:t>
      </w:r>
      <w:r w:rsidR="00E60A51" w:rsidRPr="00275428">
        <w:rPr>
          <w:rFonts w:ascii="Arial" w:hAnsi="Arial" w:cs="Arial"/>
          <w:sz w:val="22"/>
        </w:rPr>
        <w:t>imply</w:t>
      </w:r>
      <w:r w:rsidRPr="00275428">
        <w:rPr>
          <w:rFonts w:ascii="Arial" w:hAnsi="Arial" w:cs="Arial"/>
          <w:sz w:val="22"/>
        </w:rPr>
        <w:t xml:space="preserve"> in directing </w:t>
      </w:r>
      <w:r w:rsidRPr="00275428">
        <w:rPr>
          <w:rFonts w:ascii="Arial" w:hAnsi="Arial" w:cs="Arial"/>
          <w:sz w:val="22"/>
        </w:rPr>
        <w:lastRenderedPageBreak/>
        <w:t>people towards activities, but in creating opportunities for social connection, participation and support that respond to individual circumstances (Foster et al., 2021; Liebmann et al., 2022). At the same time, the review suggests that SP cannot be separated from the conditions in which it operates. A referral is unlikely to achieve much if suitable activities are unavailable, difficult to access or poorly connected with local services (de Bell et al., 2024; McSwiggan et al., 2025). This makes the strength of the community infrastructure as important as the referral itself.</w:t>
      </w:r>
    </w:p>
    <w:p w14:paraId="4062C6C5" w14:textId="213A181B" w:rsidR="00E36619" w:rsidRPr="00275428" w:rsidRDefault="00E36619" w:rsidP="00275428">
      <w:pPr>
        <w:tabs>
          <w:tab w:val="left" w:pos="6540"/>
        </w:tabs>
        <w:spacing w:line="360" w:lineRule="auto"/>
        <w:rPr>
          <w:rFonts w:ascii="Arial" w:hAnsi="Arial" w:cs="Arial"/>
          <w:sz w:val="22"/>
        </w:rPr>
      </w:pPr>
      <w:r w:rsidRPr="00275428">
        <w:rPr>
          <w:rFonts w:ascii="Arial" w:hAnsi="Arial" w:cs="Arial"/>
          <w:sz w:val="22"/>
        </w:rPr>
        <w:t>For health and social care practice, greater attention should therefore be given to the quality of relationships surrounding SP. Link workers need clear responsibilities, appropriate training and sufficient time to understand what matters to each person, rather than simply directing them towards a list of services (Mulholland et al., 2025). Stronger relationships between primary care, community organisations and voluntary services could also make referrals more meaningful and sustainable (Ebrahimoghli et al., 2023). This is consistent with NICE guidance, which recommends collaborative approaches involving local communities, statutory services and community and voluntary organisations when planning and delivering health and wellbeing initiatives (NICE, 2016).</w:t>
      </w:r>
    </w:p>
    <w:p w14:paraId="1B2D4427" w14:textId="6EDFEB7F" w:rsidR="00B335A4" w:rsidRPr="00275428" w:rsidRDefault="00B335A4" w:rsidP="00275428">
      <w:pPr>
        <w:tabs>
          <w:tab w:val="left" w:pos="6540"/>
        </w:tabs>
        <w:spacing w:line="360" w:lineRule="auto"/>
        <w:rPr>
          <w:rFonts w:ascii="Arial" w:hAnsi="Arial" w:cs="Arial"/>
          <w:sz w:val="22"/>
        </w:rPr>
      </w:pPr>
      <w:r w:rsidRPr="00275428">
        <w:rPr>
          <w:rFonts w:ascii="Arial" w:hAnsi="Arial" w:cs="Arial"/>
          <w:sz w:val="22"/>
        </w:rPr>
        <w:t xml:space="preserve">At </w:t>
      </w:r>
      <w:r w:rsidR="00D87A98" w:rsidRPr="00275428">
        <w:rPr>
          <w:rFonts w:ascii="Arial" w:hAnsi="Arial" w:cs="Arial"/>
          <w:sz w:val="22"/>
        </w:rPr>
        <w:t xml:space="preserve">the </w:t>
      </w:r>
      <w:r w:rsidRPr="00275428">
        <w:rPr>
          <w:rFonts w:ascii="Arial" w:hAnsi="Arial" w:cs="Arial"/>
          <w:sz w:val="22"/>
        </w:rPr>
        <w:t>policy level, investment should focus not only on expanding SP but also on strengthening the community capacity on which it depends</w:t>
      </w:r>
      <w:r w:rsidR="00456E02">
        <w:rPr>
          <w:rFonts w:ascii="Arial" w:hAnsi="Arial" w:cs="Arial"/>
          <w:sz w:val="22"/>
        </w:rPr>
        <w:t xml:space="preserve"> </w:t>
      </w:r>
      <w:r w:rsidR="00456E02" w:rsidRPr="00456E02">
        <w:rPr>
          <w:rFonts w:ascii="Arial" w:hAnsi="Arial" w:cs="Arial"/>
          <w:sz w:val="22"/>
        </w:rPr>
        <w:t>(McSwiggan et al., 2025</w:t>
      </w:r>
      <w:r w:rsidR="00456E02" w:rsidRPr="00456E02">
        <w:rPr>
          <w:rFonts w:ascii="Arial" w:hAnsi="Arial" w:cs="Arial"/>
          <w:sz w:val="22"/>
        </w:rPr>
        <w:t>).</w:t>
      </w:r>
      <w:r w:rsidR="00456E02" w:rsidRPr="00275428">
        <w:rPr>
          <w:rFonts w:ascii="Arial" w:hAnsi="Arial" w:cs="Arial"/>
          <w:sz w:val="22"/>
        </w:rPr>
        <w:t xml:space="preserve"> This</w:t>
      </w:r>
      <w:r w:rsidRPr="00275428">
        <w:rPr>
          <w:rFonts w:ascii="Arial" w:hAnsi="Arial" w:cs="Arial"/>
          <w:sz w:val="22"/>
        </w:rPr>
        <w:t xml:space="preserve"> includes supporting local organisations, developing sustainable partnerships and recognising differences in resources between communities. Such an approach may be particularly important for reducing inequalities, as people living in disadvantaged or poorly resourced areas may otherwise have fewer opportunities to benefit (Koser et al., 2024; Melam et al., 2025). NICE similarly recommends additional efforts to involve vulnerable, isolated and deprived communities and to identify barriers to participation (NICE, 2016).</w:t>
      </w:r>
    </w:p>
    <w:p w14:paraId="329C5BBE" w14:textId="1A0C0CB6" w:rsidR="00B335A4" w:rsidRPr="00275428" w:rsidRDefault="00B335A4" w:rsidP="00275428">
      <w:pPr>
        <w:tabs>
          <w:tab w:val="left" w:pos="6540"/>
        </w:tabs>
        <w:spacing w:line="360" w:lineRule="auto"/>
        <w:rPr>
          <w:rFonts w:ascii="Arial" w:hAnsi="Arial" w:cs="Arial"/>
          <w:sz w:val="22"/>
        </w:rPr>
      </w:pPr>
      <w:r w:rsidRPr="00275428">
        <w:rPr>
          <w:rFonts w:ascii="Arial" w:hAnsi="Arial" w:cs="Arial"/>
          <w:sz w:val="22"/>
        </w:rPr>
        <w:t>Future research should move beyond asking simply whether SP works. More attention is needed to</w:t>
      </w:r>
      <w:r w:rsidR="00D87A98" w:rsidRPr="00275428">
        <w:rPr>
          <w:rFonts w:ascii="Arial" w:hAnsi="Arial" w:cs="Arial"/>
          <w:sz w:val="22"/>
        </w:rPr>
        <w:t xml:space="preserve"> be</w:t>
      </w:r>
      <w:r w:rsidRPr="00275428">
        <w:rPr>
          <w:rFonts w:ascii="Arial" w:hAnsi="Arial" w:cs="Arial"/>
          <w:sz w:val="22"/>
        </w:rPr>
        <w:t xml:space="preserve"> understanding which elements work, for whom, in which circumstances and over what period. Consistent outcome measures, longer follow-up and stronger evaluation designs could improve comparison between different SP models (Bickerdike et al., 2016; Pescheny et al., 2019). Research should also examine how partnerships, community capacity and implementation conditions influence outcomes, areas that remain important for developing sustainable services (Ebrahimoghli et al., 2023; Donaghy et al., 2026).</w:t>
      </w:r>
    </w:p>
    <w:p w14:paraId="3957D96F" w14:textId="77777777" w:rsidR="00B335A4" w:rsidRPr="00275428" w:rsidRDefault="00B335A4" w:rsidP="00275428">
      <w:pPr>
        <w:tabs>
          <w:tab w:val="left" w:pos="6540"/>
        </w:tabs>
        <w:spacing w:line="360" w:lineRule="auto"/>
        <w:rPr>
          <w:rFonts w:ascii="Arial" w:hAnsi="Arial" w:cs="Arial"/>
          <w:sz w:val="22"/>
        </w:rPr>
      </w:pPr>
    </w:p>
    <w:p w14:paraId="6B8C24C7" w14:textId="0AAD79A9" w:rsidR="005D7E9E" w:rsidRPr="00275428" w:rsidRDefault="005D7E9E" w:rsidP="00275428">
      <w:pPr>
        <w:tabs>
          <w:tab w:val="left" w:pos="6540"/>
        </w:tabs>
        <w:spacing w:line="360" w:lineRule="auto"/>
        <w:rPr>
          <w:rFonts w:ascii="Arial" w:hAnsi="Arial" w:cs="Arial"/>
          <w:sz w:val="22"/>
        </w:rPr>
      </w:pPr>
      <w:r w:rsidRPr="00275428">
        <w:rPr>
          <w:rFonts w:ascii="Arial" w:hAnsi="Arial" w:cs="Arial"/>
          <w:sz w:val="22"/>
        </w:rPr>
        <w:t xml:space="preserve">Overall, </w:t>
      </w:r>
      <w:r w:rsidR="00A846FF">
        <w:rPr>
          <w:rFonts w:ascii="Arial" w:hAnsi="Arial" w:cs="Arial"/>
          <w:sz w:val="22"/>
        </w:rPr>
        <w:t>social prescribing</w:t>
      </w:r>
      <w:r w:rsidR="00BF47D8">
        <w:rPr>
          <w:rFonts w:ascii="Arial" w:hAnsi="Arial" w:cs="Arial"/>
          <w:sz w:val="22"/>
        </w:rPr>
        <w:t xml:space="preserve"> (SP)</w:t>
      </w:r>
      <w:r w:rsidRPr="00275428">
        <w:rPr>
          <w:rFonts w:ascii="Arial" w:hAnsi="Arial" w:cs="Arial"/>
          <w:sz w:val="22"/>
        </w:rPr>
        <w:t xml:space="preserve"> should not be judged simply by the number of referrals made. Its longer-term contribution depends on whether people are connected with support </w:t>
      </w:r>
      <w:r w:rsidRPr="00275428">
        <w:rPr>
          <w:rFonts w:ascii="Arial" w:hAnsi="Arial" w:cs="Arial"/>
          <w:sz w:val="22"/>
        </w:rPr>
        <w:lastRenderedPageBreak/>
        <w:t>that is relevant, accessible and sustainable. Strengthening relationships between people, link workers and communities may therefore be as important as expanding the service itself.</w:t>
      </w:r>
    </w:p>
    <w:p w14:paraId="6812580D" w14:textId="47452A39" w:rsidR="0090040D" w:rsidRPr="00CD33A8" w:rsidRDefault="0090040D" w:rsidP="00CD33A8">
      <w:pPr>
        <w:tabs>
          <w:tab w:val="left" w:pos="6540"/>
        </w:tabs>
        <w:spacing w:line="360" w:lineRule="auto"/>
        <w:rPr>
          <w:rFonts w:asciiTheme="minorBidi" w:hAnsiTheme="minorBidi"/>
          <w:sz w:val="22"/>
        </w:rPr>
      </w:pPr>
    </w:p>
    <w:p w14:paraId="4371A9C5" w14:textId="7A8AB4F8" w:rsidR="00F66E1B" w:rsidRPr="00CD33A8" w:rsidRDefault="00F66E1B" w:rsidP="00CD33A8">
      <w:pPr>
        <w:tabs>
          <w:tab w:val="left" w:pos="6540"/>
        </w:tabs>
        <w:spacing w:line="360" w:lineRule="auto"/>
        <w:rPr>
          <w:rFonts w:asciiTheme="minorBidi" w:hAnsiTheme="minorBidi"/>
          <w:sz w:val="22"/>
        </w:rPr>
      </w:pPr>
    </w:p>
    <w:p w14:paraId="364D7618" w14:textId="54B8550D" w:rsidR="00F66E1B" w:rsidRPr="00CD33A8" w:rsidRDefault="00F66E1B" w:rsidP="00CD33A8">
      <w:pPr>
        <w:tabs>
          <w:tab w:val="left" w:pos="6540"/>
        </w:tabs>
        <w:spacing w:line="360" w:lineRule="auto"/>
        <w:rPr>
          <w:rFonts w:asciiTheme="minorBidi" w:hAnsiTheme="minorBidi"/>
          <w:sz w:val="22"/>
        </w:rPr>
      </w:pPr>
    </w:p>
    <w:p w14:paraId="2E01B28F" w14:textId="77777777" w:rsidR="00814A9E" w:rsidRPr="00CD33A8" w:rsidRDefault="00814A9E" w:rsidP="00CD33A8">
      <w:pPr>
        <w:tabs>
          <w:tab w:val="left" w:pos="6540"/>
        </w:tabs>
        <w:spacing w:line="360" w:lineRule="auto"/>
        <w:rPr>
          <w:rFonts w:asciiTheme="minorBidi" w:hAnsiTheme="minorBidi"/>
          <w:sz w:val="22"/>
        </w:rPr>
      </w:pPr>
    </w:p>
    <w:p w14:paraId="38B71D46" w14:textId="77777777" w:rsidR="00814A9E" w:rsidRPr="00CD33A8" w:rsidRDefault="00814A9E"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597FD84B" w:rsidR="00B87E75" w:rsidRPr="00CD33A8" w:rsidRDefault="00B87E75" w:rsidP="00AA7396">
      <w:pPr>
        <w:pStyle w:val="Heading1"/>
      </w:pPr>
      <w:r w:rsidRPr="00CD33A8">
        <w:lastRenderedPageBreak/>
        <w:t>References</w:t>
      </w:r>
    </w:p>
    <w:p w14:paraId="1425F4AC" w14:textId="6695D929" w:rsidR="001D7C03" w:rsidRDefault="001D7C03" w:rsidP="00CD33A8">
      <w:pPr>
        <w:tabs>
          <w:tab w:val="left" w:pos="6540"/>
        </w:tabs>
        <w:spacing w:line="360" w:lineRule="auto"/>
        <w:rPr>
          <w:rFonts w:asciiTheme="minorBidi" w:hAnsiTheme="minorBidi"/>
          <w:sz w:val="22"/>
        </w:rPr>
      </w:pPr>
    </w:p>
    <w:p w14:paraId="474A8239" w14:textId="0A82AFA1" w:rsidR="00FD70B7" w:rsidRPr="00FD70B7" w:rsidRDefault="00FD70B7" w:rsidP="00FD70B7">
      <w:pPr>
        <w:spacing w:after="240" w:line="360" w:lineRule="auto"/>
        <w:rPr>
          <w:rFonts w:ascii="Arial" w:hAnsi="Arial" w:cs="Arial"/>
          <w:sz w:val="22"/>
        </w:rPr>
      </w:pPr>
      <w:r w:rsidRPr="00FD70B7">
        <w:rPr>
          <w:rFonts w:ascii="Arial" w:hAnsi="Arial" w:cs="Arial"/>
          <w:sz w:val="22"/>
        </w:rPr>
        <w:t>Bickerdike</w:t>
      </w:r>
      <w:r w:rsidR="00853C54">
        <w:rPr>
          <w:rFonts w:ascii="Arial" w:hAnsi="Arial" w:cs="Arial"/>
          <w:sz w:val="22"/>
        </w:rPr>
        <w:t xml:space="preserve"> </w:t>
      </w:r>
      <w:r w:rsidRPr="00FD70B7">
        <w:rPr>
          <w:rFonts w:ascii="Arial" w:hAnsi="Arial" w:cs="Arial"/>
          <w:sz w:val="22"/>
        </w:rPr>
        <w:t>et</w:t>
      </w:r>
      <w:r w:rsidR="00C50406">
        <w:rPr>
          <w:rFonts w:ascii="Arial" w:hAnsi="Arial" w:cs="Arial"/>
          <w:sz w:val="22"/>
        </w:rPr>
        <w:t xml:space="preserve"> </w:t>
      </w:r>
      <w:r w:rsidRPr="00FD70B7">
        <w:rPr>
          <w:rFonts w:ascii="Arial" w:hAnsi="Arial" w:cs="Arial"/>
          <w:sz w:val="22"/>
        </w:rPr>
        <w:t>al</w:t>
      </w:r>
      <w:r w:rsidRPr="00FD70B7">
        <w:rPr>
          <w:rFonts w:ascii="Arial" w:hAnsi="Arial" w:cs="Arial"/>
          <w:sz w:val="22"/>
        </w:rPr>
        <w:t>.</w:t>
      </w:r>
      <w:r w:rsidR="00961B60">
        <w:rPr>
          <w:rFonts w:ascii="Arial" w:hAnsi="Arial" w:cs="Arial"/>
          <w:sz w:val="22"/>
        </w:rPr>
        <w:t>,</w:t>
      </w:r>
      <w:r w:rsidRPr="00FD70B7">
        <w:rPr>
          <w:rFonts w:ascii="Arial" w:hAnsi="Arial" w:cs="Arial"/>
          <w:sz w:val="22"/>
        </w:rPr>
        <w:t xml:space="preserve"> (2017). </w:t>
      </w:r>
      <w:r w:rsidRPr="00FD70B7">
        <w:rPr>
          <w:rFonts w:ascii="Arial" w:hAnsi="Arial" w:cs="Arial"/>
          <w:i/>
          <w:iCs/>
          <w:sz w:val="22"/>
        </w:rPr>
        <w:t xml:space="preserve">Social prescribing: less rhetoric and more reality. A systematic review of the </w:t>
      </w:r>
      <w:r w:rsidRPr="00FD70B7">
        <w:rPr>
          <w:rFonts w:ascii="Arial" w:hAnsi="Arial" w:cs="Arial"/>
          <w:i/>
          <w:iCs/>
          <w:sz w:val="22"/>
        </w:rPr>
        <w:t>evidence.</w:t>
      </w:r>
      <w:r w:rsidRPr="00FD70B7">
        <w:rPr>
          <w:rFonts w:ascii="Arial" w:hAnsi="Arial" w:cs="Arial"/>
          <w:sz w:val="22"/>
        </w:rPr>
        <w:t xml:space="preserve"> [online] Bmj.com. Available at: https://bmjopen.bmj.com/content/7/4/e013384?ct= </w:t>
      </w:r>
      <w:r>
        <w:rPr>
          <w:rFonts w:ascii="Arial" w:hAnsi="Arial" w:cs="Arial"/>
          <w:sz w:val="22"/>
        </w:rPr>
        <w:t>(</w:t>
      </w:r>
      <w:r w:rsidRPr="00FD70B7">
        <w:rPr>
          <w:rFonts w:ascii="Arial" w:hAnsi="Arial" w:cs="Arial"/>
          <w:sz w:val="22"/>
        </w:rPr>
        <w:t>Accessed 2 July 2026</w:t>
      </w:r>
      <w:r>
        <w:rPr>
          <w:rFonts w:ascii="Arial" w:hAnsi="Arial" w:cs="Arial"/>
          <w:sz w:val="22"/>
        </w:rPr>
        <w:t>)</w:t>
      </w:r>
      <w:r w:rsidRPr="00FD70B7">
        <w:rPr>
          <w:rFonts w:ascii="Arial" w:hAnsi="Arial" w:cs="Arial"/>
          <w:sz w:val="22"/>
        </w:rPr>
        <w:t>.</w:t>
      </w:r>
    </w:p>
    <w:p w14:paraId="10729076" w14:textId="167F3FF1" w:rsidR="00FD70B7" w:rsidRPr="00FD70B7" w:rsidRDefault="00FD70B7" w:rsidP="00FD70B7">
      <w:pPr>
        <w:spacing w:after="240" w:line="360" w:lineRule="auto"/>
        <w:rPr>
          <w:rFonts w:ascii="Arial" w:hAnsi="Arial" w:cs="Arial"/>
          <w:sz w:val="22"/>
        </w:rPr>
      </w:pPr>
      <w:r w:rsidRPr="00FD70B7">
        <w:rPr>
          <w:rFonts w:ascii="Arial" w:hAnsi="Arial" w:cs="Arial"/>
          <w:sz w:val="22"/>
        </w:rPr>
        <w:t>Bu</w:t>
      </w:r>
      <w:r w:rsidR="00853C54">
        <w:rPr>
          <w:rFonts w:ascii="Arial" w:hAnsi="Arial" w:cs="Arial"/>
          <w:sz w:val="22"/>
        </w:rPr>
        <w:t xml:space="preserve"> </w:t>
      </w:r>
      <w:r>
        <w:rPr>
          <w:rFonts w:ascii="Arial" w:hAnsi="Arial" w:cs="Arial"/>
          <w:sz w:val="22"/>
        </w:rPr>
        <w:t>et</w:t>
      </w:r>
      <w:r w:rsidR="00961B60">
        <w:rPr>
          <w:rFonts w:ascii="Arial" w:hAnsi="Arial" w:cs="Arial"/>
          <w:sz w:val="22"/>
        </w:rPr>
        <w:t xml:space="preserve"> </w:t>
      </w:r>
      <w:r w:rsidRPr="00FD70B7">
        <w:rPr>
          <w:rFonts w:ascii="Arial" w:hAnsi="Arial" w:cs="Arial"/>
          <w:sz w:val="22"/>
        </w:rPr>
        <w:t>al.</w:t>
      </w:r>
      <w:r w:rsidR="00961B60">
        <w:rPr>
          <w:rFonts w:ascii="Arial" w:hAnsi="Arial" w:cs="Arial"/>
          <w:sz w:val="22"/>
        </w:rPr>
        <w:t>,</w:t>
      </w:r>
      <w:r w:rsidRPr="00FD70B7">
        <w:rPr>
          <w:rFonts w:ascii="Arial" w:hAnsi="Arial" w:cs="Arial"/>
          <w:sz w:val="22"/>
        </w:rPr>
        <w:t xml:space="preserve"> (2025). National roll-out of social prescribing in England’s primary care system: A longitudinal observational study using clinical practice research datalink data. </w:t>
      </w:r>
      <w:r w:rsidRPr="000D06F8">
        <w:rPr>
          <w:rFonts w:ascii="Arial" w:hAnsi="Arial" w:cs="Arial"/>
          <w:sz w:val="22"/>
        </w:rPr>
        <w:t xml:space="preserve">The Lancet Public Health, </w:t>
      </w:r>
      <w:r w:rsidRPr="00FD70B7">
        <w:rPr>
          <w:rFonts w:ascii="Arial" w:hAnsi="Arial" w:cs="Arial"/>
          <w:sz w:val="22"/>
        </w:rPr>
        <w:t>10(11). doi:10.1016/s2468-2667(25)00217-8.</w:t>
      </w:r>
    </w:p>
    <w:p w14:paraId="161CCAD9" w14:textId="610BE6DA" w:rsidR="00FD70B7" w:rsidRPr="00FD70B7" w:rsidRDefault="00FD70B7" w:rsidP="00FD70B7">
      <w:pPr>
        <w:spacing w:after="240" w:line="360" w:lineRule="auto"/>
        <w:rPr>
          <w:rFonts w:ascii="Arial" w:hAnsi="Arial" w:cs="Arial"/>
          <w:sz w:val="22"/>
        </w:rPr>
      </w:pPr>
      <w:r w:rsidRPr="00FD70B7">
        <w:rPr>
          <w:rFonts w:ascii="Arial" w:hAnsi="Arial" w:cs="Arial"/>
          <w:sz w:val="22"/>
        </w:rPr>
        <w:t xml:space="preserve">Bu </w:t>
      </w:r>
      <w:r w:rsidR="000D06F8">
        <w:rPr>
          <w:rFonts w:ascii="Arial" w:hAnsi="Arial" w:cs="Arial"/>
          <w:sz w:val="22"/>
        </w:rPr>
        <w:t xml:space="preserve">et </w:t>
      </w:r>
      <w:r w:rsidRPr="00FD70B7">
        <w:rPr>
          <w:rFonts w:ascii="Arial" w:hAnsi="Arial" w:cs="Arial"/>
          <w:sz w:val="22"/>
        </w:rPr>
        <w:t>al.</w:t>
      </w:r>
      <w:r w:rsidR="000D06F8">
        <w:rPr>
          <w:rFonts w:ascii="Arial" w:hAnsi="Arial" w:cs="Arial"/>
          <w:sz w:val="22"/>
        </w:rPr>
        <w:t>,</w:t>
      </w:r>
      <w:r w:rsidRPr="00FD70B7">
        <w:rPr>
          <w:rFonts w:ascii="Arial" w:hAnsi="Arial" w:cs="Arial"/>
          <w:sz w:val="22"/>
        </w:rPr>
        <w:t xml:space="preserve"> (2026). The impact of social prescribing on well-being outcomes in a nationwide analysis. </w:t>
      </w:r>
      <w:r w:rsidRPr="00FD70B7">
        <w:rPr>
          <w:rFonts w:ascii="Arial" w:hAnsi="Arial" w:cs="Arial"/>
          <w:i/>
          <w:iCs/>
          <w:sz w:val="22"/>
        </w:rPr>
        <w:t>Nature Health</w:t>
      </w:r>
      <w:r w:rsidRPr="00FD70B7">
        <w:rPr>
          <w:rFonts w:ascii="Arial" w:hAnsi="Arial" w:cs="Arial"/>
          <w:sz w:val="22"/>
        </w:rPr>
        <w:t>, [online] 1(7), pp.737–744. doi:10.1038/s44360-026-00099-w.</w:t>
      </w:r>
    </w:p>
    <w:p w14:paraId="699EA159" w14:textId="3B11128B" w:rsidR="00FD70B7" w:rsidRPr="00FD70B7" w:rsidRDefault="00FD70B7" w:rsidP="00FD70B7">
      <w:pPr>
        <w:spacing w:after="240" w:line="360" w:lineRule="auto"/>
        <w:rPr>
          <w:rFonts w:ascii="Arial" w:hAnsi="Arial" w:cs="Arial"/>
          <w:sz w:val="22"/>
        </w:rPr>
      </w:pPr>
      <w:r w:rsidRPr="00FD70B7">
        <w:rPr>
          <w:rFonts w:ascii="Arial" w:hAnsi="Arial" w:cs="Arial"/>
          <w:sz w:val="22"/>
        </w:rPr>
        <w:t>Bu</w:t>
      </w:r>
      <w:r w:rsidR="00295358">
        <w:rPr>
          <w:rFonts w:ascii="Arial" w:hAnsi="Arial" w:cs="Arial"/>
          <w:sz w:val="22"/>
        </w:rPr>
        <w:t xml:space="preserve"> et </w:t>
      </w:r>
      <w:r w:rsidR="00E06D79">
        <w:rPr>
          <w:rFonts w:ascii="Arial" w:hAnsi="Arial" w:cs="Arial"/>
          <w:sz w:val="22"/>
        </w:rPr>
        <w:t>a</w:t>
      </w:r>
      <w:r w:rsidRPr="00FD70B7">
        <w:rPr>
          <w:rFonts w:ascii="Arial" w:hAnsi="Arial" w:cs="Arial"/>
          <w:sz w:val="22"/>
        </w:rPr>
        <w:t>l.</w:t>
      </w:r>
      <w:r w:rsidR="00E06D79">
        <w:rPr>
          <w:rFonts w:ascii="Arial" w:hAnsi="Arial" w:cs="Arial"/>
          <w:sz w:val="22"/>
        </w:rPr>
        <w:t>,</w:t>
      </w:r>
      <w:r w:rsidRPr="00FD70B7">
        <w:rPr>
          <w:rFonts w:ascii="Arial" w:hAnsi="Arial" w:cs="Arial"/>
          <w:sz w:val="22"/>
        </w:rPr>
        <w:t xml:space="preserve"> (2024). Equal, equitable or exacerbating inequalities: Patterns and predictors of social prescribing referrals in 160 128 UK patients. </w:t>
      </w:r>
      <w:r w:rsidRPr="00FD70B7">
        <w:rPr>
          <w:rFonts w:ascii="Arial" w:hAnsi="Arial" w:cs="Arial"/>
          <w:i/>
          <w:iCs/>
          <w:sz w:val="22"/>
        </w:rPr>
        <w:t>The British Journal of Psychiatry</w:t>
      </w:r>
      <w:r w:rsidRPr="00FD70B7">
        <w:rPr>
          <w:rFonts w:ascii="Arial" w:hAnsi="Arial" w:cs="Arial"/>
          <w:sz w:val="22"/>
        </w:rPr>
        <w:t>, 226(2), pp.1–9. doi:10.1192/bjp.2024.141.</w:t>
      </w:r>
    </w:p>
    <w:p w14:paraId="05A0CE38" w14:textId="4D0E16FA" w:rsidR="00FD70B7" w:rsidRPr="00FD70B7" w:rsidRDefault="00FD70B7" w:rsidP="00FD70B7">
      <w:pPr>
        <w:spacing w:after="240" w:line="360" w:lineRule="auto"/>
        <w:rPr>
          <w:rFonts w:ascii="Arial" w:hAnsi="Arial" w:cs="Arial"/>
          <w:sz w:val="22"/>
        </w:rPr>
      </w:pPr>
      <w:r w:rsidRPr="00977361">
        <w:rPr>
          <w:rFonts w:ascii="Arial" w:hAnsi="Arial" w:cs="Arial"/>
          <w:sz w:val="22"/>
          <w:lang w:val="es-BO"/>
        </w:rPr>
        <w:t>de Bell</w:t>
      </w:r>
      <w:r w:rsidR="00D02F31">
        <w:rPr>
          <w:rFonts w:ascii="Arial" w:hAnsi="Arial" w:cs="Arial"/>
          <w:sz w:val="22"/>
          <w:lang w:val="es-BO"/>
        </w:rPr>
        <w:t xml:space="preserve"> </w:t>
      </w:r>
      <w:r w:rsidR="00977361" w:rsidRPr="00977361">
        <w:rPr>
          <w:rFonts w:ascii="Arial" w:hAnsi="Arial" w:cs="Arial"/>
          <w:sz w:val="22"/>
          <w:lang w:val="es-BO"/>
        </w:rPr>
        <w:t xml:space="preserve">et </w:t>
      </w:r>
      <w:r w:rsidRPr="00977361">
        <w:rPr>
          <w:rFonts w:ascii="Arial" w:hAnsi="Arial" w:cs="Arial"/>
          <w:sz w:val="22"/>
          <w:lang w:val="es-BO"/>
        </w:rPr>
        <w:t>al.</w:t>
      </w:r>
      <w:r w:rsidR="00977361" w:rsidRPr="00977361">
        <w:rPr>
          <w:rFonts w:ascii="Arial" w:hAnsi="Arial" w:cs="Arial"/>
          <w:sz w:val="22"/>
          <w:lang w:val="es-BO"/>
        </w:rPr>
        <w:t>,</w:t>
      </w:r>
      <w:r w:rsidRPr="00977361">
        <w:rPr>
          <w:rFonts w:ascii="Arial" w:hAnsi="Arial" w:cs="Arial"/>
          <w:sz w:val="22"/>
          <w:lang w:val="es-BO"/>
        </w:rPr>
        <w:t xml:space="preserve"> (2024). </w:t>
      </w:r>
      <w:r w:rsidRPr="00FD70B7">
        <w:rPr>
          <w:rFonts w:ascii="Arial" w:hAnsi="Arial" w:cs="Arial"/>
          <w:sz w:val="22"/>
        </w:rPr>
        <w:t xml:space="preserve">Nature-based social prescribing programmes: Opportunities, challenges, and facilitators for implementation. </w:t>
      </w:r>
      <w:r w:rsidRPr="00FD70B7">
        <w:rPr>
          <w:rFonts w:ascii="Arial" w:hAnsi="Arial" w:cs="Arial"/>
          <w:i/>
          <w:iCs/>
          <w:sz w:val="22"/>
        </w:rPr>
        <w:t>Environment International</w:t>
      </w:r>
      <w:r w:rsidRPr="00FD70B7">
        <w:rPr>
          <w:rFonts w:ascii="Arial" w:hAnsi="Arial" w:cs="Arial"/>
          <w:sz w:val="22"/>
        </w:rPr>
        <w:t>, [online] 190, p.108801. doi:10.1016/j.envint.2024.108801.</w:t>
      </w:r>
    </w:p>
    <w:p w14:paraId="0513E9A1" w14:textId="722EAE3B" w:rsidR="00FD70B7" w:rsidRPr="00FD70B7" w:rsidRDefault="00FD70B7" w:rsidP="00FD70B7">
      <w:pPr>
        <w:spacing w:after="240" w:line="360" w:lineRule="auto"/>
        <w:rPr>
          <w:rFonts w:ascii="Arial" w:hAnsi="Arial" w:cs="Arial"/>
          <w:sz w:val="22"/>
        </w:rPr>
      </w:pPr>
      <w:r w:rsidRPr="00FD70B7">
        <w:rPr>
          <w:rFonts w:ascii="Arial" w:hAnsi="Arial" w:cs="Arial"/>
          <w:sz w:val="22"/>
        </w:rPr>
        <w:t xml:space="preserve">Donaghy </w:t>
      </w:r>
      <w:r w:rsidR="00E06D79">
        <w:rPr>
          <w:rFonts w:ascii="Arial" w:hAnsi="Arial" w:cs="Arial"/>
          <w:sz w:val="22"/>
        </w:rPr>
        <w:t xml:space="preserve">et </w:t>
      </w:r>
      <w:r w:rsidRPr="00FD70B7">
        <w:rPr>
          <w:rFonts w:ascii="Arial" w:hAnsi="Arial" w:cs="Arial"/>
          <w:sz w:val="22"/>
        </w:rPr>
        <w:t>al.</w:t>
      </w:r>
      <w:r w:rsidR="00E06D79">
        <w:rPr>
          <w:rFonts w:ascii="Arial" w:hAnsi="Arial" w:cs="Arial"/>
          <w:sz w:val="22"/>
        </w:rPr>
        <w:t>,</w:t>
      </w:r>
      <w:r w:rsidRPr="00FD70B7">
        <w:rPr>
          <w:rFonts w:ascii="Arial" w:hAnsi="Arial" w:cs="Arial"/>
          <w:sz w:val="22"/>
        </w:rPr>
        <w:t xml:space="preserve"> (2026). Embedding social prescribing in primary care in England and Scotland: A qualitative study of experiences, roles, challenges, and sustainability. </w:t>
      </w:r>
      <w:r w:rsidRPr="00FD70B7">
        <w:rPr>
          <w:rFonts w:ascii="Arial" w:hAnsi="Arial" w:cs="Arial"/>
          <w:i/>
          <w:iCs/>
          <w:sz w:val="22"/>
        </w:rPr>
        <w:t>The Lancet Primary Care</w:t>
      </w:r>
      <w:r w:rsidRPr="00FD70B7">
        <w:rPr>
          <w:rFonts w:ascii="Arial" w:hAnsi="Arial" w:cs="Arial"/>
          <w:sz w:val="22"/>
        </w:rPr>
        <w:t>, [online] 2(4), p.100128. doi:10.1016/j.lanprc.2026.100128.</w:t>
      </w:r>
    </w:p>
    <w:p w14:paraId="67F66A33" w14:textId="24EB6EBE" w:rsidR="00FD70B7" w:rsidRPr="00FD70B7" w:rsidRDefault="00013779" w:rsidP="00FD70B7">
      <w:pPr>
        <w:spacing w:after="240" w:line="360" w:lineRule="auto"/>
        <w:rPr>
          <w:rFonts w:ascii="Arial" w:hAnsi="Arial" w:cs="Arial"/>
          <w:sz w:val="22"/>
        </w:rPr>
      </w:pPr>
      <w:r>
        <w:rPr>
          <w:rFonts w:ascii="Arial" w:hAnsi="Arial" w:cs="Arial"/>
          <w:sz w:val="22"/>
        </w:rPr>
        <w:t xml:space="preserve">NHS England </w:t>
      </w:r>
      <w:r w:rsidR="00FD70B7" w:rsidRPr="00FD70B7">
        <w:rPr>
          <w:rFonts w:ascii="Arial" w:hAnsi="Arial" w:cs="Arial"/>
          <w:sz w:val="22"/>
        </w:rPr>
        <w:t xml:space="preserve">(2023). </w:t>
      </w:r>
      <w:r w:rsidR="00FD70B7" w:rsidRPr="00FD70B7">
        <w:rPr>
          <w:rFonts w:ascii="Arial" w:hAnsi="Arial" w:cs="Arial"/>
          <w:i/>
          <w:iCs/>
          <w:sz w:val="22"/>
        </w:rPr>
        <w:t>Social prescribing: Reference guide and technical annex for primary care networks</w:t>
      </w:r>
      <w:r w:rsidR="00FD70B7" w:rsidRPr="00FD70B7">
        <w:rPr>
          <w:rFonts w:ascii="Arial" w:hAnsi="Arial" w:cs="Arial"/>
          <w:sz w:val="22"/>
        </w:rPr>
        <w:t xml:space="preserve">. [online] England.nhs.uk. Available at: https://www.england.nhs.uk/long-read/social-prescribing-reference-guide-and-technical-annex-for-primary-care-networks/?utm_ </w:t>
      </w:r>
      <w:r w:rsidR="00977361">
        <w:rPr>
          <w:rFonts w:ascii="Arial" w:hAnsi="Arial" w:cs="Arial"/>
          <w:sz w:val="22"/>
        </w:rPr>
        <w:t>(</w:t>
      </w:r>
      <w:r w:rsidR="00FD70B7" w:rsidRPr="00FD70B7">
        <w:rPr>
          <w:rFonts w:ascii="Arial" w:hAnsi="Arial" w:cs="Arial"/>
          <w:sz w:val="22"/>
        </w:rPr>
        <w:t>Accessed 5 Aug. 2026</w:t>
      </w:r>
      <w:r w:rsidR="00977361">
        <w:rPr>
          <w:rFonts w:ascii="Arial" w:hAnsi="Arial" w:cs="Arial"/>
          <w:sz w:val="22"/>
        </w:rPr>
        <w:t>)</w:t>
      </w:r>
      <w:r w:rsidR="00FD70B7" w:rsidRPr="00FD70B7">
        <w:rPr>
          <w:rFonts w:ascii="Arial" w:hAnsi="Arial" w:cs="Arial"/>
          <w:sz w:val="22"/>
        </w:rPr>
        <w:t>.</w:t>
      </w:r>
    </w:p>
    <w:p w14:paraId="735526E0" w14:textId="42634E92" w:rsidR="00FD70B7" w:rsidRPr="00FD70B7" w:rsidRDefault="00A72068" w:rsidP="00FD70B7">
      <w:pPr>
        <w:spacing w:after="240" w:line="360" w:lineRule="auto"/>
        <w:rPr>
          <w:rFonts w:ascii="Arial" w:hAnsi="Arial" w:cs="Arial"/>
          <w:sz w:val="22"/>
        </w:rPr>
      </w:pPr>
      <w:r>
        <w:rPr>
          <w:rFonts w:ascii="Arial" w:hAnsi="Arial" w:cs="Arial"/>
          <w:sz w:val="22"/>
        </w:rPr>
        <w:t xml:space="preserve">NHS England </w:t>
      </w:r>
      <w:r w:rsidR="00FD70B7" w:rsidRPr="00FD70B7">
        <w:rPr>
          <w:rFonts w:ascii="Arial" w:hAnsi="Arial" w:cs="Arial"/>
          <w:sz w:val="22"/>
        </w:rPr>
        <w:t xml:space="preserve">(2023). </w:t>
      </w:r>
      <w:r w:rsidR="00FD70B7" w:rsidRPr="00FD70B7">
        <w:rPr>
          <w:rFonts w:ascii="Arial" w:hAnsi="Arial" w:cs="Arial"/>
          <w:i/>
          <w:iCs/>
          <w:sz w:val="22"/>
        </w:rPr>
        <w:t>workforce development framework: Social prescribing link workers</w:t>
      </w:r>
      <w:r w:rsidR="00FD70B7" w:rsidRPr="00FD70B7">
        <w:rPr>
          <w:rFonts w:ascii="Arial" w:hAnsi="Arial" w:cs="Arial"/>
          <w:sz w:val="22"/>
        </w:rPr>
        <w:t xml:space="preserve">. [online] England.nhs.uk. Available at: https://www.england.nhs.uk/long-read/workforce-development-framework-social-prescribing-link-workers/?utm_ </w:t>
      </w:r>
      <w:r w:rsidR="00977361">
        <w:rPr>
          <w:rFonts w:ascii="Arial" w:hAnsi="Arial" w:cs="Arial"/>
          <w:sz w:val="22"/>
        </w:rPr>
        <w:t>(</w:t>
      </w:r>
      <w:r w:rsidR="00FD70B7" w:rsidRPr="00FD70B7">
        <w:rPr>
          <w:rFonts w:ascii="Arial" w:hAnsi="Arial" w:cs="Arial"/>
          <w:sz w:val="22"/>
        </w:rPr>
        <w:t>Accessed 5 Aug. 2026</w:t>
      </w:r>
      <w:r w:rsidR="00013779">
        <w:rPr>
          <w:rFonts w:ascii="Arial" w:hAnsi="Arial" w:cs="Arial"/>
          <w:sz w:val="22"/>
        </w:rPr>
        <w:t>)</w:t>
      </w:r>
      <w:r w:rsidR="00FD70B7" w:rsidRPr="00FD70B7">
        <w:rPr>
          <w:rFonts w:ascii="Arial" w:hAnsi="Arial" w:cs="Arial"/>
          <w:sz w:val="22"/>
        </w:rPr>
        <w:t>.</w:t>
      </w:r>
    </w:p>
    <w:p w14:paraId="24C16559" w14:textId="7E8FAF47" w:rsidR="00FD70B7" w:rsidRPr="00FD70B7" w:rsidRDefault="00FD70B7" w:rsidP="00FD70B7">
      <w:pPr>
        <w:spacing w:after="240" w:line="360" w:lineRule="auto"/>
        <w:rPr>
          <w:rFonts w:ascii="Arial" w:hAnsi="Arial" w:cs="Arial"/>
          <w:sz w:val="22"/>
        </w:rPr>
      </w:pPr>
      <w:r w:rsidRPr="00FD70B7">
        <w:rPr>
          <w:rFonts w:ascii="Arial" w:hAnsi="Arial" w:cs="Arial"/>
          <w:sz w:val="22"/>
        </w:rPr>
        <w:t>Foster</w:t>
      </w:r>
      <w:r w:rsidR="00A72068">
        <w:rPr>
          <w:rFonts w:ascii="Arial" w:hAnsi="Arial" w:cs="Arial"/>
          <w:sz w:val="22"/>
        </w:rPr>
        <w:t xml:space="preserve"> et</w:t>
      </w:r>
      <w:r w:rsidR="00831501">
        <w:rPr>
          <w:rFonts w:ascii="Arial" w:hAnsi="Arial" w:cs="Arial"/>
          <w:sz w:val="22"/>
        </w:rPr>
        <w:t xml:space="preserve"> al</w:t>
      </w:r>
      <w:r w:rsidRPr="00FD70B7">
        <w:rPr>
          <w:rFonts w:ascii="Arial" w:hAnsi="Arial" w:cs="Arial"/>
          <w:sz w:val="22"/>
        </w:rPr>
        <w:t>.</w:t>
      </w:r>
      <w:r w:rsidR="00A72068">
        <w:rPr>
          <w:rFonts w:ascii="Arial" w:hAnsi="Arial" w:cs="Arial"/>
          <w:sz w:val="22"/>
        </w:rPr>
        <w:t>,</w:t>
      </w:r>
      <w:r w:rsidRPr="00FD70B7">
        <w:rPr>
          <w:rFonts w:ascii="Arial" w:hAnsi="Arial" w:cs="Arial"/>
          <w:sz w:val="22"/>
        </w:rPr>
        <w:t xml:space="preserve"> (2021). Impact of social prescribing to address loneliness: A mixed methods evaluation of a national social prescribing programme. </w:t>
      </w:r>
      <w:r w:rsidRPr="00FD70B7">
        <w:rPr>
          <w:rFonts w:ascii="Arial" w:hAnsi="Arial" w:cs="Arial"/>
          <w:i/>
          <w:iCs/>
          <w:sz w:val="22"/>
        </w:rPr>
        <w:t>Health &amp; Social Care in the Community</w:t>
      </w:r>
      <w:r w:rsidRPr="00FD70B7">
        <w:rPr>
          <w:rFonts w:ascii="Arial" w:hAnsi="Arial" w:cs="Arial"/>
          <w:sz w:val="22"/>
        </w:rPr>
        <w:t>, [online] 29(5). doi:10.1111/hsc.13200.</w:t>
      </w:r>
    </w:p>
    <w:p w14:paraId="2A59D87B" w14:textId="28B07345" w:rsidR="00FD70B7" w:rsidRPr="00FD70B7" w:rsidRDefault="00FD70B7" w:rsidP="00FD70B7">
      <w:pPr>
        <w:spacing w:after="240" w:line="360" w:lineRule="auto"/>
        <w:rPr>
          <w:rFonts w:ascii="Arial" w:hAnsi="Arial" w:cs="Arial"/>
          <w:sz w:val="22"/>
        </w:rPr>
      </w:pPr>
      <w:r w:rsidRPr="00FD70B7">
        <w:rPr>
          <w:rFonts w:ascii="Arial" w:hAnsi="Arial" w:cs="Arial"/>
          <w:sz w:val="22"/>
        </w:rPr>
        <w:lastRenderedPageBreak/>
        <w:t>Islam</w:t>
      </w:r>
      <w:r w:rsidR="000F38E6">
        <w:rPr>
          <w:rFonts w:ascii="Arial" w:hAnsi="Arial" w:cs="Arial"/>
          <w:sz w:val="22"/>
        </w:rPr>
        <w:t xml:space="preserve"> </w:t>
      </w:r>
      <w:r w:rsidRPr="00FD70B7">
        <w:rPr>
          <w:rFonts w:ascii="Arial" w:hAnsi="Arial" w:cs="Arial"/>
          <w:sz w:val="22"/>
        </w:rPr>
        <w:t xml:space="preserve">(2020). Social prescribing—An effort to apply a common knowledge: Impelling forces and challenges. </w:t>
      </w:r>
      <w:r w:rsidRPr="00FD70B7">
        <w:rPr>
          <w:rFonts w:ascii="Arial" w:hAnsi="Arial" w:cs="Arial"/>
          <w:i/>
          <w:iCs/>
          <w:sz w:val="22"/>
        </w:rPr>
        <w:t>Frontiers in Public Health</w:t>
      </w:r>
      <w:r w:rsidRPr="00FD70B7">
        <w:rPr>
          <w:rFonts w:ascii="Arial" w:hAnsi="Arial" w:cs="Arial"/>
          <w:sz w:val="22"/>
        </w:rPr>
        <w:t>, [online] 8(515469). doi:10.3389/fpubh.2020.515469.</w:t>
      </w:r>
    </w:p>
    <w:p w14:paraId="53D2B5A8" w14:textId="1D495CEA" w:rsidR="00FD70B7" w:rsidRPr="00FD70B7" w:rsidRDefault="00A95AAB" w:rsidP="00FD70B7">
      <w:pPr>
        <w:spacing w:after="240" w:line="360" w:lineRule="auto"/>
        <w:rPr>
          <w:rFonts w:ascii="Arial" w:hAnsi="Arial" w:cs="Arial"/>
          <w:sz w:val="22"/>
        </w:rPr>
      </w:pPr>
      <w:r w:rsidRPr="00FD70B7">
        <w:rPr>
          <w:rFonts w:ascii="Arial" w:hAnsi="Arial" w:cs="Arial"/>
          <w:sz w:val="22"/>
        </w:rPr>
        <w:t>Koser</w:t>
      </w:r>
      <w:r w:rsidR="00831501">
        <w:rPr>
          <w:rFonts w:ascii="Arial" w:hAnsi="Arial" w:cs="Arial"/>
          <w:sz w:val="22"/>
        </w:rPr>
        <w:t xml:space="preserve"> </w:t>
      </w:r>
      <w:r>
        <w:rPr>
          <w:rFonts w:ascii="Arial" w:hAnsi="Arial" w:cs="Arial"/>
          <w:sz w:val="22"/>
        </w:rPr>
        <w:t>et</w:t>
      </w:r>
      <w:r w:rsidR="00431728">
        <w:rPr>
          <w:rFonts w:ascii="Arial" w:hAnsi="Arial" w:cs="Arial"/>
          <w:sz w:val="22"/>
        </w:rPr>
        <w:t xml:space="preserve"> </w:t>
      </w:r>
      <w:r w:rsidR="00E8464B">
        <w:rPr>
          <w:rFonts w:ascii="Arial" w:hAnsi="Arial" w:cs="Arial"/>
          <w:sz w:val="22"/>
        </w:rPr>
        <w:t>a</w:t>
      </w:r>
      <w:r w:rsidR="00FD70B7" w:rsidRPr="00FD70B7">
        <w:rPr>
          <w:rFonts w:ascii="Arial" w:hAnsi="Arial" w:cs="Arial"/>
          <w:sz w:val="22"/>
        </w:rPr>
        <w:t>l.</w:t>
      </w:r>
      <w:r w:rsidR="00431728">
        <w:rPr>
          <w:rFonts w:ascii="Arial" w:hAnsi="Arial" w:cs="Arial"/>
          <w:sz w:val="22"/>
        </w:rPr>
        <w:t>,</w:t>
      </w:r>
      <w:r w:rsidR="00FD70B7" w:rsidRPr="00FD70B7">
        <w:rPr>
          <w:rFonts w:ascii="Arial" w:hAnsi="Arial" w:cs="Arial"/>
          <w:sz w:val="22"/>
        </w:rPr>
        <w:t xml:space="preserve"> (2024). Applying an equity lens to social prescribing. </w:t>
      </w:r>
      <w:r w:rsidR="00FD70B7" w:rsidRPr="00FD70B7">
        <w:rPr>
          <w:rFonts w:ascii="Arial" w:hAnsi="Arial" w:cs="Arial"/>
          <w:i/>
          <w:iCs/>
          <w:sz w:val="22"/>
        </w:rPr>
        <w:t>Journal of Public Health</w:t>
      </w:r>
      <w:r w:rsidR="00FD70B7" w:rsidRPr="00FD70B7">
        <w:rPr>
          <w:rFonts w:ascii="Arial" w:hAnsi="Arial" w:cs="Arial"/>
          <w:sz w:val="22"/>
        </w:rPr>
        <w:t xml:space="preserve">, [online] 46(3), pp.458–462. Available at: https://academic.oup.com/jpubhealth/article/46/3/458/7698372?login=false#480960448 </w:t>
      </w:r>
      <w:r w:rsidR="00431728">
        <w:rPr>
          <w:rFonts w:ascii="Arial" w:hAnsi="Arial" w:cs="Arial"/>
          <w:sz w:val="22"/>
        </w:rPr>
        <w:t>(</w:t>
      </w:r>
      <w:r w:rsidR="00FD70B7" w:rsidRPr="00FD70B7">
        <w:rPr>
          <w:rFonts w:ascii="Arial" w:hAnsi="Arial" w:cs="Arial"/>
          <w:sz w:val="22"/>
        </w:rPr>
        <w:t>Accessed 14 Aug. 2026</w:t>
      </w:r>
      <w:r w:rsidR="00431728">
        <w:rPr>
          <w:rFonts w:ascii="Arial" w:hAnsi="Arial" w:cs="Arial"/>
          <w:sz w:val="22"/>
        </w:rPr>
        <w:t>)</w:t>
      </w:r>
      <w:r w:rsidR="00FD70B7" w:rsidRPr="00FD70B7">
        <w:rPr>
          <w:rFonts w:ascii="Arial" w:hAnsi="Arial" w:cs="Arial"/>
          <w:sz w:val="22"/>
        </w:rPr>
        <w:t>.</w:t>
      </w:r>
    </w:p>
    <w:p w14:paraId="558FD91A" w14:textId="6B616351" w:rsidR="00FD70B7" w:rsidRPr="00FD70B7" w:rsidRDefault="00FD70B7" w:rsidP="00FD70B7">
      <w:pPr>
        <w:spacing w:after="240" w:line="360" w:lineRule="auto"/>
        <w:rPr>
          <w:rFonts w:ascii="Arial" w:hAnsi="Arial" w:cs="Arial"/>
          <w:sz w:val="22"/>
        </w:rPr>
      </w:pPr>
      <w:r w:rsidRPr="00FD70B7">
        <w:rPr>
          <w:rFonts w:ascii="Arial" w:hAnsi="Arial" w:cs="Arial"/>
          <w:sz w:val="22"/>
        </w:rPr>
        <w:t xml:space="preserve">Liebmann </w:t>
      </w:r>
      <w:r w:rsidR="00431728">
        <w:rPr>
          <w:rFonts w:ascii="Arial" w:hAnsi="Arial" w:cs="Arial"/>
          <w:sz w:val="22"/>
        </w:rPr>
        <w:t>e</w:t>
      </w:r>
      <w:r w:rsidR="009260EB">
        <w:rPr>
          <w:rFonts w:ascii="Arial" w:hAnsi="Arial" w:cs="Arial"/>
          <w:sz w:val="22"/>
        </w:rPr>
        <w:t>t</w:t>
      </w:r>
      <w:r w:rsidR="00431728">
        <w:rPr>
          <w:rFonts w:ascii="Arial" w:hAnsi="Arial" w:cs="Arial"/>
          <w:sz w:val="22"/>
        </w:rPr>
        <w:t xml:space="preserve"> </w:t>
      </w:r>
      <w:r w:rsidRPr="00FD70B7">
        <w:rPr>
          <w:rFonts w:ascii="Arial" w:hAnsi="Arial" w:cs="Arial"/>
          <w:sz w:val="22"/>
        </w:rPr>
        <w:t>al.</w:t>
      </w:r>
      <w:r w:rsidR="00431728">
        <w:rPr>
          <w:rFonts w:ascii="Arial" w:hAnsi="Arial" w:cs="Arial"/>
          <w:sz w:val="22"/>
        </w:rPr>
        <w:t>,</w:t>
      </w:r>
      <w:r w:rsidRPr="00FD70B7">
        <w:rPr>
          <w:rFonts w:ascii="Arial" w:hAnsi="Arial" w:cs="Arial"/>
          <w:sz w:val="22"/>
        </w:rPr>
        <w:t xml:space="preserve"> (2022). Do people perceive benefits in the use of social prescribing to address loneliness and/or social isolation? A qualitative meta-synthesis of the literature. </w:t>
      </w:r>
      <w:r w:rsidRPr="00FD70B7">
        <w:rPr>
          <w:rFonts w:ascii="Arial" w:hAnsi="Arial" w:cs="Arial"/>
          <w:i/>
          <w:iCs/>
          <w:sz w:val="22"/>
        </w:rPr>
        <w:t>BMC Health Services Research</w:t>
      </w:r>
      <w:r w:rsidRPr="00FD70B7">
        <w:rPr>
          <w:rFonts w:ascii="Arial" w:hAnsi="Arial" w:cs="Arial"/>
          <w:sz w:val="22"/>
        </w:rPr>
        <w:t>, [online] 22(1). doi:10.1186/s12913-022-08656-1.</w:t>
      </w:r>
    </w:p>
    <w:p w14:paraId="0A88A9F1" w14:textId="61538AB3" w:rsidR="00FD70B7" w:rsidRPr="00FD70B7" w:rsidRDefault="00FD70B7" w:rsidP="00FD70B7">
      <w:pPr>
        <w:spacing w:after="240" w:line="360" w:lineRule="auto"/>
        <w:rPr>
          <w:rFonts w:ascii="Arial" w:hAnsi="Arial" w:cs="Arial"/>
          <w:sz w:val="22"/>
        </w:rPr>
      </w:pPr>
      <w:r w:rsidRPr="00FD70B7">
        <w:rPr>
          <w:rFonts w:ascii="Arial" w:hAnsi="Arial" w:cs="Arial"/>
          <w:sz w:val="22"/>
        </w:rPr>
        <w:t>McSwiggan</w:t>
      </w:r>
      <w:r w:rsidR="009260EB">
        <w:rPr>
          <w:rFonts w:ascii="Arial" w:hAnsi="Arial" w:cs="Arial"/>
          <w:sz w:val="22"/>
        </w:rPr>
        <w:t xml:space="preserve"> </w:t>
      </w:r>
      <w:r w:rsidR="00431728">
        <w:rPr>
          <w:rFonts w:ascii="Arial" w:hAnsi="Arial" w:cs="Arial"/>
          <w:sz w:val="22"/>
        </w:rPr>
        <w:t xml:space="preserve">et </w:t>
      </w:r>
      <w:r w:rsidRPr="00FD70B7">
        <w:rPr>
          <w:rFonts w:ascii="Arial" w:hAnsi="Arial" w:cs="Arial"/>
          <w:sz w:val="22"/>
        </w:rPr>
        <w:t>al.</w:t>
      </w:r>
      <w:r w:rsidR="00431728">
        <w:rPr>
          <w:rFonts w:ascii="Arial" w:hAnsi="Arial" w:cs="Arial"/>
          <w:sz w:val="22"/>
        </w:rPr>
        <w:t>,</w:t>
      </w:r>
      <w:r w:rsidRPr="00FD70B7">
        <w:rPr>
          <w:rFonts w:ascii="Arial" w:hAnsi="Arial" w:cs="Arial"/>
          <w:sz w:val="22"/>
        </w:rPr>
        <w:t xml:space="preserve"> (2025). The role of place in social prescribing: A state</w:t>
      </w:r>
      <w:r w:rsidRPr="00FD70B7">
        <w:rPr>
          <w:rFonts w:ascii="Cambria Math" w:hAnsi="Cambria Math" w:cs="Cambria Math"/>
          <w:sz w:val="22"/>
        </w:rPr>
        <w:t>‐</w:t>
      </w:r>
      <w:r w:rsidRPr="00FD70B7">
        <w:rPr>
          <w:rFonts w:ascii="Arial" w:hAnsi="Arial" w:cs="Arial"/>
          <w:sz w:val="22"/>
        </w:rPr>
        <w:t>of</w:t>
      </w:r>
      <w:r w:rsidRPr="00FD70B7">
        <w:rPr>
          <w:rFonts w:ascii="Cambria Math" w:hAnsi="Cambria Math" w:cs="Cambria Math"/>
          <w:sz w:val="22"/>
        </w:rPr>
        <w:t>‐</w:t>
      </w:r>
      <w:r w:rsidRPr="00FD70B7">
        <w:rPr>
          <w:rFonts w:ascii="Arial" w:hAnsi="Arial" w:cs="Arial"/>
          <w:sz w:val="22"/>
        </w:rPr>
        <w:t>the</w:t>
      </w:r>
      <w:r w:rsidRPr="00FD70B7">
        <w:rPr>
          <w:rFonts w:ascii="Cambria Math" w:hAnsi="Cambria Math" w:cs="Cambria Math"/>
          <w:sz w:val="22"/>
        </w:rPr>
        <w:t>‐</w:t>
      </w:r>
      <w:r w:rsidRPr="00FD70B7">
        <w:rPr>
          <w:rFonts w:ascii="Arial" w:hAnsi="Arial" w:cs="Arial"/>
          <w:sz w:val="22"/>
        </w:rPr>
        <w:t xml:space="preserve">art literature review. </w:t>
      </w:r>
      <w:r w:rsidRPr="00FD70B7">
        <w:rPr>
          <w:rFonts w:ascii="Arial" w:hAnsi="Arial" w:cs="Arial"/>
          <w:i/>
          <w:iCs/>
          <w:sz w:val="22"/>
        </w:rPr>
        <w:t>Health &amp;amp; Social Care in the Community</w:t>
      </w:r>
      <w:r w:rsidRPr="00FD70B7">
        <w:rPr>
          <w:rFonts w:ascii="Arial" w:hAnsi="Arial" w:cs="Arial"/>
          <w:sz w:val="22"/>
        </w:rPr>
        <w:t>, 2025(1). doi:10.1155/hsc/9920046.</w:t>
      </w:r>
    </w:p>
    <w:p w14:paraId="37EC40D1" w14:textId="47EBFAC4" w:rsidR="00FD70B7" w:rsidRPr="00FD70B7" w:rsidRDefault="00FD70B7" w:rsidP="00FD70B7">
      <w:pPr>
        <w:spacing w:after="240" w:line="360" w:lineRule="auto"/>
        <w:rPr>
          <w:rFonts w:ascii="Arial" w:hAnsi="Arial" w:cs="Arial"/>
          <w:sz w:val="22"/>
        </w:rPr>
      </w:pPr>
      <w:r w:rsidRPr="00FD70B7">
        <w:rPr>
          <w:rFonts w:ascii="Arial" w:hAnsi="Arial" w:cs="Arial"/>
          <w:sz w:val="22"/>
        </w:rPr>
        <w:t xml:space="preserve">Melam </w:t>
      </w:r>
      <w:r w:rsidR="00431728">
        <w:rPr>
          <w:rFonts w:ascii="Arial" w:hAnsi="Arial" w:cs="Arial"/>
          <w:sz w:val="22"/>
        </w:rPr>
        <w:t xml:space="preserve">et </w:t>
      </w:r>
      <w:r w:rsidRPr="00FD70B7">
        <w:rPr>
          <w:rFonts w:ascii="Arial" w:hAnsi="Arial" w:cs="Arial"/>
          <w:sz w:val="22"/>
        </w:rPr>
        <w:t>al.</w:t>
      </w:r>
      <w:r w:rsidR="00431728">
        <w:rPr>
          <w:rFonts w:ascii="Arial" w:hAnsi="Arial" w:cs="Arial"/>
          <w:sz w:val="22"/>
        </w:rPr>
        <w:t>,</w:t>
      </w:r>
      <w:r w:rsidRPr="00FD70B7">
        <w:rPr>
          <w:rFonts w:ascii="Arial" w:hAnsi="Arial" w:cs="Arial"/>
          <w:sz w:val="22"/>
        </w:rPr>
        <w:t xml:space="preserve"> (2025). The role of social prescribing interventions in addressing health inequalities in the United Kingdom: A narrative review. </w:t>
      </w:r>
      <w:r w:rsidRPr="00FD70B7">
        <w:rPr>
          <w:rFonts w:ascii="Arial" w:hAnsi="Arial" w:cs="Arial"/>
          <w:i/>
          <w:iCs/>
          <w:sz w:val="22"/>
        </w:rPr>
        <w:t>Health &amp; Social Care in the Community</w:t>
      </w:r>
      <w:r w:rsidRPr="00FD70B7">
        <w:rPr>
          <w:rFonts w:ascii="Arial" w:hAnsi="Arial" w:cs="Arial"/>
          <w:sz w:val="22"/>
        </w:rPr>
        <w:t>, 2025(1). doi:10.1155/hsc/6613809.</w:t>
      </w:r>
    </w:p>
    <w:p w14:paraId="7D7F6997" w14:textId="373A512F" w:rsidR="00FD70B7" w:rsidRPr="00FD70B7" w:rsidRDefault="00FD70B7" w:rsidP="00FD70B7">
      <w:pPr>
        <w:spacing w:after="240" w:line="360" w:lineRule="auto"/>
        <w:rPr>
          <w:rFonts w:ascii="Arial" w:hAnsi="Arial" w:cs="Arial"/>
          <w:sz w:val="22"/>
        </w:rPr>
      </w:pPr>
      <w:r w:rsidRPr="00FD70B7">
        <w:rPr>
          <w:rFonts w:ascii="Arial" w:hAnsi="Arial" w:cs="Arial"/>
          <w:sz w:val="22"/>
        </w:rPr>
        <w:t xml:space="preserve">Morse </w:t>
      </w:r>
      <w:r w:rsidR="00431728">
        <w:rPr>
          <w:rFonts w:ascii="Arial" w:hAnsi="Arial" w:cs="Arial"/>
          <w:sz w:val="22"/>
        </w:rPr>
        <w:t>et</w:t>
      </w:r>
      <w:r w:rsidR="00CD7D7A">
        <w:rPr>
          <w:rFonts w:ascii="Arial" w:hAnsi="Arial" w:cs="Arial"/>
          <w:sz w:val="22"/>
        </w:rPr>
        <w:t xml:space="preserve"> </w:t>
      </w:r>
      <w:r w:rsidRPr="00FD70B7">
        <w:rPr>
          <w:rFonts w:ascii="Arial" w:hAnsi="Arial" w:cs="Arial"/>
          <w:sz w:val="22"/>
        </w:rPr>
        <w:t>al.</w:t>
      </w:r>
      <w:r w:rsidR="00431728">
        <w:rPr>
          <w:rFonts w:ascii="Arial" w:hAnsi="Arial" w:cs="Arial"/>
          <w:sz w:val="22"/>
        </w:rPr>
        <w:t>,</w:t>
      </w:r>
      <w:r w:rsidRPr="00FD70B7">
        <w:rPr>
          <w:rFonts w:ascii="Arial" w:hAnsi="Arial" w:cs="Arial"/>
          <w:sz w:val="22"/>
        </w:rPr>
        <w:t xml:space="preserve"> (2022). Global developments in social prescribing. </w:t>
      </w:r>
      <w:r w:rsidRPr="00FD70B7">
        <w:rPr>
          <w:rFonts w:ascii="Arial" w:hAnsi="Arial" w:cs="Arial"/>
          <w:i/>
          <w:iCs/>
          <w:sz w:val="22"/>
        </w:rPr>
        <w:t>BMJ Global Health</w:t>
      </w:r>
      <w:r w:rsidRPr="00FD70B7">
        <w:rPr>
          <w:rFonts w:ascii="Arial" w:hAnsi="Arial" w:cs="Arial"/>
          <w:sz w:val="22"/>
        </w:rPr>
        <w:t>, [online] 7(5). doi:10.1136/bmjgh-2022-008524.</w:t>
      </w:r>
    </w:p>
    <w:p w14:paraId="1C02B3A1" w14:textId="4FD36926" w:rsidR="00FD70B7" w:rsidRPr="00FD70B7" w:rsidRDefault="00FD70B7" w:rsidP="00FD70B7">
      <w:pPr>
        <w:spacing w:after="240" w:line="360" w:lineRule="auto"/>
        <w:rPr>
          <w:rFonts w:ascii="Arial" w:hAnsi="Arial" w:cs="Arial"/>
          <w:sz w:val="22"/>
        </w:rPr>
      </w:pPr>
      <w:r w:rsidRPr="00FD70B7">
        <w:rPr>
          <w:rFonts w:ascii="Arial" w:hAnsi="Arial" w:cs="Arial"/>
          <w:sz w:val="22"/>
        </w:rPr>
        <w:t xml:space="preserve">Mulholland </w:t>
      </w:r>
      <w:r w:rsidR="00431728">
        <w:rPr>
          <w:rFonts w:ascii="Arial" w:hAnsi="Arial" w:cs="Arial"/>
          <w:sz w:val="22"/>
        </w:rPr>
        <w:t xml:space="preserve">et </w:t>
      </w:r>
      <w:r w:rsidRPr="00FD70B7">
        <w:rPr>
          <w:rFonts w:ascii="Arial" w:hAnsi="Arial" w:cs="Arial"/>
          <w:sz w:val="22"/>
        </w:rPr>
        <w:t>al.</w:t>
      </w:r>
      <w:r w:rsidR="00431728">
        <w:rPr>
          <w:rFonts w:ascii="Arial" w:hAnsi="Arial" w:cs="Arial"/>
          <w:sz w:val="22"/>
        </w:rPr>
        <w:t>,</w:t>
      </w:r>
      <w:r w:rsidRPr="00FD70B7">
        <w:rPr>
          <w:rFonts w:ascii="Arial" w:hAnsi="Arial" w:cs="Arial"/>
          <w:sz w:val="22"/>
        </w:rPr>
        <w:t xml:space="preserve"> (2025). The social prescribing link worker—Clarifying the role to harness potential: A scoping review. </w:t>
      </w:r>
      <w:r w:rsidRPr="00FD70B7">
        <w:rPr>
          <w:rFonts w:ascii="Arial" w:hAnsi="Arial" w:cs="Arial"/>
          <w:i/>
          <w:iCs/>
          <w:sz w:val="22"/>
        </w:rPr>
        <w:t>Health &amp; Social Care in the Community</w:t>
      </w:r>
      <w:r w:rsidRPr="00FD70B7">
        <w:rPr>
          <w:rFonts w:ascii="Arial" w:hAnsi="Arial" w:cs="Arial"/>
          <w:sz w:val="22"/>
        </w:rPr>
        <w:t>, 2025(1). doi:10.1155/hsc/4394123.</w:t>
      </w:r>
    </w:p>
    <w:p w14:paraId="2EB1DF03" w14:textId="77777777" w:rsidR="00FD70B7" w:rsidRPr="00FD70B7" w:rsidRDefault="00FD70B7" w:rsidP="00FD70B7">
      <w:pPr>
        <w:spacing w:after="240" w:line="360" w:lineRule="auto"/>
        <w:rPr>
          <w:rFonts w:ascii="Arial" w:hAnsi="Arial" w:cs="Arial"/>
          <w:sz w:val="22"/>
        </w:rPr>
      </w:pPr>
      <w:r w:rsidRPr="00FD70B7">
        <w:rPr>
          <w:rFonts w:ascii="Arial" w:hAnsi="Arial" w:cs="Arial"/>
          <w:sz w:val="22"/>
        </w:rPr>
        <w:t xml:space="preserve">NHS England (2024). </w:t>
      </w:r>
      <w:r w:rsidRPr="00FD70B7">
        <w:rPr>
          <w:rFonts w:ascii="Arial" w:hAnsi="Arial" w:cs="Arial"/>
          <w:i/>
          <w:iCs/>
          <w:sz w:val="22"/>
        </w:rPr>
        <w:t>Social prescribing</w:t>
      </w:r>
      <w:r w:rsidRPr="00FD70B7">
        <w:rPr>
          <w:rFonts w:ascii="Arial" w:hAnsi="Arial" w:cs="Arial"/>
          <w:sz w:val="22"/>
        </w:rPr>
        <w:t xml:space="preserve">. [online] </w:t>
      </w:r>
      <w:r w:rsidRPr="00FD70B7">
        <w:rPr>
          <w:rFonts w:ascii="Arial" w:hAnsi="Arial" w:cs="Arial"/>
          <w:i/>
          <w:iCs/>
          <w:sz w:val="22"/>
        </w:rPr>
        <w:t>NHS England</w:t>
      </w:r>
      <w:r w:rsidRPr="00FD70B7">
        <w:rPr>
          <w:rFonts w:ascii="Arial" w:hAnsi="Arial" w:cs="Arial"/>
          <w:sz w:val="22"/>
        </w:rPr>
        <w:t>. NHS England. Available at: https://www.england.nhs.uk/personalisedcare/social-prescribing/ [Accessed 5 Aug. 2026].</w:t>
      </w:r>
    </w:p>
    <w:p w14:paraId="78C5406A" w14:textId="18075201" w:rsidR="00FD70B7" w:rsidRPr="00FD70B7" w:rsidRDefault="00FD70B7" w:rsidP="00FD70B7">
      <w:pPr>
        <w:spacing w:after="240" w:line="360" w:lineRule="auto"/>
        <w:rPr>
          <w:rFonts w:ascii="Arial" w:hAnsi="Arial" w:cs="Arial"/>
          <w:sz w:val="22"/>
        </w:rPr>
      </w:pPr>
      <w:r w:rsidRPr="00FD70B7">
        <w:rPr>
          <w:rFonts w:ascii="Arial" w:hAnsi="Arial" w:cs="Arial"/>
          <w:sz w:val="22"/>
        </w:rPr>
        <w:t xml:space="preserve">NICE (2016). </w:t>
      </w:r>
      <w:r w:rsidRPr="00FD70B7">
        <w:rPr>
          <w:rFonts w:ascii="Arial" w:hAnsi="Arial" w:cs="Arial"/>
          <w:i/>
          <w:iCs/>
          <w:sz w:val="22"/>
        </w:rPr>
        <w:t>Overview | Community Engagement: Improving health and wellbeing and reducing health inequalities | guidance | NICE</w:t>
      </w:r>
      <w:r w:rsidRPr="00FD70B7">
        <w:rPr>
          <w:rFonts w:ascii="Arial" w:hAnsi="Arial" w:cs="Arial"/>
          <w:sz w:val="22"/>
        </w:rPr>
        <w:t xml:space="preserve">. [online] Nice.org.uk. Available at: https://www.nice.org.uk/guidance/ng44?utm </w:t>
      </w:r>
      <w:r w:rsidR="00431728">
        <w:rPr>
          <w:rFonts w:ascii="Arial" w:hAnsi="Arial" w:cs="Arial"/>
          <w:sz w:val="22"/>
        </w:rPr>
        <w:t>(</w:t>
      </w:r>
      <w:r w:rsidRPr="00FD70B7">
        <w:rPr>
          <w:rFonts w:ascii="Arial" w:hAnsi="Arial" w:cs="Arial"/>
          <w:sz w:val="22"/>
        </w:rPr>
        <w:t xml:space="preserve">Accessed </w:t>
      </w:r>
      <w:r w:rsidR="00EB4FFD">
        <w:rPr>
          <w:rFonts w:ascii="Arial" w:hAnsi="Arial" w:cs="Arial"/>
          <w:sz w:val="22"/>
        </w:rPr>
        <w:t>9</w:t>
      </w:r>
      <w:r w:rsidRPr="00FD70B7">
        <w:rPr>
          <w:rFonts w:ascii="Arial" w:hAnsi="Arial" w:cs="Arial"/>
          <w:sz w:val="22"/>
        </w:rPr>
        <w:t xml:space="preserve"> Aug. 2026</w:t>
      </w:r>
      <w:r w:rsidR="00431728">
        <w:rPr>
          <w:rFonts w:ascii="Arial" w:hAnsi="Arial" w:cs="Arial"/>
          <w:sz w:val="22"/>
        </w:rPr>
        <w:t>)</w:t>
      </w:r>
      <w:r w:rsidRPr="00FD70B7">
        <w:rPr>
          <w:rFonts w:ascii="Arial" w:hAnsi="Arial" w:cs="Arial"/>
          <w:sz w:val="22"/>
        </w:rPr>
        <w:t>.</w:t>
      </w:r>
    </w:p>
    <w:p w14:paraId="424529E7" w14:textId="0C7721B8" w:rsidR="00FD70B7" w:rsidRPr="00FD70B7" w:rsidRDefault="00FD70B7" w:rsidP="00FD70B7">
      <w:pPr>
        <w:spacing w:after="240" w:line="360" w:lineRule="auto"/>
        <w:rPr>
          <w:rFonts w:ascii="Arial" w:hAnsi="Arial" w:cs="Arial"/>
          <w:sz w:val="22"/>
        </w:rPr>
      </w:pPr>
      <w:r w:rsidRPr="00FD70B7">
        <w:rPr>
          <w:rFonts w:ascii="Arial" w:hAnsi="Arial" w:cs="Arial"/>
          <w:sz w:val="22"/>
        </w:rPr>
        <w:t>Handayani</w:t>
      </w:r>
      <w:r w:rsidR="00CD7D7A">
        <w:rPr>
          <w:rFonts w:ascii="Arial" w:hAnsi="Arial" w:cs="Arial"/>
          <w:sz w:val="22"/>
        </w:rPr>
        <w:t xml:space="preserve"> </w:t>
      </w:r>
      <w:r w:rsidR="00EB4FFD">
        <w:rPr>
          <w:rFonts w:ascii="Arial" w:hAnsi="Arial" w:cs="Arial"/>
          <w:sz w:val="22"/>
        </w:rPr>
        <w:t xml:space="preserve">et al., </w:t>
      </w:r>
      <w:r w:rsidRPr="00FD70B7">
        <w:rPr>
          <w:rFonts w:ascii="Arial" w:hAnsi="Arial" w:cs="Arial"/>
          <w:sz w:val="22"/>
        </w:rPr>
        <w:t xml:space="preserve">(2025). Experiences of social prescribing in the UK: A qualitative systematic review. </w:t>
      </w:r>
      <w:r w:rsidRPr="00FD70B7">
        <w:rPr>
          <w:rFonts w:ascii="Arial" w:hAnsi="Arial" w:cs="Arial"/>
          <w:i/>
          <w:iCs/>
          <w:sz w:val="22"/>
        </w:rPr>
        <w:t>British Journal of General Practice</w:t>
      </w:r>
      <w:r w:rsidRPr="00FD70B7">
        <w:rPr>
          <w:rFonts w:ascii="Arial" w:hAnsi="Arial" w:cs="Arial"/>
          <w:sz w:val="22"/>
        </w:rPr>
        <w:t>, [online] pp.BJGP.2025.0179-BJGP.2025.0179. doi:10.3399/bjgp.2025.0179.</w:t>
      </w:r>
    </w:p>
    <w:p w14:paraId="72656572" w14:textId="4C91DF29" w:rsidR="00FD70B7" w:rsidRPr="00FD70B7" w:rsidRDefault="00FD70B7" w:rsidP="00FD70B7">
      <w:pPr>
        <w:spacing w:after="240" w:line="360" w:lineRule="auto"/>
        <w:rPr>
          <w:rFonts w:ascii="Arial" w:hAnsi="Arial" w:cs="Arial"/>
          <w:sz w:val="22"/>
        </w:rPr>
      </w:pPr>
      <w:r w:rsidRPr="00FD70B7">
        <w:rPr>
          <w:rFonts w:ascii="Arial" w:hAnsi="Arial" w:cs="Arial"/>
          <w:sz w:val="22"/>
        </w:rPr>
        <w:t xml:space="preserve">Pescheny </w:t>
      </w:r>
      <w:r w:rsidR="00EB4FFD">
        <w:rPr>
          <w:rFonts w:ascii="Arial" w:hAnsi="Arial" w:cs="Arial"/>
          <w:sz w:val="22"/>
        </w:rPr>
        <w:t>et</w:t>
      </w:r>
      <w:r w:rsidR="00CD7D7A">
        <w:rPr>
          <w:rFonts w:ascii="Arial" w:hAnsi="Arial" w:cs="Arial"/>
          <w:sz w:val="22"/>
        </w:rPr>
        <w:t xml:space="preserve"> </w:t>
      </w:r>
      <w:r w:rsidRPr="00FD70B7">
        <w:rPr>
          <w:rFonts w:ascii="Arial" w:hAnsi="Arial" w:cs="Arial"/>
          <w:sz w:val="22"/>
        </w:rPr>
        <w:t>al.</w:t>
      </w:r>
      <w:r w:rsidR="00EB4FFD">
        <w:rPr>
          <w:rFonts w:ascii="Arial" w:hAnsi="Arial" w:cs="Arial"/>
          <w:sz w:val="22"/>
        </w:rPr>
        <w:t>,</w:t>
      </w:r>
      <w:r w:rsidRPr="00FD70B7">
        <w:rPr>
          <w:rFonts w:ascii="Arial" w:hAnsi="Arial" w:cs="Arial"/>
          <w:sz w:val="22"/>
        </w:rPr>
        <w:t xml:space="preserve"> (2019). The impact of social prescribing services on service users: A systematic review of the evidence. </w:t>
      </w:r>
      <w:r w:rsidRPr="00FD70B7">
        <w:rPr>
          <w:rFonts w:ascii="Arial" w:hAnsi="Arial" w:cs="Arial"/>
          <w:i/>
          <w:iCs/>
          <w:sz w:val="22"/>
        </w:rPr>
        <w:t>European Journal of Public Health</w:t>
      </w:r>
      <w:r w:rsidRPr="00FD70B7">
        <w:rPr>
          <w:rFonts w:ascii="Arial" w:hAnsi="Arial" w:cs="Arial"/>
          <w:sz w:val="22"/>
        </w:rPr>
        <w:t xml:space="preserve">, [online] 30(4), </w:t>
      </w:r>
      <w:r w:rsidRPr="00FD70B7">
        <w:rPr>
          <w:rFonts w:ascii="Arial" w:hAnsi="Arial" w:cs="Arial"/>
          <w:sz w:val="22"/>
        </w:rPr>
        <w:lastRenderedPageBreak/>
        <w:t xml:space="preserve">pp.664–673. Available at: https://academic.oup.com/eurpub/article/30/4/664/5519001#206854826 </w:t>
      </w:r>
      <w:r w:rsidR="000516F0">
        <w:rPr>
          <w:rFonts w:ascii="Arial" w:hAnsi="Arial" w:cs="Arial"/>
          <w:sz w:val="22"/>
        </w:rPr>
        <w:t>(</w:t>
      </w:r>
      <w:r w:rsidRPr="00FD70B7">
        <w:rPr>
          <w:rFonts w:ascii="Arial" w:hAnsi="Arial" w:cs="Arial"/>
          <w:sz w:val="22"/>
        </w:rPr>
        <w:t xml:space="preserve">Accessed </w:t>
      </w:r>
      <w:r w:rsidR="000516F0">
        <w:rPr>
          <w:rFonts w:ascii="Arial" w:hAnsi="Arial" w:cs="Arial"/>
          <w:sz w:val="22"/>
        </w:rPr>
        <w:t>9</w:t>
      </w:r>
      <w:r w:rsidRPr="00FD70B7">
        <w:rPr>
          <w:rFonts w:ascii="Arial" w:hAnsi="Arial" w:cs="Arial"/>
          <w:sz w:val="22"/>
        </w:rPr>
        <w:t xml:space="preserve"> Aug. 2026</w:t>
      </w:r>
      <w:r w:rsidR="000516F0">
        <w:rPr>
          <w:rFonts w:ascii="Arial" w:hAnsi="Arial" w:cs="Arial"/>
          <w:sz w:val="22"/>
        </w:rPr>
        <w:t>)</w:t>
      </w:r>
      <w:r w:rsidRPr="00FD70B7">
        <w:rPr>
          <w:rFonts w:ascii="Arial" w:hAnsi="Arial" w:cs="Arial"/>
          <w:sz w:val="22"/>
        </w:rPr>
        <w:t>.</w:t>
      </w:r>
    </w:p>
    <w:p w14:paraId="36F1C126" w14:textId="4B84B411" w:rsidR="00FD70B7" w:rsidRPr="00FD70B7" w:rsidRDefault="00FD70B7" w:rsidP="00FD70B7">
      <w:pPr>
        <w:spacing w:after="240" w:line="360" w:lineRule="auto"/>
        <w:rPr>
          <w:rFonts w:ascii="Arial" w:hAnsi="Arial" w:cs="Arial"/>
          <w:sz w:val="22"/>
        </w:rPr>
      </w:pPr>
      <w:r w:rsidRPr="00FD70B7">
        <w:rPr>
          <w:rFonts w:ascii="Arial" w:hAnsi="Arial" w:cs="Arial"/>
          <w:sz w:val="22"/>
        </w:rPr>
        <w:t>Peters</w:t>
      </w:r>
      <w:r w:rsidR="005C79F2">
        <w:rPr>
          <w:rFonts w:ascii="Arial" w:hAnsi="Arial" w:cs="Arial"/>
          <w:sz w:val="22"/>
        </w:rPr>
        <w:t xml:space="preserve"> </w:t>
      </w:r>
      <w:r w:rsidR="00EB4FFD">
        <w:rPr>
          <w:rFonts w:ascii="Arial" w:hAnsi="Arial" w:cs="Arial"/>
          <w:sz w:val="22"/>
        </w:rPr>
        <w:t xml:space="preserve">et </w:t>
      </w:r>
      <w:r w:rsidRPr="00FD70B7">
        <w:rPr>
          <w:rFonts w:ascii="Arial" w:hAnsi="Arial" w:cs="Arial"/>
          <w:sz w:val="22"/>
        </w:rPr>
        <w:t>al.</w:t>
      </w:r>
      <w:r w:rsidR="00F619FE">
        <w:rPr>
          <w:rFonts w:ascii="Arial" w:hAnsi="Arial" w:cs="Arial"/>
          <w:sz w:val="22"/>
        </w:rPr>
        <w:t>,</w:t>
      </w:r>
      <w:r w:rsidRPr="00FD70B7">
        <w:rPr>
          <w:rFonts w:ascii="Arial" w:hAnsi="Arial" w:cs="Arial"/>
          <w:sz w:val="22"/>
        </w:rPr>
        <w:t xml:space="preserve"> (2021). Updated methodological guidance for the conduct of scoping reviews. </w:t>
      </w:r>
      <w:r w:rsidRPr="00FD70B7">
        <w:rPr>
          <w:rFonts w:ascii="Arial" w:hAnsi="Arial" w:cs="Arial"/>
          <w:i/>
          <w:iCs/>
          <w:sz w:val="22"/>
        </w:rPr>
        <w:t>JBI Evidence Implementation</w:t>
      </w:r>
      <w:r w:rsidRPr="00FD70B7">
        <w:rPr>
          <w:rFonts w:ascii="Arial" w:hAnsi="Arial" w:cs="Arial"/>
          <w:sz w:val="22"/>
        </w:rPr>
        <w:t>, 19(1), pp.3–10. doi:10.1097/xeb.0000000000000277.</w:t>
      </w:r>
    </w:p>
    <w:p w14:paraId="738B96A8" w14:textId="2C3D51DC" w:rsidR="00FD70B7" w:rsidRPr="00FD70B7" w:rsidRDefault="00FD70B7" w:rsidP="00FD70B7">
      <w:pPr>
        <w:spacing w:after="240" w:line="360" w:lineRule="auto"/>
        <w:rPr>
          <w:rFonts w:ascii="Arial" w:hAnsi="Arial" w:cs="Arial"/>
          <w:sz w:val="22"/>
        </w:rPr>
      </w:pPr>
      <w:r w:rsidRPr="00FD70B7">
        <w:rPr>
          <w:rFonts w:ascii="Arial" w:hAnsi="Arial" w:cs="Arial"/>
          <w:sz w:val="22"/>
        </w:rPr>
        <w:t>Pollard</w:t>
      </w:r>
      <w:r w:rsidR="006265E2">
        <w:rPr>
          <w:rFonts w:ascii="Arial" w:hAnsi="Arial" w:cs="Arial"/>
          <w:sz w:val="22"/>
        </w:rPr>
        <w:t xml:space="preserve"> </w:t>
      </w:r>
      <w:r w:rsidR="009A1926">
        <w:rPr>
          <w:rFonts w:ascii="Arial" w:hAnsi="Arial" w:cs="Arial"/>
          <w:sz w:val="22"/>
        </w:rPr>
        <w:t xml:space="preserve">et </w:t>
      </w:r>
      <w:r w:rsidRPr="00FD70B7">
        <w:rPr>
          <w:rFonts w:ascii="Arial" w:hAnsi="Arial" w:cs="Arial"/>
          <w:sz w:val="22"/>
        </w:rPr>
        <w:t>al.</w:t>
      </w:r>
      <w:r w:rsidR="009A1926">
        <w:rPr>
          <w:rFonts w:ascii="Arial" w:hAnsi="Arial" w:cs="Arial"/>
          <w:sz w:val="22"/>
        </w:rPr>
        <w:t>,</w:t>
      </w:r>
      <w:r w:rsidRPr="00FD70B7">
        <w:rPr>
          <w:rFonts w:ascii="Arial" w:hAnsi="Arial" w:cs="Arial"/>
          <w:sz w:val="22"/>
        </w:rPr>
        <w:t xml:space="preserve"> (2023). Implementation and impact of a social prescribing intervention: An ethnographic exploration. </w:t>
      </w:r>
      <w:r w:rsidRPr="00FD70B7">
        <w:rPr>
          <w:rFonts w:ascii="Arial" w:hAnsi="Arial" w:cs="Arial"/>
          <w:i/>
          <w:iCs/>
          <w:sz w:val="22"/>
        </w:rPr>
        <w:t>British Journal of General Practice</w:t>
      </w:r>
      <w:r w:rsidRPr="00FD70B7">
        <w:rPr>
          <w:rFonts w:ascii="Arial" w:hAnsi="Arial" w:cs="Arial"/>
          <w:sz w:val="22"/>
        </w:rPr>
        <w:t>, 73(735), pp.e789-e797. doi:10.3399/bjgp.2022.0638.</w:t>
      </w:r>
    </w:p>
    <w:p w14:paraId="4D1FB2A7" w14:textId="780F14ED" w:rsidR="00FD70B7" w:rsidRPr="00FD70B7" w:rsidRDefault="00FD70B7" w:rsidP="00FD70B7">
      <w:pPr>
        <w:spacing w:after="240" w:line="360" w:lineRule="auto"/>
        <w:rPr>
          <w:rFonts w:ascii="Arial" w:hAnsi="Arial" w:cs="Arial"/>
          <w:sz w:val="22"/>
        </w:rPr>
      </w:pPr>
      <w:r w:rsidRPr="00FD70B7">
        <w:rPr>
          <w:rFonts w:ascii="Arial" w:hAnsi="Arial" w:cs="Arial"/>
          <w:sz w:val="22"/>
        </w:rPr>
        <w:t>Rafiei</w:t>
      </w:r>
      <w:r w:rsidR="005C79F2">
        <w:rPr>
          <w:rFonts w:ascii="Arial" w:hAnsi="Arial" w:cs="Arial"/>
          <w:sz w:val="22"/>
        </w:rPr>
        <w:t xml:space="preserve"> </w:t>
      </w:r>
      <w:r w:rsidR="00F619FE" w:rsidRPr="00FD70B7">
        <w:rPr>
          <w:rFonts w:ascii="Arial" w:hAnsi="Arial" w:cs="Arial"/>
          <w:sz w:val="22"/>
        </w:rPr>
        <w:t>et</w:t>
      </w:r>
      <w:r w:rsidR="000516F0">
        <w:rPr>
          <w:rFonts w:ascii="Arial" w:hAnsi="Arial" w:cs="Arial"/>
          <w:sz w:val="22"/>
        </w:rPr>
        <w:t xml:space="preserve"> </w:t>
      </w:r>
      <w:r w:rsidR="00F619FE" w:rsidRPr="00FD70B7">
        <w:rPr>
          <w:rFonts w:ascii="Arial" w:hAnsi="Arial" w:cs="Arial"/>
          <w:sz w:val="22"/>
        </w:rPr>
        <w:t>al</w:t>
      </w:r>
      <w:r w:rsidRPr="00FD70B7">
        <w:rPr>
          <w:rFonts w:ascii="Arial" w:hAnsi="Arial" w:cs="Arial"/>
          <w:sz w:val="22"/>
        </w:rPr>
        <w:t>.</w:t>
      </w:r>
      <w:r w:rsidR="00F619FE">
        <w:rPr>
          <w:rFonts w:ascii="Arial" w:hAnsi="Arial" w:cs="Arial"/>
          <w:sz w:val="22"/>
        </w:rPr>
        <w:t>,</w:t>
      </w:r>
      <w:r w:rsidRPr="00FD70B7">
        <w:rPr>
          <w:rFonts w:ascii="Arial" w:hAnsi="Arial" w:cs="Arial"/>
          <w:sz w:val="22"/>
        </w:rPr>
        <w:t xml:space="preserve"> (2024). Stakeholder views on addressing challenges to the implementation of social prescribing in the United Kingdom. </w:t>
      </w:r>
      <w:r w:rsidRPr="00FD70B7">
        <w:rPr>
          <w:rFonts w:ascii="Arial" w:hAnsi="Arial" w:cs="Arial"/>
          <w:i/>
          <w:iCs/>
          <w:sz w:val="22"/>
        </w:rPr>
        <w:t>Frontiers in Health Services</w:t>
      </w:r>
      <w:r w:rsidRPr="00FD70B7">
        <w:rPr>
          <w:rFonts w:ascii="Arial" w:hAnsi="Arial" w:cs="Arial"/>
          <w:sz w:val="22"/>
        </w:rPr>
        <w:t>, 4. doi:10.3389/frhs.2024.1413711.</w:t>
      </w:r>
    </w:p>
    <w:p w14:paraId="541581D0" w14:textId="546381B4" w:rsidR="00FD70B7" w:rsidRPr="00FD70B7" w:rsidRDefault="00FD70B7" w:rsidP="00FD70B7">
      <w:pPr>
        <w:spacing w:after="240" w:line="360" w:lineRule="auto"/>
        <w:rPr>
          <w:rFonts w:ascii="Arial" w:hAnsi="Arial" w:cs="Arial"/>
          <w:sz w:val="22"/>
        </w:rPr>
      </w:pPr>
      <w:r w:rsidRPr="00FD70B7">
        <w:rPr>
          <w:rFonts w:ascii="Arial" w:hAnsi="Arial" w:cs="Arial"/>
          <w:sz w:val="22"/>
        </w:rPr>
        <w:t>Ebrahimoghli</w:t>
      </w:r>
      <w:r w:rsidR="004C7B19">
        <w:rPr>
          <w:rFonts w:ascii="Arial" w:hAnsi="Arial" w:cs="Arial"/>
          <w:sz w:val="22"/>
        </w:rPr>
        <w:t>,</w:t>
      </w:r>
      <w:r w:rsidRPr="00FD70B7">
        <w:rPr>
          <w:rFonts w:ascii="Arial" w:hAnsi="Arial" w:cs="Arial"/>
          <w:sz w:val="22"/>
        </w:rPr>
        <w:t xml:space="preserve"> et</w:t>
      </w:r>
      <w:r w:rsidR="009A1926">
        <w:rPr>
          <w:rFonts w:ascii="Arial" w:hAnsi="Arial" w:cs="Arial"/>
          <w:sz w:val="22"/>
        </w:rPr>
        <w:t>.</w:t>
      </w:r>
      <w:r w:rsidRPr="00FD70B7">
        <w:rPr>
          <w:rFonts w:ascii="Arial" w:hAnsi="Arial" w:cs="Arial"/>
          <w:sz w:val="22"/>
        </w:rPr>
        <w:t xml:space="preserve"> al., (2023). Factors influencing social prescribing initiatives: A systematic review of qualitative evidence. </w:t>
      </w:r>
      <w:r w:rsidRPr="00FD70B7">
        <w:rPr>
          <w:rFonts w:ascii="Arial" w:hAnsi="Arial" w:cs="Arial"/>
          <w:i/>
          <w:iCs/>
          <w:sz w:val="22"/>
        </w:rPr>
        <w:t>Perspectives in Public Health</w:t>
      </w:r>
      <w:r w:rsidRPr="00FD70B7">
        <w:rPr>
          <w:rFonts w:ascii="Arial" w:hAnsi="Arial" w:cs="Arial"/>
          <w:sz w:val="22"/>
        </w:rPr>
        <w:t>, 145(3). doi:10.1177/17579139231184809.</w:t>
      </w:r>
    </w:p>
    <w:p w14:paraId="5821FDE6" w14:textId="6C3ADF5E" w:rsidR="00FD70B7" w:rsidRPr="00FD70B7" w:rsidRDefault="00FD70B7" w:rsidP="00FD70B7">
      <w:pPr>
        <w:spacing w:after="240" w:line="360" w:lineRule="auto"/>
        <w:rPr>
          <w:rFonts w:ascii="Arial" w:hAnsi="Arial" w:cs="Arial"/>
          <w:sz w:val="22"/>
        </w:rPr>
      </w:pPr>
      <w:r w:rsidRPr="00FD70B7">
        <w:rPr>
          <w:rFonts w:ascii="Arial" w:hAnsi="Arial" w:cs="Arial"/>
          <w:sz w:val="22"/>
        </w:rPr>
        <w:t>Skivington</w:t>
      </w:r>
      <w:r w:rsidR="006265E2">
        <w:rPr>
          <w:rFonts w:ascii="Arial" w:hAnsi="Arial" w:cs="Arial"/>
          <w:sz w:val="22"/>
        </w:rPr>
        <w:t xml:space="preserve"> </w:t>
      </w:r>
      <w:r w:rsidR="009A1926">
        <w:rPr>
          <w:rFonts w:ascii="Arial" w:hAnsi="Arial" w:cs="Arial"/>
          <w:sz w:val="22"/>
        </w:rPr>
        <w:t>et</w:t>
      </w:r>
      <w:r w:rsidR="006265E2">
        <w:rPr>
          <w:rFonts w:ascii="Arial" w:hAnsi="Arial" w:cs="Arial"/>
          <w:sz w:val="22"/>
        </w:rPr>
        <w:t xml:space="preserve"> </w:t>
      </w:r>
      <w:r w:rsidRPr="00FD70B7">
        <w:rPr>
          <w:rFonts w:ascii="Arial" w:hAnsi="Arial" w:cs="Arial"/>
          <w:sz w:val="22"/>
        </w:rPr>
        <w:t>al.</w:t>
      </w:r>
      <w:r w:rsidR="009A1926">
        <w:rPr>
          <w:rFonts w:ascii="Arial" w:hAnsi="Arial" w:cs="Arial"/>
          <w:sz w:val="22"/>
        </w:rPr>
        <w:t>,</w:t>
      </w:r>
      <w:r w:rsidRPr="00FD70B7">
        <w:rPr>
          <w:rFonts w:ascii="Arial" w:hAnsi="Arial" w:cs="Arial"/>
          <w:sz w:val="22"/>
        </w:rPr>
        <w:t xml:space="preserve"> (2018). Delivering a primary care-based social prescribing initiative: A qualitative study of the benefits and challenges. </w:t>
      </w:r>
      <w:r w:rsidRPr="00FD70B7">
        <w:rPr>
          <w:rFonts w:ascii="Arial" w:hAnsi="Arial" w:cs="Arial"/>
          <w:i/>
          <w:iCs/>
          <w:sz w:val="22"/>
        </w:rPr>
        <w:t>British Journal of General Practice</w:t>
      </w:r>
      <w:r w:rsidRPr="00FD70B7">
        <w:rPr>
          <w:rFonts w:ascii="Arial" w:hAnsi="Arial" w:cs="Arial"/>
          <w:sz w:val="22"/>
        </w:rPr>
        <w:t xml:space="preserve">, </w:t>
      </w:r>
      <w:r w:rsidR="001105AC">
        <w:rPr>
          <w:rFonts w:ascii="Arial" w:hAnsi="Arial" w:cs="Arial"/>
          <w:sz w:val="22"/>
        </w:rPr>
        <w:t>(</w:t>
      </w:r>
      <w:r w:rsidRPr="00FD70B7">
        <w:rPr>
          <w:rFonts w:ascii="Arial" w:hAnsi="Arial" w:cs="Arial"/>
          <w:sz w:val="22"/>
        </w:rPr>
        <w:t>online</w:t>
      </w:r>
      <w:r w:rsidR="001105AC">
        <w:rPr>
          <w:rFonts w:ascii="Arial" w:hAnsi="Arial" w:cs="Arial"/>
          <w:sz w:val="22"/>
        </w:rPr>
        <w:t>)</w:t>
      </w:r>
      <w:r w:rsidRPr="00FD70B7">
        <w:rPr>
          <w:rFonts w:ascii="Arial" w:hAnsi="Arial" w:cs="Arial"/>
          <w:sz w:val="22"/>
        </w:rPr>
        <w:t xml:space="preserve"> 68(672), pp.e487-e494. doi:10.3399/bjgp18x696617.</w:t>
      </w:r>
    </w:p>
    <w:p w14:paraId="2B164BA1" w14:textId="499191E5" w:rsidR="00FD70B7" w:rsidRPr="00FD70B7" w:rsidRDefault="00FD70B7" w:rsidP="00FD70B7">
      <w:pPr>
        <w:spacing w:after="240" w:line="360" w:lineRule="auto"/>
        <w:rPr>
          <w:rFonts w:ascii="Arial" w:hAnsi="Arial" w:cs="Arial"/>
          <w:sz w:val="22"/>
        </w:rPr>
      </w:pPr>
      <w:r w:rsidRPr="009A1926">
        <w:rPr>
          <w:rFonts w:ascii="Arial" w:hAnsi="Arial" w:cs="Arial"/>
          <w:sz w:val="22"/>
          <w:lang w:val="es-BO"/>
        </w:rPr>
        <w:t>Thomson</w:t>
      </w:r>
      <w:r w:rsidR="006265E2">
        <w:rPr>
          <w:rFonts w:ascii="Arial" w:hAnsi="Arial" w:cs="Arial"/>
          <w:sz w:val="22"/>
          <w:lang w:val="es-BO"/>
        </w:rPr>
        <w:t xml:space="preserve"> </w:t>
      </w:r>
      <w:r w:rsidR="009A1926">
        <w:rPr>
          <w:rFonts w:ascii="Arial" w:hAnsi="Arial" w:cs="Arial"/>
          <w:sz w:val="22"/>
          <w:lang w:val="es-BO"/>
        </w:rPr>
        <w:t>et</w:t>
      </w:r>
      <w:r w:rsidR="006265E2">
        <w:rPr>
          <w:rFonts w:ascii="Arial" w:hAnsi="Arial" w:cs="Arial"/>
          <w:sz w:val="22"/>
          <w:lang w:val="es-BO"/>
        </w:rPr>
        <w:t xml:space="preserve"> </w:t>
      </w:r>
      <w:r w:rsidRPr="009A1926">
        <w:rPr>
          <w:rFonts w:ascii="Arial" w:hAnsi="Arial" w:cs="Arial"/>
          <w:sz w:val="22"/>
          <w:lang w:val="es-BO"/>
        </w:rPr>
        <w:t>al.</w:t>
      </w:r>
      <w:r w:rsidR="009A1926">
        <w:rPr>
          <w:rFonts w:ascii="Arial" w:hAnsi="Arial" w:cs="Arial"/>
          <w:sz w:val="22"/>
          <w:lang w:val="es-BO"/>
        </w:rPr>
        <w:t>,</w:t>
      </w:r>
      <w:r w:rsidRPr="009A1926">
        <w:rPr>
          <w:rFonts w:ascii="Arial" w:hAnsi="Arial" w:cs="Arial"/>
          <w:sz w:val="22"/>
          <w:lang w:val="es-BO"/>
        </w:rPr>
        <w:t xml:space="preserve"> </w:t>
      </w:r>
      <w:r w:rsidRPr="00FD70B7">
        <w:rPr>
          <w:rFonts w:ascii="Arial" w:hAnsi="Arial" w:cs="Arial"/>
          <w:sz w:val="22"/>
        </w:rPr>
        <w:t xml:space="preserve">(2026). The role of community assets in tackling UK health inequalities through Community Engagement and partnerships in social prescribing. </w:t>
      </w:r>
      <w:r w:rsidRPr="00FD70B7">
        <w:rPr>
          <w:rFonts w:ascii="Arial" w:hAnsi="Arial" w:cs="Arial"/>
          <w:i/>
          <w:iCs/>
          <w:sz w:val="22"/>
        </w:rPr>
        <w:t>Frontiers in Public Health</w:t>
      </w:r>
      <w:r w:rsidRPr="00FD70B7">
        <w:rPr>
          <w:rFonts w:ascii="Arial" w:hAnsi="Arial" w:cs="Arial"/>
          <w:sz w:val="22"/>
        </w:rPr>
        <w:t>, 14. doi:10.3389/fpubh.2026.1761446.</w:t>
      </w:r>
    </w:p>
    <w:p w14:paraId="1160289F" w14:textId="5341583B" w:rsidR="00FD70B7" w:rsidRPr="00FD70B7" w:rsidRDefault="00FD70B7" w:rsidP="00FD70B7">
      <w:pPr>
        <w:spacing w:after="240" w:line="360" w:lineRule="auto"/>
        <w:rPr>
          <w:rFonts w:ascii="Arial" w:hAnsi="Arial" w:cs="Arial"/>
          <w:sz w:val="22"/>
        </w:rPr>
      </w:pPr>
      <w:r w:rsidRPr="00FD70B7">
        <w:rPr>
          <w:rFonts w:ascii="Arial" w:hAnsi="Arial" w:cs="Arial"/>
          <w:sz w:val="22"/>
        </w:rPr>
        <w:t>Tierney</w:t>
      </w:r>
      <w:r w:rsidR="006265E2">
        <w:rPr>
          <w:rFonts w:ascii="Arial" w:hAnsi="Arial" w:cs="Arial"/>
          <w:sz w:val="22"/>
        </w:rPr>
        <w:t xml:space="preserve"> </w:t>
      </w:r>
      <w:r w:rsidR="009A1926">
        <w:rPr>
          <w:rFonts w:ascii="Arial" w:hAnsi="Arial" w:cs="Arial"/>
          <w:sz w:val="22"/>
        </w:rPr>
        <w:t>et</w:t>
      </w:r>
      <w:r w:rsidR="006265E2">
        <w:rPr>
          <w:rFonts w:ascii="Arial" w:hAnsi="Arial" w:cs="Arial"/>
          <w:sz w:val="22"/>
        </w:rPr>
        <w:t xml:space="preserve"> </w:t>
      </w:r>
      <w:r w:rsidRPr="00FD70B7">
        <w:rPr>
          <w:rFonts w:ascii="Arial" w:hAnsi="Arial" w:cs="Arial"/>
          <w:sz w:val="22"/>
        </w:rPr>
        <w:t>al.</w:t>
      </w:r>
      <w:r w:rsidR="009A1926">
        <w:rPr>
          <w:rFonts w:ascii="Arial" w:hAnsi="Arial" w:cs="Arial"/>
          <w:sz w:val="22"/>
        </w:rPr>
        <w:t>,</w:t>
      </w:r>
      <w:r w:rsidRPr="00FD70B7">
        <w:rPr>
          <w:rFonts w:ascii="Arial" w:hAnsi="Arial" w:cs="Arial"/>
          <w:sz w:val="22"/>
        </w:rPr>
        <w:t xml:space="preserve"> (2020). Supporting social prescribing in primary care by linking people to local assets: A realist review. </w:t>
      </w:r>
      <w:r w:rsidRPr="00FD70B7">
        <w:rPr>
          <w:rFonts w:ascii="Arial" w:hAnsi="Arial" w:cs="Arial"/>
          <w:i/>
          <w:iCs/>
          <w:sz w:val="22"/>
        </w:rPr>
        <w:t>BMC Medicine</w:t>
      </w:r>
      <w:r w:rsidRPr="00FD70B7">
        <w:rPr>
          <w:rFonts w:ascii="Arial" w:hAnsi="Arial" w:cs="Arial"/>
          <w:sz w:val="22"/>
        </w:rPr>
        <w:t>, [online] 18(1). doi:10.1186/s12916-020-1510-7.</w:t>
      </w:r>
    </w:p>
    <w:p w14:paraId="31031A07" w14:textId="7F332C14" w:rsidR="00FD70B7" w:rsidRPr="00FD70B7" w:rsidRDefault="00FD70B7" w:rsidP="00FD70B7">
      <w:pPr>
        <w:spacing w:after="240" w:line="360" w:lineRule="auto"/>
        <w:rPr>
          <w:rFonts w:ascii="Arial" w:hAnsi="Arial" w:cs="Arial"/>
          <w:sz w:val="22"/>
        </w:rPr>
      </w:pPr>
      <w:r w:rsidRPr="00FD70B7">
        <w:rPr>
          <w:rFonts w:ascii="Arial" w:hAnsi="Arial" w:cs="Arial"/>
          <w:sz w:val="22"/>
        </w:rPr>
        <w:t>Wildman</w:t>
      </w:r>
      <w:r w:rsidR="006265E2">
        <w:rPr>
          <w:rFonts w:ascii="Arial" w:hAnsi="Arial" w:cs="Arial"/>
          <w:sz w:val="22"/>
        </w:rPr>
        <w:t xml:space="preserve"> </w:t>
      </w:r>
      <w:r w:rsidR="004C7B19">
        <w:rPr>
          <w:rFonts w:ascii="Arial" w:hAnsi="Arial" w:cs="Arial"/>
          <w:sz w:val="22"/>
        </w:rPr>
        <w:t>et</w:t>
      </w:r>
      <w:r w:rsidR="006265E2">
        <w:rPr>
          <w:rFonts w:ascii="Arial" w:hAnsi="Arial" w:cs="Arial"/>
          <w:sz w:val="22"/>
        </w:rPr>
        <w:t xml:space="preserve"> </w:t>
      </w:r>
      <w:r w:rsidRPr="00FD70B7">
        <w:rPr>
          <w:rFonts w:ascii="Arial" w:hAnsi="Arial" w:cs="Arial"/>
          <w:sz w:val="22"/>
        </w:rPr>
        <w:t>al.</w:t>
      </w:r>
      <w:r w:rsidR="004C7B19">
        <w:rPr>
          <w:rFonts w:ascii="Arial" w:hAnsi="Arial" w:cs="Arial"/>
          <w:sz w:val="22"/>
        </w:rPr>
        <w:t>,</w:t>
      </w:r>
      <w:r w:rsidRPr="00FD70B7">
        <w:rPr>
          <w:rFonts w:ascii="Arial" w:hAnsi="Arial" w:cs="Arial"/>
          <w:sz w:val="22"/>
        </w:rPr>
        <w:t xml:space="preserve"> (2019). Service-users’ perspectives of link worker social prescribing: A qualitative follow-up study. </w:t>
      </w:r>
      <w:r w:rsidRPr="00FD70B7">
        <w:rPr>
          <w:rFonts w:ascii="Arial" w:hAnsi="Arial" w:cs="Arial"/>
          <w:i/>
          <w:iCs/>
          <w:sz w:val="22"/>
        </w:rPr>
        <w:t>BMC Public Health</w:t>
      </w:r>
      <w:r w:rsidRPr="00FD70B7">
        <w:rPr>
          <w:rFonts w:ascii="Arial" w:hAnsi="Arial" w:cs="Arial"/>
          <w:sz w:val="22"/>
        </w:rPr>
        <w:t xml:space="preserve">, </w:t>
      </w:r>
      <w:r w:rsidR="001D7A0F">
        <w:rPr>
          <w:rFonts w:ascii="Arial" w:hAnsi="Arial" w:cs="Arial"/>
          <w:sz w:val="22"/>
        </w:rPr>
        <w:t>(</w:t>
      </w:r>
      <w:r w:rsidRPr="00FD70B7">
        <w:rPr>
          <w:rFonts w:ascii="Arial" w:hAnsi="Arial" w:cs="Arial"/>
          <w:sz w:val="22"/>
        </w:rPr>
        <w:t>online</w:t>
      </w:r>
      <w:r w:rsidR="001D7A0F">
        <w:rPr>
          <w:rFonts w:ascii="Arial" w:hAnsi="Arial" w:cs="Arial"/>
          <w:sz w:val="22"/>
        </w:rPr>
        <w:t>)</w:t>
      </w:r>
      <w:r w:rsidRPr="00FD70B7">
        <w:rPr>
          <w:rFonts w:ascii="Arial" w:hAnsi="Arial" w:cs="Arial"/>
          <w:sz w:val="22"/>
        </w:rPr>
        <w:t xml:space="preserve"> 19(1). doi:10.1186/s12889-018-6349-x.</w:t>
      </w:r>
    </w:p>
    <w:p w14:paraId="7B8F660A" w14:textId="77777777" w:rsidR="00FD70B7" w:rsidRPr="00CD33A8" w:rsidRDefault="00FD70B7" w:rsidP="00CD33A8">
      <w:pPr>
        <w:tabs>
          <w:tab w:val="left" w:pos="6540"/>
        </w:tabs>
        <w:spacing w:line="360" w:lineRule="auto"/>
        <w:rPr>
          <w:rFonts w:asciiTheme="minorBidi" w:hAnsiTheme="minorBidi"/>
          <w:sz w:val="22"/>
        </w:rPr>
      </w:pPr>
    </w:p>
    <w:sectPr w:rsidR="00FD70B7" w:rsidRPr="00CD33A8" w:rsidSect="00E620E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A639D" w14:textId="77777777" w:rsidR="0013087E" w:rsidRDefault="0013087E" w:rsidP="003E4ECF">
      <w:pPr>
        <w:spacing w:after="0" w:line="240" w:lineRule="auto"/>
      </w:pPr>
      <w:r>
        <w:separator/>
      </w:r>
    </w:p>
  </w:endnote>
  <w:endnote w:type="continuationSeparator" w:id="0">
    <w:p w14:paraId="700E023D" w14:textId="77777777" w:rsidR="0013087E" w:rsidRDefault="0013087E"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A6F84" w14:textId="77777777" w:rsidR="0013087E" w:rsidRDefault="0013087E" w:rsidP="003E4ECF">
      <w:pPr>
        <w:spacing w:after="0" w:line="240" w:lineRule="auto"/>
      </w:pPr>
      <w:r>
        <w:separator/>
      </w:r>
    </w:p>
  </w:footnote>
  <w:footnote w:type="continuationSeparator" w:id="0">
    <w:p w14:paraId="7CE94E59" w14:textId="77777777" w:rsidR="0013087E" w:rsidRDefault="0013087E"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1490"/>
    <w:rsid w:val="00013779"/>
    <w:rsid w:val="000171E4"/>
    <w:rsid w:val="00035E87"/>
    <w:rsid w:val="000360DF"/>
    <w:rsid w:val="00047596"/>
    <w:rsid w:val="000516F0"/>
    <w:rsid w:val="000572BF"/>
    <w:rsid w:val="00074402"/>
    <w:rsid w:val="000A5316"/>
    <w:rsid w:val="000B2F57"/>
    <w:rsid w:val="000D06F8"/>
    <w:rsid w:val="000E1609"/>
    <w:rsid w:val="000F38E6"/>
    <w:rsid w:val="001105AC"/>
    <w:rsid w:val="00125B60"/>
    <w:rsid w:val="0013087E"/>
    <w:rsid w:val="00134CC4"/>
    <w:rsid w:val="00141CAB"/>
    <w:rsid w:val="00155A6F"/>
    <w:rsid w:val="00155CCE"/>
    <w:rsid w:val="00157633"/>
    <w:rsid w:val="00167CA7"/>
    <w:rsid w:val="001753AB"/>
    <w:rsid w:val="001770FC"/>
    <w:rsid w:val="0019690D"/>
    <w:rsid w:val="001B22BC"/>
    <w:rsid w:val="001C02ED"/>
    <w:rsid w:val="001C38D2"/>
    <w:rsid w:val="001D427C"/>
    <w:rsid w:val="001D7A0F"/>
    <w:rsid w:val="001D7C03"/>
    <w:rsid w:val="001E4104"/>
    <w:rsid w:val="001F0291"/>
    <w:rsid w:val="002000CA"/>
    <w:rsid w:val="002011B1"/>
    <w:rsid w:val="002126F5"/>
    <w:rsid w:val="00216C85"/>
    <w:rsid w:val="00223BEB"/>
    <w:rsid w:val="00225C25"/>
    <w:rsid w:val="00236A28"/>
    <w:rsid w:val="00245630"/>
    <w:rsid w:val="0026393A"/>
    <w:rsid w:val="0026493C"/>
    <w:rsid w:val="0027312D"/>
    <w:rsid w:val="00273EDD"/>
    <w:rsid w:val="00275428"/>
    <w:rsid w:val="00295358"/>
    <w:rsid w:val="002B08E6"/>
    <w:rsid w:val="002B0D4E"/>
    <w:rsid w:val="002C1776"/>
    <w:rsid w:val="002C3965"/>
    <w:rsid w:val="002D2BAC"/>
    <w:rsid w:val="003108FB"/>
    <w:rsid w:val="003154D9"/>
    <w:rsid w:val="00315ED3"/>
    <w:rsid w:val="00321C4C"/>
    <w:rsid w:val="0033112F"/>
    <w:rsid w:val="0034290A"/>
    <w:rsid w:val="00350B0D"/>
    <w:rsid w:val="00352F81"/>
    <w:rsid w:val="00363F39"/>
    <w:rsid w:val="0037312F"/>
    <w:rsid w:val="00373608"/>
    <w:rsid w:val="00376062"/>
    <w:rsid w:val="0037643F"/>
    <w:rsid w:val="00392BBC"/>
    <w:rsid w:val="0039715F"/>
    <w:rsid w:val="003A2F25"/>
    <w:rsid w:val="003A58E6"/>
    <w:rsid w:val="003A74BE"/>
    <w:rsid w:val="003D07A8"/>
    <w:rsid w:val="003D2BFC"/>
    <w:rsid w:val="003E2BF5"/>
    <w:rsid w:val="003E4ECF"/>
    <w:rsid w:val="003F25F1"/>
    <w:rsid w:val="003F6A80"/>
    <w:rsid w:val="00407B18"/>
    <w:rsid w:val="00413287"/>
    <w:rsid w:val="00415CB2"/>
    <w:rsid w:val="0043091A"/>
    <w:rsid w:val="00431728"/>
    <w:rsid w:val="00433DF2"/>
    <w:rsid w:val="00455207"/>
    <w:rsid w:val="00456E02"/>
    <w:rsid w:val="0046162E"/>
    <w:rsid w:val="00462B26"/>
    <w:rsid w:val="0047243B"/>
    <w:rsid w:val="00481F33"/>
    <w:rsid w:val="004916DD"/>
    <w:rsid w:val="004969B9"/>
    <w:rsid w:val="004A08BF"/>
    <w:rsid w:val="004A736E"/>
    <w:rsid w:val="004B164E"/>
    <w:rsid w:val="004B7757"/>
    <w:rsid w:val="004C3DE8"/>
    <w:rsid w:val="004C7B19"/>
    <w:rsid w:val="004E3DEC"/>
    <w:rsid w:val="004F203C"/>
    <w:rsid w:val="005047BA"/>
    <w:rsid w:val="00505D6D"/>
    <w:rsid w:val="005111DB"/>
    <w:rsid w:val="00515132"/>
    <w:rsid w:val="00531C99"/>
    <w:rsid w:val="00531DDD"/>
    <w:rsid w:val="00537037"/>
    <w:rsid w:val="00545DC5"/>
    <w:rsid w:val="00566AD4"/>
    <w:rsid w:val="00567A93"/>
    <w:rsid w:val="00577691"/>
    <w:rsid w:val="00593A8C"/>
    <w:rsid w:val="005C4BD7"/>
    <w:rsid w:val="005C79F2"/>
    <w:rsid w:val="005D7515"/>
    <w:rsid w:val="005D7E9E"/>
    <w:rsid w:val="005E7485"/>
    <w:rsid w:val="005E7663"/>
    <w:rsid w:val="0062336B"/>
    <w:rsid w:val="00625902"/>
    <w:rsid w:val="006265E2"/>
    <w:rsid w:val="00640B1E"/>
    <w:rsid w:val="00667A29"/>
    <w:rsid w:val="006916C4"/>
    <w:rsid w:val="006925AA"/>
    <w:rsid w:val="00692811"/>
    <w:rsid w:val="006B7FE7"/>
    <w:rsid w:val="006D2C5E"/>
    <w:rsid w:val="006D3872"/>
    <w:rsid w:val="006E05CD"/>
    <w:rsid w:val="006F508C"/>
    <w:rsid w:val="007063FC"/>
    <w:rsid w:val="00725177"/>
    <w:rsid w:val="00727702"/>
    <w:rsid w:val="00732607"/>
    <w:rsid w:val="00777CB1"/>
    <w:rsid w:val="00794837"/>
    <w:rsid w:val="007B22AF"/>
    <w:rsid w:val="007B67A3"/>
    <w:rsid w:val="007B6DF0"/>
    <w:rsid w:val="007C2477"/>
    <w:rsid w:val="007C5F15"/>
    <w:rsid w:val="007D6113"/>
    <w:rsid w:val="007E2D9D"/>
    <w:rsid w:val="007E5E15"/>
    <w:rsid w:val="00803053"/>
    <w:rsid w:val="0080563E"/>
    <w:rsid w:val="00814A9E"/>
    <w:rsid w:val="00816ADA"/>
    <w:rsid w:val="0082752D"/>
    <w:rsid w:val="00831501"/>
    <w:rsid w:val="008458E0"/>
    <w:rsid w:val="00852BCD"/>
    <w:rsid w:val="00853C54"/>
    <w:rsid w:val="00864A66"/>
    <w:rsid w:val="008735D1"/>
    <w:rsid w:val="00885389"/>
    <w:rsid w:val="0088728B"/>
    <w:rsid w:val="0089017A"/>
    <w:rsid w:val="0089073B"/>
    <w:rsid w:val="008B1112"/>
    <w:rsid w:val="008B39EA"/>
    <w:rsid w:val="008B5443"/>
    <w:rsid w:val="008D5514"/>
    <w:rsid w:val="008F1AEF"/>
    <w:rsid w:val="008F32CA"/>
    <w:rsid w:val="0090040D"/>
    <w:rsid w:val="009125E4"/>
    <w:rsid w:val="00916C25"/>
    <w:rsid w:val="00917359"/>
    <w:rsid w:val="00917562"/>
    <w:rsid w:val="00920D97"/>
    <w:rsid w:val="009260EB"/>
    <w:rsid w:val="00961B60"/>
    <w:rsid w:val="00963278"/>
    <w:rsid w:val="00971B24"/>
    <w:rsid w:val="00975946"/>
    <w:rsid w:val="00977361"/>
    <w:rsid w:val="00984047"/>
    <w:rsid w:val="00986B28"/>
    <w:rsid w:val="009A1926"/>
    <w:rsid w:val="009C176F"/>
    <w:rsid w:val="009C1EDA"/>
    <w:rsid w:val="009D052C"/>
    <w:rsid w:val="009D1D1E"/>
    <w:rsid w:val="00A01B0F"/>
    <w:rsid w:val="00A035FD"/>
    <w:rsid w:val="00A152CF"/>
    <w:rsid w:val="00A26DFB"/>
    <w:rsid w:val="00A44F98"/>
    <w:rsid w:val="00A5765C"/>
    <w:rsid w:val="00A72068"/>
    <w:rsid w:val="00A846FF"/>
    <w:rsid w:val="00A95AAB"/>
    <w:rsid w:val="00A95E24"/>
    <w:rsid w:val="00AA7396"/>
    <w:rsid w:val="00AA7D84"/>
    <w:rsid w:val="00AB5F9A"/>
    <w:rsid w:val="00AC46AB"/>
    <w:rsid w:val="00AC7083"/>
    <w:rsid w:val="00AC7BBD"/>
    <w:rsid w:val="00AD3586"/>
    <w:rsid w:val="00AF0303"/>
    <w:rsid w:val="00AF4F10"/>
    <w:rsid w:val="00B0703E"/>
    <w:rsid w:val="00B12B1A"/>
    <w:rsid w:val="00B21D16"/>
    <w:rsid w:val="00B269C9"/>
    <w:rsid w:val="00B335A4"/>
    <w:rsid w:val="00B725C3"/>
    <w:rsid w:val="00B77EA4"/>
    <w:rsid w:val="00B8304B"/>
    <w:rsid w:val="00B860CD"/>
    <w:rsid w:val="00B87E75"/>
    <w:rsid w:val="00BA63DB"/>
    <w:rsid w:val="00BA6920"/>
    <w:rsid w:val="00BC76A9"/>
    <w:rsid w:val="00BD3C33"/>
    <w:rsid w:val="00BD4D89"/>
    <w:rsid w:val="00BE4E85"/>
    <w:rsid w:val="00BE7BC1"/>
    <w:rsid w:val="00BE7F2D"/>
    <w:rsid w:val="00BF47D8"/>
    <w:rsid w:val="00C05175"/>
    <w:rsid w:val="00C06329"/>
    <w:rsid w:val="00C076A9"/>
    <w:rsid w:val="00C2589F"/>
    <w:rsid w:val="00C340EA"/>
    <w:rsid w:val="00C353D6"/>
    <w:rsid w:val="00C43C55"/>
    <w:rsid w:val="00C50406"/>
    <w:rsid w:val="00C572BD"/>
    <w:rsid w:val="00C62C02"/>
    <w:rsid w:val="00C725EA"/>
    <w:rsid w:val="00C93A26"/>
    <w:rsid w:val="00C94F26"/>
    <w:rsid w:val="00CC5272"/>
    <w:rsid w:val="00CD33A8"/>
    <w:rsid w:val="00CD6073"/>
    <w:rsid w:val="00CD7D7A"/>
    <w:rsid w:val="00CE0A60"/>
    <w:rsid w:val="00CE786B"/>
    <w:rsid w:val="00CF0C23"/>
    <w:rsid w:val="00D02F31"/>
    <w:rsid w:val="00D317D0"/>
    <w:rsid w:val="00D66C47"/>
    <w:rsid w:val="00D66DD5"/>
    <w:rsid w:val="00D8454F"/>
    <w:rsid w:val="00D85015"/>
    <w:rsid w:val="00D85589"/>
    <w:rsid w:val="00D87A98"/>
    <w:rsid w:val="00D94E50"/>
    <w:rsid w:val="00DC6FCB"/>
    <w:rsid w:val="00DD6465"/>
    <w:rsid w:val="00DF1FA1"/>
    <w:rsid w:val="00E06D79"/>
    <w:rsid w:val="00E22848"/>
    <w:rsid w:val="00E365BF"/>
    <w:rsid w:val="00E36619"/>
    <w:rsid w:val="00E569FD"/>
    <w:rsid w:val="00E60715"/>
    <w:rsid w:val="00E60A51"/>
    <w:rsid w:val="00E620E7"/>
    <w:rsid w:val="00E82B7B"/>
    <w:rsid w:val="00E8464B"/>
    <w:rsid w:val="00E86F70"/>
    <w:rsid w:val="00EA5E62"/>
    <w:rsid w:val="00EB4D27"/>
    <w:rsid w:val="00EB4FFD"/>
    <w:rsid w:val="00F02D48"/>
    <w:rsid w:val="00F04B21"/>
    <w:rsid w:val="00F07BFE"/>
    <w:rsid w:val="00F122D5"/>
    <w:rsid w:val="00F12769"/>
    <w:rsid w:val="00F45497"/>
    <w:rsid w:val="00F619FE"/>
    <w:rsid w:val="00F632D1"/>
    <w:rsid w:val="00F6408F"/>
    <w:rsid w:val="00F66E1B"/>
    <w:rsid w:val="00F726F9"/>
    <w:rsid w:val="00F801AB"/>
    <w:rsid w:val="00F82D73"/>
    <w:rsid w:val="00F8494F"/>
    <w:rsid w:val="00F95CDA"/>
    <w:rsid w:val="00FB7B14"/>
    <w:rsid w:val="00FC3A70"/>
    <w:rsid w:val="00FD70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94C36863-9177-4955-94D0-A0649E54D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A7396"/>
    <w:pPr>
      <w:keepNext/>
      <w:keepLines/>
      <w:spacing w:before="240" w:after="0" w:line="360" w:lineRule="auto"/>
      <w:outlineLvl w:val="0"/>
    </w:pPr>
    <w:rPr>
      <w:rFonts w:ascii="Arial" w:eastAsiaTheme="majorEastAsia" w:hAnsi="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396"/>
    <w:rPr>
      <w:rFonts w:ascii="Arial" w:eastAsiaTheme="majorEastAsia" w:hAnsi="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Emphasis">
    <w:name w:val="Emphasis"/>
    <w:basedOn w:val="DefaultParagraphFont"/>
    <w:uiPriority w:val="20"/>
    <w:qFormat/>
    <w:rsid w:val="001753AB"/>
    <w:rPr>
      <w:i/>
      <w:iCs/>
    </w:rPr>
  </w:style>
  <w:style w:type="character" w:styleId="Strong">
    <w:name w:val="Strong"/>
    <w:basedOn w:val="DefaultParagraphFont"/>
    <w:uiPriority w:val="22"/>
    <w:qFormat/>
    <w:rsid w:val="001753AB"/>
    <w:rPr>
      <w:b/>
      <w:bCs/>
    </w:rPr>
  </w:style>
  <w:style w:type="paragraph" w:styleId="NormalWeb">
    <w:name w:val="Normal (Web)"/>
    <w:basedOn w:val="Normal"/>
    <w:uiPriority w:val="99"/>
    <w:semiHidden/>
    <w:unhideWhenUsed/>
    <w:rsid w:val="00545DC5"/>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5380</Words>
  <Characters>30671</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Karina Oliveira</cp:lastModifiedBy>
  <cp:revision>2</cp:revision>
  <dcterms:created xsi:type="dcterms:W3CDTF">2026-08-21T15:11:00Z</dcterms:created>
  <dcterms:modified xsi:type="dcterms:W3CDTF">2026-08-21T15:11:00Z</dcterms:modified>
</cp:coreProperties>
</file>