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D4ED2BA" w14:textId="77777777" w:rsidR="0002477E" w:rsidRDefault="0002477E" w:rsidP="0002477E">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Lauren Hallett</w:t>
            </w:r>
          </w:p>
          <w:p w14:paraId="23F6EEBB" w14:textId="77777777" w:rsidR="0002477E" w:rsidRDefault="0002477E" w:rsidP="0002477E">
            <w:pPr>
              <w:overflowPunct/>
              <w:autoSpaceDE/>
              <w:autoSpaceDN/>
              <w:adjustRightInd/>
              <w:ind w:right="-957"/>
              <w:textAlignment w:val="auto"/>
              <w:rPr>
                <w:rFonts w:ascii="Times New Roman" w:hAnsi="Times New Roman" w:cs="Times New Roman"/>
                <w:b/>
                <w:color w:val="auto"/>
                <w:sz w:val="48"/>
              </w:rPr>
            </w:pPr>
          </w:p>
          <w:p w14:paraId="3906E6FB" w14:textId="727C6C8B" w:rsidR="003F3ED9" w:rsidRDefault="0002477E" w:rsidP="0002477E">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w:t>
            </w:r>
            <w:r w:rsidR="003F3ED9" w:rsidRPr="003F3ED9">
              <w:rPr>
                <w:rFonts w:ascii="Times New Roman" w:hAnsi="Times New Roman" w:cs="Times New Roman"/>
                <w:b/>
                <w:color w:val="auto"/>
                <w:sz w:val="48"/>
              </w:rPr>
              <w:t>2328680@student.uwtsd.ac.uk</w:t>
            </w:r>
          </w:p>
          <w:p w14:paraId="523BDB41" w14:textId="77777777" w:rsidR="003F3ED9" w:rsidRDefault="003F3ED9" w:rsidP="0002477E">
            <w:pPr>
              <w:overflowPunct/>
              <w:autoSpaceDE/>
              <w:autoSpaceDN/>
              <w:adjustRightInd/>
              <w:ind w:right="-957"/>
              <w:textAlignment w:val="auto"/>
              <w:rPr>
                <w:rFonts w:ascii="Times New Roman" w:hAnsi="Times New Roman" w:cs="Times New Roman"/>
                <w:b/>
                <w:color w:val="auto"/>
                <w:sz w:val="48"/>
              </w:rPr>
            </w:pPr>
          </w:p>
          <w:p w14:paraId="31EEDCB0" w14:textId="67556621" w:rsidR="0002477E" w:rsidRDefault="0002477E" w:rsidP="0002477E">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33952494" w14:textId="77777777" w:rsidR="0002477E" w:rsidRPr="005D3F07" w:rsidRDefault="0002477E" w:rsidP="0002477E">
            <w:pPr>
              <w:overflowPunct/>
              <w:autoSpaceDE/>
              <w:autoSpaceDN/>
              <w:adjustRightInd/>
              <w:ind w:right="-957"/>
              <w:textAlignment w:val="auto"/>
              <w:rPr>
                <w:rFonts w:ascii="Times New Roman" w:hAnsi="Times New Roman" w:cs="Times New Roman"/>
                <w:b/>
                <w:color w:val="auto"/>
                <w:sz w:val="48"/>
              </w:rPr>
            </w:pPr>
            <w:r w:rsidRPr="000B3959">
              <w:rPr>
                <w:rFonts w:ascii="Times New Roman" w:hAnsi="Times New Roman" w:cs="Times New Roman"/>
                <w:b/>
                <w:color w:val="auto"/>
                <w:sz w:val="48"/>
              </w:rPr>
              <w:t>2328680</w:t>
            </w:r>
          </w:p>
          <w:p w14:paraId="7BA91708" w14:textId="77777777" w:rsidR="0002477E" w:rsidRPr="005D3F07" w:rsidRDefault="0002477E" w:rsidP="0002477E">
            <w:pPr>
              <w:overflowPunct/>
              <w:autoSpaceDE/>
              <w:autoSpaceDN/>
              <w:adjustRightInd/>
              <w:ind w:right="-957"/>
              <w:textAlignment w:val="auto"/>
              <w:rPr>
                <w:rFonts w:ascii="Times New Roman" w:hAnsi="Times New Roman" w:cs="Times New Roman"/>
                <w:b/>
                <w:color w:val="auto"/>
                <w:sz w:val="48"/>
              </w:rPr>
            </w:pPr>
          </w:p>
          <w:p w14:paraId="5F84129B" w14:textId="20E582DF" w:rsidR="0085230E" w:rsidRPr="005D3F07" w:rsidRDefault="0002477E" w:rsidP="0002477E">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66707BB9" w14:textId="2A5D0D07" w:rsidR="006243D9" w:rsidRPr="006243D9" w:rsidRDefault="006243D9" w:rsidP="003F3ED9">
            <w:pPr>
              <w:spacing w:before="240"/>
              <w:rPr>
                <w:sz w:val="24"/>
                <w:szCs w:val="24"/>
              </w:rPr>
            </w:pPr>
            <w:r w:rsidRPr="006243D9">
              <w:rPr>
                <w:sz w:val="24"/>
                <w:szCs w:val="24"/>
              </w:rPr>
              <w:t>The purpose of this piece will be to demonstrate working with complex situations as a registered social worker, considering safeguarding, the law and the rights of the individual. This will examine the pressures of multi-agency working, differing perspectives and the expectations of the individual. I will seek to address how social workers balance the needs and wishes of the individual against the statutory requirements for reporting safeguarding concerns. There are differences when considering safeguarding children and adults and this must be considered when reporting. As the subject of this piece is an adult, I will refer mainly to legislation and processes relating to adults at risk. I will discuss factors affecting the individual and her situation, such as mental health conditions, maternity, custodial sentence and licence, and recidivism. I will also consider external factors, such as the location of the individual, restrictions due to licence and access to amenities like healthcare and community learning opportunities. I will examine peer reviewed journals, legislation, practice guidance and theory to support claims and actions discussed in this piece. I will use the name ‘2’ to maintain anonymity for the subject. This is in line with the guidance provided by Social Care Wales (2026) regarding information relating to an individual and keeping it confidential. This respects the dignity of the individual. Location will be stated as ‘</w:t>
            </w:r>
            <w:proofErr w:type="spellStart"/>
            <w:r w:rsidRPr="006243D9">
              <w:rPr>
                <w:sz w:val="24"/>
                <w:szCs w:val="24"/>
              </w:rPr>
              <w:t>Wales’</w:t>
            </w:r>
            <w:proofErr w:type="spellEnd"/>
            <w:r w:rsidRPr="006243D9">
              <w:rPr>
                <w:sz w:val="24"/>
                <w:szCs w:val="24"/>
              </w:rPr>
              <w:t xml:space="preserve"> </w:t>
            </w:r>
            <w:proofErr w:type="gramStart"/>
            <w:r w:rsidRPr="006243D9">
              <w:rPr>
                <w:sz w:val="24"/>
                <w:szCs w:val="24"/>
              </w:rPr>
              <w:t>in order to</w:t>
            </w:r>
            <w:proofErr w:type="gramEnd"/>
            <w:r w:rsidRPr="006243D9">
              <w:rPr>
                <w:sz w:val="24"/>
                <w:szCs w:val="24"/>
              </w:rPr>
              <w:t xml:space="preserve"> further protect 2’s identity. Information can only be shared </w:t>
            </w:r>
            <w:proofErr w:type="gramStart"/>
            <w:r w:rsidRPr="006243D9">
              <w:rPr>
                <w:sz w:val="24"/>
                <w:szCs w:val="24"/>
              </w:rPr>
              <w:t>in the course of</w:t>
            </w:r>
            <w:proofErr w:type="gramEnd"/>
            <w:r w:rsidRPr="006243D9">
              <w:rPr>
                <w:sz w:val="24"/>
                <w:szCs w:val="24"/>
              </w:rPr>
              <w:t xml:space="preserve"> carrying out my role as a social worker (Social Care Wales, 2026) and therefore everything in this piece must be anonymised. </w:t>
            </w:r>
          </w:p>
          <w:p w14:paraId="04475323" w14:textId="77777777" w:rsidR="006243D9" w:rsidRPr="006243D9" w:rsidRDefault="006243D9" w:rsidP="003F3ED9">
            <w:pPr>
              <w:spacing w:before="240"/>
              <w:jc w:val="both"/>
              <w:rPr>
                <w:sz w:val="24"/>
                <w:szCs w:val="24"/>
              </w:rPr>
            </w:pPr>
            <w:r w:rsidRPr="006243D9">
              <w:rPr>
                <w:sz w:val="24"/>
                <w:szCs w:val="24"/>
              </w:rPr>
              <w:lastRenderedPageBreak/>
              <w:t xml:space="preserve">2 is a woman in her thirties living in a city in Wales. 2 was recently released from custody and lives independently in a flat located within one of the most deprived local authority housing developments (Welsh Government, 2025). It is near to the city centre and does have access to shops, a GP practice and a pharmacy; however, it has a high percentage of prison leavers and lower income households. 2 has reported she is pregnant and is reported to be in her first trimester. 2 has three older children who were removed from her care. 2 has not yet decided whether to go to term with the pregnancy. She came to the attention of adult social services following a referral placed by her probation practitioner into the local authority single point of access team. This information was also shared with colleagues in other professions such as health services to include the midwifery service, police and children’s services </w:t>
            </w:r>
            <w:proofErr w:type="gramStart"/>
            <w:r w:rsidRPr="006243D9">
              <w:rPr>
                <w:sz w:val="24"/>
                <w:szCs w:val="24"/>
              </w:rPr>
              <w:t>in order to</w:t>
            </w:r>
            <w:proofErr w:type="gramEnd"/>
            <w:r w:rsidRPr="006243D9">
              <w:rPr>
                <w:sz w:val="24"/>
                <w:szCs w:val="24"/>
              </w:rPr>
              <w:t xml:space="preserve"> co-ordinate a multi-agency response. Working with diverse stakeholders with differing discourses can be beneficial to safeguarding 2 and her unborn child. This is in line with the guidance for registered social workers and within the social care Wales codes of professional practice (2026),</w:t>
            </w:r>
          </w:p>
          <w:p w14:paraId="3F4D0602" w14:textId="77777777" w:rsidR="006243D9" w:rsidRPr="006243D9" w:rsidRDefault="006243D9" w:rsidP="003F3ED9">
            <w:pPr>
              <w:spacing w:before="240"/>
              <w:jc w:val="both"/>
              <w:rPr>
                <w:i/>
                <w:iCs/>
                <w:sz w:val="24"/>
                <w:szCs w:val="24"/>
              </w:rPr>
            </w:pPr>
            <w:r w:rsidRPr="006243D9">
              <w:rPr>
                <w:i/>
                <w:iCs/>
                <w:sz w:val="24"/>
                <w:szCs w:val="24"/>
              </w:rPr>
              <w:t>‘3.4 work with colleagues and other professionals to promote individuals’ and carers’ well-being, voice and control, using agreed systems, policies and procedures to share information where appropriate’.</w:t>
            </w:r>
          </w:p>
          <w:p w14:paraId="08EC5F95" w14:textId="77777777" w:rsidR="006243D9" w:rsidRPr="006243D9" w:rsidRDefault="006243D9" w:rsidP="003F3ED9">
            <w:pPr>
              <w:spacing w:before="240"/>
              <w:jc w:val="both"/>
              <w:rPr>
                <w:sz w:val="24"/>
                <w:szCs w:val="24"/>
              </w:rPr>
            </w:pPr>
            <w:r w:rsidRPr="006243D9">
              <w:rPr>
                <w:sz w:val="24"/>
                <w:szCs w:val="24"/>
              </w:rPr>
              <w:t xml:space="preserve">Colleagues in health professions are likely working in line with the medical model (Shah and Mountain, 2007) which is based on recovery and the aim to ‘get better’ from an illness, disease or condition. It focuses on rehabilitation. This can at times, contradict the social model (Vargas-Murillo et al, 2025) which recognises social barriers and seeks to remove them or reduce their impact. Despite any differences in approach, the aim of all parties is to support 2 and her unborn child. It could also be noted that no single practitioner has a full view of 2, rather a co-ordinated response provides a clearer view and offers a wider selection of support services. </w:t>
            </w:r>
          </w:p>
          <w:p w14:paraId="6F1B9D56" w14:textId="77777777" w:rsidR="006243D9" w:rsidRPr="006243D9" w:rsidRDefault="006243D9" w:rsidP="003F3ED9">
            <w:pPr>
              <w:spacing w:before="240"/>
              <w:rPr>
                <w:sz w:val="24"/>
                <w:szCs w:val="24"/>
              </w:rPr>
            </w:pPr>
            <w:r w:rsidRPr="006243D9">
              <w:rPr>
                <w:sz w:val="24"/>
                <w:szCs w:val="24"/>
              </w:rPr>
              <w:t xml:space="preserve">The children’s safeguarding team was alerted to the pregnancy as there had been involvement with 2’s older children. It was advised that they would become involved when the pregnancy reached 12 weeks. The unborn child would then have a social worker that would support 2 in making decisions relating to her unborn child. They would also monitor and assess whether it would be suitable for the child, once born, to remain in 2’s care. Child safeguarding differs to adults in that children are mandatory service users, whilst adults aged 18 and over with capacity to make the decision can choose whether to engage with the safeguarding process (Social Services and Well-Being (Wales) Act, 2014). In Wales, Social Services and Well-Being (Wales) Act (2014) has replaced the Care Act (2014). This Act is still in place in England and will be used to safeguard adult individuals there. The Acts differ in that in England there is a separate Act for adults and those under 18 years old. In England the Children Act (1989) will be enacted in safeguarding children. There are also differences in Wales, there is a greater emphasis on co-production and the voice of the individual. This is reflected in the Code of Professional Practice (Social Care Wales, 2026), which focuses on lived experience and the individual as an expert in their own lives. </w:t>
            </w:r>
          </w:p>
          <w:p w14:paraId="116FCDA7" w14:textId="77777777" w:rsidR="006243D9" w:rsidRPr="006243D9" w:rsidRDefault="006243D9" w:rsidP="003F3ED9">
            <w:pPr>
              <w:spacing w:before="240"/>
              <w:rPr>
                <w:sz w:val="24"/>
                <w:szCs w:val="24"/>
              </w:rPr>
            </w:pPr>
            <w:r w:rsidRPr="006243D9">
              <w:rPr>
                <w:sz w:val="24"/>
                <w:szCs w:val="24"/>
              </w:rPr>
              <w:t xml:space="preserve">2 was allocated to this team due to her MAPPA (multi agency public protection arrangements) status as this is the team that works with individuals in custody and MAPPA </w:t>
            </w:r>
            <w:r w:rsidRPr="006243D9">
              <w:rPr>
                <w:sz w:val="24"/>
                <w:szCs w:val="24"/>
              </w:rPr>
              <w:lastRenderedPageBreak/>
              <w:t xml:space="preserve">level 2 individuals in the community. MAPPA is a forum for police, probation and other agencies to discuss the management of violent or sexual offenders (UK Government, 2024). It is a platform for agencies to gather information and </w:t>
            </w:r>
            <w:proofErr w:type="spellStart"/>
            <w:r w:rsidRPr="006243D9">
              <w:rPr>
                <w:sz w:val="24"/>
                <w:szCs w:val="24"/>
              </w:rPr>
              <w:t>feed back</w:t>
            </w:r>
            <w:proofErr w:type="spellEnd"/>
            <w:r w:rsidRPr="006243D9">
              <w:rPr>
                <w:sz w:val="24"/>
                <w:szCs w:val="24"/>
              </w:rPr>
              <w:t xml:space="preserve"> any actions completed, possible risks and progress. MAPPA individuals will have an in-depth risk assessment, detailing risk to certain groups such as “children”, “named adults” or “staff”. This is </w:t>
            </w:r>
            <w:proofErr w:type="gramStart"/>
            <w:r w:rsidRPr="006243D9">
              <w:rPr>
                <w:sz w:val="24"/>
                <w:szCs w:val="24"/>
              </w:rPr>
              <w:t>in order to</w:t>
            </w:r>
            <w:proofErr w:type="gramEnd"/>
            <w:r w:rsidRPr="006243D9">
              <w:rPr>
                <w:sz w:val="24"/>
                <w:szCs w:val="24"/>
              </w:rPr>
              <w:t xml:space="preserve"> protect different groups of people and inform any staff working with the individual of potential risks associated with that individual. It acknowledges that the individual’s behaviour and risk is nuanced, being different in specific situations. Lundrigan et al (2024) suggest that MAPPA managed individuals experience lower levels of recidivism than if they were not MAPPA managed. This supports the notion that MAPPA can contribute to a safer society with less criminal activity; therefore, creating fewer victims. However, the high level of surveillance and mandatory engagement with services may be contradictory to person-centred care provided by adult social services. It may not correlate with anti-oppressive practice (</w:t>
            </w:r>
            <w:proofErr w:type="spellStart"/>
            <w:r w:rsidRPr="006243D9">
              <w:rPr>
                <w:sz w:val="24"/>
                <w:szCs w:val="24"/>
              </w:rPr>
              <w:t>Tedam</w:t>
            </w:r>
            <w:proofErr w:type="spellEnd"/>
            <w:r w:rsidRPr="006243D9">
              <w:rPr>
                <w:sz w:val="24"/>
                <w:szCs w:val="24"/>
              </w:rPr>
              <w:t xml:space="preserve">, 2020) usually seen in social work, meaning that social workers will seek to address power imbalances and overcome barriers with individuals. MAPPA managed individuals are often subject to restrictions such as curfews, no-contact license conditions and exclusion zones. This can create more barriers for the individual including not being able to have contact with family members, restrictions on types of work they can undertake, and hours confined to their home. There is also enhanced monitoring. Following this, information continued to be shared in confidential meetings, password protected documents and confidential emails. Care was taken to protect 2’s data in line with Data Protection Act (2018). This is also highlighted in the Code of Professional Practice (Social Care Wales, 2026) section 2, stating that social workers must only access confidential information to carry out the role. </w:t>
            </w:r>
          </w:p>
          <w:p w14:paraId="0931383E" w14:textId="77777777" w:rsidR="006243D9" w:rsidRPr="006243D9" w:rsidRDefault="006243D9" w:rsidP="003F3ED9">
            <w:pPr>
              <w:spacing w:before="240"/>
              <w:rPr>
                <w:sz w:val="24"/>
                <w:szCs w:val="24"/>
              </w:rPr>
            </w:pPr>
            <w:r w:rsidRPr="006243D9">
              <w:rPr>
                <w:sz w:val="24"/>
                <w:szCs w:val="24"/>
              </w:rPr>
              <w:t>On meeting 2, it was important to offer a service in Welsh under the More Than Just Words initiative (CIW, 2023) as 2 was resident in Wales at the time. This is an initiative to ensure that a service can be provided in Welsh and be equivalent to the English language service. This acknowledges the bilingual nature of working in Wales with Welsh individuals. 2 prefers English as she does not speak fluent Welsh. This may be particularly important in individuals diagnosed with ADHD (</w:t>
            </w:r>
            <w:proofErr w:type="spellStart"/>
            <w:r w:rsidRPr="006243D9">
              <w:rPr>
                <w:sz w:val="24"/>
                <w:szCs w:val="24"/>
              </w:rPr>
              <w:t>Matinussen</w:t>
            </w:r>
            <w:proofErr w:type="spellEnd"/>
            <w:r w:rsidRPr="006243D9">
              <w:rPr>
                <w:sz w:val="24"/>
                <w:szCs w:val="24"/>
              </w:rPr>
              <w:t xml:space="preserve"> and Tannock, 2006) as the executive dysfunction and memory components can be detrimental to additional language learning. This makes it more difficult for this with this neurodiverse diagnosis to learn a new </w:t>
            </w:r>
            <w:proofErr w:type="gramStart"/>
            <w:r w:rsidRPr="006243D9">
              <w:rPr>
                <w:sz w:val="24"/>
                <w:szCs w:val="24"/>
              </w:rPr>
              <w:t>language, and</w:t>
            </w:r>
            <w:proofErr w:type="gramEnd"/>
            <w:r w:rsidRPr="006243D9">
              <w:rPr>
                <w:sz w:val="24"/>
                <w:szCs w:val="24"/>
              </w:rPr>
              <w:t xml:space="preserve"> use it in conversation. </w:t>
            </w:r>
          </w:p>
          <w:p w14:paraId="40475B52" w14:textId="77777777" w:rsidR="006243D9" w:rsidRPr="006243D9" w:rsidRDefault="006243D9" w:rsidP="003F3ED9">
            <w:pPr>
              <w:spacing w:before="240"/>
              <w:rPr>
                <w:sz w:val="24"/>
                <w:szCs w:val="24"/>
              </w:rPr>
            </w:pPr>
            <w:r w:rsidRPr="006243D9">
              <w:rPr>
                <w:sz w:val="24"/>
                <w:szCs w:val="24"/>
              </w:rPr>
              <w:t>2 secured housing in her home area but felt at risk in that property and therefore was difficult to engage at home. She had reported harassment and an arson attempt. These were reported to the prison link housing team for the local authority. A home visit was arranged but not attended by 2 on separate occasions; therefore, a home visit has not been possible. This could be reflective of the suspicion that she is not staying at her address overnight. As read above, she lives alone and independently in local authority temporary accommodation. We met at the probation office with her probation practitioner with the purpose of completing an assessment under Social Services and Well-Being (Wales) Act (2014), this assessment being a “what matters to you” conversation. This conversation is broken down into sections for necessary information about the individual such as age, personal circumstance and current barriers, what solutions they would like to see, information about personal connections, and strengths and current levels of functioning. This is seen as a strengths-</w:t>
            </w:r>
            <w:r w:rsidRPr="006243D9">
              <w:rPr>
                <w:sz w:val="24"/>
                <w:szCs w:val="24"/>
              </w:rPr>
              <w:lastRenderedPageBreak/>
              <w:t>based approach (</w:t>
            </w:r>
            <w:proofErr w:type="spellStart"/>
            <w:r w:rsidRPr="006243D9">
              <w:rPr>
                <w:sz w:val="24"/>
                <w:szCs w:val="24"/>
              </w:rPr>
              <w:t>Caiels</w:t>
            </w:r>
            <w:proofErr w:type="spellEnd"/>
            <w:r w:rsidRPr="006243D9">
              <w:rPr>
                <w:sz w:val="24"/>
                <w:szCs w:val="24"/>
              </w:rPr>
              <w:t xml:space="preserve"> et al, 2021) which seeks to use the strengths of the individual to overcome barriers and promote independence rather than deskilling an individual. A </w:t>
            </w:r>
            <w:proofErr w:type="gramStart"/>
            <w:r w:rsidRPr="006243D9">
              <w:rPr>
                <w:sz w:val="24"/>
                <w:szCs w:val="24"/>
              </w:rPr>
              <w:t>strengths based</w:t>
            </w:r>
            <w:proofErr w:type="gramEnd"/>
            <w:r w:rsidRPr="006243D9">
              <w:rPr>
                <w:sz w:val="24"/>
                <w:szCs w:val="24"/>
              </w:rPr>
              <w:t xml:space="preserve"> approach will examine the qualities an individual holds, and rather than looking from a perspective of deficits seeks to empower the individual. </w:t>
            </w:r>
          </w:p>
          <w:p w14:paraId="0C87267E" w14:textId="77777777" w:rsidR="006243D9" w:rsidRPr="006243D9" w:rsidRDefault="006243D9" w:rsidP="003F3ED9">
            <w:pPr>
              <w:spacing w:before="240"/>
              <w:rPr>
                <w:sz w:val="24"/>
                <w:szCs w:val="24"/>
              </w:rPr>
            </w:pPr>
            <w:r w:rsidRPr="006243D9">
              <w:rPr>
                <w:sz w:val="24"/>
                <w:szCs w:val="24"/>
              </w:rPr>
              <w:t xml:space="preserve">As a result of the assessment, it was identified that 2 had ongoing eligible care and support needs in terms of her mental health, substance misuse and access to healthcare services, including antenatal care for her unborn baby. On speaking with 2 and having a “what matters to you” conversation, it arose that 2 was not registered with a GP and she requested support with this task. This supported 2 in taking control of her life in being involved in how she wished to be supported and listening to her voice (Social Care Wales, 2026). This reflects theory around listening to the lived experience of those we support and viewing them as an expert in their own lives (Howells et al, 2023). This demonstrates person centred care, ensuring any actions taken are </w:t>
            </w:r>
            <w:proofErr w:type="gramStart"/>
            <w:r w:rsidRPr="006243D9">
              <w:rPr>
                <w:sz w:val="24"/>
                <w:szCs w:val="24"/>
              </w:rPr>
              <w:t>in order to</w:t>
            </w:r>
            <w:proofErr w:type="gramEnd"/>
            <w:r w:rsidRPr="006243D9">
              <w:rPr>
                <w:sz w:val="24"/>
                <w:szCs w:val="24"/>
              </w:rPr>
              <w:t xml:space="preserve"> support and protect the individual. This action supported 2 with ongoing healthcare and referrals to other health agencies. The assessment also indicated that there was a need for ongoing multi-agency communication regarding the needs and safeguarding of her unborn baby. </w:t>
            </w:r>
          </w:p>
          <w:p w14:paraId="37DC711D" w14:textId="77777777" w:rsidR="006243D9" w:rsidRPr="006243D9" w:rsidRDefault="006243D9" w:rsidP="003F3ED9">
            <w:pPr>
              <w:spacing w:before="240"/>
              <w:rPr>
                <w:sz w:val="24"/>
                <w:szCs w:val="24"/>
              </w:rPr>
            </w:pPr>
            <w:r w:rsidRPr="006243D9">
              <w:rPr>
                <w:sz w:val="24"/>
                <w:szCs w:val="24"/>
              </w:rPr>
              <w:t xml:space="preserve">An adult at risk is defined as an individual aged 18 or over who is experiencing or at risk of experiencing abuse or neglect, has need for care and support and as a result of those needs is unable to prevent the abuse or neglect (Social Services and Well-Being (Wales) Act, 2014, Social Care Wales, no date noted). The abuse can be categorised as physical, emotional, sexual or financial. The abuse or neglect does not need to be occurring, rather there is a risk of this. By applying this definition and considering 2’s current circumstances, history and information from partner agencies, 2 did not meet the criteria for being an adult at risk. It is necessary for practitioners to recognise the signs of abuse and neglect. </w:t>
            </w:r>
            <w:proofErr w:type="spellStart"/>
            <w:r w:rsidRPr="006243D9">
              <w:rPr>
                <w:sz w:val="24"/>
                <w:szCs w:val="24"/>
              </w:rPr>
              <w:t>Geçdi</w:t>
            </w:r>
            <w:proofErr w:type="spellEnd"/>
            <w:r w:rsidRPr="006243D9">
              <w:rPr>
                <w:sz w:val="24"/>
                <w:szCs w:val="24"/>
              </w:rPr>
              <w:t xml:space="preserve"> and </w:t>
            </w:r>
            <w:proofErr w:type="spellStart"/>
            <w:r w:rsidRPr="006243D9">
              <w:rPr>
                <w:sz w:val="24"/>
                <w:szCs w:val="24"/>
              </w:rPr>
              <w:t>Tanrıverdi</w:t>
            </w:r>
            <w:proofErr w:type="spellEnd"/>
            <w:r w:rsidRPr="006243D9">
              <w:rPr>
                <w:sz w:val="24"/>
                <w:szCs w:val="24"/>
              </w:rPr>
              <w:t xml:space="preserve"> (2026) discuss professional’s knowledge of the signs of abuse and neglect, such as being unkempt, malodourous, withdrawn or disengaging from services. It is therefore recommended that practitioners receive ongoing training throughout their careers. Had 2 met the criteria, this would have triggered the need for a referral to the local authority’s adult safeguarding team under Social Services and Well-Being (Wales) Act (2014), part 7. This would be </w:t>
            </w:r>
            <w:proofErr w:type="gramStart"/>
            <w:r w:rsidRPr="006243D9">
              <w:rPr>
                <w:sz w:val="24"/>
                <w:szCs w:val="24"/>
              </w:rPr>
              <w:t>in order for</w:t>
            </w:r>
            <w:proofErr w:type="gramEnd"/>
            <w:r w:rsidRPr="006243D9">
              <w:rPr>
                <w:sz w:val="24"/>
                <w:szCs w:val="24"/>
              </w:rPr>
              <w:t xml:space="preserve"> the team to assess 2 and action all safeguarding concerns relating to 2. </w:t>
            </w:r>
          </w:p>
          <w:p w14:paraId="1EEC2800" w14:textId="77777777" w:rsidR="006243D9" w:rsidRPr="006243D9" w:rsidRDefault="006243D9" w:rsidP="003F3ED9">
            <w:pPr>
              <w:spacing w:before="240"/>
              <w:rPr>
                <w:sz w:val="24"/>
                <w:szCs w:val="24"/>
              </w:rPr>
            </w:pPr>
            <w:r w:rsidRPr="006243D9">
              <w:rPr>
                <w:sz w:val="24"/>
                <w:szCs w:val="24"/>
              </w:rPr>
              <w:t xml:space="preserve">Due to 2’s lack of engagement, there are concerns about her safety and wellbeing. It is not known where 2 is staying overnight. This could present a risk to her wellbeing if she is staying with drug users or the victim of her offense. It is possible that 2 could be at risk of domestic abuse (Hilder, 2016). Domestic abuse is defined as behaviour that is abusive from one person to another that are “personally connected” and aged 16 or over (Domestic Abuse Act, 2021). Cook and Harris (1995) discuss the phenomenon of bi-directional domestic abuse. This means that the individuals in the relationship will often be abusive, physically, emotionally, sexually or financially, towards each other rather than there being one perpetrator and a victim. The article discusses how this can sometimes be a result of a retaliation or self-defence from the victim. 2 has been convicted of offenses with stalking behaviours and therefore may be at risk of abuse. There is suspicion from the probation practitioner that 2 is in contact with her victim and that he may be the father of her unborn baby. Though these may seem like unwise decisions, as 2 is risking breaching her licence </w:t>
            </w:r>
            <w:r w:rsidRPr="006243D9">
              <w:rPr>
                <w:sz w:val="24"/>
                <w:szCs w:val="24"/>
              </w:rPr>
              <w:lastRenderedPageBreak/>
              <w:t xml:space="preserve">conditions and therefore being recalled to custody, we cannot assume that 2 does not have capacity to make these decisions (Social Care Wales, 2026). Thornton (2011) explains that a person should not be deemed to not have capacity just because they make an unwise decision. This is in line with the Mental Capacity Act (2005) and protects individuals’ right to autonomy and to choose how to live their lives. It is necessary, therefore, for social workers to be aware of the signs of domestic abuse. These can be </w:t>
            </w:r>
            <w:proofErr w:type="gramStart"/>
            <w:r w:rsidRPr="006243D9">
              <w:rPr>
                <w:sz w:val="24"/>
                <w:szCs w:val="24"/>
              </w:rPr>
              <w:t>similar to</w:t>
            </w:r>
            <w:proofErr w:type="gramEnd"/>
            <w:r w:rsidRPr="006243D9">
              <w:rPr>
                <w:sz w:val="24"/>
                <w:szCs w:val="24"/>
              </w:rPr>
              <w:t xml:space="preserve"> the signs of abuse and neglect in general such as bruises or lack of engagement; however, there can be other signs such as wearing heavy makeup to cover injuries, being withdrawn and dressing differently (Pearce, 2017, Thames Valley Police, no date). Coercive control may be more covert; however, dressing differently and being withdrawn can be signs of this along with being signs of physical, sexual or financial abuse. </w:t>
            </w:r>
          </w:p>
          <w:p w14:paraId="64C73FE5" w14:textId="77777777" w:rsidR="006243D9" w:rsidRPr="006243D9" w:rsidRDefault="006243D9" w:rsidP="003F3ED9">
            <w:pPr>
              <w:spacing w:before="240"/>
              <w:rPr>
                <w:sz w:val="24"/>
                <w:szCs w:val="24"/>
              </w:rPr>
            </w:pPr>
            <w:r w:rsidRPr="006243D9">
              <w:rPr>
                <w:sz w:val="24"/>
                <w:szCs w:val="24"/>
              </w:rPr>
              <w:t xml:space="preserve">2 was convicted of stalking and therefore posed a risk to named adults. 2 also did not have a phone and did not wish to have one. 2 required two members of staff due to risk posed to staff. 2 is a MAPPA level 2 individual. 2 is on license with probation due to her recent release from custody. </w:t>
            </w:r>
          </w:p>
          <w:p w14:paraId="4AEB215D" w14:textId="77777777" w:rsidR="006243D9" w:rsidRPr="006243D9" w:rsidRDefault="006243D9" w:rsidP="003F3ED9">
            <w:pPr>
              <w:spacing w:before="240"/>
              <w:rPr>
                <w:sz w:val="24"/>
                <w:szCs w:val="24"/>
              </w:rPr>
            </w:pPr>
            <w:r w:rsidRPr="006243D9">
              <w:rPr>
                <w:sz w:val="24"/>
                <w:szCs w:val="24"/>
              </w:rPr>
              <w:t xml:space="preserve">Due to concerns that 2 is pregnant, children’s services are also involved with this individual to provide support and safeguard 2’s unborn baby (Social Services and Well-Being (Wales) Act, 2014). The Social Services and Well-being (Wales) Act (2014), section 128, places a duty on practitioners and relevant partners under section 162 to report both adults and children, including unborn children, when there is reasonable cause to suspect they are at risk of harm. 2 has previously had three children removed from her care. One is under a special guardianship order and resides with maternal family as the caregiver. No contact is currently permitted or deemed appropriate. Family courts may put orders in place to prevent contact if there is evidence that contact with the parent may have a negative effect on the child’s wellbeing. Family courts have the power to remove a child under </w:t>
            </w:r>
            <w:proofErr w:type="gramStart"/>
            <w:r w:rsidRPr="006243D9">
              <w:rPr>
                <w:sz w:val="24"/>
                <w:szCs w:val="24"/>
              </w:rPr>
              <w:t>a number of</w:t>
            </w:r>
            <w:proofErr w:type="gramEnd"/>
            <w:r w:rsidRPr="006243D9">
              <w:rPr>
                <w:sz w:val="24"/>
                <w:szCs w:val="24"/>
              </w:rPr>
              <w:t xml:space="preserve"> orders, including care orders, supervision orders and emergency protection orders (Cafcass, no date). </w:t>
            </w:r>
          </w:p>
          <w:p w14:paraId="396BB936" w14:textId="77777777" w:rsidR="006243D9" w:rsidRPr="006243D9" w:rsidRDefault="006243D9" w:rsidP="003F3ED9">
            <w:pPr>
              <w:spacing w:before="240"/>
              <w:rPr>
                <w:sz w:val="24"/>
                <w:szCs w:val="24"/>
              </w:rPr>
            </w:pPr>
            <w:r w:rsidRPr="006243D9">
              <w:rPr>
                <w:sz w:val="24"/>
                <w:szCs w:val="24"/>
              </w:rPr>
              <w:t xml:space="preserve">There are also concerns that 2 is potentially having contact with the child under the special guardianship order. This has been reported to the children’s team and is under investigation. This is potentially detrimental to the child and therefore must be actioned appropriately (Welsh Government, no date noted). On the other hand, it is important to listen to the voice of the individual and respect her right to family life under section 8 Human Rights Act (1998) and United Nations Universal Declaration of Human Rights (1948). This means that 2 has the innate right to maintain connections with her close relatives and enjoy a bond with her family. 2 has a good relationship with her mother, who is supportive. It is thought that family ties support an individual to remain out of custody (De Claire and Dixon, 2017, Booth et al, 2025). These factors must be balanced </w:t>
            </w:r>
            <w:proofErr w:type="gramStart"/>
            <w:r w:rsidRPr="006243D9">
              <w:rPr>
                <w:sz w:val="24"/>
                <w:szCs w:val="24"/>
              </w:rPr>
              <w:t>in order to</w:t>
            </w:r>
            <w:proofErr w:type="gramEnd"/>
            <w:r w:rsidRPr="006243D9">
              <w:rPr>
                <w:sz w:val="24"/>
                <w:szCs w:val="24"/>
              </w:rPr>
              <w:t xml:space="preserve"> find an outcome that both protects the unborn child and upholds the rights of the mother. Having reviewed agency records that indicated markers for domestic abuse, substance misuse and risks to staff, it was necessary to report any pregnancy to children’s services. This also informed my actions regarding personal safety, such as visiting with a second member of staff. I discussed these concerns with my mentor/supervisor and raised concerns around balancing 2’s autonomy and the need to safeguard her unborn child. This highlighted an ethical dilemma in being conscious of respecting 2’s right to privacy and autonomy (Human Rights Act, 1998). It also considers </w:t>
            </w:r>
            <w:r w:rsidRPr="006243D9">
              <w:rPr>
                <w:sz w:val="24"/>
                <w:szCs w:val="24"/>
              </w:rPr>
              <w:lastRenderedPageBreak/>
              <w:t xml:space="preserve">her right to support as reporting would enable her to access this (Social Services and Well Being (Wales) Act, 2014). I reflected on how these laws and guidelines balance these rights and protections. Use of supervision and support from a mentor in social work practice and education provides the practitioner with guidance from a more experienced social worker. This is an opportunity for the newer practitioner to reflect on cases and use the knowledge of those who may have experienced similar cases, whilst recognising the nuance and differences of </w:t>
            </w:r>
            <w:proofErr w:type="gramStart"/>
            <w:r w:rsidRPr="006243D9">
              <w:rPr>
                <w:sz w:val="24"/>
                <w:szCs w:val="24"/>
              </w:rPr>
              <w:t>each individual</w:t>
            </w:r>
            <w:proofErr w:type="gramEnd"/>
            <w:r w:rsidRPr="006243D9">
              <w:rPr>
                <w:sz w:val="24"/>
                <w:szCs w:val="24"/>
              </w:rPr>
              <w:t xml:space="preserve"> (</w:t>
            </w:r>
            <w:proofErr w:type="spellStart"/>
            <w:r w:rsidRPr="006243D9">
              <w:rPr>
                <w:sz w:val="24"/>
                <w:szCs w:val="24"/>
              </w:rPr>
              <w:t>Kadoushin</w:t>
            </w:r>
            <w:proofErr w:type="spellEnd"/>
            <w:r w:rsidRPr="006243D9">
              <w:rPr>
                <w:sz w:val="24"/>
                <w:szCs w:val="24"/>
              </w:rPr>
              <w:t xml:space="preserve"> and Harkness, 2014). This provides a platform to explore ideas and solutions, discuss interventions and evaluate what is going well and what requires attention and improvement.</w:t>
            </w:r>
          </w:p>
          <w:p w14:paraId="74AD30F1" w14:textId="77777777" w:rsidR="006243D9" w:rsidRPr="006243D9" w:rsidRDefault="006243D9" w:rsidP="003F3ED9">
            <w:pPr>
              <w:spacing w:before="240"/>
              <w:rPr>
                <w:sz w:val="24"/>
                <w:szCs w:val="24"/>
              </w:rPr>
            </w:pPr>
            <w:r w:rsidRPr="006243D9">
              <w:rPr>
                <w:sz w:val="24"/>
                <w:szCs w:val="24"/>
              </w:rPr>
              <w:t xml:space="preserve">2 is diagnosed with personality disorder and has a neurodivergent diagnosis. This is consistent with the findings from the Corston Report (2007) that explains that 50% of the incarcerated women interviewed for the study were diagnosed with a personality disorder. The report notes the differences between the male and female secure estate, highlighting that though there is a high instance of mental health conditions across both genders (as recognised by His Majesty’s Prison and Probation Service (HMPPS)), female prisoners tend to have a higher rate of mental health concerns and diagnoses. When supporting 2, it is important to consider her mental health and how this may </w:t>
            </w:r>
            <w:proofErr w:type="gramStart"/>
            <w:r w:rsidRPr="006243D9">
              <w:rPr>
                <w:sz w:val="24"/>
                <w:szCs w:val="24"/>
              </w:rPr>
              <w:t>have an effect on</w:t>
            </w:r>
            <w:proofErr w:type="gramEnd"/>
            <w:r w:rsidRPr="006243D9">
              <w:rPr>
                <w:sz w:val="24"/>
                <w:szCs w:val="24"/>
              </w:rPr>
              <w:t xml:space="preserve"> her wellbeing. It is also important to remember that 2 is neurodiverse and there may be certain communication needs. I researched communication skills needed when interacting with those with ADHD (attention deficit hyperactivity disorder) (Ahmann and </w:t>
            </w:r>
            <w:proofErr w:type="spellStart"/>
            <w:r w:rsidRPr="006243D9">
              <w:rPr>
                <w:sz w:val="24"/>
                <w:szCs w:val="24"/>
              </w:rPr>
              <w:t>Saviet</w:t>
            </w:r>
            <w:proofErr w:type="spellEnd"/>
            <w:r w:rsidRPr="006243D9">
              <w:rPr>
                <w:sz w:val="24"/>
                <w:szCs w:val="24"/>
              </w:rPr>
              <w:t xml:space="preserve">, 2019) and discussed with my mentor comparing the best communication style to support 2 within the safeguarding process. This is in line with the Equality Act (2010) and intersects safeguarding by making reasonable adjustments so 2 can understand any care or safety plans moving forward. It is recommended that shorter sentences and less complex language is used in communicating with individuals with ADHD. It is recommended that social workers use the correct and necessary communication skills </w:t>
            </w:r>
            <w:proofErr w:type="gramStart"/>
            <w:r w:rsidRPr="006243D9">
              <w:rPr>
                <w:sz w:val="24"/>
                <w:szCs w:val="24"/>
              </w:rPr>
              <w:t>in order to</w:t>
            </w:r>
            <w:proofErr w:type="gramEnd"/>
            <w:r w:rsidRPr="006243D9">
              <w:rPr>
                <w:sz w:val="24"/>
                <w:szCs w:val="24"/>
              </w:rPr>
              <w:t xml:space="preserve"> build trust with the individual and ease in interactions. </w:t>
            </w:r>
            <w:proofErr w:type="spellStart"/>
            <w:r w:rsidRPr="006243D9">
              <w:rPr>
                <w:sz w:val="24"/>
                <w:szCs w:val="24"/>
              </w:rPr>
              <w:t>Chaudior</w:t>
            </w:r>
            <w:proofErr w:type="spellEnd"/>
            <w:r w:rsidRPr="006243D9">
              <w:rPr>
                <w:sz w:val="24"/>
                <w:szCs w:val="24"/>
              </w:rPr>
              <w:t xml:space="preserve"> and Quinn (2010) discuss how trust in social services can lead to future disclosures being made. An advocate can also assist with communication difficulties.</w:t>
            </w:r>
          </w:p>
          <w:p w14:paraId="333B9612" w14:textId="77777777" w:rsidR="006243D9" w:rsidRPr="006243D9" w:rsidRDefault="006243D9" w:rsidP="003F3ED9">
            <w:pPr>
              <w:spacing w:before="240"/>
              <w:rPr>
                <w:sz w:val="24"/>
                <w:szCs w:val="24"/>
              </w:rPr>
            </w:pPr>
            <w:r w:rsidRPr="006243D9">
              <w:rPr>
                <w:sz w:val="24"/>
                <w:szCs w:val="24"/>
              </w:rPr>
              <w:t>2 was offered an advocate to support her express her views, she declined. An advocate can be offered to an individual to support with voicing their opinions and wishes. This is in line with the Code of Professional Practice (Social Care Wales, 2026). It is imperative that the individual is heard and their wishes considered. Social Care Wales (2025) describes an advocate as support for individuals who find it challenging to express their views and wishes. If 2 had requested an advocate, this would be supplied via an organisation independent of the local authority and NHS (National Health Service). The advocate would have met with 2 and discussed their views on the situation and would support her to voice her concerns and needs. This may further support those with neurodiversity needs with their communication.</w:t>
            </w:r>
          </w:p>
          <w:p w14:paraId="0FF90895" w14:textId="77777777" w:rsidR="006243D9" w:rsidRPr="006243D9" w:rsidRDefault="006243D9" w:rsidP="003F3ED9">
            <w:pPr>
              <w:spacing w:before="240"/>
              <w:rPr>
                <w:sz w:val="24"/>
                <w:szCs w:val="24"/>
              </w:rPr>
            </w:pPr>
          </w:p>
          <w:p w14:paraId="5FCB0003" w14:textId="77777777" w:rsidR="006243D9" w:rsidRPr="006243D9" w:rsidRDefault="006243D9" w:rsidP="003F3ED9">
            <w:pPr>
              <w:spacing w:before="240"/>
              <w:rPr>
                <w:sz w:val="24"/>
                <w:szCs w:val="24"/>
              </w:rPr>
            </w:pPr>
            <w:r w:rsidRPr="006243D9">
              <w:rPr>
                <w:sz w:val="24"/>
                <w:szCs w:val="24"/>
              </w:rPr>
              <w:t xml:space="preserve">In practising social work, it is important to work in a person-centred and anti-oppressive manner (Washburn and Grossman, 2017, </w:t>
            </w:r>
            <w:proofErr w:type="spellStart"/>
            <w:r w:rsidRPr="006243D9">
              <w:rPr>
                <w:sz w:val="24"/>
                <w:szCs w:val="24"/>
              </w:rPr>
              <w:t>Tedam</w:t>
            </w:r>
            <w:proofErr w:type="spellEnd"/>
            <w:r w:rsidRPr="006243D9">
              <w:rPr>
                <w:sz w:val="24"/>
                <w:szCs w:val="24"/>
              </w:rPr>
              <w:t xml:space="preserve">, 2020). This is paramount when attempting to safeguard the individual. It is important to </w:t>
            </w:r>
            <w:proofErr w:type="gramStart"/>
            <w:r w:rsidRPr="006243D9">
              <w:rPr>
                <w:sz w:val="24"/>
                <w:szCs w:val="24"/>
              </w:rPr>
              <w:t>remember at all times</w:t>
            </w:r>
            <w:proofErr w:type="gramEnd"/>
            <w:r w:rsidRPr="006243D9">
              <w:rPr>
                <w:sz w:val="24"/>
                <w:szCs w:val="24"/>
              </w:rPr>
              <w:t xml:space="preserve"> in practising </w:t>
            </w:r>
            <w:r w:rsidRPr="006243D9">
              <w:rPr>
                <w:sz w:val="24"/>
                <w:szCs w:val="24"/>
              </w:rPr>
              <w:lastRenderedPageBreak/>
              <w:t xml:space="preserve">social work that safeguarding is prioritised above all other matters, such as maintaining rapport or considering the outcome the individual may have wanted. This demonstrates why managing expectations can be integral to a good professional social work relationship. Working in a multi-agency team provides the best chance for safeguarding an individual (Social Care Wales, 2026). MAPPA is a unique platform offering this opportunity. There can be tensions in working with other agencies as other stakeholders will have differing agendas, for example, police may have a more punitive and public protection view of the individual, whilst health colleagues come from a recovery model perspective (Engels, 1977). In building a rapport and listening to the voice of the individual, trust can be built and this creates an opportunity for the individual to make disclosures. It is necessary to communicate with the individual as they require; this may be a language preference, due to a neurodiversity need or other requirement. Disability needs are protected under the Equality Act (2010) which explains the requirement for reasonable adjustments. However, it safeguarding is paramount and it is imperative that any safeguarding concerns are reported to the relevant local authority department despite the negative impact this may have on a relationship with an individual. Human rights (United Nations, 1948, Human Rights Act, 1998) play a key role in safeguarding as all individuals are entitled to be safe from abuse and neglect. There are differences between safeguarding adults and those aged under 18; therefore, it is important to ensure referrals are directed to the correct teams. It is necessary for practitioners to be aware of the signs of abuse or neglect to better support individuals. </w:t>
            </w:r>
            <w:proofErr w:type="gramStart"/>
            <w:r w:rsidRPr="006243D9">
              <w:rPr>
                <w:sz w:val="24"/>
                <w:szCs w:val="24"/>
              </w:rPr>
              <w:t>In order to</w:t>
            </w:r>
            <w:proofErr w:type="gramEnd"/>
            <w:r w:rsidRPr="006243D9">
              <w:rPr>
                <w:sz w:val="24"/>
                <w:szCs w:val="24"/>
              </w:rPr>
              <w:t xml:space="preserve"> continue to support individuals, it will be necessary to continue to work with relevant partners and share information, experience, expertise and knowledge. It will be necessary to attend training and ensure this is up to date and use supervision and mentoring to continue to improve my practice. Being aware of safeguarding procedures and processes is necessary to protect individuals who may be at risk of abuse or neglect. </w:t>
            </w:r>
          </w:p>
          <w:p w14:paraId="20370495" w14:textId="79B79501" w:rsidR="00D3203C" w:rsidRDefault="00D3203C" w:rsidP="003F3ED9">
            <w:pPr>
              <w:spacing w:before="240"/>
              <w:jc w:val="both"/>
              <w:rPr>
                <w:i/>
                <w:sz w:val="24"/>
                <w:szCs w:val="24"/>
              </w:rPr>
            </w:pPr>
          </w:p>
          <w:p w14:paraId="12DC2F24" w14:textId="124EA923" w:rsidR="00D3203C" w:rsidRDefault="00E27BF1" w:rsidP="00FF7EBB">
            <w:pPr>
              <w:jc w:val="both"/>
              <w:rPr>
                <w:i/>
                <w:sz w:val="24"/>
                <w:szCs w:val="24"/>
              </w:rPr>
            </w:pPr>
            <w:r>
              <w:rPr>
                <w:i/>
                <w:sz w:val="24"/>
                <w:szCs w:val="24"/>
              </w:rPr>
              <w:t>3634 words</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272B5" w14:textId="77777777" w:rsidR="00D02499" w:rsidRDefault="00D02499">
      <w:r>
        <w:separator/>
      </w:r>
    </w:p>
  </w:endnote>
  <w:endnote w:type="continuationSeparator" w:id="0">
    <w:p w14:paraId="60550C45" w14:textId="77777777" w:rsidR="00D02499" w:rsidRDefault="00D02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AE601" w14:textId="77777777" w:rsidR="00D02499" w:rsidRDefault="00D02499">
      <w:r>
        <w:separator/>
      </w:r>
    </w:p>
  </w:footnote>
  <w:footnote w:type="continuationSeparator" w:id="0">
    <w:p w14:paraId="5A4A8FBB" w14:textId="77777777" w:rsidR="00D02499" w:rsidRDefault="00D02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477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69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3ED9"/>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43D9"/>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6164"/>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3BA"/>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BF4"/>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499"/>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7BF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3F3E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3585</Words>
  <Characters>20439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Hallett</cp:lastModifiedBy>
  <cp:revision>4</cp:revision>
  <cp:lastPrinted>2020-02-11T19:20:00Z</cp:lastPrinted>
  <dcterms:created xsi:type="dcterms:W3CDTF">2026-09-23T10:39:00Z</dcterms:created>
  <dcterms:modified xsi:type="dcterms:W3CDTF">2026-09-24T08:09:00Z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