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A12EB1" w14:textId="77777777" w:rsidR="00450BAF" w:rsidRDefault="00450BAF" w:rsidP="002C6FB6">
      <w:pPr>
        <w:jc w:val="center"/>
        <w:rPr>
          <w:rFonts w:ascii="Arial" w:hAnsi="Arial" w:cs="Arial"/>
          <w:b/>
          <w:sz w:val="32"/>
          <w:szCs w:val="32"/>
        </w:rPr>
      </w:pPr>
      <w:r>
        <w:rPr>
          <w:rFonts w:ascii="Arial" w:hAnsi="Arial" w:cs="Arial"/>
          <w:b/>
          <w:sz w:val="32"/>
          <w:szCs w:val="32"/>
        </w:rPr>
        <w:t>ASSESSMENT TITLE: MANAGEMENT ACCOUNTING ASSESSMENT 2</w:t>
      </w:r>
    </w:p>
    <w:p w14:paraId="1388EB49" w14:textId="77777777" w:rsidR="00450BAF" w:rsidRDefault="00450BAF" w:rsidP="002C6FB6">
      <w:pPr>
        <w:jc w:val="center"/>
        <w:rPr>
          <w:rFonts w:ascii="Arial" w:hAnsi="Arial" w:cs="Arial"/>
          <w:b/>
          <w:sz w:val="32"/>
          <w:szCs w:val="32"/>
        </w:rPr>
      </w:pPr>
      <w:r>
        <w:rPr>
          <w:rFonts w:ascii="Arial" w:hAnsi="Arial" w:cs="Arial"/>
          <w:b/>
          <w:sz w:val="32"/>
          <w:szCs w:val="32"/>
        </w:rPr>
        <w:t xml:space="preserve">MODULE CODE: </w:t>
      </w:r>
      <w:r w:rsidRPr="00450BAF">
        <w:rPr>
          <w:rFonts w:ascii="Arial" w:hAnsi="Arial" w:cs="Arial"/>
          <w:b/>
          <w:sz w:val="32"/>
          <w:szCs w:val="32"/>
        </w:rPr>
        <w:t>LCBB5002</w:t>
      </w:r>
    </w:p>
    <w:p w14:paraId="06B6FEBA" w14:textId="77777777" w:rsidR="002C6FB6" w:rsidRDefault="00450BAF" w:rsidP="002C6FB6">
      <w:pPr>
        <w:pStyle w:val="NormalWeb"/>
        <w:jc w:val="center"/>
      </w:pPr>
      <w:r>
        <w:rPr>
          <w:rFonts w:ascii="Arial" w:hAnsi="Arial" w:cs="Arial"/>
          <w:b/>
          <w:sz w:val="32"/>
          <w:szCs w:val="32"/>
        </w:rPr>
        <w:t>LECTURER NAME</w:t>
      </w:r>
      <w:r w:rsidR="002C6FB6">
        <w:rPr>
          <w:rFonts w:ascii="Arial" w:hAnsi="Arial" w:cs="Arial"/>
          <w:b/>
          <w:sz w:val="32"/>
          <w:szCs w:val="32"/>
        </w:rPr>
        <w:t>: WINIFRED SORIBE</w:t>
      </w:r>
    </w:p>
    <w:p w14:paraId="3556E9AE" w14:textId="77777777" w:rsidR="00450BAF" w:rsidRDefault="00450BAF" w:rsidP="002C6FB6">
      <w:pPr>
        <w:jc w:val="center"/>
        <w:rPr>
          <w:rFonts w:ascii="Arial" w:hAnsi="Arial" w:cs="Arial"/>
          <w:b/>
          <w:sz w:val="32"/>
          <w:szCs w:val="32"/>
        </w:rPr>
      </w:pPr>
      <w:r>
        <w:rPr>
          <w:rFonts w:ascii="Arial" w:hAnsi="Arial" w:cs="Arial"/>
          <w:b/>
          <w:sz w:val="32"/>
          <w:szCs w:val="32"/>
        </w:rPr>
        <w:t>STUDENT NAME: MARIA TALEVA</w:t>
      </w:r>
    </w:p>
    <w:p w14:paraId="624F9652" w14:textId="77777777" w:rsidR="00450BAF" w:rsidRPr="00450BAF" w:rsidRDefault="00450BAF" w:rsidP="002C6FB6">
      <w:pPr>
        <w:jc w:val="center"/>
        <w:rPr>
          <w:rFonts w:ascii="Arial" w:hAnsi="Arial" w:cs="Arial"/>
          <w:b/>
          <w:sz w:val="32"/>
          <w:szCs w:val="32"/>
        </w:rPr>
      </w:pPr>
      <w:r>
        <w:rPr>
          <w:rFonts w:ascii="Arial" w:hAnsi="Arial" w:cs="Arial"/>
          <w:b/>
          <w:sz w:val="32"/>
          <w:szCs w:val="32"/>
        </w:rPr>
        <w:t>STUDENT ID: 1812411</w:t>
      </w:r>
    </w:p>
    <w:p w14:paraId="2246A706" w14:textId="77777777" w:rsidR="00130637" w:rsidRPr="00450BAF" w:rsidRDefault="00130637" w:rsidP="00450BAF">
      <w:pPr>
        <w:jc w:val="both"/>
        <w:rPr>
          <w:rFonts w:ascii="Arial" w:hAnsi="Arial" w:cs="Arial"/>
          <w:sz w:val="32"/>
          <w:szCs w:val="32"/>
        </w:rPr>
      </w:pPr>
    </w:p>
    <w:p w14:paraId="0B8265DA" w14:textId="77777777" w:rsidR="00450BAF" w:rsidRDefault="00450BAF" w:rsidP="00450BAF">
      <w:pPr>
        <w:jc w:val="both"/>
        <w:rPr>
          <w:rFonts w:ascii="Arial" w:hAnsi="Arial" w:cs="Arial"/>
          <w:sz w:val="32"/>
          <w:szCs w:val="32"/>
        </w:rPr>
      </w:pPr>
    </w:p>
    <w:p w14:paraId="248A196A" w14:textId="77777777" w:rsidR="00450BAF" w:rsidRDefault="00450BAF" w:rsidP="00450BAF">
      <w:pPr>
        <w:jc w:val="both"/>
        <w:rPr>
          <w:rFonts w:ascii="Arial" w:hAnsi="Arial" w:cs="Arial"/>
          <w:sz w:val="32"/>
          <w:szCs w:val="32"/>
        </w:rPr>
      </w:pPr>
    </w:p>
    <w:p w14:paraId="60FDBA58" w14:textId="77777777" w:rsidR="00450BAF" w:rsidRDefault="00450BAF" w:rsidP="00450BAF">
      <w:pPr>
        <w:jc w:val="both"/>
        <w:rPr>
          <w:rFonts w:ascii="Arial" w:hAnsi="Arial" w:cs="Arial"/>
          <w:sz w:val="32"/>
          <w:szCs w:val="32"/>
        </w:rPr>
      </w:pPr>
    </w:p>
    <w:p w14:paraId="00E29CB6" w14:textId="77777777" w:rsidR="00450BAF" w:rsidRDefault="00450BAF" w:rsidP="00450BAF">
      <w:pPr>
        <w:jc w:val="both"/>
        <w:rPr>
          <w:rFonts w:ascii="Arial" w:hAnsi="Arial" w:cs="Arial"/>
          <w:sz w:val="32"/>
          <w:szCs w:val="32"/>
        </w:rPr>
      </w:pPr>
    </w:p>
    <w:p w14:paraId="10A2A453" w14:textId="77777777" w:rsidR="00450BAF" w:rsidRDefault="00450BAF" w:rsidP="00450BAF">
      <w:pPr>
        <w:jc w:val="both"/>
        <w:rPr>
          <w:rFonts w:ascii="Arial" w:hAnsi="Arial" w:cs="Arial"/>
          <w:sz w:val="32"/>
          <w:szCs w:val="32"/>
        </w:rPr>
      </w:pPr>
    </w:p>
    <w:p w14:paraId="4A86AC17" w14:textId="77777777" w:rsidR="00450BAF" w:rsidRDefault="00450BAF" w:rsidP="00450BAF">
      <w:pPr>
        <w:jc w:val="both"/>
        <w:rPr>
          <w:rFonts w:ascii="Arial" w:hAnsi="Arial" w:cs="Arial"/>
          <w:sz w:val="32"/>
          <w:szCs w:val="32"/>
        </w:rPr>
      </w:pPr>
    </w:p>
    <w:p w14:paraId="2B84CC94" w14:textId="77777777" w:rsidR="00450BAF" w:rsidRDefault="00450BAF" w:rsidP="00450BAF">
      <w:pPr>
        <w:jc w:val="both"/>
        <w:rPr>
          <w:rFonts w:ascii="Arial" w:hAnsi="Arial" w:cs="Arial"/>
          <w:sz w:val="32"/>
          <w:szCs w:val="32"/>
        </w:rPr>
      </w:pPr>
    </w:p>
    <w:p w14:paraId="20A9203C" w14:textId="77777777" w:rsidR="00450BAF" w:rsidRDefault="00450BAF" w:rsidP="00450BAF">
      <w:pPr>
        <w:jc w:val="both"/>
        <w:rPr>
          <w:rFonts w:ascii="Arial" w:hAnsi="Arial" w:cs="Arial"/>
          <w:sz w:val="32"/>
          <w:szCs w:val="32"/>
        </w:rPr>
      </w:pPr>
    </w:p>
    <w:p w14:paraId="134668CE" w14:textId="77777777" w:rsidR="00450BAF" w:rsidRDefault="00450BAF" w:rsidP="00450BAF">
      <w:pPr>
        <w:jc w:val="both"/>
        <w:rPr>
          <w:rFonts w:ascii="Arial" w:hAnsi="Arial" w:cs="Arial"/>
          <w:sz w:val="32"/>
          <w:szCs w:val="32"/>
        </w:rPr>
      </w:pPr>
    </w:p>
    <w:p w14:paraId="0F2F537F" w14:textId="77777777" w:rsidR="00450BAF" w:rsidRDefault="00450BAF" w:rsidP="00450BAF">
      <w:pPr>
        <w:jc w:val="both"/>
        <w:rPr>
          <w:rFonts w:ascii="Arial" w:hAnsi="Arial" w:cs="Arial"/>
          <w:sz w:val="32"/>
          <w:szCs w:val="32"/>
        </w:rPr>
      </w:pPr>
    </w:p>
    <w:p w14:paraId="25A2EC81" w14:textId="77777777" w:rsidR="00450BAF" w:rsidRDefault="00450BAF" w:rsidP="00450BAF">
      <w:pPr>
        <w:jc w:val="both"/>
        <w:rPr>
          <w:rFonts w:ascii="Arial" w:hAnsi="Arial" w:cs="Arial"/>
          <w:sz w:val="32"/>
          <w:szCs w:val="32"/>
        </w:rPr>
      </w:pPr>
    </w:p>
    <w:p w14:paraId="7657E1A2" w14:textId="77777777" w:rsidR="00450BAF" w:rsidRDefault="00450BAF" w:rsidP="00450BAF">
      <w:pPr>
        <w:jc w:val="both"/>
        <w:rPr>
          <w:rFonts w:ascii="Arial" w:hAnsi="Arial" w:cs="Arial"/>
          <w:sz w:val="32"/>
          <w:szCs w:val="32"/>
        </w:rPr>
      </w:pPr>
    </w:p>
    <w:p w14:paraId="2477FCB7" w14:textId="77777777" w:rsidR="00450BAF" w:rsidRDefault="00450BAF" w:rsidP="00450BAF">
      <w:pPr>
        <w:jc w:val="both"/>
        <w:rPr>
          <w:rFonts w:ascii="Arial" w:hAnsi="Arial" w:cs="Arial"/>
          <w:sz w:val="32"/>
          <w:szCs w:val="32"/>
        </w:rPr>
      </w:pPr>
    </w:p>
    <w:p w14:paraId="2A26AB82" w14:textId="77777777" w:rsidR="00450BAF" w:rsidRDefault="00450BAF" w:rsidP="00450BAF">
      <w:pPr>
        <w:jc w:val="both"/>
        <w:rPr>
          <w:rFonts w:ascii="Arial" w:hAnsi="Arial" w:cs="Arial"/>
          <w:sz w:val="32"/>
          <w:szCs w:val="32"/>
        </w:rPr>
      </w:pPr>
    </w:p>
    <w:p w14:paraId="288E6874" w14:textId="77777777" w:rsidR="00450BAF" w:rsidRDefault="00450BAF" w:rsidP="00450BAF">
      <w:pPr>
        <w:jc w:val="both"/>
        <w:rPr>
          <w:rFonts w:ascii="Arial" w:hAnsi="Arial" w:cs="Arial"/>
          <w:sz w:val="32"/>
          <w:szCs w:val="32"/>
        </w:rPr>
      </w:pPr>
    </w:p>
    <w:p w14:paraId="7A49F5E4" w14:textId="77777777" w:rsidR="00450BAF" w:rsidRDefault="00450BAF" w:rsidP="00450BAF">
      <w:pPr>
        <w:jc w:val="both"/>
        <w:rPr>
          <w:rFonts w:ascii="Arial" w:hAnsi="Arial" w:cs="Arial"/>
          <w:sz w:val="32"/>
          <w:szCs w:val="32"/>
        </w:rPr>
      </w:pPr>
    </w:p>
    <w:p w14:paraId="026B1E2C" w14:textId="77777777" w:rsidR="00450BAF" w:rsidRDefault="00450BAF" w:rsidP="00450BAF">
      <w:pPr>
        <w:jc w:val="both"/>
        <w:rPr>
          <w:rFonts w:ascii="Arial" w:hAnsi="Arial" w:cs="Arial"/>
          <w:sz w:val="32"/>
          <w:szCs w:val="32"/>
        </w:rPr>
      </w:pPr>
    </w:p>
    <w:p w14:paraId="627138A7" w14:textId="77777777" w:rsidR="00450BAF" w:rsidRPr="00450BAF" w:rsidRDefault="00450BAF" w:rsidP="00450BAF">
      <w:pPr>
        <w:jc w:val="both"/>
        <w:rPr>
          <w:rFonts w:ascii="Arial" w:hAnsi="Arial" w:cs="Arial"/>
          <w:sz w:val="32"/>
          <w:szCs w:val="32"/>
        </w:rPr>
      </w:pPr>
    </w:p>
    <w:sdt>
      <w:sdtPr>
        <w:rPr>
          <w:rFonts w:ascii="Arial" w:eastAsiaTheme="minorHAnsi" w:hAnsi="Arial" w:cs="Arial"/>
          <w:color w:val="auto"/>
          <w:lang w:val="en-GB"/>
        </w:rPr>
        <w:id w:val="1093822652"/>
        <w:docPartObj>
          <w:docPartGallery w:val="Table of Contents"/>
          <w:docPartUnique/>
        </w:docPartObj>
      </w:sdtPr>
      <w:sdtEndPr>
        <w:rPr>
          <w:b/>
          <w:bCs/>
          <w:noProof/>
        </w:rPr>
      </w:sdtEndPr>
      <w:sdtContent>
        <w:p w14:paraId="2C974121" w14:textId="77777777" w:rsidR="00450BAF" w:rsidRPr="00450BAF" w:rsidRDefault="00450BAF" w:rsidP="00450BAF">
          <w:pPr>
            <w:pStyle w:val="TOCHeading"/>
            <w:jc w:val="both"/>
            <w:rPr>
              <w:rFonts w:ascii="Arial" w:hAnsi="Arial" w:cs="Arial"/>
            </w:rPr>
          </w:pPr>
          <w:r w:rsidRPr="00450BAF">
            <w:rPr>
              <w:rFonts w:ascii="Arial" w:hAnsi="Arial" w:cs="Arial"/>
            </w:rPr>
            <w:t>Table of Contents</w:t>
          </w:r>
        </w:p>
        <w:p w14:paraId="41AA4D07" w14:textId="77777777" w:rsidR="00450BAF" w:rsidRPr="00450BAF" w:rsidRDefault="00450BAF" w:rsidP="00450BAF">
          <w:pPr>
            <w:pStyle w:val="TOC1"/>
            <w:tabs>
              <w:tab w:val="right" w:leader="dot" w:pos="9016"/>
            </w:tabs>
            <w:jc w:val="both"/>
            <w:rPr>
              <w:rFonts w:ascii="Arial" w:eastAsiaTheme="minorEastAsia" w:hAnsi="Arial" w:cs="Arial"/>
              <w:noProof/>
              <w:sz w:val="32"/>
              <w:szCs w:val="32"/>
              <w:lang w:eastAsia="en-GB"/>
            </w:rPr>
          </w:pPr>
          <w:r w:rsidRPr="00450BAF">
            <w:rPr>
              <w:rFonts w:ascii="Arial" w:hAnsi="Arial" w:cs="Arial"/>
              <w:b/>
              <w:bCs/>
              <w:noProof/>
              <w:sz w:val="32"/>
              <w:szCs w:val="32"/>
            </w:rPr>
            <w:fldChar w:fldCharType="begin"/>
          </w:r>
          <w:r w:rsidRPr="00450BAF">
            <w:rPr>
              <w:rFonts w:ascii="Arial" w:hAnsi="Arial" w:cs="Arial"/>
              <w:b/>
              <w:bCs/>
              <w:noProof/>
              <w:sz w:val="32"/>
              <w:szCs w:val="32"/>
            </w:rPr>
            <w:instrText xml:space="preserve"> TOC \o "1-3" \h \z \u </w:instrText>
          </w:r>
          <w:r w:rsidRPr="00450BAF">
            <w:rPr>
              <w:rFonts w:ascii="Arial" w:hAnsi="Arial" w:cs="Arial"/>
              <w:b/>
              <w:bCs/>
              <w:noProof/>
              <w:sz w:val="32"/>
              <w:szCs w:val="32"/>
            </w:rPr>
            <w:fldChar w:fldCharType="separate"/>
          </w:r>
          <w:hyperlink w:anchor="_Toc71035486" w:history="1">
            <w:r w:rsidRPr="00450BAF">
              <w:rPr>
                <w:rStyle w:val="Hyperlink"/>
                <w:rFonts w:ascii="Arial" w:hAnsi="Arial" w:cs="Arial"/>
                <w:noProof/>
                <w:sz w:val="32"/>
                <w:szCs w:val="32"/>
              </w:rPr>
              <w:t>INTRODUCTION</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_Toc71035486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1</w:t>
            </w:r>
            <w:r w:rsidRPr="00450BAF">
              <w:rPr>
                <w:rFonts w:ascii="Arial" w:hAnsi="Arial" w:cs="Arial"/>
                <w:noProof/>
                <w:webHidden/>
                <w:sz w:val="32"/>
                <w:szCs w:val="32"/>
              </w:rPr>
              <w:fldChar w:fldCharType="end"/>
            </w:r>
          </w:hyperlink>
        </w:p>
        <w:p w14:paraId="3D59EEAB" w14:textId="77777777" w:rsidR="00450BAF" w:rsidRPr="00450BAF" w:rsidRDefault="00450BAF" w:rsidP="00450BAF">
          <w:pPr>
            <w:pStyle w:val="TOC1"/>
            <w:tabs>
              <w:tab w:val="right" w:leader="dot" w:pos="9016"/>
            </w:tabs>
            <w:jc w:val="both"/>
            <w:rPr>
              <w:rFonts w:ascii="Arial" w:eastAsiaTheme="minorEastAsia" w:hAnsi="Arial" w:cs="Arial"/>
              <w:noProof/>
              <w:sz w:val="32"/>
              <w:szCs w:val="32"/>
              <w:lang w:eastAsia="en-GB"/>
            </w:rPr>
          </w:pPr>
          <w:hyperlink w:anchor="_Toc71035487" w:history="1">
            <w:r w:rsidRPr="00450BAF">
              <w:rPr>
                <w:rStyle w:val="Hyperlink"/>
                <w:rFonts w:ascii="Arial" w:hAnsi="Arial" w:cs="Arial"/>
                <w:noProof/>
                <w:sz w:val="32"/>
                <w:szCs w:val="32"/>
              </w:rPr>
              <w:t>PART A</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_Toc71035487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1</w:t>
            </w:r>
            <w:r w:rsidRPr="00450BAF">
              <w:rPr>
                <w:rFonts w:ascii="Arial" w:hAnsi="Arial" w:cs="Arial"/>
                <w:noProof/>
                <w:webHidden/>
                <w:sz w:val="32"/>
                <w:szCs w:val="32"/>
              </w:rPr>
              <w:fldChar w:fldCharType="end"/>
            </w:r>
          </w:hyperlink>
        </w:p>
        <w:p w14:paraId="3E25E9E4"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88" w:history="1">
            <w:r w:rsidRPr="00450BAF">
              <w:rPr>
                <w:rStyle w:val="Hyperlink"/>
                <w:rFonts w:ascii="Arial" w:hAnsi="Arial" w:cs="Arial"/>
                <w:noProof/>
                <w:sz w:val="32"/>
                <w:szCs w:val="32"/>
              </w:rPr>
              <w:t>Sales Price Variance</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_Toc71035488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1</w:t>
            </w:r>
            <w:r w:rsidRPr="00450BAF">
              <w:rPr>
                <w:rFonts w:ascii="Arial" w:hAnsi="Arial" w:cs="Arial"/>
                <w:noProof/>
                <w:webHidden/>
                <w:sz w:val="32"/>
                <w:szCs w:val="32"/>
              </w:rPr>
              <w:fldChar w:fldCharType="end"/>
            </w:r>
          </w:hyperlink>
        </w:p>
        <w:p w14:paraId="4F8AAC84"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89" w:history="1">
            <w:r w:rsidRPr="00450BAF">
              <w:rPr>
                <w:rStyle w:val="Hyperlink"/>
                <w:rFonts w:ascii="Arial" w:hAnsi="Arial" w:cs="Arial"/>
                <w:noProof/>
                <w:sz w:val="32"/>
                <w:szCs w:val="32"/>
              </w:rPr>
              <w:t>Sales Volume Contribution Variance</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_Toc71035489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2</w:t>
            </w:r>
            <w:r w:rsidRPr="00450BAF">
              <w:rPr>
                <w:rFonts w:ascii="Arial" w:hAnsi="Arial" w:cs="Arial"/>
                <w:noProof/>
                <w:webHidden/>
                <w:sz w:val="32"/>
                <w:szCs w:val="32"/>
              </w:rPr>
              <w:fldChar w:fldCharType="end"/>
            </w:r>
          </w:hyperlink>
        </w:p>
        <w:p w14:paraId="160911E2"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90" w:history="1">
            <w:r w:rsidRPr="00450BAF">
              <w:rPr>
                <w:rStyle w:val="Hyperlink"/>
                <w:rFonts w:ascii="Arial" w:hAnsi="Arial" w:cs="Arial"/>
                <w:noProof/>
                <w:sz w:val="32"/>
                <w:szCs w:val="32"/>
              </w:rPr>
              <w:t>Material Price Planning Variance</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_Toc71035490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3</w:t>
            </w:r>
            <w:r w:rsidRPr="00450BAF">
              <w:rPr>
                <w:rFonts w:ascii="Arial" w:hAnsi="Arial" w:cs="Arial"/>
                <w:noProof/>
                <w:webHidden/>
                <w:sz w:val="32"/>
                <w:szCs w:val="32"/>
              </w:rPr>
              <w:fldChar w:fldCharType="end"/>
            </w:r>
          </w:hyperlink>
        </w:p>
        <w:p w14:paraId="74FFBAFA"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91" w:history="1">
            <w:r w:rsidRPr="00450BAF">
              <w:rPr>
                <w:rStyle w:val="Hyperlink"/>
                <w:rFonts w:ascii="Arial" w:hAnsi="Arial" w:cs="Arial"/>
                <w:noProof/>
                <w:sz w:val="32"/>
                <w:szCs w:val="32"/>
              </w:rPr>
              <w:t>Material Price Operational Variance</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_Toc71035491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4</w:t>
            </w:r>
            <w:r w:rsidRPr="00450BAF">
              <w:rPr>
                <w:rFonts w:ascii="Arial" w:hAnsi="Arial" w:cs="Arial"/>
                <w:noProof/>
                <w:webHidden/>
                <w:sz w:val="32"/>
                <w:szCs w:val="32"/>
              </w:rPr>
              <w:fldChar w:fldCharType="end"/>
            </w:r>
          </w:hyperlink>
        </w:p>
        <w:p w14:paraId="11B50BA6"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92" w:history="1">
            <w:r w:rsidRPr="00450BAF">
              <w:rPr>
                <w:rStyle w:val="Hyperlink"/>
                <w:rFonts w:ascii="Arial" w:hAnsi="Arial" w:cs="Arial"/>
                <w:noProof/>
                <w:sz w:val="32"/>
                <w:szCs w:val="32"/>
              </w:rPr>
              <w:t>Merits of Using Variances in Assessing Manager’s Performance</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_Toc71035492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5</w:t>
            </w:r>
            <w:r w:rsidRPr="00450BAF">
              <w:rPr>
                <w:rFonts w:ascii="Arial" w:hAnsi="Arial" w:cs="Arial"/>
                <w:noProof/>
                <w:webHidden/>
                <w:sz w:val="32"/>
                <w:szCs w:val="32"/>
              </w:rPr>
              <w:fldChar w:fldCharType="end"/>
            </w:r>
          </w:hyperlink>
        </w:p>
        <w:p w14:paraId="698C9879"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93" w:history="1">
            <w:r w:rsidRPr="00450BAF">
              <w:rPr>
                <w:rStyle w:val="Hyperlink"/>
                <w:rFonts w:ascii="Arial" w:hAnsi="Arial" w:cs="Arial"/>
                <w:noProof/>
                <w:sz w:val="32"/>
                <w:szCs w:val="32"/>
              </w:rPr>
              <w:t>Demerits of Using Variances in Assessing Manager’s Performance</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_Toc71035493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5</w:t>
            </w:r>
            <w:r w:rsidRPr="00450BAF">
              <w:rPr>
                <w:rFonts w:ascii="Arial" w:hAnsi="Arial" w:cs="Arial"/>
                <w:noProof/>
                <w:webHidden/>
                <w:sz w:val="32"/>
                <w:szCs w:val="32"/>
              </w:rPr>
              <w:fldChar w:fldCharType="end"/>
            </w:r>
          </w:hyperlink>
        </w:p>
        <w:p w14:paraId="51C24A80" w14:textId="77777777" w:rsidR="00450BAF" w:rsidRPr="00450BAF" w:rsidRDefault="00450BAF" w:rsidP="00450BAF">
          <w:pPr>
            <w:pStyle w:val="TOC1"/>
            <w:tabs>
              <w:tab w:val="right" w:leader="dot" w:pos="9016"/>
            </w:tabs>
            <w:jc w:val="both"/>
            <w:rPr>
              <w:rFonts w:ascii="Arial" w:eastAsiaTheme="minorEastAsia" w:hAnsi="Arial" w:cs="Arial"/>
              <w:noProof/>
              <w:sz w:val="32"/>
              <w:szCs w:val="32"/>
              <w:lang w:eastAsia="en-GB"/>
            </w:rPr>
          </w:pPr>
          <w:hyperlink w:anchor="_Toc71035494" w:history="1">
            <w:r w:rsidRPr="00450BAF">
              <w:rPr>
                <w:rStyle w:val="Hyperlink"/>
                <w:rFonts w:ascii="Arial" w:hAnsi="Arial" w:cs="Arial"/>
                <w:noProof/>
                <w:sz w:val="32"/>
                <w:szCs w:val="32"/>
              </w:rPr>
              <w:t>PART B</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_Toc71035494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7</w:t>
            </w:r>
            <w:r w:rsidRPr="00450BAF">
              <w:rPr>
                <w:rFonts w:ascii="Arial" w:hAnsi="Arial" w:cs="Arial"/>
                <w:noProof/>
                <w:webHidden/>
                <w:sz w:val="32"/>
                <w:szCs w:val="32"/>
              </w:rPr>
              <w:fldChar w:fldCharType="end"/>
            </w:r>
          </w:hyperlink>
        </w:p>
        <w:p w14:paraId="25B0E399"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95" w:history="1">
            <w:r w:rsidRPr="00450BAF">
              <w:rPr>
                <w:rStyle w:val="Hyperlink"/>
                <w:rFonts w:ascii="Arial" w:hAnsi="Arial" w:cs="Arial"/>
                <w:noProof/>
                <w:sz w:val="32"/>
                <w:szCs w:val="32"/>
              </w:rPr>
              <w:t>Overview of a Make or Buy Decision</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_Toc71035495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7</w:t>
            </w:r>
            <w:r w:rsidRPr="00450BAF">
              <w:rPr>
                <w:rFonts w:ascii="Arial" w:hAnsi="Arial" w:cs="Arial"/>
                <w:noProof/>
                <w:webHidden/>
                <w:sz w:val="32"/>
                <w:szCs w:val="32"/>
              </w:rPr>
              <w:fldChar w:fldCharType="end"/>
            </w:r>
          </w:hyperlink>
        </w:p>
        <w:p w14:paraId="0E1828EC"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96" w:history="1">
            <w:r w:rsidRPr="00450BAF">
              <w:rPr>
                <w:rStyle w:val="Hyperlink"/>
                <w:rFonts w:ascii="Arial" w:hAnsi="Arial" w:cs="Arial"/>
                <w:noProof/>
                <w:sz w:val="32"/>
                <w:szCs w:val="32"/>
              </w:rPr>
              <w:t>Quantitative Analysis</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_Toc71035496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7</w:t>
            </w:r>
            <w:r w:rsidRPr="00450BAF">
              <w:rPr>
                <w:rFonts w:ascii="Arial" w:hAnsi="Arial" w:cs="Arial"/>
                <w:noProof/>
                <w:webHidden/>
                <w:sz w:val="32"/>
                <w:szCs w:val="32"/>
              </w:rPr>
              <w:fldChar w:fldCharType="end"/>
            </w:r>
          </w:hyperlink>
        </w:p>
        <w:p w14:paraId="4FE68C06"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97" w:history="1">
            <w:r w:rsidRPr="00450BAF">
              <w:rPr>
                <w:rStyle w:val="Hyperlink"/>
                <w:rFonts w:ascii="Arial" w:hAnsi="Arial" w:cs="Arial"/>
                <w:noProof/>
                <w:sz w:val="32"/>
                <w:szCs w:val="32"/>
              </w:rPr>
              <w:t>Qualitative Analysis</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_Toc71035497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8</w:t>
            </w:r>
            <w:r w:rsidRPr="00450BAF">
              <w:rPr>
                <w:rFonts w:ascii="Arial" w:hAnsi="Arial" w:cs="Arial"/>
                <w:noProof/>
                <w:webHidden/>
                <w:sz w:val="32"/>
                <w:szCs w:val="32"/>
              </w:rPr>
              <w:fldChar w:fldCharType="end"/>
            </w:r>
          </w:hyperlink>
        </w:p>
        <w:p w14:paraId="5A96950D" w14:textId="77777777" w:rsidR="00450BAF" w:rsidRPr="00450BAF" w:rsidRDefault="00450BAF" w:rsidP="00450BAF">
          <w:pPr>
            <w:pStyle w:val="TOC2"/>
            <w:tabs>
              <w:tab w:val="right" w:leader="dot" w:pos="9016"/>
            </w:tabs>
            <w:jc w:val="both"/>
            <w:rPr>
              <w:rFonts w:ascii="Arial" w:eastAsiaTheme="minorEastAsia" w:hAnsi="Arial" w:cs="Arial"/>
              <w:noProof/>
              <w:sz w:val="32"/>
              <w:szCs w:val="32"/>
              <w:lang w:eastAsia="en-GB"/>
            </w:rPr>
          </w:pPr>
          <w:hyperlink w:anchor="_Toc71035498" w:history="1">
            <w:r w:rsidRPr="00450BAF">
              <w:rPr>
                <w:rStyle w:val="Hyperlink"/>
                <w:rFonts w:ascii="Arial" w:hAnsi="Arial" w:cs="Arial"/>
                <w:noProof/>
                <w:sz w:val="32"/>
                <w:szCs w:val="32"/>
              </w:rPr>
              <w:t>Final Decision</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_Toc71035498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8</w:t>
            </w:r>
            <w:r w:rsidRPr="00450BAF">
              <w:rPr>
                <w:rFonts w:ascii="Arial" w:hAnsi="Arial" w:cs="Arial"/>
                <w:noProof/>
                <w:webHidden/>
                <w:sz w:val="32"/>
                <w:szCs w:val="32"/>
              </w:rPr>
              <w:fldChar w:fldCharType="end"/>
            </w:r>
          </w:hyperlink>
        </w:p>
        <w:p w14:paraId="5DE0E984" w14:textId="77777777" w:rsidR="00450BAF" w:rsidRPr="00450BAF" w:rsidRDefault="00450BAF" w:rsidP="00450BAF">
          <w:pPr>
            <w:pStyle w:val="TOC1"/>
            <w:tabs>
              <w:tab w:val="right" w:leader="dot" w:pos="9016"/>
            </w:tabs>
            <w:jc w:val="both"/>
            <w:rPr>
              <w:rFonts w:ascii="Arial" w:eastAsiaTheme="minorEastAsia" w:hAnsi="Arial" w:cs="Arial"/>
              <w:noProof/>
              <w:sz w:val="32"/>
              <w:szCs w:val="32"/>
              <w:lang w:eastAsia="en-GB"/>
            </w:rPr>
          </w:pPr>
          <w:hyperlink w:anchor="_Toc71035499" w:history="1">
            <w:r w:rsidRPr="00450BAF">
              <w:rPr>
                <w:rStyle w:val="Hyperlink"/>
                <w:rFonts w:ascii="Arial" w:hAnsi="Arial" w:cs="Arial"/>
                <w:noProof/>
                <w:sz w:val="32"/>
                <w:szCs w:val="32"/>
              </w:rPr>
              <w:t>CONCLUSION</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_Toc71035499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9</w:t>
            </w:r>
            <w:r w:rsidRPr="00450BAF">
              <w:rPr>
                <w:rFonts w:ascii="Arial" w:hAnsi="Arial" w:cs="Arial"/>
                <w:noProof/>
                <w:webHidden/>
                <w:sz w:val="32"/>
                <w:szCs w:val="32"/>
              </w:rPr>
              <w:fldChar w:fldCharType="end"/>
            </w:r>
          </w:hyperlink>
        </w:p>
        <w:p w14:paraId="186B45F8" w14:textId="77777777" w:rsidR="00450BAF" w:rsidRPr="00450BAF" w:rsidRDefault="00450BAF" w:rsidP="00450BAF">
          <w:pPr>
            <w:pStyle w:val="TOC1"/>
            <w:tabs>
              <w:tab w:val="right" w:leader="dot" w:pos="9016"/>
            </w:tabs>
            <w:jc w:val="both"/>
            <w:rPr>
              <w:rFonts w:ascii="Arial" w:eastAsiaTheme="minorEastAsia" w:hAnsi="Arial" w:cs="Arial"/>
              <w:noProof/>
              <w:sz w:val="32"/>
              <w:szCs w:val="32"/>
              <w:lang w:eastAsia="en-GB"/>
            </w:rPr>
          </w:pPr>
          <w:hyperlink w:anchor="_Toc71035500" w:history="1">
            <w:r w:rsidRPr="00450BAF">
              <w:rPr>
                <w:rStyle w:val="Hyperlink"/>
                <w:rFonts w:ascii="Arial" w:hAnsi="Arial" w:cs="Arial"/>
                <w:noProof/>
                <w:sz w:val="32"/>
                <w:szCs w:val="32"/>
              </w:rPr>
              <w:t>References</w:t>
            </w:r>
            <w:r w:rsidRPr="00450BAF">
              <w:rPr>
                <w:rFonts w:ascii="Arial" w:hAnsi="Arial" w:cs="Arial"/>
                <w:noProof/>
                <w:webHidden/>
                <w:sz w:val="32"/>
                <w:szCs w:val="32"/>
              </w:rPr>
              <w:tab/>
            </w:r>
            <w:r w:rsidRPr="00450BAF">
              <w:rPr>
                <w:rFonts w:ascii="Arial" w:hAnsi="Arial" w:cs="Arial"/>
                <w:noProof/>
                <w:webHidden/>
                <w:sz w:val="32"/>
                <w:szCs w:val="32"/>
              </w:rPr>
              <w:fldChar w:fldCharType="begin"/>
            </w:r>
            <w:r w:rsidRPr="00450BAF">
              <w:rPr>
                <w:rFonts w:ascii="Arial" w:hAnsi="Arial" w:cs="Arial"/>
                <w:noProof/>
                <w:webHidden/>
                <w:sz w:val="32"/>
                <w:szCs w:val="32"/>
              </w:rPr>
              <w:instrText xml:space="preserve"> PAGEREF _Toc71035500 \h </w:instrText>
            </w:r>
            <w:r w:rsidRPr="00450BAF">
              <w:rPr>
                <w:rFonts w:ascii="Arial" w:hAnsi="Arial" w:cs="Arial"/>
                <w:noProof/>
                <w:webHidden/>
                <w:sz w:val="32"/>
                <w:szCs w:val="32"/>
              </w:rPr>
            </w:r>
            <w:r w:rsidRPr="00450BAF">
              <w:rPr>
                <w:rFonts w:ascii="Arial" w:hAnsi="Arial" w:cs="Arial"/>
                <w:noProof/>
                <w:webHidden/>
                <w:sz w:val="32"/>
                <w:szCs w:val="32"/>
              </w:rPr>
              <w:fldChar w:fldCharType="separate"/>
            </w:r>
            <w:r w:rsidRPr="00450BAF">
              <w:rPr>
                <w:rFonts w:ascii="Arial" w:hAnsi="Arial" w:cs="Arial"/>
                <w:noProof/>
                <w:webHidden/>
                <w:sz w:val="32"/>
                <w:szCs w:val="32"/>
              </w:rPr>
              <w:t>10</w:t>
            </w:r>
            <w:r w:rsidRPr="00450BAF">
              <w:rPr>
                <w:rFonts w:ascii="Arial" w:hAnsi="Arial" w:cs="Arial"/>
                <w:noProof/>
                <w:webHidden/>
                <w:sz w:val="32"/>
                <w:szCs w:val="32"/>
              </w:rPr>
              <w:fldChar w:fldCharType="end"/>
            </w:r>
          </w:hyperlink>
        </w:p>
        <w:p w14:paraId="66680CD7" w14:textId="77777777" w:rsidR="00450BAF" w:rsidRPr="00450BAF" w:rsidRDefault="00450BAF" w:rsidP="00450BAF">
          <w:pPr>
            <w:jc w:val="both"/>
            <w:rPr>
              <w:rFonts w:ascii="Arial" w:hAnsi="Arial" w:cs="Arial"/>
              <w:sz w:val="32"/>
              <w:szCs w:val="32"/>
            </w:rPr>
          </w:pPr>
          <w:r w:rsidRPr="00450BAF">
            <w:rPr>
              <w:rFonts w:ascii="Arial" w:hAnsi="Arial" w:cs="Arial"/>
              <w:b/>
              <w:bCs/>
              <w:noProof/>
              <w:sz w:val="32"/>
              <w:szCs w:val="32"/>
            </w:rPr>
            <w:fldChar w:fldCharType="end"/>
          </w:r>
        </w:p>
      </w:sdtContent>
    </w:sdt>
    <w:p w14:paraId="40C17477" w14:textId="77777777" w:rsidR="00450BAF" w:rsidRPr="00450BAF" w:rsidRDefault="00450BAF" w:rsidP="00450BAF">
      <w:pPr>
        <w:jc w:val="both"/>
        <w:rPr>
          <w:rFonts w:ascii="Arial" w:hAnsi="Arial" w:cs="Arial"/>
          <w:sz w:val="32"/>
          <w:szCs w:val="32"/>
        </w:rPr>
      </w:pPr>
    </w:p>
    <w:p w14:paraId="589DC355" w14:textId="77777777" w:rsidR="00450BAF" w:rsidRPr="00450BAF" w:rsidRDefault="00450BAF" w:rsidP="00450BAF">
      <w:pPr>
        <w:jc w:val="both"/>
        <w:rPr>
          <w:rFonts w:ascii="Arial" w:hAnsi="Arial" w:cs="Arial"/>
          <w:sz w:val="32"/>
          <w:szCs w:val="32"/>
        </w:rPr>
      </w:pPr>
    </w:p>
    <w:p w14:paraId="375B865F" w14:textId="77777777" w:rsidR="00450BAF" w:rsidRPr="00450BAF" w:rsidRDefault="00450BAF" w:rsidP="00450BAF">
      <w:pPr>
        <w:jc w:val="both"/>
        <w:rPr>
          <w:rFonts w:ascii="Arial" w:hAnsi="Arial" w:cs="Arial"/>
          <w:sz w:val="32"/>
          <w:szCs w:val="32"/>
        </w:rPr>
      </w:pPr>
    </w:p>
    <w:p w14:paraId="4D3EB2F8" w14:textId="77777777" w:rsidR="00450BAF" w:rsidRPr="00450BAF" w:rsidRDefault="00450BAF" w:rsidP="00450BAF">
      <w:pPr>
        <w:jc w:val="both"/>
        <w:rPr>
          <w:rFonts w:ascii="Arial" w:hAnsi="Arial" w:cs="Arial"/>
          <w:sz w:val="32"/>
          <w:szCs w:val="32"/>
        </w:rPr>
      </w:pPr>
    </w:p>
    <w:p w14:paraId="7964A05E" w14:textId="77777777" w:rsidR="00450BAF" w:rsidRPr="00450BAF" w:rsidRDefault="00450BAF" w:rsidP="00450BAF">
      <w:pPr>
        <w:jc w:val="both"/>
        <w:rPr>
          <w:rFonts w:ascii="Arial" w:hAnsi="Arial" w:cs="Arial"/>
          <w:sz w:val="32"/>
          <w:szCs w:val="32"/>
        </w:rPr>
      </w:pPr>
    </w:p>
    <w:p w14:paraId="246932E8" w14:textId="77777777" w:rsidR="00450BAF" w:rsidRPr="00450BAF" w:rsidRDefault="00450BAF" w:rsidP="00450BAF">
      <w:pPr>
        <w:jc w:val="both"/>
        <w:rPr>
          <w:rFonts w:ascii="Arial" w:hAnsi="Arial" w:cs="Arial"/>
          <w:sz w:val="32"/>
          <w:szCs w:val="32"/>
        </w:rPr>
      </w:pPr>
    </w:p>
    <w:p w14:paraId="72D2B263" w14:textId="77777777" w:rsidR="00450BAF" w:rsidRPr="00450BAF" w:rsidRDefault="00450BAF" w:rsidP="00450BAF">
      <w:pPr>
        <w:jc w:val="both"/>
        <w:rPr>
          <w:rFonts w:ascii="Arial" w:hAnsi="Arial" w:cs="Arial"/>
          <w:sz w:val="32"/>
          <w:szCs w:val="32"/>
        </w:rPr>
      </w:pPr>
    </w:p>
    <w:p w14:paraId="18128471" w14:textId="77777777" w:rsidR="00450BAF" w:rsidRPr="00450BAF" w:rsidRDefault="00450BAF" w:rsidP="00450BAF">
      <w:pPr>
        <w:jc w:val="both"/>
        <w:rPr>
          <w:rFonts w:ascii="Arial" w:hAnsi="Arial" w:cs="Arial"/>
          <w:sz w:val="32"/>
          <w:szCs w:val="32"/>
        </w:rPr>
      </w:pPr>
    </w:p>
    <w:p w14:paraId="196F9BED" w14:textId="77777777" w:rsidR="00450BAF" w:rsidRPr="00450BAF" w:rsidRDefault="00450BAF" w:rsidP="00450BAF">
      <w:pPr>
        <w:jc w:val="both"/>
        <w:rPr>
          <w:rFonts w:ascii="Arial" w:hAnsi="Arial" w:cs="Arial"/>
          <w:sz w:val="32"/>
          <w:szCs w:val="32"/>
        </w:rPr>
      </w:pPr>
    </w:p>
    <w:p w14:paraId="69BD8167" w14:textId="77777777" w:rsidR="00450BAF" w:rsidRPr="00450BAF" w:rsidRDefault="00450BAF" w:rsidP="00450BAF">
      <w:pPr>
        <w:jc w:val="both"/>
        <w:rPr>
          <w:rFonts w:ascii="Arial" w:hAnsi="Arial" w:cs="Arial"/>
          <w:sz w:val="32"/>
          <w:szCs w:val="32"/>
        </w:rPr>
      </w:pPr>
    </w:p>
    <w:p w14:paraId="261A3000" w14:textId="77777777" w:rsidR="00450BAF" w:rsidRPr="00450BAF" w:rsidRDefault="00450BAF" w:rsidP="00450BAF">
      <w:pPr>
        <w:jc w:val="both"/>
        <w:rPr>
          <w:rFonts w:ascii="Arial" w:hAnsi="Arial" w:cs="Arial"/>
          <w:sz w:val="32"/>
          <w:szCs w:val="32"/>
        </w:rPr>
      </w:pPr>
    </w:p>
    <w:p w14:paraId="55B032D6" w14:textId="77777777" w:rsidR="00450BAF" w:rsidRPr="00450BAF" w:rsidRDefault="00450BAF" w:rsidP="00450BAF">
      <w:pPr>
        <w:jc w:val="both"/>
        <w:rPr>
          <w:rFonts w:ascii="Arial" w:hAnsi="Arial" w:cs="Arial"/>
          <w:sz w:val="32"/>
          <w:szCs w:val="32"/>
        </w:rPr>
      </w:pPr>
    </w:p>
    <w:p w14:paraId="639B167A" w14:textId="77777777" w:rsidR="00450BAF" w:rsidRPr="00450BAF" w:rsidRDefault="00450BAF" w:rsidP="00450BAF">
      <w:pPr>
        <w:jc w:val="both"/>
        <w:rPr>
          <w:rFonts w:ascii="Arial" w:hAnsi="Arial" w:cs="Arial"/>
          <w:sz w:val="32"/>
          <w:szCs w:val="32"/>
        </w:rPr>
      </w:pPr>
    </w:p>
    <w:p w14:paraId="4FBA4540" w14:textId="77777777" w:rsidR="00450BAF" w:rsidRPr="00450BAF" w:rsidRDefault="00450BAF" w:rsidP="00450BAF">
      <w:pPr>
        <w:jc w:val="both"/>
        <w:rPr>
          <w:rFonts w:ascii="Arial" w:hAnsi="Arial" w:cs="Arial"/>
          <w:sz w:val="32"/>
          <w:szCs w:val="32"/>
        </w:rPr>
      </w:pPr>
    </w:p>
    <w:p w14:paraId="37FF768D" w14:textId="77777777" w:rsidR="00450BAF" w:rsidRPr="00450BAF" w:rsidRDefault="00450BAF" w:rsidP="00450BAF">
      <w:pPr>
        <w:jc w:val="both"/>
        <w:rPr>
          <w:rFonts w:ascii="Arial" w:hAnsi="Arial" w:cs="Arial"/>
          <w:sz w:val="32"/>
          <w:szCs w:val="32"/>
        </w:rPr>
        <w:sectPr w:rsidR="00450BAF" w:rsidRPr="00450BAF">
          <w:pgSz w:w="11906" w:h="16838"/>
          <w:pgMar w:top="1440" w:right="1440" w:bottom="1440" w:left="1440" w:header="708" w:footer="708" w:gutter="0"/>
          <w:cols w:space="708"/>
          <w:docGrid w:linePitch="360"/>
        </w:sectPr>
      </w:pPr>
    </w:p>
    <w:p w14:paraId="5E73D1F1" w14:textId="77777777" w:rsidR="00450BAF" w:rsidRPr="00450BAF" w:rsidRDefault="00450BAF" w:rsidP="00450BAF">
      <w:pPr>
        <w:pStyle w:val="Heading1"/>
        <w:jc w:val="both"/>
        <w:rPr>
          <w:rFonts w:cs="Arial"/>
          <w:sz w:val="32"/>
        </w:rPr>
      </w:pPr>
      <w:bookmarkStart w:id="0" w:name="_Toc71035486"/>
      <w:r w:rsidRPr="00450BAF">
        <w:rPr>
          <w:rFonts w:cs="Arial"/>
          <w:sz w:val="32"/>
        </w:rPr>
        <w:t>INTRODUCTION</w:t>
      </w:r>
      <w:bookmarkEnd w:id="0"/>
    </w:p>
    <w:p w14:paraId="1C49F8C6"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Standards are benchmarks that are used by organizations to measure the quality of their activities and operations. Standard costs are estimates of costs developed by management based on predetermined analysis of past and planned costs and conditions </w:t>
      </w:r>
      <w:sdt>
        <w:sdtPr>
          <w:rPr>
            <w:rFonts w:ascii="Arial" w:hAnsi="Arial" w:cs="Arial"/>
            <w:sz w:val="32"/>
            <w:szCs w:val="32"/>
          </w:rPr>
          <w:id w:val="992911172"/>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Mul16 \l 2057 </w:instrText>
          </w:r>
          <w:r w:rsidRPr="00450BAF">
            <w:rPr>
              <w:rFonts w:ascii="Arial" w:hAnsi="Arial" w:cs="Arial"/>
              <w:sz w:val="32"/>
              <w:szCs w:val="32"/>
            </w:rPr>
            <w:fldChar w:fldCharType="separate"/>
          </w:r>
          <w:r w:rsidRPr="00450BAF">
            <w:rPr>
              <w:rFonts w:ascii="Arial" w:hAnsi="Arial" w:cs="Arial"/>
              <w:noProof/>
              <w:sz w:val="32"/>
              <w:szCs w:val="32"/>
            </w:rPr>
            <w:t>(Khan, et al., 2016)</w:t>
          </w:r>
          <w:r w:rsidRPr="00450BAF">
            <w:rPr>
              <w:rFonts w:ascii="Arial" w:hAnsi="Arial" w:cs="Arial"/>
              <w:sz w:val="32"/>
              <w:szCs w:val="32"/>
            </w:rPr>
            <w:fldChar w:fldCharType="end"/>
          </w:r>
        </w:sdtContent>
      </w:sdt>
      <w:r w:rsidRPr="00450BAF">
        <w:rPr>
          <w:rFonts w:ascii="Arial" w:hAnsi="Arial" w:cs="Arial"/>
          <w:sz w:val="32"/>
          <w:szCs w:val="32"/>
        </w:rPr>
        <w:t xml:space="preserve">. They are used by managers to develop budgets and assist in measuring the performance of the organization on a periodical basis </w:t>
      </w:r>
      <w:sdt>
        <w:sdtPr>
          <w:rPr>
            <w:rFonts w:ascii="Arial" w:hAnsi="Arial" w:cs="Arial"/>
            <w:sz w:val="32"/>
            <w:szCs w:val="32"/>
          </w:rPr>
          <w:id w:val="-1122768062"/>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Rai13 \l 2057 </w:instrText>
          </w:r>
          <w:r w:rsidRPr="00450BAF">
            <w:rPr>
              <w:rFonts w:ascii="Arial" w:hAnsi="Arial" w:cs="Arial"/>
              <w:sz w:val="32"/>
              <w:szCs w:val="32"/>
            </w:rPr>
            <w:fldChar w:fldCharType="separate"/>
          </w:r>
          <w:r w:rsidRPr="00450BAF">
            <w:rPr>
              <w:rFonts w:ascii="Arial" w:hAnsi="Arial" w:cs="Arial"/>
              <w:noProof/>
              <w:sz w:val="32"/>
              <w:szCs w:val="32"/>
            </w:rPr>
            <w:t>(Raiborn, et al., 2013)</w:t>
          </w:r>
          <w:r w:rsidRPr="00450BAF">
            <w:rPr>
              <w:rFonts w:ascii="Arial" w:hAnsi="Arial" w:cs="Arial"/>
              <w:sz w:val="32"/>
              <w:szCs w:val="32"/>
            </w:rPr>
            <w:fldChar w:fldCharType="end"/>
          </w:r>
        </w:sdtContent>
      </w:sdt>
      <w:r w:rsidRPr="00450BAF">
        <w:rPr>
          <w:rFonts w:ascii="Arial" w:hAnsi="Arial" w:cs="Arial"/>
          <w:sz w:val="32"/>
          <w:szCs w:val="32"/>
        </w:rPr>
        <w:t xml:space="preserve">. Estimation of standard costs results in comparison to actual costs that the business incurs in a certain period. This brings forth the concept of variance analysis, where managers need to evaluate arising changes to make informed decisions. This report targets to assess the benefits and detriments of using variances when making decisions, compute required variances, identify how variances are linked to the dysfunctional </w:t>
      </w:r>
      <w:proofErr w:type="spellStart"/>
      <w:r w:rsidRPr="00450BAF">
        <w:rPr>
          <w:rFonts w:ascii="Arial" w:hAnsi="Arial" w:cs="Arial"/>
          <w:sz w:val="32"/>
          <w:szCs w:val="32"/>
        </w:rPr>
        <w:t>behavior</w:t>
      </w:r>
      <w:proofErr w:type="spellEnd"/>
      <w:r w:rsidRPr="00450BAF">
        <w:rPr>
          <w:rFonts w:ascii="Arial" w:hAnsi="Arial" w:cs="Arial"/>
          <w:sz w:val="32"/>
          <w:szCs w:val="32"/>
        </w:rPr>
        <w:t xml:space="preserve"> of managers, and assess strategic choices in make or buy decisions.</w:t>
      </w:r>
    </w:p>
    <w:p w14:paraId="5CD97ED2" w14:textId="77777777" w:rsidR="00450BAF" w:rsidRPr="00450BAF" w:rsidRDefault="00450BAF" w:rsidP="00450BAF">
      <w:pPr>
        <w:pStyle w:val="Heading1"/>
        <w:jc w:val="both"/>
        <w:rPr>
          <w:rFonts w:cs="Arial"/>
          <w:sz w:val="32"/>
        </w:rPr>
      </w:pPr>
      <w:bookmarkStart w:id="1" w:name="_Toc71035487"/>
      <w:r w:rsidRPr="00450BAF">
        <w:rPr>
          <w:rFonts w:cs="Arial"/>
          <w:sz w:val="32"/>
        </w:rPr>
        <w:t>PART A</w:t>
      </w:r>
      <w:bookmarkEnd w:id="1"/>
    </w:p>
    <w:p w14:paraId="1EE335A7" w14:textId="77777777" w:rsidR="00450BAF" w:rsidRPr="00450BAF" w:rsidRDefault="00450BAF" w:rsidP="00450BAF">
      <w:pPr>
        <w:pStyle w:val="Heading2"/>
        <w:jc w:val="both"/>
        <w:rPr>
          <w:rFonts w:cs="Arial"/>
          <w:sz w:val="32"/>
          <w:szCs w:val="32"/>
        </w:rPr>
      </w:pPr>
      <w:bookmarkStart w:id="2" w:name="_Toc71035488"/>
      <w:r w:rsidRPr="00450BAF">
        <w:rPr>
          <w:rFonts w:cs="Arial"/>
          <w:sz w:val="32"/>
          <w:szCs w:val="32"/>
        </w:rPr>
        <w:t>Sales Price Variance</w:t>
      </w:r>
      <w:bookmarkEnd w:id="2"/>
    </w:p>
    <w:p w14:paraId="0D8E08B6"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This variance may occur due to an increase or decrease in the market share, as well as an improved or worsened ability of a company to compete. XLG has a </w:t>
      </w:r>
      <w:proofErr w:type="spellStart"/>
      <w:r w:rsidRPr="00450BAF">
        <w:rPr>
          <w:rFonts w:ascii="Arial" w:hAnsi="Arial" w:cs="Arial"/>
          <w:sz w:val="32"/>
          <w:szCs w:val="32"/>
        </w:rPr>
        <w:t>favorable</w:t>
      </w:r>
      <w:proofErr w:type="spellEnd"/>
      <w:r w:rsidRPr="00450BAF">
        <w:rPr>
          <w:rFonts w:ascii="Arial" w:hAnsi="Arial" w:cs="Arial"/>
          <w:sz w:val="32"/>
          <w:szCs w:val="32"/>
        </w:rPr>
        <w:t xml:space="preserve"> sales price variance in both chemical X and Y, which further demonstrates its market-leading position after securing a patent against its major competitors.</w:t>
      </w:r>
    </w:p>
    <w:tbl>
      <w:tblPr>
        <w:tblW w:w="5000" w:type="pct"/>
        <w:tblLook w:val="04A0" w:firstRow="1" w:lastRow="0" w:firstColumn="1" w:lastColumn="0" w:noHBand="0" w:noVBand="1"/>
      </w:tblPr>
      <w:tblGrid>
        <w:gridCol w:w="4420"/>
        <w:gridCol w:w="2569"/>
        <w:gridCol w:w="2017"/>
      </w:tblGrid>
      <w:tr w:rsidR="00450BAF" w:rsidRPr="00450BAF" w14:paraId="5E1CEC22" w14:textId="77777777" w:rsidTr="00C745CB">
        <w:trPr>
          <w:trHeight w:val="340"/>
        </w:trPr>
        <w:tc>
          <w:tcPr>
            <w:tcW w:w="5000" w:type="pct"/>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CF0D4B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Sales and Contribution</w:t>
            </w:r>
          </w:p>
        </w:tc>
      </w:tr>
      <w:tr w:rsidR="00450BAF" w:rsidRPr="00450BAF" w14:paraId="56A37AE4" w14:textId="77777777" w:rsidTr="00C745CB">
        <w:trPr>
          <w:trHeight w:val="340"/>
        </w:trPr>
        <w:tc>
          <w:tcPr>
            <w:tcW w:w="2454" w:type="pct"/>
            <w:tcBorders>
              <w:top w:val="nil"/>
              <w:left w:val="single" w:sz="8" w:space="0" w:color="auto"/>
              <w:bottom w:val="single" w:sz="4" w:space="0" w:color="auto"/>
              <w:right w:val="single" w:sz="4" w:space="0" w:color="auto"/>
            </w:tcBorders>
            <w:shd w:val="clear" w:color="auto" w:fill="auto"/>
            <w:noWrap/>
            <w:vAlign w:val="bottom"/>
            <w:hideMark/>
          </w:tcPr>
          <w:p w14:paraId="169BC007"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Product</w:t>
            </w:r>
          </w:p>
        </w:tc>
        <w:tc>
          <w:tcPr>
            <w:tcW w:w="1426" w:type="pct"/>
            <w:tcBorders>
              <w:top w:val="nil"/>
              <w:left w:val="nil"/>
              <w:bottom w:val="single" w:sz="4" w:space="0" w:color="auto"/>
              <w:right w:val="single" w:sz="4" w:space="0" w:color="auto"/>
            </w:tcBorders>
            <w:shd w:val="clear" w:color="auto" w:fill="auto"/>
            <w:noWrap/>
            <w:vAlign w:val="bottom"/>
            <w:hideMark/>
          </w:tcPr>
          <w:p w14:paraId="702280B1"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X</w:t>
            </w:r>
          </w:p>
        </w:tc>
        <w:tc>
          <w:tcPr>
            <w:tcW w:w="1119" w:type="pct"/>
            <w:tcBorders>
              <w:top w:val="nil"/>
              <w:left w:val="nil"/>
              <w:bottom w:val="single" w:sz="4" w:space="0" w:color="auto"/>
              <w:right w:val="single" w:sz="8" w:space="0" w:color="auto"/>
            </w:tcBorders>
            <w:shd w:val="clear" w:color="auto" w:fill="auto"/>
            <w:noWrap/>
            <w:vAlign w:val="bottom"/>
            <w:hideMark/>
          </w:tcPr>
          <w:p w14:paraId="76AFF052"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Y</w:t>
            </w:r>
          </w:p>
        </w:tc>
      </w:tr>
      <w:tr w:rsidR="00450BAF" w:rsidRPr="00450BAF" w14:paraId="037681B3" w14:textId="77777777" w:rsidTr="00C745CB">
        <w:trPr>
          <w:trHeight w:val="340"/>
        </w:trPr>
        <w:tc>
          <w:tcPr>
            <w:tcW w:w="2454" w:type="pct"/>
            <w:tcBorders>
              <w:top w:val="nil"/>
              <w:left w:val="single" w:sz="8" w:space="0" w:color="auto"/>
              <w:bottom w:val="single" w:sz="4" w:space="0" w:color="auto"/>
              <w:right w:val="single" w:sz="4" w:space="0" w:color="auto"/>
            </w:tcBorders>
            <w:shd w:val="clear" w:color="auto" w:fill="auto"/>
            <w:noWrap/>
            <w:vAlign w:val="bottom"/>
            <w:hideMark/>
          </w:tcPr>
          <w:p w14:paraId="58AE5578"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Budgeted unit sales</w:t>
            </w:r>
          </w:p>
        </w:tc>
        <w:tc>
          <w:tcPr>
            <w:tcW w:w="1426" w:type="pct"/>
            <w:tcBorders>
              <w:top w:val="nil"/>
              <w:left w:val="nil"/>
              <w:bottom w:val="single" w:sz="4" w:space="0" w:color="auto"/>
              <w:right w:val="single" w:sz="4" w:space="0" w:color="auto"/>
            </w:tcBorders>
            <w:shd w:val="clear" w:color="auto" w:fill="auto"/>
            <w:noWrap/>
            <w:vAlign w:val="bottom"/>
            <w:hideMark/>
          </w:tcPr>
          <w:p w14:paraId="3311B1D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595</w:t>
            </w:r>
          </w:p>
        </w:tc>
        <w:tc>
          <w:tcPr>
            <w:tcW w:w="1119" w:type="pct"/>
            <w:tcBorders>
              <w:top w:val="nil"/>
              <w:left w:val="nil"/>
              <w:bottom w:val="single" w:sz="4" w:space="0" w:color="auto"/>
              <w:right w:val="single" w:sz="8" w:space="0" w:color="auto"/>
            </w:tcBorders>
            <w:shd w:val="clear" w:color="auto" w:fill="auto"/>
            <w:noWrap/>
            <w:vAlign w:val="bottom"/>
            <w:hideMark/>
          </w:tcPr>
          <w:p w14:paraId="48E139E2"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595</w:t>
            </w:r>
          </w:p>
        </w:tc>
      </w:tr>
      <w:tr w:rsidR="00450BAF" w:rsidRPr="00450BAF" w14:paraId="7486FF67" w14:textId="77777777" w:rsidTr="00C745CB">
        <w:trPr>
          <w:trHeight w:val="340"/>
        </w:trPr>
        <w:tc>
          <w:tcPr>
            <w:tcW w:w="2454" w:type="pct"/>
            <w:tcBorders>
              <w:top w:val="nil"/>
              <w:left w:val="single" w:sz="8" w:space="0" w:color="auto"/>
              <w:bottom w:val="single" w:sz="4" w:space="0" w:color="auto"/>
              <w:right w:val="single" w:sz="4" w:space="0" w:color="auto"/>
            </w:tcBorders>
            <w:shd w:val="clear" w:color="auto" w:fill="auto"/>
            <w:noWrap/>
            <w:vAlign w:val="bottom"/>
            <w:hideMark/>
          </w:tcPr>
          <w:p w14:paraId="745A6766"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Sale Price </w:t>
            </w:r>
          </w:p>
        </w:tc>
        <w:tc>
          <w:tcPr>
            <w:tcW w:w="1426" w:type="pct"/>
            <w:tcBorders>
              <w:top w:val="nil"/>
              <w:left w:val="nil"/>
              <w:bottom w:val="single" w:sz="4" w:space="0" w:color="auto"/>
              <w:right w:val="single" w:sz="4" w:space="0" w:color="auto"/>
            </w:tcBorders>
            <w:shd w:val="clear" w:color="auto" w:fill="auto"/>
            <w:noWrap/>
            <w:vAlign w:val="bottom"/>
            <w:hideMark/>
          </w:tcPr>
          <w:p w14:paraId="4B3D96CF"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35.00 </w:t>
            </w:r>
          </w:p>
        </w:tc>
        <w:tc>
          <w:tcPr>
            <w:tcW w:w="1119" w:type="pct"/>
            <w:tcBorders>
              <w:top w:val="nil"/>
              <w:left w:val="nil"/>
              <w:bottom w:val="single" w:sz="4" w:space="0" w:color="auto"/>
              <w:right w:val="single" w:sz="8" w:space="0" w:color="auto"/>
            </w:tcBorders>
            <w:shd w:val="clear" w:color="auto" w:fill="auto"/>
            <w:noWrap/>
            <w:vAlign w:val="bottom"/>
            <w:hideMark/>
          </w:tcPr>
          <w:p w14:paraId="14CF6CA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w:t>
            </w:r>
            <w:proofErr w:type="gramStart"/>
            <w:r w:rsidRPr="00450BAF">
              <w:rPr>
                <w:rFonts w:ascii="Arial" w:eastAsia="Times New Roman" w:hAnsi="Arial" w:cs="Arial"/>
                <w:color w:val="000000"/>
                <w:sz w:val="32"/>
                <w:szCs w:val="32"/>
                <w:lang w:eastAsia="en-GB"/>
              </w:rPr>
              <w:t>£  30.00</w:t>
            </w:r>
            <w:proofErr w:type="gramEnd"/>
            <w:r w:rsidRPr="00450BAF">
              <w:rPr>
                <w:rFonts w:ascii="Arial" w:eastAsia="Times New Roman" w:hAnsi="Arial" w:cs="Arial"/>
                <w:color w:val="000000"/>
                <w:sz w:val="32"/>
                <w:szCs w:val="32"/>
                <w:lang w:eastAsia="en-GB"/>
              </w:rPr>
              <w:t xml:space="preserve"> </w:t>
            </w:r>
          </w:p>
        </w:tc>
      </w:tr>
      <w:tr w:rsidR="00450BAF" w:rsidRPr="00450BAF" w14:paraId="71D41590" w14:textId="77777777" w:rsidTr="00C745CB">
        <w:trPr>
          <w:trHeight w:val="356"/>
        </w:trPr>
        <w:tc>
          <w:tcPr>
            <w:tcW w:w="2454" w:type="pct"/>
            <w:tcBorders>
              <w:top w:val="nil"/>
              <w:left w:val="single" w:sz="8" w:space="0" w:color="auto"/>
              <w:bottom w:val="single" w:sz="8" w:space="0" w:color="auto"/>
              <w:right w:val="single" w:sz="4" w:space="0" w:color="auto"/>
            </w:tcBorders>
            <w:shd w:val="clear" w:color="auto" w:fill="auto"/>
            <w:noWrap/>
            <w:vAlign w:val="bottom"/>
            <w:hideMark/>
          </w:tcPr>
          <w:p w14:paraId="7A0104F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Standard margin </w:t>
            </w:r>
          </w:p>
        </w:tc>
        <w:tc>
          <w:tcPr>
            <w:tcW w:w="1426" w:type="pct"/>
            <w:tcBorders>
              <w:top w:val="nil"/>
              <w:left w:val="nil"/>
              <w:bottom w:val="single" w:sz="8" w:space="0" w:color="auto"/>
              <w:right w:val="single" w:sz="4" w:space="0" w:color="auto"/>
            </w:tcBorders>
            <w:shd w:val="clear" w:color="auto" w:fill="auto"/>
            <w:noWrap/>
            <w:vAlign w:val="bottom"/>
            <w:hideMark/>
          </w:tcPr>
          <w:p w14:paraId="1429070C"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25.00 </w:t>
            </w:r>
          </w:p>
        </w:tc>
        <w:tc>
          <w:tcPr>
            <w:tcW w:w="1119" w:type="pct"/>
            <w:tcBorders>
              <w:top w:val="nil"/>
              <w:left w:val="nil"/>
              <w:bottom w:val="single" w:sz="8" w:space="0" w:color="auto"/>
              <w:right w:val="single" w:sz="8" w:space="0" w:color="auto"/>
            </w:tcBorders>
            <w:shd w:val="clear" w:color="auto" w:fill="auto"/>
            <w:noWrap/>
            <w:vAlign w:val="bottom"/>
            <w:hideMark/>
          </w:tcPr>
          <w:p w14:paraId="0500269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w:t>
            </w:r>
            <w:proofErr w:type="gramStart"/>
            <w:r w:rsidRPr="00450BAF">
              <w:rPr>
                <w:rFonts w:ascii="Arial" w:eastAsia="Times New Roman" w:hAnsi="Arial" w:cs="Arial"/>
                <w:color w:val="000000"/>
                <w:sz w:val="32"/>
                <w:szCs w:val="32"/>
                <w:lang w:eastAsia="en-GB"/>
              </w:rPr>
              <w:t>£  20.00</w:t>
            </w:r>
            <w:proofErr w:type="gramEnd"/>
            <w:r w:rsidRPr="00450BAF">
              <w:rPr>
                <w:rFonts w:ascii="Arial" w:eastAsia="Times New Roman" w:hAnsi="Arial" w:cs="Arial"/>
                <w:color w:val="000000"/>
                <w:sz w:val="32"/>
                <w:szCs w:val="32"/>
                <w:lang w:eastAsia="en-GB"/>
              </w:rPr>
              <w:t xml:space="preserve"> </w:t>
            </w:r>
          </w:p>
        </w:tc>
      </w:tr>
    </w:tbl>
    <w:p w14:paraId="704C1871" w14:textId="77777777" w:rsidR="00450BAF" w:rsidRPr="00450BAF" w:rsidRDefault="00450BAF" w:rsidP="00450BAF">
      <w:pPr>
        <w:jc w:val="both"/>
        <w:rPr>
          <w:rFonts w:ascii="Arial" w:hAnsi="Arial" w:cs="Arial"/>
          <w:sz w:val="32"/>
          <w:szCs w:val="32"/>
        </w:rPr>
      </w:pPr>
    </w:p>
    <w:p w14:paraId="32528CE1" w14:textId="77777777" w:rsidR="00450BAF" w:rsidRPr="00450BAF" w:rsidRDefault="00450BAF" w:rsidP="00450BAF">
      <w:pPr>
        <w:jc w:val="both"/>
        <w:rPr>
          <w:rFonts w:ascii="Arial" w:hAnsi="Arial" w:cs="Arial"/>
          <w:sz w:val="32"/>
          <w:szCs w:val="32"/>
        </w:rPr>
      </w:pPr>
    </w:p>
    <w:tbl>
      <w:tblPr>
        <w:tblW w:w="5000" w:type="pct"/>
        <w:tblLook w:val="04A0" w:firstRow="1" w:lastRow="0" w:firstColumn="1" w:lastColumn="0" w:noHBand="0" w:noVBand="1"/>
      </w:tblPr>
      <w:tblGrid>
        <w:gridCol w:w="5753"/>
        <w:gridCol w:w="3253"/>
      </w:tblGrid>
      <w:tr w:rsidR="00450BAF" w:rsidRPr="00450BAF" w14:paraId="4BE52244" w14:textId="77777777" w:rsidTr="00C745CB">
        <w:trPr>
          <w:trHeight w:val="315"/>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3F367E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Sales Price Variance</w:t>
            </w:r>
          </w:p>
        </w:tc>
      </w:tr>
      <w:tr w:rsidR="00450BAF" w:rsidRPr="00450BAF" w14:paraId="7DDE3014" w14:textId="77777777" w:rsidTr="00C745CB">
        <w:trPr>
          <w:trHeight w:val="315"/>
        </w:trPr>
        <w:tc>
          <w:tcPr>
            <w:tcW w:w="5000" w:type="pct"/>
            <w:gridSpan w:val="2"/>
            <w:tcBorders>
              <w:top w:val="nil"/>
              <w:left w:val="single" w:sz="8" w:space="0" w:color="auto"/>
              <w:bottom w:val="single" w:sz="4" w:space="0" w:color="auto"/>
              <w:right w:val="single" w:sz="8" w:space="0" w:color="auto"/>
            </w:tcBorders>
            <w:shd w:val="clear" w:color="auto" w:fill="auto"/>
            <w:noWrap/>
            <w:vAlign w:val="bottom"/>
            <w:hideMark/>
          </w:tcPr>
          <w:p w14:paraId="30606A63"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Chemical X</w:t>
            </w:r>
          </w:p>
        </w:tc>
      </w:tr>
      <w:tr w:rsidR="00450BAF" w:rsidRPr="00450BAF" w14:paraId="7A6D3A34" w14:textId="77777777" w:rsidTr="00C745CB">
        <w:trPr>
          <w:trHeight w:val="885"/>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4FE7607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Formula</w:t>
            </w:r>
            <w:r w:rsidRPr="00450BAF">
              <w:rPr>
                <w:rFonts w:ascii="Arial" w:eastAsia="Times New Roman" w:hAnsi="Arial" w:cs="Arial"/>
                <w:color w:val="000000"/>
                <w:sz w:val="32"/>
                <w:szCs w:val="32"/>
                <w:lang w:eastAsia="en-GB"/>
              </w:rPr>
              <w:br/>
              <w:t xml:space="preserve"> (Actual Price- Standard </w:t>
            </w:r>
            <w:proofErr w:type="gramStart"/>
            <w:r w:rsidRPr="00450BAF">
              <w:rPr>
                <w:rFonts w:ascii="Arial" w:eastAsia="Times New Roman" w:hAnsi="Arial" w:cs="Arial"/>
                <w:color w:val="000000"/>
                <w:sz w:val="32"/>
                <w:szCs w:val="32"/>
                <w:lang w:eastAsia="en-GB"/>
              </w:rPr>
              <w:t>price)*</w:t>
            </w:r>
            <w:proofErr w:type="gramEnd"/>
            <w:r w:rsidRPr="00450BAF">
              <w:rPr>
                <w:rFonts w:ascii="Arial" w:eastAsia="Times New Roman" w:hAnsi="Arial" w:cs="Arial"/>
                <w:color w:val="000000"/>
                <w:sz w:val="32"/>
                <w:szCs w:val="32"/>
                <w:lang w:eastAsia="en-GB"/>
              </w:rPr>
              <w:t xml:space="preserve"> Actual Units Sold</w:t>
            </w:r>
          </w:p>
        </w:tc>
      </w:tr>
      <w:tr w:rsidR="00450BAF" w:rsidRPr="00450BAF" w14:paraId="3AC965D0" w14:textId="77777777" w:rsidTr="00C745CB">
        <w:trPr>
          <w:trHeight w:val="315"/>
        </w:trPr>
        <w:tc>
          <w:tcPr>
            <w:tcW w:w="3194" w:type="pct"/>
            <w:tcBorders>
              <w:top w:val="nil"/>
              <w:left w:val="single" w:sz="8" w:space="0" w:color="auto"/>
              <w:bottom w:val="single" w:sz="4" w:space="0" w:color="auto"/>
              <w:right w:val="single" w:sz="4" w:space="0" w:color="auto"/>
            </w:tcBorders>
            <w:shd w:val="clear" w:color="auto" w:fill="auto"/>
            <w:noWrap/>
            <w:vAlign w:val="bottom"/>
            <w:hideMark/>
          </w:tcPr>
          <w:p w14:paraId="4B5ECFD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Price</w:t>
            </w:r>
          </w:p>
        </w:tc>
        <w:tc>
          <w:tcPr>
            <w:tcW w:w="1806" w:type="pct"/>
            <w:tcBorders>
              <w:top w:val="nil"/>
              <w:left w:val="nil"/>
              <w:bottom w:val="single" w:sz="4" w:space="0" w:color="auto"/>
              <w:right w:val="single" w:sz="8" w:space="0" w:color="auto"/>
            </w:tcBorders>
            <w:shd w:val="clear" w:color="auto" w:fill="auto"/>
            <w:noWrap/>
            <w:vAlign w:val="bottom"/>
            <w:hideMark/>
          </w:tcPr>
          <w:p w14:paraId="0F57EA6F"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45.00 </w:t>
            </w:r>
          </w:p>
        </w:tc>
      </w:tr>
      <w:tr w:rsidR="00450BAF" w:rsidRPr="00450BAF" w14:paraId="2B69B086" w14:textId="77777777" w:rsidTr="00C745CB">
        <w:trPr>
          <w:trHeight w:val="315"/>
        </w:trPr>
        <w:tc>
          <w:tcPr>
            <w:tcW w:w="3194" w:type="pct"/>
            <w:tcBorders>
              <w:top w:val="nil"/>
              <w:left w:val="single" w:sz="8" w:space="0" w:color="auto"/>
              <w:bottom w:val="single" w:sz="4" w:space="0" w:color="auto"/>
              <w:right w:val="single" w:sz="4" w:space="0" w:color="auto"/>
            </w:tcBorders>
            <w:shd w:val="clear" w:color="auto" w:fill="auto"/>
            <w:noWrap/>
            <w:vAlign w:val="bottom"/>
            <w:hideMark/>
          </w:tcPr>
          <w:p w14:paraId="5B53ACF6"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Standard Price</w:t>
            </w:r>
          </w:p>
        </w:tc>
        <w:tc>
          <w:tcPr>
            <w:tcW w:w="1806" w:type="pct"/>
            <w:tcBorders>
              <w:top w:val="nil"/>
              <w:left w:val="nil"/>
              <w:bottom w:val="single" w:sz="4" w:space="0" w:color="auto"/>
              <w:right w:val="single" w:sz="8" w:space="0" w:color="auto"/>
            </w:tcBorders>
            <w:shd w:val="clear" w:color="auto" w:fill="auto"/>
            <w:noWrap/>
            <w:vAlign w:val="bottom"/>
            <w:hideMark/>
          </w:tcPr>
          <w:p w14:paraId="341F2F6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35.00 </w:t>
            </w:r>
          </w:p>
        </w:tc>
      </w:tr>
      <w:tr w:rsidR="00450BAF" w:rsidRPr="00450BAF" w14:paraId="627C8826" w14:textId="77777777" w:rsidTr="00C745CB">
        <w:trPr>
          <w:trHeight w:val="315"/>
        </w:trPr>
        <w:tc>
          <w:tcPr>
            <w:tcW w:w="3194" w:type="pct"/>
            <w:tcBorders>
              <w:top w:val="nil"/>
              <w:left w:val="single" w:sz="8" w:space="0" w:color="auto"/>
              <w:bottom w:val="single" w:sz="4" w:space="0" w:color="auto"/>
              <w:right w:val="single" w:sz="4" w:space="0" w:color="auto"/>
            </w:tcBorders>
            <w:shd w:val="clear" w:color="auto" w:fill="auto"/>
            <w:noWrap/>
            <w:vAlign w:val="bottom"/>
            <w:hideMark/>
          </w:tcPr>
          <w:p w14:paraId="10A5CA11"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806" w:type="pct"/>
            <w:tcBorders>
              <w:top w:val="nil"/>
              <w:left w:val="nil"/>
              <w:bottom w:val="single" w:sz="4" w:space="0" w:color="auto"/>
              <w:right w:val="single" w:sz="8" w:space="0" w:color="auto"/>
            </w:tcBorders>
            <w:shd w:val="clear" w:color="auto" w:fill="auto"/>
            <w:noWrap/>
            <w:vAlign w:val="bottom"/>
            <w:hideMark/>
          </w:tcPr>
          <w:p w14:paraId="4345A94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850</w:t>
            </w:r>
          </w:p>
        </w:tc>
      </w:tr>
      <w:tr w:rsidR="00450BAF" w:rsidRPr="00450BAF" w14:paraId="64AD48AC" w14:textId="77777777" w:rsidTr="00C745CB">
        <w:trPr>
          <w:trHeight w:val="315"/>
        </w:trPr>
        <w:tc>
          <w:tcPr>
            <w:tcW w:w="3194" w:type="pct"/>
            <w:tcBorders>
              <w:top w:val="nil"/>
              <w:left w:val="single" w:sz="8" w:space="0" w:color="auto"/>
              <w:bottom w:val="single" w:sz="4" w:space="0" w:color="auto"/>
              <w:right w:val="single" w:sz="4" w:space="0" w:color="auto"/>
            </w:tcBorders>
            <w:shd w:val="clear" w:color="auto" w:fill="auto"/>
            <w:noWrap/>
            <w:vAlign w:val="bottom"/>
            <w:hideMark/>
          </w:tcPr>
          <w:p w14:paraId="5E7FF4D7"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806" w:type="pct"/>
            <w:tcBorders>
              <w:top w:val="nil"/>
              <w:left w:val="nil"/>
              <w:bottom w:val="single" w:sz="4" w:space="0" w:color="auto"/>
              <w:right w:val="single" w:sz="8" w:space="0" w:color="auto"/>
            </w:tcBorders>
            <w:shd w:val="clear" w:color="auto" w:fill="auto"/>
            <w:noWrap/>
            <w:vAlign w:val="bottom"/>
            <w:hideMark/>
          </w:tcPr>
          <w:p w14:paraId="6DE0D08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448E4927" w14:textId="77777777" w:rsidTr="00C745CB">
        <w:trPr>
          <w:trHeight w:val="315"/>
        </w:trPr>
        <w:tc>
          <w:tcPr>
            <w:tcW w:w="3194" w:type="pct"/>
            <w:tcBorders>
              <w:top w:val="nil"/>
              <w:left w:val="single" w:sz="8" w:space="0" w:color="auto"/>
              <w:bottom w:val="single" w:sz="4" w:space="0" w:color="auto"/>
              <w:right w:val="single" w:sz="4" w:space="0" w:color="auto"/>
            </w:tcBorders>
            <w:shd w:val="clear" w:color="auto" w:fill="auto"/>
            <w:noWrap/>
            <w:vAlign w:val="bottom"/>
            <w:hideMark/>
          </w:tcPr>
          <w:p w14:paraId="66C9E924"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Sales Price Variance</w:t>
            </w:r>
          </w:p>
        </w:tc>
        <w:tc>
          <w:tcPr>
            <w:tcW w:w="1806" w:type="pct"/>
            <w:tcBorders>
              <w:top w:val="nil"/>
              <w:left w:val="nil"/>
              <w:bottom w:val="single" w:sz="4" w:space="0" w:color="auto"/>
              <w:right w:val="single" w:sz="8" w:space="0" w:color="auto"/>
            </w:tcBorders>
            <w:shd w:val="clear" w:color="auto" w:fill="auto"/>
            <w:noWrap/>
            <w:vAlign w:val="bottom"/>
            <w:hideMark/>
          </w:tcPr>
          <w:p w14:paraId="6B01F12D"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 xml:space="preserve"> £ 8,500.00 </w:t>
            </w:r>
          </w:p>
        </w:tc>
      </w:tr>
      <w:tr w:rsidR="00450BAF" w:rsidRPr="00450BAF" w14:paraId="3DEE40C2" w14:textId="77777777" w:rsidTr="00C745CB">
        <w:trPr>
          <w:trHeight w:val="330"/>
        </w:trPr>
        <w:tc>
          <w:tcPr>
            <w:tcW w:w="3194" w:type="pct"/>
            <w:tcBorders>
              <w:top w:val="nil"/>
              <w:left w:val="single" w:sz="8" w:space="0" w:color="auto"/>
              <w:bottom w:val="single" w:sz="8" w:space="0" w:color="auto"/>
              <w:right w:val="single" w:sz="4" w:space="0" w:color="auto"/>
            </w:tcBorders>
            <w:shd w:val="clear" w:color="auto" w:fill="auto"/>
            <w:noWrap/>
            <w:vAlign w:val="bottom"/>
            <w:hideMark/>
          </w:tcPr>
          <w:p w14:paraId="2199361C"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Status</w:t>
            </w:r>
          </w:p>
        </w:tc>
        <w:tc>
          <w:tcPr>
            <w:tcW w:w="1806" w:type="pct"/>
            <w:tcBorders>
              <w:top w:val="nil"/>
              <w:left w:val="nil"/>
              <w:bottom w:val="single" w:sz="8" w:space="0" w:color="auto"/>
              <w:right w:val="single" w:sz="8" w:space="0" w:color="auto"/>
            </w:tcBorders>
            <w:shd w:val="clear" w:color="auto" w:fill="auto"/>
            <w:noWrap/>
            <w:vAlign w:val="bottom"/>
            <w:hideMark/>
          </w:tcPr>
          <w:p w14:paraId="0DBD9AF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proofErr w:type="spellStart"/>
            <w:r w:rsidRPr="00450BAF">
              <w:rPr>
                <w:rFonts w:ascii="Arial" w:eastAsia="Times New Roman" w:hAnsi="Arial" w:cs="Arial"/>
                <w:color w:val="000000"/>
                <w:sz w:val="32"/>
                <w:szCs w:val="32"/>
                <w:lang w:eastAsia="en-GB"/>
              </w:rPr>
              <w:t>Favorable</w:t>
            </w:r>
            <w:proofErr w:type="spellEnd"/>
          </w:p>
        </w:tc>
      </w:tr>
    </w:tbl>
    <w:p w14:paraId="78371C34" w14:textId="77777777" w:rsidR="00450BAF" w:rsidRPr="00450BAF" w:rsidRDefault="00450BAF" w:rsidP="00450BAF">
      <w:pPr>
        <w:jc w:val="both"/>
        <w:rPr>
          <w:rFonts w:ascii="Arial" w:hAnsi="Arial" w:cs="Arial"/>
          <w:sz w:val="32"/>
          <w:szCs w:val="32"/>
        </w:rPr>
      </w:pPr>
    </w:p>
    <w:p w14:paraId="7541ECE6" w14:textId="77777777" w:rsidR="00450BAF" w:rsidRPr="00450BAF" w:rsidRDefault="00450BAF" w:rsidP="00450BAF">
      <w:pPr>
        <w:jc w:val="both"/>
        <w:rPr>
          <w:rFonts w:ascii="Arial" w:hAnsi="Arial" w:cs="Arial"/>
          <w:sz w:val="32"/>
          <w:szCs w:val="32"/>
        </w:rPr>
      </w:pPr>
    </w:p>
    <w:p w14:paraId="7D2A370D" w14:textId="77777777" w:rsidR="00450BAF" w:rsidRPr="00450BAF" w:rsidRDefault="00450BAF" w:rsidP="00450BAF">
      <w:pPr>
        <w:jc w:val="both"/>
        <w:rPr>
          <w:rFonts w:ascii="Arial" w:hAnsi="Arial" w:cs="Arial"/>
          <w:sz w:val="32"/>
          <w:szCs w:val="32"/>
        </w:rPr>
      </w:pPr>
    </w:p>
    <w:tbl>
      <w:tblPr>
        <w:tblW w:w="5000" w:type="pct"/>
        <w:tblLook w:val="04A0" w:firstRow="1" w:lastRow="0" w:firstColumn="1" w:lastColumn="0" w:noHBand="0" w:noVBand="1"/>
      </w:tblPr>
      <w:tblGrid>
        <w:gridCol w:w="4256"/>
        <w:gridCol w:w="4750"/>
      </w:tblGrid>
      <w:tr w:rsidR="00450BAF" w:rsidRPr="00450BAF" w14:paraId="20087D55" w14:textId="77777777" w:rsidTr="00C745CB">
        <w:trPr>
          <w:trHeight w:val="315"/>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78EE588"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Sales Price Variance</w:t>
            </w:r>
          </w:p>
        </w:tc>
      </w:tr>
      <w:tr w:rsidR="00450BAF" w:rsidRPr="00450BAF" w14:paraId="69135C68" w14:textId="77777777" w:rsidTr="00C745CB">
        <w:trPr>
          <w:trHeight w:val="315"/>
        </w:trPr>
        <w:tc>
          <w:tcPr>
            <w:tcW w:w="5000" w:type="pct"/>
            <w:gridSpan w:val="2"/>
            <w:tcBorders>
              <w:top w:val="nil"/>
              <w:left w:val="single" w:sz="8" w:space="0" w:color="auto"/>
              <w:bottom w:val="single" w:sz="4" w:space="0" w:color="auto"/>
              <w:right w:val="single" w:sz="8" w:space="0" w:color="auto"/>
            </w:tcBorders>
            <w:shd w:val="clear" w:color="auto" w:fill="auto"/>
            <w:noWrap/>
            <w:vAlign w:val="bottom"/>
            <w:hideMark/>
          </w:tcPr>
          <w:p w14:paraId="00BCE114"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Chemical Y</w:t>
            </w:r>
          </w:p>
        </w:tc>
      </w:tr>
      <w:tr w:rsidR="00450BAF" w:rsidRPr="00450BAF" w14:paraId="2161E2BB" w14:textId="77777777" w:rsidTr="00C745CB">
        <w:trPr>
          <w:trHeight w:val="885"/>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26CCFF1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Formula</w:t>
            </w:r>
            <w:r w:rsidRPr="00450BAF">
              <w:rPr>
                <w:rFonts w:ascii="Arial" w:eastAsia="Times New Roman" w:hAnsi="Arial" w:cs="Arial"/>
                <w:color w:val="000000"/>
                <w:sz w:val="32"/>
                <w:szCs w:val="32"/>
                <w:lang w:eastAsia="en-GB"/>
              </w:rPr>
              <w:br/>
              <w:t xml:space="preserve"> (Actual Price- Standard </w:t>
            </w:r>
            <w:proofErr w:type="gramStart"/>
            <w:r w:rsidRPr="00450BAF">
              <w:rPr>
                <w:rFonts w:ascii="Arial" w:eastAsia="Times New Roman" w:hAnsi="Arial" w:cs="Arial"/>
                <w:color w:val="000000"/>
                <w:sz w:val="32"/>
                <w:szCs w:val="32"/>
                <w:lang w:eastAsia="en-GB"/>
              </w:rPr>
              <w:t>price)*</w:t>
            </w:r>
            <w:proofErr w:type="gramEnd"/>
            <w:r w:rsidRPr="00450BAF">
              <w:rPr>
                <w:rFonts w:ascii="Arial" w:eastAsia="Times New Roman" w:hAnsi="Arial" w:cs="Arial"/>
                <w:color w:val="000000"/>
                <w:sz w:val="32"/>
                <w:szCs w:val="32"/>
                <w:lang w:eastAsia="en-GB"/>
              </w:rPr>
              <w:t xml:space="preserve"> Actual Units Sold</w:t>
            </w:r>
          </w:p>
        </w:tc>
      </w:tr>
      <w:tr w:rsidR="00450BAF" w:rsidRPr="00450BAF" w14:paraId="1D1A7111" w14:textId="77777777" w:rsidTr="00C745CB">
        <w:trPr>
          <w:trHeight w:val="315"/>
        </w:trPr>
        <w:tc>
          <w:tcPr>
            <w:tcW w:w="2363" w:type="pct"/>
            <w:tcBorders>
              <w:top w:val="nil"/>
              <w:left w:val="single" w:sz="8" w:space="0" w:color="auto"/>
              <w:bottom w:val="single" w:sz="4" w:space="0" w:color="auto"/>
              <w:right w:val="single" w:sz="4" w:space="0" w:color="auto"/>
            </w:tcBorders>
            <w:shd w:val="clear" w:color="auto" w:fill="auto"/>
            <w:noWrap/>
            <w:vAlign w:val="bottom"/>
            <w:hideMark/>
          </w:tcPr>
          <w:p w14:paraId="4343D236"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Price</w:t>
            </w:r>
          </w:p>
        </w:tc>
        <w:tc>
          <w:tcPr>
            <w:tcW w:w="2637" w:type="pct"/>
            <w:tcBorders>
              <w:top w:val="nil"/>
              <w:left w:val="nil"/>
              <w:bottom w:val="single" w:sz="4" w:space="0" w:color="auto"/>
              <w:right w:val="single" w:sz="8" w:space="0" w:color="auto"/>
            </w:tcBorders>
            <w:shd w:val="clear" w:color="auto" w:fill="auto"/>
            <w:noWrap/>
            <w:vAlign w:val="bottom"/>
            <w:hideMark/>
          </w:tcPr>
          <w:p w14:paraId="1BE436E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37.00 </w:t>
            </w:r>
          </w:p>
        </w:tc>
      </w:tr>
      <w:tr w:rsidR="00450BAF" w:rsidRPr="00450BAF" w14:paraId="46619AB5" w14:textId="77777777" w:rsidTr="00C745CB">
        <w:trPr>
          <w:trHeight w:val="315"/>
        </w:trPr>
        <w:tc>
          <w:tcPr>
            <w:tcW w:w="2363" w:type="pct"/>
            <w:tcBorders>
              <w:top w:val="nil"/>
              <w:left w:val="single" w:sz="8" w:space="0" w:color="auto"/>
              <w:bottom w:val="single" w:sz="4" w:space="0" w:color="auto"/>
              <w:right w:val="single" w:sz="4" w:space="0" w:color="auto"/>
            </w:tcBorders>
            <w:shd w:val="clear" w:color="auto" w:fill="auto"/>
            <w:noWrap/>
            <w:vAlign w:val="bottom"/>
            <w:hideMark/>
          </w:tcPr>
          <w:p w14:paraId="1A706169"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Standard Price</w:t>
            </w:r>
          </w:p>
        </w:tc>
        <w:tc>
          <w:tcPr>
            <w:tcW w:w="2637" w:type="pct"/>
            <w:tcBorders>
              <w:top w:val="nil"/>
              <w:left w:val="nil"/>
              <w:bottom w:val="single" w:sz="4" w:space="0" w:color="auto"/>
              <w:right w:val="single" w:sz="8" w:space="0" w:color="auto"/>
            </w:tcBorders>
            <w:shd w:val="clear" w:color="auto" w:fill="auto"/>
            <w:noWrap/>
            <w:vAlign w:val="bottom"/>
            <w:hideMark/>
          </w:tcPr>
          <w:p w14:paraId="6455B08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30.00 </w:t>
            </w:r>
          </w:p>
        </w:tc>
      </w:tr>
      <w:tr w:rsidR="00450BAF" w:rsidRPr="00450BAF" w14:paraId="26C5F4B2" w14:textId="77777777" w:rsidTr="00C745CB">
        <w:trPr>
          <w:trHeight w:val="315"/>
        </w:trPr>
        <w:tc>
          <w:tcPr>
            <w:tcW w:w="2363" w:type="pct"/>
            <w:tcBorders>
              <w:top w:val="nil"/>
              <w:left w:val="single" w:sz="8" w:space="0" w:color="auto"/>
              <w:bottom w:val="single" w:sz="4" w:space="0" w:color="auto"/>
              <w:right w:val="single" w:sz="4" w:space="0" w:color="auto"/>
            </w:tcBorders>
            <w:shd w:val="clear" w:color="auto" w:fill="auto"/>
            <w:noWrap/>
            <w:vAlign w:val="bottom"/>
            <w:hideMark/>
          </w:tcPr>
          <w:p w14:paraId="2978FB08"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2637" w:type="pct"/>
            <w:tcBorders>
              <w:top w:val="nil"/>
              <w:left w:val="nil"/>
              <w:bottom w:val="single" w:sz="4" w:space="0" w:color="auto"/>
              <w:right w:val="single" w:sz="8" w:space="0" w:color="auto"/>
            </w:tcBorders>
            <w:shd w:val="clear" w:color="auto" w:fill="auto"/>
            <w:noWrap/>
            <w:vAlign w:val="bottom"/>
            <w:hideMark/>
          </w:tcPr>
          <w:p w14:paraId="21431D4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750</w:t>
            </w:r>
          </w:p>
        </w:tc>
      </w:tr>
      <w:tr w:rsidR="00450BAF" w:rsidRPr="00450BAF" w14:paraId="0AEB8774" w14:textId="77777777" w:rsidTr="00C745CB">
        <w:trPr>
          <w:trHeight w:val="315"/>
        </w:trPr>
        <w:tc>
          <w:tcPr>
            <w:tcW w:w="2363" w:type="pct"/>
            <w:tcBorders>
              <w:top w:val="nil"/>
              <w:left w:val="single" w:sz="8" w:space="0" w:color="auto"/>
              <w:bottom w:val="single" w:sz="4" w:space="0" w:color="auto"/>
              <w:right w:val="single" w:sz="4" w:space="0" w:color="auto"/>
            </w:tcBorders>
            <w:shd w:val="clear" w:color="auto" w:fill="auto"/>
            <w:noWrap/>
            <w:vAlign w:val="bottom"/>
            <w:hideMark/>
          </w:tcPr>
          <w:p w14:paraId="13491F58"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2637" w:type="pct"/>
            <w:tcBorders>
              <w:top w:val="nil"/>
              <w:left w:val="nil"/>
              <w:bottom w:val="single" w:sz="4" w:space="0" w:color="auto"/>
              <w:right w:val="single" w:sz="8" w:space="0" w:color="auto"/>
            </w:tcBorders>
            <w:shd w:val="clear" w:color="auto" w:fill="auto"/>
            <w:noWrap/>
            <w:vAlign w:val="bottom"/>
            <w:hideMark/>
          </w:tcPr>
          <w:p w14:paraId="77441BC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7478195E" w14:textId="77777777" w:rsidTr="00C745CB">
        <w:trPr>
          <w:trHeight w:val="315"/>
        </w:trPr>
        <w:tc>
          <w:tcPr>
            <w:tcW w:w="2363" w:type="pct"/>
            <w:tcBorders>
              <w:top w:val="nil"/>
              <w:left w:val="single" w:sz="8" w:space="0" w:color="auto"/>
              <w:bottom w:val="single" w:sz="4" w:space="0" w:color="auto"/>
              <w:right w:val="single" w:sz="4" w:space="0" w:color="auto"/>
            </w:tcBorders>
            <w:shd w:val="clear" w:color="auto" w:fill="auto"/>
            <w:noWrap/>
            <w:vAlign w:val="bottom"/>
            <w:hideMark/>
          </w:tcPr>
          <w:p w14:paraId="08B829E9"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Sales Price variance</w:t>
            </w:r>
          </w:p>
        </w:tc>
        <w:tc>
          <w:tcPr>
            <w:tcW w:w="2637" w:type="pct"/>
            <w:tcBorders>
              <w:top w:val="nil"/>
              <w:left w:val="nil"/>
              <w:bottom w:val="single" w:sz="4" w:space="0" w:color="auto"/>
              <w:right w:val="single" w:sz="8" w:space="0" w:color="auto"/>
            </w:tcBorders>
            <w:shd w:val="clear" w:color="auto" w:fill="auto"/>
            <w:noWrap/>
            <w:vAlign w:val="bottom"/>
            <w:hideMark/>
          </w:tcPr>
          <w:p w14:paraId="1C2C8F09"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 xml:space="preserve"> £                   5,250.00 </w:t>
            </w:r>
          </w:p>
        </w:tc>
      </w:tr>
      <w:tr w:rsidR="00450BAF" w:rsidRPr="00450BAF" w14:paraId="02B297AE" w14:textId="77777777" w:rsidTr="00C745CB">
        <w:trPr>
          <w:trHeight w:val="330"/>
        </w:trPr>
        <w:tc>
          <w:tcPr>
            <w:tcW w:w="2363" w:type="pct"/>
            <w:tcBorders>
              <w:top w:val="nil"/>
              <w:left w:val="single" w:sz="8" w:space="0" w:color="auto"/>
              <w:bottom w:val="single" w:sz="8" w:space="0" w:color="auto"/>
              <w:right w:val="single" w:sz="4" w:space="0" w:color="auto"/>
            </w:tcBorders>
            <w:shd w:val="clear" w:color="auto" w:fill="auto"/>
            <w:noWrap/>
            <w:vAlign w:val="bottom"/>
            <w:hideMark/>
          </w:tcPr>
          <w:p w14:paraId="3E7227D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Status</w:t>
            </w:r>
          </w:p>
        </w:tc>
        <w:tc>
          <w:tcPr>
            <w:tcW w:w="2637" w:type="pct"/>
            <w:tcBorders>
              <w:top w:val="nil"/>
              <w:left w:val="nil"/>
              <w:bottom w:val="single" w:sz="8" w:space="0" w:color="auto"/>
              <w:right w:val="single" w:sz="8" w:space="0" w:color="auto"/>
            </w:tcBorders>
            <w:shd w:val="clear" w:color="auto" w:fill="auto"/>
            <w:noWrap/>
            <w:vAlign w:val="bottom"/>
            <w:hideMark/>
          </w:tcPr>
          <w:p w14:paraId="3C6ED372"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proofErr w:type="spellStart"/>
            <w:r w:rsidRPr="00450BAF">
              <w:rPr>
                <w:rFonts w:ascii="Arial" w:eastAsia="Times New Roman" w:hAnsi="Arial" w:cs="Arial"/>
                <w:color w:val="000000"/>
                <w:sz w:val="32"/>
                <w:szCs w:val="32"/>
                <w:lang w:eastAsia="en-GB"/>
              </w:rPr>
              <w:t>Favorable</w:t>
            </w:r>
            <w:proofErr w:type="spellEnd"/>
          </w:p>
        </w:tc>
      </w:tr>
    </w:tbl>
    <w:p w14:paraId="1871AAD5" w14:textId="77777777" w:rsidR="00450BAF" w:rsidRPr="00450BAF" w:rsidRDefault="00450BAF" w:rsidP="00450BAF">
      <w:pPr>
        <w:jc w:val="both"/>
        <w:rPr>
          <w:rFonts w:ascii="Arial" w:hAnsi="Arial" w:cs="Arial"/>
          <w:sz w:val="32"/>
          <w:szCs w:val="32"/>
        </w:rPr>
      </w:pPr>
    </w:p>
    <w:p w14:paraId="5BB35ED5" w14:textId="77777777" w:rsidR="00450BAF" w:rsidRPr="00450BAF" w:rsidRDefault="00450BAF" w:rsidP="00450BAF">
      <w:pPr>
        <w:pStyle w:val="Heading2"/>
        <w:jc w:val="both"/>
        <w:rPr>
          <w:rFonts w:cs="Arial"/>
          <w:sz w:val="32"/>
          <w:szCs w:val="32"/>
        </w:rPr>
      </w:pPr>
      <w:bookmarkStart w:id="3" w:name="_Toc71035489"/>
      <w:r w:rsidRPr="00450BAF">
        <w:rPr>
          <w:rFonts w:cs="Arial"/>
          <w:sz w:val="32"/>
          <w:szCs w:val="32"/>
        </w:rPr>
        <w:t>Sales Volume Contribution Variance</w:t>
      </w:r>
      <w:bookmarkEnd w:id="3"/>
    </w:p>
    <w:p w14:paraId="0B49FDBB"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This variance shows the deviation between the actual units and budgeted units in terms of sales and the contribution over a certain period of time. A </w:t>
      </w:r>
      <w:proofErr w:type="spellStart"/>
      <w:r w:rsidRPr="00450BAF">
        <w:rPr>
          <w:rFonts w:ascii="Arial" w:hAnsi="Arial" w:cs="Arial"/>
          <w:sz w:val="32"/>
          <w:szCs w:val="32"/>
        </w:rPr>
        <w:t>favorable</w:t>
      </w:r>
      <w:proofErr w:type="spellEnd"/>
      <w:r w:rsidRPr="00450BAF">
        <w:rPr>
          <w:rFonts w:ascii="Arial" w:hAnsi="Arial" w:cs="Arial"/>
          <w:sz w:val="32"/>
          <w:szCs w:val="32"/>
        </w:rPr>
        <w:t xml:space="preserve"> variance indicates more actual units sold exceed the budgeted units, thus a good indication of performance. On the contrary, an </w:t>
      </w:r>
      <w:proofErr w:type="spellStart"/>
      <w:r w:rsidRPr="00450BAF">
        <w:rPr>
          <w:rFonts w:ascii="Arial" w:hAnsi="Arial" w:cs="Arial"/>
          <w:sz w:val="32"/>
          <w:szCs w:val="32"/>
        </w:rPr>
        <w:t>unfavorable</w:t>
      </w:r>
      <w:proofErr w:type="spellEnd"/>
      <w:r w:rsidRPr="00450BAF">
        <w:rPr>
          <w:rFonts w:ascii="Arial" w:hAnsi="Arial" w:cs="Arial"/>
          <w:sz w:val="32"/>
          <w:szCs w:val="32"/>
        </w:rPr>
        <w:t xml:space="preserve"> variance may indicate the failure of the company to achieve desired volume contribution. XLG </w:t>
      </w:r>
      <w:proofErr w:type="gramStart"/>
      <w:r w:rsidRPr="00450BAF">
        <w:rPr>
          <w:rFonts w:ascii="Arial" w:hAnsi="Arial" w:cs="Arial"/>
          <w:sz w:val="32"/>
          <w:szCs w:val="32"/>
        </w:rPr>
        <w:t xml:space="preserve">has  </w:t>
      </w:r>
      <w:proofErr w:type="spellStart"/>
      <w:r w:rsidRPr="00450BAF">
        <w:rPr>
          <w:rFonts w:ascii="Arial" w:hAnsi="Arial" w:cs="Arial"/>
          <w:sz w:val="32"/>
          <w:szCs w:val="32"/>
        </w:rPr>
        <w:t>favorable</w:t>
      </w:r>
      <w:proofErr w:type="spellEnd"/>
      <w:proofErr w:type="gramEnd"/>
      <w:r w:rsidRPr="00450BAF">
        <w:rPr>
          <w:rFonts w:ascii="Arial" w:hAnsi="Arial" w:cs="Arial"/>
          <w:sz w:val="32"/>
          <w:szCs w:val="32"/>
        </w:rPr>
        <w:t xml:space="preserve"> variances </w:t>
      </w:r>
      <w:r w:rsidRPr="00450BAF">
        <w:rPr>
          <w:rFonts w:ascii="Arial" w:eastAsia="Times New Roman" w:hAnsi="Arial" w:cs="Arial"/>
          <w:color w:val="000000"/>
          <w:sz w:val="32"/>
          <w:szCs w:val="32"/>
          <w:lang w:eastAsia="en-GB"/>
        </w:rPr>
        <w:t>for chemical X and Y respectively, indicating the company’s efficiency in decision making.</w:t>
      </w:r>
    </w:p>
    <w:tbl>
      <w:tblPr>
        <w:tblW w:w="5000" w:type="pct"/>
        <w:tblLook w:val="04A0" w:firstRow="1" w:lastRow="0" w:firstColumn="1" w:lastColumn="0" w:noHBand="0" w:noVBand="1"/>
      </w:tblPr>
      <w:tblGrid>
        <w:gridCol w:w="6852"/>
        <w:gridCol w:w="2154"/>
      </w:tblGrid>
      <w:tr w:rsidR="00450BAF" w:rsidRPr="00450BAF" w14:paraId="423EBED6" w14:textId="77777777" w:rsidTr="00C745CB">
        <w:trPr>
          <w:trHeight w:val="315"/>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097951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Sales Volume contribution Variance</w:t>
            </w:r>
          </w:p>
        </w:tc>
      </w:tr>
      <w:tr w:rsidR="00450BAF" w:rsidRPr="00450BAF" w14:paraId="3D80AB8F" w14:textId="77777777" w:rsidTr="00C745CB">
        <w:trPr>
          <w:trHeight w:val="315"/>
        </w:trPr>
        <w:tc>
          <w:tcPr>
            <w:tcW w:w="5000" w:type="pct"/>
            <w:gridSpan w:val="2"/>
            <w:tcBorders>
              <w:top w:val="nil"/>
              <w:left w:val="single" w:sz="8" w:space="0" w:color="auto"/>
              <w:bottom w:val="single" w:sz="4" w:space="0" w:color="auto"/>
              <w:right w:val="single" w:sz="8" w:space="0" w:color="auto"/>
            </w:tcBorders>
            <w:shd w:val="clear" w:color="auto" w:fill="auto"/>
            <w:noWrap/>
            <w:vAlign w:val="bottom"/>
            <w:hideMark/>
          </w:tcPr>
          <w:p w14:paraId="7C2BF5C6"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Chemical X</w:t>
            </w:r>
          </w:p>
        </w:tc>
      </w:tr>
      <w:tr w:rsidR="00450BAF" w:rsidRPr="00450BAF" w14:paraId="6A4BA69B" w14:textId="77777777" w:rsidTr="00C745CB">
        <w:trPr>
          <w:trHeight w:val="660"/>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0C4265E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Formula</w:t>
            </w:r>
            <w:r w:rsidRPr="00450BAF">
              <w:rPr>
                <w:rFonts w:ascii="Arial" w:eastAsia="Times New Roman" w:hAnsi="Arial" w:cs="Arial"/>
                <w:color w:val="000000"/>
                <w:sz w:val="32"/>
                <w:szCs w:val="32"/>
                <w:lang w:eastAsia="en-GB"/>
              </w:rPr>
              <w:br/>
              <w:t xml:space="preserve"> (Actual units sold- Budgeted units </w:t>
            </w:r>
            <w:proofErr w:type="gramStart"/>
            <w:r w:rsidRPr="00450BAF">
              <w:rPr>
                <w:rFonts w:ascii="Arial" w:eastAsia="Times New Roman" w:hAnsi="Arial" w:cs="Arial"/>
                <w:color w:val="000000"/>
                <w:sz w:val="32"/>
                <w:szCs w:val="32"/>
                <w:lang w:eastAsia="en-GB"/>
              </w:rPr>
              <w:t>sold)*</w:t>
            </w:r>
            <w:proofErr w:type="gramEnd"/>
            <w:r w:rsidRPr="00450BAF">
              <w:rPr>
                <w:rFonts w:ascii="Arial" w:eastAsia="Times New Roman" w:hAnsi="Arial" w:cs="Arial"/>
                <w:color w:val="000000"/>
                <w:sz w:val="32"/>
                <w:szCs w:val="32"/>
                <w:lang w:eastAsia="en-GB"/>
              </w:rPr>
              <w:t xml:space="preserve"> standard contribution per unit</w:t>
            </w:r>
          </w:p>
        </w:tc>
      </w:tr>
      <w:tr w:rsidR="00450BAF" w:rsidRPr="00450BAF" w14:paraId="389B672F" w14:textId="77777777" w:rsidTr="00C745CB">
        <w:trPr>
          <w:trHeight w:val="315"/>
        </w:trPr>
        <w:tc>
          <w:tcPr>
            <w:tcW w:w="3804" w:type="pct"/>
            <w:tcBorders>
              <w:top w:val="nil"/>
              <w:left w:val="single" w:sz="8" w:space="0" w:color="auto"/>
              <w:bottom w:val="single" w:sz="4" w:space="0" w:color="auto"/>
              <w:right w:val="single" w:sz="4" w:space="0" w:color="auto"/>
            </w:tcBorders>
            <w:shd w:val="clear" w:color="auto" w:fill="auto"/>
            <w:noWrap/>
            <w:vAlign w:val="bottom"/>
            <w:hideMark/>
          </w:tcPr>
          <w:p w14:paraId="73436CC9"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196" w:type="pct"/>
            <w:tcBorders>
              <w:top w:val="nil"/>
              <w:left w:val="nil"/>
              <w:bottom w:val="single" w:sz="4" w:space="0" w:color="auto"/>
              <w:right w:val="single" w:sz="8" w:space="0" w:color="auto"/>
            </w:tcBorders>
            <w:shd w:val="clear" w:color="auto" w:fill="auto"/>
            <w:noWrap/>
            <w:vAlign w:val="bottom"/>
            <w:hideMark/>
          </w:tcPr>
          <w:p w14:paraId="7CB14B1C"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850.00 </w:t>
            </w:r>
          </w:p>
        </w:tc>
      </w:tr>
      <w:tr w:rsidR="00450BAF" w:rsidRPr="00450BAF" w14:paraId="01A540CB" w14:textId="77777777" w:rsidTr="00C745CB">
        <w:trPr>
          <w:trHeight w:val="315"/>
        </w:trPr>
        <w:tc>
          <w:tcPr>
            <w:tcW w:w="3804" w:type="pct"/>
            <w:tcBorders>
              <w:top w:val="nil"/>
              <w:left w:val="single" w:sz="8" w:space="0" w:color="auto"/>
              <w:bottom w:val="single" w:sz="4" w:space="0" w:color="auto"/>
              <w:right w:val="single" w:sz="4" w:space="0" w:color="auto"/>
            </w:tcBorders>
            <w:shd w:val="clear" w:color="auto" w:fill="auto"/>
            <w:noWrap/>
            <w:vAlign w:val="bottom"/>
            <w:hideMark/>
          </w:tcPr>
          <w:p w14:paraId="3CD25336"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Budged units sold</w:t>
            </w:r>
          </w:p>
        </w:tc>
        <w:tc>
          <w:tcPr>
            <w:tcW w:w="1196" w:type="pct"/>
            <w:tcBorders>
              <w:top w:val="nil"/>
              <w:left w:val="nil"/>
              <w:bottom w:val="single" w:sz="4" w:space="0" w:color="auto"/>
              <w:right w:val="single" w:sz="8" w:space="0" w:color="auto"/>
            </w:tcBorders>
            <w:shd w:val="clear" w:color="auto" w:fill="auto"/>
            <w:noWrap/>
            <w:vAlign w:val="bottom"/>
            <w:hideMark/>
          </w:tcPr>
          <w:p w14:paraId="6BCF0FF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595.00 </w:t>
            </w:r>
          </w:p>
        </w:tc>
      </w:tr>
      <w:tr w:rsidR="00450BAF" w:rsidRPr="00450BAF" w14:paraId="39A5BDE0" w14:textId="77777777" w:rsidTr="00C745CB">
        <w:trPr>
          <w:trHeight w:val="315"/>
        </w:trPr>
        <w:tc>
          <w:tcPr>
            <w:tcW w:w="3804" w:type="pct"/>
            <w:tcBorders>
              <w:top w:val="nil"/>
              <w:left w:val="single" w:sz="8" w:space="0" w:color="auto"/>
              <w:bottom w:val="single" w:sz="4" w:space="0" w:color="auto"/>
              <w:right w:val="single" w:sz="4" w:space="0" w:color="auto"/>
            </w:tcBorders>
            <w:shd w:val="clear" w:color="auto" w:fill="auto"/>
            <w:noWrap/>
            <w:vAlign w:val="bottom"/>
            <w:hideMark/>
          </w:tcPr>
          <w:p w14:paraId="3BB3642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Standard contribution margin </w:t>
            </w:r>
          </w:p>
        </w:tc>
        <w:tc>
          <w:tcPr>
            <w:tcW w:w="1196" w:type="pct"/>
            <w:tcBorders>
              <w:top w:val="nil"/>
              <w:left w:val="nil"/>
              <w:bottom w:val="single" w:sz="4" w:space="0" w:color="auto"/>
              <w:right w:val="single" w:sz="8" w:space="0" w:color="auto"/>
            </w:tcBorders>
            <w:shd w:val="clear" w:color="auto" w:fill="auto"/>
            <w:noWrap/>
            <w:vAlign w:val="bottom"/>
            <w:hideMark/>
          </w:tcPr>
          <w:p w14:paraId="6C1696D8"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25.00 </w:t>
            </w:r>
          </w:p>
        </w:tc>
      </w:tr>
      <w:tr w:rsidR="00450BAF" w:rsidRPr="00450BAF" w14:paraId="311027A0" w14:textId="77777777" w:rsidTr="00C745CB">
        <w:trPr>
          <w:trHeight w:val="315"/>
        </w:trPr>
        <w:tc>
          <w:tcPr>
            <w:tcW w:w="3804" w:type="pct"/>
            <w:tcBorders>
              <w:top w:val="nil"/>
              <w:left w:val="single" w:sz="8" w:space="0" w:color="auto"/>
              <w:bottom w:val="single" w:sz="4" w:space="0" w:color="auto"/>
              <w:right w:val="single" w:sz="4" w:space="0" w:color="auto"/>
            </w:tcBorders>
            <w:shd w:val="clear" w:color="auto" w:fill="auto"/>
            <w:noWrap/>
            <w:vAlign w:val="bottom"/>
            <w:hideMark/>
          </w:tcPr>
          <w:p w14:paraId="2672195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196" w:type="pct"/>
            <w:tcBorders>
              <w:top w:val="nil"/>
              <w:left w:val="nil"/>
              <w:bottom w:val="single" w:sz="4" w:space="0" w:color="auto"/>
              <w:right w:val="single" w:sz="8" w:space="0" w:color="auto"/>
            </w:tcBorders>
            <w:shd w:val="clear" w:color="auto" w:fill="auto"/>
            <w:noWrap/>
            <w:vAlign w:val="bottom"/>
            <w:hideMark/>
          </w:tcPr>
          <w:p w14:paraId="0241CAD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2ECF4DDC" w14:textId="77777777" w:rsidTr="00C745CB">
        <w:trPr>
          <w:trHeight w:val="315"/>
        </w:trPr>
        <w:tc>
          <w:tcPr>
            <w:tcW w:w="3804" w:type="pct"/>
            <w:tcBorders>
              <w:top w:val="nil"/>
              <w:left w:val="single" w:sz="8" w:space="0" w:color="auto"/>
              <w:bottom w:val="single" w:sz="4" w:space="0" w:color="auto"/>
              <w:right w:val="single" w:sz="4" w:space="0" w:color="auto"/>
            </w:tcBorders>
            <w:shd w:val="clear" w:color="auto" w:fill="auto"/>
            <w:noWrap/>
            <w:vAlign w:val="bottom"/>
            <w:hideMark/>
          </w:tcPr>
          <w:p w14:paraId="53CCE677"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Sales Volume contribution Variance</w:t>
            </w:r>
          </w:p>
        </w:tc>
        <w:tc>
          <w:tcPr>
            <w:tcW w:w="1196" w:type="pct"/>
            <w:tcBorders>
              <w:top w:val="nil"/>
              <w:left w:val="nil"/>
              <w:bottom w:val="single" w:sz="4" w:space="0" w:color="auto"/>
              <w:right w:val="single" w:sz="8" w:space="0" w:color="auto"/>
            </w:tcBorders>
            <w:shd w:val="clear" w:color="auto" w:fill="auto"/>
            <w:noWrap/>
            <w:vAlign w:val="bottom"/>
            <w:hideMark/>
          </w:tcPr>
          <w:p w14:paraId="76B23CB1"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 xml:space="preserve"> £ 6,375.00 </w:t>
            </w:r>
          </w:p>
        </w:tc>
      </w:tr>
      <w:tr w:rsidR="00450BAF" w:rsidRPr="00450BAF" w14:paraId="66CC9D70" w14:textId="77777777" w:rsidTr="00C745CB">
        <w:trPr>
          <w:trHeight w:val="330"/>
        </w:trPr>
        <w:tc>
          <w:tcPr>
            <w:tcW w:w="3804" w:type="pct"/>
            <w:tcBorders>
              <w:top w:val="nil"/>
              <w:left w:val="single" w:sz="8" w:space="0" w:color="auto"/>
              <w:bottom w:val="single" w:sz="8" w:space="0" w:color="auto"/>
              <w:right w:val="single" w:sz="4" w:space="0" w:color="auto"/>
            </w:tcBorders>
            <w:shd w:val="clear" w:color="auto" w:fill="auto"/>
            <w:noWrap/>
            <w:vAlign w:val="bottom"/>
            <w:hideMark/>
          </w:tcPr>
          <w:p w14:paraId="61EAB8A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Status</w:t>
            </w:r>
          </w:p>
        </w:tc>
        <w:tc>
          <w:tcPr>
            <w:tcW w:w="1196" w:type="pct"/>
            <w:tcBorders>
              <w:top w:val="nil"/>
              <w:left w:val="nil"/>
              <w:bottom w:val="single" w:sz="8" w:space="0" w:color="auto"/>
              <w:right w:val="single" w:sz="8" w:space="0" w:color="auto"/>
            </w:tcBorders>
            <w:shd w:val="clear" w:color="auto" w:fill="auto"/>
            <w:noWrap/>
            <w:vAlign w:val="bottom"/>
            <w:hideMark/>
          </w:tcPr>
          <w:p w14:paraId="04B9CBD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proofErr w:type="spellStart"/>
            <w:r w:rsidRPr="00450BAF">
              <w:rPr>
                <w:rFonts w:ascii="Arial" w:eastAsia="Times New Roman" w:hAnsi="Arial" w:cs="Arial"/>
                <w:color w:val="000000"/>
                <w:sz w:val="32"/>
                <w:szCs w:val="32"/>
                <w:lang w:eastAsia="en-GB"/>
              </w:rPr>
              <w:t>Favorable</w:t>
            </w:r>
            <w:proofErr w:type="spellEnd"/>
          </w:p>
        </w:tc>
      </w:tr>
    </w:tbl>
    <w:p w14:paraId="52C0B857" w14:textId="77777777" w:rsidR="00450BAF" w:rsidRPr="00450BAF" w:rsidRDefault="00450BAF" w:rsidP="00450BAF">
      <w:pPr>
        <w:jc w:val="both"/>
        <w:rPr>
          <w:rFonts w:ascii="Arial" w:hAnsi="Arial" w:cs="Arial"/>
          <w:sz w:val="32"/>
          <w:szCs w:val="32"/>
        </w:rPr>
      </w:pPr>
    </w:p>
    <w:tbl>
      <w:tblPr>
        <w:tblW w:w="5000" w:type="pct"/>
        <w:tblLook w:val="04A0" w:firstRow="1" w:lastRow="0" w:firstColumn="1" w:lastColumn="0" w:noHBand="0" w:noVBand="1"/>
      </w:tblPr>
      <w:tblGrid>
        <w:gridCol w:w="5621"/>
        <w:gridCol w:w="3385"/>
      </w:tblGrid>
      <w:tr w:rsidR="00450BAF" w:rsidRPr="00450BAF" w14:paraId="537FA02C" w14:textId="77777777" w:rsidTr="00C745CB">
        <w:trPr>
          <w:trHeight w:val="315"/>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466CB59A"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Sales Volume contribution Variance</w:t>
            </w:r>
          </w:p>
        </w:tc>
      </w:tr>
      <w:tr w:rsidR="00450BAF" w:rsidRPr="00450BAF" w14:paraId="7E738502" w14:textId="77777777" w:rsidTr="00C745CB">
        <w:trPr>
          <w:trHeight w:val="315"/>
        </w:trPr>
        <w:tc>
          <w:tcPr>
            <w:tcW w:w="5000" w:type="pct"/>
            <w:gridSpan w:val="2"/>
            <w:tcBorders>
              <w:top w:val="nil"/>
              <w:left w:val="single" w:sz="8" w:space="0" w:color="auto"/>
              <w:bottom w:val="single" w:sz="4" w:space="0" w:color="auto"/>
              <w:right w:val="single" w:sz="8" w:space="0" w:color="auto"/>
            </w:tcBorders>
            <w:shd w:val="clear" w:color="auto" w:fill="auto"/>
            <w:noWrap/>
            <w:vAlign w:val="bottom"/>
            <w:hideMark/>
          </w:tcPr>
          <w:p w14:paraId="62309FE8"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Chemical Y</w:t>
            </w:r>
          </w:p>
        </w:tc>
      </w:tr>
      <w:tr w:rsidR="00450BAF" w:rsidRPr="00450BAF" w14:paraId="3400D2EB" w14:textId="77777777" w:rsidTr="00C745CB">
        <w:trPr>
          <w:trHeight w:val="660"/>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30C295F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Formula</w:t>
            </w:r>
            <w:r w:rsidRPr="00450BAF">
              <w:rPr>
                <w:rFonts w:ascii="Arial" w:eastAsia="Times New Roman" w:hAnsi="Arial" w:cs="Arial"/>
                <w:color w:val="000000"/>
                <w:sz w:val="32"/>
                <w:szCs w:val="32"/>
                <w:lang w:eastAsia="en-GB"/>
              </w:rPr>
              <w:br/>
              <w:t xml:space="preserve"> (Actual units sold- Budgeted units </w:t>
            </w:r>
            <w:proofErr w:type="gramStart"/>
            <w:r w:rsidRPr="00450BAF">
              <w:rPr>
                <w:rFonts w:ascii="Arial" w:eastAsia="Times New Roman" w:hAnsi="Arial" w:cs="Arial"/>
                <w:color w:val="000000"/>
                <w:sz w:val="32"/>
                <w:szCs w:val="32"/>
                <w:lang w:eastAsia="en-GB"/>
              </w:rPr>
              <w:t>sold)*</w:t>
            </w:r>
            <w:proofErr w:type="gramEnd"/>
            <w:r w:rsidRPr="00450BAF">
              <w:rPr>
                <w:rFonts w:ascii="Arial" w:eastAsia="Times New Roman" w:hAnsi="Arial" w:cs="Arial"/>
                <w:color w:val="000000"/>
                <w:sz w:val="32"/>
                <w:szCs w:val="32"/>
                <w:lang w:eastAsia="en-GB"/>
              </w:rPr>
              <w:t xml:space="preserve"> standard contribution per unit</w:t>
            </w:r>
          </w:p>
        </w:tc>
      </w:tr>
      <w:tr w:rsidR="00450BAF" w:rsidRPr="00450BAF" w14:paraId="06352318" w14:textId="77777777" w:rsidTr="00C745CB">
        <w:trPr>
          <w:trHeight w:val="315"/>
        </w:trPr>
        <w:tc>
          <w:tcPr>
            <w:tcW w:w="3085" w:type="pct"/>
            <w:tcBorders>
              <w:top w:val="nil"/>
              <w:left w:val="single" w:sz="8" w:space="0" w:color="auto"/>
              <w:bottom w:val="single" w:sz="4" w:space="0" w:color="auto"/>
              <w:right w:val="single" w:sz="4" w:space="0" w:color="auto"/>
            </w:tcBorders>
            <w:shd w:val="clear" w:color="auto" w:fill="auto"/>
            <w:noWrap/>
            <w:vAlign w:val="bottom"/>
            <w:hideMark/>
          </w:tcPr>
          <w:p w14:paraId="1EA84A3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915" w:type="pct"/>
            <w:tcBorders>
              <w:top w:val="nil"/>
              <w:left w:val="nil"/>
              <w:bottom w:val="single" w:sz="4" w:space="0" w:color="auto"/>
              <w:right w:val="single" w:sz="8" w:space="0" w:color="auto"/>
            </w:tcBorders>
            <w:shd w:val="clear" w:color="auto" w:fill="auto"/>
            <w:noWrap/>
            <w:vAlign w:val="bottom"/>
            <w:hideMark/>
          </w:tcPr>
          <w:p w14:paraId="393375A6"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750.00 </w:t>
            </w:r>
          </w:p>
        </w:tc>
      </w:tr>
      <w:tr w:rsidR="00450BAF" w:rsidRPr="00450BAF" w14:paraId="643ABA3C" w14:textId="77777777" w:rsidTr="00C745CB">
        <w:trPr>
          <w:trHeight w:val="315"/>
        </w:trPr>
        <w:tc>
          <w:tcPr>
            <w:tcW w:w="3085" w:type="pct"/>
            <w:tcBorders>
              <w:top w:val="nil"/>
              <w:left w:val="single" w:sz="8" w:space="0" w:color="auto"/>
              <w:bottom w:val="single" w:sz="4" w:space="0" w:color="auto"/>
              <w:right w:val="single" w:sz="4" w:space="0" w:color="auto"/>
            </w:tcBorders>
            <w:shd w:val="clear" w:color="auto" w:fill="auto"/>
            <w:noWrap/>
            <w:vAlign w:val="bottom"/>
            <w:hideMark/>
          </w:tcPr>
          <w:p w14:paraId="3F9015A1"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Budged units sold</w:t>
            </w:r>
          </w:p>
        </w:tc>
        <w:tc>
          <w:tcPr>
            <w:tcW w:w="1915" w:type="pct"/>
            <w:tcBorders>
              <w:top w:val="nil"/>
              <w:left w:val="nil"/>
              <w:bottom w:val="single" w:sz="4" w:space="0" w:color="auto"/>
              <w:right w:val="single" w:sz="8" w:space="0" w:color="auto"/>
            </w:tcBorders>
            <w:shd w:val="clear" w:color="auto" w:fill="auto"/>
            <w:noWrap/>
            <w:vAlign w:val="bottom"/>
            <w:hideMark/>
          </w:tcPr>
          <w:p w14:paraId="159A8706"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595.00 </w:t>
            </w:r>
          </w:p>
        </w:tc>
      </w:tr>
      <w:tr w:rsidR="00450BAF" w:rsidRPr="00450BAF" w14:paraId="6847ED47" w14:textId="77777777" w:rsidTr="00C745CB">
        <w:trPr>
          <w:trHeight w:val="315"/>
        </w:trPr>
        <w:tc>
          <w:tcPr>
            <w:tcW w:w="3085" w:type="pct"/>
            <w:tcBorders>
              <w:top w:val="nil"/>
              <w:left w:val="single" w:sz="8" w:space="0" w:color="auto"/>
              <w:bottom w:val="single" w:sz="4" w:space="0" w:color="auto"/>
              <w:right w:val="single" w:sz="4" w:space="0" w:color="auto"/>
            </w:tcBorders>
            <w:shd w:val="clear" w:color="auto" w:fill="auto"/>
            <w:noWrap/>
            <w:vAlign w:val="bottom"/>
            <w:hideMark/>
          </w:tcPr>
          <w:p w14:paraId="3C076D7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Standard contribution margin </w:t>
            </w:r>
          </w:p>
        </w:tc>
        <w:tc>
          <w:tcPr>
            <w:tcW w:w="1915" w:type="pct"/>
            <w:tcBorders>
              <w:top w:val="nil"/>
              <w:left w:val="nil"/>
              <w:bottom w:val="single" w:sz="4" w:space="0" w:color="auto"/>
              <w:right w:val="single" w:sz="8" w:space="0" w:color="auto"/>
            </w:tcBorders>
            <w:shd w:val="clear" w:color="auto" w:fill="auto"/>
            <w:noWrap/>
            <w:vAlign w:val="bottom"/>
            <w:hideMark/>
          </w:tcPr>
          <w:p w14:paraId="03FEFD4C"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20.00 </w:t>
            </w:r>
          </w:p>
        </w:tc>
      </w:tr>
      <w:tr w:rsidR="00450BAF" w:rsidRPr="00450BAF" w14:paraId="7DF5C922" w14:textId="77777777" w:rsidTr="00C745CB">
        <w:trPr>
          <w:trHeight w:val="315"/>
        </w:trPr>
        <w:tc>
          <w:tcPr>
            <w:tcW w:w="3085" w:type="pct"/>
            <w:tcBorders>
              <w:top w:val="nil"/>
              <w:left w:val="single" w:sz="8" w:space="0" w:color="auto"/>
              <w:bottom w:val="single" w:sz="4" w:space="0" w:color="auto"/>
              <w:right w:val="single" w:sz="4" w:space="0" w:color="auto"/>
            </w:tcBorders>
            <w:shd w:val="clear" w:color="auto" w:fill="auto"/>
            <w:noWrap/>
            <w:vAlign w:val="bottom"/>
            <w:hideMark/>
          </w:tcPr>
          <w:p w14:paraId="2A669E2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915" w:type="pct"/>
            <w:tcBorders>
              <w:top w:val="nil"/>
              <w:left w:val="nil"/>
              <w:bottom w:val="single" w:sz="4" w:space="0" w:color="auto"/>
              <w:right w:val="single" w:sz="8" w:space="0" w:color="auto"/>
            </w:tcBorders>
            <w:shd w:val="clear" w:color="auto" w:fill="auto"/>
            <w:noWrap/>
            <w:vAlign w:val="bottom"/>
            <w:hideMark/>
          </w:tcPr>
          <w:p w14:paraId="3DCD0997"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410283A0" w14:textId="77777777" w:rsidTr="00C745CB">
        <w:trPr>
          <w:trHeight w:val="315"/>
        </w:trPr>
        <w:tc>
          <w:tcPr>
            <w:tcW w:w="3085" w:type="pct"/>
            <w:tcBorders>
              <w:top w:val="nil"/>
              <w:left w:val="single" w:sz="8" w:space="0" w:color="auto"/>
              <w:bottom w:val="single" w:sz="4" w:space="0" w:color="auto"/>
              <w:right w:val="single" w:sz="4" w:space="0" w:color="auto"/>
            </w:tcBorders>
            <w:shd w:val="clear" w:color="auto" w:fill="auto"/>
            <w:noWrap/>
            <w:vAlign w:val="bottom"/>
            <w:hideMark/>
          </w:tcPr>
          <w:p w14:paraId="5932110A"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Sales Volume contribution Variance</w:t>
            </w:r>
          </w:p>
        </w:tc>
        <w:tc>
          <w:tcPr>
            <w:tcW w:w="1915" w:type="pct"/>
            <w:tcBorders>
              <w:top w:val="nil"/>
              <w:left w:val="nil"/>
              <w:bottom w:val="single" w:sz="4" w:space="0" w:color="auto"/>
              <w:right w:val="single" w:sz="8" w:space="0" w:color="auto"/>
            </w:tcBorders>
            <w:shd w:val="clear" w:color="auto" w:fill="auto"/>
            <w:noWrap/>
            <w:vAlign w:val="bottom"/>
            <w:hideMark/>
          </w:tcPr>
          <w:p w14:paraId="70C497DA"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 xml:space="preserve"> £                   3,100.00 </w:t>
            </w:r>
          </w:p>
        </w:tc>
      </w:tr>
      <w:tr w:rsidR="00450BAF" w:rsidRPr="00450BAF" w14:paraId="04D0C7E0" w14:textId="77777777" w:rsidTr="00C745CB">
        <w:trPr>
          <w:trHeight w:val="330"/>
        </w:trPr>
        <w:tc>
          <w:tcPr>
            <w:tcW w:w="3085" w:type="pct"/>
            <w:tcBorders>
              <w:top w:val="nil"/>
              <w:left w:val="single" w:sz="8" w:space="0" w:color="auto"/>
              <w:bottom w:val="single" w:sz="8" w:space="0" w:color="auto"/>
              <w:right w:val="single" w:sz="4" w:space="0" w:color="auto"/>
            </w:tcBorders>
            <w:shd w:val="clear" w:color="auto" w:fill="auto"/>
            <w:noWrap/>
            <w:vAlign w:val="bottom"/>
            <w:hideMark/>
          </w:tcPr>
          <w:p w14:paraId="18806DAA"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Status</w:t>
            </w:r>
          </w:p>
        </w:tc>
        <w:tc>
          <w:tcPr>
            <w:tcW w:w="1915" w:type="pct"/>
            <w:tcBorders>
              <w:top w:val="nil"/>
              <w:left w:val="nil"/>
              <w:bottom w:val="single" w:sz="8" w:space="0" w:color="auto"/>
              <w:right w:val="single" w:sz="8" w:space="0" w:color="auto"/>
            </w:tcBorders>
            <w:shd w:val="clear" w:color="auto" w:fill="auto"/>
            <w:noWrap/>
            <w:vAlign w:val="bottom"/>
            <w:hideMark/>
          </w:tcPr>
          <w:p w14:paraId="11FBD2C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proofErr w:type="spellStart"/>
            <w:r w:rsidRPr="00450BAF">
              <w:rPr>
                <w:rFonts w:ascii="Arial" w:eastAsia="Times New Roman" w:hAnsi="Arial" w:cs="Arial"/>
                <w:color w:val="000000"/>
                <w:sz w:val="32"/>
                <w:szCs w:val="32"/>
                <w:lang w:eastAsia="en-GB"/>
              </w:rPr>
              <w:t>Favorable</w:t>
            </w:r>
            <w:proofErr w:type="spellEnd"/>
          </w:p>
        </w:tc>
      </w:tr>
    </w:tbl>
    <w:p w14:paraId="589091B9" w14:textId="77777777" w:rsidR="00450BAF" w:rsidRPr="00450BAF" w:rsidRDefault="00450BAF" w:rsidP="00450BAF">
      <w:pPr>
        <w:jc w:val="both"/>
        <w:rPr>
          <w:rFonts w:ascii="Arial" w:hAnsi="Arial" w:cs="Arial"/>
          <w:sz w:val="32"/>
          <w:szCs w:val="32"/>
        </w:rPr>
      </w:pPr>
    </w:p>
    <w:p w14:paraId="3D334CA2" w14:textId="77777777" w:rsidR="00450BAF" w:rsidRPr="00450BAF" w:rsidRDefault="00450BAF" w:rsidP="00450BAF">
      <w:pPr>
        <w:pStyle w:val="Heading2"/>
        <w:jc w:val="both"/>
        <w:rPr>
          <w:rFonts w:cs="Arial"/>
          <w:sz w:val="32"/>
          <w:szCs w:val="32"/>
        </w:rPr>
      </w:pPr>
      <w:bookmarkStart w:id="4" w:name="_Toc71035490"/>
      <w:r w:rsidRPr="00450BAF">
        <w:rPr>
          <w:rFonts w:cs="Arial"/>
          <w:sz w:val="32"/>
          <w:szCs w:val="32"/>
        </w:rPr>
        <w:t>Material Price Planning Variance</w:t>
      </w:r>
      <w:bookmarkEnd w:id="4"/>
    </w:p>
    <w:p w14:paraId="740FC84D"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Material price planning variance involves a comparison of the original prices and the revised prices of materials. In the context of XLG, chemical X and Y have </w:t>
      </w:r>
      <w:proofErr w:type="spellStart"/>
      <w:r w:rsidRPr="00450BAF">
        <w:rPr>
          <w:rFonts w:ascii="Arial" w:hAnsi="Arial" w:cs="Arial"/>
          <w:sz w:val="32"/>
          <w:szCs w:val="32"/>
        </w:rPr>
        <w:t>unfavorable</w:t>
      </w:r>
      <w:proofErr w:type="spellEnd"/>
      <w:r w:rsidRPr="00450BAF">
        <w:rPr>
          <w:rFonts w:ascii="Arial" w:hAnsi="Arial" w:cs="Arial"/>
          <w:sz w:val="32"/>
          <w:szCs w:val="32"/>
        </w:rPr>
        <w:t xml:space="preserve"> material price planning variances, due to the high revised prices per unit of their components. Despite that, it can be said that their materials could be of high quality compared to those of its competitors.</w:t>
      </w:r>
    </w:p>
    <w:tbl>
      <w:tblPr>
        <w:tblW w:w="5000" w:type="pct"/>
        <w:tblLook w:val="04A0" w:firstRow="1" w:lastRow="0" w:firstColumn="1" w:lastColumn="0" w:noHBand="0" w:noVBand="1"/>
      </w:tblPr>
      <w:tblGrid>
        <w:gridCol w:w="5411"/>
        <w:gridCol w:w="3595"/>
      </w:tblGrid>
      <w:tr w:rsidR="00450BAF" w:rsidRPr="00450BAF" w14:paraId="162F7DFA" w14:textId="77777777" w:rsidTr="00C745CB">
        <w:trPr>
          <w:trHeight w:val="315"/>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C842FEE"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Material Price Planning Variance</w:t>
            </w:r>
          </w:p>
        </w:tc>
      </w:tr>
      <w:tr w:rsidR="00450BAF" w:rsidRPr="00450BAF" w14:paraId="2E61624A" w14:textId="77777777" w:rsidTr="00C745CB">
        <w:trPr>
          <w:trHeight w:val="315"/>
        </w:trPr>
        <w:tc>
          <w:tcPr>
            <w:tcW w:w="5000" w:type="pct"/>
            <w:gridSpan w:val="2"/>
            <w:tcBorders>
              <w:top w:val="nil"/>
              <w:left w:val="single" w:sz="8" w:space="0" w:color="auto"/>
              <w:bottom w:val="single" w:sz="4" w:space="0" w:color="auto"/>
              <w:right w:val="single" w:sz="8" w:space="0" w:color="000000"/>
            </w:tcBorders>
            <w:shd w:val="clear" w:color="auto" w:fill="auto"/>
            <w:noWrap/>
            <w:vAlign w:val="bottom"/>
            <w:hideMark/>
          </w:tcPr>
          <w:p w14:paraId="3700A25C"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Chemical X</w:t>
            </w:r>
          </w:p>
        </w:tc>
      </w:tr>
      <w:tr w:rsidR="00450BAF" w:rsidRPr="00450BAF" w14:paraId="6AD274D7" w14:textId="77777777" w:rsidTr="00C745CB">
        <w:trPr>
          <w:trHeight w:val="900"/>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69047391"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Formula </w:t>
            </w:r>
            <w:r w:rsidRPr="00450BAF">
              <w:rPr>
                <w:rFonts w:ascii="Arial" w:eastAsia="Times New Roman" w:hAnsi="Arial" w:cs="Arial"/>
                <w:color w:val="000000"/>
                <w:sz w:val="32"/>
                <w:szCs w:val="32"/>
                <w:lang w:eastAsia="en-GB"/>
              </w:rPr>
              <w:br/>
              <w:t xml:space="preserve">(Actual units Sold* standard cost)- (actual units sold * revised standard </w:t>
            </w:r>
            <w:proofErr w:type="gramStart"/>
            <w:r w:rsidRPr="00450BAF">
              <w:rPr>
                <w:rFonts w:ascii="Arial" w:eastAsia="Times New Roman" w:hAnsi="Arial" w:cs="Arial"/>
                <w:color w:val="000000"/>
                <w:sz w:val="32"/>
                <w:szCs w:val="32"/>
                <w:lang w:eastAsia="en-GB"/>
              </w:rPr>
              <w:t>cost )</w:t>
            </w:r>
            <w:proofErr w:type="gramEnd"/>
          </w:p>
        </w:tc>
      </w:tr>
      <w:tr w:rsidR="00450BAF" w:rsidRPr="00450BAF" w14:paraId="3C5609B7" w14:textId="77777777" w:rsidTr="00C745CB">
        <w:trPr>
          <w:trHeight w:val="315"/>
        </w:trPr>
        <w:tc>
          <w:tcPr>
            <w:tcW w:w="3004" w:type="pct"/>
            <w:tcBorders>
              <w:top w:val="nil"/>
              <w:left w:val="single" w:sz="8" w:space="0" w:color="auto"/>
              <w:bottom w:val="single" w:sz="4" w:space="0" w:color="auto"/>
              <w:right w:val="single" w:sz="4" w:space="0" w:color="auto"/>
            </w:tcBorders>
            <w:shd w:val="clear" w:color="auto" w:fill="auto"/>
            <w:noWrap/>
            <w:vAlign w:val="bottom"/>
            <w:hideMark/>
          </w:tcPr>
          <w:p w14:paraId="26D93CEA"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996" w:type="pct"/>
            <w:tcBorders>
              <w:top w:val="single" w:sz="4" w:space="0" w:color="auto"/>
              <w:left w:val="nil"/>
              <w:bottom w:val="single" w:sz="4" w:space="0" w:color="auto"/>
              <w:right w:val="single" w:sz="8" w:space="0" w:color="000000"/>
            </w:tcBorders>
            <w:shd w:val="clear" w:color="auto" w:fill="auto"/>
            <w:noWrap/>
            <w:vAlign w:val="bottom"/>
            <w:hideMark/>
          </w:tcPr>
          <w:p w14:paraId="7702AA8E"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850</w:t>
            </w:r>
          </w:p>
        </w:tc>
      </w:tr>
      <w:tr w:rsidR="00450BAF" w:rsidRPr="00450BAF" w14:paraId="1E3FC020" w14:textId="77777777" w:rsidTr="00C745CB">
        <w:trPr>
          <w:trHeight w:val="315"/>
        </w:trPr>
        <w:tc>
          <w:tcPr>
            <w:tcW w:w="3004" w:type="pct"/>
            <w:tcBorders>
              <w:top w:val="nil"/>
              <w:left w:val="single" w:sz="8" w:space="0" w:color="auto"/>
              <w:bottom w:val="single" w:sz="4" w:space="0" w:color="auto"/>
              <w:right w:val="single" w:sz="4" w:space="0" w:color="auto"/>
            </w:tcBorders>
            <w:shd w:val="clear" w:color="auto" w:fill="auto"/>
            <w:noWrap/>
            <w:vAlign w:val="bottom"/>
            <w:hideMark/>
          </w:tcPr>
          <w:p w14:paraId="4BBF7C5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Standard cost/unit</w:t>
            </w:r>
          </w:p>
        </w:tc>
        <w:tc>
          <w:tcPr>
            <w:tcW w:w="1996" w:type="pct"/>
            <w:tcBorders>
              <w:top w:val="single" w:sz="4" w:space="0" w:color="auto"/>
              <w:left w:val="nil"/>
              <w:bottom w:val="single" w:sz="4" w:space="0" w:color="auto"/>
              <w:right w:val="single" w:sz="8" w:space="0" w:color="000000"/>
            </w:tcBorders>
            <w:shd w:val="clear" w:color="auto" w:fill="auto"/>
            <w:noWrap/>
            <w:vAlign w:val="bottom"/>
            <w:hideMark/>
          </w:tcPr>
          <w:p w14:paraId="0C11B45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2.50 </w:t>
            </w:r>
          </w:p>
        </w:tc>
      </w:tr>
      <w:tr w:rsidR="00450BAF" w:rsidRPr="00450BAF" w14:paraId="1BD7E2A2" w14:textId="77777777" w:rsidTr="00C745CB">
        <w:trPr>
          <w:trHeight w:val="315"/>
        </w:trPr>
        <w:tc>
          <w:tcPr>
            <w:tcW w:w="3004" w:type="pct"/>
            <w:tcBorders>
              <w:top w:val="nil"/>
              <w:left w:val="single" w:sz="8" w:space="0" w:color="auto"/>
              <w:bottom w:val="single" w:sz="4" w:space="0" w:color="auto"/>
              <w:right w:val="single" w:sz="4" w:space="0" w:color="auto"/>
            </w:tcBorders>
            <w:shd w:val="clear" w:color="auto" w:fill="auto"/>
            <w:noWrap/>
            <w:vAlign w:val="bottom"/>
            <w:hideMark/>
          </w:tcPr>
          <w:p w14:paraId="0EBA5BA7"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Original Standard cost</w:t>
            </w:r>
          </w:p>
        </w:tc>
        <w:tc>
          <w:tcPr>
            <w:tcW w:w="1996" w:type="pct"/>
            <w:tcBorders>
              <w:top w:val="single" w:sz="4" w:space="0" w:color="auto"/>
              <w:left w:val="nil"/>
              <w:bottom w:val="single" w:sz="4" w:space="0" w:color="auto"/>
              <w:right w:val="single" w:sz="8" w:space="0" w:color="000000"/>
            </w:tcBorders>
            <w:shd w:val="clear" w:color="auto" w:fill="auto"/>
            <w:noWrap/>
            <w:vAlign w:val="bottom"/>
            <w:hideMark/>
          </w:tcPr>
          <w:p w14:paraId="1E5AC8D9"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2,125.00 </w:t>
            </w:r>
          </w:p>
        </w:tc>
      </w:tr>
      <w:tr w:rsidR="00450BAF" w:rsidRPr="00450BAF" w14:paraId="03FD0B6F" w14:textId="77777777" w:rsidTr="00C745CB">
        <w:trPr>
          <w:trHeight w:val="315"/>
        </w:trPr>
        <w:tc>
          <w:tcPr>
            <w:tcW w:w="3004" w:type="pct"/>
            <w:tcBorders>
              <w:top w:val="nil"/>
              <w:left w:val="single" w:sz="8" w:space="0" w:color="auto"/>
              <w:bottom w:val="single" w:sz="4" w:space="0" w:color="auto"/>
              <w:right w:val="single" w:sz="4" w:space="0" w:color="auto"/>
            </w:tcBorders>
            <w:shd w:val="clear" w:color="auto" w:fill="auto"/>
            <w:noWrap/>
            <w:vAlign w:val="bottom"/>
            <w:hideMark/>
          </w:tcPr>
          <w:p w14:paraId="441E245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996" w:type="pct"/>
            <w:tcBorders>
              <w:top w:val="single" w:sz="4" w:space="0" w:color="auto"/>
              <w:left w:val="nil"/>
              <w:bottom w:val="single" w:sz="4" w:space="0" w:color="auto"/>
              <w:right w:val="single" w:sz="8" w:space="0" w:color="000000"/>
            </w:tcBorders>
            <w:shd w:val="clear" w:color="auto" w:fill="auto"/>
            <w:noWrap/>
            <w:vAlign w:val="bottom"/>
            <w:hideMark/>
          </w:tcPr>
          <w:p w14:paraId="5365D08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2EB664C0" w14:textId="77777777" w:rsidTr="00C745CB">
        <w:trPr>
          <w:trHeight w:val="315"/>
        </w:trPr>
        <w:tc>
          <w:tcPr>
            <w:tcW w:w="3004" w:type="pct"/>
            <w:tcBorders>
              <w:top w:val="nil"/>
              <w:left w:val="single" w:sz="8" w:space="0" w:color="auto"/>
              <w:bottom w:val="single" w:sz="4" w:space="0" w:color="auto"/>
              <w:right w:val="single" w:sz="4" w:space="0" w:color="auto"/>
            </w:tcBorders>
            <w:shd w:val="clear" w:color="auto" w:fill="auto"/>
            <w:noWrap/>
            <w:vAlign w:val="bottom"/>
            <w:hideMark/>
          </w:tcPr>
          <w:p w14:paraId="1DAC4CA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996" w:type="pct"/>
            <w:tcBorders>
              <w:top w:val="single" w:sz="4" w:space="0" w:color="auto"/>
              <w:left w:val="nil"/>
              <w:bottom w:val="single" w:sz="4" w:space="0" w:color="auto"/>
              <w:right w:val="single" w:sz="8" w:space="0" w:color="000000"/>
            </w:tcBorders>
            <w:shd w:val="clear" w:color="auto" w:fill="auto"/>
            <w:noWrap/>
            <w:vAlign w:val="bottom"/>
            <w:hideMark/>
          </w:tcPr>
          <w:p w14:paraId="7604BC3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850</w:t>
            </w:r>
          </w:p>
        </w:tc>
      </w:tr>
      <w:tr w:rsidR="00450BAF" w:rsidRPr="00450BAF" w14:paraId="40F885FD" w14:textId="77777777" w:rsidTr="00C745CB">
        <w:trPr>
          <w:trHeight w:val="315"/>
        </w:trPr>
        <w:tc>
          <w:tcPr>
            <w:tcW w:w="3004" w:type="pct"/>
            <w:tcBorders>
              <w:top w:val="nil"/>
              <w:left w:val="single" w:sz="8" w:space="0" w:color="auto"/>
              <w:bottom w:val="single" w:sz="4" w:space="0" w:color="auto"/>
              <w:right w:val="single" w:sz="4" w:space="0" w:color="auto"/>
            </w:tcBorders>
            <w:shd w:val="clear" w:color="auto" w:fill="auto"/>
            <w:noWrap/>
            <w:vAlign w:val="bottom"/>
            <w:hideMark/>
          </w:tcPr>
          <w:p w14:paraId="2643E581"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Revised Standard cost/unit</w:t>
            </w:r>
          </w:p>
        </w:tc>
        <w:tc>
          <w:tcPr>
            <w:tcW w:w="1996" w:type="pct"/>
            <w:tcBorders>
              <w:top w:val="single" w:sz="4" w:space="0" w:color="auto"/>
              <w:left w:val="nil"/>
              <w:bottom w:val="single" w:sz="4" w:space="0" w:color="auto"/>
              <w:right w:val="single" w:sz="8" w:space="0" w:color="000000"/>
            </w:tcBorders>
            <w:shd w:val="clear" w:color="auto" w:fill="auto"/>
            <w:noWrap/>
            <w:vAlign w:val="bottom"/>
            <w:hideMark/>
          </w:tcPr>
          <w:p w14:paraId="15C851D8"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4.50 </w:t>
            </w:r>
          </w:p>
        </w:tc>
      </w:tr>
      <w:tr w:rsidR="00450BAF" w:rsidRPr="00450BAF" w14:paraId="6DB03962" w14:textId="77777777" w:rsidTr="00C745CB">
        <w:trPr>
          <w:trHeight w:val="315"/>
        </w:trPr>
        <w:tc>
          <w:tcPr>
            <w:tcW w:w="3004" w:type="pct"/>
            <w:tcBorders>
              <w:top w:val="nil"/>
              <w:left w:val="single" w:sz="8" w:space="0" w:color="auto"/>
              <w:bottom w:val="single" w:sz="4" w:space="0" w:color="auto"/>
              <w:right w:val="single" w:sz="4" w:space="0" w:color="auto"/>
            </w:tcBorders>
            <w:shd w:val="clear" w:color="auto" w:fill="auto"/>
            <w:noWrap/>
            <w:vAlign w:val="bottom"/>
            <w:hideMark/>
          </w:tcPr>
          <w:p w14:paraId="19390F6F"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Revised Standard cost</w:t>
            </w:r>
          </w:p>
        </w:tc>
        <w:tc>
          <w:tcPr>
            <w:tcW w:w="1996" w:type="pct"/>
            <w:tcBorders>
              <w:top w:val="single" w:sz="4" w:space="0" w:color="auto"/>
              <w:left w:val="nil"/>
              <w:bottom w:val="single" w:sz="4" w:space="0" w:color="auto"/>
              <w:right w:val="single" w:sz="8" w:space="0" w:color="000000"/>
            </w:tcBorders>
            <w:shd w:val="clear" w:color="auto" w:fill="auto"/>
            <w:noWrap/>
            <w:vAlign w:val="bottom"/>
            <w:hideMark/>
          </w:tcPr>
          <w:p w14:paraId="3D11C49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3,825.00 </w:t>
            </w:r>
          </w:p>
        </w:tc>
      </w:tr>
      <w:tr w:rsidR="00450BAF" w:rsidRPr="00450BAF" w14:paraId="68977C44" w14:textId="77777777" w:rsidTr="00C745CB">
        <w:trPr>
          <w:trHeight w:val="315"/>
        </w:trPr>
        <w:tc>
          <w:tcPr>
            <w:tcW w:w="3004" w:type="pct"/>
            <w:tcBorders>
              <w:top w:val="nil"/>
              <w:left w:val="single" w:sz="8" w:space="0" w:color="auto"/>
              <w:bottom w:val="single" w:sz="4" w:space="0" w:color="auto"/>
              <w:right w:val="single" w:sz="4" w:space="0" w:color="auto"/>
            </w:tcBorders>
            <w:shd w:val="clear" w:color="auto" w:fill="auto"/>
            <w:noWrap/>
            <w:vAlign w:val="bottom"/>
            <w:hideMark/>
          </w:tcPr>
          <w:p w14:paraId="1C9664F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996" w:type="pct"/>
            <w:tcBorders>
              <w:top w:val="single" w:sz="4" w:space="0" w:color="auto"/>
              <w:left w:val="nil"/>
              <w:bottom w:val="single" w:sz="4" w:space="0" w:color="auto"/>
              <w:right w:val="single" w:sz="8" w:space="0" w:color="000000"/>
            </w:tcBorders>
            <w:shd w:val="clear" w:color="auto" w:fill="auto"/>
            <w:noWrap/>
            <w:vAlign w:val="bottom"/>
            <w:hideMark/>
          </w:tcPr>
          <w:p w14:paraId="50ABC45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300FECE6" w14:textId="77777777" w:rsidTr="00C745CB">
        <w:trPr>
          <w:trHeight w:val="315"/>
        </w:trPr>
        <w:tc>
          <w:tcPr>
            <w:tcW w:w="3004" w:type="pct"/>
            <w:tcBorders>
              <w:top w:val="nil"/>
              <w:left w:val="single" w:sz="4" w:space="0" w:color="auto"/>
              <w:bottom w:val="single" w:sz="4" w:space="0" w:color="auto"/>
              <w:right w:val="single" w:sz="4" w:space="0" w:color="auto"/>
            </w:tcBorders>
            <w:shd w:val="clear" w:color="auto" w:fill="auto"/>
            <w:noWrap/>
            <w:vAlign w:val="bottom"/>
            <w:hideMark/>
          </w:tcPr>
          <w:p w14:paraId="16872DEC"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Material Price Planning Variance</w:t>
            </w:r>
          </w:p>
        </w:tc>
        <w:tc>
          <w:tcPr>
            <w:tcW w:w="1996" w:type="pct"/>
            <w:tcBorders>
              <w:top w:val="single" w:sz="4" w:space="0" w:color="auto"/>
              <w:left w:val="nil"/>
              <w:bottom w:val="single" w:sz="4" w:space="0" w:color="auto"/>
              <w:right w:val="single" w:sz="8" w:space="0" w:color="000000"/>
            </w:tcBorders>
            <w:shd w:val="clear" w:color="auto" w:fill="auto"/>
            <w:noWrap/>
            <w:vAlign w:val="bottom"/>
            <w:hideMark/>
          </w:tcPr>
          <w:p w14:paraId="5AF97BD1"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 xml:space="preserve">-£                  1,700.00 </w:t>
            </w:r>
          </w:p>
        </w:tc>
      </w:tr>
      <w:tr w:rsidR="00450BAF" w:rsidRPr="00450BAF" w14:paraId="47157293" w14:textId="77777777" w:rsidTr="00C745CB">
        <w:trPr>
          <w:trHeight w:val="330"/>
        </w:trPr>
        <w:tc>
          <w:tcPr>
            <w:tcW w:w="3004" w:type="pct"/>
            <w:tcBorders>
              <w:top w:val="nil"/>
              <w:left w:val="single" w:sz="8" w:space="0" w:color="auto"/>
              <w:bottom w:val="single" w:sz="8" w:space="0" w:color="auto"/>
              <w:right w:val="single" w:sz="4" w:space="0" w:color="auto"/>
            </w:tcBorders>
            <w:shd w:val="clear" w:color="auto" w:fill="auto"/>
            <w:noWrap/>
            <w:vAlign w:val="bottom"/>
            <w:hideMark/>
          </w:tcPr>
          <w:p w14:paraId="6E00039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Status</w:t>
            </w:r>
          </w:p>
        </w:tc>
        <w:tc>
          <w:tcPr>
            <w:tcW w:w="1996" w:type="pct"/>
            <w:tcBorders>
              <w:top w:val="single" w:sz="4" w:space="0" w:color="auto"/>
              <w:left w:val="nil"/>
              <w:bottom w:val="single" w:sz="8" w:space="0" w:color="auto"/>
              <w:right w:val="single" w:sz="8" w:space="0" w:color="000000"/>
            </w:tcBorders>
            <w:shd w:val="clear" w:color="auto" w:fill="auto"/>
            <w:noWrap/>
            <w:vAlign w:val="bottom"/>
            <w:hideMark/>
          </w:tcPr>
          <w:p w14:paraId="11961E4F"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proofErr w:type="spellStart"/>
            <w:r w:rsidRPr="00450BAF">
              <w:rPr>
                <w:rFonts w:ascii="Arial" w:eastAsia="Times New Roman" w:hAnsi="Arial" w:cs="Arial"/>
                <w:color w:val="000000"/>
                <w:sz w:val="32"/>
                <w:szCs w:val="32"/>
                <w:lang w:eastAsia="en-GB"/>
              </w:rPr>
              <w:t>Unfavorable</w:t>
            </w:r>
            <w:proofErr w:type="spellEnd"/>
          </w:p>
        </w:tc>
      </w:tr>
    </w:tbl>
    <w:p w14:paraId="1CD93BE2" w14:textId="77777777" w:rsidR="00450BAF" w:rsidRPr="00450BAF" w:rsidRDefault="00450BAF" w:rsidP="00450BAF">
      <w:pPr>
        <w:jc w:val="both"/>
        <w:rPr>
          <w:rFonts w:ascii="Arial" w:hAnsi="Arial" w:cs="Arial"/>
          <w:sz w:val="32"/>
          <w:szCs w:val="32"/>
        </w:rPr>
      </w:pPr>
    </w:p>
    <w:p w14:paraId="54DB15B5" w14:textId="77777777" w:rsidR="00450BAF" w:rsidRPr="00450BAF" w:rsidRDefault="00450BAF" w:rsidP="00450BAF">
      <w:pPr>
        <w:jc w:val="both"/>
        <w:rPr>
          <w:rFonts w:ascii="Arial" w:hAnsi="Arial" w:cs="Arial"/>
          <w:sz w:val="32"/>
          <w:szCs w:val="32"/>
        </w:rPr>
      </w:pPr>
    </w:p>
    <w:tbl>
      <w:tblPr>
        <w:tblW w:w="5000" w:type="pct"/>
        <w:tblLook w:val="04A0" w:firstRow="1" w:lastRow="0" w:firstColumn="1" w:lastColumn="0" w:noHBand="0" w:noVBand="1"/>
      </w:tblPr>
      <w:tblGrid>
        <w:gridCol w:w="5472"/>
        <w:gridCol w:w="3534"/>
      </w:tblGrid>
      <w:tr w:rsidR="00450BAF" w:rsidRPr="00450BAF" w14:paraId="7131EA3E" w14:textId="77777777" w:rsidTr="00C745CB">
        <w:trPr>
          <w:trHeight w:val="315"/>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3DC9AF7"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Material Price Planning Variance</w:t>
            </w:r>
          </w:p>
        </w:tc>
      </w:tr>
      <w:tr w:rsidR="00450BAF" w:rsidRPr="00450BAF" w14:paraId="0E0B7188" w14:textId="77777777" w:rsidTr="00C745CB">
        <w:trPr>
          <w:trHeight w:val="315"/>
        </w:trPr>
        <w:tc>
          <w:tcPr>
            <w:tcW w:w="5000" w:type="pct"/>
            <w:gridSpan w:val="2"/>
            <w:tcBorders>
              <w:top w:val="nil"/>
              <w:left w:val="single" w:sz="8" w:space="0" w:color="auto"/>
              <w:bottom w:val="single" w:sz="4" w:space="0" w:color="auto"/>
              <w:right w:val="single" w:sz="8" w:space="0" w:color="000000"/>
            </w:tcBorders>
            <w:shd w:val="clear" w:color="auto" w:fill="auto"/>
            <w:noWrap/>
            <w:vAlign w:val="bottom"/>
            <w:hideMark/>
          </w:tcPr>
          <w:p w14:paraId="22F437BF"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b/>
                <w:color w:val="000000"/>
                <w:sz w:val="32"/>
                <w:szCs w:val="32"/>
                <w:lang w:eastAsia="en-GB"/>
              </w:rPr>
              <w:t>Chemical</w:t>
            </w:r>
            <w:r w:rsidRPr="00450BAF">
              <w:rPr>
                <w:rFonts w:ascii="Arial" w:eastAsia="Times New Roman" w:hAnsi="Arial" w:cs="Arial"/>
                <w:color w:val="000000"/>
                <w:sz w:val="32"/>
                <w:szCs w:val="32"/>
                <w:lang w:eastAsia="en-GB"/>
              </w:rPr>
              <w:t xml:space="preserve"> </w:t>
            </w:r>
            <w:r w:rsidRPr="00450BAF">
              <w:rPr>
                <w:rFonts w:ascii="Arial" w:eastAsia="Times New Roman" w:hAnsi="Arial" w:cs="Arial"/>
                <w:b/>
                <w:bCs/>
                <w:color w:val="000000"/>
                <w:sz w:val="32"/>
                <w:szCs w:val="32"/>
                <w:lang w:eastAsia="en-GB"/>
              </w:rPr>
              <w:t>Y</w:t>
            </w:r>
          </w:p>
        </w:tc>
      </w:tr>
      <w:tr w:rsidR="00450BAF" w:rsidRPr="00450BAF" w14:paraId="2900BC5A" w14:textId="77777777" w:rsidTr="00C745CB">
        <w:trPr>
          <w:trHeight w:val="900"/>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680F2B6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Formula </w:t>
            </w:r>
            <w:r w:rsidRPr="00450BAF">
              <w:rPr>
                <w:rFonts w:ascii="Arial" w:eastAsia="Times New Roman" w:hAnsi="Arial" w:cs="Arial"/>
                <w:color w:val="000000"/>
                <w:sz w:val="32"/>
                <w:szCs w:val="32"/>
                <w:lang w:eastAsia="en-GB"/>
              </w:rPr>
              <w:br/>
              <w:t xml:space="preserve">(Actual units Sold* standard cost)- (actual units sold * revised standard </w:t>
            </w:r>
            <w:proofErr w:type="gramStart"/>
            <w:r w:rsidRPr="00450BAF">
              <w:rPr>
                <w:rFonts w:ascii="Arial" w:eastAsia="Times New Roman" w:hAnsi="Arial" w:cs="Arial"/>
                <w:color w:val="000000"/>
                <w:sz w:val="32"/>
                <w:szCs w:val="32"/>
                <w:lang w:eastAsia="en-GB"/>
              </w:rPr>
              <w:t>cost )</w:t>
            </w:r>
            <w:proofErr w:type="gramEnd"/>
          </w:p>
        </w:tc>
      </w:tr>
      <w:tr w:rsidR="00450BAF" w:rsidRPr="00450BAF" w14:paraId="525BBE11" w14:textId="77777777" w:rsidTr="00C745CB">
        <w:trPr>
          <w:trHeight w:val="315"/>
        </w:trPr>
        <w:tc>
          <w:tcPr>
            <w:tcW w:w="3038" w:type="pct"/>
            <w:tcBorders>
              <w:top w:val="nil"/>
              <w:left w:val="single" w:sz="8" w:space="0" w:color="auto"/>
              <w:bottom w:val="single" w:sz="4" w:space="0" w:color="auto"/>
              <w:right w:val="single" w:sz="4" w:space="0" w:color="auto"/>
            </w:tcBorders>
            <w:shd w:val="clear" w:color="auto" w:fill="auto"/>
            <w:noWrap/>
            <w:vAlign w:val="bottom"/>
            <w:hideMark/>
          </w:tcPr>
          <w:p w14:paraId="1C46897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962" w:type="pct"/>
            <w:tcBorders>
              <w:top w:val="single" w:sz="4" w:space="0" w:color="auto"/>
              <w:left w:val="nil"/>
              <w:bottom w:val="single" w:sz="4" w:space="0" w:color="auto"/>
              <w:right w:val="single" w:sz="8" w:space="0" w:color="000000"/>
            </w:tcBorders>
            <w:shd w:val="clear" w:color="auto" w:fill="auto"/>
            <w:noWrap/>
            <w:vAlign w:val="bottom"/>
            <w:hideMark/>
          </w:tcPr>
          <w:p w14:paraId="59133EC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750</w:t>
            </w:r>
          </w:p>
        </w:tc>
      </w:tr>
      <w:tr w:rsidR="00450BAF" w:rsidRPr="00450BAF" w14:paraId="6E697C2D" w14:textId="77777777" w:rsidTr="00C745CB">
        <w:trPr>
          <w:trHeight w:val="315"/>
        </w:trPr>
        <w:tc>
          <w:tcPr>
            <w:tcW w:w="3038" w:type="pct"/>
            <w:tcBorders>
              <w:top w:val="nil"/>
              <w:left w:val="single" w:sz="8" w:space="0" w:color="auto"/>
              <w:bottom w:val="single" w:sz="4" w:space="0" w:color="auto"/>
              <w:right w:val="single" w:sz="4" w:space="0" w:color="auto"/>
            </w:tcBorders>
            <w:shd w:val="clear" w:color="auto" w:fill="auto"/>
            <w:noWrap/>
            <w:vAlign w:val="bottom"/>
            <w:hideMark/>
          </w:tcPr>
          <w:p w14:paraId="24977C5A"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Standard cost/unit</w:t>
            </w:r>
          </w:p>
        </w:tc>
        <w:tc>
          <w:tcPr>
            <w:tcW w:w="1962" w:type="pct"/>
            <w:tcBorders>
              <w:top w:val="single" w:sz="4" w:space="0" w:color="auto"/>
              <w:left w:val="nil"/>
              <w:bottom w:val="single" w:sz="4" w:space="0" w:color="auto"/>
              <w:right w:val="single" w:sz="8" w:space="0" w:color="000000"/>
            </w:tcBorders>
            <w:shd w:val="clear" w:color="auto" w:fill="auto"/>
            <w:noWrap/>
            <w:vAlign w:val="bottom"/>
            <w:hideMark/>
          </w:tcPr>
          <w:p w14:paraId="628A4AEE"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2.50 </w:t>
            </w:r>
          </w:p>
        </w:tc>
      </w:tr>
      <w:tr w:rsidR="00450BAF" w:rsidRPr="00450BAF" w14:paraId="06B09E0F" w14:textId="77777777" w:rsidTr="00C745CB">
        <w:trPr>
          <w:trHeight w:val="315"/>
        </w:trPr>
        <w:tc>
          <w:tcPr>
            <w:tcW w:w="3038" w:type="pct"/>
            <w:tcBorders>
              <w:top w:val="nil"/>
              <w:left w:val="single" w:sz="8" w:space="0" w:color="auto"/>
              <w:bottom w:val="single" w:sz="4" w:space="0" w:color="auto"/>
              <w:right w:val="single" w:sz="4" w:space="0" w:color="auto"/>
            </w:tcBorders>
            <w:shd w:val="clear" w:color="auto" w:fill="auto"/>
            <w:noWrap/>
            <w:vAlign w:val="bottom"/>
            <w:hideMark/>
          </w:tcPr>
          <w:p w14:paraId="5FCDC3E1"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Original Standard cost</w:t>
            </w:r>
          </w:p>
        </w:tc>
        <w:tc>
          <w:tcPr>
            <w:tcW w:w="1962" w:type="pct"/>
            <w:tcBorders>
              <w:top w:val="single" w:sz="4" w:space="0" w:color="auto"/>
              <w:left w:val="nil"/>
              <w:bottom w:val="single" w:sz="4" w:space="0" w:color="auto"/>
              <w:right w:val="single" w:sz="8" w:space="0" w:color="000000"/>
            </w:tcBorders>
            <w:shd w:val="clear" w:color="auto" w:fill="auto"/>
            <w:noWrap/>
            <w:vAlign w:val="bottom"/>
            <w:hideMark/>
          </w:tcPr>
          <w:p w14:paraId="73E0808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1,875.00 </w:t>
            </w:r>
          </w:p>
        </w:tc>
      </w:tr>
      <w:tr w:rsidR="00450BAF" w:rsidRPr="00450BAF" w14:paraId="66B74562" w14:textId="77777777" w:rsidTr="00C745CB">
        <w:trPr>
          <w:trHeight w:val="315"/>
        </w:trPr>
        <w:tc>
          <w:tcPr>
            <w:tcW w:w="3038" w:type="pct"/>
            <w:tcBorders>
              <w:top w:val="nil"/>
              <w:left w:val="single" w:sz="8" w:space="0" w:color="auto"/>
              <w:bottom w:val="single" w:sz="4" w:space="0" w:color="auto"/>
              <w:right w:val="single" w:sz="4" w:space="0" w:color="auto"/>
            </w:tcBorders>
            <w:shd w:val="clear" w:color="auto" w:fill="auto"/>
            <w:noWrap/>
            <w:vAlign w:val="bottom"/>
            <w:hideMark/>
          </w:tcPr>
          <w:p w14:paraId="40AC4A3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962" w:type="pct"/>
            <w:tcBorders>
              <w:top w:val="single" w:sz="4" w:space="0" w:color="auto"/>
              <w:left w:val="nil"/>
              <w:bottom w:val="single" w:sz="4" w:space="0" w:color="auto"/>
              <w:right w:val="single" w:sz="8" w:space="0" w:color="000000"/>
            </w:tcBorders>
            <w:shd w:val="clear" w:color="auto" w:fill="auto"/>
            <w:noWrap/>
            <w:vAlign w:val="bottom"/>
            <w:hideMark/>
          </w:tcPr>
          <w:p w14:paraId="2CA8E71E"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7E031AC0" w14:textId="77777777" w:rsidTr="00C745CB">
        <w:trPr>
          <w:trHeight w:val="315"/>
        </w:trPr>
        <w:tc>
          <w:tcPr>
            <w:tcW w:w="3038" w:type="pct"/>
            <w:tcBorders>
              <w:top w:val="nil"/>
              <w:left w:val="single" w:sz="8" w:space="0" w:color="auto"/>
              <w:bottom w:val="single" w:sz="4" w:space="0" w:color="auto"/>
              <w:right w:val="single" w:sz="4" w:space="0" w:color="auto"/>
            </w:tcBorders>
            <w:shd w:val="clear" w:color="auto" w:fill="auto"/>
            <w:noWrap/>
            <w:vAlign w:val="bottom"/>
            <w:hideMark/>
          </w:tcPr>
          <w:p w14:paraId="1FEDB87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962" w:type="pct"/>
            <w:tcBorders>
              <w:top w:val="single" w:sz="4" w:space="0" w:color="auto"/>
              <w:left w:val="nil"/>
              <w:bottom w:val="single" w:sz="4" w:space="0" w:color="auto"/>
              <w:right w:val="single" w:sz="8" w:space="0" w:color="000000"/>
            </w:tcBorders>
            <w:shd w:val="clear" w:color="auto" w:fill="auto"/>
            <w:noWrap/>
            <w:vAlign w:val="bottom"/>
            <w:hideMark/>
          </w:tcPr>
          <w:p w14:paraId="7DCB5EDC"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750</w:t>
            </w:r>
          </w:p>
        </w:tc>
      </w:tr>
      <w:tr w:rsidR="00450BAF" w:rsidRPr="00450BAF" w14:paraId="584B6CC0" w14:textId="77777777" w:rsidTr="00C745CB">
        <w:trPr>
          <w:trHeight w:val="315"/>
        </w:trPr>
        <w:tc>
          <w:tcPr>
            <w:tcW w:w="3038" w:type="pct"/>
            <w:tcBorders>
              <w:top w:val="nil"/>
              <w:left w:val="single" w:sz="8" w:space="0" w:color="auto"/>
              <w:bottom w:val="single" w:sz="4" w:space="0" w:color="auto"/>
              <w:right w:val="single" w:sz="4" w:space="0" w:color="auto"/>
            </w:tcBorders>
            <w:shd w:val="clear" w:color="auto" w:fill="auto"/>
            <w:noWrap/>
            <w:vAlign w:val="bottom"/>
            <w:hideMark/>
          </w:tcPr>
          <w:p w14:paraId="5826294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Revised Standard cost/unit</w:t>
            </w:r>
          </w:p>
        </w:tc>
        <w:tc>
          <w:tcPr>
            <w:tcW w:w="1962" w:type="pct"/>
            <w:tcBorders>
              <w:top w:val="single" w:sz="4" w:space="0" w:color="auto"/>
              <w:left w:val="nil"/>
              <w:bottom w:val="single" w:sz="4" w:space="0" w:color="auto"/>
              <w:right w:val="single" w:sz="8" w:space="0" w:color="000000"/>
            </w:tcBorders>
            <w:shd w:val="clear" w:color="auto" w:fill="auto"/>
            <w:noWrap/>
            <w:vAlign w:val="bottom"/>
            <w:hideMark/>
          </w:tcPr>
          <w:p w14:paraId="4B09F6BC"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4.50 </w:t>
            </w:r>
          </w:p>
        </w:tc>
      </w:tr>
      <w:tr w:rsidR="00450BAF" w:rsidRPr="00450BAF" w14:paraId="1E028F9B" w14:textId="77777777" w:rsidTr="00C745CB">
        <w:trPr>
          <w:trHeight w:val="315"/>
        </w:trPr>
        <w:tc>
          <w:tcPr>
            <w:tcW w:w="3038" w:type="pct"/>
            <w:tcBorders>
              <w:top w:val="nil"/>
              <w:left w:val="single" w:sz="8" w:space="0" w:color="auto"/>
              <w:bottom w:val="single" w:sz="4" w:space="0" w:color="auto"/>
              <w:right w:val="single" w:sz="4" w:space="0" w:color="auto"/>
            </w:tcBorders>
            <w:shd w:val="clear" w:color="auto" w:fill="auto"/>
            <w:noWrap/>
            <w:vAlign w:val="bottom"/>
            <w:hideMark/>
          </w:tcPr>
          <w:p w14:paraId="6097F58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Revised Standard cost</w:t>
            </w:r>
          </w:p>
        </w:tc>
        <w:tc>
          <w:tcPr>
            <w:tcW w:w="1962" w:type="pct"/>
            <w:tcBorders>
              <w:top w:val="single" w:sz="4" w:space="0" w:color="auto"/>
              <w:left w:val="nil"/>
              <w:bottom w:val="single" w:sz="4" w:space="0" w:color="auto"/>
              <w:right w:val="single" w:sz="8" w:space="0" w:color="000000"/>
            </w:tcBorders>
            <w:shd w:val="clear" w:color="auto" w:fill="auto"/>
            <w:noWrap/>
            <w:vAlign w:val="bottom"/>
            <w:hideMark/>
          </w:tcPr>
          <w:p w14:paraId="40B294C8"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3,375.00 </w:t>
            </w:r>
          </w:p>
        </w:tc>
      </w:tr>
      <w:tr w:rsidR="00450BAF" w:rsidRPr="00450BAF" w14:paraId="410D916D" w14:textId="77777777" w:rsidTr="00C745CB">
        <w:trPr>
          <w:trHeight w:val="315"/>
        </w:trPr>
        <w:tc>
          <w:tcPr>
            <w:tcW w:w="3038" w:type="pct"/>
            <w:tcBorders>
              <w:top w:val="nil"/>
              <w:left w:val="single" w:sz="8" w:space="0" w:color="auto"/>
              <w:bottom w:val="single" w:sz="4" w:space="0" w:color="auto"/>
              <w:right w:val="single" w:sz="4" w:space="0" w:color="auto"/>
            </w:tcBorders>
            <w:shd w:val="clear" w:color="auto" w:fill="auto"/>
            <w:noWrap/>
            <w:vAlign w:val="bottom"/>
            <w:hideMark/>
          </w:tcPr>
          <w:p w14:paraId="634BE3B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962" w:type="pct"/>
            <w:tcBorders>
              <w:top w:val="single" w:sz="4" w:space="0" w:color="auto"/>
              <w:left w:val="nil"/>
              <w:bottom w:val="single" w:sz="4" w:space="0" w:color="auto"/>
              <w:right w:val="single" w:sz="8" w:space="0" w:color="000000"/>
            </w:tcBorders>
            <w:shd w:val="clear" w:color="auto" w:fill="auto"/>
            <w:noWrap/>
            <w:vAlign w:val="bottom"/>
            <w:hideMark/>
          </w:tcPr>
          <w:p w14:paraId="716B6BA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5CE0DC70" w14:textId="77777777" w:rsidTr="00C745CB">
        <w:trPr>
          <w:trHeight w:val="315"/>
        </w:trPr>
        <w:tc>
          <w:tcPr>
            <w:tcW w:w="3038" w:type="pct"/>
            <w:tcBorders>
              <w:top w:val="nil"/>
              <w:left w:val="single" w:sz="8" w:space="0" w:color="auto"/>
              <w:bottom w:val="single" w:sz="4" w:space="0" w:color="auto"/>
              <w:right w:val="single" w:sz="4" w:space="0" w:color="auto"/>
            </w:tcBorders>
            <w:shd w:val="clear" w:color="auto" w:fill="auto"/>
            <w:noWrap/>
            <w:vAlign w:val="bottom"/>
            <w:hideMark/>
          </w:tcPr>
          <w:p w14:paraId="4090DF6F"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Material Price Planning Variance</w:t>
            </w:r>
          </w:p>
        </w:tc>
        <w:tc>
          <w:tcPr>
            <w:tcW w:w="1962" w:type="pct"/>
            <w:tcBorders>
              <w:top w:val="single" w:sz="4" w:space="0" w:color="auto"/>
              <w:left w:val="nil"/>
              <w:bottom w:val="single" w:sz="4" w:space="0" w:color="auto"/>
              <w:right w:val="single" w:sz="8" w:space="0" w:color="000000"/>
            </w:tcBorders>
            <w:shd w:val="clear" w:color="auto" w:fill="auto"/>
            <w:noWrap/>
            <w:vAlign w:val="bottom"/>
            <w:hideMark/>
          </w:tcPr>
          <w:p w14:paraId="10D88131"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 xml:space="preserve">-£                 1,500.00 </w:t>
            </w:r>
          </w:p>
        </w:tc>
      </w:tr>
      <w:tr w:rsidR="00450BAF" w:rsidRPr="00450BAF" w14:paraId="1974BCF4" w14:textId="77777777" w:rsidTr="00C745CB">
        <w:trPr>
          <w:trHeight w:val="330"/>
        </w:trPr>
        <w:tc>
          <w:tcPr>
            <w:tcW w:w="3038" w:type="pct"/>
            <w:tcBorders>
              <w:top w:val="nil"/>
              <w:left w:val="single" w:sz="8" w:space="0" w:color="auto"/>
              <w:bottom w:val="single" w:sz="8" w:space="0" w:color="auto"/>
              <w:right w:val="single" w:sz="4" w:space="0" w:color="auto"/>
            </w:tcBorders>
            <w:shd w:val="clear" w:color="auto" w:fill="auto"/>
            <w:noWrap/>
            <w:vAlign w:val="bottom"/>
            <w:hideMark/>
          </w:tcPr>
          <w:p w14:paraId="397591E6"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Status</w:t>
            </w:r>
          </w:p>
        </w:tc>
        <w:tc>
          <w:tcPr>
            <w:tcW w:w="1962" w:type="pct"/>
            <w:tcBorders>
              <w:top w:val="single" w:sz="4" w:space="0" w:color="auto"/>
              <w:left w:val="nil"/>
              <w:bottom w:val="single" w:sz="8" w:space="0" w:color="auto"/>
              <w:right w:val="single" w:sz="8" w:space="0" w:color="000000"/>
            </w:tcBorders>
            <w:shd w:val="clear" w:color="auto" w:fill="auto"/>
            <w:noWrap/>
            <w:vAlign w:val="bottom"/>
            <w:hideMark/>
          </w:tcPr>
          <w:p w14:paraId="6E6AFCE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proofErr w:type="spellStart"/>
            <w:r w:rsidRPr="00450BAF">
              <w:rPr>
                <w:rFonts w:ascii="Arial" w:eastAsia="Times New Roman" w:hAnsi="Arial" w:cs="Arial"/>
                <w:color w:val="000000"/>
                <w:sz w:val="32"/>
                <w:szCs w:val="32"/>
                <w:lang w:eastAsia="en-GB"/>
              </w:rPr>
              <w:t>Unfavorable</w:t>
            </w:r>
            <w:proofErr w:type="spellEnd"/>
          </w:p>
        </w:tc>
      </w:tr>
    </w:tbl>
    <w:p w14:paraId="2E819583" w14:textId="77777777" w:rsidR="00450BAF" w:rsidRPr="00450BAF" w:rsidRDefault="00450BAF" w:rsidP="00450BAF">
      <w:pPr>
        <w:jc w:val="both"/>
        <w:rPr>
          <w:rFonts w:ascii="Arial" w:hAnsi="Arial" w:cs="Arial"/>
          <w:sz w:val="32"/>
          <w:szCs w:val="32"/>
        </w:rPr>
      </w:pPr>
    </w:p>
    <w:p w14:paraId="3C519742" w14:textId="77777777" w:rsidR="00450BAF" w:rsidRPr="00450BAF" w:rsidRDefault="00450BAF" w:rsidP="00450BAF">
      <w:pPr>
        <w:jc w:val="both"/>
        <w:rPr>
          <w:rFonts w:ascii="Arial" w:hAnsi="Arial" w:cs="Arial"/>
          <w:sz w:val="32"/>
          <w:szCs w:val="32"/>
        </w:rPr>
      </w:pPr>
    </w:p>
    <w:p w14:paraId="2124A28F" w14:textId="77777777" w:rsidR="00450BAF" w:rsidRPr="00450BAF" w:rsidRDefault="00450BAF" w:rsidP="00450BAF">
      <w:pPr>
        <w:pStyle w:val="Heading2"/>
        <w:jc w:val="both"/>
        <w:rPr>
          <w:rFonts w:cs="Arial"/>
          <w:sz w:val="32"/>
          <w:szCs w:val="32"/>
        </w:rPr>
      </w:pPr>
      <w:bookmarkStart w:id="5" w:name="_Toc71035491"/>
      <w:r w:rsidRPr="00450BAF">
        <w:rPr>
          <w:rFonts w:cs="Arial"/>
          <w:sz w:val="32"/>
          <w:szCs w:val="32"/>
        </w:rPr>
        <w:t>Material Price Operational Variance</w:t>
      </w:r>
      <w:bookmarkEnd w:id="5"/>
    </w:p>
    <w:p w14:paraId="157D0ACA"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Material price operational variance involves comparing the revised prices and the actual prices of materials. The prices of the material may change due to either an increase in the prices or challenges in usage. XLG’s material prices were revised upwards as the actual material prices were lower than that. This resulted in </w:t>
      </w:r>
      <w:proofErr w:type="spellStart"/>
      <w:r w:rsidRPr="00450BAF">
        <w:rPr>
          <w:rFonts w:ascii="Arial" w:hAnsi="Arial" w:cs="Arial"/>
          <w:sz w:val="32"/>
          <w:szCs w:val="32"/>
        </w:rPr>
        <w:t>favorable</w:t>
      </w:r>
      <w:proofErr w:type="spellEnd"/>
      <w:r w:rsidRPr="00450BAF">
        <w:rPr>
          <w:rFonts w:ascii="Arial" w:hAnsi="Arial" w:cs="Arial"/>
          <w:sz w:val="32"/>
          <w:szCs w:val="32"/>
        </w:rPr>
        <w:t xml:space="preserve"> variances for both chemical X and Y, therefore illustrating that the production process employed by the company was cost-effective.</w:t>
      </w:r>
    </w:p>
    <w:tbl>
      <w:tblPr>
        <w:tblW w:w="5000" w:type="pct"/>
        <w:tblLook w:val="04A0" w:firstRow="1" w:lastRow="0" w:firstColumn="1" w:lastColumn="0" w:noHBand="0" w:noVBand="1"/>
      </w:tblPr>
      <w:tblGrid>
        <w:gridCol w:w="5607"/>
        <w:gridCol w:w="3399"/>
      </w:tblGrid>
      <w:tr w:rsidR="00450BAF" w:rsidRPr="00450BAF" w14:paraId="004B3A0C" w14:textId="77777777" w:rsidTr="00C745CB">
        <w:trPr>
          <w:trHeight w:val="315"/>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9139BC1"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Material Price Operational Variance</w:t>
            </w:r>
          </w:p>
        </w:tc>
      </w:tr>
      <w:tr w:rsidR="00450BAF" w:rsidRPr="00450BAF" w14:paraId="1F78A413" w14:textId="77777777" w:rsidTr="00C745CB">
        <w:trPr>
          <w:trHeight w:val="315"/>
        </w:trPr>
        <w:tc>
          <w:tcPr>
            <w:tcW w:w="5000" w:type="pct"/>
            <w:gridSpan w:val="2"/>
            <w:tcBorders>
              <w:top w:val="nil"/>
              <w:left w:val="single" w:sz="8" w:space="0" w:color="auto"/>
              <w:bottom w:val="single" w:sz="4" w:space="0" w:color="auto"/>
              <w:right w:val="single" w:sz="8" w:space="0" w:color="000000"/>
            </w:tcBorders>
            <w:shd w:val="clear" w:color="auto" w:fill="auto"/>
            <w:noWrap/>
            <w:vAlign w:val="bottom"/>
            <w:hideMark/>
          </w:tcPr>
          <w:p w14:paraId="60FE8672" w14:textId="77777777" w:rsidR="00450BAF" w:rsidRPr="00450BAF" w:rsidRDefault="00450BAF" w:rsidP="00450BAF">
            <w:pPr>
              <w:spacing w:after="0" w:line="240" w:lineRule="auto"/>
              <w:jc w:val="both"/>
              <w:rPr>
                <w:rFonts w:ascii="Arial" w:eastAsia="Times New Roman" w:hAnsi="Arial" w:cs="Arial"/>
                <w:b/>
                <w:bCs/>
                <w:color w:val="000000"/>
                <w:sz w:val="32"/>
                <w:szCs w:val="32"/>
                <w:lang w:eastAsia="en-GB"/>
              </w:rPr>
            </w:pPr>
            <w:r w:rsidRPr="00450BAF">
              <w:rPr>
                <w:rFonts w:ascii="Arial" w:eastAsia="Times New Roman" w:hAnsi="Arial" w:cs="Arial"/>
                <w:b/>
                <w:color w:val="000000"/>
                <w:sz w:val="32"/>
                <w:szCs w:val="32"/>
                <w:lang w:eastAsia="en-GB"/>
              </w:rPr>
              <w:t xml:space="preserve">Chemical X </w:t>
            </w:r>
          </w:p>
        </w:tc>
      </w:tr>
      <w:tr w:rsidR="00450BAF" w:rsidRPr="00450BAF" w14:paraId="654F8D20" w14:textId="77777777" w:rsidTr="00C745CB">
        <w:trPr>
          <w:trHeight w:val="870"/>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723B3AE6"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Formula </w:t>
            </w:r>
            <w:r w:rsidRPr="00450BAF">
              <w:rPr>
                <w:rFonts w:ascii="Arial" w:eastAsia="Times New Roman" w:hAnsi="Arial" w:cs="Arial"/>
                <w:color w:val="000000"/>
                <w:sz w:val="32"/>
                <w:szCs w:val="32"/>
                <w:lang w:eastAsia="en-GB"/>
              </w:rPr>
              <w:br/>
              <w:t xml:space="preserve">(Actual units Sold* revised standard cost)- (actual standard cost * </w:t>
            </w:r>
            <w:proofErr w:type="gramStart"/>
            <w:r w:rsidRPr="00450BAF">
              <w:rPr>
                <w:rFonts w:ascii="Arial" w:eastAsia="Times New Roman" w:hAnsi="Arial" w:cs="Arial"/>
                <w:color w:val="000000"/>
                <w:sz w:val="32"/>
                <w:szCs w:val="32"/>
                <w:lang w:eastAsia="en-GB"/>
              </w:rPr>
              <w:t>Actual  cost</w:t>
            </w:r>
            <w:proofErr w:type="gramEnd"/>
            <w:r w:rsidRPr="00450BAF">
              <w:rPr>
                <w:rFonts w:ascii="Arial" w:eastAsia="Times New Roman" w:hAnsi="Arial" w:cs="Arial"/>
                <w:color w:val="000000"/>
                <w:sz w:val="32"/>
                <w:szCs w:val="32"/>
                <w:lang w:eastAsia="en-GB"/>
              </w:rPr>
              <w:t xml:space="preserve"> )</w:t>
            </w:r>
          </w:p>
        </w:tc>
      </w:tr>
      <w:tr w:rsidR="00450BAF" w:rsidRPr="00450BAF" w14:paraId="2BAA9584" w14:textId="77777777" w:rsidTr="00C745CB">
        <w:trPr>
          <w:trHeight w:val="315"/>
        </w:trPr>
        <w:tc>
          <w:tcPr>
            <w:tcW w:w="3113" w:type="pct"/>
            <w:tcBorders>
              <w:top w:val="nil"/>
              <w:left w:val="single" w:sz="8" w:space="0" w:color="auto"/>
              <w:bottom w:val="single" w:sz="4" w:space="0" w:color="auto"/>
              <w:right w:val="single" w:sz="4" w:space="0" w:color="auto"/>
            </w:tcBorders>
            <w:shd w:val="clear" w:color="auto" w:fill="auto"/>
            <w:noWrap/>
            <w:vAlign w:val="bottom"/>
            <w:hideMark/>
          </w:tcPr>
          <w:p w14:paraId="37E6035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887" w:type="pct"/>
            <w:tcBorders>
              <w:top w:val="single" w:sz="4" w:space="0" w:color="auto"/>
              <w:left w:val="nil"/>
              <w:bottom w:val="single" w:sz="4" w:space="0" w:color="auto"/>
              <w:right w:val="single" w:sz="8" w:space="0" w:color="000000"/>
            </w:tcBorders>
            <w:shd w:val="clear" w:color="auto" w:fill="auto"/>
            <w:noWrap/>
            <w:vAlign w:val="bottom"/>
            <w:hideMark/>
          </w:tcPr>
          <w:p w14:paraId="0E1A8D47"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850</w:t>
            </w:r>
          </w:p>
        </w:tc>
      </w:tr>
      <w:tr w:rsidR="00450BAF" w:rsidRPr="00450BAF" w14:paraId="7CF4E323" w14:textId="77777777" w:rsidTr="00C745CB">
        <w:trPr>
          <w:trHeight w:val="315"/>
        </w:trPr>
        <w:tc>
          <w:tcPr>
            <w:tcW w:w="3113" w:type="pct"/>
            <w:tcBorders>
              <w:top w:val="nil"/>
              <w:left w:val="single" w:sz="8" w:space="0" w:color="auto"/>
              <w:bottom w:val="single" w:sz="4" w:space="0" w:color="auto"/>
              <w:right w:val="single" w:sz="4" w:space="0" w:color="auto"/>
            </w:tcBorders>
            <w:shd w:val="clear" w:color="auto" w:fill="auto"/>
            <w:noWrap/>
            <w:vAlign w:val="bottom"/>
            <w:hideMark/>
          </w:tcPr>
          <w:p w14:paraId="4A36AFAF"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Revised cost/unit</w:t>
            </w:r>
          </w:p>
        </w:tc>
        <w:tc>
          <w:tcPr>
            <w:tcW w:w="1887" w:type="pct"/>
            <w:tcBorders>
              <w:top w:val="single" w:sz="4" w:space="0" w:color="auto"/>
              <w:left w:val="nil"/>
              <w:bottom w:val="single" w:sz="4" w:space="0" w:color="auto"/>
              <w:right w:val="single" w:sz="8" w:space="0" w:color="000000"/>
            </w:tcBorders>
            <w:shd w:val="clear" w:color="auto" w:fill="auto"/>
            <w:noWrap/>
            <w:vAlign w:val="bottom"/>
            <w:hideMark/>
          </w:tcPr>
          <w:p w14:paraId="2EFEB866"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4.50 </w:t>
            </w:r>
          </w:p>
        </w:tc>
      </w:tr>
      <w:tr w:rsidR="00450BAF" w:rsidRPr="00450BAF" w14:paraId="1C3B99AB" w14:textId="77777777" w:rsidTr="00C745CB">
        <w:trPr>
          <w:trHeight w:val="315"/>
        </w:trPr>
        <w:tc>
          <w:tcPr>
            <w:tcW w:w="3113" w:type="pct"/>
            <w:tcBorders>
              <w:top w:val="nil"/>
              <w:left w:val="single" w:sz="8" w:space="0" w:color="auto"/>
              <w:bottom w:val="single" w:sz="4" w:space="0" w:color="auto"/>
              <w:right w:val="single" w:sz="4" w:space="0" w:color="auto"/>
            </w:tcBorders>
            <w:shd w:val="clear" w:color="auto" w:fill="auto"/>
            <w:noWrap/>
            <w:vAlign w:val="bottom"/>
            <w:hideMark/>
          </w:tcPr>
          <w:p w14:paraId="59BABDDC"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Revised Standard cost</w:t>
            </w:r>
          </w:p>
        </w:tc>
        <w:tc>
          <w:tcPr>
            <w:tcW w:w="1887" w:type="pct"/>
            <w:tcBorders>
              <w:top w:val="single" w:sz="4" w:space="0" w:color="auto"/>
              <w:left w:val="nil"/>
              <w:bottom w:val="single" w:sz="4" w:space="0" w:color="auto"/>
              <w:right w:val="single" w:sz="8" w:space="0" w:color="000000"/>
            </w:tcBorders>
            <w:shd w:val="clear" w:color="auto" w:fill="auto"/>
            <w:noWrap/>
            <w:vAlign w:val="bottom"/>
            <w:hideMark/>
          </w:tcPr>
          <w:p w14:paraId="6C127C68"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3,825.00 </w:t>
            </w:r>
          </w:p>
        </w:tc>
      </w:tr>
      <w:tr w:rsidR="00450BAF" w:rsidRPr="00450BAF" w14:paraId="5E817F03" w14:textId="77777777" w:rsidTr="00C745CB">
        <w:trPr>
          <w:trHeight w:val="315"/>
        </w:trPr>
        <w:tc>
          <w:tcPr>
            <w:tcW w:w="3113" w:type="pct"/>
            <w:tcBorders>
              <w:top w:val="nil"/>
              <w:left w:val="single" w:sz="8" w:space="0" w:color="auto"/>
              <w:bottom w:val="single" w:sz="4" w:space="0" w:color="auto"/>
              <w:right w:val="single" w:sz="4" w:space="0" w:color="auto"/>
            </w:tcBorders>
            <w:shd w:val="clear" w:color="auto" w:fill="auto"/>
            <w:noWrap/>
            <w:vAlign w:val="bottom"/>
            <w:hideMark/>
          </w:tcPr>
          <w:p w14:paraId="3583009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887" w:type="pct"/>
            <w:tcBorders>
              <w:top w:val="single" w:sz="4" w:space="0" w:color="auto"/>
              <w:left w:val="nil"/>
              <w:bottom w:val="single" w:sz="4" w:space="0" w:color="auto"/>
              <w:right w:val="single" w:sz="8" w:space="0" w:color="000000"/>
            </w:tcBorders>
            <w:shd w:val="clear" w:color="auto" w:fill="auto"/>
            <w:noWrap/>
            <w:vAlign w:val="bottom"/>
            <w:hideMark/>
          </w:tcPr>
          <w:p w14:paraId="7DB9DDDE"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6975B299" w14:textId="77777777" w:rsidTr="00C745CB">
        <w:trPr>
          <w:trHeight w:val="315"/>
        </w:trPr>
        <w:tc>
          <w:tcPr>
            <w:tcW w:w="3113" w:type="pct"/>
            <w:tcBorders>
              <w:top w:val="nil"/>
              <w:left w:val="single" w:sz="8" w:space="0" w:color="auto"/>
              <w:bottom w:val="single" w:sz="4" w:space="0" w:color="auto"/>
              <w:right w:val="single" w:sz="4" w:space="0" w:color="auto"/>
            </w:tcBorders>
            <w:shd w:val="clear" w:color="auto" w:fill="auto"/>
            <w:noWrap/>
            <w:vAlign w:val="bottom"/>
            <w:hideMark/>
          </w:tcPr>
          <w:p w14:paraId="28F28F8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887" w:type="pct"/>
            <w:tcBorders>
              <w:top w:val="single" w:sz="4" w:space="0" w:color="auto"/>
              <w:left w:val="nil"/>
              <w:bottom w:val="single" w:sz="4" w:space="0" w:color="auto"/>
              <w:right w:val="single" w:sz="8" w:space="0" w:color="000000"/>
            </w:tcBorders>
            <w:shd w:val="clear" w:color="auto" w:fill="auto"/>
            <w:noWrap/>
            <w:vAlign w:val="bottom"/>
            <w:hideMark/>
          </w:tcPr>
          <w:p w14:paraId="7C79D88E"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850</w:t>
            </w:r>
          </w:p>
        </w:tc>
      </w:tr>
      <w:tr w:rsidR="00450BAF" w:rsidRPr="00450BAF" w14:paraId="189D10C1" w14:textId="77777777" w:rsidTr="00C745CB">
        <w:trPr>
          <w:trHeight w:val="315"/>
        </w:trPr>
        <w:tc>
          <w:tcPr>
            <w:tcW w:w="3113" w:type="pct"/>
            <w:tcBorders>
              <w:top w:val="nil"/>
              <w:left w:val="single" w:sz="8" w:space="0" w:color="auto"/>
              <w:bottom w:val="single" w:sz="4" w:space="0" w:color="auto"/>
              <w:right w:val="single" w:sz="4" w:space="0" w:color="auto"/>
            </w:tcBorders>
            <w:shd w:val="clear" w:color="auto" w:fill="auto"/>
            <w:noWrap/>
            <w:vAlign w:val="bottom"/>
            <w:hideMark/>
          </w:tcPr>
          <w:p w14:paraId="635190E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cost/unit</w:t>
            </w:r>
          </w:p>
        </w:tc>
        <w:tc>
          <w:tcPr>
            <w:tcW w:w="1887" w:type="pct"/>
            <w:tcBorders>
              <w:top w:val="single" w:sz="4" w:space="0" w:color="auto"/>
              <w:left w:val="nil"/>
              <w:bottom w:val="single" w:sz="4" w:space="0" w:color="auto"/>
              <w:right w:val="single" w:sz="8" w:space="0" w:color="000000"/>
            </w:tcBorders>
            <w:shd w:val="clear" w:color="auto" w:fill="auto"/>
            <w:noWrap/>
            <w:vAlign w:val="bottom"/>
            <w:hideMark/>
          </w:tcPr>
          <w:p w14:paraId="4B305797"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3.70 </w:t>
            </w:r>
          </w:p>
        </w:tc>
      </w:tr>
      <w:tr w:rsidR="00450BAF" w:rsidRPr="00450BAF" w14:paraId="6A3B0AB1" w14:textId="77777777" w:rsidTr="00C745CB">
        <w:trPr>
          <w:trHeight w:val="315"/>
        </w:trPr>
        <w:tc>
          <w:tcPr>
            <w:tcW w:w="3113" w:type="pct"/>
            <w:tcBorders>
              <w:top w:val="nil"/>
              <w:left w:val="single" w:sz="8" w:space="0" w:color="auto"/>
              <w:bottom w:val="single" w:sz="4" w:space="0" w:color="auto"/>
              <w:right w:val="single" w:sz="4" w:space="0" w:color="auto"/>
            </w:tcBorders>
            <w:shd w:val="clear" w:color="auto" w:fill="auto"/>
            <w:noWrap/>
            <w:vAlign w:val="bottom"/>
            <w:hideMark/>
          </w:tcPr>
          <w:p w14:paraId="5C9867DF"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Standard cost</w:t>
            </w:r>
          </w:p>
        </w:tc>
        <w:tc>
          <w:tcPr>
            <w:tcW w:w="1887" w:type="pct"/>
            <w:tcBorders>
              <w:top w:val="single" w:sz="4" w:space="0" w:color="auto"/>
              <w:left w:val="nil"/>
              <w:bottom w:val="single" w:sz="4" w:space="0" w:color="auto"/>
              <w:right w:val="single" w:sz="8" w:space="0" w:color="000000"/>
            </w:tcBorders>
            <w:shd w:val="clear" w:color="auto" w:fill="auto"/>
            <w:noWrap/>
            <w:vAlign w:val="bottom"/>
            <w:hideMark/>
          </w:tcPr>
          <w:p w14:paraId="5DD5B2D9"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3,145.00 </w:t>
            </w:r>
          </w:p>
        </w:tc>
      </w:tr>
      <w:tr w:rsidR="00450BAF" w:rsidRPr="00450BAF" w14:paraId="16EB3C70" w14:textId="77777777" w:rsidTr="00C745CB">
        <w:trPr>
          <w:trHeight w:val="315"/>
        </w:trPr>
        <w:tc>
          <w:tcPr>
            <w:tcW w:w="3113" w:type="pct"/>
            <w:tcBorders>
              <w:top w:val="nil"/>
              <w:left w:val="single" w:sz="8" w:space="0" w:color="auto"/>
              <w:bottom w:val="single" w:sz="4" w:space="0" w:color="auto"/>
              <w:right w:val="single" w:sz="4" w:space="0" w:color="auto"/>
            </w:tcBorders>
            <w:shd w:val="clear" w:color="auto" w:fill="auto"/>
            <w:noWrap/>
            <w:vAlign w:val="bottom"/>
            <w:hideMark/>
          </w:tcPr>
          <w:p w14:paraId="76161CA9"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887" w:type="pct"/>
            <w:tcBorders>
              <w:top w:val="single" w:sz="4" w:space="0" w:color="auto"/>
              <w:left w:val="nil"/>
              <w:bottom w:val="single" w:sz="4" w:space="0" w:color="auto"/>
              <w:right w:val="single" w:sz="8" w:space="0" w:color="000000"/>
            </w:tcBorders>
            <w:shd w:val="clear" w:color="auto" w:fill="auto"/>
            <w:noWrap/>
            <w:vAlign w:val="bottom"/>
            <w:hideMark/>
          </w:tcPr>
          <w:p w14:paraId="495682F8"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0F2EE537" w14:textId="77777777" w:rsidTr="00C745CB">
        <w:trPr>
          <w:trHeight w:val="315"/>
        </w:trPr>
        <w:tc>
          <w:tcPr>
            <w:tcW w:w="3113" w:type="pct"/>
            <w:tcBorders>
              <w:top w:val="nil"/>
              <w:left w:val="single" w:sz="4" w:space="0" w:color="auto"/>
              <w:bottom w:val="single" w:sz="4" w:space="0" w:color="auto"/>
              <w:right w:val="single" w:sz="4" w:space="0" w:color="auto"/>
            </w:tcBorders>
            <w:shd w:val="clear" w:color="auto" w:fill="auto"/>
            <w:noWrap/>
            <w:vAlign w:val="bottom"/>
            <w:hideMark/>
          </w:tcPr>
          <w:p w14:paraId="597A4E15"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Material Price Operational Variance</w:t>
            </w:r>
          </w:p>
        </w:tc>
        <w:tc>
          <w:tcPr>
            <w:tcW w:w="1887" w:type="pct"/>
            <w:tcBorders>
              <w:top w:val="single" w:sz="4" w:space="0" w:color="auto"/>
              <w:left w:val="nil"/>
              <w:bottom w:val="single" w:sz="4" w:space="0" w:color="auto"/>
              <w:right w:val="single" w:sz="8" w:space="0" w:color="000000"/>
            </w:tcBorders>
            <w:shd w:val="clear" w:color="auto" w:fill="auto"/>
            <w:noWrap/>
            <w:vAlign w:val="bottom"/>
            <w:hideMark/>
          </w:tcPr>
          <w:p w14:paraId="44125AB7"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 xml:space="preserve"> £                     680.00 </w:t>
            </w:r>
          </w:p>
        </w:tc>
      </w:tr>
      <w:tr w:rsidR="00450BAF" w:rsidRPr="00450BAF" w14:paraId="0EAA4180" w14:textId="77777777" w:rsidTr="00C745CB">
        <w:trPr>
          <w:trHeight w:val="330"/>
        </w:trPr>
        <w:tc>
          <w:tcPr>
            <w:tcW w:w="3113" w:type="pct"/>
            <w:tcBorders>
              <w:top w:val="nil"/>
              <w:left w:val="single" w:sz="8" w:space="0" w:color="auto"/>
              <w:bottom w:val="single" w:sz="8" w:space="0" w:color="auto"/>
              <w:right w:val="single" w:sz="4" w:space="0" w:color="auto"/>
            </w:tcBorders>
            <w:shd w:val="clear" w:color="auto" w:fill="auto"/>
            <w:noWrap/>
            <w:vAlign w:val="bottom"/>
            <w:hideMark/>
          </w:tcPr>
          <w:p w14:paraId="151C3471"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Status</w:t>
            </w:r>
          </w:p>
        </w:tc>
        <w:tc>
          <w:tcPr>
            <w:tcW w:w="1887" w:type="pct"/>
            <w:tcBorders>
              <w:top w:val="single" w:sz="4" w:space="0" w:color="auto"/>
              <w:left w:val="nil"/>
              <w:bottom w:val="single" w:sz="8" w:space="0" w:color="auto"/>
              <w:right w:val="single" w:sz="8" w:space="0" w:color="000000"/>
            </w:tcBorders>
            <w:shd w:val="clear" w:color="auto" w:fill="auto"/>
            <w:noWrap/>
            <w:vAlign w:val="bottom"/>
            <w:hideMark/>
          </w:tcPr>
          <w:p w14:paraId="76149522"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proofErr w:type="spellStart"/>
            <w:r w:rsidRPr="00450BAF">
              <w:rPr>
                <w:rFonts w:ascii="Arial" w:eastAsia="Times New Roman" w:hAnsi="Arial" w:cs="Arial"/>
                <w:color w:val="000000"/>
                <w:sz w:val="32"/>
                <w:szCs w:val="32"/>
                <w:lang w:eastAsia="en-GB"/>
              </w:rPr>
              <w:t>Favorable</w:t>
            </w:r>
            <w:proofErr w:type="spellEnd"/>
          </w:p>
        </w:tc>
      </w:tr>
    </w:tbl>
    <w:p w14:paraId="349F80A0" w14:textId="77777777" w:rsidR="00450BAF" w:rsidRPr="00450BAF" w:rsidRDefault="00450BAF" w:rsidP="00450BAF">
      <w:pPr>
        <w:jc w:val="both"/>
        <w:rPr>
          <w:rFonts w:ascii="Arial" w:hAnsi="Arial" w:cs="Arial"/>
          <w:sz w:val="32"/>
          <w:szCs w:val="32"/>
        </w:rPr>
      </w:pPr>
    </w:p>
    <w:tbl>
      <w:tblPr>
        <w:tblW w:w="5000" w:type="pct"/>
        <w:tblLook w:val="04A0" w:firstRow="1" w:lastRow="0" w:firstColumn="1" w:lastColumn="0" w:noHBand="0" w:noVBand="1"/>
      </w:tblPr>
      <w:tblGrid>
        <w:gridCol w:w="5668"/>
        <w:gridCol w:w="3338"/>
      </w:tblGrid>
      <w:tr w:rsidR="00450BAF" w:rsidRPr="00450BAF" w14:paraId="0060EAC3" w14:textId="77777777" w:rsidTr="00C745CB">
        <w:trPr>
          <w:trHeight w:val="315"/>
        </w:trPr>
        <w:tc>
          <w:tcPr>
            <w:tcW w:w="5000" w:type="pct"/>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6164BA5"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Material Price Operational Variance</w:t>
            </w:r>
          </w:p>
        </w:tc>
      </w:tr>
      <w:tr w:rsidR="00450BAF" w:rsidRPr="00450BAF" w14:paraId="20B410EC" w14:textId="77777777" w:rsidTr="00C745CB">
        <w:trPr>
          <w:trHeight w:val="315"/>
        </w:trPr>
        <w:tc>
          <w:tcPr>
            <w:tcW w:w="5000" w:type="pct"/>
            <w:gridSpan w:val="2"/>
            <w:tcBorders>
              <w:top w:val="nil"/>
              <w:left w:val="single" w:sz="8" w:space="0" w:color="auto"/>
              <w:bottom w:val="single" w:sz="4" w:space="0" w:color="auto"/>
              <w:right w:val="single" w:sz="8" w:space="0" w:color="000000"/>
            </w:tcBorders>
            <w:shd w:val="clear" w:color="auto" w:fill="auto"/>
            <w:noWrap/>
            <w:vAlign w:val="bottom"/>
            <w:hideMark/>
          </w:tcPr>
          <w:p w14:paraId="211AEAF2" w14:textId="77777777" w:rsidR="00450BAF" w:rsidRPr="00450BAF" w:rsidRDefault="00450BAF" w:rsidP="00450BAF">
            <w:pPr>
              <w:spacing w:after="0" w:line="240" w:lineRule="auto"/>
              <w:jc w:val="both"/>
              <w:rPr>
                <w:rFonts w:ascii="Arial" w:eastAsia="Times New Roman" w:hAnsi="Arial" w:cs="Arial"/>
                <w:b/>
                <w:bCs/>
                <w:color w:val="000000"/>
                <w:sz w:val="32"/>
                <w:szCs w:val="32"/>
                <w:lang w:eastAsia="en-GB"/>
              </w:rPr>
            </w:pPr>
            <w:r w:rsidRPr="00450BAF">
              <w:rPr>
                <w:rFonts w:ascii="Arial" w:eastAsia="Times New Roman" w:hAnsi="Arial" w:cs="Arial"/>
                <w:b/>
                <w:color w:val="000000"/>
                <w:sz w:val="32"/>
                <w:szCs w:val="32"/>
                <w:lang w:eastAsia="en-GB"/>
              </w:rPr>
              <w:t xml:space="preserve">Chemical X </w:t>
            </w:r>
          </w:p>
        </w:tc>
      </w:tr>
      <w:tr w:rsidR="00450BAF" w:rsidRPr="00450BAF" w14:paraId="2C63F93B" w14:textId="77777777" w:rsidTr="00C745CB">
        <w:trPr>
          <w:trHeight w:val="870"/>
        </w:trPr>
        <w:tc>
          <w:tcPr>
            <w:tcW w:w="5000" w:type="pct"/>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14:paraId="36F9E8C7"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Formula </w:t>
            </w:r>
            <w:r w:rsidRPr="00450BAF">
              <w:rPr>
                <w:rFonts w:ascii="Arial" w:eastAsia="Times New Roman" w:hAnsi="Arial" w:cs="Arial"/>
                <w:color w:val="000000"/>
                <w:sz w:val="32"/>
                <w:szCs w:val="32"/>
                <w:lang w:eastAsia="en-GB"/>
              </w:rPr>
              <w:br/>
              <w:t xml:space="preserve">(Actual units Sold* revised standard cost)- (actual standard cost * </w:t>
            </w:r>
            <w:proofErr w:type="gramStart"/>
            <w:r w:rsidRPr="00450BAF">
              <w:rPr>
                <w:rFonts w:ascii="Arial" w:eastAsia="Times New Roman" w:hAnsi="Arial" w:cs="Arial"/>
                <w:color w:val="000000"/>
                <w:sz w:val="32"/>
                <w:szCs w:val="32"/>
                <w:lang w:eastAsia="en-GB"/>
              </w:rPr>
              <w:t>Actual  cost</w:t>
            </w:r>
            <w:proofErr w:type="gramEnd"/>
            <w:r w:rsidRPr="00450BAF">
              <w:rPr>
                <w:rFonts w:ascii="Arial" w:eastAsia="Times New Roman" w:hAnsi="Arial" w:cs="Arial"/>
                <w:color w:val="000000"/>
                <w:sz w:val="32"/>
                <w:szCs w:val="32"/>
                <w:lang w:eastAsia="en-GB"/>
              </w:rPr>
              <w:t xml:space="preserve"> )</w:t>
            </w:r>
          </w:p>
        </w:tc>
      </w:tr>
      <w:tr w:rsidR="00450BAF" w:rsidRPr="00450BAF" w14:paraId="7B26DE0D" w14:textId="77777777" w:rsidTr="00C745CB">
        <w:trPr>
          <w:trHeight w:val="315"/>
        </w:trPr>
        <w:tc>
          <w:tcPr>
            <w:tcW w:w="3147" w:type="pct"/>
            <w:tcBorders>
              <w:top w:val="nil"/>
              <w:left w:val="single" w:sz="8" w:space="0" w:color="auto"/>
              <w:bottom w:val="single" w:sz="4" w:space="0" w:color="auto"/>
              <w:right w:val="single" w:sz="4" w:space="0" w:color="auto"/>
            </w:tcBorders>
            <w:shd w:val="clear" w:color="auto" w:fill="auto"/>
            <w:noWrap/>
            <w:vAlign w:val="bottom"/>
            <w:hideMark/>
          </w:tcPr>
          <w:p w14:paraId="125D053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853" w:type="pct"/>
            <w:tcBorders>
              <w:top w:val="single" w:sz="4" w:space="0" w:color="auto"/>
              <w:left w:val="nil"/>
              <w:bottom w:val="single" w:sz="4" w:space="0" w:color="auto"/>
              <w:right w:val="single" w:sz="8" w:space="0" w:color="000000"/>
            </w:tcBorders>
            <w:shd w:val="clear" w:color="auto" w:fill="auto"/>
            <w:noWrap/>
            <w:vAlign w:val="bottom"/>
            <w:hideMark/>
          </w:tcPr>
          <w:p w14:paraId="159E7623"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750</w:t>
            </w:r>
          </w:p>
        </w:tc>
      </w:tr>
      <w:tr w:rsidR="00450BAF" w:rsidRPr="00450BAF" w14:paraId="572169F0" w14:textId="77777777" w:rsidTr="00C745CB">
        <w:trPr>
          <w:trHeight w:val="315"/>
        </w:trPr>
        <w:tc>
          <w:tcPr>
            <w:tcW w:w="3147" w:type="pct"/>
            <w:tcBorders>
              <w:top w:val="nil"/>
              <w:left w:val="single" w:sz="8" w:space="0" w:color="auto"/>
              <w:bottom w:val="single" w:sz="4" w:space="0" w:color="auto"/>
              <w:right w:val="single" w:sz="4" w:space="0" w:color="auto"/>
            </w:tcBorders>
            <w:shd w:val="clear" w:color="auto" w:fill="auto"/>
            <w:noWrap/>
            <w:vAlign w:val="bottom"/>
            <w:hideMark/>
          </w:tcPr>
          <w:p w14:paraId="1D21818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Revised cost/unit</w:t>
            </w:r>
          </w:p>
        </w:tc>
        <w:tc>
          <w:tcPr>
            <w:tcW w:w="1853" w:type="pct"/>
            <w:tcBorders>
              <w:top w:val="single" w:sz="4" w:space="0" w:color="auto"/>
              <w:left w:val="nil"/>
              <w:bottom w:val="single" w:sz="4" w:space="0" w:color="auto"/>
              <w:right w:val="single" w:sz="8" w:space="0" w:color="000000"/>
            </w:tcBorders>
            <w:shd w:val="clear" w:color="auto" w:fill="auto"/>
            <w:noWrap/>
            <w:vAlign w:val="bottom"/>
            <w:hideMark/>
          </w:tcPr>
          <w:p w14:paraId="2973B632"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4.50 </w:t>
            </w:r>
          </w:p>
        </w:tc>
      </w:tr>
      <w:tr w:rsidR="00450BAF" w:rsidRPr="00450BAF" w14:paraId="69D9E0F9" w14:textId="77777777" w:rsidTr="00C745CB">
        <w:trPr>
          <w:trHeight w:val="315"/>
        </w:trPr>
        <w:tc>
          <w:tcPr>
            <w:tcW w:w="3147" w:type="pct"/>
            <w:tcBorders>
              <w:top w:val="nil"/>
              <w:left w:val="single" w:sz="8" w:space="0" w:color="auto"/>
              <w:bottom w:val="single" w:sz="4" w:space="0" w:color="auto"/>
              <w:right w:val="single" w:sz="4" w:space="0" w:color="auto"/>
            </w:tcBorders>
            <w:shd w:val="clear" w:color="auto" w:fill="auto"/>
            <w:noWrap/>
            <w:vAlign w:val="bottom"/>
            <w:hideMark/>
          </w:tcPr>
          <w:p w14:paraId="37EA0AD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Revised Standard cost</w:t>
            </w:r>
          </w:p>
        </w:tc>
        <w:tc>
          <w:tcPr>
            <w:tcW w:w="1853" w:type="pct"/>
            <w:tcBorders>
              <w:top w:val="single" w:sz="4" w:space="0" w:color="auto"/>
              <w:left w:val="nil"/>
              <w:bottom w:val="single" w:sz="4" w:space="0" w:color="auto"/>
              <w:right w:val="single" w:sz="8" w:space="0" w:color="000000"/>
            </w:tcBorders>
            <w:shd w:val="clear" w:color="auto" w:fill="auto"/>
            <w:noWrap/>
            <w:vAlign w:val="bottom"/>
            <w:hideMark/>
          </w:tcPr>
          <w:p w14:paraId="28AF5844"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3,375.00 </w:t>
            </w:r>
          </w:p>
        </w:tc>
      </w:tr>
      <w:tr w:rsidR="00450BAF" w:rsidRPr="00450BAF" w14:paraId="1070857B" w14:textId="77777777" w:rsidTr="00C745CB">
        <w:trPr>
          <w:trHeight w:val="315"/>
        </w:trPr>
        <w:tc>
          <w:tcPr>
            <w:tcW w:w="3147" w:type="pct"/>
            <w:tcBorders>
              <w:top w:val="nil"/>
              <w:left w:val="single" w:sz="8" w:space="0" w:color="auto"/>
              <w:bottom w:val="single" w:sz="4" w:space="0" w:color="auto"/>
              <w:right w:val="single" w:sz="4" w:space="0" w:color="auto"/>
            </w:tcBorders>
            <w:shd w:val="clear" w:color="auto" w:fill="auto"/>
            <w:noWrap/>
            <w:vAlign w:val="bottom"/>
            <w:hideMark/>
          </w:tcPr>
          <w:p w14:paraId="66989A1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853" w:type="pct"/>
            <w:tcBorders>
              <w:top w:val="single" w:sz="4" w:space="0" w:color="auto"/>
              <w:left w:val="nil"/>
              <w:bottom w:val="single" w:sz="4" w:space="0" w:color="auto"/>
              <w:right w:val="single" w:sz="8" w:space="0" w:color="000000"/>
            </w:tcBorders>
            <w:shd w:val="clear" w:color="auto" w:fill="auto"/>
            <w:noWrap/>
            <w:vAlign w:val="bottom"/>
            <w:hideMark/>
          </w:tcPr>
          <w:p w14:paraId="075CDBFF"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5614F29F" w14:textId="77777777" w:rsidTr="00C745CB">
        <w:trPr>
          <w:trHeight w:val="315"/>
        </w:trPr>
        <w:tc>
          <w:tcPr>
            <w:tcW w:w="3147" w:type="pct"/>
            <w:tcBorders>
              <w:top w:val="nil"/>
              <w:left w:val="single" w:sz="8" w:space="0" w:color="auto"/>
              <w:bottom w:val="single" w:sz="4" w:space="0" w:color="auto"/>
              <w:right w:val="single" w:sz="4" w:space="0" w:color="auto"/>
            </w:tcBorders>
            <w:shd w:val="clear" w:color="auto" w:fill="auto"/>
            <w:noWrap/>
            <w:vAlign w:val="bottom"/>
            <w:hideMark/>
          </w:tcPr>
          <w:p w14:paraId="47BD69DE"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units Sold</w:t>
            </w:r>
          </w:p>
        </w:tc>
        <w:tc>
          <w:tcPr>
            <w:tcW w:w="1853" w:type="pct"/>
            <w:tcBorders>
              <w:top w:val="single" w:sz="4" w:space="0" w:color="auto"/>
              <w:left w:val="nil"/>
              <w:bottom w:val="single" w:sz="4" w:space="0" w:color="auto"/>
              <w:right w:val="single" w:sz="8" w:space="0" w:color="000000"/>
            </w:tcBorders>
            <w:shd w:val="clear" w:color="auto" w:fill="auto"/>
            <w:noWrap/>
            <w:vAlign w:val="bottom"/>
            <w:hideMark/>
          </w:tcPr>
          <w:p w14:paraId="48934D9A"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750</w:t>
            </w:r>
          </w:p>
        </w:tc>
      </w:tr>
      <w:tr w:rsidR="00450BAF" w:rsidRPr="00450BAF" w14:paraId="05A745A4" w14:textId="77777777" w:rsidTr="00C745CB">
        <w:trPr>
          <w:trHeight w:val="315"/>
        </w:trPr>
        <w:tc>
          <w:tcPr>
            <w:tcW w:w="3147" w:type="pct"/>
            <w:tcBorders>
              <w:top w:val="nil"/>
              <w:left w:val="single" w:sz="8" w:space="0" w:color="auto"/>
              <w:bottom w:val="single" w:sz="4" w:space="0" w:color="auto"/>
              <w:right w:val="single" w:sz="4" w:space="0" w:color="auto"/>
            </w:tcBorders>
            <w:shd w:val="clear" w:color="auto" w:fill="auto"/>
            <w:noWrap/>
            <w:vAlign w:val="bottom"/>
            <w:hideMark/>
          </w:tcPr>
          <w:p w14:paraId="7CACAA41"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color w:val="000000"/>
                <w:sz w:val="32"/>
                <w:szCs w:val="32"/>
                <w:lang w:eastAsia="en-GB"/>
              </w:rPr>
              <w:t>Actual cost/unit</w:t>
            </w:r>
          </w:p>
        </w:tc>
        <w:tc>
          <w:tcPr>
            <w:tcW w:w="1853" w:type="pct"/>
            <w:tcBorders>
              <w:top w:val="single" w:sz="4" w:space="0" w:color="auto"/>
              <w:left w:val="nil"/>
              <w:bottom w:val="single" w:sz="4" w:space="0" w:color="auto"/>
              <w:right w:val="single" w:sz="8" w:space="0" w:color="000000"/>
            </w:tcBorders>
            <w:shd w:val="clear" w:color="auto" w:fill="auto"/>
            <w:noWrap/>
            <w:vAlign w:val="bottom"/>
            <w:hideMark/>
          </w:tcPr>
          <w:p w14:paraId="070C806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3.70 </w:t>
            </w:r>
          </w:p>
        </w:tc>
      </w:tr>
      <w:tr w:rsidR="00450BAF" w:rsidRPr="00450BAF" w14:paraId="1BE8CA8F" w14:textId="77777777" w:rsidTr="00C745CB">
        <w:trPr>
          <w:trHeight w:val="315"/>
        </w:trPr>
        <w:tc>
          <w:tcPr>
            <w:tcW w:w="3147" w:type="pct"/>
            <w:tcBorders>
              <w:top w:val="nil"/>
              <w:left w:val="single" w:sz="8" w:space="0" w:color="auto"/>
              <w:bottom w:val="single" w:sz="4" w:space="0" w:color="auto"/>
              <w:right w:val="single" w:sz="4" w:space="0" w:color="auto"/>
            </w:tcBorders>
            <w:shd w:val="clear" w:color="auto" w:fill="auto"/>
            <w:noWrap/>
            <w:vAlign w:val="bottom"/>
            <w:hideMark/>
          </w:tcPr>
          <w:p w14:paraId="7D2763F7"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Actual Standard cost</w:t>
            </w:r>
          </w:p>
        </w:tc>
        <w:tc>
          <w:tcPr>
            <w:tcW w:w="1853" w:type="pct"/>
            <w:tcBorders>
              <w:top w:val="single" w:sz="4" w:space="0" w:color="auto"/>
              <w:left w:val="nil"/>
              <w:bottom w:val="single" w:sz="4" w:space="0" w:color="auto"/>
              <w:right w:val="single" w:sz="8" w:space="0" w:color="000000"/>
            </w:tcBorders>
            <w:shd w:val="clear" w:color="auto" w:fill="auto"/>
            <w:noWrap/>
            <w:vAlign w:val="bottom"/>
            <w:hideMark/>
          </w:tcPr>
          <w:p w14:paraId="6B32EE31"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xml:space="preserve"> £                 2,775.00 </w:t>
            </w:r>
          </w:p>
        </w:tc>
      </w:tr>
      <w:tr w:rsidR="00450BAF" w:rsidRPr="00450BAF" w14:paraId="700D0A2E" w14:textId="77777777" w:rsidTr="00C745CB">
        <w:trPr>
          <w:trHeight w:val="427"/>
        </w:trPr>
        <w:tc>
          <w:tcPr>
            <w:tcW w:w="3147" w:type="pct"/>
            <w:tcBorders>
              <w:top w:val="nil"/>
              <w:left w:val="single" w:sz="8" w:space="0" w:color="auto"/>
              <w:bottom w:val="single" w:sz="4" w:space="0" w:color="auto"/>
              <w:right w:val="single" w:sz="4" w:space="0" w:color="auto"/>
            </w:tcBorders>
            <w:shd w:val="clear" w:color="auto" w:fill="auto"/>
            <w:noWrap/>
            <w:vAlign w:val="bottom"/>
            <w:hideMark/>
          </w:tcPr>
          <w:p w14:paraId="4CAF940F"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c>
          <w:tcPr>
            <w:tcW w:w="1853" w:type="pct"/>
            <w:tcBorders>
              <w:top w:val="single" w:sz="4" w:space="0" w:color="auto"/>
              <w:left w:val="nil"/>
              <w:bottom w:val="single" w:sz="4" w:space="0" w:color="auto"/>
              <w:right w:val="single" w:sz="8" w:space="0" w:color="000000"/>
            </w:tcBorders>
            <w:shd w:val="clear" w:color="auto" w:fill="auto"/>
            <w:noWrap/>
            <w:vAlign w:val="bottom"/>
            <w:hideMark/>
          </w:tcPr>
          <w:p w14:paraId="06CFE190"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 </w:t>
            </w:r>
          </w:p>
        </w:tc>
      </w:tr>
      <w:tr w:rsidR="00450BAF" w:rsidRPr="00450BAF" w14:paraId="0A2671E4" w14:textId="77777777" w:rsidTr="00C745CB">
        <w:trPr>
          <w:trHeight w:val="315"/>
        </w:trPr>
        <w:tc>
          <w:tcPr>
            <w:tcW w:w="3147" w:type="pct"/>
            <w:tcBorders>
              <w:top w:val="nil"/>
              <w:left w:val="single" w:sz="8" w:space="0" w:color="auto"/>
              <w:bottom w:val="single" w:sz="4" w:space="0" w:color="auto"/>
              <w:right w:val="single" w:sz="4" w:space="0" w:color="auto"/>
            </w:tcBorders>
            <w:shd w:val="clear" w:color="auto" w:fill="auto"/>
            <w:noWrap/>
            <w:vAlign w:val="bottom"/>
            <w:hideMark/>
          </w:tcPr>
          <w:p w14:paraId="3F4C81BE"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Material Price Operational Variance</w:t>
            </w:r>
          </w:p>
        </w:tc>
        <w:tc>
          <w:tcPr>
            <w:tcW w:w="1853" w:type="pct"/>
            <w:tcBorders>
              <w:top w:val="single" w:sz="4" w:space="0" w:color="auto"/>
              <w:left w:val="nil"/>
              <w:bottom w:val="single" w:sz="4" w:space="0" w:color="auto"/>
              <w:right w:val="single" w:sz="8" w:space="0" w:color="000000"/>
            </w:tcBorders>
            <w:shd w:val="clear" w:color="auto" w:fill="auto"/>
            <w:noWrap/>
            <w:vAlign w:val="bottom"/>
            <w:hideMark/>
          </w:tcPr>
          <w:p w14:paraId="751A39C0" w14:textId="77777777" w:rsidR="00450BAF" w:rsidRPr="00450BAF" w:rsidRDefault="00450BAF" w:rsidP="00450BAF">
            <w:pPr>
              <w:spacing w:after="0" w:line="240" w:lineRule="auto"/>
              <w:jc w:val="both"/>
              <w:rPr>
                <w:rFonts w:ascii="Arial" w:eastAsia="Times New Roman" w:hAnsi="Arial" w:cs="Arial"/>
                <w:b/>
                <w:color w:val="000000"/>
                <w:sz w:val="32"/>
                <w:szCs w:val="32"/>
                <w:lang w:eastAsia="en-GB"/>
              </w:rPr>
            </w:pPr>
            <w:r w:rsidRPr="00450BAF">
              <w:rPr>
                <w:rFonts w:ascii="Arial" w:eastAsia="Times New Roman" w:hAnsi="Arial" w:cs="Arial"/>
                <w:b/>
                <w:color w:val="000000"/>
                <w:sz w:val="32"/>
                <w:szCs w:val="32"/>
                <w:lang w:eastAsia="en-GB"/>
              </w:rPr>
              <w:t xml:space="preserve"> £                    600.00 </w:t>
            </w:r>
          </w:p>
        </w:tc>
      </w:tr>
      <w:tr w:rsidR="00450BAF" w:rsidRPr="00450BAF" w14:paraId="2D932DC3" w14:textId="77777777" w:rsidTr="00C745CB">
        <w:trPr>
          <w:trHeight w:val="330"/>
        </w:trPr>
        <w:tc>
          <w:tcPr>
            <w:tcW w:w="3147" w:type="pct"/>
            <w:tcBorders>
              <w:top w:val="nil"/>
              <w:left w:val="single" w:sz="8" w:space="0" w:color="auto"/>
              <w:bottom w:val="single" w:sz="8" w:space="0" w:color="auto"/>
              <w:right w:val="single" w:sz="4" w:space="0" w:color="auto"/>
            </w:tcBorders>
            <w:shd w:val="clear" w:color="auto" w:fill="auto"/>
            <w:noWrap/>
            <w:vAlign w:val="bottom"/>
            <w:hideMark/>
          </w:tcPr>
          <w:p w14:paraId="7FEBE41B"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r w:rsidRPr="00450BAF">
              <w:rPr>
                <w:rFonts w:ascii="Arial" w:eastAsia="Times New Roman" w:hAnsi="Arial" w:cs="Arial"/>
                <w:color w:val="000000"/>
                <w:sz w:val="32"/>
                <w:szCs w:val="32"/>
                <w:lang w:eastAsia="en-GB"/>
              </w:rPr>
              <w:t>Status</w:t>
            </w:r>
          </w:p>
        </w:tc>
        <w:tc>
          <w:tcPr>
            <w:tcW w:w="1853" w:type="pct"/>
            <w:tcBorders>
              <w:top w:val="single" w:sz="4" w:space="0" w:color="auto"/>
              <w:left w:val="nil"/>
              <w:bottom w:val="single" w:sz="8" w:space="0" w:color="auto"/>
              <w:right w:val="single" w:sz="8" w:space="0" w:color="000000"/>
            </w:tcBorders>
            <w:shd w:val="clear" w:color="auto" w:fill="auto"/>
            <w:noWrap/>
            <w:vAlign w:val="bottom"/>
            <w:hideMark/>
          </w:tcPr>
          <w:p w14:paraId="179AED6D" w14:textId="77777777" w:rsidR="00450BAF" w:rsidRPr="00450BAF" w:rsidRDefault="00450BAF" w:rsidP="00450BAF">
            <w:pPr>
              <w:spacing w:after="0" w:line="240" w:lineRule="auto"/>
              <w:jc w:val="both"/>
              <w:rPr>
                <w:rFonts w:ascii="Arial" w:eastAsia="Times New Roman" w:hAnsi="Arial" w:cs="Arial"/>
                <w:color w:val="000000"/>
                <w:sz w:val="32"/>
                <w:szCs w:val="32"/>
                <w:lang w:eastAsia="en-GB"/>
              </w:rPr>
            </w:pPr>
            <w:proofErr w:type="spellStart"/>
            <w:r w:rsidRPr="00450BAF">
              <w:rPr>
                <w:rFonts w:ascii="Arial" w:eastAsia="Times New Roman" w:hAnsi="Arial" w:cs="Arial"/>
                <w:color w:val="000000"/>
                <w:sz w:val="32"/>
                <w:szCs w:val="32"/>
                <w:lang w:eastAsia="en-GB"/>
              </w:rPr>
              <w:t>Favorable</w:t>
            </w:r>
            <w:proofErr w:type="spellEnd"/>
          </w:p>
        </w:tc>
      </w:tr>
    </w:tbl>
    <w:p w14:paraId="024F7067" w14:textId="77777777" w:rsidR="00450BAF" w:rsidRPr="00450BAF" w:rsidRDefault="00450BAF" w:rsidP="00450BAF">
      <w:pPr>
        <w:jc w:val="both"/>
        <w:rPr>
          <w:rFonts w:ascii="Arial" w:hAnsi="Arial" w:cs="Arial"/>
          <w:sz w:val="32"/>
          <w:szCs w:val="32"/>
        </w:rPr>
      </w:pPr>
    </w:p>
    <w:p w14:paraId="3C97DBBC" w14:textId="77777777" w:rsidR="00450BAF" w:rsidRPr="00450BAF" w:rsidRDefault="00450BAF" w:rsidP="00450BAF">
      <w:pPr>
        <w:jc w:val="both"/>
        <w:rPr>
          <w:rFonts w:ascii="Arial" w:hAnsi="Arial" w:cs="Arial"/>
          <w:sz w:val="32"/>
          <w:szCs w:val="32"/>
        </w:rPr>
      </w:pPr>
    </w:p>
    <w:p w14:paraId="28D59D9B" w14:textId="77777777" w:rsidR="00450BAF" w:rsidRPr="00450BAF" w:rsidRDefault="00450BAF" w:rsidP="00450BAF">
      <w:pPr>
        <w:jc w:val="both"/>
        <w:rPr>
          <w:rFonts w:ascii="Arial" w:hAnsi="Arial" w:cs="Arial"/>
          <w:sz w:val="32"/>
          <w:szCs w:val="32"/>
        </w:rPr>
      </w:pPr>
    </w:p>
    <w:p w14:paraId="260C19C7" w14:textId="77777777" w:rsidR="00450BAF" w:rsidRPr="00450BAF" w:rsidRDefault="00450BAF" w:rsidP="00450BAF">
      <w:pPr>
        <w:pStyle w:val="Heading2"/>
        <w:jc w:val="both"/>
        <w:rPr>
          <w:rFonts w:cs="Arial"/>
          <w:sz w:val="32"/>
          <w:szCs w:val="32"/>
        </w:rPr>
      </w:pPr>
      <w:bookmarkStart w:id="6" w:name="_Toc71035492"/>
      <w:r w:rsidRPr="00450BAF">
        <w:rPr>
          <w:rFonts w:cs="Arial"/>
          <w:sz w:val="32"/>
          <w:szCs w:val="32"/>
        </w:rPr>
        <w:t>Merits of Using Variances in Assessing Manager’s Performance</w:t>
      </w:r>
      <w:bookmarkEnd w:id="6"/>
    </w:p>
    <w:p w14:paraId="3945B24C"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Efficiency in Decision Making</w:t>
      </w:r>
    </w:p>
    <w:p w14:paraId="41D5E0A1"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One of the primary goals of managers is to ensure that maximum output is obtained from the lowest possible costs at all times. This shows their level of efficiency if higher gains or profits are realized </w:t>
      </w:r>
      <w:sdt>
        <w:sdtPr>
          <w:rPr>
            <w:rFonts w:ascii="Arial" w:hAnsi="Arial" w:cs="Arial"/>
            <w:sz w:val="32"/>
            <w:szCs w:val="32"/>
          </w:rPr>
          <w:id w:val="1052275259"/>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Sri17 \l 2057 </w:instrText>
          </w:r>
          <w:r w:rsidRPr="00450BAF">
            <w:rPr>
              <w:rFonts w:ascii="Arial" w:hAnsi="Arial" w:cs="Arial"/>
              <w:sz w:val="32"/>
              <w:szCs w:val="32"/>
            </w:rPr>
            <w:fldChar w:fldCharType="separate"/>
          </w:r>
          <w:r w:rsidRPr="00450BAF">
            <w:rPr>
              <w:rFonts w:ascii="Arial" w:hAnsi="Arial" w:cs="Arial"/>
              <w:noProof/>
              <w:sz w:val="32"/>
              <w:szCs w:val="32"/>
            </w:rPr>
            <w:t>(Datar, et al., 2017)</w:t>
          </w:r>
          <w:r w:rsidRPr="00450BAF">
            <w:rPr>
              <w:rFonts w:ascii="Arial" w:hAnsi="Arial" w:cs="Arial"/>
              <w:sz w:val="32"/>
              <w:szCs w:val="32"/>
            </w:rPr>
            <w:fldChar w:fldCharType="end"/>
          </w:r>
        </w:sdtContent>
      </w:sdt>
      <w:r w:rsidRPr="00450BAF">
        <w:rPr>
          <w:rFonts w:ascii="Arial" w:hAnsi="Arial" w:cs="Arial"/>
          <w:sz w:val="32"/>
          <w:szCs w:val="32"/>
        </w:rPr>
        <w:t xml:space="preserve">. Their focus is mainly on making sure that actual costs do not have a high deviation from the standard costs estimated. As a result of the pandemic, the standard prices set by XLG managers turned out to be </w:t>
      </w:r>
      <w:proofErr w:type="spellStart"/>
      <w:r w:rsidRPr="00450BAF">
        <w:rPr>
          <w:rFonts w:ascii="Arial" w:hAnsi="Arial" w:cs="Arial"/>
          <w:sz w:val="32"/>
          <w:szCs w:val="32"/>
        </w:rPr>
        <w:t>favorable</w:t>
      </w:r>
      <w:proofErr w:type="spellEnd"/>
      <w:r w:rsidRPr="00450BAF">
        <w:rPr>
          <w:rFonts w:ascii="Arial" w:hAnsi="Arial" w:cs="Arial"/>
          <w:sz w:val="32"/>
          <w:szCs w:val="32"/>
        </w:rPr>
        <w:t xml:space="preserve"> afterward due to increased demand for their cleaning products. Thus, the </w:t>
      </w:r>
      <w:proofErr w:type="spellStart"/>
      <w:r w:rsidRPr="00450BAF">
        <w:rPr>
          <w:rFonts w:ascii="Arial" w:hAnsi="Arial" w:cs="Arial"/>
          <w:sz w:val="32"/>
          <w:szCs w:val="32"/>
        </w:rPr>
        <w:t>favorable</w:t>
      </w:r>
      <w:proofErr w:type="spellEnd"/>
      <w:r w:rsidRPr="00450BAF">
        <w:rPr>
          <w:rFonts w:ascii="Arial" w:hAnsi="Arial" w:cs="Arial"/>
          <w:sz w:val="32"/>
          <w:szCs w:val="32"/>
        </w:rPr>
        <w:t xml:space="preserve"> variances illustrate how efficiently their decisions affected their revenue as a result of the change in operations.</w:t>
      </w:r>
    </w:p>
    <w:p w14:paraId="45176438"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Individual Performance Evaluation</w:t>
      </w:r>
    </w:p>
    <w:p w14:paraId="2D6C891E"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Variances assist in examining the individual performance of units, departments, or products that are supervised by different managers. In essence, the desired performance is compared to actual performance and decisions made accordingly </w:t>
      </w:r>
      <w:sdt>
        <w:sdtPr>
          <w:rPr>
            <w:rFonts w:ascii="Arial" w:hAnsi="Arial" w:cs="Arial"/>
            <w:sz w:val="32"/>
            <w:szCs w:val="32"/>
          </w:rPr>
          <w:id w:val="-708338115"/>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Ant12 \l 2057 </w:instrText>
          </w:r>
          <w:r w:rsidRPr="00450BAF">
            <w:rPr>
              <w:rFonts w:ascii="Arial" w:hAnsi="Arial" w:cs="Arial"/>
              <w:sz w:val="32"/>
              <w:szCs w:val="32"/>
            </w:rPr>
            <w:fldChar w:fldCharType="separate"/>
          </w:r>
          <w:r w:rsidRPr="00450BAF">
            <w:rPr>
              <w:rFonts w:ascii="Arial" w:hAnsi="Arial" w:cs="Arial"/>
              <w:noProof/>
              <w:sz w:val="32"/>
              <w:szCs w:val="32"/>
            </w:rPr>
            <w:t>(Atkinson, et al., 2012)</w:t>
          </w:r>
          <w:r w:rsidRPr="00450BAF">
            <w:rPr>
              <w:rFonts w:ascii="Arial" w:hAnsi="Arial" w:cs="Arial"/>
              <w:sz w:val="32"/>
              <w:szCs w:val="32"/>
            </w:rPr>
            <w:fldChar w:fldCharType="end"/>
          </w:r>
        </w:sdtContent>
      </w:sdt>
      <w:r w:rsidRPr="00450BAF">
        <w:rPr>
          <w:rFonts w:ascii="Arial" w:hAnsi="Arial" w:cs="Arial"/>
          <w:sz w:val="32"/>
          <w:szCs w:val="32"/>
        </w:rPr>
        <w:t xml:space="preserve">. For example, we could assume that chemical X and chemical Y are overseen by different managers in XLG Company. A change in operations resulted in the revision of prices of materials used by both products. From the above calculations, it can be said that both managers had </w:t>
      </w:r>
      <w:proofErr w:type="spellStart"/>
      <w:r w:rsidRPr="00450BAF">
        <w:rPr>
          <w:rFonts w:ascii="Arial" w:hAnsi="Arial" w:cs="Arial"/>
          <w:sz w:val="32"/>
          <w:szCs w:val="32"/>
        </w:rPr>
        <w:t>unfavorable</w:t>
      </w:r>
      <w:proofErr w:type="spellEnd"/>
      <w:r w:rsidRPr="00450BAF">
        <w:rPr>
          <w:rFonts w:ascii="Arial" w:hAnsi="Arial" w:cs="Arial"/>
          <w:sz w:val="32"/>
          <w:szCs w:val="32"/>
        </w:rPr>
        <w:t xml:space="preserve"> variances on planned prices of materials. However, chemical X was more </w:t>
      </w:r>
      <w:proofErr w:type="spellStart"/>
      <w:r w:rsidRPr="00450BAF">
        <w:rPr>
          <w:rFonts w:ascii="Arial" w:hAnsi="Arial" w:cs="Arial"/>
          <w:sz w:val="32"/>
          <w:szCs w:val="32"/>
        </w:rPr>
        <w:t>unfavorable</w:t>
      </w:r>
      <w:proofErr w:type="spellEnd"/>
      <w:r w:rsidRPr="00450BAF">
        <w:rPr>
          <w:rFonts w:ascii="Arial" w:hAnsi="Arial" w:cs="Arial"/>
          <w:sz w:val="32"/>
          <w:szCs w:val="32"/>
        </w:rPr>
        <w:t xml:space="preserve"> compared to chemical Y, thus indicating that its performance in that regard was much worse.</w:t>
      </w:r>
    </w:p>
    <w:p w14:paraId="37D51665"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Control Mechanism</w:t>
      </w:r>
    </w:p>
    <w:p w14:paraId="04C8FA03"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The use of variances helps companies to have better cost controls by setting the standards for each kind of cost and examining the exceptions that arise. Thereafter, investigations may be done to find out what did not go as planned </w:t>
      </w:r>
      <w:sdt>
        <w:sdtPr>
          <w:rPr>
            <w:rFonts w:ascii="Arial" w:hAnsi="Arial" w:cs="Arial"/>
            <w:sz w:val="32"/>
            <w:szCs w:val="32"/>
          </w:rPr>
          <w:id w:val="1037163644"/>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Jud13 \l 2057 </w:instrText>
          </w:r>
          <w:r w:rsidRPr="00450BAF">
            <w:rPr>
              <w:rFonts w:ascii="Arial" w:hAnsi="Arial" w:cs="Arial"/>
              <w:sz w:val="32"/>
              <w:szCs w:val="32"/>
            </w:rPr>
            <w:fldChar w:fldCharType="separate"/>
          </w:r>
          <w:r w:rsidRPr="00450BAF">
            <w:rPr>
              <w:rFonts w:ascii="Arial" w:hAnsi="Arial" w:cs="Arial"/>
              <w:noProof/>
              <w:sz w:val="32"/>
              <w:szCs w:val="32"/>
            </w:rPr>
            <w:t>(Aruomoaghe, et al., 2013)</w:t>
          </w:r>
          <w:r w:rsidRPr="00450BAF">
            <w:rPr>
              <w:rFonts w:ascii="Arial" w:hAnsi="Arial" w:cs="Arial"/>
              <w:sz w:val="32"/>
              <w:szCs w:val="32"/>
            </w:rPr>
            <w:fldChar w:fldCharType="end"/>
          </w:r>
        </w:sdtContent>
      </w:sdt>
      <w:r w:rsidRPr="00450BAF">
        <w:rPr>
          <w:rFonts w:ascii="Arial" w:hAnsi="Arial" w:cs="Arial"/>
          <w:sz w:val="32"/>
          <w:szCs w:val="32"/>
        </w:rPr>
        <w:t>. In XLG’s context, the revised cost per unit increased to £4.50, which was higher than both the original standard cost and the actual cost incurred. Despite the high cost incurred in the transportation of the products, the managers get to see why the actual costs exceeded the standard costs through variance analysis, and thus proper actions can be taken to ensure the costs are reduced in the future.</w:t>
      </w:r>
    </w:p>
    <w:p w14:paraId="2D2BE5FC"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Appropriate Attention to Costs and Wastages</w:t>
      </w:r>
    </w:p>
    <w:p w14:paraId="0822C46D"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Variance analysis highlights areas that cause wastage or unnecessary incurrence of costs. This may help shift managers’ attention to ensure that this is properly managed. XLG opted to use air transport in ferrying their products from Brazil into the UK, thereby increasing transportation costs. In as much as this option was decided upon due to the travel restrictions imposed, the company’s managers have to focus on how transport costs will be lowered through looking into other alternatives. This will help minimize the costs of import of cleaning ingredients required for their materials.</w:t>
      </w:r>
    </w:p>
    <w:p w14:paraId="38D62ED6" w14:textId="77777777" w:rsidR="00450BAF" w:rsidRPr="00450BAF" w:rsidRDefault="00450BAF" w:rsidP="00450BAF">
      <w:pPr>
        <w:pStyle w:val="Heading2"/>
        <w:jc w:val="both"/>
        <w:rPr>
          <w:rFonts w:cs="Arial"/>
          <w:sz w:val="32"/>
          <w:szCs w:val="32"/>
        </w:rPr>
      </w:pPr>
      <w:bookmarkStart w:id="7" w:name="_Toc71035493"/>
      <w:r w:rsidRPr="00450BAF">
        <w:rPr>
          <w:rFonts w:cs="Arial"/>
          <w:sz w:val="32"/>
          <w:szCs w:val="32"/>
        </w:rPr>
        <w:t>Demerits of Using Variances in Assessing Manager’s Performance</w:t>
      </w:r>
      <w:bookmarkEnd w:id="7"/>
    </w:p>
    <w:p w14:paraId="0BCFAC26"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Dysfunctional Behaviour of Managers</w:t>
      </w:r>
    </w:p>
    <w:p w14:paraId="390BF091"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When standards are established, they become part of guidelines and regulations which have to be followed within a company. Variance analysis plays a key role in ensuring that these standards are examined and appropriate actions taken </w:t>
      </w:r>
      <w:sdt>
        <w:sdtPr>
          <w:rPr>
            <w:rFonts w:ascii="Arial" w:hAnsi="Arial" w:cs="Arial"/>
            <w:sz w:val="32"/>
            <w:szCs w:val="32"/>
          </w:rPr>
          <w:id w:val="1918209431"/>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Kab13 \l 2057 </w:instrText>
          </w:r>
          <w:r w:rsidRPr="00450BAF">
            <w:rPr>
              <w:rFonts w:ascii="Arial" w:hAnsi="Arial" w:cs="Arial"/>
              <w:sz w:val="32"/>
              <w:szCs w:val="32"/>
            </w:rPr>
            <w:fldChar w:fldCharType="separate"/>
          </w:r>
          <w:r w:rsidRPr="00450BAF">
            <w:rPr>
              <w:rFonts w:ascii="Arial" w:hAnsi="Arial" w:cs="Arial"/>
              <w:noProof/>
              <w:sz w:val="32"/>
              <w:szCs w:val="32"/>
            </w:rPr>
            <w:t>(Dandago, et al., 2013)</w:t>
          </w:r>
          <w:r w:rsidRPr="00450BAF">
            <w:rPr>
              <w:rFonts w:ascii="Arial" w:hAnsi="Arial" w:cs="Arial"/>
              <w:sz w:val="32"/>
              <w:szCs w:val="32"/>
            </w:rPr>
            <w:fldChar w:fldCharType="end"/>
          </w:r>
        </w:sdtContent>
      </w:sdt>
      <w:r w:rsidRPr="00450BAF">
        <w:rPr>
          <w:rFonts w:ascii="Arial" w:hAnsi="Arial" w:cs="Arial"/>
          <w:sz w:val="32"/>
          <w:szCs w:val="32"/>
        </w:rPr>
        <w:t xml:space="preserve">. Dysfunctional unit managers may manipulate the data related to their products or units to present </w:t>
      </w:r>
      <w:proofErr w:type="spellStart"/>
      <w:r w:rsidRPr="00450BAF">
        <w:rPr>
          <w:rFonts w:ascii="Arial" w:hAnsi="Arial" w:cs="Arial"/>
          <w:sz w:val="32"/>
          <w:szCs w:val="32"/>
        </w:rPr>
        <w:t>favorable</w:t>
      </w:r>
      <w:proofErr w:type="spellEnd"/>
      <w:r w:rsidRPr="00450BAF">
        <w:rPr>
          <w:rFonts w:ascii="Arial" w:hAnsi="Arial" w:cs="Arial"/>
          <w:sz w:val="32"/>
          <w:szCs w:val="32"/>
        </w:rPr>
        <w:t xml:space="preserve"> variances. For example, the manager in charge of chemical Y in XLG Company may manipulate the unit prices of the materials to show </w:t>
      </w:r>
      <w:proofErr w:type="spellStart"/>
      <w:r w:rsidRPr="00450BAF">
        <w:rPr>
          <w:rFonts w:ascii="Arial" w:hAnsi="Arial" w:cs="Arial"/>
          <w:sz w:val="32"/>
          <w:szCs w:val="32"/>
        </w:rPr>
        <w:t>favorable</w:t>
      </w:r>
      <w:proofErr w:type="spellEnd"/>
      <w:r w:rsidRPr="00450BAF">
        <w:rPr>
          <w:rFonts w:ascii="Arial" w:hAnsi="Arial" w:cs="Arial"/>
          <w:sz w:val="32"/>
          <w:szCs w:val="32"/>
        </w:rPr>
        <w:t xml:space="preserve"> planning and operating variances in the next quarter, while in the real sense the variances are still </w:t>
      </w:r>
      <w:proofErr w:type="spellStart"/>
      <w:r w:rsidRPr="00450BAF">
        <w:rPr>
          <w:rFonts w:ascii="Arial" w:hAnsi="Arial" w:cs="Arial"/>
          <w:sz w:val="32"/>
          <w:szCs w:val="32"/>
        </w:rPr>
        <w:t>unfavorable</w:t>
      </w:r>
      <w:proofErr w:type="spellEnd"/>
      <w:r w:rsidRPr="00450BAF">
        <w:rPr>
          <w:rFonts w:ascii="Arial" w:hAnsi="Arial" w:cs="Arial"/>
          <w:sz w:val="32"/>
          <w:szCs w:val="32"/>
        </w:rPr>
        <w:t>.</w:t>
      </w:r>
    </w:p>
    <w:p w14:paraId="1A18BE73"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Delayed Reporting</w:t>
      </w:r>
    </w:p>
    <w:p w14:paraId="424EF81A" w14:textId="77777777" w:rsidR="00450BAF" w:rsidRPr="00450BAF" w:rsidRDefault="00450BAF" w:rsidP="00450BAF">
      <w:pPr>
        <w:jc w:val="both"/>
        <w:rPr>
          <w:rFonts w:ascii="Arial" w:hAnsi="Arial" w:cs="Arial"/>
          <w:b/>
          <w:sz w:val="32"/>
          <w:szCs w:val="32"/>
        </w:rPr>
      </w:pPr>
      <w:r w:rsidRPr="00450BAF">
        <w:rPr>
          <w:rFonts w:ascii="Arial" w:hAnsi="Arial" w:cs="Arial"/>
          <w:sz w:val="32"/>
          <w:szCs w:val="32"/>
        </w:rPr>
        <w:t xml:space="preserve">Coming up with standard costs can be a lengthy process, especially if the company is large and has numerous products. Moreover, variance analysis is conducted based on financial results released after a quarter of the company’s financial year </w:t>
      </w:r>
      <w:sdt>
        <w:sdtPr>
          <w:rPr>
            <w:rFonts w:ascii="Arial" w:hAnsi="Arial" w:cs="Arial"/>
            <w:sz w:val="32"/>
            <w:szCs w:val="32"/>
          </w:rPr>
          <w:id w:val="441810205"/>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Acc20 \l 2057 </w:instrText>
          </w:r>
          <w:r w:rsidRPr="00450BAF">
            <w:rPr>
              <w:rFonts w:ascii="Arial" w:hAnsi="Arial" w:cs="Arial"/>
              <w:sz w:val="32"/>
              <w:szCs w:val="32"/>
            </w:rPr>
            <w:fldChar w:fldCharType="separate"/>
          </w:r>
          <w:r w:rsidRPr="00450BAF">
            <w:rPr>
              <w:rFonts w:ascii="Arial" w:hAnsi="Arial" w:cs="Arial"/>
              <w:noProof/>
              <w:sz w:val="32"/>
              <w:szCs w:val="32"/>
            </w:rPr>
            <w:t>(Accounting Hub, 2020)</w:t>
          </w:r>
          <w:r w:rsidRPr="00450BAF">
            <w:rPr>
              <w:rFonts w:ascii="Arial" w:hAnsi="Arial" w:cs="Arial"/>
              <w:sz w:val="32"/>
              <w:szCs w:val="32"/>
            </w:rPr>
            <w:fldChar w:fldCharType="end"/>
          </w:r>
        </w:sdtContent>
      </w:sdt>
      <w:r w:rsidRPr="00450BAF">
        <w:rPr>
          <w:rFonts w:ascii="Arial" w:hAnsi="Arial" w:cs="Arial"/>
          <w:sz w:val="32"/>
          <w:szCs w:val="32"/>
        </w:rPr>
        <w:t>. Therefore, a period gap exists between the formation of standards and analysis of actual numbers, and this may delay reporting of relevant information at the correct time. Calculation of variances is itself regarded to be time-consuming, especially if the company has inadequate information system capabilities.</w:t>
      </w:r>
    </w:p>
    <w:p w14:paraId="6A90CB5E"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Difficulty in Preventing Variance Causes</w:t>
      </w:r>
    </w:p>
    <w:p w14:paraId="4FD6D1C1"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Even though variance analysis provides a basis upon which investigations can be made on deviations, it is generally considered to be a reactive approach </w:t>
      </w:r>
      <w:sdt>
        <w:sdtPr>
          <w:rPr>
            <w:rFonts w:ascii="Arial" w:hAnsi="Arial" w:cs="Arial"/>
            <w:sz w:val="32"/>
            <w:szCs w:val="32"/>
          </w:rPr>
          <w:id w:val="-1085524969"/>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SRh19 \l 2057 </w:instrText>
          </w:r>
          <w:r w:rsidRPr="00450BAF">
            <w:rPr>
              <w:rFonts w:ascii="Arial" w:hAnsi="Arial" w:cs="Arial"/>
              <w:sz w:val="32"/>
              <w:szCs w:val="32"/>
            </w:rPr>
            <w:fldChar w:fldCharType="separate"/>
          </w:r>
          <w:r w:rsidRPr="00450BAF">
            <w:rPr>
              <w:rFonts w:ascii="Arial" w:hAnsi="Arial" w:cs="Arial"/>
              <w:noProof/>
              <w:sz w:val="32"/>
              <w:szCs w:val="32"/>
            </w:rPr>
            <w:t>(Rhode, et al., 2019)</w:t>
          </w:r>
          <w:r w:rsidRPr="00450BAF">
            <w:rPr>
              <w:rFonts w:ascii="Arial" w:hAnsi="Arial" w:cs="Arial"/>
              <w:sz w:val="32"/>
              <w:szCs w:val="32"/>
            </w:rPr>
            <w:fldChar w:fldCharType="end"/>
          </w:r>
        </w:sdtContent>
      </w:sdt>
      <w:r w:rsidRPr="00450BAF">
        <w:rPr>
          <w:rFonts w:ascii="Arial" w:hAnsi="Arial" w:cs="Arial"/>
          <w:sz w:val="32"/>
          <w:szCs w:val="32"/>
        </w:rPr>
        <w:t>. Thus, it may not be used to prevent unforeseen future challenges that may bring about variances. It cannot be used to effectively measure a manager’s performance in managing and controlling future costs due to its limitation on detecting insufficiencies once they have occurred. XLG may need to employ other performance evaluation tools to gauge how the efficiency of its managers.</w:t>
      </w:r>
    </w:p>
    <w:p w14:paraId="7F39B592"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Slack in the Management Process</w:t>
      </w:r>
    </w:p>
    <w:p w14:paraId="63F7A7C9"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Due to the delayed reporting and reactive nature of variance analysis, managers may become relaxed in the monitoring of costs and improving efficiency. For example, if XLG solely relies on variance analysis to measure efficiency, the unit managers will have to wait till the end of every quarter of the year to </w:t>
      </w:r>
      <w:proofErr w:type="spellStart"/>
      <w:r w:rsidRPr="00450BAF">
        <w:rPr>
          <w:rFonts w:ascii="Arial" w:hAnsi="Arial" w:cs="Arial"/>
          <w:sz w:val="32"/>
          <w:szCs w:val="32"/>
        </w:rPr>
        <w:t>analyze</w:t>
      </w:r>
      <w:proofErr w:type="spellEnd"/>
      <w:r w:rsidRPr="00450BAF">
        <w:rPr>
          <w:rFonts w:ascii="Arial" w:hAnsi="Arial" w:cs="Arial"/>
          <w:sz w:val="32"/>
          <w:szCs w:val="32"/>
        </w:rPr>
        <w:t xml:space="preserve"> deviations. This means that during the time gap, they would be tranquil and the unnecessary cost of slack would be incurred by the company in the process.</w:t>
      </w:r>
    </w:p>
    <w:p w14:paraId="2EECACB4"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Short-Term Strategy</w:t>
      </w:r>
    </w:p>
    <w:p w14:paraId="48AA3155"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Variance analysis mainly focuses on the short-term objectives of the company rather than the long-term. In XLG’s case, they release financial results every quarter, after which variance analysis is done to identify areas that require immediate action and improvement. As much as this is appropriate, variance analysis fails to highlight what the company may need to do in the long term to achieve its goals and strategies </w:t>
      </w:r>
      <w:sdt>
        <w:sdtPr>
          <w:rPr>
            <w:rFonts w:ascii="Arial" w:hAnsi="Arial" w:cs="Arial"/>
            <w:sz w:val="32"/>
            <w:szCs w:val="32"/>
          </w:rPr>
          <w:id w:val="647864693"/>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Ant12 \l 2057 </w:instrText>
          </w:r>
          <w:r w:rsidRPr="00450BAF">
            <w:rPr>
              <w:rFonts w:ascii="Arial" w:hAnsi="Arial" w:cs="Arial"/>
              <w:sz w:val="32"/>
              <w:szCs w:val="32"/>
            </w:rPr>
            <w:fldChar w:fldCharType="separate"/>
          </w:r>
          <w:r w:rsidRPr="00450BAF">
            <w:rPr>
              <w:rFonts w:ascii="Arial" w:hAnsi="Arial" w:cs="Arial"/>
              <w:noProof/>
              <w:sz w:val="32"/>
              <w:szCs w:val="32"/>
            </w:rPr>
            <w:t>(Atkinson, et al., 2012)</w:t>
          </w:r>
          <w:r w:rsidRPr="00450BAF">
            <w:rPr>
              <w:rFonts w:ascii="Arial" w:hAnsi="Arial" w:cs="Arial"/>
              <w:sz w:val="32"/>
              <w:szCs w:val="32"/>
            </w:rPr>
            <w:fldChar w:fldCharType="end"/>
          </w:r>
        </w:sdtContent>
      </w:sdt>
      <w:r w:rsidRPr="00450BAF">
        <w:rPr>
          <w:rFonts w:ascii="Arial" w:hAnsi="Arial" w:cs="Arial"/>
          <w:sz w:val="32"/>
          <w:szCs w:val="32"/>
        </w:rPr>
        <w:t>.</w:t>
      </w:r>
    </w:p>
    <w:p w14:paraId="44336FB5" w14:textId="77777777" w:rsidR="00450BAF" w:rsidRPr="00450BAF" w:rsidRDefault="00450BAF" w:rsidP="00450BAF">
      <w:pPr>
        <w:jc w:val="both"/>
        <w:rPr>
          <w:rFonts w:ascii="Arial" w:hAnsi="Arial" w:cs="Arial"/>
          <w:b/>
          <w:sz w:val="32"/>
          <w:szCs w:val="32"/>
        </w:rPr>
      </w:pPr>
    </w:p>
    <w:p w14:paraId="045146D4" w14:textId="77777777" w:rsidR="00450BAF" w:rsidRPr="00450BAF" w:rsidRDefault="00450BAF" w:rsidP="00450BAF">
      <w:pPr>
        <w:jc w:val="both"/>
        <w:rPr>
          <w:rFonts w:ascii="Arial" w:hAnsi="Arial" w:cs="Arial"/>
          <w:b/>
          <w:sz w:val="32"/>
          <w:szCs w:val="32"/>
        </w:rPr>
      </w:pPr>
    </w:p>
    <w:p w14:paraId="3D16DED9" w14:textId="77777777" w:rsidR="00450BAF" w:rsidRPr="00450BAF" w:rsidRDefault="00450BAF" w:rsidP="00450BAF">
      <w:pPr>
        <w:jc w:val="both"/>
        <w:rPr>
          <w:rFonts w:ascii="Arial" w:hAnsi="Arial" w:cs="Arial"/>
          <w:b/>
          <w:sz w:val="32"/>
          <w:szCs w:val="32"/>
        </w:rPr>
      </w:pPr>
    </w:p>
    <w:p w14:paraId="31700EA3" w14:textId="77777777" w:rsidR="00450BAF" w:rsidRPr="00450BAF" w:rsidRDefault="00450BAF" w:rsidP="00450BAF">
      <w:pPr>
        <w:pStyle w:val="Heading1"/>
        <w:jc w:val="both"/>
        <w:rPr>
          <w:rFonts w:cs="Arial"/>
          <w:sz w:val="32"/>
        </w:rPr>
      </w:pPr>
      <w:bookmarkStart w:id="8" w:name="_Toc71035494"/>
      <w:r w:rsidRPr="00450BAF">
        <w:rPr>
          <w:rFonts w:cs="Arial"/>
          <w:sz w:val="32"/>
        </w:rPr>
        <w:t>PART B</w:t>
      </w:r>
      <w:bookmarkEnd w:id="8"/>
    </w:p>
    <w:p w14:paraId="32EE5AF5" w14:textId="77777777" w:rsidR="00450BAF" w:rsidRPr="00450BAF" w:rsidRDefault="00450BAF" w:rsidP="00450BAF">
      <w:pPr>
        <w:pStyle w:val="Heading2"/>
        <w:jc w:val="both"/>
        <w:rPr>
          <w:rFonts w:cs="Arial"/>
          <w:sz w:val="32"/>
          <w:szCs w:val="32"/>
        </w:rPr>
      </w:pPr>
      <w:bookmarkStart w:id="9" w:name="_Toc71035495"/>
      <w:r w:rsidRPr="00450BAF">
        <w:rPr>
          <w:rFonts w:cs="Arial"/>
          <w:sz w:val="32"/>
          <w:szCs w:val="32"/>
        </w:rPr>
        <w:t>Overview of a Make or Buy Decision</w:t>
      </w:r>
      <w:bookmarkEnd w:id="9"/>
    </w:p>
    <w:p w14:paraId="7D243760"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A make or buy decision is where an organization makes a strategic choice to either manufacture its product in-house or buy components from external suppliers through a process known as outsourcing </w:t>
      </w:r>
      <w:sdt>
        <w:sdtPr>
          <w:rPr>
            <w:rFonts w:ascii="Arial" w:hAnsi="Arial" w:cs="Arial"/>
            <w:sz w:val="32"/>
            <w:szCs w:val="32"/>
          </w:rPr>
          <w:id w:val="-2141260109"/>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Moh12 \l 2057 </w:instrText>
          </w:r>
          <w:r w:rsidRPr="00450BAF">
            <w:rPr>
              <w:rFonts w:ascii="Arial" w:hAnsi="Arial" w:cs="Arial"/>
              <w:sz w:val="32"/>
              <w:szCs w:val="32"/>
            </w:rPr>
            <w:fldChar w:fldCharType="separate"/>
          </w:r>
          <w:r w:rsidRPr="00450BAF">
            <w:rPr>
              <w:rFonts w:ascii="Arial" w:hAnsi="Arial" w:cs="Arial"/>
              <w:noProof/>
              <w:sz w:val="32"/>
              <w:szCs w:val="32"/>
            </w:rPr>
            <w:t>(Seyedhosseini, et al., 2012)</w:t>
          </w:r>
          <w:r w:rsidRPr="00450BAF">
            <w:rPr>
              <w:rFonts w:ascii="Arial" w:hAnsi="Arial" w:cs="Arial"/>
              <w:sz w:val="32"/>
              <w:szCs w:val="32"/>
            </w:rPr>
            <w:fldChar w:fldCharType="end"/>
          </w:r>
        </w:sdtContent>
      </w:sdt>
      <w:r w:rsidRPr="00450BAF">
        <w:rPr>
          <w:rFonts w:ascii="Arial" w:hAnsi="Arial" w:cs="Arial"/>
          <w:sz w:val="32"/>
          <w:szCs w:val="32"/>
        </w:rPr>
        <w:t xml:space="preserve">. Due to the highly competitive business environment, companies are trying to find ways in which they can reduce costs related to an item, hence the need to make strategic decisions in how this can be done. XLG is facing a dilemma where locally, the cost of making a unit of </w:t>
      </w:r>
      <w:proofErr w:type="spellStart"/>
      <w:r w:rsidRPr="00450BAF">
        <w:rPr>
          <w:rFonts w:ascii="Arial" w:hAnsi="Arial" w:cs="Arial"/>
          <w:sz w:val="32"/>
          <w:szCs w:val="32"/>
        </w:rPr>
        <w:t>FamaQ</w:t>
      </w:r>
      <w:proofErr w:type="spellEnd"/>
      <w:r w:rsidRPr="00450BAF">
        <w:rPr>
          <w:rFonts w:ascii="Arial" w:hAnsi="Arial" w:cs="Arial"/>
          <w:sz w:val="32"/>
          <w:szCs w:val="32"/>
        </w:rPr>
        <w:t xml:space="preserve"> is lower while importing the components from Brazil attracts not only higher costs but also greater demand for their products. Therefore, taking into consideration the strategic and operational views of the company, a need for a make or buy analysis arises. </w:t>
      </w:r>
    </w:p>
    <w:p w14:paraId="716D5DED" w14:textId="77777777" w:rsidR="00450BAF" w:rsidRPr="00450BAF" w:rsidRDefault="00450BAF" w:rsidP="00450BAF">
      <w:pPr>
        <w:pStyle w:val="Heading2"/>
        <w:jc w:val="both"/>
        <w:rPr>
          <w:rFonts w:cs="Arial"/>
          <w:sz w:val="32"/>
          <w:szCs w:val="32"/>
        </w:rPr>
      </w:pPr>
      <w:bookmarkStart w:id="10" w:name="_Toc71035496"/>
      <w:r w:rsidRPr="00450BAF">
        <w:rPr>
          <w:rFonts w:cs="Arial"/>
          <w:sz w:val="32"/>
          <w:szCs w:val="32"/>
        </w:rPr>
        <w:t>Quantitative Analysis</w:t>
      </w:r>
      <w:bookmarkEnd w:id="10"/>
    </w:p>
    <w:p w14:paraId="0BB93746"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An assessment of the quantitative aspects of the options is important when trying to arrive at a strategic choice. This involves considering the incremental and marginal costs that will be incurred in either making the component in-house or outsourcing for it </w:t>
      </w:r>
      <w:sdt>
        <w:sdtPr>
          <w:rPr>
            <w:rFonts w:ascii="Arial" w:hAnsi="Arial" w:cs="Arial"/>
            <w:sz w:val="32"/>
            <w:szCs w:val="32"/>
          </w:rPr>
          <w:id w:val="-435596106"/>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Det11 \l 2057 </w:instrText>
          </w:r>
          <w:r w:rsidRPr="00450BAF">
            <w:rPr>
              <w:rFonts w:ascii="Arial" w:hAnsi="Arial" w:cs="Arial"/>
              <w:sz w:val="32"/>
              <w:szCs w:val="32"/>
            </w:rPr>
            <w:fldChar w:fldCharType="separate"/>
          </w:r>
          <w:r w:rsidRPr="00450BAF">
            <w:rPr>
              <w:rFonts w:ascii="Arial" w:hAnsi="Arial" w:cs="Arial"/>
              <w:noProof/>
              <w:sz w:val="32"/>
              <w:szCs w:val="32"/>
            </w:rPr>
            <w:t>(Schwarting, et al., 2011)</w:t>
          </w:r>
          <w:r w:rsidRPr="00450BAF">
            <w:rPr>
              <w:rFonts w:ascii="Arial" w:hAnsi="Arial" w:cs="Arial"/>
              <w:sz w:val="32"/>
              <w:szCs w:val="32"/>
            </w:rPr>
            <w:fldChar w:fldCharType="end"/>
          </w:r>
        </w:sdtContent>
      </w:sdt>
      <w:r w:rsidRPr="00450BAF">
        <w:rPr>
          <w:rFonts w:ascii="Arial" w:hAnsi="Arial" w:cs="Arial"/>
          <w:sz w:val="32"/>
          <w:szCs w:val="32"/>
        </w:rPr>
        <w:t xml:space="preserve">. In considering these costs, it is prudent to look at all relevant costs as well as opportunity costs to be incurred when choosing one option. Relevant costs for making the component in-house comprises all costs and expenses which can be avoided if the manufacturing is undertaken, while relevant costs for outsourcing include all costs and expenses relating to the purchases of the components from external suppliers </w:t>
      </w:r>
      <w:sdt>
        <w:sdtPr>
          <w:rPr>
            <w:rFonts w:ascii="Arial" w:hAnsi="Arial" w:cs="Arial"/>
            <w:sz w:val="32"/>
            <w:szCs w:val="32"/>
          </w:rPr>
          <w:id w:val="-305010096"/>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Mih10 \l 2057 </w:instrText>
          </w:r>
          <w:r w:rsidRPr="00450BAF">
            <w:rPr>
              <w:rFonts w:ascii="Arial" w:hAnsi="Arial" w:cs="Arial"/>
              <w:sz w:val="32"/>
              <w:szCs w:val="32"/>
            </w:rPr>
            <w:fldChar w:fldCharType="separate"/>
          </w:r>
          <w:r w:rsidRPr="00450BAF">
            <w:rPr>
              <w:rFonts w:ascii="Arial" w:hAnsi="Arial" w:cs="Arial"/>
              <w:noProof/>
              <w:sz w:val="32"/>
              <w:szCs w:val="32"/>
            </w:rPr>
            <w:t>(Tulvinschi, 2010)</w:t>
          </w:r>
          <w:r w:rsidRPr="00450BAF">
            <w:rPr>
              <w:rFonts w:ascii="Arial" w:hAnsi="Arial" w:cs="Arial"/>
              <w:sz w:val="32"/>
              <w:szCs w:val="32"/>
            </w:rPr>
            <w:fldChar w:fldCharType="end"/>
          </w:r>
        </w:sdtContent>
      </w:sdt>
      <w:r w:rsidRPr="00450BAF">
        <w:rPr>
          <w:rFonts w:ascii="Arial" w:hAnsi="Arial" w:cs="Arial"/>
          <w:sz w:val="32"/>
          <w:szCs w:val="32"/>
        </w:rPr>
        <w:t>.</w:t>
      </w:r>
    </w:p>
    <w:p w14:paraId="5B8A3ABD"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The relevant costs provided in XLG’s case are the cost of purchasing a unit of </w:t>
      </w:r>
      <w:proofErr w:type="spellStart"/>
      <w:r w:rsidRPr="00450BAF">
        <w:rPr>
          <w:rFonts w:ascii="Arial" w:hAnsi="Arial" w:cs="Arial"/>
          <w:sz w:val="32"/>
          <w:szCs w:val="32"/>
        </w:rPr>
        <w:t>FamaQ</w:t>
      </w:r>
      <w:proofErr w:type="spellEnd"/>
      <w:r w:rsidRPr="00450BAF">
        <w:rPr>
          <w:rFonts w:ascii="Arial" w:hAnsi="Arial" w:cs="Arial"/>
          <w:sz w:val="32"/>
          <w:szCs w:val="32"/>
        </w:rPr>
        <w:t xml:space="preserve"> component from Brazil, which is £3.70, and the cost of making a unit of the same component in the UK is £3.00. From this, we can see that it costs relatively expensive to purchase the component from suppliers in Brazil compared to making the product in the UK.</w:t>
      </w:r>
    </w:p>
    <w:p w14:paraId="60FC5B58"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Secondly, the lead time, being the length of time between making an order and delivery of the component, is also relevant for decision making. If the </w:t>
      </w:r>
      <w:proofErr w:type="spellStart"/>
      <w:r w:rsidRPr="00450BAF">
        <w:rPr>
          <w:rFonts w:ascii="Arial" w:hAnsi="Arial" w:cs="Arial"/>
          <w:sz w:val="32"/>
          <w:szCs w:val="32"/>
        </w:rPr>
        <w:t>FamaQ</w:t>
      </w:r>
      <w:proofErr w:type="spellEnd"/>
      <w:r w:rsidRPr="00450BAF">
        <w:rPr>
          <w:rFonts w:ascii="Arial" w:hAnsi="Arial" w:cs="Arial"/>
          <w:sz w:val="32"/>
          <w:szCs w:val="32"/>
        </w:rPr>
        <w:t xml:space="preserve"> component is made in the UK, the lead time taken is 15 days less compared to purchasing it from Brazil. This means that it is relatively convenient for XLG to make the product locally compared to importing.</w:t>
      </w:r>
    </w:p>
    <w:p w14:paraId="4C493462"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In making the product, the XLG will have to consider costs relating to </w:t>
      </w:r>
      <w:proofErr w:type="spellStart"/>
      <w:r w:rsidRPr="00450BAF">
        <w:rPr>
          <w:rFonts w:ascii="Arial" w:hAnsi="Arial" w:cs="Arial"/>
          <w:sz w:val="32"/>
          <w:szCs w:val="32"/>
        </w:rPr>
        <w:t>labor</w:t>
      </w:r>
      <w:proofErr w:type="spellEnd"/>
      <w:r w:rsidRPr="00450BAF">
        <w:rPr>
          <w:rFonts w:ascii="Arial" w:hAnsi="Arial" w:cs="Arial"/>
          <w:sz w:val="32"/>
          <w:szCs w:val="32"/>
        </w:rPr>
        <w:t xml:space="preserve"> needed, incremental costs of operating, managing, and other capital-related costs. Conversely, in importing the component from Brazil, consideration has to be given to costs of transportation, inspection, receiving, and any follow-up expenses relating to the service provided. The outbreak of the covid-19 pandemic at the start of the second quarter of the financial year posed a risk for the company as higher transportation costs had to be incurred, which raised the unit price of the component. If the company is to continue importing using air transport for, say the next 3 quarters, higher costs will be reported. With the uncertainties brought about by the pandemic, there is a probability of incurring more follow-up costs in case quality is not met or importation is disrupted in Brazil. On the other hand, if the components are made in the UK, the risk is relatively low because the incremental operating and purchasing costs will be lower. </w:t>
      </w:r>
    </w:p>
    <w:p w14:paraId="2F6B5F48" w14:textId="77777777" w:rsidR="00450BAF" w:rsidRPr="00450BAF" w:rsidRDefault="00450BAF" w:rsidP="00450BAF">
      <w:pPr>
        <w:pStyle w:val="Heading2"/>
        <w:jc w:val="both"/>
        <w:rPr>
          <w:rFonts w:cs="Arial"/>
          <w:sz w:val="32"/>
          <w:szCs w:val="32"/>
        </w:rPr>
      </w:pPr>
      <w:bookmarkStart w:id="11" w:name="_Toc71035497"/>
      <w:r w:rsidRPr="00450BAF">
        <w:rPr>
          <w:rFonts w:cs="Arial"/>
          <w:sz w:val="32"/>
          <w:szCs w:val="32"/>
        </w:rPr>
        <w:t>Qualitative Analysis</w:t>
      </w:r>
      <w:bookmarkEnd w:id="11"/>
    </w:p>
    <w:p w14:paraId="4533122A"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The qualitative aspects of </w:t>
      </w:r>
      <w:proofErr w:type="spellStart"/>
      <w:r w:rsidRPr="00450BAF">
        <w:rPr>
          <w:rFonts w:ascii="Arial" w:hAnsi="Arial" w:cs="Arial"/>
          <w:sz w:val="32"/>
          <w:szCs w:val="32"/>
        </w:rPr>
        <w:t>analyzing</w:t>
      </w:r>
      <w:proofErr w:type="spellEnd"/>
      <w:r w:rsidRPr="00450BAF">
        <w:rPr>
          <w:rFonts w:ascii="Arial" w:hAnsi="Arial" w:cs="Arial"/>
          <w:sz w:val="32"/>
          <w:szCs w:val="32"/>
        </w:rPr>
        <w:t xml:space="preserve"> the options are those which cannot be explained in numerical terms, such as the quality of the product, reliability of the supplier, technical experience in manufacturing, product preference factors, among others </w:t>
      </w:r>
      <w:sdt>
        <w:sdtPr>
          <w:rPr>
            <w:rFonts w:ascii="Arial" w:hAnsi="Arial" w:cs="Arial"/>
            <w:sz w:val="32"/>
            <w:szCs w:val="32"/>
          </w:rPr>
          <w:id w:val="-812554032"/>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Moh14 \l 2057 </w:instrText>
          </w:r>
          <w:r w:rsidRPr="00450BAF">
            <w:rPr>
              <w:rFonts w:ascii="Arial" w:hAnsi="Arial" w:cs="Arial"/>
              <w:sz w:val="32"/>
              <w:szCs w:val="32"/>
            </w:rPr>
            <w:fldChar w:fldCharType="separate"/>
          </w:r>
          <w:r w:rsidRPr="00450BAF">
            <w:rPr>
              <w:rFonts w:ascii="Arial" w:hAnsi="Arial" w:cs="Arial"/>
              <w:noProof/>
              <w:sz w:val="32"/>
              <w:szCs w:val="32"/>
            </w:rPr>
            <w:t>(Rahman, et al., 2014)</w:t>
          </w:r>
          <w:r w:rsidRPr="00450BAF">
            <w:rPr>
              <w:rFonts w:ascii="Arial" w:hAnsi="Arial" w:cs="Arial"/>
              <w:sz w:val="32"/>
              <w:szCs w:val="32"/>
            </w:rPr>
            <w:fldChar w:fldCharType="end"/>
          </w:r>
        </w:sdtContent>
      </w:sdt>
      <w:r w:rsidRPr="00450BAF">
        <w:rPr>
          <w:rFonts w:ascii="Arial" w:hAnsi="Arial" w:cs="Arial"/>
          <w:sz w:val="32"/>
          <w:szCs w:val="32"/>
        </w:rPr>
        <w:t xml:space="preserve">. In making a strategic choice, factors influencing each of the options need to be examined critically, despite there being some level of subjectivity because the qualitative factors rely on opinions, knowledge, and experience of the individual making the analysis </w:t>
      </w:r>
      <w:sdt>
        <w:sdtPr>
          <w:rPr>
            <w:rFonts w:ascii="Arial" w:hAnsi="Arial" w:cs="Arial"/>
            <w:sz w:val="32"/>
            <w:szCs w:val="32"/>
          </w:rPr>
          <w:id w:val="1093282239"/>
          <w:citation/>
        </w:sdtPr>
        <w:sdtContent>
          <w:r w:rsidRPr="00450BAF">
            <w:rPr>
              <w:rFonts w:ascii="Arial" w:hAnsi="Arial" w:cs="Arial"/>
              <w:sz w:val="32"/>
              <w:szCs w:val="32"/>
            </w:rPr>
            <w:fldChar w:fldCharType="begin"/>
          </w:r>
          <w:r w:rsidRPr="00450BAF">
            <w:rPr>
              <w:rFonts w:ascii="Arial" w:hAnsi="Arial" w:cs="Arial"/>
              <w:sz w:val="32"/>
              <w:szCs w:val="32"/>
            </w:rPr>
            <w:instrText xml:space="preserve"> CITATION Mar19 \l 2057 </w:instrText>
          </w:r>
          <w:r w:rsidRPr="00450BAF">
            <w:rPr>
              <w:rFonts w:ascii="Arial" w:hAnsi="Arial" w:cs="Arial"/>
              <w:sz w:val="32"/>
              <w:szCs w:val="32"/>
            </w:rPr>
            <w:fldChar w:fldCharType="separate"/>
          </w:r>
          <w:r w:rsidRPr="00450BAF">
            <w:rPr>
              <w:rFonts w:ascii="Arial" w:hAnsi="Arial" w:cs="Arial"/>
              <w:noProof/>
              <w:sz w:val="32"/>
              <w:szCs w:val="32"/>
            </w:rPr>
            <w:t>(Luenendonk, 2019)</w:t>
          </w:r>
          <w:r w:rsidRPr="00450BAF">
            <w:rPr>
              <w:rFonts w:ascii="Arial" w:hAnsi="Arial" w:cs="Arial"/>
              <w:sz w:val="32"/>
              <w:szCs w:val="32"/>
            </w:rPr>
            <w:fldChar w:fldCharType="end"/>
          </w:r>
        </w:sdtContent>
      </w:sdt>
      <w:r w:rsidRPr="00450BAF">
        <w:rPr>
          <w:rFonts w:ascii="Arial" w:hAnsi="Arial" w:cs="Arial"/>
          <w:sz w:val="32"/>
          <w:szCs w:val="32"/>
        </w:rPr>
        <w:t>.</w:t>
      </w:r>
    </w:p>
    <w:p w14:paraId="534CBA43"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Qualitative analysis of the decision to make the product</w:t>
      </w:r>
    </w:p>
    <w:p w14:paraId="4192707C"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If XLG decides to manufacture the product in the UK, first it may have to consider the availability of competent suppliers for </w:t>
      </w:r>
      <w:proofErr w:type="spellStart"/>
      <w:r w:rsidRPr="00450BAF">
        <w:rPr>
          <w:rFonts w:ascii="Arial" w:hAnsi="Arial" w:cs="Arial"/>
          <w:sz w:val="32"/>
          <w:szCs w:val="32"/>
        </w:rPr>
        <w:t>FamaQ</w:t>
      </w:r>
      <w:proofErr w:type="spellEnd"/>
      <w:r w:rsidRPr="00450BAF">
        <w:rPr>
          <w:rFonts w:ascii="Arial" w:hAnsi="Arial" w:cs="Arial"/>
          <w:sz w:val="32"/>
          <w:szCs w:val="32"/>
        </w:rPr>
        <w:t>. All along, the company has been relying on suppliers from Brazil who provide good quality components. If the quality from the local suppliers matches its standards, there is a need to evaluate the reliability of suppliers. From the relevant information given, XLG is in a better position to control the delivery time of components, which is better and convenient compared to importing from Brazil. Moreover, there is greater assurance of continued supply since the suppliers can be reached easily.</w:t>
      </w:r>
    </w:p>
    <w:p w14:paraId="29F21E37" w14:textId="77777777" w:rsidR="00450BAF" w:rsidRPr="00450BAF" w:rsidRDefault="00450BAF" w:rsidP="00450BAF">
      <w:pPr>
        <w:jc w:val="both"/>
        <w:rPr>
          <w:rFonts w:ascii="Arial" w:hAnsi="Arial" w:cs="Arial"/>
          <w:sz w:val="32"/>
          <w:szCs w:val="32"/>
        </w:rPr>
      </w:pPr>
      <w:proofErr w:type="spellStart"/>
      <w:r w:rsidRPr="00450BAF">
        <w:rPr>
          <w:rFonts w:ascii="Arial" w:hAnsi="Arial" w:cs="Arial"/>
          <w:sz w:val="32"/>
          <w:szCs w:val="32"/>
        </w:rPr>
        <w:t>FamaQ</w:t>
      </w:r>
      <w:proofErr w:type="spellEnd"/>
      <w:r w:rsidRPr="00450BAF">
        <w:rPr>
          <w:rFonts w:ascii="Arial" w:hAnsi="Arial" w:cs="Arial"/>
          <w:sz w:val="32"/>
          <w:szCs w:val="32"/>
        </w:rPr>
        <w:t xml:space="preserve"> gives XLG a competitive advantage due to the patent which the company secured, thus enabling it to maintain its market-leading position. As a result, XLG can frequently change the product designs to match changing customer preferences. This would be incorporated quickly into the market if in-house making is conducted, as the company would be in a position to control the timing in launching and selling. Moreover, the secrecy embedded in intellectual property can easily be managed and protected. </w:t>
      </w:r>
    </w:p>
    <w:p w14:paraId="487DDD4D" w14:textId="77777777" w:rsidR="00450BAF" w:rsidRPr="00450BAF" w:rsidRDefault="00450BAF" w:rsidP="00450BAF">
      <w:pPr>
        <w:jc w:val="both"/>
        <w:rPr>
          <w:rFonts w:ascii="Arial" w:hAnsi="Arial" w:cs="Arial"/>
          <w:b/>
          <w:sz w:val="32"/>
          <w:szCs w:val="32"/>
        </w:rPr>
      </w:pPr>
      <w:r w:rsidRPr="00450BAF">
        <w:rPr>
          <w:rFonts w:ascii="Arial" w:hAnsi="Arial" w:cs="Arial"/>
          <w:b/>
          <w:sz w:val="32"/>
          <w:szCs w:val="32"/>
        </w:rPr>
        <w:t>Qualitative analysis of the decision to purchase the product</w:t>
      </w:r>
    </w:p>
    <w:p w14:paraId="1F9FAB17"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XLG has been engaging suppliers in Brazil who demonstrate their ability to deliver the right quality. This may have brought about the formation of strategic partnerships, which have played a key role in increasing the demand for the products. However, engaging external suppliers may be linked to indirect managerial control and reduced requirements for the company’s long-term strategy. Moreover, it can be implied that XLG may not have the required capacity to produce the components locally.</w:t>
      </w:r>
    </w:p>
    <w:p w14:paraId="4B735C35"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The pandemic brought about lockdown and movement restrictions which hampered utilization of sea transport. Thus, the company resorted to importing the components using air transport. This can be considered to have a positive impact on the lead time taken in comparison to transportation by sea. </w:t>
      </w:r>
    </w:p>
    <w:p w14:paraId="23A548B4" w14:textId="77777777" w:rsidR="00450BAF" w:rsidRPr="00450BAF" w:rsidRDefault="00450BAF" w:rsidP="00450BAF">
      <w:pPr>
        <w:pStyle w:val="Heading2"/>
        <w:jc w:val="both"/>
        <w:rPr>
          <w:rFonts w:cs="Arial"/>
          <w:sz w:val="32"/>
          <w:szCs w:val="32"/>
        </w:rPr>
      </w:pPr>
      <w:bookmarkStart w:id="12" w:name="_Toc71035498"/>
      <w:r w:rsidRPr="00450BAF">
        <w:rPr>
          <w:rFonts w:cs="Arial"/>
          <w:sz w:val="32"/>
          <w:szCs w:val="32"/>
        </w:rPr>
        <w:t>Final Decision</w:t>
      </w:r>
      <w:bookmarkEnd w:id="12"/>
    </w:p>
    <w:p w14:paraId="16E2E700"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Although importing from Brazil has been the routine for XLG, the pandemic has brought with it risks and uncertainty that have caused the unit costs of the component to increase. Moreover, supply disruptions and transportation delays may not be ignored in periods to come as it would lead to more costs by the company. Thus, it is prudent that XLG considers making the </w:t>
      </w:r>
      <w:proofErr w:type="spellStart"/>
      <w:r w:rsidRPr="00450BAF">
        <w:rPr>
          <w:rFonts w:ascii="Arial" w:hAnsi="Arial" w:cs="Arial"/>
          <w:sz w:val="32"/>
          <w:szCs w:val="32"/>
        </w:rPr>
        <w:t>FamaQ</w:t>
      </w:r>
      <w:proofErr w:type="spellEnd"/>
      <w:r w:rsidRPr="00450BAF">
        <w:rPr>
          <w:rFonts w:ascii="Arial" w:hAnsi="Arial" w:cs="Arial"/>
          <w:sz w:val="32"/>
          <w:szCs w:val="32"/>
        </w:rPr>
        <w:t xml:space="preserve"> in the UK because the management will be directly in control of quality and the company will enjoy fewer costs in making a unit of the component. Moreover, there will be reduced lead times thus large volumes within a shorter period can be made and sold to the market. The company will also be in full protection of its patent as the external threats to the intellectual property will be reduced. Finally, the company will be in a better position to grow as it may wish to integrate its production operations.</w:t>
      </w:r>
    </w:p>
    <w:p w14:paraId="19C4BB07" w14:textId="77777777" w:rsidR="00450BAF" w:rsidRPr="00450BAF" w:rsidRDefault="00450BAF" w:rsidP="00450BAF">
      <w:pPr>
        <w:jc w:val="both"/>
        <w:rPr>
          <w:rFonts w:ascii="Arial" w:hAnsi="Arial" w:cs="Arial"/>
          <w:b/>
          <w:sz w:val="32"/>
          <w:szCs w:val="32"/>
        </w:rPr>
      </w:pPr>
    </w:p>
    <w:p w14:paraId="2B47AEB8" w14:textId="77777777" w:rsidR="00450BAF" w:rsidRPr="00450BAF" w:rsidRDefault="00450BAF" w:rsidP="00450BAF">
      <w:pPr>
        <w:pStyle w:val="Heading1"/>
        <w:jc w:val="both"/>
        <w:rPr>
          <w:rFonts w:cs="Arial"/>
          <w:sz w:val="32"/>
        </w:rPr>
      </w:pPr>
      <w:bookmarkStart w:id="13" w:name="_Toc71035499"/>
      <w:r w:rsidRPr="00450BAF">
        <w:rPr>
          <w:rFonts w:cs="Arial"/>
          <w:sz w:val="32"/>
        </w:rPr>
        <w:t>CONCLUSION</w:t>
      </w:r>
      <w:bookmarkEnd w:id="13"/>
    </w:p>
    <w:p w14:paraId="7806A501" w14:textId="77777777" w:rsidR="00450BAF" w:rsidRPr="00450BAF" w:rsidRDefault="00450BAF" w:rsidP="00450BAF">
      <w:pPr>
        <w:jc w:val="both"/>
        <w:rPr>
          <w:rFonts w:ascii="Arial" w:hAnsi="Arial" w:cs="Arial"/>
          <w:sz w:val="32"/>
          <w:szCs w:val="32"/>
        </w:rPr>
      </w:pPr>
      <w:r w:rsidRPr="00450BAF">
        <w:rPr>
          <w:rFonts w:ascii="Arial" w:hAnsi="Arial" w:cs="Arial"/>
          <w:sz w:val="32"/>
          <w:szCs w:val="32"/>
        </w:rPr>
        <w:t xml:space="preserve">XLG benefits from the utilization of variance analysis as the performance of its managers can be showed from the </w:t>
      </w:r>
      <w:proofErr w:type="spellStart"/>
      <w:r w:rsidRPr="00450BAF">
        <w:rPr>
          <w:rFonts w:ascii="Arial" w:hAnsi="Arial" w:cs="Arial"/>
          <w:sz w:val="32"/>
          <w:szCs w:val="32"/>
        </w:rPr>
        <w:t>favorable</w:t>
      </w:r>
      <w:proofErr w:type="spellEnd"/>
      <w:r w:rsidRPr="00450BAF">
        <w:rPr>
          <w:rFonts w:ascii="Arial" w:hAnsi="Arial" w:cs="Arial"/>
          <w:sz w:val="32"/>
          <w:szCs w:val="32"/>
        </w:rPr>
        <w:t xml:space="preserve"> variances in sales prices for both products and </w:t>
      </w:r>
      <w:proofErr w:type="spellStart"/>
      <w:r w:rsidRPr="00450BAF">
        <w:rPr>
          <w:rFonts w:ascii="Arial" w:hAnsi="Arial" w:cs="Arial"/>
          <w:sz w:val="32"/>
          <w:szCs w:val="32"/>
        </w:rPr>
        <w:t>unfavorable</w:t>
      </w:r>
      <w:proofErr w:type="spellEnd"/>
      <w:r w:rsidRPr="00450BAF">
        <w:rPr>
          <w:rFonts w:ascii="Arial" w:hAnsi="Arial" w:cs="Arial"/>
          <w:sz w:val="32"/>
          <w:szCs w:val="32"/>
        </w:rPr>
        <w:t xml:space="preserve"> variances on material price planning. However, it may not be used in the long-term achievement of strategy due to its reactive nature and tendency of slack by managers. Nonetheless, the company should invest more in making </w:t>
      </w:r>
      <w:proofErr w:type="spellStart"/>
      <w:r w:rsidRPr="00450BAF">
        <w:rPr>
          <w:rFonts w:ascii="Arial" w:hAnsi="Arial" w:cs="Arial"/>
          <w:sz w:val="32"/>
          <w:szCs w:val="32"/>
        </w:rPr>
        <w:t>FamaQ</w:t>
      </w:r>
      <w:proofErr w:type="spellEnd"/>
      <w:r w:rsidRPr="00450BAF">
        <w:rPr>
          <w:rFonts w:ascii="Arial" w:hAnsi="Arial" w:cs="Arial"/>
          <w:sz w:val="32"/>
          <w:szCs w:val="32"/>
        </w:rPr>
        <w:t xml:space="preserve"> in the UK rather than importing from Brazil due to the reduced risk of operation.</w:t>
      </w:r>
    </w:p>
    <w:p w14:paraId="31F5013D" w14:textId="77777777" w:rsidR="00450BAF" w:rsidRPr="00450BAF" w:rsidRDefault="00450BAF" w:rsidP="00450BAF">
      <w:pPr>
        <w:jc w:val="both"/>
        <w:rPr>
          <w:rFonts w:ascii="Arial" w:hAnsi="Arial" w:cs="Arial"/>
          <w:b/>
          <w:sz w:val="32"/>
          <w:szCs w:val="32"/>
        </w:rPr>
      </w:pPr>
    </w:p>
    <w:p w14:paraId="1F3D4DF7" w14:textId="77777777" w:rsidR="00450BAF" w:rsidRPr="00450BAF" w:rsidRDefault="00450BAF" w:rsidP="00450BAF">
      <w:pPr>
        <w:jc w:val="both"/>
        <w:rPr>
          <w:rFonts w:ascii="Arial" w:hAnsi="Arial" w:cs="Arial"/>
          <w:b/>
          <w:sz w:val="32"/>
          <w:szCs w:val="32"/>
        </w:rPr>
      </w:pPr>
    </w:p>
    <w:p w14:paraId="0DE4B72E" w14:textId="77777777" w:rsidR="00450BAF" w:rsidRPr="00450BAF" w:rsidRDefault="00450BAF" w:rsidP="00450BAF">
      <w:pPr>
        <w:jc w:val="both"/>
        <w:rPr>
          <w:rFonts w:ascii="Arial" w:hAnsi="Arial" w:cs="Arial"/>
          <w:b/>
          <w:sz w:val="32"/>
          <w:szCs w:val="32"/>
        </w:rPr>
      </w:pPr>
    </w:p>
    <w:p w14:paraId="1A5406E7" w14:textId="77777777" w:rsidR="00450BAF" w:rsidRPr="00450BAF" w:rsidRDefault="00450BAF" w:rsidP="00450BAF">
      <w:pPr>
        <w:jc w:val="both"/>
        <w:rPr>
          <w:rFonts w:ascii="Arial" w:hAnsi="Arial" w:cs="Arial"/>
          <w:b/>
          <w:sz w:val="32"/>
          <w:szCs w:val="32"/>
        </w:rPr>
      </w:pPr>
    </w:p>
    <w:p w14:paraId="24997F52" w14:textId="77777777" w:rsidR="00450BAF" w:rsidRPr="00450BAF" w:rsidRDefault="00450BAF" w:rsidP="00450BAF">
      <w:pPr>
        <w:jc w:val="both"/>
        <w:rPr>
          <w:rFonts w:ascii="Arial" w:hAnsi="Arial" w:cs="Arial"/>
          <w:b/>
          <w:sz w:val="32"/>
          <w:szCs w:val="32"/>
        </w:rPr>
      </w:pPr>
    </w:p>
    <w:p w14:paraId="2FB6377E" w14:textId="77777777" w:rsidR="00450BAF" w:rsidRPr="00450BAF" w:rsidRDefault="00450BAF" w:rsidP="00450BAF">
      <w:pPr>
        <w:jc w:val="both"/>
        <w:rPr>
          <w:rFonts w:ascii="Arial" w:hAnsi="Arial" w:cs="Arial"/>
          <w:b/>
          <w:sz w:val="32"/>
          <w:szCs w:val="32"/>
        </w:rPr>
      </w:pPr>
    </w:p>
    <w:p w14:paraId="7C7BBA48" w14:textId="77777777" w:rsidR="00450BAF" w:rsidRPr="00450BAF" w:rsidRDefault="00450BAF" w:rsidP="00450BAF">
      <w:pPr>
        <w:jc w:val="both"/>
        <w:rPr>
          <w:rFonts w:ascii="Arial" w:hAnsi="Arial" w:cs="Arial"/>
          <w:b/>
          <w:sz w:val="32"/>
          <w:szCs w:val="32"/>
        </w:rPr>
      </w:pPr>
    </w:p>
    <w:p w14:paraId="31A6505F" w14:textId="77777777" w:rsidR="00450BAF" w:rsidRPr="00450BAF" w:rsidRDefault="00450BAF" w:rsidP="00450BAF">
      <w:pPr>
        <w:jc w:val="both"/>
        <w:rPr>
          <w:rFonts w:ascii="Arial" w:hAnsi="Arial" w:cs="Arial"/>
          <w:b/>
          <w:sz w:val="32"/>
          <w:szCs w:val="32"/>
        </w:rPr>
      </w:pPr>
    </w:p>
    <w:p w14:paraId="54661BDC" w14:textId="77777777" w:rsidR="00450BAF" w:rsidRPr="00450BAF" w:rsidRDefault="00450BAF" w:rsidP="00450BAF">
      <w:pPr>
        <w:jc w:val="both"/>
        <w:rPr>
          <w:rFonts w:ascii="Arial" w:hAnsi="Arial" w:cs="Arial"/>
          <w:b/>
          <w:sz w:val="32"/>
          <w:szCs w:val="32"/>
        </w:rPr>
      </w:pPr>
    </w:p>
    <w:p w14:paraId="6C47AE78" w14:textId="77777777" w:rsidR="00450BAF" w:rsidRPr="00450BAF" w:rsidRDefault="00450BAF" w:rsidP="00450BAF">
      <w:pPr>
        <w:jc w:val="both"/>
        <w:rPr>
          <w:rFonts w:ascii="Arial" w:hAnsi="Arial" w:cs="Arial"/>
          <w:b/>
          <w:sz w:val="32"/>
          <w:szCs w:val="32"/>
        </w:rPr>
      </w:pPr>
    </w:p>
    <w:p w14:paraId="14FD32D9" w14:textId="77777777" w:rsidR="00450BAF" w:rsidRPr="00450BAF" w:rsidRDefault="00450BAF" w:rsidP="00450BAF">
      <w:pPr>
        <w:jc w:val="both"/>
        <w:rPr>
          <w:rFonts w:ascii="Arial" w:hAnsi="Arial" w:cs="Arial"/>
          <w:b/>
          <w:sz w:val="32"/>
          <w:szCs w:val="32"/>
        </w:rPr>
      </w:pPr>
    </w:p>
    <w:p w14:paraId="50946F0B" w14:textId="77777777" w:rsidR="00450BAF" w:rsidRPr="00450BAF" w:rsidRDefault="00450BAF" w:rsidP="00450BAF">
      <w:pPr>
        <w:jc w:val="both"/>
        <w:rPr>
          <w:rFonts w:ascii="Arial" w:hAnsi="Arial" w:cs="Arial"/>
          <w:b/>
          <w:sz w:val="32"/>
          <w:szCs w:val="32"/>
        </w:rPr>
      </w:pPr>
    </w:p>
    <w:p w14:paraId="6974EC62" w14:textId="77777777" w:rsidR="00450BAF" w:rsidRPr="00450BAF" w:rsidRDefault="00450BAF" w:rsidP="00450BAF">
      <w:pPr>
        <w:jc w:val="both"/>
        <w:rPr>
          <w:rFonts w:ascii="Arial" w:hAnsi="Arial" w:cs="Arial"/>
          <w:b/>
          <w:sz w:val="32"/>
          <w:szCs w:val="32"/>
        </w:rPr>
        <w:sectPr w:rsidR="00450BAF" w:rsidRPr="00450BAF" w:rsidSect="00F87B98">
          <w:headerReference w:type="default" r:id="rId7"/>
          <w:footerReference w:type="default" r:id="rId8"/>
          <w:pgSz w:w="11906" w:h="16838"/>
          <w:pgMar w:top="1440" w:right="1440" w:bottom="1440" w:left="1440" w:header="708" w:footer="708" w:gutter="0"/>
          <w:pgNumType w:start="1"/>
          <w:cols w:space="708"/>
          <w:docGrid w:linePitch="360"/>
        </w:sectPr>
      </w:pPr>
    </w:p>
    <w:bookmarkStart w:id="14" w:name="_Toc71035500" w:displacedByCustomXml="next"/>
    <w:sdt>
      <w:sdtPr>
        <w:rPr>
          <w:rFonts w:eastAsiaTheme="minorHAnsi" w:cs="Arial"/>
          <w:b w:val="0"/>
          <w:sz w:val="32"/>
        </w:rPr>
        <w:id w:val="1397934598"/>
        <w:docPartObj>
          <w:docPartGallery w:val="Bibliographies"/>
          <w:docPartUnique/>
        </w:docPartObj>
      </w:sdtPr>
      <w:sdtContent>
        <w:p w14:paraId="459D6150" w14:textId="77777777" w:rsidR="00450BAF" w:rsidRPr="00450BAF" w:rsidRDefault="00450BAF" w:rsidP="00450BAF">
          <w:pPr>
            <w:pStyle w:val="Heading1"/>
            <w:jc w:val="both"/>
            <w:rPr>
              <w:rFonts w:eastAsiaTheme="minorHAnsi" w:cs="Arial"/>
              <w:b w:val="0"/>
              <w:sz w:val="32"/>
            </w:rPr>
          </w:pPr>
          <w:r w:rsidRPr="00450BAF">
            <w:rPr>
              <w:rFonts w:cs="Arial"/>
              <w:sz w:val="32"/>
            </w:rPr>
            <w:t>References</w:t>
          </w:r>
          <w:bookmarkEnd w:id="14"/>
        </w:p>
        <w:sdt>
          <w:sdtPr>
            <w:rPr>
              <w:rFonts w:ascii="Arial" w:hAnsi="Arial" w:cs="Arial"/>
              <w:sz w:val="32"/>
              <w:szCs w:val="32"/>
            </w:rPr>
            <w:id w:val="-573587230"/>
            <w:bibliography/>
          </w:sdtPr>
          <w:sdtContent>
            <w:p w14:paraId="41AB219D"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sz w:val="32"/>
                  <w:szCs w:val="32"/>
                </w:rPr>
                <w:fldChar w:fldCharType="begin"/>
              </w:r>
              <w:r w:rsidRPr="00450BAF">
                <w:rPr>
                  <w:rFonts w:ascii="Arial" w:hAnsi="Arial" w:cs="Arial"/>
                  <w:sz w:val="32"/>
                  <w:szCs w:val="32"/>
                </w:rPr>
                <w:instrText xml:space="preserve"> BIBLIOGRAPHY </w:instrText>
              </w:r>
              <w:r w:rsidRPr="00450BAF">
                <w:rPr>
                  <w:rFonts w:ascii="Arial" w:hAnsi="Arial" w:cs="Arial"/>
                  <w:sz w:val="32"/>
                  <w:szCs w:val="32"/>
                </w:rPr>
                <w:fldChar w:fldCharType="separate"/>
              </w:r>
              <w:r w:rsidRPr="00450BAF">
                <w:rPr>
                  <w:rFonts w:ascii="Arial" w:hAnsi="Arial" w:cs="Arial"/>
                  <w:b/>
                  <w:bCs/>
                  <w:noProof/>
                  <w:sz w:val="32"/>
                  <w:szCs w:val="32"/>
                </w:rPr>
                <w:t>Application of Variance Analysis for Performance Evaluation: A Cost/Benefit Approach</w:t>
              </w:r>
              <w:r w:rsidRPr="00450BAF">
                <w:rPr>
                  <w:rFonts w:ascii="Arial" w:hAnsi="Arial" w:cs="Arial"/>
                  <w:noProof/>
                  <w:sz w:val="32"/>
                  <w:szCs w:val="32"/>
                </w:rPr>
                <w:t xml:space="preserve"> [Journal] / auth. Aruomoaghe Jude and Agbo Sunny // Research Journal of Finance and Accounting. - 201</w:t>
              </w:r>
              <w:r w:rsidR="002C6FB6">
                <w:rPr>
                  <w:rFonts w:ascii="Arial" w:hAnsi="Arial" w:cs="Arial"/>
                  <w:noProof/>
                  <w:sz w:val="32"/>
                  <w:szCs w:val="32"/>
                </w:rPr>
                <w:t>3. - 13 : Vol. 4</w:t>
              </w:r>
            </w:p>
            <w:p w14:paraId="5D355EEC"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Horngren's Cost Accounting: A Managerial Emphasis, Global Edition</w:t>
              </w:r>
              <w:r w:rsidRPr="00450BAF">
                <w:rPr>
                  <w:rFonts w:ascii="Arial" w:hAnsi="Arial" w:cs="Arial"/>
                  <w:noProof/>
                  <w:sz w:val="32"/>
                  <w:szCs w:val="32"/>
                </w:rPr>
                <w:t xml:space="preserve"> [Book] / auth. Datar Srikant M. and Rajan Madhav V.. - [s.l.] : Pearson, 2017. - 16th.</w:t>
              </w:r>
            </w:p>
            <w:p w14:paraId="63876A3C"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Make or Buy Strategy Decision Making in Supply Quality Chain</w:t>
              </w:r>
              <w:r w:rsidRPr="00450BAF">
                <w:rPr>
                  <w:rFonts w:ascii="Arial" w:hAnsi="Arial" w:cs="Arial"/>
                  <w:noProof/>
                  <w:sz w:val="32"/>
                  <w:szCs w:val="32"/>
                </w:rPr>
                <w:t xml:space="preserve"> [Journal] / auth. Seyedhosseini Mohammad, Mohammadipour Faezeh and Ashtiani Milad Gorji // International Journal of Industrial Engineering Computations. - 2012. - 1 : Vol. 3</w:t>
              </w:r>
            </w:p>
            <w:p w14:paraId="5D036C37"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Make or buy: Three pillars of sound decision making</w:t>
              </w:r>
              <w:r w:rsidRPr="00450BAF">
                <w:rPr>
                  <w:rFonts w:ascii="Arial" w:hAnsi="Arial" w:cs="Arial"/>
                  <w:noProof/>
                  <w:sz w:val="32"/>
                  <w:szCs w:val="32"/>
                </w:rPr>
                <w:t xml:space="preserve"> [Report] / auth. Schwarting Detlef and Weissbarth Robert. - Dusseldorf : Booz &amp; Company, 2011.</w:t>
              </w:r>
            </w:p>
            <w:p w14:paraId="675B73D0"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Management Accounting</w:t>
              </w:r>
              <w:r w:rsidR="002C6FB6">
                <w:rPr>
                  <w:rFonts w:ascii="Arial" w:hAnsi="Arial" w:cs="Arial"/>
                  <w:noProof/>
                  <w:sz w:val="32"/>
                  <w:szCs w:val="32"/>
                </w:rPr>
                <w:t xml:space="preserve">(Book) </w:t>
              </w:r>
              <w:r w:rsidRPr="00450BAF">
                <w:rPr>
                  <w:rFonts w:ascii="Arial" w:hAnsi="Arial" w:cs="Arial"/>
                  <w:noProof/>
                  <w:sz w:val="32"/>
                  <w:szCs w:val="32"/>
                </w:rPr>
                <w:t>/ auth. Rhode S. and Garrison N.. - London : McGraw Hill, 2019. - 6th.</w:t>
              </w:r>
            </w:p>
            <w:p w14:paraId="3A76D9BD"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Management Accounting: Information for Decision Making and Strategy Execution</w:t>
              </w:r>
              <w:r w:rsidR="002C6FB6">
                <w:rPr>
                  <w:rFonts w:ascii="Arial" w:hAnsi="Arial" w:cs="Arial"/>
                  <w:noProof/>
                  <w:sz w:val="32"/>
                  <w:szCs w:val="32"/>
                </w:rPr>
                <w:t xml:space="preserve"> (Book)</w:t>
              </w:r>
              <w:r w:rsidRPr="00450BAF">
                <w:rPr>
                  <w:rFonts w:ascii="Arial" w:hAnsi="Arial" w:cs="Arial"/>
                  <w:noProof/>
                  <w:sz w:val="32"/>
                  <w:szCs w:val="32"/>
                </w:rPr>
                <w:t>/ auth. Atkinson Anthony A. [et al.]. - Boston : Pearson, 2012. - 6th.</w:t>
              </w:r>
            </w:p>
            <w:p w14:paraId="7C8C0611"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Relevant Costs for Decision in an Effective Controlling System</w:t>
              </w:r>
              <w:r w:rsidRPr="00450BAF">
                <w:rPr>
                  <w:rFonts w:ascii="Arial" w:hAnsi="Arial" w:cs="Arial"/>
                  <w:noProof/>
                  <w:sz w:val="32"/>
                  <w:szCs w:val="32"/>
                </w:rPr>
                <w:t xml:space="preserve"> </w:t>
              </w:r>
              <w:r w:rsidR="002C6FB6">
                <w:rPr>
                  <w:rFonts w:ascii="Arial" w:hAnsi="Arial" w:cs="Arial"/>
                  <w:noProof/>
                  <w:sz w:val="32"/>
                  <w:szCs w:val="32"/>
                </w:rPr>
                <w:t>(Journal)</w:t>
              </w:r>
              <w:r w:rsidRPr="00450BAF">
                <w:rPr>
                  <w:rFonts w:ascii="Arial" w:hAnsi="Arial" w:cs="Arial"/>
                  <w:noProof/>
                  <w:sz w:val="32"/>
                  <w:szCs w:val="32"/>
                </w:rPr>
                <w:t> / auth. Tulvinschi Mihaela // Theoretical and Applied Economics. - 2010. - 5 : Vol. 17</w:t>
              </w:r>
            </w:p>
            <w:p w14:paraId="22D1B549"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Standard Costing Variances; Potential Red Flags of Fraud?</w:t>
              </w:r>
              <w:r w:rsidRPr="00450BAF">
                <w:rPr>
                  <w:rFonts w:ascii="Arial" w:hAnsi="Arial" w:cs="Arial"/>
                  <w:noProof/>
                  <w:sz w:val="32"/>
                  <w:szCs w:val="32"/>
                </w:rPr>
                <w:t xml:space="preserve"> </w:t>
              </w:r>
              <w:r w:rsidR="002C6FB6">
                <w:rPr>
                  <w:rFonts w:ascii="Arial" w:hAnsi="Arial" w:cs="Arial"/>
                  <w:noProof/>
                  <w:sz w:val="32"/>
                  <w:szCs w:val="32"/>
                </w:rPr>
                <w:t>(REPORT)</w:t>
              </w:r>
              <w:r w:rsidRPr="00450BAF">
                <w:rPr>
                  <w:rFonts w:ascii="Arial" w:hAnsi="Arial" w:cs="Arial"/>
                  <w:noProof/>
                  <w:sz w:val="32"/>
                  <w:szCs w:val="32"/>
                </w:rPr>
                <w:t xml:space="preserve"> / auth. Raiborn Cecily, Butler Janet B. and Zelazny Lucian. - Texas : University </w:t>
              </w:r>
              <w:r w:rsidR="002C6FB6">
                <w:rPr>
                  <w:rFonts w:ascii="Arial" w:hAnsi="Arial" w:cs="Arial"/>
                  <w:noProof/>
                  <w:sz w:val="32"/>
                  <w:szCs w:val="32"/>
                </w:rPr>
                <w:t>of Dayton eCommons, 2013.</w:t>
              </w:r>
            </w:p>
            <w:p w14:paraId="622475C7"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Step-by-step guide to Make or Buy Decision</w:t>
              </w:r>
              <w:r w:rsidRPr="00450BAF">
                <w:rPr>
                  <w:rFonts w:ascii="Arial" w:hAnsi="Arial" w:cs="Arial"/>
                  <w:noProof/>
                  <w:sz w:val="32"/>
                  <w:szCs w:val="32"/>
                </w:rPr>
                <w:t xml:space="preserve"> [Online] / auth. Luenendonk Martin. - 2019. - 04 05 2021. - https://www.cleverism.com/.</w:t>
              </w:r>
            </w:p>
            <w:p w14:paraId="2BC73F57"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The Extent of Appplication of Standard Costing: A Comparison of Chinese and Pakistani Manufacturing Forms</w:t>
              </w:r>
              <w:r w:rsidRPr="00450BAF">
                <w:rPr>
                  <w:rFonts w:ascii="Arial" w:hAnsi="Arial" w:cs="Arial"/>
                  <w:noProof/>
                  <w:sz w:val="32"/>
                  <w:szCs w:val="32"/>
                </w:rPr>
                <w:t xml:space="preserve"> [Journal] / auth. Khan Mula Nazar, Rizwan Muhammad and Islam Fahad // International Journal of Economics and Business Administratio</w:t>
              </w:r>
              <w:r w:rsidR="002C6FB6">
                <w:rPr>
                  <w:rFonts w:ascii="Arial" w:hAnsi="Arial" w:cs="Arial"/>
                  <w:noProof/>
                  <w:sz w:val="32"/>
                  <w:szCs w:val="32"/>
                </w:rPr>
                <w:t>n. - 2016. - 1 : Vol. 2. -</w:t>
              </w:r>
            </w:p>
            <w:p w14:paraId="15D5C39A"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The Impact of Relevant Costing for Decision-Making in Ready-Made Garments (RMGs) Industry of Bangladesh</w:t>
              </w:r>
              <w:r w:rsidRPr="00450BAF">
                <w:rPr>
                  <w:rFonts w:ascii="Arial" w:hAnsi="Arial" w:cs="Arial"/>
                  <w:noProof/>
                  <w:sz w:val="32"/>
                  <w:szCs w:val="32"/>
                </w:rPr>
                <w:t xml:space="preserve"> [Journal] / auth. Rahman Mohammad Mazibar and Islam Saiful // Journal of Busine</w:t>
              </w:r>
              <w:r w:rsidR="002C6FB6">
                <w:rPr>
                  <w:rFonts w:ascii="Arial" w:hAnsi="Arial" w:cs="Arial"/>
                  <w:noProof/>
                  <w:sz w:val="32"/>
                  <w:szCs w:val="32"/>
                </w:rPr>
                <w:t>ss and Management. - 2014</w:t>
              </w:r>
              <w:bookmarkStart w:id="15" w:name="_GoBack"/>
              <w:bookmarkEnd w:id="15"/>
            </w:p>
            <w:p w14:paraId="44BD9A00"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The Relevance of Variance Analysis in Managerial Cost Control</w:t>
              </w:r>
              <w:r w:rsidRPr="00450BAF">
                <w:rPr>
                  <w:rFonts w:ascii="Arial" w:hAnsi="Arial" w:cs="Arial"/>
                  <w:noProof/>
                  <w:sz w:val="32"/>
                  <w:szCs w:val="32"/>
                </w:rPr>
                <w:t xml:space="preserve"> [Journal] / auth. Dandago Kabiru I. and Adah Abuh // Journal of Finance and Investment Ana</w:t>
              </w:r>
              <w:r w:rsidR="002C6FB6">
                <w:rPr>
                  <w:rFonts w:ascii="Arial" w:hAnsi="Arial" w:cs="Arial"/>
                  <w:noProof/>
                  <w:sz w:val="32"/>
                  <w:szCs w:val="32"/>
                </w:rPr>
                <w:t>lysis. - 2013. - 1 : Vol. 2.</w:t>
              </w:r>
            </w:p>
            <w:p w14:paraId="38C9CE8A" w14:textId="77777777" w:rsidR="00450BAF" w:rsidRPr="00450BAF" w:rsidRDefault="00450BAF" w:rsidP="00450BAF">
              <w:pPr>
                <w:pStyle w:val="Bibliography"/>
                <w:jc w:val="both"/>
                <w:rPr>
                  <w:rFonts w:ascii="Arial" w:hAnsi="Arial" w:cs="Arial"/>
                  <w:noProof/>
                  <w:sz w:val="32"/>
                  <w:szCs w:val="32"/>
                </w:rPr>
              </w:pPr>
              <w:r w:rsidRPr="00450BAF">
                <w:rPr>
                  <w:rFonts w:ascii="Arial" w:hAnsi="Arial" w:cs="Arial"/>
                  <w:b/>
                  <w:bCs/>
                  <w:noProof/>
                  <w:sz w:val="32"/>
                  <w:szCs w:val="32"/>
                </w:rPr>
                <w:t>What are Planning and Operational Variances for Materials?</w:t>
              </w:r>
              <w:r w:rsidRPr="00450BAF">
                <w:rPr>
                  <w:rFonts w:ascii="Arial" w:hAnsi="Arial" w:cs="Arial"/>
                  <w:noProof/>
                  <w:sz w:val="32"/>
                  <w:szCs w:val="32"/>
                </w:rPr>
                <w:t xml:space="preserve"> [Online] / auth. Accounting Hub. - 2020. - 3 May 2021. - https://www.accountinghub-online.com/.</w:t>
              </w:r>
            </w:p>
            <w:p w14:paraId="3105441F" w14:textId="77777777" w:rsidR="00450BAF" w:rsidRPr="00450BAF" w:rsidRDefault="00450BAF" w:rsidP="00450BAF">
              <w:pPr>
                <w:jc w:val="both"/>
                <w:rPr>
                  <w:rFonts w:ascii="Arial" w:hAnsi="Arial" w:cs="Arial"/>
                  <w:b/>
                  <w:sz w:val="32"/>
                  <w:szCs w:val="32"/>
                </w:rPr>
              </w:pPr>
              <w:r w:rsidRPr="00450BAF">
                <w:rPr>
                  <w:rFonts w:ascii="Arial" w:hAnsi="Arial" w:cs="Arial"/>
                  <w:b/>
                  <w:bCs/>
                  <w:noProof/>
                  <w:sz w:val="32"/>
                  <w:szCs w:val="32"/>
                </w:rPr>
                <w:fldChar w:fldCharType="end"/>
              </w:r>
            </w:p>
          </w:sdtContent>
        </w:sdt>
      </w:sdtContent>
    </w:sdt>
    <w:p w14:paraId="321337BF" w14:textId="77777777" w:rsidR="00450BAF" w:rsidRPr="00450BAF" w:rsidRDefault="00450BAF" w:rsidP="00450BAF">
      <w:pPr>
        <w:jc w:val="both"/>
        <w:rPr>
          <w:rFonts w:ascii="Arial" w:hAnsi="Arial" w:cs="Arial"/>
          <w:sz w:val="32"/>
          <w:szCs w:val="32"/>
        </w:rPr>
      </w:pPr>
    </w:p>
    <w:sectPr w:rsidR="00450BAF" w:rsidRPr="00450BAF" w:rsidSect="0073183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32FAE0" w14:textId="77777777" w:rsidR="00F3050A" w:rsidRDefault="00F3050A" w:rsidP="00450BAF">
      <w:pPr>
        <w:spacing w:after="0" w:line="240" w:lineRule="auto"/>
      </w:pPr>
      <w:r>
        <w:separator/>
      </w:r>
    </w:p>
  </w:endnote>
  <w:endnote w:type="continuationSeparator" w:id="0">
    <w:p w14:paraId="279804C1" w14:textId="77777777" w:rsidR="00F3050A" w:rsidRDefault="00F3050A" w:rsidP="00450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4"/>
        <w:szCs w:val="24"/>
      </w:rPr>
      <w:id w:val="817610203"/>
      <w:docPartObj>
        <w:docPartGallery w:val="Page Numbers (Bottom of Page)"/>
        <w:docPartUnique/>
      </w:docPartObj>
    </w:sdtPr>
    <w:sdtEndPr>
      <w:rPr>
        <w:noProof/>
      </w:rPr>
    </w:sdtEndPr>
    <w:sdtContent>
      <w:p w14:paraId="4B1D03E8" w14:textId="77777777" w:rsidR="00343064" w:rsidRPr="00F87B98" w:rsidRDefault="00F3050A">
        <w:pPr>
          <w:pStyle w:val="Footer"/>
          <w:jc w:val="right"/>
          <w:rPr>
            <w:rFonts w:ascii="Arial" w:hAnsi="Arial" w:cs="Arial"/>
            <w:sz w:val="24"/>
            <w:szCs w:val="24"/>
          </w:rPr>
        </w:pPr>
        <w:r w:rsidRPr="00F87B98">
          <w:rPr>
            <w:rFonts w:ascii="Arial" w:hAnsi="Arial" w:cs="Arial"/>
            <w:sz w:val="24"/>
            <w:szCs w:val="24"/>
          </w:rPr>
          <w:fldChar w:fldCharType="begin"/>
        </w:r>
        <w:r w:rsidRPr="00F87B98">
          <w:rPr>
            <w:rFonts w:ascii="Arial" w:hAnsi="Arial" w:cs="Arial"/>
            <w:sz w:val="24"/>
            <w:szCs w:val="24"/>
          </w:rPr>
          <w:instrText xml:space="preserve"> PAGE   \* MERGEFORMAT </w:instrText>
        </w:r>
        <w:r w:rsidRPr="00F87B98">
          <w:rPr>
            <w:rFonts w:ascii="Arial" w:hAnsi="Arial" w:cs="Arial"/>
            <w:sz w:val="24"/>
            <w:szCs w:val="24"/>
          </w:rPr>
          <w:fldChar w:fldCharType="separate"/>
        </w:r>
        <w:r w:rsidR="002C6FB6">
          <w:rPr>
            <w:rFonts w:ascii="Arial" w:hAnsi="Arial" w:cs="Arial"/>
            <w:noProof/>
            <w:sz w:val="24"/>
            <w:szCs w:val="24"/>
          </w:rPr>
          <w:t>1</w:t>
        </w:r>
        <w:r w:rsidRPr="00F87B98">
          <w:rPr>
            <w:rFonts w:ascii="Arial" w:hAnsi="Arial" w:cs="Arial"/>
            <w:noProof/>
            <w:sz w:val="24"/>
            <w:szCs w:val="24"/>
          </w:rPr>
          <w:fldChar w:fldCharType="end"/>
        </w:r>
      </w:p>
    </w:sdtContent>
  </w:sdt>
  <w:p w14:paraId="332BB7F8" w14:textId="77777777" w:rsidR="00343064" w:rsidRDefault="00F3050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124852" w14:textId="77777777" w:rsidR="00F3050A" w:rsidRDefault="00F3050A" w:rsidP="00450BAF">
      <w:pPr>
        <w:spacing w:after="0" w:line="240" w:lineRule="auto"/>
      </w:pPr>
      <w:r>
        <w:separator/>
      </w:r>
    </w:p>
  </w:footnote>
  <w:footnote w:type="continuationSeparator" w:id="0">
    <w:p w14:paraId="7D615439" w14:textId="77777777" w:rsidR="00F3050A" w:rsidRDefault="00F3050A" w:rsidP="00450BA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5BB75" w14:textId="77777777" w:rsidR="00343064" w:rsidRDefault="00F305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BAF"/>
    <w:rsid w:val="00130637"/>
    <w:rsid w:val="002C6FB6"/>
    <w:rsid w:val="00450BAF"/>
    <w:rsid w:val="0073183D"/>
    <w:rsid w:val="00F3050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746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50BAF"/>
    <w:pPr>
      <w:spacing w:after="160" w:line="259" w:lineRule="auto"/>
    </w:pPr>
    <w:rPr>
      <w:sz w:val="22"/>
      <w:szCs w:val="22"/>
    </w:rPr>
  </w:style>
  <w:style w:type="paragraph" w:styleId="Heading1">
    <w:name w:val="heading 1"/>
    <w:basedOn w:val="Normal"/>
    <w:next w:val="Normal"/>
    <w:link w:val="Heading1Char"/>
    <w:uiPriority w:val="9"/>
    <w:qFormat/>
    <w:rsid w:val="00450BAF"/>
    <w:pPr>
      <w:keepNext/>
      <w:keepLines/>
      <w:spacing w:before="240" w:after="0"/>
      <w:outlineLvl w:val="0"/>
    </w:pPr>
    <w:rPr>
      <w:rFonts w:ascii="Arial" w:eastAsiaTheme="majorEastAsia" w:hAnsi="Arial" w:cstheme="majorBidi"/>
      <w:b/>
      <w:sz w:val="24"/>
      <w:szCs w:val="32"/>
    </w:rPr>
  </w:style>
  <w:style w:type="paragraph" w:styleId="Heading2">
    <w:name w:val="heading 2"/>
    <w:basedOn w:val="Normal"/>
    <w:next w:val="Normal"/>
    <w:link w:val="Heading2Char"/>
    <w:uiPriority w:val="9"/>
    <w:unhideWhenUsed/>
    <w:qFormat/>
    <w:rsid w:val="00450BAF"/>
    <w:pPr>
      <w:keepNext/>
      <w:keepLines/>
      <w:spacing w:before="40" w:after="0"/>
      <w:outlineLvl w:val="1"/>
    </w:pPr>
    <w:rPr>
      <w:rFonts w:ascii="Arial" w:eastAsiaTheme="majorEastAsia" w:hAnsi="Arial" w:cstheme="majorBidi"/>
      <w:b/>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BAF"/>
    <w:rPr>
      <w:rFonts w:ascii="Arial" w:eastAsiaTheme="majorEastAsia" w:hAnsi="Arial" w:cstheme="majorBidi"/>
      <w:b/>
      <w:szCs w:val="32"/>
    </w:rPr>
  </w:style>
  <w:style w:type="character" w:customStyle="1" w:styleId="Heading2Char">
    <w:name w:val="Heading 2 Char"/>
    <w:basedOn w:val="DefaultParagraphFont"/>
    <w:link w:val="Heading2"/>
    <w:uiPriority w:val="9"/>
    <w:rsid w:val="00450BAF"/>
    <w:rPr>
      <w:rFonts w:ascii="Arial" w:eastAsiaTheme="majorEastAsia" w:hAnsi="Arial" w:cstheme="majorBidi"/>
      <w:b/>
      <w:szCs w:val="26"/>
      <w:u w:val="single"/>
    </w:rPr>
  </w:style>
  <w:style w:type="paragraph" w:styleId="TOCHeading">
    <w:name w:val="TOC Heading"/>
    <w:basedOn w:val="Heading1"/>
    <w:next w:val="Normal"/>
    <w:uiPriority w:val="39"/>
    <w:unhideWhenUsed/>
    <w:qFormat/>
    <w:rsid w:val="00450BAF"/>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450BAF"/>
    <w:pPr>
      <w:spacing w:after="100"/>
    </w:pPr>
  </w:style>
  <w:style w:type="paragraph" w:styleId="TOC2">
    <w:name w:val="toc 2"/>
    <w:basedOn w:val="Normal"/>
    <w:next w:val="Normal"/>
    <w:autoRedefine/>
    <w:uiPriority w:val="39"/>
    <w:unhideWhenUsed/>
    <w:rsid w:val="00450BAF"/>
    <w:pPr>
      <w:spacing w:after="100"/>
      <w:ind w:left="220"/>
    </w:pPr>
  </w:style>
  <w:style w:type="character" w:styleId="Hyperlink">
    <w:name w:val="Hyperlink"/>
    <w:basedOn w:val="DefaultParagraphFont"/>
    <w:uiPriority w:val="99"/>
    <w:unhideWhenUsed/>
    <w:rsid w:val="00450BAF"/>
    <w:rPr>
      <w:color w:val="0563C1" w:themeColor="hyperlink"/>
      <w:u w:val="single"/>
    </w:rPr>
  </w:style>
  <w:style w:type="paragraph" w:styleId="Bibliography">
    <w:name w:val="Bibliography"/>
    <w:basedOn w:val="Normal"/>
    <w:next w:val="Normal"/>
    <w:uiPriority w:val="37"/>
    <w:unhideWhenUsed/>
    <w:rsid w:val="00450BAF"/>
  </w:style>
  <w:style w:type="paragraph" w:styleId="Header">
    <w:name w:val="header"/>
    <w:basedOn w:val="Normal"/>
    <w:link w:val="HeaderChar"/>
    <w:uiPriority w:val="99"/>
    <w:unhideWhenUsed/>
    <w:rsid w:val="00450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BAF"/>
    <w:rPr>
      <w:sz w:val="22"/>
      <w:szCs w:val="22"/>
    </w:rPr>
  </w:style>
  <w:style w:type="paragraph" w:styleId="Footer">
    <w:name w:val="footer"/>
    <w:basedOn w:val="Normal"/>
    <w:link w:val="FooterChar"/>
    <w:uiPriority w:val="99"/>
    <w:unhideWhenUsed/>
    <w:rsid w:val="00450B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BAF"/>
    <w:rPr>
      <w:sz w:val="22"/>
      <w:szCs w:val="22"/>
    </w:rPr>
  </w:style>
  <w:style w:type="paragraph" w:styleId="NormalWeb">
    <w:name w:val="Normal (Web)"/>
    <w:basedOn w:val="Normal"/>
    <w:uiPriority w:val="99"/>
    <w:semiHidden/>
    <w:unhideWhenUsed/>
    <w:rsid w:val="002C6FB6"/>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01909">
      <w:bodyDiv w:val="1"/>
      <w:marLeft w:val="0"/>
      <w:marRight w:val="0"/>
      <w:marTop w:val="0"/>
      <w:marBottom w:val="0"/>
      <w:divBdr>
        <w:top w:val="none" w:sz="0" w:space="0" w:color="auto"/>
        <w:left w:val="none" w:sz="0" w:space="0" w:color="auto"/>
        <w:bottom w:val="none" w:sz="0" w:space="0" w:color="auto"/>
        <w:right w:val="none" w:sz="0" w:space="0" w:color="auto"/>
      </w:divBdr>
      <w:divsChild>
        <w:div w:id="1594779919">
          <w:marLeft w:val="0"/>
          <w:marRight w:val="0"/>
          <w:marTop w:val="0"/>
          <w:marBottom w:val="0"/>
          <w:divBdr>
            <w:top w:val="none" w:sz="0" w:space="0" w:color="auto"/>
            <w:left w:val="none" w:sz="0" w:space="0" w:color="auto"/>
            <w:bottom w:val="none" w:sz="0" w:space="0" w:color="auto"/>
            <w:right w:val="none" w:sz="0" w:space="0" w:color="auto"/>
          </w:divBdr>
          <w:divsChild>
            <w:div w:id="318315624">
              <w:marLeft w:val="0"/>
              <w:marRight w:val="0"/>
              <w:marTop w:val="0"/>
              <w:marBottom w:val="0"/>
              <w:divBdr>
                <w:top w:val="none" w:sz="0" w:space="0" w:color="auto"/>
                <w:left w:val="none" w:sz="0" w:space="0" w:color="auto"/>
                <w:bottom w:val="none" w:sz="0" w:space="0" w:color="auto"/>
                <w:right w:val="none" w:sz="0" w:space="0" w:color="auto"/>
              </w:divBdr>
              <w:divsChild>
                <w:div w:id="1903785576">
                  <w:marLeft w:val="0"/>
                  <w:marRight w:val="0"/>
                  <w:marTop w:val="0"/>
                  <w:marBottom w:val="0"/>
                  <w:divBdr>
                    <w:top w:val="none" w:sz="0" w:space="0" w:color="auto"/>
                    <w:left w:val="none" w:sz="0" w:space="0" w:color="auto"/>
                    <w:bottom w:val="none" w:sz="0" w:space="0" w:color="auto"/>
                    <w:right w:val="none" w:sz="0" w:space="0" w:color="auto"/>
                  </w:divBdr>
                  <w:divsChild>
                    <w:div w:id="155354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37449">
      <w:bodyDiv w:val="1"/>
      <w:marLeft w:val="0"/>
      <w:marRight w:val="0"/>
      <w:marTop w:val="0"/>
      <w:marBottom w:val="0"/>
      <w:divBdr>
        <w:top w:val="none" w:sz="0" w:space="0" w:color="auto"/>
        <w:left w:val="none" w:sz="0" w:space="0" w:color="auto"/>
        <w:bottom w:val="none" w:sz="0" w:space="0" w:color="auto"/>
        <w:right w:val="none" w:sz="0" w:space="0" w:color="auto"/>
      </w:divBdr>
    </w:div>
    <w:div w:id="221714815">
      <w:bodyDiv w:val="1"/>
      <w:marLeft w:val="0"/>
      <w:marRight w:val="0"/>
      <w:marTop w:val="0"/>
      <w:marBottom w:val="0"/>
      <w:divBdr>
        <w:top w:val="none" w:sz="0" w:space="0" w:color="auto"/>
        <w:left w:val="none" w:sz="0" w:space="0" w:color="auto"/>
        <w:bottom w:val="none" w:sz="0" w:space="0" w:color="auto"/>
        <w:right w:val="none" w:sz="0" w:space="0" w:color="auto"/>
      </w:divBdr>
    </w:div>
    <w:div w:id="423305119">
      <w:bodyDiv w:val="1"/>
      <w:marLeft w:val="0"/>
      <w:marRight w:val="0"/>
      <w:marTop w:val="0"/>
      <w:marBottom w:val="0"/>
      <w:divBdr>
        <w:top w:val="none" w:sz="0" w:space="0" w:color="auto"/>
        <w:left w:val="none" w:sz="0" w:space="0" w:color="auto"/>
        <w:bottom w:val="none" w:sz="0" w:space="0" w:color="auto"/>
        <w:right w:val="none" w:sz="0" w:space="0" w:color="auto"/>
      </w:divBdr>
    </w:div>
    <w:div w:id="532575022">
      <w:bodyDiv w:val="1"/>
      <w:marLeft w:val="0"/>
      <w:marRight w:val="0"/>
      <w:marTop w:val="0"/>
      <w:marBottom w:val="0"/>
      <w:divBdr>
        <w:top w:val="none" w:sz="0" w:space="0" w:color="auto"/>
        <w:left w:val="none" w:sz="0" w:space="0" w:color="auto"/>
        <w:bottom w:val="none" w:sz="0" w:space="0" w:color="auto"/>
        <w:right w:val="none" w:sz="0" w:space="0" w:color="auto"/>
      </w:divBdr>
    </w:div>
    <w:div w:id="692265548">
      <w:bodyDiv w:val="1"/>
      <w:marLeft w:val="0"/>
      <w:marRight w:val="0"/>
      <w:marTop w:val="0"/>
      <w:marBottom w:val="0"/>
      <w:divBdr>
        <w:top w:val="none" w:sz="0" w:space="0" w:color="auto"/>
        <w:left w:val="none" w:sz="0" w:space="0" w:color="auto"/>
        <w:bottom w:val="none" w:sz="0" w:space="0" w:color="auto"/>
        <w:right w:val="none" w:sz="0" w:space="0" w:color="auto"/>
      </w:divBdr>
    </w:div>
    <w:div w:id="850921254">
      <w:bodyDiv w:val="1"/>
      <w:marLeft w:val="0"/>
      <w:marRight w:val="0"/>
      <w:marTop w:val="0"/>
      <w:marBottom w:val="0"/>
      <w:divBdr>
        <w:top w:val="none" w:sz="0" w:space="0" w:color="auto"/>
        <w:left w:val="none" w:sz="0" w:space="0" w:color="auto"/>
        <w:bottom w:val="none" w:sz="0" w:space="0" w:color="auto"/>
        <w:right w:val="none" w:sz="0" w:space="0" w:color="auto"/>
      </w:divBdr>
    </w:div>
    <w:div w:id="962688255">
      <w:bodyDiv w:val="1"/>
      <w:marLeft w:val="0"/>
      <w:marRight w:val="0"/>
      <w:marTop w:val="0"/>
      <w:marBottom w:val="0"/>
      <w:divBdr>
        <w:top w:val="none" w:sz="0" w:space="0" w:color="auto"/>
        <w:left w:val="none" w:sz="0" w:space="0" w:color="auto"/>
        <w:bottom w:val="none" w:sz="0" w:space="0" w:color="auto"/>
        <w:right w:val="none" w:sz="0" w:space="0" w:color="auto"/>
      </w:divBdr>
    </w:div>
    <w:div w:id="994723980">
      <w:bodyDiv w:val="1"/>
      <w:marLeft w:val="0"/>
      <w:marRight w:val="0"/>
      <w:marTop w:val="0"/>
      <w:marBottom w:val="0"/>
      <w:divBdr>
        <w:top w:val="none" w:sz="0" w:space="0" w:color="auto"/>
        <w:left w:val="none" w:sz="0" w:space="0" w:color="auto"/>
        <w:bottom w:val="none" w:sz="0" w:space="0" w:color="auto"/>
        <w:right w:val="none" w:sz="0" w:space="0" w:color="auto"/>
      </w:divBdr>
    </w:div>
    <w:div w:id="1139222076">
      <w:bodyDiv w:val="1"/>
      <w:marLeft w:val="0"/>
      <w:marRight w:val="0"/>
      <w:marTop w:val="0"/>
      <w:marBottom w:val="0"/>
      <w:divBdr>
        <w:top w:val="none" w:sz="0" w:space="0" w:color="auto"/>
        <w:left w:val="none" w:sz="0" w:space="0" w:color="auto"/>
        <w:bottom w:val="none" w:sz="0" w:space="0" w:color="auto"/>
        <w:right w:val="none" w:sz="0" w:space="0" w:color="auto"/>
      </w:divBdr>
    </w:div>
    <w:div w:id="1141194640">
      <w:bodyDiv w:val="1"/>
      <w:marLeft w:val="0"/>
      <w:marRight w:val="0"/>
      <w:marTop w:val="0"/>
      <w:marBottom w:val="0"/>
      <w:divBdr>
        <w:top w:val="none" w:sz="0" w:space="0" w:color="auto"/>
        <w:left w:val="none" w:sz="0" w:space="0" w:color="auto"/>
        <w:bottom w:val="none" w:sz="0" w:space="0" w:color="auto"/>
        <w:right w:val="none" w:sz="0" w:space="0" w:color="auto"/>
      </w:divBdr>
    </w:div>
    <w:div w:id="1173957622">
      <w:bodyDiv w:val="1"/>
      <w:marLeft w:val="0"/>
      <w:marRight w:val="0"/>
      <w:marTop w:val="0"/>
      <w:marBottom w:val="0"/>
      <w:divBdr>
        <w:top w:val="none" w:sz="0" w:space="0" w:color="auto"/>
        <w:left w:val="none" w:sz="0" w:space="0" w:color="auto"/>
        <w:bottom w:val="none" w:sz="0" w:space="0" w:color="auto"/>
        <w:right w:val="none" w:sz="0" w:space="0" w:color="auto"/>
      </w:divBdr>
    </w:div>
    <w:div w:id="1264873471">
      <w:bodyDiv w:val="1"/>
      <w:marLeft w:val="0"/>
      <w:marRight w:val="0"/>
      <w:marTop w:val="0"/>
      <w:marBottom w:val="0"/>
      <w:divBdr>
        <w:top w:val="none" w:sz="0" w:space="0" w:color="auto"/>
        <w:left w:val="none" w:sz="0" w:space="0" w:color="auto"/>
        <w:bottom w:val="none" w:sz="0" w:space="0" w:color="auto"/>
        <w:right w:val="none" w:sz="0" w:space="0" w:color="auto"/>
      </w:divBdr>
    </w:div>
    <w:div w:id="1596867179">
      <w:bodyDiv w:val="1"/>
      <w:marLeft w:val="0"/>
      <w:marRight w:val="0"/>
      <w:marTop w:val="0"/>
      <w:marBottom w:val="0"/>
      <w:divBdr>
        <w:top w:val="none" w:sz="0" w:space="0" w:color="auto"/>
        <w:left w:val="none" w:sz="0" w:space="0" w:color="auto"/>
        <w:bottom w:val="none" w:sz="0" w:space="0" w:color="auto"/>
        <w:right w:val="none" w:sz="0" w:space="0" w:color="auto"/>
      </w:divBdr>
    </w:div>
    <w:div w:id="1912689027">
      <w:bodyDiv w:val="1"/>
      <w:marLeft w:val="0"/>
      <w:marRight w:val="0"/>
      <w:marTop w:val="0"/>
      <w:marBottom w:val="0"/>
      <w:divBdr>
        <w:top w:val="none" w:sz="0" w:space="0" w:color="auto"/>
        <w:left w:val="none" w:sz="0" w:space="0" w:color="auto"/>
        <w:bottom w:val="none" w:sz="0" w:space="0" w:color="auto"/>
        <w:right w:val="none" w:sz="0" w:space="0" w:color="auto"/>
      </w:divBdr>
    </w:div>
    <w:div w:id="21408727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b:Source>
    <b:Tag>Mul16</b:Tag>
    <b:SourceType>JournalArticle</b:SourceType>
    <b:Guid>{FB07832C-7DF1-4195-84FD-CE2CE1A40907}</b:Guid>
    <b:Author>
      <b:Author>
        <b:NameList>
          <b:Person>
            <b:Last>Khan</b:Last>
            <b:First>Mula</b:First>
            <b:Middle>Nazar</b:Middle>
          </b:Person>
          <b:Person>
            <b:Last>Rizwan</b:Last>
            <b:First>Muhammad</b:First>
          </b:Person>
          <b:Person>
            <b:Last>Islam</b:Last>
            <b:First>Fahad</b:First>
          </b:Person>
        </b:NameList>
      </b:Author>
    </b:Author>
    <b:Title>The Extent of Appplication of Standard Costing: A Comparison of Chinese and Pakistani Manufacturing Forms</b:Title>
    <b:JournalName>International Journal of Economics and Business Administration</b:JournalName>
    <b:Year>2016</b:Year>
    <b:Pages>1-6</b:Pages>
    <b:Volume>2</b:Volume>
    <b:Issue>1</b:Issue>
    <b:RefOrder>1</b:RefOrder>
  </b:Source>
  <b:Source>
    <b:Tag>Rai13</b:Tag>
    <b:SourceType>Report</b:SourceType>
    <b:Guid>{82E19C67-A5FC-4FF3-A157-D408163B83B8}</b:Guid>
    <b:Author>
      <b:Author>
        <b:NameList>
          <b:Person>
            <b:Last>Raiborn</b:Last>
            <b:First>Cecily</b:First>
          </b:Person>
          <b:Person>
            <b:Last>Butler</b:Last>
            <b:First>Janet</b:First>
            <b:Middle>B.</b:Middle>
          </b:Person>
          <b:Person>
            <b:Last>Zelazny</b:Last>
            <b:First>Lucian</b:First>
          </b:Person>
        </b:NameList>
      </b:Author>
    </b:Author>
    <b:Title>Standard Costing Variances; Potential Red Flags of Fraud?</b:Title>
    <b:Year>2013</b:Year>
    <b:Pages>16-27</b:Pages>
    <b:Publisher>University of Dayton eCommons</b:Publisher>
    <b:City>Texas</b:City>
    <b:RefOrder>2</b:RefOrder>
  </b:Source>
  <b:Source>
    <b:Tag>Sri17</b:Tag>
    <b:SourceType>Book</b:SourceType>
    <b:Guid>{45462D05-F4A9-4229-8D66-5F1F023D519B}</b:Guid>
    <b:Title>Horngren's Cost Accounting: A Managerial Emphasis, Global Edition</b:Title>
    <b:Year>2017</b:Year>
    <b:Publisher>Pearson</b:Publisher>
    <b:Author>
      <b:Author>
        <b:NameList>
          <b:Person>
            <b:Last>Datar</b:Last>
            <b:First>Srikant</b:First>
            <b:Middle>M.</b:Middle>
          </b:Person>
          <b:Person>
            <b:Last>Rajan</b:Last>
            <b:First>Madhav</b:First>
            <b:Middle>V.</b:Middle>
          </b:Person>
        </b:NameList>
      </b:Author>
    </b:Author>
    <b:Edition>16th</b:Edition>
    <b:RefOrder>3</b:RefOrder>
  </b:Source>
  <b:Source>
    <b:Tag>Ant12</b:Tag>
    <b:SourceType>Book</b:SourceType>
    <b:Guid>{F7B7D08C-9FD1-4479-AEFD-EAD2CB1914C3}</b:Guid>
    <b:Author>
      <b:Author>
        <b:NameList>
          <b:Person>
            <b:Last>Atkinson</b:Last>
            <b:First>Anthony</b:First>
            <b:Middle>A.</b:Middle>
          </b:Person>
          <b:Person>
            <b:Last>Kaplan</b:Last>
            <b:First>Robert</b:First>
            <b:Middle>S.</b:Middle>
          </b:Person>
          <b:Person>
            <b:Last>Matsumura</b:Last>
            <b:First>Ella</b:First>
            <b:Middle>Mae</b:Middle>
          </b:Person>
          <b:Person>
            <b:Last>Young</b:Last>
            <b:First>S.</b:First>
            <b:Middle>Mark</b:Middle>
          </b:Person>
        </b:NameList>
      </b:Author>
    </b:Author>
    <b:Title>Management Accounting: Information for Decision Making and Strategy Execution</b:Title>
    <b:Year>2012</b:Year>
    <b:City>Boston</b:City>
    <b:Publisher>Pearson</b:Publisher>
    <b:Edition>6th</b:Edition>
    <b:RefOrder>4</b:RefOrder>
  </b:Source>
  <b:Source>
    <b:Tag>Jud13</b:Tag>
    <b:SourceType>JournalArticle</b:SourceType>
    <b:Guid>{C0196367-3B5C-4AE6-9DEF-BE1C1BBE8BC7}</b:Guid>
    <b:Title>Application of Variance Analysis for Performance Evaluation: A Cost/Benefit Approach</b:Title>
    <b:Year>2013</b:Year>
    <b:Author>
      <b:Author>
        <b:NameList>
          <b:Person>
            <b:Last>Aruomoaghe</b:Last>
            <b:First>Jude</b:First>
          </b:Person>
          <b:Person>
            <b:Last>Agbo</b:Last>
            <b:First>Sunny</b:First>
          </b:Person>
        </b:NameList>
      </b:Author>
    </b:Author>
    <b:JournalName>Research Journal of Finance and Accounting</b:JournalName>
    <b:Pages>111-114</b:Pages>
    <b:Volume>4</b:Volume>
    <b:Issue>13</b:Issue>
    <b:RefOrder>5</b:RefOrder>
  </b:Source>
  <b:Source>
    <b:Tag>Kab13</b:Tag>
    <b:SourceType>JournalArticle</b:SourceType>
    <b:Guid>{BFEAD297-36AE-439A-9B55-3E27278A67E6}</b:Guid>
    <b:Title>The Relevance of Variance Analysis in Managerial Cost Control</b:Title>
    <b:Year>2013</b:Year>
    <b:Author>
      <b:Author>
        <b:NameList>
          <b:Person>
            <b:Last>Dandago</b:Last>
            <b:First>Kabiru</b:First>
            <b:Middle>I.</b:Middle>
          </b:Person>
          <b:Person>
            <b:Last>Adah</b:Last>
            <b:First>Abuh</b:First>
          </b:Person>
        </b:NameList>
      </b:Author>
    </b:Author>
    <b:JournalName>Journal of Finance and Investment Analysis</b:JournalName>
    <b:Pages>1-5</b:Pages>
    <b:Volume>2</b:Volume>
    <b:Issue>1</b:Issue>
    <b:RefOrder>6</b:RefOrder>
  </b:Source>
  <b:Source>
    <b:Tag>Acc20</b:Tag>
    <b:SourceType>InternetSite</b:SourceType>
    <b:Guid>{178B5C3B-E949-4BEC-AD1B-9100CB9D76B7}</b:Guid>
    <b:Title>What are Planning and Operational Variances for Materials?</b:Title>
    <b:Year>2020</b:Year>
    <b:Author>
      <b:Author>
        <b:Corporate>Accounting Hub</b:Corporate>
      </b:Author>
    </b:Author>
    <b:YearAccessed>2021</b:YearAccessed>
    <b:MonthAccessed>May</b:MonthAccessed>
    <b:DayAccessed>3</b:DayAccessed>
    <b:URL>https://www.accountinghub-online.com/</b:URL>
    <b:RefOrder>7</b:RefOrder>
  </b:Source>
  <b:Source>
    <b:Tag>SRh19</b:Tag>
    <b:SourceType>Book</b:SourceType>
    <b:Guid>{5BB710D8-4D49-4246-85EC-FA5E44B71D3A}</b:Guid>
    <b:Title>Management Accounting</b:Title>
    <b:Year>2019</b:Year>
    <b:Author>
      <b:Author>
        <b:NameList>
          <b:Person>
            <b:Last>Rhode</b:Last>
            <b:First>S.</b:First>
          </b:Person>
          <b:Person>
            <b:Last>Garrison</b:Last>
            <b:First>N.</b:First>
          </b:Person>
        </b:NameList>
      </b:Author>
    </b:Author>
    <b:City>London</b:City>
    <b:Publisher>McGraw Hill</b:Publisher>
    <b:Edition>6th</b:Edition>
    <b:RefOrder>8</b:RefOrder>
  </b:Source>
  <b:Source>
    <b:Tag>Moh12</b:Tag>
    <b:SourceType>JournalArticle</b:SourceType>
    <b:Guid>{634080F3-0D8B-49BA-AF39-AFEA0859E81A}</b:Guid>
    <b:Title>Make or Buy Strategy Decision Making in Supply Quality Chain</b:Title>
    <b:Year>2012</b:Year>
    <b:Author>
      <b:Author>
        <b:NameList>
          <b:Person>
            <b:Last>Seyedhosseini</b:Last>
            <b:First>Mohammad</b:First>
          </b:Person>
          <b:Person>
            <b:Last>Mohammadipour</b:Last>
            <b:First>Faezeh</b:First>
          </b:Person>
          <b:Person>
            <b:Last>Ashtiani</b:Last>
            <b:First>Milad</b:First>
            <b:Middle>Gorji</b:Middle>
          </b:Person>
        </b:NameList>
      </b:Author>
    </b:Author>
    <b:JournalName>International Journal of Industrial Engineering Computations</b:JournalName>
    <b:Pages>413-422</b:Pages>
    <b:Volume>3</b:Volume>
    <b:Issue>1</b:Issue>
    <b:RefOrder>9</b:RefOrder>
  </b:Source>
  <b:Source>
    <b:Tag>Det11</b:Tag>
    <b:SourceType>Report</b:SourceType>
    <b:Guid>{307F9B4C-9180-47BB-B608-EAD4A0260B86}</b:Guid>
    <b:Title>Make or buy: Three pillars of sound decision making</b:Title>
    <b:Year>2011</b:Year>
    <b:Author>
      <b:Author>
        <b:NameList>
          <b:Person>
            <b:Last>Schwarting</b:Last>
            <b:First>Detlef</b:First>
          </b:Person>
          <b:Person>
            <b:Last>Weissbarth</b:Last>
            <b:First>Robert</b:First>
          </b:Person>
        </b:NameList>
      </b:Author>
    </b:Author>
    <b:Publisher>Booz &amp; Company</b:Publisher>
    <b:City>Dusseldorf</b:City>
    <b:RefOrder>10</b:RefOrder>
  </b:Source>
  <b:Source>
    <b:Tag>Mih10</b:Tag>
    <b:SourceType>JournalArticle</b:SourceType>
    <b:Guid>{69174C4F-4DBF-4B59-AA3B-05DF7469C795}</b:Guid>
    <b:Title>Relevant Costs for Decision in an Effective Controlling System</b:Title>
    <b:Year>2010</b:Year>
    <b:Author>
      <b:Author>
        <b:NameList>
          <b:Person>
            <b:Last>Tulvinschi</b:Last>
            <b:First>Mihaela</b:First>
          </b:Person>
        </b:NameList>
      </b:Author>
    </b:Author>
    <b:JournalName>Theoretical and Applied Economics</b:JournalName>
    <b:Pages>49-58</b:Pages>
    <b:Volume>17</b:Volume>
    <b:Issue>5</b:Issue>
    <b:RefOrder>11</b:RefOrder>
  </b:Source>
  <b:Source>
    <b:Tag>Moh14</b:Tag>
    <b:SourceType>JournalArticle</b:SourceType>
    <b:Guid>{B8C0BA3F-452E-4D1D-97E2-89459AB5E058}</b:Guid>
    <b:Author>
      <b:Author>
        <b:NameList>
          <b:Person>
            <b:Last>Rahman</b:Last>
            <b:First>Mohammad</b:First>
            <b:Middle>Mazibar</b:Middle>
          </b:Person>
          <b:Person>
            <b:Last>Islam</b:Last>
            <b:First>Saiful</b:First>
          </b:Person>
        </b:NameList>
      </b:Author>
    </b:Author>
    <b:Title>The Impact of Relevant Costing for Decision-Making in Ready-Made Garments (RMGs) Industry of Bangladesh</b:Title>
    <b:JournalName>Journal of Business and Management</b:JournalName>
    <b:Year>2014</b:Year>
    <b:Pages>1-7</b:Pages>
    <b:Volume>16</b:Volume>
    <b:Issue>3</b:Issue>
    <b:RefOrder>12</b:RefOrder>
  </b:Source>
  <b:Source>
    <b:Tag>Mar19</b:Tag>
    <b:SourceType>InternetSite</b:SourceType>
    <b:Guid>{95F08F38-559A-4C81-9B2E-924FCFE88651}</b:Guid>
    <b:Title>Step-by-step guide to Make or Buy Decision</b:Title>
    <b:Year>2019</b:Year>
    <b:Author>
      <b:Author>
        <b:NameList>
          <b:Person>
            <b:Last>Luenendonk</b:Last>
            <b:First>Martin</b:First>
          </b:Person>
        </b:NameList>
      </b:Author>
    </b:Author>
    <b:YearAccessed>2021</b:YearAccessed>
    <b:MonthAccessed>05</b:MonthAccessed>
    <b:DayAccessed>04</b:DayAccessed>
    <b:URL>https://www.cleverism.com/</b:URL>
    <b:RefOrder>13</b:RefOrder>
  </b:Source>
</b:Sources>
</file>

<file path=customXml/itemProps1.xml><?xml version="1.0" encoding="utf-8"?>
<ds:datastoreItem xmlns:ds="http://schemas.openxmlformats.org/officeDocument/2006/customXml" ds:itemID="{DA5DAB71-03C4-044F-AC2F-D5FC9C2AF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3498</Words>
  <Characters>19942</Characters>
  <Application>Microsoft Macintosh Word</Application>
  <DocSecurity>0</DocSecurity>
  <Lines>166</Lines>
  <Paragraphs>46</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INTRODUCTION</vt:lpstr>
      <vt:lpstr>PART A</vt:lpstr>
      <vt:lpstr>    Sales Price Variance</vt:lpstr>
      <vt:lpstr>    Sales Volume Contribution Variance</vt:lpstr>
      <vt:lpstr>    Material Price Planning Variance</vt:lpstr>
      <vt:lpstr>    Material Price Operational Variance</vt:lpstr>
      <vt:lpstr>    Merits of Using Variances in Assessing Manager’s Performance</vt:lpstr>
      <vt:lpstr>    Demerits of Using Variances in Assessing Manager’s Performance</vt:lpstr>
      <vt:lpstr>PART B</vt:lpstr>
      <vt:lpstr>    Overview of a Make or Buy Decision</vt:lpstr>
      <vt:lpstr>    Quantitative Analysis</vt:lpstr>
      <vt:lpstr>    Qualitative Analysis</vt:lpstr>
      <vt:lpstr>    Final Decision</vt:lpstr>
      <vt:lpstr>CONCLUSION</vt:lpstr>
      <vt:lpstr>References</vt:lpstr>
    </vt:vector>
  </TitlesOfParts>
  <LinksUpToDate>false</LinksUpToDate>
  <CharactersWithSpaces>23394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2021-05-04T23:19:00Z</dcterms:created>
  <dcterms:modified xsi:type="dcterms:W3CDTF">2021-05-04T23:29:00Z</dcterms:modified>
</cp:coreProperties>
</file>