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87A1CA" wp14:paraId="702273AD" wp14:textId="1FC0BAD2">
      <w:pPr>
        <w:pStyle w:val="Normal"/>
        <w:jc w:val="center"/>
      </w:pPr>
      <w:r w:rsidR="6EF0289F">
        <w:drawing>
          <wp:inline xmlns:wp14="http://schemas.microsoft.com/office/word/2010/wordprocessingDrawing" wp14:editId="24173AE7" wp14:anchorId="7778383D">
            <wp:extent cx="1905000" cy="1905000"/>
            <wp:effectExtent l="0" t="0" r="0" b="0"/>
            <wp:docPr id="2528000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800033" name="Picture 252800033"/>
                    <pic:cNvPicPr/>
                  </pic:nvPicPr>
                  <pic:blipFill>
                    <a:blip xmlns:r="http://schemas.openxmlformats.org/officeDocument/2006/relationships" r:embed="rId233735422">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xmlns:wp14="http://schemas.microsoft.com/office/word/2010/wordml" wp14:paraId="41826C70" wp14:textId="3522B277"/>
    <w:p xmlns:wp14="http://schemas.microsoft.com/office/word/2010/wordml" w:rsidP="6C87A1CA" wp14:paraId="32172A7B" wp14:textId="5A029507">
      <w:pPr>
        <w:pStyle w:val="Normal"/>
      </w:pPr>
    </w:p>
    <w:p xmlns:wp14="http://schemas.microsoft.com/office/word/2010/wordml" w:rsidP="6C87A1CA" wp14:paraId="6FB6310F" wp14:textId="1BDC7BAD">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3BCD6DAD">
        <w:rPr>
          <w:rFonts w:ascii="Arial" w:hAnsi="Arial" w:eastAsia="Arial" w:cs="Arial" w:asciiTheme="minorAscii" w:hAnsiTheme="minorAscii" w:eastAsiaTheme="minorAscii" w:cstheme="minorAscii"/>
          <w:sz w:val="22"/>
          <w:szCs w:val="22"/>
        </w:rPr>
        <w:t>Unive</w:t>
      </w:r>
      <w:r w:rsidRPr="6C87A1CA" w:rsidR="5CA10F30">
        <w:rPr>
          <w:rFonts w:ascii="Arial" w:hAnsi="Arial" w:eastAsia="Arial" w:cs="Arial" w:asciiTheme="minorAscii" w:hAnsiTheme="minorAscii" w:eastAsiaTheme="minorAscii" w:cstheme="minorAscii"/>
          <w:sz w:val="22"/>
          <w:szCs w:val="22"/>
        </w:rPr>
        <w:t>r</w:t>
      </w:r>
      <w:r w:rsidRPr="6C87A1CA" w:rsidR="3BCD6DAD">
        <w:rPr>
          <w:rFonts w:ascii="Arial" w:hAnsi="Arial" w:eastAsia="Arial" w:cs="Arial" w:asciiTheme="minorAscii" w:hAnsiTheme="minorAscii" w:eastAsiaTheme="minorAscii" w:cstheme="minorAscii"/>
          <w:sz w:val="22"/>
          <w:szCs w:val="22"/>
        </w:rPr>
        <w:t>sity of Wales Saint David Bir</w:t>
      </w:r>
      <w:r w:rsidRPr="6C87A1CA" w:rsidR="283C0B7B">
        <w:rPr>
          <w:rFonts w:ascii="Arial" w:hAnsi="Arial" w:eastAsia="Arial" w:cs="Arial" w:asciiTheme="minorAscii" w:hAnsiTheme="minorAscii" w:eastAsiaTheme="minorAscii" w:cstheme="minorAscii"/>
          <w:sz w:val="22"/>
          <w:szCs w:val="22"/>
        </w:rPr>
        <w:t>mingham</w:t>
      </w:r>
    </w:p>
    <w:p xmlns:wp14="http://schemas.microsoft.com/office/word/2010/wordml" w:rsidP="6C87A1CA" wp14:paraId="1534C5E6" wp14:textId="6B52BDF0">
      <w:pPr>
        <w:keepNext w:val="0"/>
        <w:keepLines w:val="0"/>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6C87A1CA" wp14:paraId="33C37B4A" wp14:textId="4319A171">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283C0B7B">
        <w:rPr>
          <w:rFonts w:ascii="Arial" w:hAnsi="Arial" w:eastAsia="Arial" w:cs="Arial" w:asciiTheme="minorAscii" w:hAnsiTheme="minorAscii" w:eastAsiaTheme="minorAscii" w:cstheme="minorAscii"/>
          <w:sz w:val="22"/>
          <w:szCs w:val="22"/>
        </w:rPr>
        <w:t>Module: Introduction to Health and Social C</w:t>
      </w:r>
      <w:r w:rsidRPr="6C87A1CA" w:rsidR="0E559561">
        <w:rPr>
          <w:rFonts w:ascii="Arial" w:hAnsi="Arial" w:eastAsia="Arial" w:cs="Arial" w:asciiTheme="minorAscii" w:hAnsiTheme="minorAscii" w:eastAsiaTheme="minorAscii" w:cstheme="minorAscii"/>
          <w:sz w:val="22"/>
          <w:szCs w:val="22"/>
        </w:rPr>
        <w:t>are</w:t>
      </w:r>
    </w:p>
    <w:p xmlns:wp14="http://schemas.microsoft.com/office/word/2010/wordml" w:rsidP="6C87A1CA" wp14:paraId="170FA811" wp14:textId="26B76E40">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0E559561">
        <w:rPr>
          <w:rFonts w:ascii="Arial" w:hAnsi="Arial" w:eastAsia="Arial" w:cs="Arial" w:asciiTheme="minorAscii" w:hAnsiTheme="minorAscii" w:eastAsiaTheme="minorAscii" w:cstheme="minorAscii"/>
          <w:sz w:val="22"/>
          <w:szCs w:val="22"/>
        </w:rPr>
        <w:t>Module Code: LCHS4003</w:t>
      </w:r>
    </w:p>
    <w:p xmlns:wp14="http://schemas.microsoft.com/office/word/2010/wordml" w:rsidP="6C87A1CA" wp14:paraId="0410CC1F" wp14:textId="1DBB5D43">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 xml:space="preserve">Task 2 (Written assignment) on </w:t>
      </w:r>
    </w:p>
    <w:p xmlns:wp14="http://schemas.microsoft.com/office/word/2010/wordml" w:rsidP="6C87A1CA" wp14:paraId="3F9F380D" wp14:textId="5CF28E82">
      <w:pPr>
        <w:keepNext w:val="0"/>
        <w:keepLines w:val="0"/>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6C87A1CA" wp14:paraId="1B2991BA" wp14:textId="6BB0E24C">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Case Study: Mr Ahmed</w:t>
      </w:r>
    </w:p>
    <w:p xmlns:wp14="http://schemas.microsoft.com/office/word/2010/wordml" w:rsidP="6C87A1CA" wp14:paraId="57D92E76" wp14:textId="7DF52921">
      <w:pPr>
        <w:keepNext w:val="0"/>
        <w:keepLines w:val="0"/>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6C87A1CA" wp14:paraId="6608F2A2" wp14:textId="192BE3E9">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Submitted by:</w:t>
      </w:r>
    </w:p>
    <w:p xmlns:wp14="http://schemas.microsoft.com/office/word/2010/wordml" w:rsidP="6C87A1CA" wp14:paraId="7B37F8AA" wp14:textId="7EBDCB88">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2A970E8E">
        <w:rPr>
          <w:rFonts w:ascii="Arial" w:hAnsi="Arial" w:eastAsia="Arial" w:cs="Arial" w:asciiTheme="minorAscii" w:hAnsiTheme="minorAscii" w:eastAsiaTheme="minorAscii" w:cstheme="minorAscii"/>
          <w:sz w:val="22"/>
          <w:szCs w:val="22"/>
        </w:rPr>
        <w:t>Name of student: Janice Gordon</w:t>
      </w:r>
    </w:p>
    <w:p xmlns:wp14="http://schemas.microsoft.com/office/word/2010/wordml" w:rsidP="6C87A1CA" wp14:paraId="00652EA8" wp14:textId="2BD4F0AD">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Student ID:</w:t>
      </w:r>
      <w:r w:rsidRPr="6C87A1CA" w:rsidR="11BB0945">
        <w:rPr>
          <w:rFonts w:ascii="Arial" w:hAnsi="Arial" w:eastAsia="Arial" w:cs="Arial" w:asciiTheme="minorAscii" w:hAnsiTheme="minorAscii" w:eastAsiaTheme="minorAscii" w:cstheme="minorAscii"/>
          <w:sz w:val="22"/>
          <w:szCs w:val="22"/>
        </w:rPr>
        <w:t xml:space="preserve"> 2508269</w:t>
      </w:r>
    </w:p>
    <w:p xmlns:wp14="http://schemas.microsoft.com/office/word/2010/wordml" w:rsidP="6C87A1CA" wp14:paraId="30ACBC6A" wp14:textId="306DDBEA">
      <w:pPr>
        <w:keepNext w:val="0"/>
        <w:keepLines w:val="0"/>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6C87A1CA" wp14:paraId="6BE8D914" wp14:textId="5126D455">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Submitted to</w:t>
      </w:r>
    </w:p>
    <w:p xmlns:wp14="http://schemas.microsoft.com/office/word/2010/wordml" w:rsidP="6C87A1CA" wp14:paraId="1BD08FE8" wp14:textId="7F042BE6">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56CCB825">
        <w:rPr>
          <w:rFonts w:ascii="Arial" w:hAnsi="Arial" w:eastAsia="Arial" w:cs="Arial" w:asciiTheme="minorAscii" w:hAnsiTheme="minorAscii" w:eastAsiaTheme="minorAscii" w:cstheme="minorAscii"/>
          <w:sz w:val="22"/>
          <w:szCs w:val="22"/>
        </w:rPr>
        <w:t>Name of lecture:</w:t>
      </w:r>
      <w:r w:rsidRPr="6C87A1CA" w:rsidR="6304ED38">
        <w:rPr>
          <w:rFonts w:ascii="Arial" w:hAnsi="Arial" w:eastAsia="Arial" w:cs="Arial" w:asciiTheme="minorAscii" w:hAnsiTheme="minorAscii" w:eastAsiaTheme="minorAscii" w:cstheme="minorAscii"/>
          <w:sz w:val="22"/>
          <w:szCs w:val="22"/>
        </w:rPr>
        <w:t xml:space="preserve"> </w:t>
      </w:r>
      <w:r w:rsidRPr="6C87A1CA" w:rsidR="1B093BD3">
        <w:rPr>
          <w:rFonts w:ascii="Arial" w:hAnsi="Arial" w:eastAsia="Arial" w:cs="Arial" w:asciiTheme="minorAscii" w:hAnsiTheme="minorAscii" w:eastAsiaTheme="minorAscii" w:cstheme="minorAscii"/>
          <w:sz w:val="22"/>
          <w:szCs w:val="22"/>
        </w:rPr>
        <w:t>Ayazullah</w:t>
      </w:r>
      <w:r w:rsidRPr="6C87A1CA" w:rsidR="500E649D">
        <w:rPr>
          <w:rFonts w:ascii="Arial" w:hAnsi="Arial" w:eastAsia="Arial" w:cs="Arial" w:asciiTheme="minorAscii" w:hAnsiTheme="minorAscii" w:eastAsiaTheme="minorAscii" w:cstheme="minorAscii"/>
          <w:sz w:val="22"/>
          <w:szCs w:val="22"/>
        </w:rPr>
        <w:t xml:space="preserve"> Safi</w:t>
      </w:r>
    </w:p>
    <w:p xmlns:wp14="http://schemas.microsoft.com/office/word/2010/wordml" w:rsidP="6C87A1CA" wp14:paraId="77FF336A" wp14:textId="2EAF7745">
      <w:pPr>
        <w:keepNext w:val="0"/>
        <w:keepLines w:val="0"/>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6C87A1CA" wp14:paraId="756076C1" wp14:textId="04F2CCC8">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11767730">
        <w:rPr>
          <w:rFonts w:ascii="Arial" w:hAnsi="Arial" w:eastAsia="Arial" w:cs="Arial" w:asciiTheme="minorAscii" w:hAnsiTheme="minorAscii" w:eastAsiaTheme="minorAscii" w:cstheme="minorAscii"/>
          <w:sz w:val="22"/>
          <w:szCs w:val="22"/>
        </w:rPr>
        <w:t>Submission on</w:t>
      </w:r>
    </w:p>
    <w:p xmlns:wp14="http://schemas.microsoft.com/office/word/2010/wordml" w:rsidP="6C87A1CA" wp14:paraId="4E8709EC" wp14:textId="698B2337">
      <w:pPr>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11767730">
        <w:rPr>
          <w:rFonts w:ascii="Arial" w:hAnsi="Arial" w:eastAsia="Arial" w:cs="Arial" w:asciiTheme="minorAscii" w:hAnsiTheme="minorAscii" w:eastAsiaTheme="minorAscii" w:cstheme="minorAscii"/>
          <w:sz w:val="22"/>
          <w:szCs w:val="22"/>
        </w:rPr>
        <w:t>Date:</w:t>
      </w:r>
      <w:r w:rsidRPr="6C87A1CA" w:rsidR="29C35027">
        <w:rPr>
          <w:rFonts w:ascii="Arial" w:hAnsi="Arial" w:eastAsia="Arial" w:cs="Arial" w:asciiTheme="minorAscii" w:hAnsiTheme="minorAscii" w:eastAsiaTheme="minorAscii" w:cstheme="minorAscii"/>
          <w:sz w:val="22"/>
          <w:szCs w:val="22"/>
        </w:rPr>
        <w:t xml:space="preserve"> 22 March 2026</w:t>
      </w:r>
    </w:p>
    <w:p xmlns:wp14="http://schemas.microsoft.com/office/word/2010/wordml" w:rsidP="6C87A1CA" wp14:paraId="088B4CFB" wp14:textId="329F40C2">
      <w:pPr>
        <w:pStyle w:val="Normal"/>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11F6E699" wp14:textId="04E6E648">
      <w:pPr>
        <w:pStyle w:val="Normal"/>
        <w:keepNext w:val="0"/>
        <w:keepLines w:val="0"/>
        <w:spacing w:line="360" w:lineRule="auto"/>
        <w:jc w:val="center"/>
        <w:rPr>
          <w:rFonts w:ascii="Arial" w:hAnsi="Arial" w:eastAsia="Arial" w:cs="Arial" w:asciiTheme="minorAscii" w:hAnsiTheme="minorAscii" w:eastAsiaTheme="minorAscii" w:cstheme="minorAscii"/>
          <w:sz w:val="22"/>
          <w:szCs w:val="22"/>
        </w:rPr>
      </w:pPr>
      <w:r w:rsidRPr="6C87A1CA" w:rsidR="4CBA555B">
        <w:rPr>
          <w:rFonts w:ascii="Arial" w:hAnsi="Arial" w:eastAsia="Arial" w:cs="Arial" w:asciiTheme="minorAscii" w:hAnsiTheme="minorAscii" w:eastAsiaTheme="minorAscii" w:cstheme="minorAscii"/>
          <w:sz w:val="22"/>
          <w:szCs w:val="22"/>
        </w:rPr>
        <w:t>Table of Contents</w:t>
      </w:r>
    </w:p>
    <w:p xmlns:wp14="http://schemas.microsoft.com/office/word/2010/wordml" w:rsidP="6C87A1CA" wp14:paraId="7D0D96DC" wp14:textId="67347496">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2C123431" wp14:textId="613CD75E">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4CBA555B">
        <w:rPr>
          <w:rFonts w:ascii="Arial" w:hAnsi="Arial" w:eastAsia="Arial" w:cs="Arial" w:asciiTheme="minorAscii" w:hAnsiTheme="minorAscii" w:eastAsiaTheme="minorAscii" w:cstheme="minorAscii"/>
          <w:sz w:val="22"/>
          <w:szCs w:val="22"/>
        </w:rPr>
        <w:t>Introduction........................................................................................</w:t>
      </w:r>
      <w:r w:rsidRPr="6C87A1CA" w:rsidR="1147E97E">
        <w:rPr>
          <w:rFonts w:ascii="Arial" w:hAnsi="Arial" w:eastAsia="Arial" w:cs="Arial" w:asciiTheme="minorAscii" w:hAnsiTheme="minorAscii" w:eastAsiaTheme="minorAscii" w:cstheme="minorAscii"/>
          <w:sz w:val="22"/>
          <w:szCs w:val="22"/>
        </w:rPr>
        <w:t>..</w:t>
      </w:r>
      <w:r w:rsidRPr="6C87A1CA" w:rsidR="7BD194A7">
        <w:rPr>
          <w:rFonts w:ascii="Arial" w:hAnsi="Arial" w:eastAsia="Arial" w:cs="Arial" w:asciiTheme="minorAscii" w:hAnsiTheme="minorAscii" w:eastAsiaTheme="minorAscii" w:cstheme="minorAscii"/>
          <w:sz w:val="22"/>
          <w:szCs w:val="22"/>
        </w:rPr>
        <w:t>3</w:t>
      </w:r>
    </w:p>
    <w:p xmlns:wp14="http://schemas.microsoft.com/office/word/2010/wordml" w:rsidP="6C87A1CA" wp14:paraId="1C4648AA" wp14:textId="472E7AD7">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4CBA555B">
        <w:rPr>
          <w:rFonts w:ascii="Arial" w:hAnsi="Arial" w:eastAsia="Arial" w:cs="Arial" w:asciiTheme="minorAscii" w:hAnsiTheme="minorAscii" w:eastAsiaTheme="minorAscii" w:cstheme="minorAscii"/>
          <w:sz w:val="22"/>
          <w:szCs w:val="22"/>
        </w:rPr>
        <w:t>Communication section.....................................................................</w:t>
      </w:r>
      <w:r w:rsidRPr="6C87A1CA" w:rsidR="43F461EC">
        <w:rPr>
          <w:rFonts w:ascii="Arial" w:hAnsi="Arial" w:eastAsia="Arial" w:cs="Arial" w:asciiTheme="minorAscii" w:hAnsiTheme="minorAscii" w:eastAsiaTheme="minorAscii" w:cstheme="minorAscii"/>
          <w:sz w:val="22"/>
          <w:szCs w:val="22"/>
        </w:rPr>
        <w:t>..</w:t>
      </w:r>
      <w:r w:rsidRPr="6C87A1CA" w:rsidR="0422FD1A">
        <w:rPr>
          <w:rFonts w:ascii="Arial" w:hAnsi="Arial" w:eastAsia="Arial" w:cs="Arial" w:asciiTheme="minorAscii" w:hAnsiTheme="minorAscii" w:eastAsiaTheme="minorAscii" w:cstheme="minorAscii"/>
          <w:sz w:val="22"/>
          <w:szCs w:val="22"/>
        </w:rPr>
        <w:t>.</w:t>
      </w:r>
      <w:r w:rsidRPr="6C87A1CA" w:rsidR="23E7C86D">
        <w:rPr>
          <w:rFonts w:ascii="Arial" w:hAnsi="Arial" w:eastAsia="Arial" w:cs="Arial" w:asciiTheme="minorAscii" w:hAnsiTheme="minorAscii" w:eastAsiaTheme="minorAscii" w:cstheme="minorAscii"/>
          <w:sz w:val="22"/>
          <w:szCs w:val="22"/>
        </w:rPr>
        <w:t>3 &amp; 4</w:t>
      </w:r>
    </w:p>
    <w:p xmlns:wp14="http://schemas.microsoft.com/office/word/2010/wordml" w:rsidP="6C87A1CA" wp14:paraId="270B5542" wp14:textId="0BB94B19">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4CBA555B">
        <w:rPr>
          <w:rFonts w:ascii="Arial" w:hAnsi="Arial" w:eastAsia="Arial" w:cs="Arial" w:asciiTheme="minorAscii" w:hAnsiTheme="minorAscii" w:eastAsiaTheme="minorAscii" w:cstheme="minorAscii"/>
          <w:sz w:val="22"/>
          <w:szCs w:val="22"/>
        </w:rPr>
        <w:t>Administrative skills and record keeping..............................................</w:t>
      </w:r>
      <w:r w:rsidRPr="6C87A1CA" w:rsidR="70B987D7">
        <w:rPr>
          <w:rFonts w:ascii="Arial" w:hAnsi="Arial" w:eastAsia="Arial" w:cs="Arial" w:asciiTheme="minorAscii" w:hAnsiTheme="minorAscii" w:eastAsiaTheme="minorAscii" w:cstheme="minorAscii"/>
          <w:sz w:val="22"/>
          <w:szCs w:val="22"/>
        </w:rPr>
        <w:t>5 &amp; 6</w:t>
      </w:r>
    </w:p>
    <w:p xmlns:wp14="http://schemas.microsoft.com/office/word/2010/wordml" w:rsidP="6C87A1CA" wp14:paraId="38207AD3" wp14:textId="5B08D714">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3286DC83">
        <w:rPr>
          <w:rFonts w:ascii="Arial" w:hAnsi="Arial" w:eastAsia="Arial" w:cs="Arial" w:asciiTheme="minorAscii" w:hAnsiTheme="minorAscii" w:eastAsiaTheme="minorAscii" w:cstheme="minorAscii"/>
          <w:sz w:val="22"/>
          <w:szCs w:val="22"/>
        </w:rPr>
        <w:t>Collaborating</w:t>
      </w:r>
      <w:r w:rsidRPr="6C87A1CA" w:rsidR="200E1FBF">
        <w:rPr>
          <w:rFonts w:ascii="Arial" w:hAnsi="Arial" w:eastAsia="Arial" w:cs="Arial" w:asciiTheme="minorAscii" w:hAnsiTheme="minorAscii" w:eastAsiaTheme="minorAscii" w:cstheme="minorAscii"/>
          <w:sz w:val="22"/>
          <w:szCs w:val="22"/>
        </w:rPr>
        <w:t xml:space="preserve"> working...........................................................................</w:t>
      </w:r>
      <w:r w:rsidRPr="6C87A1CA" w:rsidR="551BF91E">
        <w:rPr>
          <w:rFonts w:ascii="Arial" w:hAnsi="Arial" w:eastAsia="Arial" w:cs="Arial" w:asciiTheme="minorAscii" w:hAnsiTheme="minorAscii" w:eastAsiaTheme="minorAscii" w:cstheme="minorAscii"/>
          <w:sz w:val="22"/>
          <w:szCs w:val="22"/>
        </w:rPr>
        <w:t>6 &amp; 7</w:t>
      </w:r>
    </w:p>
    <w:p xmlns:wp14="http://schemas.microsoft.com/office/word/2010/wordml" w:rsidP="6C87A1CA" wp14:paraId="21DA3C35" wp14:textId="24BDFAAE">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558C918B">
        <w:rPr>
          <w:rFonts w:ascii="Arial" w:hAnsi="Arial" w:eastAsia="Arial" w:cs="Arial" w:asciiTheme="minorAscii" w:hAnsiTheme="minorAscii" w:eastAsiaTheme="minorAscii" w:cstheme="minorAscii"/>
          <w:sz w:val="22"/>
          <w:szCs w:val="22"/>
        </w:rPr>
        <w:t>Conclusion............................................................................................</w:t>
      </w:r>
      <w:r w:rsidRPr="6C87A1CA" w:rsidR="3A273A90">
        <w:rPr>
          <w:rFonts w:ascii="Arial" w:hAnsi="Arial" w:eastAsia="Arial" w:cs="Arial" w:asciiTheme="minorAscii" w:hAnsiTheme="minorAscii" w:eastAsiaTheme="minorAscii" w:cstheme="minorAscii"/>
          <w:sz w:val="22"/>
          <w:szCs w:val="22"/>
        </w:rPr>
        <w:t>7</w:t>
      </w:r>
    </w:p>
    <w:p xmlns:wp14="http://schemas.microsoft.com/office/word/2010/wordml" w:rsidP="6C87A1CA" wp14:paraId="3661275A" wp14:textId="2E9CE2F7">
      <w:pPr>
        <w:pStyle w:val="ListParagraph"/>
        <w:keepNext w:val="0"/>
        <w:keepLines w:val="0"/>
        <w:numPr>
          <w:ilvl w:val="0"/>
          <w:numId w:val="8"/>
        </w:numPr>
        <w:spacing w:line="360" w:lineRule="auto"/>
        <w:contextualSpacing w:val="0"/>
        <w:rPr>
          <w:rFonts w:ascii="Arial" w:hAnsi="Arial" w:eastAsia="Arial" w:cs="Arial" w:asciiTheme="minorAscii" w:hAnsiTheme="minorAscii" w:eastAsiaTheme="minorAscii" w:cstheme="minorAscii"/>
          <w:sz w:val="22"/>
          <w:szCs w:val="22"/>
        </w:rPr>
      </w:pPr>
      <w:r w:rsidRPr="6C87A1CA" w:rsidR="558C918B">
        <w:rPr>
          <w:rFonts w:ascii="Arial" w:hAnsi="Arial" w:eastAsia="Arial" w:cs="Arial" w:asciiTheme="minorAscii" w:hAnsiTheme="minorAscii" w:eastAsiaTheme="minorAscii" w:cstheme="minorAscii"/>
          <w:sz w:val="22"/>
          <w:szCs w:val="22"/>
        </w:rPr>
        <w:t>Reference...........................................................................................</w:t>
      </w:r>
      <w:r w:rsidRPr="6C87A1CA" w:rsidR="631268A8">
        <w:rPr>
          <w:rFonts w:ascii="Arial" w:hAnsi="Arial" w:eastAsia="Arial" w:cs="Arial" w:asciiTheme="minorAscii" w:hAnsiTheme="minorAscii" w:eastAsiaTheme="minorAscii" w:cstheme="minorAscii"/>
          <w:sz w:val="22"/>
          <w:szCs w:val="22"/>
        </w:rPr>
        <w:t>7</w:t>
      </w:r>
      <w:r w:rsidRPr="6C87A1CA" w:rsidR="6CCAFDFE">
        <w:rPr>
          <w:rFonts w:ascii="Arial" w:hAnsi="Arial" w:eastAsia="Arial" w:cs="Arial" w:asciiTheme="minorAscii" w:hAnsiTheme="minorAscii" w:eastAsiaTheme="minorAscii" w:cstheme="minorAscii"/>
          <w:sz w:val="22"/>
          <w:szCs w:val="22"/>
        </w:rPr>
        <w:t xml:space="preserve"> &amp; </w:t>
      </w:r>
      <w:r w:rsidRPr="6C87A1CA" w:rsidR="6E87327A">
        <w:rPr>
          <w:rFonts w:ascii="Arial" w:hAnsi="Arial" w:eastAsia="Arial" w:cs="Arial" w:asciiTheme="minorAscii" w:hAnsiTheme="minorAscii" w:eastAsiaTheme="minorAscii" w:cstheme="minorAscii"/>
          <w:sz w:val="22"/>
          <w:szCs w:val="22"/>
        </w:rPr>
        <w:t>8</w:t>
      </w:r>
    </w:p>
    <w:p xmlns:wp14="http://schemas.microsoft.com/office/word/2010/wordml" w:rsidP="6C87A1CA" wp14:paraId="1C17980A" wp14:textId="377BC005">
      <w:pPr>
        <w:pStyle w:val="ListParagraph"/>
        <w:keepNext w:val="0"/>
        <w:keepLines w:val="0"/>
        <w:spacing w:line="360" w:lineRule="auto"/>
        <w:ind w:left="720"/>
        <w:contextualSpacing w:val="0"/>
        <w:rPr>
          <w:rFonts w:ascii="Arial" w:hAnsi="Arial" w:eastAsia="Arial" w:cs="Arial" w:asciiTheme="minorAscii" w:hAnsiTheme="minorAscii" w:eastAsiaTheme="minorAscii" w:cstheme="minorAscii"/>
          <w:sz w:val="22"/>
          <w:szCs w:val="22"/>
        </w:rPr>
      </w:pPr>
    </w:p>
    <w:p xmlns:wp14="http://schemas.microsoft.com/office/word/2010/wordml" w:rsidP="6C87A1CA" wp14:paraId="07D64FAF" wp14:textId="7D9BB277">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69D83BFC" wp14:textId="2A6C16D8">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42ACD8C9" wp14:textId="54D31783">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4A9FE7EA" wp14:textId="75106884">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6AAF8DC9" wp14:textId="7FDF1DDC">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455BBEE6" wp14:textId="0182D717">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3BE40848" wp14:textId="7A01DF0A">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0585839B" wp14:textId="0AAB93E9">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60655506" wp14:textId="08C802D6">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22A4AB1D" wp14:textId="154C3620">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42CEDB74" wp14:textId="4293764A">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1D2BE470" wp14:textId="07C87F65">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233215FB" wp14:textId="5B3D26BB">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16696DBF" wp14:textId="7DDAE19D">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3EF5DDC1" wp14:textId="3251914E">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64A4FD14" wp14:textId="62E24454">
      <w:pPr>
        <w:keepNext w:val="0"/>
        <w:keepLines w:val="0"/>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6C87A1CA" wp14:paraId="5E5787A5" wp14:textId="39B9D38F">
      <w:pPr>
        <w:pStyle w:val="Normal"/>
        <w:keepNext w:val="0"/>
        <w:keepLines w:val="0"/>
        <w:spacing w:line="360" w:lineRule="auto"/>
        <w:rPr>
          <w:rFonts w:ascii="Arial" w:hAnsi="Arial" w:eastAsia="Arial" w:cs="Arial" w:asciiTheme="minorAscii" w:hAnsiTheme="minorAscii" w:eastAsiaTheme="minorAscii" w:cstheme="minorAscii"/>
          <w:b w:val="1"/>
          <w:bCs w:val="1"/>
          <w:sz w:val="22"/>
          <w:szCs w:val="22"/>
        </w:rPr>
      </w:pPr>
      <w:r w:rsidRPr="6C87A1CA" w:rsidR="0B6A0F83">
        <w:rPr>
          <w:rFonts w:ascii="Arial" w:hAnsi="Arial" w:eastAsia="Arial" w:cs="Arial" w:asciiTheme="minorAscii" w:hAnsiTheme="minorAscii" w:eastAsiaTheme="minorAscii" w:cstheme="minorAscii"/>
          <w:b w:val="1"/>
          <w:bCs w:val="1"/>
          <w:sz w:val="22"/>
          <w:szCs w:val="22"/>
        </w:rPr>
        <w:t xml:space="preserve">Topic: </w:t>
      </w:r>
      <w:r w:rsidRPr="6C87A1CA" w:rsidR="419AB65A">
        <w:rPr>
          <w:rFonts w:ascii="Arial" w:hAnsi="Arial" w:eastAsia="Arial" w:cs="Arial" w:asciiTheme="minorAscii" w:hAnsiTheme="minorAscii" w:eastAsiaTheme="minorAscii" w:cstheme="minorAscii"/>
          <w:b w:val="1"/>
          <w:bCs w:val="1"/>
          <w:sz w:val="22"/>
          <w:szCs w:val="22"/>
        </w:rPr>
        <w:t xml:space="preserve">Case </w:t>
      </w:r>
      <w:r w:rsidRPr="6C87A1CA" w:rsidR="27B00402">
        <w:rPr>
          <w:rFonts w:ascii="Arial" w:hAnsi="Arial" w:eastAsia="Arial" w:cs="Arial" w:asciiTheme="minorAscii" w:hAnsiTheme="minorAscii" w:eastAsiaTheme="minorAscii" w:cstheme="minorAscii"/>
          <w:b w:val="1"/>
          <w:bCs w:val="1"/>
          <w:sz w:val="22"/>
          <w:szCs w:val="22"/>
        </w:rPr>
        <w:t>study:</w:t>
      </w:r>
      <w:r w:rsidRPr="6C87A1CA" w:rsidR="419AB65A">
        <w:rPr>
          <w:rFonts w:ascii="Arial" w:hAnsi="Arial" w:eastAsia="Arial" w:cs="Arial" w:asciiTheme="minorAscii" w:hAnsiTheme="minorAscii" w:eastAsiaTheme="minorAscii" w:cstheme="minorAscii"/>
          <w:b w:val="1"/>
          <w:bCs w:val="1"/>
          <w:sz w:val="22"/>
          <w:szCs w:val="22"/>
        </w:rPr>
        <w:t xml:space="preserve"> Mr Ahmed</w:t>
      </w:r>
    </w:p>
    <w:p w:rsidR="6C87A1CA" w:rsidP="6C87A1CA" w:rsidRDefault="6C87A1CA" w14:paraId="3523AA6E" w14:textId="5B457983">
      <w:pPr>
        <w:pStyle w:val="Normal"/>
        <w:keepNext w:val="0"/>
        <w:keepLines w:val="0"/>
        <w:spacing w:line="360" w:lineRule="auto"/>
        <w:rPr>
          <w:rFonts w:ascii="Arial" w:hAnsi="Arial" w:eastAsia="Arial" w:cs="Arial" w:asciiTheme="minorAscii" w:hAnsiTheme="minorAscii" w:eastAsiaTheme="minorAscii" w:cstheme="minorAscii"/>
          <w:sz w:val="22"/>
          <w:szCs w:val="22"/>
        </w:rPr>
      </w:pPr>
    </w:p>
    <w:p w:rsidR="705CA759" w:rsidP="6C87A1CA" w:rsidRDefault="705CA759" w14:paraId="6FAB66A9" w14:textId="57BD2809">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 xml:space="preserve">Introduction </w:t>
      </w:r>
    </w:p>
    <w:p w:rsidR="705CA759" w:rsidP="6C87A1CA" w:rsidRDefault="705CA759" w14:paraId="5550AFE3" w14:textId="06D0FAF5">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Effective communication,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accurate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record keeping, and strong collaborative practice are essential components of safe, high‑quality health and social care. In the case of Mr Ahmed, a 68‑year‑old man recovering from a recent stroke, these elements are particularly important due to his communication difficulties, cultural background, and the complexity of his multidisciplinary support. Mr Ahmed lives at home with his wife and receives input from a GP, district nurse, speech and language therapist, and domiciliary care workers, all of whom rely on clear communication and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accurate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documentation to deliver coordinated care. A recent missed home visit, which resulted in delayed medication administration, highlights the risks that arise when communication and administrative processes fail and when systems do not function reliably (CQC, 2023). This report explores the importance of effective communication with Mr Ahmed and his family, the role of administrative skills and record keeping in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maintaining</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safety, and the value of collaborative working between professionals involved in his care (NHS England, 2022).</w:t>
      </w:r>
    </w:p>
    <w:p w:rsidR="6C87A1CA" w:rsidP="6C87A1CA" w:rsidRDefault="6C87A1CA" w14:paraId="1FB4DC5F" w14:textId="2A794A63">
      <w:pPr>
        <w:keepNext w:val="0"/>
        <w:keepLines w:val="0"/>
        <w:spacing w:line="360" w:lineRule="auto"/>
        <w:rPr>
          <w:rFonts w:ascii="Arial" w:hAnsi="Arial" w:eastAsia="Arial" w:cs="Arial" w:asciiTheme="minorAscii" w:hAnsiTheme="minorAscii" w:eastAsiaTheme="minorAscii" w:cstheme="minorAscii"/>
          <w:b w:val="0"/>
          <w:bCs w:val="0"/>
          <w:color w:val="auto"/>
          <w:sz w:val="22"/>
          <w:szCs w:val="22"/>
        </w:rPr>
      </w:pPr>
    </w:p>
    <w:p w:rsidR="705CA759" w:rsidP="6C87A1CA" w:rsidRDefault="705CA759" w14:paraId="570F5951" w14:textId="007A19B5">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 xml:space="preserve">Communication section </w:t>
      </w:r>
    </w:p>
    <w:p w:rsidR="705CA759" w:rsidP="6C87A1CA" w:rsidRDefault="705CA759" w14:paraId="6100D076" w14:textId="756D9C4C">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Effective communication is fundamental to ensuring that Mr Ahmed receives safe, person‑</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centred</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and culturally sensitive care that respects his rights and preferences. Following his stroke, he experiences communication difficulties and primarily speaks Bengali, which can make complex conversations challenging and potentially confusing. Without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appropriate communication</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support, there is a significant risk of misunderstanding care instructions, reduced involvement in decision‑making, and compromised safety, particularly in relation to medication, nutrition, and personal care (SCIE, 2021). The missed domiciliary care visit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demonstrates</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how communication failures between agencies and within teams can directly affect health outcomes, especially when medication is time‑sensitive and linked to stroke prevention.</w:t>
      </w:r>
    </w:p>
    <w:p w:rsidR="705CA759" w:rsidP="6C87A1CA" w:rsidRDefault="705CA759" w14:paraId="32E798A3" w14:textId="1D3544BE">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The Equality Act 2010 requires health and social care services to make reasonable adjustments so that individuals are not disadvantaged due to disability, language needs, or cultural background. For Mr Ahmed, this includes providing information in accessible formats, using professional interpreters when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required</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and ensuring staff are culturally competent and sensitive to his background (Equality Act, 2010). Although his wife often communicates on his behalf, professionals must still ensure that Mr Ahmed’s own preferences, wishes, and concerns are heard, respecting his rights to autonomy, dignity, and inclusion in line with person‑centred care principles.</w:t>
      </w:r>
    </w:p>
    <w:p w:rsidR="705CA759" w:rsidP="6C87A1CA" w:rsidRDefault="705CA759" w14:paraId="249C9055" w14:textId="72E56EC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A useful framework for supporting communication is Egan’s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SOLER model</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which emphasises active listening and non‑verbal engagement (Egan, 2010). Care workers can sit squarely to show attentiveness,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maintain</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an open posture, lean forward to convey interest, use culturally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appropriate eye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contact, and remain relaxed to reduce tension. Applying this model helps staff communicate respectfully and effectively, particularly when language barriers exist or when speech is impaired. For Mr Ahmed, calm body language, clear gestures, and allowing extra time for responses can help reduce anxiety and encourage him to express his needs, even if his verbal output is limited or slow.</w:t>
      </w:r>
    </w:p>
    <w:p w:rsidR="705CA759" w:rsidP="6C87A1CA" w:rsidRDefault="705CA759" w14:paraId="583DB82B" w14:textId="5C63AC4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Professionals should also use simple language, short sentences, visual aids, repetition, and confirmation of understanding to support communication and avoid assumptions (HCPC, 2023). The involvement of the speech and language therapist (SLT) is crucial, as they provide tailored strategies and communication techniques to enhance Mr Ahmed’s expressive and receptive abilities, as well as his swallowing safety. Care staff must follow SLT guidance consistently to ensure continuity, reduce risk, and reinforce therapeutic goals.</w:t>
      </w:r>
    </w:p>
    <w:p w:rsidR="705CA759" w:rsidP="6C87A1CA" w:rsidRDefault="705CA759" w14:paraId="447E5980" w14:textId="165E4F0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Family involvement is another important aspect of effective communication. Mr Ahmed’s wife plays a valuable advocacy role, offering insight into his preferences, routines, and cultural needs. However, professionals must avoid over‑reliance on her to interpret, as this may compromise confidentiality, accuracy, and her own wellbeing (NMC, 2018). Professional interpreters should be used for care planning, safeguarding discussions, consent, and complex decision‑making to ensure clarity and fairness.</w:t>
      </w:r>
    </w:p>
    <w:p w:rsidR="705CA759" w:rsidP="6C87A1CA" w:rsidRDefault="705CA759" w14:paraId="2B6BE689" w14:textId="7EA1730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Overall, effective communication ensures that Mr Ahmed receives safe, personalised care and that his cultural and linguistic needs are respected. It also strengthens relationships between the care team, reduces the risk of errors, and supports compliance with legal, ethical, and professional standards (GMC, 2020).</w:t>
      </w:r>
    </w:p>
    <w:p w:rsidR="6C87A1CA" w:rsidP="6C87A1CA" w:rsidRDefault="6C87A1CA" w14:paraId="579F0602" w14:textId="777C4F3D">
      <w:pPr>
        <w:keepNext w:val="0"/>
        <w:keepLines w:val="0"/>
        <w:spacing w:line="360" w:lineRule="auto"/>
        <w:rPr>
          <w:rFonts w:ascii="Arial" w:hAnsi="Arial" w:eastAsia="Arial" w:cs="Arial" w:asciiTheme="minorAscii" w:hAnsiTheme="minorAscii" w:eastAsiaTheme="minorAscii" w:cstheme="minorAscii"/>
          <w:b w:val="0"/>
          <w:bCs w:val="0"/>
          <w:color w:val="auto"/>
          <w:sz w:val="22"/>
          <w:szCs w:val="22"/>
        </w:rPr>
      </w:pPr>
    </w:p>
    <w:p w:rsidR="6C87A1CA" w:rsidP="6C87A1CA" w:rsidRDefault="6C87A1CA" w14:paraId="28493C18" w14:textId="40C9C9A8">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705CA759" w:rsidP="6C87A1CA" w:rsidRDefault="705CA759" w14:paraId="4632E46C" w14:textId="35311073">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 xml:space="preserve">Administrative skills &amp; record keeping </w:t>
      </w:r>
    </w:p>
    <w:p w:rsidR="705CA759" w:rsidP="6C87A1CA" w:rsidRDefault="705CA759" w14:paraId="2E132FF9" w14:textId="16E7FFD9">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Good administrative skills are essential in health and social care because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accurate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documentation underpins safe, coordinated, and accountable practice across different services. In Mr Ahmed’s case, the missed domiciliary care visit highlights how administrative failures—such as poor scheduling, incomplete records, unclear rotas, or communication breakdowns—can directly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impact</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his health, safety, and trust in services (CQC, 2023). Timely medication administration is critical for stroke survivors, and any delay increases the risk of complications such as further strokes, blood pressure instability, or deterioration in overall health. Effective administrative practice ensures that care plans are followed, visits are logged, and concerns are escalated promptly to the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appropriate professionals</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w:t>
      </w:r>
    </w:p>
    <w:p w:rsidR="705CA759" w:rsidP="6C87A1CA" w:rsidRDefault="705CA759" w14:paraId="733FD01B" w14:textId="37C763CD">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Record keeping is a legal, professional, and ethical requirement. The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Data Protection Act 2018</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and the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UK GDPR</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set out principles for handling personal data, including lawfulness, fairness, accuracy, confidentiality, integrity, and data minimisation (ICO, 2023). Care providers must ensure that Mr Ahmed’s records are stored securely, shared appropriately, and updated promptly. This includes documenting medication administration, missed visits, blood pressure readings, wound care, SLT sessions, communication needs, and any changes in his condition or behaviour. Clear records support transparency and allow patterns or risks to be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identified</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early.</w:t>
      </w:r>
    </w:p>
    <w:p w:rsidR="705CA759" w:rsidP="6C87A1CA" w:rsidRDefault="705CA759" w14:paraId="3AFE7B84" w14:textId="7303924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The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Caldicott Principles</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also guide information governance in health and social care. They emphasise the need to justify information use, access only what is necessary, use the minimum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required</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and ensure individuals’ data is protected and handled responsibly (NHS Digital, 2021). For Mr Ahmed, this means that only relevant professionals—such as the GP, district nurse, SLT, and care agency staff—should access his records, and only for legitimate care purposes. Sharing information appropriately supports joined‑up care while still respecting confidentiality.</w:t>
      </w:r>
    </w:p>
    <w:p w:rsidR="705CA759" w:rsidP="6C87A1CA" w:rsidRDefault="705CA759" w14:paraId="785D943A" w14:textId="2CDE53B8">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Accurate documentation supports continuity of care and effective clinical decision‑making. For example, the district nurse relies on up‑to‑date records to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monitor</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Mr Ahmed’s blood pressure, wound healing, and overall progress. If care workers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fail to</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record observations, missed visits, or concerns, important clinical information may be overlooked, leading to delayed interventions or avoidable harm (HCPC, 2023). Similarly, the SLT requires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accurate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notes to track progress, adapt therapy plans, and communicate recommendations to the wider team.</w:t>
      </w:r>
    </w:p>
    <w:p w:rsidR="705CA759" w:rsidP="6C87A1CA" w:rsidRDefault="705CA759" w14:paraId="3DF0341A" w14:textId="1A6952F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Administrative skills also include effective reporting and incident management. The missed visit must be documented, investigated, and reported according to organisational policies, safeguarding procedures, and the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Care Quality Commission (CQC)</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standards (CQC, 2023). This ensures accountability, learning, and service improvement, helping to prevent recurrence and rebuild trust with Mr Ahmed and his family.</w:t>
      </w:r>
    </w:p>
    <w:p w:rsidR="705CA759" w:rsidP="6C87A1CA" w:rsidRDefault="705CA759" w14:paraId="2184AF21" w14:textId="44EA68CE">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Overall, good administrative practice enhances communication between professionals, reduces risk, supports legal compliance, and underpins high‑quality, person‑centred care. For Mr Ahmed, robust record keeping and reliable systems are essential to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maintaining</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safety, dignity, and confidence in the services supporting him at home.</w:t>
      </w:r>
    </w:p>
    <w:p w:rsidR="6C87A1CA" w:rsidP="6C87A1CA" w:rsidRDefault="6C87A1CA" w14:paraId="0F050F7D" w14:textId="04D74687">
      <w:pPr>
        <w:keepNext w:val="0"/>
        <w:keepLines w:val="0"/>
        <w:spacing w:line="360" w:lineRule="auto"/>
        <w:rPr>
          <w:rFonts w:ascii="Arial" w:hAnsi="Arial" w:eastAsia="Arial" w:cs="Arial" w:asciiTheme="minorAscii" w:hAnsiTheme="minorAscii" w:eastAsiaTheme="minorAscii" w:cstheme="minorAscii"/>
          <w:b w:val="0"/>
          <w:bCs w:val="0"/>
          <w:color w:val="auto"/>
          <w:sz w:val="22"/>
          <w:szCs w:val="22"/>
        </w:rPr>
      </w:pPr>
    </w:p>
    <w:p w:rsidR="705CA759" w:rsidP="6C87A1CA" w:rsidRDefault="705CA759" w14:paraId="25FBA9B9" w14:textId="0FB2D9ED">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Collaborative work</w:t>
      </w: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in</w:t>
      </w: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 xml:space="preserve">g </w:t>
      </w:r>
    </w:p>
    <w:p w:rsidR="705CA759" w:rsidP="6C87A1CA" w:rsidRDefault="705CA759" w14:paraId="65CC7912" w14:textId="3FCF13B8">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Collaborative working is vital in Mr Ahmed’s care because he receives support from multiple professionals, each contributing different but complementary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expertise</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The GP oversees his medical needs and long‑term condition management, the district nurse manages wound care, blood pressure monitoring, and clinical observations, the SLT supports communication and swallowing, and domiciliary care workers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assist</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with personal care, medication prompts, and meal preparation. Effective collaboration ensures that care is coordinated, consistent, and responsive to his changing needs, rather than fragmented or duplicated (NHS England, 2022).</w:t>
      </w:r>
    </w:p>
    <w:p w:rsidR="705CA759" w:rsidP="6C87A1CA" w:rsidRDefault="705CA759" w14:paraId="0B555A95" w14:textId="45FD716C">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Approaches that foster collaboration include regular multidisciplinary team (MDT) meetings, shared digital records, clear communication pathways, and agreed care plans. Person‑centred planning ensures that Mr Ahmed’s preferences, cultural background, language needs, and goals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remain</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central to decision‑making and care delivery (SCIE, 2021). Joint goal‑setting between professionals helps align interventions, for example linking SLT recommendations with how care workers support communication during daily </w:t>
      </w:r>
      <w:r w:rsidRPr="6C87A1CA" w:rsidR="332DE9EE">
        <w:rPr>
          <w:rFonts w:ascii="Arial" w:hAnsi="Arial" w:eastAsia="Arial" w:cs="Arial" w:asciiTheme="minorAscii" w:hAnsiTheme="minorAscii" w:eastAsiaTheme="minorAscii" w:cstheme="minorAscii"/>
          <w:b w:val="0"/>
          <w:bCs w:val="0"/>
          <w:noProof w:val="0"/>
          <w:color w:val="auto"/>
          <w:sz w:val="22"/>
          <w:szCs w:val="22"/>
          <w:lang w:val="en-GB"/>
        </w:rPr>
        <w:t>routines or</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ensuring the district nurse and GP coordinate medication reviews.</w:t>
      </w:r>
    </w:p>
    <w:p w:rsidR="705CA759" w:rsidP="6C87A1CA" w:rsidRDefault="705CA759" w14:paraId="4399BC99" w14:textId="12FC7DDB">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However, multi‑agency working can face challenges such as unclear roles, professional boundaries, communication breakdowns, time pressures, and differing organisational priorities or documentation systems (NMC, 2018). Language barriers may also affect how information is shared with Mr Ahmed and his family, particularly if assumptions are made about understanding. Strategies to overcome these challenges include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establishing</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clear protocols, using structured communication tools such as SBAR (Situation, Background, Assessment, Recommendation), and ensuring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timely</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information sharing through secure systems (GMC, 2020). Cultural competence training can also help professionals better understand and respond to Mr Ahmed’s beliefs, expectations, and communication style.</w:t>
      </w:r>
    </w:p>
    <w:p w:rsidR="705CA759" w:rsidP="6C87A1CA" w:rsidRDefault="705CA759" w14:paraId="1EE14A14" w14:textId="6B68126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By strengthening collaboration, the care team can reduce risks, improve clinical and social outcomes, and provide a more seamless, reassuring experience for Mr Ahmed and his wife. Effective multi‑agency working supports holistic, person‑centred care that addresses medical, functional, emotional, and cultural needs in a coordinated way.</w:t>
      </w:r>
    </w:p>
    <w:p w:rsidR="6C87A1CA" w:rsidP="6C87A1CA" w:rsidRDefault="6C87A1CA" w14:paraId="3DC42604" w14:textId="7E7409A7">
      <w:pPr>
        <w:keepNext w:val="0"/>
        <w:keepLines w:val="0"/>
        <w:spacing w:line="360" w:lineRule="auto"/>
        <w:rPr>
          <w:rFonts w:ascii="Arial" w:hAnsi="Arial" w:eastAsia="Arial" w:cs="Arial" w:asciiTheme="minorAscii" w:hAnsiTheme="minorAscii" w:eastAsiaTheme="minorAscii" w:cstheme="minorAscii"/>
          <w:b w:val="0"/>
          <w:bCs w:val="0"/>
          <w:color w:val="auto"/>
          <w:sz w:val="22"/>
          <w:szCs w:val="22"/>
        </w:rPr>
      </w:pPr>
    </w:p>
    <w:p w:rsidR="705CA759" w:rsidP="6C87A1CA" w:rsidRDefault="705CA759" w14:paraId="332350C3" w14:textId="30874767">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1"/>
          <w:bCs w:val="1"/>
          <w:noProof w:val="0"/>
          <w:color w:val="auto"/>
          <w:sz w:val="22"/>
          <w:szCs w:val="22"/>
          <w:lang w:val="en-GB"/>
        </w:rPr>
        <w:t>Conclusion</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705CA759" w:rsidP="6C87A1CA" w:rsidRDefault="705CA759" w14:paraId="7A72FC67" w14:textId="062FF1C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Mr Ahmed’s case clearly highlights the interconnected importance of effective communication, strong administrative skills, and collaborative working in delivering safe, person‑centred care in the community. His language needs, cultural background, and post‑stroke communication difficulties require professionals to adopt inclusive, flexible communication strategies and to follow legal frameworks such as the Equality Act 2010, alongside professional guidance on person‑centred practice. Accurate record keeping and adherence to the Data Protection Act 2018 and information governance principles are essential to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maintaining</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safety, ensuring continuity, and preventing incidents such as missed visits or delayed medication. Collaborative working between the GP, district nurse, SLT, and domiciliary care agency is crucial for coordinating complex care needs, sharing information appropriately, and achieving positive outcomes. By applying communication models, </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maintaining</w:t>
      </w:r>
      <w:r w:rsidRPr="6C87A1CA" w:rsidR="705CA759">
        <w:rPr>
          <w:rFonts w:ascii="Arial" w:hAnsi="Arial" w:eastAsia="Arial" w:cs="Arial" w:asciiTheme="minorAscii" w:hAnsiTheme="minorAscii" w:eastAsiaTheme="minorAscii" w:cstheme="minorAscii"/>
          <w:b w:val="0"/>
          <w:bCs w:val="0"/>
          <w:noProof w:val="0"/>
          <w:color w:val="auto"/>
          <w:sz w:val="22"/>
          <w:szCs w:val="22"/>
          <w:lang w:val="en-GB"/>
        </w:rPr>
        <w:t xml:space="preserve"> high administrative standards, and fostering strong multi‑agency partnerships, professionals can ensure that Mr Ahmed receives high‑quality, dignified, and culturally sensitive care that supports his recovery, independence, and wellbeing at home.</w:t>
      </w:r>
    </w:p>
    <w:p w:rsidR="6C87A1CA" w:rsidP="6C87A1CA" w:rsidRDefault="6C87A1CA" w14:paraId="5E5456D6" w14:textId="553B8343">
      <w:pPr>
        <w:pStyle w:val="Normal"/>
      </w:pPr>
    </w:p>
    <w:p w:rsidR="71E93BF5" w:rsidP="6C87A1CA" w:rsidRDefault="71E93BF5" w14:paraId="441EFEF8" w14:textId="42AFBDF1">
      <w:pPr>
        <w:spacing w:before="240" w:beforeAutospacing="off" w:after="240" w:afterAutospacing="off"/>
        <w:rPr>
          <w:rFonts w:ascii="Arial" w:hAnsi="Arial" w:eastAsia="Arial" w:cs="Arial"/>
          <w:b w:val="1"/>
          <w:bCs w:val="1"/>
          <w:i w:val="0"/>
          <w:iCs w:val="0"/>
          <w:noProof w:val="0"/>
          <w:color w:val="auto"/>
          <w:sz w:val="22"/>
          <w:szCs w:val="22"/>
          <w:lang w:val="en-GB"/>
        </w:rPr>
      </w:pPr>
      <w:r w:rsidRPr="6C87A1CA" w:rsidR="71E93BF5">
        <w:rPr>
          <w:rFonts w:ascii="Arial" w:hAnsi="Arial" w:eastAsia="Arial" w:cs="Arial"/>
          <w:b w:val="1"/>
          <w:bCs w:val="1"/>
          <w:i w:val="0"/>
          <w:iCs w:val="0"/>
          <w:noProof w:val="0"/>
          <w:color w:val="auto"/>
          <w:sz w:val="22"/>
          <w:szCs w:val="22"/>
          <w:lang w:val="en-GB"/>
        </w:rPr>
        <w:t>References:</w:t>
      </w:r>
    </w:p>
    <w:p w:rsidR="71E93BF5" w:rsidP="6C87A1CA" w:rsidRDefault="71E93BF5" w14:paraId="52C7FDB5" w14:textId="5B082531">
      <w:pPr>
        <w:spacing w:before="240" w:beforeAutospacing="off" w:after="240" w:afterAutospacing="off"/>
      </w:pPr>
      <w:r w:rsidRPr="6C87A1CA" w:rsidR="71E93BF5">
        <w:rPr>
          <w:rFonts w:ascii="Arial" w:hAnsi="Arial" w:eastAsia="Arial" w:cs="Arial"/>
          <w:noProof w:val="0"/>
          <w:sz w:val="22"/>
          <w:szCs w:val="22"/>
          <w:lang w:val="en-GB"/>
        </w:rPr>
        <w:t xml:space="preserve">Care Quality Commission (CQC) (2023) </w:t>
      </w:r>
      <w:r w:rsidRPr="6C87A1CA" w:rsidR="71E93BF5">
        <w:rPr>
          <w:rFonts w:ascii="Arial" w:hAnsi="Arial" w:eastAsia="Arial" w:cs="Arial"/>
          <w:i w:val="1"/>
          <w:iCs w:val="1"/>
          <w:noProof w:val="0"/>
          <w:sz w:val="22"/>
          <w:szCs w:val="22"/>
          <w:lang w:val="en-GB"/>
        </w:rPr>
        <w:t>Guidance for providers: Regulations, compliance and quality standards</w:t>
      </w:r>
      <w:r w:rsidRPr="6C87A1CA" w:rsidR="71E93BF5">
        <w:rPr>
          <w:rFonts w:ascii="Arial" w:hAnsi="Arial" w:eastAsia="Arial" w:cs="Arial"/>
          <w:noProof w:val="0"/>
          <w:sz w:val="22"/>
          <w:szCs w:val="22"/>
          <w:lang w:val="en-GB"/>
        </w:rPr>
        <w:t xml:space="preserve">. London: CQC. Available at: </w:t>
      </w:r>
      <w:hyperlink r:id="R1df891977b5045aa">
        <w:r w:rsidRPr="6C87A1CA" w:rsidR="71E93BF5">
          <w:rPr>
            <w:rStyle w:val="Hyperlink"/>
            <w:rFonts w:ascii="Arial" w:hAnsi="Arial" w:eastAsia="Arial" w:cs="Arial"/>
            <w:noProof w:val="0"/>
            <w:sz w:val="22"/>
            <w:szCs w:val="22"/>
            <w:lang w:val="en-GB"/>
          </w:rPr>
          <w:t>https://www.cqc.org.uk</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1EE6CE01" w14:textId="28F07577">
      <w:pPr>
        <w:spacing w:before="240" w:beforeAutospacing="off" w:after="240" w:afterAutospacing="off"/>
      </w:pPr>
      <w:r w:rsidRPr="6C87A1CA" w:rsidR="71E93BF5">
        <w:rPr>
          <w:rFonts w:ascii="Arial" w:hAnsi="Arial" w:eastAsia="Arial" w:cs="Arial"/>
          <w:noProof w:val="0"/>
          <w:sz w:val="22"/>
          <w:szCs w:val="22"/>
          <w:lang w:val="en-GB"/>
        </w:rPr>
        <w:t xml:space="preserve">Data Protection Act (2018) </w:t>
      </w:r>
      <w:r w:rsidRPr="6C87A1CA" w:rsidR="71E93BF5">
        <w:rPr>
          <w:rFonts w:ascii="Arial" w:hAnsi="Arial" w:eastAsia="Arial" w:cs="Arial"/>
          <w:i w:val="1"/>
          <w:iCs w:val="1"/>
          <w:noProof w:val="0"/>
          <w:sz w:val="22"/>
          <w:szCs w:val="22"/>
          <w:lang w:val="en-GB"/>
        </w:rPr>
        <w:t>Data Protection Act 2018</w:t>
      </w:r>
      <w:r w:rsidRPr="6C87A1CA" w:rsidR="71E93BF5">
        <w:rPr>
          <w:rFonts w:ascii="Arial" w:hAnsi="Arial" w:eastAsia="Arial" w:cs="Arial"/>
          <w:noProof w:val="0"/>
          <w:sz w:val="22"/>
          <w:szCs w:val="22"/>
          <w:lang w:val="en-GB"/>
        </w:rPr>
        <w:t xml:space="preserve">. London: UK Government. Available at: </w:t>
      </w:r>
      <w:hyperlink r:id="R37e89866afb54077">
        <w:r w:rsidRPr="6C87A1CA" w:rsidR="71E93BF5">
          <w:rPr>
            <w:rStyle w:val="Hyperlink"/>
            <w:rFonts w:ascii="Consolas" w:hAnsi="Consolas" w:eastAsia="Consolas" w:cs="Consolas"/>
            <w:noProof w:val="0"/>
            <w:sz w:val="22"/>
            <w:szCs w:val="22"/>
            <w:lang w:val="en-GB"/>
          </w:rPr>
          <w:t>https://www.legislation.gov.uk/ukpga/2018/12/contents</w:t>
        </w:r>
      </w:hyperlink>
      <w:r w:rsidRPr="6C87A1CA" w:rsidR="71E93BF5">
        <w:rPr>
          <w:rFonts w:ascii="Arial" w:hAnsi="Arial" w:eastAsia="Arial" w:cs="Arial"/>
          <w:noProof w:val="0"/>
          <w:sz w:val="22"/>
          <w:szCs w:val="22"/>
          <w:lang w:val="en-GB"/>
        </w:rPr>
        <w:t xml:space="preserve"> </w:t>
      </w:r>
      <w:hyperlink r:id="Rd24a715ff6534964">
        <w:r w:rsidRPr="6C87A1CA" w:rsidR="71E93BF5">
          <w:rPr>
            <w:rStyle w:val="Hyperlink"/>
            <w:rFonts w:ascii="Arial" w:hAnsi="Arial" w:eastAsia="Arial" w:cs="Arial"/>
            <w:noProof w:val="0"/>
            <w:sz w:val="22"/>
            <w:szCs w:val="22"/>
            <w:lang w:val="en-GB"/>
          </w:rPr>
          <w:t>(legislation.gov.uk in Bing)</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396BD103" w14:textId="3C389618">
      <w:pPr>
        <w:spacing w:before="240" w:beforeAutospacing="off" w:after="240" w:afterAutospacing="off"/>
      </w:pPr>
      <w:r w:rsidRPr="6C87A1CA" w:rsidR="71E93BF5">
        <w:rPr>
          <w:rFonts w:ascii="Arial" w:hAnsi="Arial" w:eastAsia="Arial" w:cs="Arial"/>
          <w:noProof w:val="0"/>
          <w:sz w:val="22"/>
          <w:szCs w:val="22"/>
          <w:lang w:val="en-GB"/>
        </w:rPr>
        <w:t xml:space="preserve">Egan, G. (2010) </w:t>
      </w:r>
      <w:r w:rsidRPr="6C87A1CA" w:rsidR="71E93BF5">
        <w:rPr>
          <w:rFonts w:ascii="Arial" w:hAnsi="Arial" w:eastAsia="Arial" w:cs="Arial"/>
          <w:i w:val="1"/>
          <w:iCs w:val="1"/>
          <w:noProof w:val="0"/>
          <w:sz w:val="22"/>
          <w:szCs w:val="22"/>
          <w:lang w:val="en-GB"/>
        </w:rPr>
        <w:t>The skilled helper: A problem‑management and opportunity‑development approach to helping</w:t>
      </w:r>
      <w:r w:rsidRPr="6C87A1CA" w:rsidR="71E93BF5">
        <w:rPr>
          <w:rFonts w:ascii="Arial" w:hAnsi="Arial" w:eastAsia="Arial" w:cs="Arial"/>
          <w:noProof w:val="0"/>
          <w:sz w:val="22"/>
          <w:szCs w:val="22"/>
          <w:lang w:val="en-GB"/>
        </w:rPr>
        <w:t>. 9th edn. Belmont, CA: Brooks/Cole.</w:t>
      </w:r>
    </w:p>
    <w:p w:rsidR="71E93BF5" w:rsidP="6C87A1CA" w:rsidRDefault="71E93BF5" w14:paraId="67A60C58" w14:textId="0076F1F5">
      <w:pPr>
        <w:spacing w:before="240" w:beforeAutospacing="off" w:after="240" w:afterAutospacing="off"/>
      </w:pPr>
      <w:r w:rsidRPr="6C87A1CA" w:rsidR="71E93BF5">
        <w:rPr>
          <w:rFonts w:ascii="Arial" w:hAnsi="Arial" w:eastAsia="Arial" w:cs="Arial"/>
          <w:noProof w:val="0"/>
          <w:sz w:val="22"/>
          <w:szCs w:val="22"/>
          <w:lang w:val="en-GB"/>
        </w:rPr>
        <w:t xml:space="preserve">Equality Act (2010) </w:t>
      </w:r>
      <w:r w:rsidRPr="6C87A1CA" w:rsidR="71E93BF5">
        <w:rPr>
          <w:rFonts w:ascii="Arial" w:hAnsi="Arial" w:eastAsia="Arial" w:cs="Arial"/>
          <w:i w:val="1"/>
          <w:iCs w:val="1"/>
          <w:noProof w:val="0"/>
          <w:sz w:val="22"/>
          <w:szCs w:val="22"/>
          <w:lang w:val="en-GB"/>
        </w:rPr>
        <w:t>Equality Act 2010</w:t>
      </w:r>
      <w:r w:rsidRPr="6C87A1CA" w:rsidR="71E93BF5">
        <w:rPr>
          <w:rFonts w:ascii="Arial" w:hAnsi="Arial" w:eastAsia="Arial" w:cs="Arial"/>
          <w:noProof w:val="0"/>
          <w:sz w:val="22"/>
          <w:szCs w:val="22"/>
          <w:lang w:val="en-GB"/>
        </w:rPr>
        <w:t xml:space="preserve">. London: UK Government. Available at: </w:t>
      </w:r>
      <w:hyperlink r:id="R01fe2c74503345ac">
        <w:r w:rsidRPr="6C87A1CA" w:rsidR="71E93BF5">
          <w:rPr>
            <w:rStyle w:val="Hyperlink"/>
            <w:rFonts w:ascii="Consolas" w:hAnsi="Consolas" w:eastAsia="Consolas" w:cs="Consolas"/>
            <w:noProof w:val="0"/>
            <w:sz w:val="22"/>
            <w:szCs w:val="22"/>
            <w:lang w:val="en-GB"/>
          </w:rPr>
          <w:t>https://www.legislation.gov.uk/ukpga/2010/15/contents</w:t>
        </w:r>
      </w:hyperlink>
      <w:r w:rsidRPr="6C87A1CA" w:rsidR="71E93BF5">
        <w:rPr>
          <w:rFonts w:ascii="Arial" w:hAnsi="Arial" w:eastAsia="Arial" w:cs="Arial"/>
          <w:noProof w:val="0"/>
          <w:sz w:val="22"/>
          <w:szCs w:val="22"/>
          <w:lang w:val="en-GB"/>
        </w:rPr>
        <w:t xml:space="preserve"> </w:t>
      </w:r>
      <w:hyperlink r:id="R8daea63456b448d9">
        <w:r w:rsidRPr="6C87A1CA" w:rsidR="71E93BF5">
          <w:rPr>
            <w:rStyle w:val="Hyperlink"/>
            <w:rFonts w:ascii="Arial" w:hAnsi="Arial" w:eastAsia="Arial" w:cs="Arial"/>
            <w:noProof w:val="0"/>
            <w:sz w:val="22"/>
            <w:szCs w:val="22"/>
            <w:lang w:val="en-GB"/>
          </w:rPr>
          <w:t>(legislation.gov.uk in Bing)</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74AF1543" w14:textId="23FA3BE8">
      <w:pPr>
        <w:spacing w:before="240" w:beforeAutospacing="off" w:after="240" w:afterAutospacing="off"/>
      </w:pPr>
      <w:r w:rsidRPr="6C87A1CA" w:rsidR="71E93BF5">
        <w:rPr>
          <w:rFonts w:ascii="Arial" w:hAnsi="Arial" w:eastAsia="Arial" w:cs="Arial"/>
          <w:noProof w:val="0"/>
          <w:sz w:val="22"/>
          <w:szCs w:val="22"/>
          <w:lang w:val="en-GB"/>
        </w:rPr>
        <w:t xml:space="preserve">General Medical Council (GMC) (2020) </w:t>
      </w:r>
      <w:r w:rsidRPr="6C87A1CA" w:rsidR="71E93BF5">
        <w:rPr>
          <w:rFonts w:ascii="Arial" w:hAnsi="Arial" w:eastAsia="Arial" w:cs="Arial"/>
          <w:i w:val="1"/>
          <w:iCs w:val="1"/>
          <w:noProof w:val="0"/>
          <w:sz w:val="22"/>
          <w:szCs w:val="22"/>
          <w:lang w:val="en-GB"/>
        </w:rPr>
        <w:t>Good medical practice</w:t>
      </w:r>
      <w:r w:rsidRPr="6C87A1CA" w:rsidR="71E93BF5">
        <w:rPr>
          <w:rFonts w:ascii="Arial" w:hAnsi="Arial" w:eastAsia="Arial" w:cs="Arial"/>
          <w:noProof w:val="0"/>
          <w:sz w:val="22"/>
          <w:szCs w:val="22"/>
          <w:lang w:val="en-GB"/>
        </w:rPr>
        <w:t xml:space="preserve">. London: GMC. Available at: </w:t>
      </w:r>
      <w:hyperlink r:id="Rb5dd0c79d85d4966">
        <w:r w:rsidRPr="6C87A1CA" w:rsidR="71E93BF5">
          <w:rPr>
            <w:rStyle w:val="Hyperlink"/>
            <w:rFonts w:ascii="Arial" w:hAnsi="Arial" w:eastAsia="Arial" w:cs="Arial"/>
            <w:noProof w:val="0"/>
            <w:sz w:val="22"/>
            <w:szCs w:val="22"/>
            <w:lang w:val="en-GB"/>
          </w:rPr>
          <w:t>https://www.gmc-uk.org</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30EAB255" w14:textId="64AC63AD">
      <w:pPr>
        <w:spacing w:before="240" w:beforeAutospacing="off" w:after="240" w:afterAutospacing="off"/>
      </w:pPr>
      <w:r w:rsidRPr="6C87A1CA" w:rsidR="71E93BF5">
        <w:rPr>
          <w:rFonts w:ascii="Arial" w:hAnsi="Arial" w:eastAsia="Arial" w:cs="Arial"/>
          <w:noProof w:val="0"/>
          <w:sz w:val="22"/>
          <w:szCs w:val="22"/>
          <w:lang w:val="en-GB"/>
        </w:rPr>
        <w:t xml:space="preserve">Health and Care Professions Council (HCPC) (2023) </w:t>
      </w:r>
      <w:r w:rsidRPr="6C87A1CA" w:rsidR="71E93BF5">
        <w:rPr>
          <w:rFonts w:ascii="Arial" w:hAnsi="Arial" w:eastAsia="Arial" w:cs="Arial"/>
          <w:i w:val="1"/>
          <w:iCs w:val="1"/>
          <w:noProof w:val="0"/>
          <w:sz w:val="22"/>
          <w:szCs w:val="22"/>
          <w:lang w:val="en-GB"/>
        </w:rPr>
        <w:t>Standards of conduct, performance and ethics</w:t>
      </w:r>
      <w:r w:rsidRPr="6C87A1CA" w:rsidR="71E93BF5">
        <w:rPr>
          <w:rFonts w:ascii="Arial" w:hAnsi="Arial" w:eastAsia="Arial" w:cs="Arial"/>
          <w:noProof w:val="0"/>
          <w:sz w:val="22"/>
          <w:szCs w:val="22"/>
          <w:lang w:val="en-GB"/>
        </w:rPr>
        <w:t xml:space="preserve">. London: HCPC. Available at: </w:t>
      </w:r>
      <w:hyperlink r:id="R3f6c3dc886ac49be">
        <w:r w:rsidRPr="6C87A1CA" w:rsidR="71E93BF5">
          <w:rPr>
            <w:rStyle w:val="Hyperlink"/>
            <w:rFonts w:ascii="Arial" w:hAnsi="Arial" w:eastAsia="Arial" w:cs="Arial"/>
            <w:noProof w:val="0"/>
            <w:sz w:val="22"/>
            <w:szCs w:val="22"/>
            <w:lang w:val="en-GB"/>
          </w:rPr>
          <w:t>https://www.hcpc-uk.org</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79E56708" w14:textId="27366F36">
      <w:pPr>
        <w:spacing w:before="240" w:beforeAutospacing="off" w:after="240" w:afterAutospacing="off"/>
      </w:pPr>
      <w:r w:rsidRPr="6C87A1CA" w:rsidR="71E93BF5">
        <w:rPr>
          <w:rFonts w:ascii="Arial" w:hAnsi="Arial" w:eastAsia="Arial" w:cs="Arial"/>
          <w:noProof w:val="0"/>
          <w:sz w:val="22"/>
          <w:szCs w:val="22"/>
          <w:lang w:val="en-GB"/>
        </w:rPr>
        <w:t xml:space="preserve">Information Commissioner’s Office (ICO) (2023) </w:t>
      </w:r>
      <w:r w:rsidRPr="6C87A1CA" w:rsidR="71E93BF5">
        <w:rPr>
          <w:rFonts w:ascii="Arial" w:hAnsi="Arial" w:eastAsia="Arial" w:cs="Arial"/>
          <w:i w:val="1"/>
          <w:iCs w:val="1"/>
          <w:noProof w:val="0"/>
          <w:sz w:val="22"/>
          <w:szCs w:val="22"/>
          <w:lang w:val="en-GB"/>
        </w:rPr>
        <w:t>Guide to the UK General Data Protection Regulation (UK GDPR)</w:t>
      </w:r>
      <w:r w:rsidRPr="6C87A1CA" w:rsidR="71E93BF5">
        <w:rPr>
          <w:rFonts w:ascii="Arial" w:hAnsi="Arial" w:eastAsia="Arial" w:cs="Arial"/>
          <w:noProof w:val="0"/>
          <w:sz w:val="22"/>
          <w:szCs w:val="22"/>
          <w:lang w:val="en-GB"/>
        </w:rPr>
        <w:t xml:space="preserve">. Wilmslow: ICO. Available at: </w:t>
      </w:r>
      <w:hyperlink r:id="R8a3011d943934ef6">
        <w:r w:rsidRPr="6C87A1CA" w:rsidR="71E93BF5">
          <w:rPr>
            <w:rStyle w:val="Hyperlink"/>
            <w:rFonts w:ascii="Arial" w:hAnsi="Arial" w:eastAsia="Arial" w:cs="Arial"/>
            <w:noProof w:val="0"/>
            <w:sz w:val="22"/>
            <w:szCs w:val="22"/>
            <w:lang w:val="en-GB"/>
          </w:rPr>
          <w:t>https://ico.org.uk</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3B3C5808" w14:textId="4E390CB3">
      <w:pPr>
        <w:spacing w:before="240" w:beforeAutospacing="off" w:after="240" w:afterAutospacing="off"/>
      </w:pPr>
      <w:r w:rsidRPr="6C87A1CA" w:rsidR="71E93BF5">
        <w:rPr>
          <w:rFonts w:ascii="Arial" w:hAnsi="Arial" w:eastAsia="Arial" w:cs="Arial"/>
          <w:noProof w:val="0"/>
          <w:sz w:val="22"/>
          <w:szCs w:val="22"/>
          <w:lang w:val="en-GB"/>
        </w:rPr>
        <w:t xml:space="preserve">NHS Digital (2021) </w:t>
      </w:r>
      <w:r w:rsidRPr="6C87A1CA" w:rsidR="71E93BF5">
        <w:rPr>
          <w:rFonts w:ascii="Arial" w:hAnsi="Arial" w:eastAsia="Arial" w:cs="Arial"/>
          <w:i w:val="1"/>
          <w:iCs w:val="1"/>
          <w:noProof w:val="0"/>
          <w:sz w:val="22"/>
          <w:szCs w:val="22"/>
          <w:lang w:val="en-GB"/>
        </w:rPr>
        <w:t>The Caldicott principles: Information governance guidance</w:t>
      </w:r>
      <w:r w:rsidRPr="6C87A1CA" w:rsidR="71E93BF5">
        <w:rPr>
          <w:rFonts w:ascii="Arial" w:hAnsi="Arial" w:eastAsia="Arial" w:cs="Arial"/>
          <w:noProof w:val="0"/>
          <w:sz w:val="22"/>
          <w:szCs w:val="22"/>
          <w:lang w:val="en-GB"/>
        </w:rPr>
        <w:t xml:space="preserve">. Leeds: NHS Digital. Available at: </w:t>
      </w:r>
      <w:hyperlink r:id="Ra4fdc689d8c14d02">
        <w:r w:rsidRPr="6C87A1CA" w:rsidR="71E93BF5">
          <w:rPr>
            <w:rStyle w:val="Hyperlink"/>
            <w:rFonts w:ascii="Arial" w:hAnsi="Arial" w:eastAsia="Arial" w:cs="Arial"/>
            <w:noProof w:val="0"/>
            <w:sz w:val="22"/>
            <w:szCs w:val="22"/>
            <w:lang w:val="en-GB"/>
          </w:rPr>
          <w:t>https://digital.nhs.uk</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6C465943" w14:textId="10E892E8">
      <w:pPr>
        <w:spacing w:before="240" w:beforeAutospacing="off" w:after="240" w:afterAutospacing="off"/>
      </w:pPr>
      <w:r w:rsidRPr="6C87A1CA" w:rsidR="71E93BF5">
        <w:rPr>
          <w:rFonts w:ascii="Arial" w:hAnsi="Arial" w:eastAsia="Arial" w:cs="Arial"/>
          <w:noProof w:val="0"/>
          <w:sz w:val="22"/>
          <w:szCs w:val="22"/>
          <w:lang w:val="en-GB"/>
        </w:rPr>
        <w:t xml:space="preserve">NHS England (2022) </w:t>
      </w:r>
      <w:r w:rsidRPr="6C87A1CA" w:rsidR="71E93BF5">
        <w:rPr>
          <w:rFonts w:ascii="Arial" w:hAnsi="Arial" w:eastAsia="Arial" w:cs="Arial"/>
          <w:i w:val="1"/>
          <w:iCs w:val="1"/>
          <w:noProof w:val="0"/>
          <w:sz w:val="22"/>
          <w:szCs w:val="22"/>
          <w:lang w:val="en-GB"/>
        </w:rPr>
        <w:t>Multidisciplinary team (MDT) working: Best practice guidance</w:t>
      </w:r>
      <w:r w:rsidRPr="6C87A1CA" w:rsidR="71E93BF5">
        <w:rPr>
          <w:rFonts w:ascii="Arial" w:hAnsi="Arial" w:eastAsia="Arial" w:cs="Arial"/>
          <w:noProof w:val="0"/>
          <w:sz w:val="22"/>
          <w:szCs w:val="22"/>
          <w:lang w:val="en-GB"/>
        </w:rPr>
        <w:t xml:space="preserve">. London: NHS England. Available at: </w:t>
      </w:r>
      <w:hyperlink r:id="Rdbe8c7ce1bc54764">
        <w:r w:rsidRPr="6C87A1CA" w:rsidR="71E93BF5">
          <w:rPr>
            <w:rStyle w:val="Hyperlink"/>
            <w:rFonts w:ascii="Arial" w:hAnsi="Arial" w:eastAsia="Arial" w:cs="Arial"/>
            <w:noProof w:val="0"/>
            <w:sz w:val="22"/>
            <w:szCs w:val="22"/>
            <w:lang w:val="en-GB"/>
          </w:rPr>
          <w:t>https://www.england.nhs.uk</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6F1EC1AD" w14:textId="014F6291">
      <w:pPr>
        <w:spacing w:before="240" w:beforeAutospacing="off" w:after="240" w:afterAutospacing="off"/>
      </w:pPr>
      <w:r w:rsidRPr="6C87A1CA" w:rsidR="71E93BF5">
        <w:rPr>
          <w:rFonts w:ascii="Arial" w:hAnsi="Arial" w:eastAsia="Arial" w:cs="Arial"/>
          <w:noProof w:val="0"/>
          <w:sz w:val="22"/>
          <w:szCs w:val="22"/>
          <w:lang w:val="en-GB"/>
        </w:rPr>
        <w:t xml:space="preserve">Nursing and Midwifery Council (NMC) (2018) </w:t>
      </w:r>
      <w:r w:rsidRPr="6C87A1CA" w:rsidR="71E93BF5">
        <w:rPr>
          <w:rFonts w:ascii="Arial" w:hAnsi="Arial" w:eastAsia="Arial" w:cs="Arial"/>
          <w:i w:val="1"/>
          <w:iCs w:val="1"/>
          <w:noProof w:val="0"/>
          <w:sz w:val="22"/>
          <w:szCs w:val="22"/>
          <w:lang w:val="en-GB"/>
        </w:rPr>
        <w:t>The Code: Professional standards of practice and behaviour for nurses, midwives and nursing associates</w:t>
      </w:r>
      <w:r w:rsidRPr="6C87A1CA" w:rsidR="71E93BF5">
        <w:rPr>
          <w:rFonts w:ascii="Arial" w:hAnsi="Arial" w:eastAsia="Arial" w:cs="Arial"/>
          <w:noProof w:val="0"/>
          <w:sz w:val="22"/>
          <w:szCs w:val="22"/>
          <w:lang w:val="en-GB"/>
        </w:rPr>
        <w:t xml:space="preserve">. London: NMC. Available at: </w:t>
      </w:r>
      <w:hyperlink r:id="R3e88a790dcc74edd">
        <w:r w:rsidRPr="6C87A1CA" w:rsidR="71E93BF5">
          <w:rPr>
            <w:rStyle w:val="Hyperlink"/>
            <w:rFonts w:ascii="Arial" w:hAnsi="Arial" w:eastAsia="Arial" w:cs="Arial"/>
            <w:noProof w:val="0"/>
            <w:sz w:val="22"/>
            <w:szCs w:val="22"/>
            <w:lang w:val="en-GB"/>
          </w:rPr>
          <w:t>https://www.nmc.org.uk</w:t>
        </w:r>
      </w:hyperlink>
      <w:r w:rsidRPr="6C87A1CA" w:rsidR="71E93BF5">
        <w:rPr>
          <w:rFonts w:ascii="Arial" w:hAnsi="Arial" w:eastAsia="Arial" w:cs="Arial"/>
          <w:noProof w:val="0"/>
          <w:sz w:val="22"/>
          <w:szCs w:val="22"/>
          <w:lang w:val="en-GB"/>
        </w:rPr>
        <w:t xml:space="preserve"> (Accessed: 20 March 2026).</w:t>
      </w:r>
    </w:p>
    <w:p w:rsidR="71E93BF5" w:rsidP="6C87A1CA" w:rsidRDefault="71E93BF5" w14:paraId="3931E2B2" w14:textId="1CEA9DB8">
      <w:pPr>
        <w:spacing w:before="240" w:beforeAutospacing="off" w:after="240" w:afterAutospacing="off"/>
      </w:pPr>
      <w:r w:rsidRPr="6C87A1CA" w:rsidR="71E93BF5">
        <w:rPr>
          <w:rFonts w:ascii="Arial" w:hAnsi="Arial" w:eastAsia="Arial" w:cs="Arial"/>
          <w:noProof w:val="0"/>
          <w:sz w:val="22"/>
          <w:szCs w:val="22"/>
          <w:lang w:val="en-GB"/>
        </w:rPr>
        <w:t xml:space="preserve">Social Care Institute for Excellence (SCIE) (2021) </w:t>
      </w:r>
      <w:r w:rsidRPr="6C87A1CA" w:rsidR="71E93BF5">
        <w:rPr>
          <w:rFonts w:ascii="Arial" w:hAnsi="Arial" w:eastAsia="Arial" w:cs="Arial"/>
          <w:i w:val="1"/>
          <w:iCs w:val="1"/>
          <w:noProof w:val="0"/>
          <w:sz w:val="22"/>
          <w:szCs w:val="22"/>
          <w:lang w:val="en-GB"/>
        </w:rPr>
        <w:t>Effective communication in health and social care</w:t>
      </w:r>
      <w:r w:rsidRPr="6C87A1CA" w:rsidR="71E93BF5">
        <w:rPr>
          <w:rFonts w:ascii="Arial" w:hAnsi="Arial" w:eastAsia="Arial" w:cs="Arial"/>
          <w:noProof w:val="0"/>
          <w:sz w:val="22"/>
          <w:szCs w:val="22"/>
          <w:lang w:val="en-GB"/>
        </w:rPr>
        <w:t xml:space="preserve">. London: SCIE. Available at: </w:t>
      </w:r>
      <w:hyperlink r:id="Rbe97ca803b8e4990">
        <w:r w:rsidRPr="6C87A1CA" w:rsidR="71E93BF5">
          <w:rPr>
            <w:rStyle w:val="Hyperlink"/>
            <w:rFonts w:ascii="Arial" w:hAnsi="Arial" w:eastAsia="Arial" w:cs="Arial"/>
            <w:noProof w:val="0"/>
            <w:sz w:val="22"/>
            <w:szCs w:val="22"/>
            <w:lang w:val="en-GB"/>
          </w:rPr>
          <w:t>https://www.scie.org.uk</w:t>
        </w:r>
      </w:hyperlink>
      <w:r w:rsidRPr="6C87A1CA" w:rsidR="71E93BF5">
        <w:rPr>
          <w:rFonts w:ascii="Arial" w:hAnsi="Arial" w:eastAsia="Arial" w:cs="Arial"/>
          <w:noProof w:val="0"/>
          <w:sz w:val="22"/>
          <w:szCs w:val="22"/>
          <w:lang w:val="en-GB"/>
        </w:rPr>
        <w:t xml:space="preserve"> (Accessed: 20 March 2026).</w:t>
      </w:r>
    </w:p>
    <w:p w:rsidR="6C87A1CA" w:rsidP="6C87A1CA" w:rsidRDefault="6C87A1CA" w14:paraId="7E08F74E" w14:textId="3A13BE79">
      <w:pPr>
        <w:spacing w:before="240" w:beforeAutospacing="off" w:after="240" w:afterAutospacing="off"/>
        <w:rPr>
          <w:rFonts w:ascii="Arial" w:hAnsi="Arial" w:eastAsia="Arial" w:cs="Arial"/>
          <w:b w:val="0"/>
          <w:bCs w:val="0"/>
          <w:i w:val="1"/>
          <w:iCs w:val="1"/>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595cdd71f84345e0"/>
      <w:footerReference w:type="default" r:id="R36c83a6643a84a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87A1CA" w:rsidTr="6C87A1CA" w14:paraId="40CB6AC2">
      <w:trPr>
        <w:trHeight w:val="300"/>
      </w:trPr>
      <w:tc>
        <w:tcPr>
          <w:tcW w:w="3005" w:type="dxa"/>
          <w:tcMar/>
        </w:tcPr>
        <w:p w:rsidR="6C87A1CA" w:rsidP="6C87A1CA" w:rsidRDefault="6C87A1CA" w14:paraId="63A5019C" w14:textId="00E6E4BC">
          <w:pPr>
            <w:pStyle w:val="Header"/>
            <w:bidi w:val="0"/>
            <w:ind w:left="-115"/>
            <w:jc w:val="left"/>
          </w:pPr>
        </w:p>
      </w:tc>
      <w:tc>
        <w:tcPr>
          <w:tcW w:w="3005" w:type="dxa"/>
          <w:tcMar/>
        </w:tcPr>
        <w:p w:rsidR="6C87A1CA" w:rsidP="6C87A1CA" w:rsidRDefault="6C87A1CA" w14:paraId="74EF478D" w14:textId="5B2A554E">
          <w:pPr>
            <w:pStyle w:val="Header"/>
            <w:bidi w:val="0"/>
            <w:jc w:val="center"/>
          </w:pPr>
          <w:r>
            <w:fldChar w:fldCharType="begin"/>
          </w:r>
          <w:r>
            <w:instrText xml:space="preserve">PAGE</w:instrText>
          </w:r>
          <w:r>
            <w:fldChar w:fldCharType="separate"/>
          </w:r>
          <w:r>
            <w:fldChar w:fldCharType="end"/>
          </w:r>
        </w:p>
      </w:tc>
      <w:tc>
        <w:tcPr>
          <w:tcW w:w="3005" w:type="dxa"/>
          <w:tcMar/>
        </w:tcPr>
        <w:p w:rsidR="6C87A1CA" w:rsidP="6C87A1CA" w:rsidRDefault="6C87A1CA" w14:paraId="61B487D6" w14:textId="4F7A1E01">
          <w:pPr>
            <w:pStyle w:val="Header"/>
            <w:bidi w:val="0"/>
            <w:ind w:right="-115"/>
            <w:jc w:val="right"/>
          </w:pPr>
        </w:p>
      </w:tc>
    </w:tr>
  </w:tbl>
  <w:p w:rsidR="6C87A1CA" w:rsidP="6C87A1CA" w:rsidRDefault="6C87A1CA" w14:paraId="15457F58" w14:textId="0CA96B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87A1CA" w:rsidTr="6C87A1CA" w14:paraId="64ADBF8A">
      <w:trPr>
        <w:trHeight w:val="300"/>
      </w:trPr>
      <w:tc>
        <w:tcPr>
          <w:tcW w:w="3005" w:type="dxa"/>
          <w:tcMar/>
        </w:tcPr>
        <w:p w:rsidR="6C87A1CA" w:rsidP="6C87A1CA" w:rsidRDefault="6C87A1CA" w14:paraId="50F73711" w14:textId="20BC625B">
          <w:pPr>
            <w:pStyle w:val="Header"/>
            <w:bidi w:val="0"/>
            <w:ind w:left="-115"/>
            <w:jc w:val="left"/>
          </w:pPr>
        </w:p>
      </w:tc>
      <w:tc>
        <w:tcPr>
          <w:tcW w:w="3005" w:type="dxa"/>
          <w:tcMar/>
        </w:tcPr>
        <w:p w:rsidR="6C87A1CA" w:rsidP="6C87A1CA" w:rsidRDefault="6C87A1CA" w14:paraId="7B8B4799" w14:textId="1BE64C98">
          <w:pPr>
            <w:pStyle w:val="Header"/>
            <w:bidi w:val="0"/>
            <w:jc w:val="center"/>
          </w:pPr>
        </w:p>
      </w:tc>
      <w:tc>
        <w:tcPr>
          <w:tcW w:w="3005" w:type="dxa"/>
          <w:tcMar/>
        </w:tcPr>
        <w:p w:rsidR="6C87A1CA" w:rsidP="6C87A1CA" w:rsidRDefault="6C87A1CA" w14:paraId="1106B64F" w14:textId="545F43D1">
          <w:pPr>
            <w:pStyle w:val="Header"/>
            <w:bidi w:val="0"/>
            <w:ind w:right="-115"/>
            <w:jc w:val="right"/>
          </w:pPr>
        </w:p>
      </w:tc>
    </w:tr>
  </w:tbl>
  <w:p w:rsidR="6C87A1CA" w:rsidP="6C87A1CA" w:rsidRDefault="6C87A1CA" w14:paraId="5E07BC3A" w14:textId="6CFBEC83">
    <w:pPr>
      <w:pStyle w:val="Header"/>
      <w:bidi w:val="0"/>
    </w:pPr>
  </w:p>
</w:hdr>
</file>

<file path=word/numbering.xml><?xml version="1.0" encoding="utf-8"?>
<w:numbering xmlns:w="http://schemas.openxmlformats.org/wordprocessingml/2006/main">
  <w:abstractNum xmlns:w="http://schemas.openxmlformats.org/wordprocessingml/2006/main" w:abstractNumId="8">
    <w:nsid w:val="7a56ee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5ee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510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d3a3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328b4ac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9c5820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21398d0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be828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B900ED"/>
    <w:rsid w:val="0172513C"/>
    <w:rsid w:val="038BE3E6"/>
    <w:rsid w:val="0422FD1A"/>
    <w:rsid w:val="042631A5"/>
    <w:rsid w:val="057C7A46"/>
    <w:rsid w:val="063AF865"/>
    <w:rsid w:val="07EF19FC"/>
    <w:rsid w:val="087AF351"/>
    <w:rsid w:val="088515F5"/>
    <w:rsid w:val="0B6A0F83"/>
    <w:rsid w:val="0D775BAA"/>
    <w:rsid w:val="0E559561"/>
    <w:rsid w:val="0F3343B1"/>
    <w:rsid w:val="102C9E53"/>
    <w:rsid w:val="1147E97E"/>
    <w:rsid w:val="11767730"/>
    <w:rsid w:val="11BB0945"/>
    <w:rsid w:val="11BE43EB"/>
    <w:rsid w:val="11D9AB5D"/>
    <w:rsid w:val="12409218"/>
    <w:rsid w:val="1276265D"/>
    <w:rsid w:val="172E45FD"/>
    <w:rsid w:val="18063B1C"/>
    <w:rsid w:val="1825FD58"/>
    <w:rsid w:val="196E27BE"/>
    <w:rsid w:val="19A088A8"/>
    <w:rsid w:val="19FB1E7D"/>
    <w:rsid w:val="1A6103BD"/>
    <w:rsid w:val="1B093BD3"/>
    <w:rsid w:val="1B968B1C"/>
    <w:rsid w:val="1CFF3EFD"/>
    <w:rsid w:val="1DC34F25"/>
    <w:rsid w:val="1FFB4042"/>
    <w:rsid w:val="200E1FBF"/>
    <w:rsid w:val="2277091E"/>
    <w:rsid w:val="23331C73"/>
    <w:rsid w:val="23E7C86D"/>
    <w:rsid w:val="241F799C"/>
    <w:rsid w:val="25594F97"/>
    <w:rsid w:val="2648AEAB"/>
    <w:rsid w:val="27B00402"/>
    <w:rsid w:val="27EB346C"/>
    <w:rsid w:val="283C0B7B"/>
    <w:rsid w:val="29357FAB"/>
    <w:rsid w:val="2962C141"/>
    <w:rsid w:val="29A06E43"/>
    <w:rsid w:val="29C35027"/>
    <w:rsid w:val="2A970E8E"/>
    <w:rsid w:val="2AF49962"/>
    <w:rsid w:val="2C1FC43F"/>
    <w:rsid w:val="2D9C6101"/>
    <w:rsid w:val="2DFC07D4"/>
    <w:rsid w:val="2DFE205E"/>
    <w:rsid w:val="2E66AA44"/>
    <w:rsid w:val="3085AA29"/>
    <w:rsid w:val="30E3B637"/>
    <w:rsid w:val="3286DC83"/>
    <w:rsid w:val="32D7AF1B"/>
    <w:rsid w:val="32E791E6"/>
    <w:rsid w:val="332DE9EE"/>
    <w:rsid w:val="334675CB"/>
    <w:rsid w:val="3374694E"/>
    <w:rsid w:val="3590EB1C"/>
    <w:rsid w:val="39482029"/>
    <w:rsid w:val="398E6784"/>
    <w:rsid w:val="39DBAE4A"/>
    <w:rsid w:val="39F50F75"/>
    <w:rsid w:val="3A273A90"/>
    <w:rsid w:val="3BCD6DAD"/>
    <w:rsid w:val="3C5B7124"/>
    <w:rsid w:val="3E85606D"/>
    <w:rsid w:val="411365D9"/>
    <w:rsid w:val="419AB65A"/>
    <w:rsid w:val="4300CE6B"/>
    <w:rsid w:val="4311B1B6"/>
    <w:rsid w:val="43F461EC"/>
    <w:rsid w:val="445ACC4F"/>
    <w:rsid w:val="4489C8CF"/>
    <w:rsid w:val="44CE3D12"/>
    <w:rsid w:val="47B31D68"/>
    <w:rsid w:val="48377797"/>
    <w:rsid w:val="4A6FA44E"/>
    <w:rsid w:val="4A809727"/>
    <w:rsid w:val="4BC0B3B9"/>
    <w:rsid w:val="4CBA555B"/>
    <w:rsid w:val="4DAA6473"/>
    <w:rsid w:val="4E3AC54B"/>
    <w:rsid w:val="500E649D"/>
    <w:rsid w:val="502E7E3F"/>
    <w:rsid w:val="53F64867"/>
    <w:rsid w:val="541DA165"/>
    <w:rsid w:val="5464D145"/>
    <w:rsid w:val="551BF91E"/>
    <w:rsid w:val="558C918B"/>
    <w:rsid w:val="56CCB825"/>
    <w:rsid w:val="57324F9D"/>
    <w:rsid w:val="57621956"/>
    <w:rsid w:val="589C6E88"/>
    <w:rsid w:val="58AE52AA"/>
    <w:rsid w:val="5A0458E3"/>
    <w:rsid w:val="5CA10F30"/>
    <w:rsid w:val="5EC45144"/>
    <w:rsid w:val="5ED0E65B"/>
    <w:rsid w:val="5F2D4C8E"/>
    <w:rsid w:val="600BC652"/>
    <w:rsid w:val="6304ED38"/>
    <w:rsid w:val="6306C65E"/>
    <w:rsid w:val="631268A8"/>
    <w:rsid w:val="6628CE7F"/>
    <w:rsid w:val="66BAE0E1"/>
    <w:rsid w:val="680166D9"/>
    <w:rsid w:val="6B4451AC"/>
    <w:rsid w:val="6B5BECD4"/>
    <w:rsid w:val="6B81E8D4"/>
    <w:rsid w:val="6BB5123C"/>
    <w:rsid w:val="6C692402"/>
    <w:rsid w:val="6C87A1CA"/>
    <w:rsid w:val="6CCAFDFE"/>
    <w:rsid w:val="6D62BB44"/>
    <w:rsid w:val="6DB900ED"/>
    <w:rsid w:val="6E7F397F"/>
    <w:rsid w:val="6E87327A"/>
    <w:rsid w:val="6EA76469"/>
    <w:rsid w:val="6EF0289F"/>
    <w:rsid w:val="705CA759"/>
    <w:rsid w:val="70B987D7"/>
    <w:rsid w:val="71E93BF5"/>
    <w:rsid w:val="7357F4C8"/>
    <w:rsid w:val="73A2F59D"/>
    <w:rsid w:val="74069F98"/>
    <w:rsid w:val="755AEBAE"/>
    <w:rsid w:val="75948D57"/>
    <w:rsid w:val="773422A1"/>
    <w:rsid w:val="790F1574"/>
    <w:rsid w:val="795BC45E"/>
    <w:rsid w:val="7A3D0CB2"/>
    <w:rsid w:val="7BD194A7"/>
    <w:rsid w:val="7CC9438E"/>
    <w:rsid w:val="7D57A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900ED"/>
  <w15:chartTrackingRefBased/>
  <w15:docId w15:val="{1707EC41-3EC0-4810-9085-DEB00D356A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C87A1CA"/>
    <w:pPr>
      <w:spacing/>
      <w:ind w:left="720"/>
      <w:contextualSpacing/>
    </w:pPr>
  </w:style>
  <w:style w:type="paragraph" w:styleId="Heading1">
    <w:uiPriority w:val="9"/>
    <w:name w:val="heading 1"/>
    <w:basedOn w:val="Normal"/>
    <w:next w:val="Normal"/>
    <w:qFormat/>
    <w:rsid w:val="6C87A1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C87A1CA"/>
    <w:rPr>
      <w:color w:val="467886"/>
      <w:u w:val="single"/>
    </w:rPr>
  </w:style>
  <w:style w:type="paragraph" w:styleId="Heading3">
    <w:uiPriority w:val="9"/>
    <w:name w:val="heading 3"/>
    <w:basedOn w:val="Normal"/>
    <w:next w:val="Normal"/>
    <w:unhideWhenUsed/>
    <w:qFormat/>
    <w:rsid w:val="6C87A1C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C87A1CA"/>
    <w:pPr>
      <w:tabs>
        <w:tab w:val="center" w:leader="none" w:pos="4680"/>
        <w:tab w:val="right" w:leader="none" w:pos="9360"/>
      </w:tabs>
      <w:spacing w:after="0" w:line="240" w:lineRule="auto"/>
    </w:pPr>
  </w:style>
  <w:style w:type="paragraph" w:styleId="Footer">
    <w:uiPriority w:val="99"/>
    <w:name w:val="footer"/>
    <w:basedOn w:val="Normal"/>
    <w:unhideWhenUsed/>
    <w:rsid w:val="6C87A1C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3735422" /><Relationship Type="http://schemas.openxmlformats.org/officeDocument/2006/relationships/hyperlink" Target="https://www.cqc.org.uk/" TargetMode="External" Id="R1df891977b5045aa" /><Relationship Type="http://schemas.openxmlformats.org/officeDocument/2006/relationships/hyperlink" Target="https://www.legislation.gov.uk/ukpga/2018/12/contents" TargetMode="External" Id="R37e89866afb54077" /><Relationship Type="http://schemas.openxmlformats.org/officeDocument/2006/relationships/hyperlink" Target="https://www.bing.com/search?q=%22https%3A%2F%2Fwww.legislation.gov.uk%2Fukpga%2F2018%2F12%2Fcontents%22" TargetMode="External" Id="Rd24a715ff6534964" /><Relationship Type="http://schemas.openxmlformats.org/officeDocument/2006/relationships/hyperlink" Target="https://www.legislation.gov.uk/ukpga/2010/15/contents" TargetMode="External" Id="R01fe2c74503345ac" /><Relationship Type="http://schemas.openxmlformats.org/officeDocument/2006/relationships/hyperlink" Target="https://www.bing.com/search?q=%22https%3A%2F%2Fwww.legislation.gov.uk%2Fukpga%2F2010%2F15%2Fcontents%22" TargetMode="External" Id="R8daea63456b448d9" /><Relationship Type="http://schemas.openxmlformats.org/officeDocument/2006/relationships/hyperlink" Target="https://www.gmc-uk.org/" TargetMode="External" Id="Rb5dd0c79d85d4966" /><Relationship Type="http://schemas.openxmlformats.org/officeDocument/2006/relationships/hyperlink" Target="https://www.hcpc-uk.org/" TargetMode="External" Id="R3f6c3dc886ac49be" /><Relationship Type="http://schemas.openxmlformats.org/officeDocument/2006/relationships/hyperlink" Target="https://ico.org.uk/" TargetMode="External" Id="R8a3011d943934ef6" /><Relationship Type="http://schemas.openxmlformats.org/officeDocument/2006/relationships/hyperlink" Target="https://digital.nhs.uk/" TargetMode="External" Id="Ra4fdc689d8c14d02" /><Relationship Type="http://schemas.openxmlformats.org/officeDocument/2006/relationships/hyperlink" Target="https://www.england.nhs.uk/" TargetMode="External" Id="Rdbe8c7ce1bc54764" /><Relationship Type="http://schemas.openxmlformats.org/officeDocument/2006/relationships/hyperlink" Target="https://www.nmc.org.uk/" TargetMode="External" Id="R3e88a790dcc74edd" /><Relationship Type="http://schemas.openxmlformats.org/officeDocument/2006/relationships/hyperlink" Target="https://www.scie.org.uk/" TargetMode="External" Id="Rbe97ca803b8e4990" /><Relationship Type="http://schemas.openxmlformats.org/officeDocument/2006/relationships/header" Target="/word/header.xml" Id="R595cdd71f84345e0" /><Relationship Type="http://schemas.openxmlformats.org/officeDocument/2006/relationships/footer" Target="/word/footer.xml" Id="R36c83a6643a84a76" /><Relationship Type="http://schemas.openxmlformats.org/officeDocument/2006/relationships/numbering" Target="/word/numbering.xml" Id="Rb21ef346bd1c4c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Janice Comoy Gordon (2508269)</dc:creator>
  <keywords/>
  <dc:description/>
  <lastModifiedBy>Janice Comoy Gordon (2508269)</lastModifiedBy>
  <revision>2</revision>
  <dcterms:created xsi:type="dcterms:W3CDTF">2026-03-20T19:23:27.3941580Z</dcterms:created>
  <dcterms:modified xsi:type="dcterms:W3CDTF">2026-03-23T18:19:54.8168321Z</dcterms:modified>
</coreProperties>
</file>