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color w:val="000000"/>
          <w:sz w:val="24"/>
          <w:szCs w:val="24"/>
        </w:rPr>
      </w:pPr>
      <w:r>
        <w:rPr>
          <w:color w:val="000000"/>
          <w:sz w:val="24"/>
          <w:szCs w:val="24"/>
        </w:rPr>
        <w:t xml:space="preserve">    </w:t>
      </w:r>
    </w:p>
    <w:p>
      <w:pPr>
        <w:pStyle w:val="style0"/>
        <w:jc w:val="center"/>
        <w:rPr>
          <w:b/>
          <w:bCs/>
          <w:color w:val="000000"/>
          <w:sz w:val="24"/>
          <w:szCs w:val="24"/>
        </w:rPr>
      </w:pPr>
    </w:p>
    <w:p>
      <w:pPr>
        <w:pStyle w:val="style0"/>
        <w:jc w:val="center"/>
        <w:rPr>
          <w:b/>
          <w:bCs/>
          <w:color w:val="000000"/>
          <w:sz w:val="24"/>
          <w:szCs w:val="24"/>
        </w:rPr>
      </w:pPr>
    </w:p>
    <w:p>
      <w:pPr>
        <w:pStyle w:val="style0"/>
        <w:jc w:val="center"/>
        <w:rPr>
          <w:b/>
          <w:bCs/>
          <w:color w:val="000000"/>
          <w:sz w:val="24"/>
          <w:szCs w:val="24"/>
        </w:rPr>
      </w:pPr>
    </w:p>
    <w:p>
      <w:pPr>
        <w:pStyle w:val="style0"/>
        <w:ind w:firstLine="0"/>
        <w:rPr>
          <w:b/>
          <w:bCs/>
          <w:color w:val="000000"/>
          <w:sz w:val="24"/>
          <w:szCs w:val="24"/>
        </w:rPr>
      </w:pPr>
    </w:p>
    <w:p>
      <w:pPr>
        <w:pStyle w:val="style0"/>
        <w:jc w:val="center"/>
        <w:rPr>
          <w:b/>
          <w:bCs/>
          <w:color w:val="000000"/>
          <w:sz w:val="24"/>
          <w:szCs w:val="24"/>
        </w:rPr>
      </w:pPr>
    </w:p>
    <w:p>
      <w:pPr>
        <w:pStyle w:val="style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Operations</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BMIH4002</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Student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Journal</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(Learning</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Log)</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Title: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Does</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required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skill</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set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&amp;</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employee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change,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based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on</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type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business</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type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service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that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operation</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utilizes?</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Student:</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Gina</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Stefanuta</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Student</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ID:2120011</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Lecturer's</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name:</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Tristan</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Hawkins</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Wordcount:824</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ind w:firstLine="0"/>
        <w:rPr>
          <w:b/>
          <w:color w:val="000000"/>
          <w:sz w:val="24"/>
          <w:szCs w:val="24"/>
        </w:rPr>
      </w:pPr>
    </w:p>
    <w:p>
      <w:pPr>
        <w:pStyle w:val="style0"/>
        <w:rPr>
          <w:b/>
          <w:color w:val="000000"/>
          <w:sz w:val="24"/>
          <w:szCs w:val="24"/>
        </w:rPr>
      </w:pPr>
      <w:r>
        <w:rPr>
          <w:color w:val="000000"/>
          <w:sz w:val="24"/>
          <w:szCs w:val="24"/>
        </w:rPr>
        <w:t>The food and Beverage sector’s success is based on employee collaboration and the necessary skill set for proper conduct due to interpersonal skills. Acquiring essential skills by employees would enhance companies’ performance more so in the Food and Beverage sector</w:t>
      </w:r>
      <w:r>
        <w:rPr>
          <w:color w:val="000000"/>
          <w:sz w:val="24"/>
          <w:szCs w:val="24"/>
        </w:rPr>
        <w:t xml:space="preserve"> </w:t>
      </w:r>
      <w:r>
        <w:rPr>
          <w:color w:val="000000"/>
          <w:sz w:val="24"/>
          <w:szCs w:val="24"/>
        </w:rPr>
        <w:t>(Ball et al., 2015)</w:t>
      </w:r>
      <w:r>
        <w:rPr>
          <w:color w:val="000000"/>
          <w:sz w:val="24"/>
          <w:szCs w:val="24"/>
        </w:rPr>
        <w:t>. The paper aims to evaluate the different required skill set of employees in the food and beverage sector concerning the types of services and operations utilised by the food and beverage sector. Besides, the paper will summarise my past learning experiences and observations in the food and beverage sector as a customer. It will also compare various Food and Beverage businesses concerning the styles of services they offer and how both hard and soft skills acquired by employees change the level of services within the industry. Furthermore, the learning log will include a personal reflection based on content learned in Moodle by assessing how I can apply what I have learned in future.</w:t>
      </w:r>
    </w:p>
    <w:p>
      <w:pPr>
        <w:pStyle w:val="style0"/>
        <w:rPr>
          <w:color w:val="000000"/>
          <w:sz w:val="24"/>
          <w:szCs w:val="24"/>
        </w:rPr>
      </w:pPr>
      <w:r>
        <w:rPr>
          <w:color w:val="000000"/>
          <w:sz w:val="24"/>
          <w:szCs w:val="24"/>
        </w:rPr>
        <w:t xml:space="preserve">Food and Beverage businesses can vary significantly in terms of the types and styles of service they </w:t>
      </w:r>
      <w:r>
        <w:rPr>
          <w:color w:val="000000"/>
          <w:sz w:val="24"/>
          <w:szCs w:val="24"/>
        </w:rPr>
        <w:t>offer</w:t>
      </w:r>
      <w:r>
        <w:rPr>
          <w:color w:val="000000"/>
          <w:sz w:val="24"/>
          <w:szCs w:val="24"/>
        </w:rPr>
        <w:t xml:space="preserve"> (Davis et al., 2018)</w:t>
      </w:r>
      <w:r>
        <w:rPr>
          <w:color w:val="000000"/>
          <w:sz w:val="24"/>
          <w:szCs w:val="24"/>
        </w:rPr>
        <w:t>. These can range from fast food restaurants to high-end fine dining establishments, and every kind of service requires different levels of hard and soft skills from employees.</w:t>
      </w:r>
    </w:p>
    <w:p>
      <w:pPr>
        <w:pStyle w:val="style0"/>
        <w:rPr>
          <w:color w:val="000000"/>
          <w:sz w:val="24"/>
          <w:szCs w:val="24"/>
        </w:rPr>
      </w:pPr>
      <w:r>
        <w:rPr>
          <w:color w:val="000000"/>
          <w:sz w:val="24"/>
          <w:szCs w:val="24"/>
        </w:rPr>
        <w:t>Fast food restaurants typically offer quick, self-service style options, limited menu options and low-priced meals. The required hard skills for employees in these types of businesses may include essential food preparation and customer service skills, such as operating a cash register and handling food safely</w:t>
      </w:r>
      <w:r>
        <w:rPr>
          <w:color w:val="000000"/>
          <w:sz w:val="24"/>
          <w:szCs w:val="24"/>
        </w:rPr>
        <w:t xml:space="preserve"> (Sisson and Adams, 2013)</w:t>
      </w:r>
      <w:r>
        <w:rPr>
          <w:color w:val="000000"/>
          <w:sz w:val="24"/>
          <w:szCs w:val="24"/>
        </w:rPr>
        <w:t>. Soft skills such as punctuality, a friendly demeanour, and the ability to work well in a fast-paced environment are also crucial in this service.</w:t>
      </w:r>
    </w:p>
    <w:p>
      <w:pPr>
        <w:pStyle w:val="style0"/>
        <w:rPr>
          <w:color w:val="000000"/>
          <w:sz w:val="24"/>
          <w:szCs w:val="24"/>
        </w:rPr>
      </w:pPr>
      <w:r>
        <w:rPr>
          <w:color w:val="000000"/>
          <w:sz w:val="24"/>
          <w:szCs w:val="24"/>
        </w:rPr>
        <w:t xml:space="preserve">Casual dining restaurants, such as diners and cafes, offer a more relaxed atmosphere with a wider variety of menu options and table service. Employees in these establishments must have a more comprehensive knowledge of the menu and may be expected to provide recommendations and upsell menu items. Hard skills in these </w:t>
      </w:r>
      <w:r>
        <w:rPr>
          <w:color w:val="000000"/>
          <w:sz w:val="24"/>
          <w:szCs w:val="24"/>
        </w:rPr>
        <w:t xml:space="preserve">businesses may include a more advanced level of food preparation and customer service, such as table service and basic wine </w:t>
      </w:r>
      <w:r>
        <w:rPr>
          <w:color w:val="000000"/>
          <w:sz w:val="24"/>
          <w:szCs w:val="24"/>
        </w:rPr>
        <w:t>knowledge</w:t>
      </w:r>
      <w:r>
        <w:rPr>
          <w:color w:val="000000"/>
          <w:sz w:val="24"/>
          <w:szCs w:val="24"/>
        </w:rPr>
        <w:t xml:space="preserve"> (Davis et al., 2018)</w:t>
      </w:r>
      <w:r>
        <w:rPr>
          <w:color w:val="000000"/>
          <w:sz w:val="24"/>
          <w:szCs w:val="24"/>
        </w:rPr>
        <w:t>. Soft skills, such as strong communication and interpersonal skills, are crucial for success in this service.</w:t>
      </w:r>
    </w:p>
    <w:p>
      <w:pPr>
        <w:pStyle w:val="style0"/>
        <w:rPr>
          <w:b/>
          <w:color w:val="000000"/>
          <w:sz w:val="24"/>
          <w:szCs w:val="24"/>
        </w:rPr>
      </w:pPr>
      <w:r>
        <w:rPr>
          <w:color w:val="000000"/>
          <w:sz w:val="24"/>
          <w:szCs w:val="24"/>
        </w:rPr>
        <w:t xml:space="preserve">Fine dining restaurants typically offer the highest level of service, with elaborate menus, extensive wine lists, and a formal </w:t>
      </w:r>
      <w:r>
        <w:rPr>
          <w:color w:val="000000"/>
          <w:sz w:val="24"/>
          <w:szCs w:val="24"/>
        </w:rPr>
        <w:t>atmosphere</w:t>
      </w:r>
      <w:r>
        <w:rPr>
          <w:color w:val="000000"/>
          <w:sz w:val="24"/>
          <w:szCs w:val="24"/>
        </w:rPr>
        <w:t xml:space="preserve"> (Davis et al., 2018).</w:t>
      </w:r>
      <w:r>
        <w:rPr>
          <w:color w:val="000000"/>
          <w:sz w:val="24"/>
          <w:szCs w:val="24"/>
        </w:rPr>
        <w:t xml:space="preserve"> Employees in these establishments must possess various hard skills, including advanced knowledge of food preparation, wine and beverage service, and table service. In addition, they must have a strong understanding of etiquette, dress codes, and table settings. Soft skills such as attention to detail, excellent communication, and the ability to provide a high level of customer service are also essential for success in this type of service.</w:t>
      </w:r>
    </w:p>
    <w:p>
      <w:pPr>
        <w:pStyle w:val="style0"/>
        <w:rPr>
          <w:color w:val="000000"/>
          <w:sz w:val="24"/>
          <w:szCs w:val="24"/>
        </w:rPr>
      </w:pPr>
      <w:r>
        <w:rPr>
          <w:color w:val="000000"/>
          <w:sz w:val="24"/>
          <w:szCs w:val="24"/>
        </w:rPr>
        <w:t>The food and Beverage Operations module has been an enriching learning experience for me. It has given me a comprehensive understanding of restaurant management, menu engineering, food and safety, and food hygiene.</w:t>
      </w:r>
    </w:p>
    <w:p>
      <w:pPr>
        <w:pStyle w:val="style0"/>
        <w:rPr>
          <w:color w:val="000000"/>
          <w:sz w:val="24"/>
          <w:szCs w:val="24"/>
        </w:rPr>
      </w:pPr>
      <w:r>
        <w:rPr>
          <w:color w:val="000000"/>
          <w:sz w:val="24"/>
          <w:szCs w:val="24"/>
        </w:rPr>
        <w:t>I have learned about the importance of creating a welcoming atmosphere and providing excellent customer service in restaurant management. I understand that customer satisfaction is the key to the success of any restaurant, and a happy customer is likely to return. I have also learned about the crucial role of effective communication in ensuring that the restaurant operates smoothly.</w:t>
      </w:r>
    </w:p>
    <w:p>
      <w:pPr>
        <w:pStyle w:val="style0"/>
        <w:rPr>
          <w:color w:val="000000"/>
          <w:sz w:val="24"/>
          <w:szCs w:val="24"/>
        </w:rPr>
      </w:pPr>
      <w:r>
        <w:rPr>
          <w:color w:val="000000"/>
          <w:sz w:val="24"/>
          <w:szCs w:val="24"/>
        </w:rPr>
        <w:t xml:space="preserve">Moving on to menu engineering, </w:t>
      </w:r>
      <w:r>
        <w:rPr>
          <w:color w:val="000000"/>
          <w:sz w:val="24"/>
          <w:szCs w:val="24"/>
        </w:rPr>
        <w:t>I have learned about the concept of menu mix and its impact on a restaurant's profit margins. I understand that menu engineering is not just about what is on the menu but also about how it is presented and priced. A well-designed menu can increase sales and drive revenue for a restaurant.</w:t>
      </w:r>
    </w:p>
    <w:p>
      <w:pPr>
        <w:pStyle w:val="style0"/>
        <w:rPr>
          <w:color w:val="000000"/>
          <w:sz w:val="24"/>
          <w:szCs w:val="24"/>
        </w:rPr>
      </w:pPr>
      <w:r>
        <w:rPr>
          <w:color w:val="000000"/>
          <w:sz w:val="24"/>
          <w:szCs w:val="24"/>
        </w:rPr>
        <w:t xml:space="preserve">Food safety and hygiene are also important in the food and beverage </w:t>
      </w:r>
      <w:r>
        <w:rPr>
          <w:color w:val="000000"/>
          <w:sz w:val="24"/>
          <w:szCs w:val="24"/>
        </w:rPr>
        <w:t>industry</w:t>
      </w:r>
      <w:r>
        <w:rPr>
          <w:color w:val="000000"/>
          <w:sz w:val="24"/>
          <w:szCs w:val="24"/>
        </w:rPr>
        <w:t xml:space="preserve"> (</w:t>
      </w:r>
      <w:r>
        <w:rPr>
          <w:color w:val="000000"/>
          <w:sz w:val="24"/>
          <w:szCs w:val="24"/>
        </w:rPr>
        <w:t>Akyazi et al., 2020)</w:t>
      </w:r>
      <w:r>
        <w:rPr>
          <w:color w:val="000000"/>
          <w:sz w:val="24"/>
          <w:szCs w:val="24"/>
        </w:rPr>
        <w:t>.</w:t>
      </w:r>
      <w:r>
        <w:rPr>
          <w:color w:val="000000"/>
          <w:sz w:val="24"/>
          <w:szCs w:val="24"/>
        </w:rPr>
        <w:t xml:space="preserve"> I have learned about the various food safety regulations and guidelines that must be followed to ensure tha</w:t>
      </w:r>
      <w:r>
        <w:rPr>
          <w:color w:val="000000"/>
          <w:sz w:val="24"/>
          <w:szCs w:val="24"/>
        </w:rPr>
        <w:t xml:space="preserve">t food is safe for consumption. </w:t>
      </w:r>
      <w:r>
        <w:rPr>
          <w:color w:val="000000"/>
          <w:sz w:val="24"/>
          <w:szCs w:val="24"/>
        </w:rPr>
        <w:t>These practices are essential in preventing foodborne illnesses and maintaining the health of customers and staff.</w:t>
      </w:r>
      <w:r>
        <w:rPr>
          <w:color w:val="000000"/>
          <w:sz w:val="24"/>
          <w:szCs w:val="24"/>
        </w:rPr>
        <w:t xml:space="preserve"> </w:t>
      </w:r>
    </w:p>
    <w:p>
      <w:pPr>
        <w:pStyle w:val="style0"/>
        <w:rPr>
          <w:b/>
          <w:color w:val="000000"/>
          <w:sz w:val="24"/>
          <w:szCs w:val="24"/>
        </w:rPr>
      </w:pPr>
      <w:r>
        <w:rPr>
          <w:color w:val="000000"/>
          <w:sz w:val="24"/>
          <w:szCs w:val="24"/>
        </w:rPr>
        <w:t xml:space="preserve">As a customer in the food and beverage industry, I observed and gained some experience based on the services offered by different establishments. Some of these experiences may include high-quality service. My observations of most restaurants I </w:t>
      </w:r>
      <w:r>
        <w:rPr>
          <w:color w:val="000000"/>
          <w:sz w:val="24"/>
          <w:szCs w:val="24"/>
        </w:rPr>
        <w:t xml:space="preserve">visited provided excellent customer service, creating a welcoming and enjoyable dining experience. Besides, there were unique menu options. I had the opportunity to try new and unique menu items that were creatively prepared and beautifully presented. </w:t>
      </w:r>
    </w:p>
    <w:p>
      <w:pPr>
        <w:pStyle w:val="style0"/>
        <w:rPr>
          <w:color w:val="000000"/>
          <w:sz w:val="24"/>
          <w:szCs w:val="24"/>
        </w:rPr>
      </w:pPr>
      <w:r>
        <w:rPr>
          <w:color w:val="000000"/>
          <w:sz w:val="24"/>
          <w:szCs w:val="24"/>
        </w:rPr>
        <w:t>The knowledge I have acquired in the Food and Beverage Operations module can be applied in various ways to enhance my understanding and success in the food and beverage industry. Some critical applications include improving restaurant management, where the knowledge acquired will help me understand customer satisfaction and effective communication to create a positive dining experience for customers, increase customer loyalty, and drive repeat business. Besides, I will use my knowledge of menu mix and pricing to design appealing menus and increase sales and revenue</w:t>
      </w:r>
      <w:r>
        <w:rPr>
          <w:color w:val="000000"/>
          <w:sz w:val="24"/>
          <w:szCs w:val="24"/>
        </w:rPr>
        <w:t>.</w:t>
      </w:r>
    </w:p>
    <w:p>
      <w:pPr>
        <w:pStyle w:val="style0"/>
        <w:rPr>
          <w:color w:val="000000"/>
          <w:sz w:val="24"/>
          <w:szCs w:val="24"/>
        </w:rPr>
      </w:pPr>
    </w:p>
    <w:p>
      <w:pPr>
        <w:pStyle w:val="style0"/>
        <w:rPr>
          <w:color w:val="000000"/>
          <w:sz w:val="24"/>
          <w:szCs w:val="24"/>
        </w:rPr>
      </w:pPr>
    </w:p>
    <w:bookmarkStart w:id="0" w:name="_Toc125553744"/>
    <w:p>
      <w:pPr>
        <w:pStyle w:val="style0"/>
        <w:spacing w:after="160" w:lineRule="auto" w:line="259"/>
        <w:ind w:firstLine="0"/>
        <w:jc w:val="left"/>
        <w:rPr>
          <w:color w:val="000000"/>
          <w:sz w:val="24"/>
          <w:szCs w:val="24"/>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spacing w:after="160" w:lineRule="auto" w:line="259"/>
        <w:ind w:firstLine="0"/>
        <w:jc w:val="left"/>
        <w:rPr>
          <w:b/>
          <w:sz w:val="24"/>
          <w:szCs w:val="24"/>
        </w:rPr>
      </w:pPr>
      <w:r>
        <w:rPr>
          <w:b/>
          <w:sz w:val="24"/>
          <w:szCs w:val="24"/>
        </w:rPr>
        <w:br w:type="page"/>
      </w:r>
    </w:p>
    <w:bookmarkStart w:id="1" w:name="_GoBack"/>
    <w:bookmarkEnd w:id="1"/>
    <w:p>
      <w:pPr>
        <w:pStyle w:val="style0"/>
        <w:jc w:val="left"/>
        <w:rPr>
          <w:b/>
          <w:sz w:val="24"/>
          <w:szCs w:val="24"/>
        </w:rPr>
      </w:pPr>
      <w:r>
        <w:rPr>
          <w:b/>
          <w:sz w:val="24"/>
          <w:szCs w:val="24"/>
        </w:rPr>
        <w:t>Reference</w:t>
      </w:r>
      <w:bookmarkEnd w:id="0"/>
      <w:r>
        <w:rPr>
          <w:b/>
          <w:sz w:val="24"/>
          <w:szCs w:val="24"/>
          <w:lang w:val="en-US"/>
        </w:rPr>
        <w:t>s:</w:t>
      </w:r>
    </w:p>
    <w:p>
      <w:pPr>
        <w:pStyle w:val="style0"/>
        <w:ind w:left="720" w:hanging="720"/>
        <w:contextualSpacing/>
        <w:rPr>
          <w:color w:val="000000"/>
          <w:sz w:val="24"/>
          <w:szCs w:val="24"/>
          <w:shd w:val="clear" w:color="auto" w:fill="ffffff"/>
        </w:rPr>
      </w:pPr>
      <w:r>
        <w:rPr>
          <w:color w:val="000000"/>
          <w:sz w:val="24"/>
          <w:szCs w:val="24"/>
          <w:shd w:val="clear" w:color="auto" w:fill="ffffff"/>
        </w:rPr>
        <w:t>Akyazi, T., Goti, A., Oyarbide, A., Alberdi, E. and Bayon, F., 2020. A guide for the food industry to meet the future skills requirements emerging with industry 4.0. </w:t>
      </w:r>
      <w:r>
        <w:rPr>
          <w:i/>
          <w:iCs/>
          <w:color w:val="000000"/>
          <w:sz w:val="24"/>
          <w:szCs w:val="24"/>
          <w:shd w:val="clear" w:color="auto" w:fill="ffffff"/>
        </w:rPr>
        <w:t>Foods</w:t>
      </w:r>
      <w:r>
        <w:rPr>
          <w:color w:val="000000"/>
          <w:sz w:val="24"/>
          <w:szCs w:val="24"/>
          <w:shd w:val="clear" w:color="auto" w:fill="ffffff"/>
        </w:rPr>
        <w:t>, </w:t>
      </w:r>
      <w:r>
        <w:rPr>
          <w:i/>
          <w:iCs/>
          <w:color w:val="000000"/>
          <w:sz w:val="24"/>
          <w:szCs w:val="24"/>
          <w:shd w:val="clear" w:color="auto" w:fill="ffffff"/>
        </w:rPr>
        <w:t>9</w:t>
      </w:r>
      <w:r>
        <w:rPr>
          <w:color w:val="000000"/>
          <w:sz w:val="24"/>
          <w:szCs w:val="24"/>
          <w:shd w:val="clear" w:color="auto" w:fill="ffffff"/>
        </w:rPr>
        <w:t>(4), p.492.</w:t>
      </w:r>
    </w:p>
    <w:p>
      <w:pPr>
        <w:pStyle w:val="style0"/>
        <w:ind w:left="720" w:hanging="720"/>
        <w:contextualSpacing/>
        <w:rPr>
          <w:color w:val="000000"/>
          <w:sz w:val="24"/>
          <w:szCs w:val="24"/>
          <w:shd w:val="clear" w:color="auto" w:fill="ffffff"/>
        </w:rPr>
      </w:pPr>
      <w:r>
        <w:rPr>
          <w:color w:val="000000"/>
          <w:sz w:val="24"/>
          <w:szCs w:val="24"/>
          <w:shd w:val="clear" w:color="auto" w:fill="ffffff"/>
        </w:rPr>
        <w:t>Ball, K., McNaughton, S.A., Le, H.N., Gold, L., Ni Mhurchu, C., Abbott, G., Pollard, C. and Crawford, D., 2015. Influence of price discounts and skill-building strategies on purchase and consumption of healthy food and beverages: outcomes of the Supermarket Healthy Eating for Life randomized controlled trial. </w:t>
      </w:r>
      <w:r>
        <w:rPr>
          <w:i/>
          <w:iCs/>
          <w:color w:val="000000"/>
          <w:sz w:val="24"/>
          <w:szCs w:val="24"/>
          <w:shd w:val="clear" w:color="auto" w:fill="ffffff"/>
        </w:rPr>
        <w:t>The American journal of clinical nutrition</w:t>
      </w:r>
      <w:r>
        <w:rPr>
          <w:color w:val="000000"/>
          <w:sz w:val="24"/>
          <w:szCs w:val="24"/>
          <w:shd w:val="clear" w:color="auto" w:fill="ffffff"/>
        </w:rPr>
        <w:t>, </w:t>
      </w:r>
      <w:r>
        <w:rPr>
          <w:i/>
          <w:iCs/>
          <w:color w:val="000000"/>
          <w:sz w:val="24"/>
          <w:szCs w:val="24"/>
          <w:shd w:val="clear" w:color="auto" w:fill="ffffff"/>
        </w:rPr>
        <w:t>101</w:t>
      </w:r>
      <w:r>
        <w:rPr>
          <w:color w:val="000000"/>
          <w:sz w:val="24"/>
          <w:szCs w:val="24"/>
          <w:shd w:val="clear" w:color="auto" w:fill="ffffff"/>
        </w:rPr>
        <w:t>(5), pp.1055-1064.</w:t>
      </w:r>
    </w:p>
    <w:p>
      <w:pPr>
        <w:pStyle w:val="style0"/>
        <w:ind w:left="720" w:hanging="720"/>
        <w:contextualSpacing/>
        <w:rPr>
          <w:color w:val="000000"/>
          <w:sz w:val="24"/>
          <w:szCs w:val="24"/>
          <w:shd w:val="clear" w:color="auto" w:fill="ffffff"/>
        </w:rPr>
      </w:pPr>
      <w:r>
        <w:rPr>
          <w:color w:val="000000"/>
          <w:sz w:val="24"/>
          <w:szCs w:val="24"/>
          <w:shd w:val="clear" w:color="auto" w:fill="ffffff"/>
        </w:rPr>
        <w:t>Bryant, L. and Jaworski, K., 2011. Gender, embodiment and place: The gendering of skills shortages in the Australian mining and food and beverage processing industries. </w:t>
      </w:r>
      <w:r>
        <w:rPr>
          <w:i/>
          <w:iCs/>
          <w:color w:val="000000"/>
          <w:sz w:val="24"/>
          <w:szCs w:val="24"/>
          <w:shd w:val="clear" w:color="auto" w:fill="ffffff"/>
        </w:rPr>
        <w:t>Human Relations</w:t>
      </w:r>
      <w:r>
        <w:rPr>
          <w:color w:val="000000"/>
          <w:sz w:val="24"/>
          <w:szCs w:val="24"/>
          <w:shd w:val="clear" w:color="auto" w:fill="ffffff"/>
        </w:rPr>
        <w:t>, </w:t>
      </w:r>
      <w:r>
        <w:rPr>
          <w:i/>
          <w:iCs/>
          <w:color w:val="000000"/>
          <w:sz w:val="24"/>
          <w:szCs w:val="24"/>
          <w:shd w:val="clear" w:color="auto" w:fill="ffffff"/>
        </w:rPr>
        <w:t>64</w:t>
      </w:r>
      <w:r>
        <w:rPr>
          <w:color w:val="000000"/>
          <w:sz w:val="24"/>
          <w:szCs w:val="24"/>
          <w:shd w:val="clear" w:color="auto" w:fill="ffffff"/>
        </w:rPr>
        <w:t>(10), pp.1345-1367.</w:t>
      </w:r>
    </w:p>
    <w:p>
      <w:pPr>
        <w:pStyle w:val="style0"/>
        <w:ind w:left="720" w:hanging="720"/>
        <w:contextualSpacing/>
        <w:rPr>
          <w:color w:val="000000"/>
          <w:sz w:val="24"/>
          <w:szCs w:val="24"/>
          <w:shd w:val="clear" w:color="auto" w:fill="ffffff"/>
        </w:rPr>
      </w:pPr>
      <w:r>
        <w:rPr>
          <w:color w:val="000000"/>
          <w:sz w:val="24"/>
          <w:szCs w:val="24"/>
          <w:shd w:val="clear" w:color="auto" w:fill="ffffff"/>
        </w:rPr>
        <w:t>Buted, D.R., Felicen, S.S. and Manzano, A.I., 2014. A Correlation study between student performance in food and beverage services course and internship in F&amp;B department of hospitality business. </w:t>
      </w:r>
      <w:r>
        <w:rPr>
          <w:i/>
          <w:iCs/>
          <w:color w:val="000000"/>
          <w:sz w:val="24"/>
          <w:szCs w:val="24"/>
          <w:shd w:val="clear" w:color="auto" w:fill="ffffff"/>
        </w:rPr>
        <w:t>International Journal of Academic Research in Business and Social Sciences</w:t>
      </w:r>
      <w:r>
        <w:rPr>
          <w:color w:val="000000"/>
          <w:sz w:val="24"/>
          <w:szCs w:val="24"/>
          <w:shd w:val="clear" w:color="auto" w:fill="ffffff"/>
        </w:rPr>
        <w:t>, </w:t>
      </w:r>
      <w:r>
        <w:rPr>
          <w:i/>
          <w:iCs/>
          <w:color w:val="000000"/>
          <w:sz w:val="24"/>
          <w:szCs w:val="24"/>
          <w:shd w:val="clear" w:color="auto" w:fill="ffffff"/>
        </w:rPr>
        <w:t>4</w:t>
      </w:r>
      <w:r>
        <w:rPr>
          <w:color w:val="000000"/>
          <w:sz w:val="24"/>
          <w:szCs w:val="24"/>
          <w:shd w:val="clear" w:color="auto" w:fill="ffffff"/>
        </w:rPr>
        <w:t>(6), p.54.</w:t>
      </w:r>
    </w:p>
    <w:p>
      <w:pPr>
        <w:pStyle w:val="style0"/>
        <w:ind w:left="720" w:hanging="720"/>
        <w:contextualSpacing/>
        <w:rPr>
          <w:color w:val="000000"/>
          <w:sz w:val="24"/>
          <w:szCs w:val="24"/>
          <w:shd w:val="clear" w:color="auto" w:fill="ffffff"/>
        </w:rPr>
      </w:pPr>
      <w:r>
        <w:rPr>
          <w:color w:val="000000"/>
          <w:sz w:val="24"/>
          <w:szCs w:val="24"/>
          <w:shd w:val="clear" w:color="auto" w:fill="ffffff"/>
        </w:rPr>
        <w:t>Carlisle, S., Ivanov, S. and Dijkmans, C., 2021. The digital skills divide: evidence from the European tourism industry. </w:t>
      </w:r>
      <w:r>
        <w:rPr>
          <w:i/>
          <w:iCs/>
          <w:color w:val="000000"/>
          <w:sz w:val="24"/>
          <w:szCs w:val="24"/>
          <w:shd w:val="clear" w:color="auto" w:fill="ffffff"/>
        </w:rPr>
        <w:t>Journal of Tourism Futures</w:t>
      </w:r>
      <w:r>
        <w:rPr>
          <w:color w:val="000000"/>
          <w:sz w:val="24"/>
          <w:szCs w:val="24"/>
          <w:shd w:val="clear" w:color="auto" w:fill="ffffff"/>
        </w:rPr>
        <w:t>.</w:t>
      </w:r>
    </w:p>
    <w:p>
      <w:pPr>
        <w:pStyle w:val="style0"/>
        <w:ind w:left="720" w:hanging="720"/>
        <w:contextualSpacing/>
        <w:rPr>
          <w:color w:val="000000"/>
          <w:sz w:val="24"/>
          <w:szCs w:val="24"/>
          <w:shd w:val="clear" w:color="auto" w:fill="ffffff"/>
        </w:rPr>
      </w:pPr>
      <w:r>
        <w:rPr>
          <w:color w:val="000000"/>
          <w:sz w:val="24"/>
          <w:szCs w:val="24"/>
          <w:shd w:val="clear" w:color="auto" w:fill="ffffff"/>
        </w:rPr>
        <w:t>Carlisle, S., Zaki, K., Ahmed, M., Dixey, L. and McLoughlin, E., 2021. The imperative to address sustainability skills gaps in tourism in Wales. </w:t>
      </w:r>
      <w:r>
        <w:rPr>
          <w:i/>
          <w:iCs/>
          <w:color w:val="000000"/>
          <w:sz w:val="24"/>
          <w:szCs w:val="24"/>
          <w:shd w:val="clear" w:color="auto" w:fill="ffffff"/>
        </w:rPr>
        <w:t>Sustainability</w:t>
      </w:r>
      <w:r>
        <w:rPr>
          <w:color w:val="000000"/>
          <w:sz w:val="24"/>
          <w:szCs w:val="24"/>
          <w:shd w:val="clear" w:color="auto" w:fill="ffffff"/>
        </w:rPr>
        <w:t>, </w:t>
      </w:r>
      <w:r>
        <w:rPr>
          <w:i/>
          <w:iCs/>
          <w:color w:val="000000"/>
          <w:sz w:val="24"/>
          <w:szCs w:val="24"/>
          <w:shd w:val="clear" w:color="auto" w:fill="ffffff"/>
        </w:rPr>
        <w:t>13</w:t>
      </w:r>
      <w:r>
        <w:rPr>
          <w:color w:val="000000"/>
          <w:sz w:val="24"/>
          <w:szCs w:val="24"/>
          <w:shd w:val="clear" w:color="auto" w:fill="ffffff"/>
        </w:rPr>
        <w:t>(3), p.1161.</w:t>
      </w:r>
    </w:p>
    <w:p>
      <w:pPr>
        <w:pStyle w:val="style0"/>
        <w:ind w:left="720" w:hanging="720"/>
        <w:contextualSpacing/>
        <w:rPr>
          <w:color w:val="000000"/>
          <w:sz w:val="24"/>
          <w:szCs w:val="24"/>
          <w:shd w:val="clear" w:color="auto" w:fill="ffffff"/>
        </w:rPr>
      </w:pPr>
      <w:r>
        <w:rPr>
          <w:color w:val="000000"/>
          <w:sz w:val="24"/>
          <w:szCs w:val="24"/>
          <w:shd w:val="clear" w:color="auto" w:fill="ffffff"/>
        </w:rPr>
        <w:t>Davis, B., Lockwood, A., Alcott, P. and Pantelidis, I.S., 2018. </w:t>
      </w:r>
      <w:r>
        <w:rPr>
          <w:i/>
          <w:iCs/>
          <w:color w:val="000000"/>
          <w:sz w:val="24"/>
          <w:szCs w:val="24"/>
          <w:shd w:val="clear" w:color="auto" w:fill="ffffff"/>
        </w:rPr>
        <w:t>Food and beverage management</w:t>
      </w:r>
      <w:r>
        <w:rPr>
          <w:color w:val="000000"/>
          <w:sz w:val="24"/>
          <w:szCs w:val="24"/>
          <w:shd w:val="clear" w:color="auto" w:fill="ffffff"/>
        </w:rPr>
        <w:t>. Routledge.</w:t>
      </w:r>
    </w:p>
    <w:p>
      <w:pPr>
        <w:pStyle w:val="style0"/>
        <w:ind w:left="720" w:hanging="720"/>
        <w:contextualSpacing/>
        <w:rPr>
          <w:color w:val="000000"/>
          <w:sz w:val="24"/>
          <w:szCs w:val="24"/>
          <w:shd w:val="clear" w:color="auto" w:fill="ffffff"/>
        </w:rPr>
      </w:pPr>
      <w:r>
        <w:rPr>
          <w:color w:val="000000"/>
          <w:sz w:val="24"/>
          <w:szCs w:val="24"/>
          <w:shd w:val="clear" w:color="auto" w:fill="ffffff"/>
        </w:rPr>
        <w:t>Sisson, L.G. and Adams, A.R., 2013. Essential hospitality management competencies: The importance of soft skills. </w:t>
      </w:r>
      <w:r>
        <w:rPr>
          <w:i/>
          <w:iCs/>
          <w:color w:val="000000"/>
          <w:sz w:val="24"/>
          <w:szCs w:val="24"/>
          <w:shd w:val="clear" w:color="auto" w:fill="ffffff"/>
        </w:rPr>
        <w:t>Journal of Hospitality &amp; Tourism Education</w:t>
      </w:r>
      <w:r>
        <w:rPr>
          <w:color w:val="000000"/>
          <w:sz w:val="24"/>
          <w:szCs w:val="24"/>
          <w:shd w:val="clear" w:color="auto" w:fill="ffffff"/>
        </w:rPr>
        <w:t>, </w:t>
      </w:r>
      <w:r>
        <w:rPr>
          <w:i/>
          <w:iCs/>
          <w:color w:val="000000"/>
          <w:sz w:val="24"/>
          <w:szCs w:val="24"/>
          <w:shd w:val="clear" w:color="auto" w:fill="ffffff"/>
        </w:rPr>
        <w:t>25</w:t>
      </w:r>
      <w:r>
        <w:rPr>
          <w:color w:val="000000"/>
          <w:sz w:val="24"/>
          <w:szCs w:val="24"/>
          <w:shd w:val="clear" w:color="auto" w:fill="ffffff"/>
        </w:rPr>
        <w:t>(3), pp.131-145.</w:t>
      </w:r>
    </w:p>
    <w:sectPr>
      <w:headerReference w:type="default" r:id="rId2"/>
      <w:pgSz w:w="12240" w:h="15840" w:orient="portrait"/>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0002EFF" w:usb1="C000247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0002AFF" w:usb1="C000247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0" w:lineRule="auto" w:line="360"/>
      <w:ind w:firstLine="720"/>
      <w:jc w:val="both"/>
    </w:pPr>
    <w:rPr>
      <w:rFonts w:ascii="Arial" w:cs="Arial" w:hAnsi="Arial"/>
      <w:lang w:val="en-GB"/>
    </w:rPr>
  </w:style>
  <w:style w:type="paragraph" w:styleId="style1">
    <w:name w:val="heading 1"/>
    <w:basedOn w:val="style0"/>
    <w:next w:val="style0"/>
    <w:link w:val="style4097"/>
    <w:qFormat/>
    <w:uiPriority w:val="9"/>
    <w:pPr>
      <w:ind w:firstLine="0"/>
      <w:outlineLvl w:val="0"/>
    </w:pPr>
    <w:rPr>
      <w:b/>
      <w:bCs/>
    </w:rPr>
  </w:style>
  <w:style w:type="paragraph" w:styleId="style2">
    <w:name w:val="heading 2"/>
    <w:basedOn w:val="style1"/>
    <w:next w:val="style0"/>
    <w:link w:val="style4098"/>
    <w:qFormat/>
    <w:uiPriority w:val="9"/>
    <w:pPr>
      <w:outlineLvl w:val="1"/>
    </w:pPr>
    <w:rPr>
      <w:i/>
      <w:iCs/>
    </w:rPr>
  </w:style>
  <w:style w:type="paragraph" w:styleId="style3">
    <w:name w:val="heading 3"/>
    <w:basedOn w:val="style2"/>
    <w:next w:val="style0"/>
    <w:link w:val="style4101"/>
    <w:qFormat/>
    <w:uiPriority w:val="9"/>
    <w:pPr>
      <w:jc w:val="center"/>
      <w:outlineLvl w:val="2"/>
    </w:pPr>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6a46cb2-1ddd-44b1-b6df-d6df2f69a877"/>
    <w:basedOn w:val="style65"/>
    <w:next w:val="style4097"/>
    <w:link w:val="style1"/>
    <w:uiPriority w:val="9"/>
    <w:rPr>
      <w:rFonts w:ascii="Arial" w:cs="Arial" w:hAnsi="Arial"/>
      <w:b/>
      <w:bCs/>
    </w:rPr>
  </w:style>
  <w:style w:type="character" w:customStyle="1" w:styleId="style4098">
    <w:name w:val="Heading 2 Char_b5fdad53-92fb-471b-96fe-937f01ba8eb9"/>
    <w:basedOn w:val="style65"/>
    <w:next w:val="style4098"/>
    <w:link w:val="style2"/>
    <w:uiPriority w:val="9"/>
    <w:rPr>
      <w:rFonts w:ascii="Arial" w:cs="Arial" w:hAnsi="Arial"/>
      <w:b/>
      <w:bCs/>
      <w:i/>
      <w:iCs/>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9"/>
    <w:uiPriority w:val="99"/>
    <w:pPr>
      <w:tabs>
        <w:tab w:val="center" w:leader="none" w:pos="4680"/>
        <w:tab w:val="right" w:leader="none" w:pos="9360"/>
      </w:tabs>
      <w:spacing w:lineRule="auto" w:line="240"/>
    </w:pPr>
    <w:rPr/>
  </w:style>
  <w:style w:type="character" w:customStyle="1" w:styleId="style4099">
    <w:name w:val="Header Char_7dd58f53-0d3c-4000-821e-936cb839e88d"/>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lineRule="auto" w:line="240"/>
    </w:pPr>
    <w:rPr/>
  </w:style>
  <w:style w:type="character" w:customStyle="1" w:styleId="style4100">
    <w:name w:val="Footer Char_51ed2ede-1102-43fa-801a-31d78395047d"/>
    <w:basedOn w:val="style65"/>
    <w:next w:val="style4100"/>
    <w:link w:val="style32"/>
    <w:uiPriority w:val="99"/>
  </w:style>
  <w:style w:type="paragraph" w:styleId="style157">
    <w:name w:val="No Spacing"/>
    <w:basedOn w:val="style0"/>
    <w:next w:val="style157"/>
    <w:qFormat/>
    <w:uiPriority w:val="1"/>
    <w:pPr>
      <w:ind w:left="720" w:hanging="720"/>
    </w:pPr>
    <w:rPr/>
  </w:style>
  <w:style w:type="character" w:customStyle="1" w:styleId="style4101">
    <w:name w:val="Heading 3 Char_5edc9342-5a1d-4eca-b0b0-0bb1b0c99041"/>
    <w:basedOn w:val="style65"/>
    <w:next w:val="style4101"/>
    <w:link w:val="style3"/>
    <w:uiPriority w:val="9"/>
    <w:rPr>
      <w:rFonts w:ascii="Arial" w:cs="Arial" w:hAnsi="Arial"/>
      <w:b/>
      <w:bCs/>
      <w:i/>
      <w:iCs/>
    </w:rPr>
  </w:style>
  <w:style w:type="paragraph" w:styleId="style21">
    <w:name w:val="toc 3"/>
    <w:basedOn w:val="style0"/>
    <w:next w:val="style0"/>
    <w:uiPriority w:val="39"/>
    <w:pPr>
      <w:spacing w:after="100"/>
      <w:ind w:left="4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66CF3-A840-4E37-BA7F-B4F4C8D5A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1116</Words>
  <Pages>5</Pages>
  <Characters>6191</Characters>
  <Application>WPS Office</Application>
  <DocSecurity>0</DocSecurity>
  <Paragraphs>71</Paragraphs>
  <ScaleCrop>false</ScaleCrop>
  <LinksUpToDate>false</LinksUpToDate>
  <CharactersWithSpaces>7284</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2023-02-03T11:01:20Z</dcterms:created>
  <dc:creator>gina stefanuta</dc:creator>
  <lastModifiedBy>2201123G</lastModifiedBy>
  <dcterms:modified xsi:type="dcterms:W3CDTF">2023-02-03T11:01:20Z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cbf202fb52834d10902cd24d29c359fd</vt:lpwstr>
  </property>
</Properties>
</file>