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26294" w14:textId="25D83964" w:rsidR="004C79C8" w:rsidRPr="00622A23" w:rsidRDefault="00A36F50" w:rsidP="00622A23">
      <w:pPr>
        <w:jc w:val="center"/>
        <w:rPr>
          <w:rFonts w:ascii="Arial" w:hAnsi="Arial" w:cs="Arial"/>
          <w:b/>
          <w:bCs/>
          <w:sz w:val="36"/>
          <w:szCs w:val="36"/>
        </w:rPr>
      </w:pPr>
      <w:r w:rsidRPr="00622A23">
        <w:rPr>
          <w:rFonts w:ascii="Arial" w:hAnsi="Arial" w:cs="Arial"/>
          <w:b/>
          <w:bCs/>
          <w:sz w:val="36"/>
          <w:szCs w:val="36"/>
        </w:rPr>
        <w:t>Claudio Frangione</w:t>
      </w:r>
    </w:p>
    <w:p w14:paraId="68126C3E" w14:textId="43779B96" w:rsidR="00A36F50" w:rsidRPr="00622A23" w:rsidRDefault="00A36F50" w:rsidP="00622A23">
      <w:pPr>
        <w:jc w:val="center"/>
        <w:rPr>
          <w:rFonts w:ascii="Arial" w:hAnsi="Arial" w:cs="Arial"/>
          <w:b/>
          <w:bCs/>
          <w:sz w:val="36"/>
          <w:szCs w:val="36"/>
        </w:rPr>
      </w:pPr>
      <w:r w:rsidRPr="00622A23">
        <w:rPr>
          <w:rFonts w:ascii="Arial" w:hAnsi="Arial" w:cs="Arial"/>
          <w:b/>
          <w:bCs/>
          <w:sz w:val="36"/>
          <w:szCs w:val="36"/>
        </w:rPr>
        <w:t>2331914</w:t>
      </w:r>
    </w:p>
    <w:p w14:paraId="1FCA708C" w14:textId="2AEEF4F3" w:rsidR="00A36F50" w:rsidRDefault="00A36F50" w:rsidP="00622A23">
      <w:pPr>
        <w:jc w:val="center"/>
        <w:rPr>
          <w:rFonts w:ascii="Arial" w:hAnsi="Arial" w:cs="Arial"/>
          <w:b/>
          <w:bCs/>
          <w:sz w:val="36"/>
          <w:szCs w:val="36"/>
        </w:rPr>
      </w:pPr>
      <w:r w:rsidRPr="00622A23">
        <w:rPr>
          <w:rFonts w:ascii="Arial" w:hAnsi="Arial" w:cs="Arial"/>
          <w:b/>
          <w:bCs/>
          <w:sz w:val="36"/>
          <w:szCs w:val="36"/>
        </w:rPr>
        <w:t xml:space="preserve">LCLM 5005 </w:t>
      </w:r>
      <w:r w:rsidR="005D3EB7">
        <w:rPr>
          <w:rFonts w:ascii="Arial" w:hAnsi="Arial" w:cs="Arial"/>
          <w:b/>
          <w:bCs/>
          <w:sz w:val="36"/>
          <w:szCs w:val="36"/>
        </w:rPr>
        <w:t>O</w:t>
      </w:r>
      <w:r w:rsidRPr="00622A23">
        <w:rPr>
          <w:rFonts w:ascii="Arial" w:hAnsi="Arial" w:cs="Arial"/>
          <w:b/>
          <w:bCs/>
          <w:sz w:val="36"/>
          <w:szCs w:val="36"/>
        </w:rPr>
        <w:t>rganisational Culture</w:t>
      </w:r>
    </w:p>
    <w:p w14:paraId="5B2BC093" w14:textId="034DCE75" w:rsidR="005D3EB7" w:rsidRPr="00622A23" w:rsidRDefault="005D3EB7" w:rsidP="00622A23">
      <w:pPr>
        <w:jc w:val="center"/>
        <w:rPr>
          <w:rFonts w:ascii="Arial" w:hAnsi="Arial" w:cs="Arial"/>
          <w:b/>
          <w:bCs/>
          <w:sz w:val="36"/>
          <w:szCs w:val="36"/>
        </w:rPr>
      </w:pPr>
      <w:r>
        <w:rPr>
          <w:rFonts w:ascii="Arial" w:hAnsi="Arial" w:cs="Arial"/>
          <w:b/>
          <w:bCs/>
          <w:sz w:val="36"/>
          <w:szCs w:val="36"/>
        </w:rPr>
        <w:t>Individual Report</w:t>
      </w:r>
    </w:p>
    <w:p w14:paraId="1C69BAA2" w14:textId="3D30D075" w:rsidR="00600DE5" w:rsidRPr="00622A23" w:rsidRDefault="00600DE5" w:rsidP="00622A23">
      <w:pPr>
        <w:jc w:val="center"/>
        <w:rPr>
          <w:rFonts w:ascii="Arial" w:hAnsi="Arial" w:cs="Arial"/>
          <w:b/>
          <w:bCs/>
          <w:sz w:val="36"/>
          <w:szCs w:val="36"/>
        </w:rPr>
      </w:pPr>
      <w:r w:rsidRPr="00622A23">
        <w:rPr>
          <w:rFonts w:ascii="Arial" w:hAnsi="Arial" w:cs="Arial"/>
          <w:b/>
          <w:bCs/>
          <w:sz w:val="36"/>
          <w:szCs w:val="36"/>
        </w:rPr>
        <w:t>David Oyebisi</w:t>
      </w:r>
    </w:p>
    <w:p w14:paraId="6585BA5F" w14:textId="77777777" w:rsidR="00A36F50" w:rsidRPr="00622A23" w:rsidRDefault="00A36F50" w:rsidP="00622A23">
      <w:pPr>
        <w:jc w:val="center"/>
        <w:rPr>
          <w:rFonts w:ascii="Arial" w:hAnsi="Arial" w:cs="Arial"/>
          <w:b/>
          <w:bCs/>
          <w:sz w:val="36"/>
          <w:szCs w:val="36"/>
        </w:rPr>
      </w:pPr>
    </w:p>
    <w:p w14:paraId="39207ECF" w14:textId="77777777" w:rsidR="00600DE5" w:rsidRDefault="00600DE5">
      <w:pPr>
        <w:rPr>
          <w:rFonts w:ascii="Arial" w:hAnsi="Arial" w:cs="Arial"/>
          <w:b/>
          <w:bCs/>
        </w:rPr>
      </w:pPr>
    </w:p>
    <w:p w14:paraId="553CD257" w14:textId="77777777" w:rsidR="00600DE5" w:rsidRDefault="00600DE5">
      <w:pPr>
        <w:rPr>
          <w:rFonts w:ascii="Arial" w:hAnsi="Arial" w:cs="Arial"/>
          <w:b/>
          <w:bCs/>
        </w:rPr>
      </w:pPr>
    </w:p>
    <w:p w14:paraId="4EC86BA7" w14:textId="77777777" w:rsidR="00600DE5" w:rsidRDefault="00600DE5">
      <w:pPr>
        <w:rPr>
          <w:rFonts w:ascii="Arial" w:hAnsi="Arial" w:cs="Arial"/>
          <w:b/>
          <w:bCs/>
        </w:rPr>
      </w:pPr>
    </w:p>
    <w:p w14:paraId="3E94AEDD" w14:textId="77777777" w:rsidR="00600DE5" w:rsidRDefault="00600DE5">
      <w:pPr>
        <w:rPr>
          <w:rFonts w:ascii="Arial" w:hAnsi="Arial" w:cs="Arial"/>
          <w:b/>
          <w:bCs/>
        </w:rPr>
      </w:pPr>
    </w:p>
    <w:p w14:paraId="078ACA82" w14:textId="77777777" w:rsidR="00600DE5" w:rsidRDefault="00600DE5">
      <w:pPr>
        <w:rPr>
          <w:rFonts w:ascii="Arial" w:hAnsi="Arial" w:cs="Arial"/>
          <w:b/>
          <w:bCs/>
        </w:rPr>
      </w:pPr>
    </w:p>
    <w:p w14:paraId="53F57003" w14:textId="77777777" w:rsidR="00600DE5" w:rsidRDefault="00600DE5">
      <w:pPr>
        <w:rPr>
          <w:rFonts w:ascii="Arial" w:hAnsi="Arial" w:cs="Arial"/>
          <w:b/>
          <w:bCs/>
        </w:rPr>
      </w:pPr>
    </w:p>
    <w:p w14:paraId="19F0EE45" w14:textId="77777777" w:rsidR="00600DE5" w:rsidRDefault="00600DE5">
      <w:pPr>
        <w:rPr>
          <w:rFonts w:ascii="Arial" w:hAnsi="Arial" w:cs="Arial"/>
          <w:b/>
          <w:bCs/>
        </w:rPr>
      </w:pPr>
    </w:p>
    <w:p w14:paraId="30C2C4CE" w14:textId="77777777" w:rsidR="00600DE5" w:rsidRDefault="00600DE5">
      <w:pPr>
        <w:rPr>
          <w:rFonts w:ascii="Arial" w:hAnsi="Arial" w:cs="Arial"/>
          <w:b/>
          <w:bCs/>
        </w:rPr>
      </w:pPr>
    </w:p>
    <w:p w14:paraId="42CB2AA1" w14:textId="77777777" w:rsidR="00600DE5" w:rsidRDefault="00600DE5">
      <w:pPr>
        <w:rPr>
          <w:rFonts w:ascii="Arial" w:hAnsi="Arial" w:cs="Arial"/>
          <w:b/>
          <w:bCs/>
        </w:rPr>
      </w:pPr>
    </w:p>
    <w:p w14:paraId="31FEB9EB" w14:textId="77777777" w:rsidR="00A36F50" w:rsidRDefault="00A36F50">
      <w:pPr>
        <w:rPr>
          <w:rFonts w:ascii="Arial" w:hAnsi="Arial" w:cs="Arial"/>
          <w:b/>
          <w:bCs/>
        </w:rPr>
      </w:pPr>
    </w:p>
    <w:p w14:paraId="70F0C1F7" w14:textId="77777777" w:rsidR="00A36F50" w:rsidRDefault="00A36F50">
      <w:pPr>
        <w:rPr>
          <w:rFonts w:ascii="Arial" w:hAnsi="Arial" w:cs="Arial"/>
          <w:b/>
          <w:bCs/>
        </w:rPr>
      </w:pPr>
    </w:p>
    <w:p w14:paraId="501667D1" w14:textId="77777777" w:rsidR="00A36F50" w:rsidRDefault="00A36F50">
      <w:pPr>
        <w:rPr>
          <w:rFonts w:ascii="Arial" w:hAnsi="Arial" w:cs="Arial"/>
          <w:b/>
          <w:bCs/>
        </w:rPr>
      </w:pPr>
    </w:p>
    <w:p w14:paraId="4DD7C7C3" w14:textId="77777777" w:rsidR="00A36F50" w:rsidRDefault="00A36F50">
      <w:pPr>
        <w:rPr>
          <w:rFonts w:ascii="Arial" w:hAnsi="Arial" w:cs="Arial"/>
          <w:b/>
          <w:bCs/>
        </w:rPr>
      </w:pPr>
    </w:p>
    <w:p w14:paraId="1DE78895" w14:textId="77777777" w:rsidR="00A36F50" w:rsidRDefault="00A36F50">
      <w:pPr>
        <w:rPr>
          <w:rFonts w:ascii="Arial" w:hAnsi="Arial" w:cs="Arial"/>
          <w:b/>
          <w:bCs/>
        </w:rPr>
      </w:pPr>
    </w:p>
    <w:p w14:paraId="0F74D851" w14:textId="77777777" w:rsidR="00A36F50" w:rsidRDefault="00A36F50">
      <w:pPr>
        <w:rPr>
          <w:rFonts w:ascii="Arial" w:hAnsi="Arial" w:cs="Arial"/>
          <w:b/>
          <w:bCs/>
        </w:rPr>
      </w:pPr>
    </w:p>
    <w:p w14:paraId="306E2E42" w14:textId="77777777" w:rsidR="00A36F50" w:rsidRDefault="00A36F50">
      <w:pPr>
        <w:rPr>
          <w:rFonts w:ascii="Arial" w:hAnsi="Arial" w:cs="Arial"/>
          <w:b/>
          <w:bCs/>
        </w:rPr>
      </w:pPr>
    </w:p>
    <w:p w14:paraId="7E464086" w14:textId="77777777" w:rsidR="00A36F50" w:rsidRDefault="00A36F50">
      <w:pPr>
        <w:rPr>
          <w:rFonts w:ascii="Arial" w:hAnsi="Arial" w:cs="Arial"/>
          <w:b/>
          <w:bCs/>
        </w:rPr>
      </w:pPr>
    </w:p>
    <w:p w14:paraId="20542221" w14:textId="77777777" w:rsidR="00A36F50" w:rsidRDefault="00A36F50">
      <w:pPr>
        <w:rPr>
          <w:rFonts w:ascii="Arial" w:hAnsi="Arial" w:cs="Arial"/>
          <w:b/>
          <w:bCs/>
        </w:rPr>
      </w:pPr>
    </w:p>
    <w:p w14:paraId="716CAD81" w14:textId="77777777" w:rsidR="00A36F50" w:rsidRDefault="00A36F50">
      <w:pPr>
        <w:rPr>
          <w:rFonts w:ascii="Arial" w:hAnsi="Arial" w:cs="Arial"/>
          <w:b/>
          <w:bCs/>
        </w:rPr>
      </w:pPr>
    </w:p>
    <w:p w14:paraId="1E737F9E" w14:textId="77777777" w:rsidR="00A36F50" w:rsidRDefault="00A36F50">
      <w:pPr>
        <w:rPr>
          <w:rFonts w:ascii="Arial" w:hAnsi="Arial" w:cs="Arial"/>
          <w:b/>
          <w:bCs/>
        </w:rPr>
      </w:pPr>
    </w:p>
    <w:p w14:paraId="507DC75A" w14:textId="77777777" w:rsidR="00A36F50" w:rsidRDefault="00A36F50">
      <w:pPr>
        <w:rPr>
          <w:rFonts w:ascii="Arial" w:hAnsi="Arial" w:cs="Arial"/>
          <w:b/>
          <w:bCs/>
        </w:rPr>
      </w:pPr>
    </w:p>
    <w:p w14:paraId="63709E75" w14:textId="77777777" w:rsidR="00A36F50" w:rsidRDefault="00A36F50">
      <w:pPr>
        <w:rPr>
          <w:rFonts w:ascii="Arial" w:hAnsi="Arial" w:cs="Arial"/>
          <w:b/>
          <w:bCs/>
        </w:rPr>
      </w:pPr>
    </w:p>
    <w:p w14:paraId="157BFEB5" w14:textId="77777777" w:rsidR="00A36F50" w:rsidRDefault="00A36F50">
      <w:pPr>
        <w:rPr>
          <w:rFonts w:ascii="Arial" w:hAnsi="Arial" w:cs="Arial"/>
          <w:b/>
          <w:bCs/>
        </w:rPr>
      </w:pPr>
    </w:p>
    <w:p w14:paraId="4EA2A861" w14:textId="77777777" w:rsidR="00A36F50" w:rsidRDefault="00A36F50">
      <w:pPr>
        <w:rPr>
          <w:rFonts w:ascii="Arial" w:hAnsi="Arial" w:cs="Arial"/>
          <w:b/>
          <w:bCs/>
        </w:rPr>
      </w:pPr>
    </w:p>
    <w:p w14:paraId="301C73D2" w14:textId="77777777" w:rsidR="00A36F50" w:rsidRDefault="00A36F50">
      <w:pPr>
        <w:rPr>
          <w:rFonts w:ascii="Arial" w:hAnsi="Arial" w:cs="Arial"/>
          <w:b/>
          <w:bCs/>
        </w:rPr>
      </w:pPr>
    </w:p>
    <w:sdt>
      <w:sdtPr>
        <w:rPr>
          <w:rFonts w:asciiTheme="minorHAnsi" w:eastAsiaTheme="minorHAnsi" w:hAnsiTheme="minorHAnsi" w:cstheme="minorBidi"/>
          <w:color w:val="auto"/>
          <w:kern w:val="2"/>
          <w:sz w:val="24"/>
          <w:szCs w:val="24"/>
          <w:lang w:val="en-GB"/>
          <w14:ligatures w14:val="standardContextual"/>
        </w:rPr>
        <w:id w:val="2054817767"/>
        <w:docPartObj>
          <w:docPartGallery w:val="Table of Contents"/>
          <w:docPartUnique/>
        </w:docPartObj>
      </w:sdtPr>
      <w:sdtEndPr>
        <w:rPr>
          <w:b/>
          <w:bCs/>
          <w:noProof/>
        </w:rPr>
      </w:sdtEndPr>
      <w:sdtContent>
        <w:p w14:paraId="41DB708C" w14:textId="660A892F" w:rsidR="00600DE5" w:rsidRDefault="00600DE5">
          <w:pPr>
            <w:pStyle w:val="TOCHeading"/>
          </w:pPr>
          <w:r>
            <w:t>Contents</w:t>
          </w:r>
        </w:p>
        <w:p w14:paraId="06EB889E" w14:textId="6A03E42D" w:rsidR="000607EC" w:rsidRDefault="00600D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343902" w:history="1">
            <w:r w:rsidR="000607EC" w:rsidRPr="00C22762">
              <w:rPr>
                <w:rStyle w:val="Hyperlink"/>
                <w:rFonts w:ascii="Arial" w:hAnsi="Arial" w:cs="Arial"/>
                <w:noProof/>
              </w:rPr>
              <w:t>ORGANISATIONAL CULTURE AND ITS IMPACT ON TOYOTA: A CRITICAL EVALUATION</w:t>
            </w:r>
            <w:r w:rsidR="000607EC">
              <w:rPr>
                <w:noProof/>
                <w:webHidden/>
              </w:rPr>
              <w:tab/>
            </w:r>
            <w:r w:rsidR="000607EC">
              <w:rPr>
                <w:noProof/>
                <w:webHidden/>
              </w:rPr>
              <w:fldChar w:fldCharType="begin"/>
            </w:r>
            <w:r w:rsidR="000607EC">
              <w:rPr>
                <w:noProof/>
                <w:webHidden/>
              </w:rPr>
              <w:instrText xml:space="preserve"> PAGEREF _Toc223343902 \h </w:instrText>
            </w:r>
            <w:r w:rsidR="000607EC">
              <w:rPr>
                <w:noProof/>
                <w:webHidden/>
              </w:rPr>
            </w:r>
            <w:r w:rsidR="000607EC">
              <w:rPr>
                <w:noProof/>
                <w:webHidden/>
              </w:rPr>
              <w:fldChar w:fldCharType="separate"/>
            </w:r>
            <w:r w:rsidR="000607EC">
              <w:rPr>
                <w:noProof/>
                <w:webHidden/>
              </w:rPr>
              <w:t>3</w:t>
            </w:r>
            <w:r w:rsidR="000607EC">
              <w:rPr>
                <w:noProof/>
                <w:webHidden/>
              </w:rPr>
              <w:fldChar w:fldCharType="end"/>
            </w:r>
          </w:hyperlink>
        </w:p>
        <w:p w14:paraId="14E4CB34" w14:textId="18233A0D" w:rsidR="000607EC" w:rsidRDefault="000607EC">
          <w:pPr>
            <w:pStyle w:val="TOC2"/>
            <w:tabs>
              <w:tab w:val="right" w:leader="dot" w:pos="9016"/>
            </w:tabs>
            <w:rPr>
              <w:rFonts w:eastAsiaTheme="minorEastAsia"/>
              <w:noProof/>
              <w:lang w:eastAsia="en-GB"/>
            </w:rPr>
          </w:pPr>
          <w:hyperlink w:anchor="_Toc223343903" w:history="1">
            <w:r w:rsidRPr="00C22762">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_Toc223343903 \h </w:instrText>
            </w:r>
            <w:r>
              <w:rPr>
                <w:noProof/>
                <w:webHidden/>
              </w:rPr>
            </w:r>
            <w:r>
              <w:rPr>
                <w:noProof/>
                <w:webHidden/>
              </w:rPr>
              <w:fldChar w:fldCharType="separate"/>
            </w:r>
            <w:r>
              <w:rPr>
                <w:noProof/>
                <w:webHidden/>
              </w:rPr>
              <w:t>3</w:t>
            </w:r>
            <w:r>
              <w:rPr>
                <w:noProof/>
                <w:webHidden/>
              </w:rPr>
              <w:fldChar w:fldCharType="end"/>
            </w:r>
          </w:hyperlink>
        </w:p>
        <w:p w14:paraId="28543E08" w14:textId="5B1D24D0" w:rsidR="000607EC" w:rsidRDefault="000607EC">
          <w:pPr>
            <w:pStyle w:val="TOC1"/>
            <w:tabs>
              <w:tab w:val="right" w:leader="dot" w:pos="9016"/>
            </w:tabs>
            <w:rPr>
              <w:rFonts w:eastAsiaTheme="minorEastAsia"/>
              <w:noProof/>
              <w:lang w:eastAsia="en-GB"/>
            </w:rPr>
          </w:pPr>
          <w:hyperlink w:anchor="_Toc223343904" w:history="1">
            <w:r w:rsidRPr="00C22762">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_Toc223343904 \h </w:instrText>
            </w:r>
            <w:r>
              <w:rPr>
                <w:noProof/>
                <w:webHidden/>
              </w:rPr>
            </w:r>
            <w:r>
              <w:rPr>
                <w:noProof/>
                <w:webHidden/>
              </w:rPr>
              <w:fldChar w:fldCharType="separate"/>
            </w:r>
            <w:r>
              <w:rPr>
                <w:noProof/>
                <w:webHidden/>
              </w:rPr>
              <w:t>3</w:t>
            </w:r>
            <w:r>
              <w:rPr>
                <w:noProof/>
                <w:webHidden/>
              </w:rPr>
              <w:fldChar w:fldCharType="end"/>
            </w:r>
          </w:hyperlink>
        </w:p>
        <w:p w14:paraId="42DC93AF" w14:textId="6FD3ED7B" w:rsidR="000607EC" w:rsidRDefault="000607EC">
          <w:pPr>
            <w:pStyle w:val="TOC1"/>
            <w:tabs>
              <w:tab w:val="right" w:leader="dot" w:pos="9016"/>
            </w:tabs>
            <w:rPr>
              <w:rFonts w:eastAsiaTheme="minorEastAsia"/>
              <w:noProof/>
              <w:lang w:eastAsia="en-GB"/>
            </w:rPr>
          </w:pPr>
          <w:hyperlink w:anchor="_Toc223343905" w:history="1">
            <w:r w:rsidRPr="00C22762">
              <w:rPr>
                <w:rStyle w:val="Hyperlink"/>
                <w:rFonts w:ascii="Arial" w:hAnsi="Arial" w:cs="Arial"/>
                <w:noProof/>
              </w:rPr>
              <w:t>2.0 ORGANISATIONAL CULTURE'S INFLUENCE ON STRUCTURE AND DECISION-MAKING</w:t>
            </w:r>
            <w:r>
              <w:rPr>
                <w:noProof/>
                <w:webHidden/>
              </w:rPr>
              <w:tab/>
            </w:r>
            <w:r>
              <w:rPr>
                <w:noProof/>
                <w:webHidden/>
              </w:rPr>
              <w:fldChar w:fldCharType="begin"/>
            </w:r>
            <w:r>
              <w:rPr>
                <w:noProof/>
                <w:webHidden/>
              </w:rPr>
              <w:instrText xml:space="preserve"> PAGEREF _Toc223343905 \h </w:instrText>
            </w:r>
            <w:r>
              <w:rPr>
                <w:noProof/>
                <w:webHidden/>
              </w:rPr>
            </w:r>
            <w:r>
              <w:rPr>
                <w:noProof/>
                <w:webHidden/>
              </w:rPr>
              <w:fldChar w:fldCharType="separate"/>
            </w:r>
            <w:r>
              <w:rPr>
                <w:noProof/>
                <w:webHidden/>
              </w:rPr>
              <w:t>4</w:t>
            </w:r>
            <w:r>
              <w:rPr>
                <w:noProof/>
                <w:webHidden/>
              </w:rPr>
              <w:fldChar w:fldCharType="end"/>
            </w:r>
          </w:hyperlink>
        </w:p>
        <w:p w14:paraId="231A6972" w14:textId="3207925B" w:rsidR="000607EC" w:rsidRDefault="000607EC">
          <w:pPr>
            <w:pStyle w:val="TOC2"/>
            <w:tabs>
              <w:tab w:val="right" w:leader="dot" w:pos="9016"/>
            </w:tabs>
            <w:rPr>
              <w:rFonts w:eastAsiaTheme="minorEastAsia"/>
              <w:noProof/>
              <w:lang w:eastAsia="en-GB"/>
            </w:rPr>
          </w:pPr>
          <w:hyperlink w:anchor="_Toc223343906" w:history="1">
            <w:r w:rsidRPr="00C22762">
              <w:rPr>
                <w:rStyle w:val="Hyperlink"/>
                <w:rFonts w:ascii="Arial" w:hAnsi="Arial" w:cs="Arial"/>
                <w:noProof/>
              </w:rPr>
              <w:t>2.1 Cultural Foundation and Structural Configuration</w:t>
            </w:r>
            <w:r>
              <w:rPr>
                <w:noProof/>
                <w:webHidden/>
              </w:rPr>
              <w:tab/>
            </w:r>
            <w:r>
              <w:rPr>
                <w:noProof/>
                <w:webHidden/>
              </w:rPr>
              <w:fldChar w:fldCharType="begin"/>
            </w:r>
            <w:r>
              <w:rPr>
                <w:noProof/>
                <w:webHidden/>
              </w:rPr>
              <w:instrText xml:space="preserve"> PAGEREF _Toc223343906 \h </w:instrText>
            </w:r>
            <w:r>
              <w:rPr>
                <w:noProof/>
                <w:webHidden/>
              </w:rPr>
            </w:r>
            <w:r>
              <w:rPr>
                <w:noProof/>
                <w:webHidden/>
              </w:rPr>
              <w:fldChar w:fldCharType="separate"/>
            </w:r>
            <w:r>
              <w:rPr>
                <w:noProof/>
                <w:webHidden/>
              </w:rPr>
              <w:t>4</w:t>
            </w:r>
            <w:r>
              <w:rPr>
                <w:noProof/>
                <w:webHidden/>
              </w:rPr>
              <w:fldChar w:fldCharType="end"/>
            </w:r>
          </w:hyperlink>
        </w:p>
        <w:p w14:paraId="474BF382" w14:textId="2EE397E0" w:rsidR="000607EC" w:rsidRDefault="000607EC">
          <w:pPr>
            <w:pStyle w:val="TOC2"/>
            <w:tabs>
              <w:tab w:val="right" w:leader="dot" w:pos="9016"/>
            </w:tabs>
            <w:rPr>
              <w:rFonts w:eastAsiaTheme="minorEastAsia"/>
              <w:noProof/>
              <w:lang w:eastAsia="en-GB"/>
            </w:rPr>
          </w:pPr>
          <w:hyperlink w:anchor="_Toc223343907" w:history="1">
            <w:r w:rsidRPr="00C22762">
              <w:rPr>
                <w:rStyle w:val="Hyperlink"/>
                <w:rFonts w:ascii="Arial" w:hAnsi="Arial" w:cs="Arial"/>
                <w:noProof/>
              </w:rPr>
              <w:t>2.2 Decision-Making Processes</w:t>
            </w:r>
            <w:r>
              <w:rPr>
                <w:noProof/>
                <w:webHidden/>
              </w:rPr>
              <w:tab/>
            </w:r>
            <w:r>
              <w:rPr>
                <w:noProof/>
                <w:webHidden/>
              </w:rPr>
              <w:fldChar w:fldCharType="begin"/>
            </w:r>
            <w:r>
              <w:rPr>
                <w:noProof/>
                <w:webHidden/>
              </w:rPr>
              <w:instrText xml:space="preserve"> PAGEREF _Toc223343907 \h </w:instrText>
            </w:r>
            <w:r>
              <w:rPr>
                <w:noProof/>
                <w:webHidden/>
              </w:rPr>
            </w:r>
            <w:r>
              <w:rPr>
                <w:noProof/>
                <w:webHidden/>
              </w:rPr>
              <w:fldChar w:fldCharType="separate"/>
            </w:r>
            <w:r>
              <w:rPr>
                <w:noProof/>
                <w:webHidden/>
              </w:rPr>
              <w:t>4</w:t>
            </w:r>
            <w:r>
              <w:rPr>
                <w:noProof/>
                <w:webHidden/>
              </w:rPr>
              <w:fldChar w:fldCharType="end"/>
            </w:r>
          </w:hyperlink>
        </w:p>
        <w:p w14:paraId="47C9ABCD" w14:textId="5C45FD14" w:rsidR="000607EC" w:rsidRDefault="000607EC">
          <w:pPr>
            <w:pStyle w:val="TOC1"/>
            <w:tabs>
              <w:tab w:val="right" w:leader="dot" w:pos="9016"/>
            </w:tabs>
            <w:rPr>
              <w:rFonts w:eastAsiaTheme="minorEastAsia"/>
              <w:noProof/>
              <w:lang w:eastAsia="en-GB"/>
            </w:rPr>
          </w:pPr>
          <w:hyperlink w:anchor="_Toc223343908" w:history="1">
            <w:r w:rsidRPr="00C22762">
              <w:rPr>
                <w:rStyle w:val="Hyperlink"/>
                <w:rFonts w:ascii="Arial" w:hAnsi="Arial" w:cs="Arial"/>
                <w:noProof/>
              </w:rPr>
              <w:t>3.0 IDENTIFYING AND ANALYSING ORGANISATIONAL CULTURE TYPES</w:t>
            </w:r>
            <w:r>
              <w:rPr>
                <w:noProof/>
                <w:webHidden/>
              </w:rPr>
              <w:tab/>
            </w:r>
            <w:r>
              <w:rPr>
                <w:noProof/>
                <w:webHidden/>
              </w:rPr>
              <w:fldChar w:fldCharType="begin"/>
            </w:r>
            <w:r>
              <w:rPr>
                <w:noProof/>
                <w:webHidden/>
              </w:rPr>
              <w:instrText xml:space="preserve"> PAGEREF _Toc223343908 \h </w:instrText>
            </w:r>
            <w:r>
              <w:rPr>
                <w:noProof/>
                <w:webHidden/>
              </w:rPr>
            </w:r>
            <w:r>
              <w:rPr>
                <w:noProof/>
                <w:webHidden/>
              </w:rPr>
              <w:fldChar w:fldCharType="separate"/>
            </w:r>
            <w:r>
              <w:rPr>
                <w:noProof/>
                <w:webHidden/>
              </w:rPr>
              <w:t>5</w:t>
            </w:r>
            <w:r>
              <w:rPr>
                <w:noProof/>
                <w:webHidden/>
              </w:rPr>
              <w:fldChar w:fldCharType="end"/>
            </w:r>
          </w:hyperlink>
        </w:p>
        <w:p w14:paraId="1ED0AEB1" w14:textId="2C4F5146" w:rsidR="000607EC" w:rsidRDefault="000607EC">
          <w:pPr>
            <w:pStyle w:val="TOC2"/>
            <w:tabs>
              <w:tab w:val="right" w:leader="dot" w:pos="9016"/>
            </w:tabs>
            <w:rPr>
              <w:rFonts w:eastAsiaTheme="minorEastAsia"/>
              <w:noProof/>
              <w:lang w:eastAsia="en-GB"/>
            </w:rPr>
          </w:pPr>
          <w:hyperlink w:anchor="_Toc223343909" w:history="1">
            <w:r w:rsidRPr="00C22762">
              <w:rPr>
                <w:rStyle w:val="Hyperlink"/>
                <w:rFonts w:ascii="Arial" w:hAnsi="Arial" w:cs="Arial"/>
                <w:noProof/>
              </w:rPr>
              <w:t>3.1 Application of Schein's Model</w:t>
            </w:r>
            <w:r>
              <w:rPr>
                <w:noProof/>
                <w:webHidden/>
              </w:rPr>
              <w:tab/>
            </w:r>
            <w:r>
              <w:rPr>
                <w:noProof/>
                <w:webHidden/>
              </w:rPr>
              <w:fldChar w:fldCharType="begin"/>
            </w:r>
            <w:r>
              <w:rPr>
                <w:noProof/>
                <w:webHidden/>
              </w:rPr>
              <w:instrText xml:space="preserve"> PAGEREF _Toc223343909 \h </w:instrText>
            </w:r>
            <w:r>
              <w:rPr>
                <w:noProof/>
                <w:webHidden/>
              </w:rPr>
            </w:r>
            <w:r>
              <w:rPr>
                <w:noProof/>
                <w:webHidden/>
              </w:rPr>
              <w:fldChar w:fldCharType="separate"/>
            </w:r>
            <w:r>
              <w:rPr>
                <w:noProof/>
                <w:webHidden/>
              </w:rPr>
              <w:t>5</w:t>
            </w:r>
            <w:r>
              <w:rPr>
                <w:noProof/>
                <w:webHidden/>
              </w:rPr>
              <w:fldChar w:fldCharType="end"/>
            </w:r>
          </w:hyperlink>
        </w:p>
        <w:p w14:paraId="46CA8043" w14:textId="309827DD" w:rsidR="000607EC" w:rsidRDefault="000607EC">
          <w:pPr>
            <w:pStyle w:val="TOC2"/>
            <w:tabs>
              <w:tab w:val="right" w:leader="dot" w:pos="9016"/>
            </w:tabs>
            <w:rPr>
              <w:rFonts w:eastAsiaTheme="minorEastAsia"/>
              <w:noProof/>
              <w:lang w:eastAsia="en-GB"/>
            </w:rPr>
          </w:pPr>
          <w:hyperlink w:anchor="_Toc223343910" w:history="1">
            <w:r w:rsidRPr="00C22762">
              <w:rPr>
                <w:rStyle w:val="Hyperlink"/>
                <w:rFonts w:ascii="Arial" w:hAnsi="Arial" w:cs="Arial"/>
                <w:noProof/>
              </w:rPr>
              <w:t>3.2 Hofstede's Cultural Dimensions Analysis</w:t>
            </w:r>
            <w:r>
              <w:rPr>
                <w:noProof/>
                <w:webHidden/>
              </w:rPr>
              <w:tab/>
            </w:r>
            <w:r>
              <w:rPr>
                <w:noProof/>
                <w:webHidden/>
              </w:rPr>
              <w:fldChar w:fldCharType="begin"/>
            </w:r>
            <w:r>
              <w:rPr>
                <w:noProof/>
                <w:webHidden/>
              </w:rPr>
              <w:instrText xml:space="preserve"> PAGEREF _Toc223343910 \h </w:instrText>
            </w:r>
            <w:r>
              <w:rPr>
                <w:noProof/>
                <w:webHidden/>
              </w:rPr>
            </w:r>
            <w:r>
              <w:rPr>
                <w:noProof/>
                <w:webHidden/>
              </w:rPr>
              <w:fldChar w:fldCharType="separate"/>
            </w:r>
            <w:r>
              <w:rPr>
                <w:noProof/>
                <w:webHidden/>
              </w:rPr>
              <w:t>6</w:t>
            </w:r>
            <w:r>
              <w:rPr>
                <w:noProof/>
                <w:webHidden/>
              </w:rPr>
              <w:fldChar w:fldCharType="end"/>
            </w:r>
          </w:hyperlink>
        </w:p>
        <w:p w14:paraId="61A75A83" w14:textId="5E640782" w:rsidR="000607EC" w:rsidRDefault="000607EC">
          <w:pPr>
            <w:pStyle w:val="TOC2"/>
            <w:tabs>
              <w:tab w:val="right" w:leader="dot" w:pos="9016"/>
            </w:tabs>
            <w:rPr>
              <w:rFonts w:eastAsiaTheme="minorEastAsia"/>
              <w:noProof/>
              <w:lang w:eastAsia="en-GB"/>
            </w:rPr>
          </w:pPr>
          <w:hyperlink w:anchor="_Toc223343911" w:history="1">
            <w:r w:rsidRPr="00C22762">
              <w:rPr>
                <w:rStyle w:val="Hyperlink"/>
                <w:rFonts w:ascii="Arial" w:hAnsi="Arial" w:cs="Arial"/>
                <w:noProof/>
              </w:rPr>
              <w:t>3.3 Handy's Cultural Types</w:t>
            </w:r>
            <w:r>
              <w:rPr>
                <w:noProof/>
                <w:webHidden/>
              </w:rPr>
              <w:tab/>
            </w:r>
            <w:r>
              <w:rPr>
                <w:noProof/>
                <w:webHidden/>
              </w:rPr>
              <w:fldChar w:fldCharType="begin"/>
            </w:r>
            <w:r>
              <w:rPr>
                <w:noProof/>
                <w:webHidden/>
              </w:rPr>
              <w:instrText xml:space="preserve"> PAGEREF _Toc223343911 \h </w:instrText>
            </w:r>
            <w:r>
              <w:rPr>
                <w:noProof/>
                <w:webHidden/>
              </w:rPr>
            </w:r>
            <w:r>
              <w:rPr>
                <w:noProof/>
                <w:webHidden/>
              </w:rPr>
              <w:fldChar w:fldCharType="separate"/>
            </w:r>
            <w:r>
              <w:rPr>
                <w:noProof/>
                <w:webHidden/>
              </w:rPr>
              <w:t>7</w:t>
            </w:r>
            <w:r>
              <w:rPr>
                <w:noProof/>
                <w:webHidden/>
              </w:rPr>
              <w:fldChar w:fldCharType="end"/>
            </w:r>
          </w:hyperlink>
        </w:p>
        <w:p w14:paraId="6C483B10" w14:textId="7428DAED" w:rsidR="000607EC" w:rsidRDefault="000607EC">
          <w:pPr>
            <w:pStyle w:val="TOC1"/>
            <w:tabs>
              <w:tab w:val="right" w:leader="dot" w:pos="9016"/>
            </w:tabs>
            <w:rPr>
              <w:rFonts w:eastAsiaTheme="minorEastAsia"/>
              <w:noProof/>
              <w:lang w:eastAsia="en-GB"/>
            </w:rPr>
          </w:pPr>
          <w:hyperlink w:anchor="_Toc223343912" w:history="1">
            <w:r w:rsidRPr="00C22762">
              <w:rPr>
                <w:rStyle w:val="Hyperlink"/>
                <w:rFonts w:ascii="Arial" w:hAnsi="Arial" w:cs="Arial"/>
                <w:noProof/>
              </w:rPr>
              <w:t>4.0 LEVERAGING CULTURE TO ADAPT TO EXTERNAL ENVIRONMENTAL INFLUENCES</w:t>
            </w:r>
            <w:r>
              <w:rPr>
                <w:noProof/>
                <w:webHidden/>
              </w:rPr>
              <w:tab/>
            </w:r>
            <w:r>
              <w:rPr>
                <w:noProof/>
                <w:webHidden/>
              </w:rPr>
              <w:fldChar w:fldCharType="begin"/>
            </w:r>
            <w:r>
              <w:rPr>
                <w:noProof/>
                <w:webHidden/>
              </w:rPr>
              <w:instrText xml:space="preserve"> PAGEREF _Toc223343912 \h </w:instrText>
            </w:r>
            <w:r>
              <w:rPr>
                <w:noProof/>
                <w:webHidden/>
              </w:rPr>
            </w:r>
            <w:r>
              <w:rPr>
                <w:noProof/>
                <w:webHidden/>
              </w:rPr>
              <w:fldChar w:fldCharType="separate"/>
            </w:r>
            <w:r>
              <w:rPr>
                <w:noProof/>
                <w:webHidden/>
              </w:rPr>
              <w:t>7</w:t>
            </w:r>
            <w:r>
              <w:rPr>
                <w:noProof/>
                <w:webHidden/>
              </w:rPr>
              <w:fldChar w:fldCharType="end"/>
            </w:r>
          </w:hyperlink>
        </w:p>
        <w:p w14:paraId="2A0ECF19" w14:textId="323E7AC1" w:rsidR="000607EC" w:rsidRDefault="000607EC">
          <w:pPr>
            <w:pStyle w:val="TOC2"/>
            <w:tabs>
              <w:tab w:val="right" w:leader="dot" w:pos="9016"/>
            </w:tabs>
            <w:rPr>
              <w:rFonts w:eastAsiaTheme="minorEastAsia"/>
              <w:noProof/>
              <w:lang w:eastAsia="en-GB"/>
            </w:rPr>
          </w:pPr>
          <w:hyperlink w:anchor="_Toc223343913" w:history="1">
            <w:r w:rsidRPr="00C22762">
              <w:rPr>
                <w:rStyle w:val="Hyperlink"/>
                <w:rFonts w:ascii="Arial" w:hAnsi="Arial" w:cs="Arial"/>
                <w:noProof/>
              </w:rPr>
              <w:t>4.1 Cultural Adaptability Mechanisms</w:t>
            </w:r>
            <w:r>
              <w:rPr>
                <w:noProof/>
                <w:webHidden/>
              </w:rPr>
              <w:tab/>
            </w:r>
            <w:r>
              <w:rPr>
                <w:noProof/>
                <w:webHidden/>
              </w:rPr>
              <w:fldChar w:fldCharType="begin"/>
            </w:r>
            <w:r>
              <w:rPr>
                <w:noProof/>
                <w:webHidden/>
              </w:rPr>
              <w:instrText xml:space="preserve"> PAGEREF _Toc223343913 \h </w:instrText>
            </w:r>
            <w:r>
              <w:rPr>
                <w:noProof/>
                <w:webHidden/>
              </w:rPr>
            </w:r>
            <w:r>
              <w:rPr>
                <w:noProof/>
                <w:webHidden/>
              </w:rPr>
              <w:fldChar w:fldCharType="separate"/>
            </w:r>
            <w:r>
              <w:rPr>
                <w:noProof/>
                <w:webHidden/>
              </w:rPr>
              <w:t>7</w:t>
            </w:r>
            <w:r>
              <w:rPr>
                <w:noProof/>
                <w:webHidden/>
              </w:rPr>
              <w:fldChar w:fldCharType="end"/>
            </w:r>
          </w:hyperlink>
        </w:p>
        <w:p w14:paraId="152BB658" w14:textId="45E6DB5F" w:rsidR="000607EC" w:rsidRDefault="000607EC">
          <w:pPr>
            <w:pStyle w:val="TOC2"/>
            <w:tabs>
              <w:tab w:val="right" w:leader="dot" w:pos="9016"/>
            </w:tabs>
            <w:rPr>
              <w:rFonts w:eastAsiaTheme="minorEastAsia"/>
              <w:noProof/>
              <w:lang w:eastAsia="en-GB"/>
            </w:rPr>
          </w:pPr>
          <w:hyperlink w:anchor="_Toc223343914" w:history="1">
            <w:r w:rsidRPr="00C22762">
              <w:rPr>
                <w:rStyle w:val="Hyperlink"/>
                <w:rFonts w:ascii="Arial" w:hAnsi="Arial" w:cs="Arial"/>
                <w:noProof/>
              </w:rPr>
              <w:t>4.2 Cultural Challenges in Environmental Adaptation</w:t>
            </w:r>
            <w:r>
              <w:rPr>
                <w:noProof/>
                <w:webHidden/>
              </w:rPr>
              <w:tab/>
            </w:r>
            <w:r>
              <w:rPr>
                <w:noProof/>
                <w:webHidden/>
              </w:rPr>
              <w:fldChar w:fldCharType="begin"/>
            </w:r>
            <w:r>
              <w:rPr>
                <w:noProof/>
                <w:webHidden/>
              </w:rPr>
              <w:instrText xml:space="preserve"> PAGEREF _Toc223343914 \h </w:instrText>
            </w:r>
            <w:r>
              <w:rPr>
                <w:noProof/>
                <w:webHidden/>
              </w:rPr>
            </w:r>
            <w:r>
              <w:rPr>
                <w:noProof/>
                <w:webHidden/>
              </w:rPr>
              <w:fldChar w:fldCharType="separate"/>
            </w:r>
            <w:r>
              <w:rPr>
                <w:noProof/>
                <w:webHidden/>
              </w:rPr>
              <w:t>8</w:t>
            </w:r>
            <w:r>
              <w:rPr>
                <w:noProof/>
                <w:webHidden/>
              </w:rPr>
              <w:fldChar w:fldCharType="end"/>
            </w:r>
          </w:hyperlink>
        </w:p>
        <w:p w14:paraId="48FF13A7" w14:textId="32510669" w:rsidR="000607EC" w:rsidRDefault="000607EC">
          <w:pPr>
            <w:pStyle w:val="TOC1"/>
            <w:tabs>
              <w:tab w:val="right" w:leader="dot" w:pos="9016"/>
            </w:tabs>
            <w:rPr>
              <w:rFonts w:eastAsiaTheme="minorEastAsia"/>
              <w:noProof/>
              <w:lang w:eastAsia="en-GB"/>
            </w:rPr>
          </w:pPr>
          <w:hyperlink w:anchor="_Toc223343915" w:history="1">
            <w:r w:rsidRPr="00C22762">
              <w:rPr>
                <w:rStyle w:val="Hyperlink"/>
                <w:rFonts w:ascii="Arial" w:hAnsi="Arial" w:cs="Arial"/>
                <w:noProof/>
              </w:rPr>
              <w:t>5.0 CULTURE AS BARRIER OR ENABLER</w:t>
            </w:r>
            <w:r>
              <w:rPr>
                <w:noProof/>
                <w:webHidden/>
              </w:rPr>
              <w:tab/>
            </w:r>
            <w:r>
              <w:rPr>
                <w:noProof/>
                <w:webHidden/>
              </w:rPr>
              <w:fldChar w:fldCharType="begin"/>
            </w:r>
            <w:r>
              <w:rPr>
                <w:noProof/>
                <w:webHidden/>
              </w:rPr>
              <w:instrText xml:space="preserve"> PAGEREF _Toc223343915 \h </w:instrText>
            </w:r>
            <w:r>
              <w:rPr>
                <w:noProof/>
                <w:webHidden/>
              </w:rPr>
            </w:r>
            <w:r>
              <w:rPr>
                <w:noProof/>
                <w:webHidden/>
              </w:rPr>
              <w:fldChar w:fldCharType="separate"/>
            </w:r>
            <w:r>
              <w:rPr>
                <w:noProof/>
                <w:webHidden/>
              </w:rPr>
              <w:t>8</w:t>
            </w:r>
            <w:r>
              <w:rPr>
                <w:noProof/>
                <w:webHidden/>
              </w:rPr>
              <w:fldChar w:fldCharType="end"/>
            </w:r>
          </w:hyperlink>
        </w:p>
        <w:p w14:paraId="7CA1C4A8" w14:textId="7B773D7D" w:rsidR="000607EC" w:rsidRDefault="000607EC">
          <w:pPr>
            <w:pStyle w:val="TOC2"/>
            <w:tabs>
              <w:tab w:val="right" w:leader="dot" w:pos="9016"/>
            </w:tabs>
            <w:rPr>
              <w:rFonts w:eastAsiaTheme="minorEastAsia"/>
              <w:noProof/>
              <w:lang w:eastAsia="en-GB"/>
            </w:rPr>
          </w:pPr>
          <w:hyperlink w:anchor="_Toc223343916" w:history="1">
            <w:r w:rsidRPr="00C22762">
              <w:rPr>
                <w:rStyle w:val="Hyperlink"/>
                <w:rFonts w:ascii="Arial" w:hAnsi="Arial" w:cs="Arial"/>
                <w:noProof/>
              </w:rPr>
              <w:t>5.1 Enabling Dimensions</w:t>
            </w:r>
            <w:r>
              <w:rPr>
                <w:noProof/>
                <w:webHidden/>
              </w:rPr>
              <w:tab/>
            </w:r>
            <w:r>
              <w:rPr>
                <w:noProof/>
                <w:webHidden/>
              </w:rPr>
              <w:fldChar w:fldCharType="begin"/>
            </w:r>
            <w:r>
              <w:rPr>
                <w:noProof/>
                <w:webHidden/>
              </w:rPr>
              <w:instrText xml:space="preserve"> PAGEREF _Toc223343916 \h </w:instrText>
            </w:r>
            <w:r>
              <w:rPr>
                <w:noProof/>
                <w:webHidden/>
              </w:rPr>
            </w:r>
            <w:r>
              <w:rPr>
                <w:noProof/>
                <w:webHidden/>
              </w:rPr>
              <w:fldChar w:fldCharType="separate"/>
            </w:r>
            <w:r>
              <w:rPr>
                <w:noProof/>
                <w:webHidden/>
              </w:rPr>
              <w:t>8</w:t>
            </w:r>
            <w:r>
              <w:rPr>
                <w:noProof/>
                <w:webHidden/>
              </w:rPr>
              <w:fldChar w:fldCharType="end"/>
            </w:r>
          </w:hyperlink>
        </w:p>
        <w:p w14:paraId="65025CD0" w14:textId="26999245" w:rsidR="000607EC" w:rsidRDefault="000607EC">
          <w:pPr>
            <w:pStyle w:val="TOC2"/>
            <w:tabs>
              <w:tab w:val="right" w:leader="dot" w:pos="9016"/>
            </w:tabs>
            <w:rPr>
              <w:rFonts w:eastAsiaTheme="minorEastAsia"/>
              <w:noProof/>
              <w:lang w:eastAsia="en-GB"/>
            </w:rPr>
          </w:pPr>
          <w:hyperlink w:anchor="_Toc223343917" w:history="1">
            <w:r w:rsidRPr="00C22762">
              <w:rPr>
                <w:rStyle w:val="Hyperlink"/>
                <w:rFonts w:ascii="Arial" w:hAnsi="Arial" w:cs="Arial"/>
                <w:noProof/>
              </w:rPr>
              <w:t>5.2 Barrier Dimensions</w:t>
            </w:r>
            <w:r>
              <w:rPr>
                <w:noProof/>
                <w:webHidden/>
              </w:rPr>
              <w:tab/>
            </w:r>
            <w:r>
              <w:rPr>
                <w:noProof/>
                <w:webHidden/>
              </w:rPr>
              <w:fldChar w:fldCharType="begin"/>
            </w:r>
            <w:r>
              <w:rPr>
                <w:noProof/>
                <w:webHidden/>
              </w:rPr>
              <w:instrText xml:space="preserve"> PAGEREF _Toc223343917 \h </w:instrText>
            </w:r>
            <w:r>
              <w:rPr>
                <w:noProof/>
                <w:webHidden/>
              </w:rPr>
            </w:r>
            <w:r>
              <w:rPr>
                <w:noProof/>
                <w:webHidden/>
              </w:rPr>
              <w:fldChar w:fldCharType="separate"/>
            </w:r>
            <w:r>
              <w:rPr>
                <w:noProof/>
                <w:webHidden/>
              </w:rPr>
              <w:t>9</w:t>
            </w:r>
            <w:r>
              <w:rPr>
                <w:noProof/>
                <w:webHidden/>
              </w:rPr>
              <w:fldChar w:fldCharType="end"/>
            </w:r>
          </w:hyperlink>
        </w:p>
        <w:p w14:paraId="26AF741A" w14:textId="7ED7E1F2" w:rsidR="000607EC" w:rsidRDefault="000607EC">
          <w:pPr>
            <w:pStyle w:val="TOC2"/>
            <w:tabs>
              <w:tab w:val="right" w:leader="dot" w:pos="9016"/>
            </w:tabs>
            <w:rPr>
              <w:rFonts w:eastAsiaTheme="minorEastAsia"/>
              <w:noProof/>
              <w:lang w:eastAsia="en-GB"/>
            </w:rPr>
          </w:pPr>
          <w:hyperlink w:anchor="_Toc223343918" w:history="1">
            <w:r w:rsidRPr="00C22762">
              <w:rPr>
                <w:rStyle w:val="Hyperlink"/>
                <w:rFonts w:ascii="Arial" w:hAnsi="Arial" w:cs="Arial"/>
                <w:noProof/>
              </w:rPr>
              <w:t>5.3 Overall Assessment</w:t>
            </w:r>
            <w:r>
              <w:rPr>
                <w:noProof/>
                <w:webHidden/>
              </w:rPr>
              <w:tab/>
            </w:r>
            <w:r>
              <w:rPr>
                <w:noProof/>
                <w:webHidden/>
              </w:rPr>
              <w:fldChar w:fldCharType="begin"/>
            </w:r>
            <w:r>
              <w:rPr>
                <w:noProof/>
                <w:webHidden/>
              </w:rPr>
              <w:instrText xml:space="preserve"> PAGEREF _Toc223343918 \h </w:instrText>
            </w:r>
            <w:r>
              <w:rPr>
                <w:noProof/>
                <w:webHidden/>
              </w:rPr>
            </w:r>
            <w:r>
              <w:rPr>
                <w:noProof/>
                <w:webHidden/>
              </w:rPr>
              <w:fldChar w:fldCharType="separate"/>
            </w:r>
            <w:r>
              <w:rPr>
                <w:noProof/>
                <w:webHidden/>
              </w:rPr>
              <w:t>10</w:t>
            </w:r>
            <w:r>
              <w:rPr>
                <w:noProof/>
                <w:webHidden/>
              </w:rPr>
              <w:fldChar w:fldCharType="end"/>
            </w:r>
          </w:hyperlink>
        </w:p>
        <w:p w14:paraId="3405C96F" w14:textId="21448953" w:rsidR="000607EC" w:rsidRDefault="000607EC">
          <w:pPr>
            <w:pStyle w:val="TOC1"/>
            <w:tabs>
              <w:tab w:val="right" w:leader="dot" w:pos="9016"/>
            </w:tabs>
            <w:rPr>
              <w:rFonts w:eastAsiaTheme="minorEastAsia"/>
              <w:noProof/>
              <w:lang w:eastAsia="en-GB"/>
            </w:rPr>
          </w:pPr>
          <w:hyperlink w:anchor="_Toc223343919" w:history="1">
            <w:r w:rsidRPr="00C22762">
              <w:rPr>
                <w:rStyle w:val="Hyperlink"/>
                <w:rFonts w:ascii="Arial" w:hAnsi="Arial" w:cs="Arial"/>
                <w:noProof/>
              </w:rPr>
              <w:t>6.0 IMPACT ON PERFORMANCE AND RECOMMENDATIONS</w:t>
            </w:r>
            <w:r>
              <w:rPr>
                <w:noProof/>
                <w:webHidden/>
              </w:rPr>
              <w:tab/>
            </w:r>
            <w:r>
              <w:rPr>
                <w:noProof/>
                <w:webHidden/>
              </w:rPr>
              <w:fldChar w:fldCharType="begin"/>
            </w:r>
            <w:r>
              <w:rPr>
                <w:noProof/>
                <w:webHidden/>
              </w:rPr>
              <w:instrText xml:space="preserve"> PAGEREF _Toc223343919 \h </w:instrText>
            </w:r>
            <w:r>
              <w:rPr>
                <w:noProof/>
                <w:webHidden/>
              </w:rPr>
            </w:r>
            <w:r>
              <w:rPr>
                <w:noProof/>
                <w:webHidden/>
              </w:rPr>
              <w:fldChar w:fldCharType="separate"/>
            </w:r>
            <w:r>
              <w:rPr>
                <w:noProof/>
                <w:webHidden/>
              </w:rPr>
              <w:t>10</w:t>
            </w:r>
            <w:r>
              <w:rPr>
                <w:noProof/>
                <w:webHidden/>
              </w:rPr>
              <w:fldChar w:fldCharType="end"/>
            </w:r>
          </w:hyperlink>
        </w:p>
        <w:p w14:paraId="5D0D85CF" w14:textId="1E560FB0" w:rsidR="000607EC" w:rsidRDefault="000607EC">
          <w:pPr>
            <w:pStyle w:val="TOC2"/>
            <w:tabs>
              <w:tab w:val="right" w:leader="dot" w:pos="9016"/>
            </w:tabs>
            <w:rPr>
              <w:rFonts w:eastAsiaTheme="minorEastAsia"/>
              <w:noProof/>
              <w:lang w:eastAsia="en-GB"/>
            </w:rPr>
          </w:pPr>
          <w:hyperlink w:anchor="_Toc223343920" w:history="1">
            <w:r w:rsidRPr="00C22762">
              <w:rPr>
                <w:rStyle w:val="Hyperlink"/>
                <w:rFonts w:ascii="Arial" w:hAnsi="Arial" w:cs="Arial"/>
                <w:noProof/>
              </w:rPr>
              <w:t>6.1 Performance Impact Analysis</w:t>
            </w:r>
            <w:r>
              <w:rPr>
                <w:noProof/>
                <w:webHidden/>
              </w:rPr>
              <w:tab/>
            </w:r>
            <w:r>
              <w:rPr>
                <w:noProof/>
                <w:webHidden/>
              </w:rPr>
              <w:fldChar w:fldCharType="begin"/>
            </w:r>
            <w:r>
              <w:rPr>
                <w:noProof/>
                <w:webHidden/>
              </w:rPr>
              <w:instrText xml:space="preserve"> PAGEREF _Toc223343920 \h </w:instrText>
            </w:r>
            <w:r>
              <w:rPr>
                <w:noProof/>
                <w:webHidden/>
              </w:rPr>
            </w:r>
            <w:r>
              <w:rPr>
                <w:noProof/>
                <w:webHidden/>
              </w:rPr>
              <w:fldChar w:fldCharType="separate"/>
            </w:r>
            <w:r>
              <w:rPr>
                <w:noProof/>
                <w:webHidden/>
              </w:rPr>
              <w:t>10</w:t>
            </w:r>
            <w:r>
              <w:rPr>
                <w:noProof/>
                <w:webHidden/>
              </w:rPr>
              <w:fldChar w:fldCharType="end"/>
            </w:r>
          </w:hyperlink>
        </w:p>
        <w:p w14:paraId="6AD331E9" w14:textId="526BEF2B" w:rsidR="000607EC" w:rsidRDefault="000607EC">
          <w:pPr>
            <w:pStyle w:val="TOC2"/>
            <w:tabs>
              <w:tab w:val="right" w:leader="dot" w:pos="9016"/>
            </w:tabs>
            <w:rPr>
              <w:rFonts w:eastAsiaTheme="minorEastAsia"/>
              <w:noProof/>
              <w:lang w:eastAsia="en-GB"/>
            </w:rPr>
          </w:pPr>
          <w:hyperlink w:anchor="_Toc223343921" w:history="1">
            <w:r w:rsidRPr="00C22762">
              <w:rPr>
                <w:rStyle w:val="Hyperlink"/>
                <w:rFonts w:ascii="Arial" w:hAnsi="Arial" w:cs="Arial"/>
                <w:noProof/>
              </w:rPr>
              <w:t>6.2 Evidence-Based Recommendations</w:t>
            </w:r>
            <w:r>
              <w:rPr>
                <w:noProof/>
                <w:webHidden/>
              </w:rPr>
              <w:tab/>
            </w:r>
            <w:r>
              <w:rPr>
                <w:noProof/>
                <w:webHidden/>
              </w:rPr>
              <w:fldChar w:fldCharType="begin"/>
            </w:r>
            <w:r>
              <w:rPr>
                <w:noProof/>
                <w:webHidden/>
              </w:rPr>
              <w:instrText xml:space="preserve"> PAGEREF _Toc223343921 \h </w:instrText>
            </w:r>
            <w:r>
              <w:rPr>
                <w:noProof/>
                <w:webHidden/>
              </w:rPr>
            </w:r>
            <w:r>
              <w:rPr>
                <w:noProof/>
                <w:webHidden/>
              </w:rPr>
              <w:fldChar w:fldCharType="separate"/>
            </w:r>
            <w:r>
              <w:rPr>
                <w:noProof/>
                <w:webHidden/>
              </w:rPr>
              <w:t>11</w:t>
            </w:r>
            <w:r>
              <w:rPr>
                <w:noProof/>
                <w:webHidden/>
              </w:rPr>
              <w:fldChar w:fldCharType="end"/>
            </w:r>
          </w:hyperlink>
        </w:p>
        <w:p w14:paraId="432E9E12" w14:textId="0696B97B" w:rsidR="000607EC" w:rsidRDefault="000607EC">
          <w:pPr>
            <w:pStyle w:val="TOC3"/>
            <w:tabs>
              <w:tab w:val="right" w:leader="dot" w:pos="9016"/>
            </w:tabs>
            <w:rPr>
              <w:rFonts w:eastAsiaTheme="minorEastAsia"/>
              <w:noProof/>
              <w:lang w:eastAsia="en-GB"/>
            </w:rPr>
          </w:pPr>
          <w:hyperlink w:anchor="_Toc223343922" w:history="1">
            <w:r w:rsidRPr="00C22762">
              <w:rPr>
                <w:rStyle w:val="Hyperlink"/>
                <w:rFonts w:ascii="Arial" w:hAnsi="Arial" w:cs="Arial"/>
                <w:noProof/>
              </w:rPr>
              <w:t>Recommendation One: Establish Cultural Ambidexterity Mechanisms</w:t>
            </w:r>
            <w:r>
              <w:rPr>
                <w:noProof/>
                <w:webHidden/>
              </w:rPr>
              <w:tab/>
            </w:r>
            <w:r>
              <w:rPr>
                <w:noProof/>
                <w:webHidden/>
              </w:rPr>
              <w:fldChar w:fldCharType="begin"/>
            </w:r>
            <w:r>
              <w:rPr>
                <w:noProof/>
                <w:webHidden/>
              </w:rPr>
              <w:instrText xml:space="preserve"> PAGEREF _Toc223343922 \h </w:instrText>
            </w:r>
            <w:r>
              <w:rPr>
                <w:noProof/>
                <w:webHidden/>
              </w:rPr>
            </w:r>
            <w:r>
              <w:rPr>
                <w:noProof/>
                <w:webHidden/>
              </w:rPr>
              <w:fldChar w:fldCharType="separate"/>
            </w:r>
            <w:r>
              <w:rPr>
                <w:noProof/>
                <w:webHidden/>
              </w:rPr>
              <w:t>11</w:t>
            </w:r>
            <w:r>
              <w:rPr>
                <w:noProof/>
                <w:webHidden/>
              </w:rPr>
              <w:fldChar w:fldCharType="end"/>
            </w:r>
          </w:hyperlink>
        </w:p>
        <w:p w14:paraId="6E72FE10" w14:textId="0F26A863" w:rsidR="000607EC" w:rsidRDefault="000607EC">
          <w:pPr>
            <w:pStyle w:val="TOC3"/>
            <w:tabs>
              <w:tab w:val="right" w:leader="dot" w:pos="9016"/>
            </w:tabs>
            <w:rPr>
              <w:rFonts w:eastAsiaTheme="minorEastAsia"/>
              <w:noProof/>
              <w:lang w:eastAsia="en-GB"/>
            </w:rPr>
          </w:pPr>
          <w:hyperlink w:anchor="_Toc223343923" w:history="1">
            <w:r w:rsidRPr="00C22762">
              <w:rPr>
                <w:rStyle w:val="Hyperlink"/>
                <w:rFonts w:ascii="Arial" w:hAnsi="Arial" w:cs="Arial"/>
                <w:noProof/>
              </w:rPr>
              <w:t>Recommendation Two: Accelerate Cultural Internationalisation</w:t>
            </w:r>
            <w:r>
              <w:rPr>
                <w:noProof/>
                <w:webHidden/>
              </w:rPr>
              <w:tab/>
            </w:r>
            <w:r>
              <w:rPr>
                <w:noProof/>
                <w:webHidden/>
              </w:rPr>
              <w:fldChar w:fldCharType="begin"/>
            </w:r>
            <w:r>
              <w:rPr>
                <w:noProof/>
                <w:webHidden/>
              </w:rPr>
              <w:instrText xml:space="preserve"> PAGEREF _Toc223343923 \h </w:instrText>
            </w:r>
            <w:r>
              <w:rPr>
                <w:noProof/>
                <w:webHidden/>
              </w:rPr>
            </w:r>
            <w:r>
              <w:rPr>
                <w:noProof/>
                <w:webHidden/>
              </w:rPr>
              <w:fldChar w:fldCharType="separate"/>
            </w:r>
            <w:r>
              <w:rPr>
                <w:noProof/>
                <w:webHidden/>
              </w:rPr>
              <w:t>11</w:t>
            </w:r>
            <w:r>
              <w:rPr>
                <w:noProof/>
                <w:webHidden/>
              </w:rPr>
              <w:fldChar w:fldCharType="end"/>
            </w:r>
          </w:hyperlink>
        </w:p>
        <w:p w14:paraId="4C89B0BC" w14:textId="53EA35CC" w:rsidR="000607EC" w:rsidRDefault="000607EC">
          <w:pPr>
            <w:pStyle w:val="TOC3"/>
            <w:tabs>
              <w:tab w:val="right" w:leader="dot" w:pos="9016"/>
            </w:tabs>
            <w:rPr>
              <w:rFonts w:eastAsiaTheme="minorEastAsia"/>
              <w:noProof/>
              <w:lang w:eastAsia="en-GB"/>
            </w:rPr>
          </w:pPr>
          <w:hyperlink w:anchor="_Toc223343924" w:history="1">
            <w:r w:rsidRPr="00C22762">
              <w:rPr>
                <w:rStyle w:val="Hyperlink"/>
                <w:rFonts w:ascii="Arial" w:hAnsi="Arial" w:cs="Arial"/>
                <w:noProof/>
              </w:rPr>
              <w:t>Recommendation Three: Evolve Cultural Metrics and Recognition Systems</w:t>
            </w:r>
            <w:r>
              <w:rPr>
                <w:noProof/>
                <w:webHidden/>
              </w:rPr>
              <w:tab/>
            </w:r>
            <w:r>
              <w:rPr>
                <w:noProof/>
                <w:webHidden/>
              </w:rPr>
              <w:fldChar w:fldCharType="begin"/>
            </w:r>
            <w:r>
              <w:rPr>
                <w:noProof/>
                <w:webHidden/>
              </w:rPr>
              <w:instrText xml:space="preserve"> PAGEREF _Toc223343924 \h </w:instrText>
            </w:r>
            <w:r>
              <w:rPr>
                <w:noProof/>
                <w:webHidden/>
              </w:rPr>
            </w:r>
            <w:r>
              <w:rPr>
                <w:noProof/>
                <w:webHidden/>
              </w:rPr>
              <w:fldChar w:fldCharType="separate"/>
            </w:r>
            <w:r>
              <w:rPr>
                <w:noProof/>
                <w:webHidden/>
              </w:rPr>
              <w:t>11</w:t>
            </w:r>
            <w:r>
              <w:rPr>
                <w:noProof/>
                <w:webHidden/>
              </w:rPr>
              <w:fldChar w:fldCharType="end"/>
            </w:r>
          </w:hyperlink>
        </w:p>
        <w:p w14:paraId="594DFF20" w14:textId="43875052" w:rsidR="000607EC" w:rsidRDefault="000607EC">
          <w:pPr>
            <w:pStyle w:val="TOC3"/>
            <w:tabs>
              <w:tab w:val="right" w:leader="dot" w:pos="9016"/>
            </w:tabs>
            <w:rPr>
              <w:rFonts w:eastAsiaTheme="minorEastAsia"/>
              <w:noProof/>
              <w:lang w:eastAsia="en-GB"/>
            </w:rPr>
          </w:pPr>
          <w:hyperlink w:anchor="_Toc223343925" w:history="1">
            <w:r w:rsidRPr="00C22762">
              <w:rPr>
                <w:rStyle w:val="Hyperlink"/>
                <w:rFonts w:ascii="Arial" w:hAnsi="Arial" w:cs="Arial"/>
                <w:noProof/>
              </w:rPr>
              <w:t>Recommendation Four: Enhance Cultural Transparency and Dialogue</w:t>
            </w:r>
            <w:r>
              <w:rPr>
                <w:noProof/>
                <w:webHidden/>
              </w:rPr>
              <w:tab/>
            </w:r>
            <w:r>
              <w:rPr>
                <w:noProof/>
                <w:webHidden/>
              </w:rPr>
              <w:fldChar w:fldCharType="begin"/>
            </w:r>
            <w:r>
              <w:rPr>
                <w:noProof/>
                <w:webHidden/>
              </w:rPr>
              <w:instrText xml:space="preserve"> PAGEREF _Toc223343925 \h </w:instrText>
            </w:r>
            <w:r>
              <w:rPr>
                <w:noProof/>
                <w:webHidden/>
              </w:rPr>
            </w:r>
            <w:r>
              <w:rPr>
                <w:noProof/>
                <w:webHidden/>
              </w:rPr>
              <w:fldChar w:fldCharType="separate"/>
            </w:r>
            <w:r>
              <w:rPr>
                <w:noProof/>
                <w:webHidden/>
              </w:rPr>
              <w:t>12</w:t>
            </w:r>
            <w:r>
              <w:rPr>
                <w:noProof/>
                <w:webHidden/>
              </w:rPr>
              <w:fldChar w:fldCharType="end"/>
            </w:r>
          </w:hyperlink>
        </w:p>
        <w:p w14:paraId="20415EDF" w14:textId="47C3F04F" w:rsidR="000607EC" w:rsidRDefault="000607EC">
          <w:pPr>
            <w:pStyle w:val="TOC1"/>
            <w:tabs>
              <w:tab w:val="right" w:leader="dot" w:pos="9016"/>
            </w:tabs>
            <w:rPr>
              <w:rFonts w:eastAsiaTheme="minorEastAsia"/>
              <w:noProof/>
              <w:lang w:eastAsia="en-GB"/>
            </w:rPr>
          </w:pPr>
          <w:hyperlink w:anchor="_Toc223343926" w:history="1">
            <w:r w:rsidRPr="00C22762">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_Toc223343926 \h </w:instrText>
            </w:r>
            <w:r>
              <w:rPr>
                <w:noProof/>
                <w:webHidden/>
              </w:rPr>
            </w:r>
            <w:r>
              <w:rPr>
                <w:noProof/>
                <w:webHidden/>
              </w:rPr>
              <w:fldChar w:fldCharType="separate"/>
            </w:r>
            <w:r>
              <w:rPr>
                <w:noProof/>
                <w:webHidden/>
              </w:rPr>
              <w:t>12</w:t>
            </w:r>
            <w:r>
              <w:rPr>
                <w:noProof/>
                <w:webHidden/>
              </w:rPr>
              <w:fldChar w:fldCharType="end"/>
            </w:r>
          </w:hyperlink>
        </w:p>
        <w:p w14:paraId="06E1483D" w14:textId="2F7FF173" w:rsidR="000607EC" w:rsidRDefault="000607EC">
          <w:pPr>
            <w:pStyle w:val="TOC1"/>
            <w:tabs>
              <w:tab w:val="right" w:leader="dot" w:pos="9016"/>
            </w:tabs>
            <w:rPr>
              <w:rFonts w:eastAsiaTheme="minorEastAsia"/>
              <w:noProof/>
              <w:lang w:eastAsia="en-GB"/>
            </w:rPr>
          </w:pPr>
          <w:hyperlink w:anchor="_Toc223343927" w:history="1">
            <w:r w:rsidRPr="00C2276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_Toc223343927 \h </w:instrText>
            </w:r>
            <w:r>
              <w:rPr>
                <w:noProof/>
                <w:webHidden/>
              </w:rPr>
            </w:r>
            <w:r>
              <w:rPr>
                <w:noProof/>
                <w:webHidden/>
              </w:rPr>
              <w:fldChar w:fldCharType="separate"/>
            </w:r>
            <w:r>
              <w:rPr>
                <w:noProof/>
                <w:webHidden/>
              </w:rPr>
              <w:t>13</w:t>
            </w:r>
            <w:r>
              <w:rPr>
                <w:noProof/>
                <w:webHidden/>
              </w:rPr>
              <w:fldChar w:fldCharType="end"/>
            </w:r>
          </w:hyperlink>
        </w:p>
        <w:p w14:paraId="2A54A14E" w14:textId="0B9CFA9F" w:rsidR="000607EC" w:rsidRDefault="00600DE5" w:rsidP="000607EC">
          <w:pPr>
            <w:rPr>
              <w:b/>
              <w:bCs/>
              <w:noProof/>
            </w:rPr>
          </w:pPr>
          <w:r>
            <w:rPr>
              <w:b/>
              <w:bCs/>
              <w:noProof/>
            </w:rPr>
            <w:fldChar w:fldCharType="end"/>
          </w:r>
        </w:p>
      </w:sdtContent>
    </w:sdt>
    <w:p w14:paraId="32463810" w14:textId="5A091AC3" w:rsidR="00A36F50" w:rsidRPr="000607EC" w:rsidRDefault="00A36F50" w:rsidP="000607EC">
      <w:pPr>
        <w:pStyle w:val="Heading1"/>
        <w:rPr>
          <w:rFonts w:ascii="Arial" w:hAnsi="Arial" w:cs="Arial"/>
          <w:sz w:val="24"/>
          <w:szCs w:val="24"/>
        </w:rPr>
      </w:pPr>
      <w:bookmarkStart w:id="0" w:name="_Toc223343902"/>
      <w:r w:rsidRPr="000607EC">
        <w:rPr>
          <w:rFonts w:ascii="Arial" w:hAnsi="Arial" w:cs="Arial"/>
          <w:sz w:val="24"/>
          <w:szCs w:val="24"/>
        </w:rPr>
        <w:t>ORGANISATIONAL CULTURE AND ITS IMPACT ON TOYOTA: A CRITICAL EVALUATION</w:t>
      </w:r>
      <w:bookmarkEnd w:id="0"/>
    </w:p>
    <w:p w14:paraId="4AE1831F" w14:textId="77777777" w:rsidR="00A36F50" w:rsidRPr="000607EC" w:rsidRDefault="00A36F50" w:rsidP="000607EC">
      <w:pPr>
        <w:pStyle w:val="Heading2"/>
        <w:rPr>
          <w:rFonts w:ascii="Arial" w:hAnsi="Arial" w:cs="Arial"/>
          <w:sz w:val="24"/>
          <w:szCs w:val="24"/>
        </w:rPr>
      </w:pPr>
      <w:bookmarkStart w:id="1" w:name="_Toc223343903"/>
      <w:r w:rsidRPr="000607EC">
        <w:rPr>
          <w:rFonts w:ascii="Arial" w:hAnsi="Arial" w:cs="Arial"/>
          <w:sz w:val="24"/>
          <w:szCs w:val="24"/>
        </w:rPr>
        <w:t>EXECUTIVE SUMMARY</w:t>
      </w:r>
      <w:bookmarkEnd w:id="1"/>
    </w:p>
    <w:p w14:paraId="487016C6" w14:textId="77777777" w:rsidR="00A36F50" w:rsidRPr="00A36F50" w:rsidRDefault="00A36F50" w:rsidP="00A36F50">
      <w:pPr>
        <w:spacing w:line="360" w:lineRule="auto"/>
        <w:rPr>
          <w:rFonts w:ascii="Arial" w:hAnsi="Arial" w:cs="Arial"/>
        </w:rPr>
      </w:pPr>
      <w:r w:rsidRPr="00A36F50">
        <w:rPr>
          <w:rFonts w:ascii="Arial" w:hAnsi="Arial" w:cs="Arial"/>
        </w:rPr>
        <w:t>This report critically examines organisational culture at Toyota Motor Corporation, evaluating its influence on structure, decision-making processes, and overall performance. Through analysis using Schein's Model, Hofstede's Cultural Dimensions, and Handy's Cultural Types, this report identifies Toyota's distinctive culture rooted in the Toyota Production System and the Toyota Way philosophy. The analysis demonstrates that Toyota's culture predominantly functions as an enabler to effective organisational functioning, though certain cultural characteristics can create barriers in rapidly changing market conditions. The report concludes with evidence-based recommendations for cultural adaptation whilst maintaining core values that have underpinned Toyota's sustained competitive advantage in the global automotive industry.</w:t>
      </w:r>
    </w:p>
    <w:p w14:paraId="0F2693F5" w14:textId="77777777" w:rsidR="00A36F50" w:rsidRPr="000607EC" w:rsidRDefault="00A36F50" w:rsidP="000607EC">
      <w:pPr>
        <w:pStyle w:val="Heading1"/>
        <w:rPr>
          <w:rFonts w:ascii="Arial" w:hAnsi="Arial" w:cs="Arial"/>
          <w:sz w:val="24"/>
          <w:szCs w:val="24"/>
        </w:rPr>
      </w:pPr>
      <w:bookmarkStart w:id="2" w:name="_Toc223343904"/>
      <w:r w:rsidRPr="000607EC">
        <w:rPr>
          <w:rFonts w:ascii="Arial" w:hAnsi="Arial" w:cs="Arial"/>
          <w:sz w:val="24"/>
          <w:szCs w:val="24"/>
        </w:rPr>
        <w:t>1.0 INTRODUCTION</w:t>
      </w:r>
      <w:bookmarkEnd w:id="2"/>
    </w:p>
    <w:p w14:paraId="5606D24E" w14:textId="77777777" w:rsidR="00A36F50" w:rsidRPr="00A36F50" w:rsidRDefault="00A36F50" w:rsidP="00A36F50">
      <w:pPr>
        <w:spacing w:line="360" w:lineRule="auto"/>
        <w:rPr>
          <w:rFonts w:ascii="Arial" w:hAnsi="Arial" w:cs="Arial"/>
        </w:rPr>
      </w:pPr>
      <w:r w:rsidRPr="00A36F50">
        <w:rPr>
          <w:rFonts w:ascii="Arial" w:hAnsi="Arial" w:cs="Arial"/>
        </w:rPr>
        <w:t>Organisational culture represents the fundamental essence of how organisations function, encompassing shared values, beliefs, and behavioural norms that distinguish one organisation from another (Schein, 2010). As Mullins and Christy (2016) articulate, culture pervades organisational processes including decision-making, structural design, and management control, becoming increasingly critical as globalisation intensifies workplace diversity. Toyota Motor Corporation provides an exemplary case study for examining organisational culture's impact, having developed a distinctive cultural identity that transcends national boundaries whilst maintaining Japanese philosophical foundations. This report systematically evaluates how Toyota's organisational culture influences its operations, structure, and performance in an increasingly complex global automotive market characterised by technological disruption, environmental pressures, and shifting consumer preferences.</w:t>
      </w:r>
    </w:p>
    <w:p w14:paraId="5EBECBEE" w14:textId="77777777" w:rsidR="00A36F50" w:rsidRPr="00600DE5" w:rsidRDefault="00A36F50" w:rsidP="00600DE5">
      <w:pPr>
        <w:pStyle w:val="Heading1"/>
        <w:rPr>
          <w:rFonts w:ascii="Arial" w:hAnsi="Arial" w:cs="Arial"/>
          <w:sz w:val="24"/>
          <w:szCs w:val="24"/>
        </w:rPr>
      </w:pPr>
      <w:bookmarkStart w:id="3" w:name="_Toc223343905"/>
      <w:r w:rsidRPr="00600DE5">
        <w:rPr>
          <w:rFonts w:ascii="Arial" w:hAnsi="Arial" w:cs="Arial"/>
          <w:sz w:val="24"/>
          <w:szCs w:val="24"/>
        </w:rPr>
        <w:lastRenderedPageBreak/>
        <w:t>2.0 ORGANISATIONAL CULTURE'S INFLUENCE ON STRUCTURE AND DECISION-MAKING</w:t>
      </w:r>
      <w:bookmarkEnd w:id="3"/>
    </w:p>
    <w:p w14:paraId="58A2623F" w14:textId="77777777" w:rsidR="00A36F50" w:rsidRPr="000607EC" w:rsidRDefault="00A36F50" w:rsidP="000607EC">
      <w:pPr>
        <w:pStyle w:val="Heading2"/>
        <w:rPr>
          <w:rFonts w:ascii="Arial" w:hAnsi="Arial" w:cs="Arial"/>
          <w:sz w:val="24"/>
          <w:szCs w:val="24"/>
        </w:rPr>
      </w:pPr>
      <w:bookmarkStart w:id="4" w:name="_Toc223343906"/>
      <w:r w:rsidRPr="000607EC">
        <w:rPr>
          <w:rFonts w:ascii="Arial" w:hAnsi="Arial" w:cs="Arial"/>
          <w:sz w:val="24"/>
          <w:szCs w:val="24"/>
        </w:rPr>
        <w:t>2.1 Cultural Foundation and Structural Configuration</w:t>
      </w:r>
      <w:bookmarkEnd w:id="4"/>
    </w:p>
    <w:p w14:paraId="689FDD3B" w14:textId="77777777" w:rsidR="00A36F50" w:rsidRPr="00A36F50" w:rsidRDefault="00A36F50" w:rsidP="00A36F50">
      <w:pPr>
        <w:spacing w:line="360" w:lineRule="auto"/>
        <w:rPr>
          <w:rFonts w:ascii="Arial" w:hAnsi="Arial" w:cs="Arial"/>
        </w:rPr>
      </w:pPr>
      <w:r w:rsidRPr="00A36F50">
        <w:rPr>
          <w:rFonts w:ascii="Arial" w:hAnsi="Arial" w:cs="Arial"/>
        </w:rPr>
        <w:t>Toyota's organisational culture fundamentally shapes its structural configuration through the Toyota Production System (TPS) and the Toyota Way philosophy, which emphasise continuous improvement (kaizen), respect for people, and long-term thinking (Liker, 2004). This cultural foundation manifests in a relatively flat organisational structure that facilitates rapid information flow and empowers employees at operational levels to identify problems and implement solutions. Unlike traditional hierarchical automotive manufacturers, Toyota's structure reflects its cultural emphasis on gemba (going to the actual place where work occurs) and genchi genbutsu (thorough understanding through direct observation), requiring structural arrangements that enable management proximity to production processes (Osono et al., 2008).</w:t>
      </w:r>
    </w:p>
    <w:p w14:paraId="57F7122C" w14:textId="77777777" w:rsidR="00A36F50" w:rsidRPr="00A36F50" w:rsidRDefault="00A36F50" w:rsidP="00A36F50">
      <w:pPr>
        <w:spacing w:line="360" w:lineRule="auto"/>
        <w:rPr>
          <w:rFonts w:ascii="Arial" w:hAnsi="Arial" w:cs="Arial"/>
        </w:rPr>
      </w:pPr>
      <w:r w:rsidRPr="00A36F50">
        <w:rPr>
          <w:rFonts w:ascii="Arial" w:hAnsi="Arial" w:cs="Arial"/>
        </w:rPr>
        <w:t>The cultural principle of nemawashi, involving consensus-building through informal discussion before formal decision-making, necessitates structural mechanisms that support lateral communication across functional boundaries (Takeuchi et al., 2008). Toyota's matrix-like structure, particularly in product development, reflects this cultural requirement, enabling cross-functional teams to collaborate intensively whilst maintaining clear accountability lines. This structural configuration contrasts sharply with more compartmentalised Western automotive manufacturers, demonstrating how cultural values directly influence organisational architecture.</w:t>
      </w:r>
    </w:p>
    <w:p w14:paraId="5376FAB6" w14:textId="77777777" w:rsidR="00600DE5" w:rsidRDefault="00600DE5" w:rsidP="00A36F50">
      <w:pPr>
        <w:spacing w:line="360" w:lineRule="auto"/>
        <w:rPr>
          <w:rFonts w:ascii="Arial" w:hAnsi="Arial" w:cs="Arial"/>
          <w:b/>
          <w:bCs/>
        </w:rPr>
      </w:pPr>
    </w:p>
    <w:p w14:paraId="3C8117D9" w14:textId="1E4B8D43" w:rsidR="00A36F50" w:rsidRPr="00600DE5" w:rsidRDefault="00A36F50" w:rsidP="00600DE5">
      <w:pPr>
        <w:pStyle w:val="Heading2"/>
        <w:rPr>
          <w:rFonts w:ascii="Arial" w:hAnsi="Arial" w:cs="Arial"/>
          <w:sz w:val="24"/>
          <w:szCs w:val="24"/>
        </w:rPr>
      </w:pPr>
      <w:bookmarkStart w:id="5" w:name="_Toc223343907"/>
      <w:r w:rsidRPr="00600DE5">
        <w:rPr>
          <w:rFonts w:ascii="Arial" w:hAnsi="Arial" w:cs="Arial"/>
          <w:sz w:val="24"/>
          <w:szCs w:val="24"/>
        </w:rPr>
        <w:t>2.2 Decision-Making Processes</w:t>
      </w:r>
      <w:bookmarkEnd w:id="5"/>
    </w:p>
    <w:p w14:paraId="3F7CAEF5" w14:textId="77777777" w:rsidR="00A36F50" w:rsidRPr="00A36F50" w:rsidRDefault="00A36F50" w:rsidP="00A36F50">
      <w:pPr>
        <w:spacing w:line="360" w:lineRule="auto"/>
        <w:rPr>
          <w:rFonts w:ascii="Arial" w:hAnsi="Arial" w:cs="Arial"/>
        </w:rPr>
      </w:pPr>
      <w:r w:rsidRPr="00A36F50">
        <w:rPr>
          <w:rFonts w:ascii="Arial" w:hAnsi="Arial" w:cs="Arial"/>
        </w:rPr>
        <w:t>Toyota's decision-making processes exemplify the profound influence of organisational culture on managerial practices. The company employs a distinctive approach characterised by slow, consensus-driven decision formulation followed by rapid implementation, contrasting with Western models emphasising quick individual decision-making (Shimizu, 2012). This approach reflects deeply embedded cultural values prioritising collective wisdom over individual authority, risk mitigation through thorough analysis, and sustainable long-term outcomes over short-term gains.</w:t>
      </w:r>
    </w:p>
    <w:p w14:paraId="2D50BFA7" w14:textId="77777777" w:rsidR="00A36F50" w:rsidRPr="00A36F50" w:rsidRDefault="00A36F50" w:rsidP="00A36F50">
      <w:pPr>
        <w:spacing w:line="360" w:lineRule="auto"/>
        <w:rPr>
          <w:rFonts w:ascii="Arial" w:hAnsi="Arial" w:cs="Arial"/>
        </w:rPr>
      </w:pPr>
      <w:r w:rsidRPr="00A36F50">
        <w:rPr>
          <w:rFonts w:ascii="Arial" w:hAnsi="Arial" w:cs="Arial"/>
        </w:rPr>
        <w:lastRenderedPageBreak/>
        <w:t>The A3 problem-solving methodology, widely utilised throughout Toyota, demonstrates how cultural values become embedded in formal decision-making tools (Sobek and Smalley, 2008). This single-page structured approach requires decision-makers to articulate problems, analyse root causes, propose countermeasures, and establish implementation plans collaboratively, reflecting cultural commitments to transparency, systematic thinking, and continuous learning. Furthermore, the practice of hansei (self-reflection) following decisions reinforces a cultural orientation toward learning from both successes and failures, creating feedback loops that continuously refine decision-making capabilities (Liker and Convis, 2012).</w:t>
      </w:r>
    </w:p>
    <w:p w14:paraId="0DD52A8F" w14:textId="2AACE3AD" w:rsidR="00A36F50" w:rsidRPr="00A36F50" w:rsidRDefault="00A36F50" w:rsidP="00A36F50">
      <w:pPr>
        <w:spacing w:line="360" w:lineRule="auto"/>
        <w:rPr>
          <w:rFonts w:ascii="Arial" w:hAnsi="Arial" w:cs="Arial"/>
        </w:rPr>
      </w:pPr>
      <w:r w:rsidRPr="00A36F50">
        <w:rPr>
          <w:rFonts w:ascii="Arial" w:hAnsi="Arial" w:cs="Arial"/>
        </w:rPr>
        <w:t>However, this culturally embedded decision-making approach has demonstrated limitations, particularly during the 2009-2010 recall crisis when slow consensus-building processes delayed critical safety-related decisions, damaging Toyota's reputation (Cole, 2011). This incident illustrates how cultural strengths can become weaknesses when environmental conditions demand rapid, decisive action contrary to established cultural norms.</w:t>
      </w:r>
    </w:p>
    <w:p w14:paraId="45CE6EF7" w14:textId="77777777" w:rsidR="00A36F50" w:rsidRPr="00600DE5" w:rsidRDefault="00A36F50" w:rsidP="00600DE5">
      <w:pPr>
        <w:pStyle w:val="Heading1"/>
        <w:rPr>
          <w:rFonts w:ascii="Arial" w:hAnsi="Arial" w:cs="Arial"/>
          <w:sz w:val="24"/>
          <w:szCs w:val="24"/>
        </w:rPr>
      </w:pPr>
      <w:bookmarkStart w:id="6" w:name="_Toc223343908"/>
      <w:r w:rsidRPr="00600DE5">
        <w:rPr>
          <w:rFonts w:ascii="Arial" w:hAnsi="Arial" w:cs="Arial"/>
          <w:sz w:val="24"/>
          <w:szCs w:val="24"/>
        </w:rPr>
        <w:t>3.0 IDENTIFYING AND ANALYSING ORGANISATIONAL CULTURE TYPES</w:t>
      </w:r>
      <w:bookmarkEnd w:id="6"/>
    </w:p>
    <w:p w14:paraId="1B83CA5B" w14:textId="77777777" w:rsidR="00A36F50" w:rsidRPr="00600DE5" w:rsidRDefault="00A36F50" w:rsidP="00600DE5">
      <w:pPr>
        <w:pStyle w:val="Heading2"/>
        <w:rPr>
          <w:rFonts w:ascii="Arial" w:hAnsi="Arial" w:cs="Arial"/>
          <w:sz w:val="24"/>
          <w:szCs w:val="24"/>
        </w:rPr>
      </w:pPr>
      <w:bookmarkStart w:id="7" w:name="_Toc223343909"/>
      <w:r w:rsidRPr="00600DE5">
        <w:rPr>
          <w:rFonts w:ascii="Arial" w:hAnsi="Arial" w:cs="Arial"/>
          <w:sz w:val="24"/>
          <w:szCs w:val="24"/>
        </w:rPr>
        <w:t>3.1 Application of Schein's Model</w:t>
      </w:r>
      <w:bookmarkEnd w:id="7"/>
    </w:p>
    <w:p w14:paraId="29F6C99F" w14:textId="77777777" w:rsidR="00A36F50" w:rsidRPr="00A36F50" w:rsidRDefault="00A36F50" w:rsidP="00A36F50">
      <w:pPr>
        <w:spacing w:line="360" w:lineRule="auto"/>
        <w:rPr>
          <w:rFonts w:ascii="Arial" w:hAnsi="Arial" w:cs="Arial"/>
        </w:rPr>
      </w:pPr>
      <w:r w:rsidRPr="00A36F50">
        <w:rPr>
          <w:rFonts w:ascii="Arial" w:hAnsi="Arial" w:cs="Arial"/>
        </w:rPr>
        <w:t>Schein's (2010) three-level model provides valuable insights into Toyota's organisational culture. At the artefacts level, visible manifestations include standardised work processes, visual management systems (andon boards), and physical workspace arrangements emphasising transparency and accessibility. The company's museums, such as the Toyota Kaikan Exhibition Hall, showcase historical vehicles and manufacturing innovations, serving as cultural symbols that reinforce organisational heritage and values.</w:t>
      </w:r>
    </w:p>
    <w:p w14:paraId="7BA193F4" w14:textId="77777777" w:rsidR="00A36F50" w:rsidRPr="00A36F50" w:rsidRDefault="00A36F50" w:rsidP="00A36F50">
      <w:pPr>
        <w:spacing w:line="360" w:lineRule="auto"/>
        <w:rPr>
          <w:rFonts w:ascii="Arial" w:hAnsi="Arial" w:cs="Arial"/>
        </w:rPr>
      </w:pPr>
      <w:r w:rsidRPr="00A36F50">
        <w:rPr>
          <w:rFonts w:ascii="Arial" w:hAnsi="Arial" w:cs="Arial"/>
        </w:rPr>
        <w:t>Espoused values, Schein's second level, are explicitly articulated in the Toyota Way 2001 document, which codifies continuous improvement and respect for people as foundational pillars (Toyota Motor Corporation, 2003). These espoused values translate into specific behavioural expectations including challenge (maintaining long-term vision), kaizen (continuous improvement), genchi genbutsu (going to the source), respect (building trust), and teamwork (stimulating personal and professional growth).</w:t>
      </w:r>
    </w:p>
    <w:p w14:paraId="00B5E484" w14:textId="77777777" w:rsidR="00A36F50" w:rsidRPr="00A36F50" w:rsidRDefault="00A36F50" w:rsidP="00A36F50">
      <w:pPr>
        <w:spacing w:line="360" w:lineRule="auto"/>
        <w:rPr>
          <w:rFonts w:ascii="Arial" w:hAnsi="Arial" w:cs="Arial"/>
        </w:rPr>
      </w:pPr>
      <w:r w:rsidRPr="00A36F50">
        <w:rPr>
          <w:rFonts w:ascii="Arial" w:hAnsi="Arial" w:cs="Arial"/>
        </w:rPr>
        <w:lastRenderedPageBreak/>
        <w:t>At the deepest level, underlying assumptions reflect Japanese cultural influences including collectivism, long-term orientation, and uncertainty avoidance (Hofstede, 2001). These unconscious beliefs manifest in assumptions that collective intelligence surpasses individual brilliance, that sustainable success requires patience and incremental improvement, and that problems are opportunities for learning rather than occasions for blame. These deeply embedded assumptions create cultural coherence but can also create barriers when Toyota operates in cultural contexts with contrasting assumptions about individualism, short-term performance, and risk-taking.</w:t>
      </w:r>
    </w:p>
    <w:p w14:paraId="5D0C4C95" w14:textId="77777777" w:rsidR="00A36F50" w:rsidRPr="00600DE5" w:rsidRDefault="00A36F50" w:rsidP="00600DE5">
      <w:pPr>
        <w:pStyle w:val="Heading2"/>
        <w:rPr>
          <w:rFonts w:ascii="Arial" w:hAnsi="Arial" w:cs="Arial"/>
          <w:sz w:val="24"/>
          <w:szCs w:val="24"/>
        </w:rPr>
      </w:pPr>
      <w:bookmarkStart w:id="8" w:name="_Toc223343910"/>
      <w:r w:rsidRPr="00600DE5">
        <w:rPr>
          <w:rFonts w:ascii="Arial" w:hAnsi="Arial" w:cs="Arial"/>
          <w:sz w:val="24"/>
          <w:szCs w:val="24"/>
        </w:rPr>
        <w:t>3.2 Hofstede's Cultural Dimensions Analysis</w:t>
      </w:r>
      <w:bookmarkEnd w:id="8"/>
    </w:p>
    <w:p w14:paraId="3BE2C58D" w14:textId="77777777" w:rsidR="00A36F50" w:rsidRPr="00A36F50" w:rsidRDefault="00A36F50" w:rsidP="00A36F50">
      <w:pPr>
        <w:spacing w:line="360" w:lineRule="auto"/>
        <w:rPr>
          <w:rFonts w:ascii="Arial" w:hAnsi="Arial" w:cs="Arial"/>
        </w:rPr>
      </w:pPr>
      <w:r w:rsidRPr="00A36F50">
        <w:rPr>
          <w:rFonts w:ascii="Arial" w:hAnsi="Arial" w:cs="Arial"/>
        </w:rPr>
        <w:t>Applying Hofstede's (2001) cultural dimensions framework reveals how Toyota's organisational culture reflects and adapts Japanese national culture whilst creating a distinctive corporate identity. Toyota exhibits moderate power distance, lower than typical Japanese organisations, reflecting its cultural emphasis on respect for all employees and empowerment of frontline workers to stop production when quality issues emerge. This cultural characteristic differentiates Toyota from more hierarchical Japanese competitors and enables more responsive problem-solving.</w:t>
      </w:r>
    </w:p>
    <w:p w14:paraId="05C173DD" w14:textId="77777777" w:rsidR="00A36F50" w:rsidRPr="00A36F50" w:rsidRDefault="00A36F50" w:rsidP="00A36F50">
      <w:pPr>
        <w:spacing w:line="360" w:lineRule="auto"/>
        <w:rPr>
          <w:rFonts w:ascii="Arial" w:hAnsi="Arial" w:cs="Arial"/>
        </w:rPr>
      </w:pPr>
      <w:r w:rsidRPr="00A36F50">
        <w:rPr>
          <w:rFonts w:ascii="Arial" w:hAnsi="Arial" w:cs="Arial"/>
        </w:rPr>
        <w:t>The organisation demonstrates high collectivism through emphasis on team-based work, shared responsibility for outcomes, and subordination of individual recognition to group achievement (Magee, 2007). However, Toyota has adapted this cultural dimension when operating internationally, particularly in individualistic Western markets, by creating hybrid approaches that maintain team orientation whilst acknowledging individual contributions.</w:t>
      </w:r>
    </w:p>
    <w:p w14:paraId="69869D41" w14:textId="77777777" w:rsidR="00A36F50" w:rsidRPr="00A36F50" w:rsidRDefault="00A36F50" w:rsidP="00A36F50">
      <w:pPr>
        <w:spacing w:line="360" w:lineRule="auto"/>
        <w:rPr>
          <w:rFonts w:ascii="Arial" w:hAnsi="Arial" w:cs="Arial"/>
        </w:rPr>
      </w:pPr>
      <w:r w:rsidRPr="00A36F50">
        <w:rPr>
          <w:rFonts w:ascii="Arial" w:hAnsi="Arial" w:cs="Arial"/>
        </w:rPr>
        <w:t>Toyota's strong long-term orientation manifests in willingness to sacrifice short-term profitability for long-term market position, sustained investment in research and development, and preference for organic growth over acquisitions (Greto et al., 2010). This cultural characteristic has enabled Toyota to weather economic downturns more effectively than competitors focused on quarterly financial performance but has occasionally frustrated Western shareholders expecting more immediate returns.</w:t>
      </w:r>
    </w:p>
    <w:p w14:paraId="6C4BBAC0" w14:textId="77777777" w:rsidR="00A36F50" w:rsidRPr="00600DE5" w:rsidRDefault="00A36F50" w:rsidP="00600DE5">
      <w:pPr>
        <w:pStyle w:val="Heading2"/>
        <w:rPr>
          <w:rFonts w:ascii="Arial" w:hAnsi="Arial" w:cs="Arial"/>
          <w:sz w:val="24"/>
          <w:szCs w:val="24"/>
        </w:rPr>
      </w:pPr>
      <w:bookmarkStart w:id="9" w:name="_Toc223343911"/>
      <w:r w:rsidRPr="00600DE5">
        <w:rPr>
          <w:rFonts w:ascii="Arial" w:hAnsi="Arial" w:cs="Arial"/>
          <w:sz w:val="24"/>
          <w:szCs w:val="24"/>
        </w:rPr>
        <w:lastRenderedPageBreak/>
        <w:t>3.3 Handy's Cultural Types</w:t>
      </w:r>
      <w:bookmarkEnd w:id="9"/>
    </w:p>
    <w:p w14:paraId="3048466C" w14:textId="77777777" w:rsidR="00A36F50" w:rsidRPr="00A36F50" w:rsidRDefault="00A36F50" w:rsidP="00A36F50">
      <w:pPr>
        <w:spacing w:line="360" w:lineRule="auto"/>
        <w:rPr>
          <w:rFonts w:ascii="Arial" w:hAnsi="Arial" w:cs="Arial"/>
        </w:rPr>
      </w:pPr>
      <w:r w:rsidRPr="00A36F50">
        <w:rPr>
          <w:rFonts w:ascii="Arial" w:hAnsi="Arial" w:cs="Arial"/>
        </w:rPr>
        <w:t>Utilising Handy's (1993) cultural typology, Toyota predominantly exhibits task culture characteristics, emphasising problem-solving through expert teams, matrix-like structures, and flexibility in resource deployment. This cultural orientation aligns with Toyota's emphasis on continuous improvement teams, cross-functional product development, and rapid response to quality issues. Task culture enables Toyota to leverage specialised expertise whilst maintaining organisational coherence through shared commitment to the Toyota Way principles.</w:t>
      </w:r>
    </w:p>
    <w:p w14:paraId="5FC25BA6" w14:textId="77777777" w:rsidR="00A36F50" w:rsidRPr="00A36F50" w:rsidRDefault="00A36F50" w:rsidP="00A36F50">
      <w:pPr>
        <w:spacing w:line="360" w:lineRule="auto"/>
        <w:rPr>
          <w:rFonts w:ascii="Arial" w:hAnsi="Arial" w:cs="Arial"/>
        </w:rPr>
      </w:pPr>
      <w:r w:rsidRPr="00A36F50">
        <w:rPr>
          <w:rFonts w:ascii="Arial" w:hAnsi="Arial" w:cs="Arial"/>
        </w:rPr>
        <w:t>However, elements of role culture also exist, particularly in administrative functions and quality control processes where standardisation, predictability, and formal procedures predominate (Morgan, 2006). This cultural dimension ensures consistency across global operations whilst supporting the task culture's flexibility in problem-solving contexts. The interplay between task and role culture creates dynamic tension that Toyota manages through its cultural emphasis on balance and continuous adjustment.</w:t>
      </w:r>
    </w:p>
    <w:p w14:paraId="3E42D4E8" w14:textId="77777777" w:rsidR="00A36F50" w:rsidRPr="00600DE5" w:rsidRDefault="00A36F50" w:rsidP="00600DE5">
      <w:pPr>
        <w:pStyle w:val="Heading1"/>
        <w:rPr>
          <w:rFonts w:ascii="Arial" w:hAnsi="Arial" w:cs="Arial"/>
          <w:sz w:val="24"/>
          <w:szCs w:val="24"/>
        </w:rPr>
      </w:pPr>
      <w:bookmarkStart w:id="10" w:name="_Toc223343912"/>
      <w:r w:rsidRPr="00600DE5">
        <w:rPr>
          <w:rFonts w:ascii="Arial" w:hAnsi="Arial" w:cs="Arial"/>
          <w:sz w:val="24"/>
          <w:szCs w:val="24"/>
        </w:rPr>
        <w:t>4.0 LEVERAGING CULTURE TO ADAPT TO EXTERNAL ENVIRONMENTAL INFLUENCES</w:t>
      </w:r>
      <w:bookmarkEnd w:id="10"/>
    </w:p>
    <w:p w14:paraId="24EEADD0" w14:textId="77777777" w:rsidR="00A36F50" w:rsidRPr="00600DE5" w:rsidRDefault="00A36F50" w:rsidP="00600DE5">
      <w:pPr>
        <w:pStyle w:val="Heading2"/>
        <w:rPr>
          <w:rFonts w:ascii="Arial" w:hAnsi="Arial" w:cs="Arial"/>
          <w:sz w:val="24"/>
          <w:szCs w:val="24"/>
        </w:rPr>
      </w:pPr>
      <w:bookmarkStart w:id="11" w:name="_Toc223343913"/>
      <w:r w:rsidRPr="00600DE5">
        <w:rPr>
          <w:rFonts w:ascii="Arial" w:hAnsi="Arial" w:cs="Arial"/>
          <w:sz w:val="24"/>
          <w:szCs w:val="24"/>
        </w:rPr>
        <w:t>4.1 Cultural Adaptability Mechanisms</w:t>
      </w:r>
      <w:bookmarkEnd w:id="11"/>
    </w:p>
    <w:p w14:paraId="738EBCC2" w14:textId="77777777" w:rsidR="00A36F50" w:rsidRPr="00A36F50" w:rsidRDefault="00A36F50" w:rsidP="00A36F50">
      <w:pPr>
        <w:spacing w:line="360" w:lineRule="auto"/>
        <w:rPr>
          <w:rFonts w:ascii="Arial" w:hAnsi="Arial" w:cs="Arial"/>
        </w:rPr>
      </w:pPr>
      <w:r w:rsidRPr="00A36F50">
        <w:rPr>
          <w:rFonts w:ascii="Arial" w:hAnsi="Arial" w:cs="Arial"/>
        </w:rPr>
        <w:t>Toyota demonstrates sophisticated capability in leveraging organisational culture to navigate external environmental pressures whilst maintaining cultural integrity. The company's cultural emphasis on continuous improvement creates inherent adaptability, as kaizen philosophy assumes that all processes require ongoing refinement in response to changing circumstances (Brunet and New, 2003). This cultural orientation toward perpetual change paradoxically provides stability by making adaptation normative rather than disruptive.</w:t>
      </w:r>
    </w:p>
    <w:p w14:paraId="45EC4128" w14:textId="77777777" w:rsidR="00A36F50" w:rsidRPr="00A36F50" w:rsidRDefault="00A36F50" w:rsidP="00A36F50">
      <w:pPr>
        <w:spacing w:line="360" w:lineRule="auto"/>
        <w:rPr>
          <w:rFonts w:ascii="Arial" w:hAnsi="Arial" w:cs="Arial"/>
        </w:rPr>
      </w:pPr>
      <w:r w:rsidRPr="00A36F50">
        <w:rPr>
          <w:rFonts w:ascii="Arial" w:hAnsi="Arial" w:cs="Arial"/>
        </w:rPr>
        <w:t xml:space="preserve">When confronting the shift toward electric vehicles and autonomous driving technologies, Toyota has utilised its cultural foundation in systematic problem-solving to explore multiple technological pathways simultaneously, including hybrid, plug-in hybrid, hydrogen fuel cell, and battery electric vehicles (Sierzchula et al., 2012). This multi-pathway approach reflects cultural values of thorough analysis and risk mitigation, contrasting with competitors making earlier, more decisive commitments to specific technologies. While critics have questioned Toyota's apparent hesitancy </w:t>
      </w:r>
      <w:r w:rsidRPr="00A36F50">
        <w:rPr>
          <w:rFonts w:ascii="Arial" w:hAnsi="Arial" w:cs="Arial"/>
        </w:rPr>
        <w:lastRenderedPageBreak/>
        <w:t>regarding battery electric vehicles, this approach demonstrates cultural consistency in preferring thoroughly validated solutions over potentially premature commitments.</w:t>
      </w:r>
    </w:p>
    <w:p w14:paraId="138C7DEA" w14:textId="77777777" w:rsidR="00A36F50" w:rsidRPr="00600DE5" w:rsidRDefault="00A36F50" w:rsidP="00600DE5">
      <w:pPr>
        <w:pStyle w:val="Heading2"/>
        <w:rPr>
          <w:rFonts w:ascii="Arial" w:hAnsi="Arial" w:cs="Arial"/>
          <w:sz w:val="24"/>
          <w:szCs w:val="24"/>
        </w:rPr>
      </w:pPr>
      <w:bookmarkStart w:id="12" w:name="_Toc223343914"/>
      <w:r w:rsidRPr="00600DE5">
        <w:rPr>
          <w:rFonts w:ascii="Arial" w:hAnsi="Arial" w:cs="Arial"/>
          <w:sz w:val="24"/>
          <w:szCs w:val="24"/>
        </w:rPr>
        <w:t>4.2 Cultural Challenges in Environmental Adaptation</w:t>
      </w:r>
      <w:bookmarkEnd w:id="12"/>
    </w:p>
    <w:p w14:paraId="0FC74072" w14:textId="77777777" w:rsidR="00A36F50" w:rsidRPr="00A36F50" w:rsidRDefault="00A36F50" w:rsidP="00A36F50">
      <w:pPr>
        <w:spacing w:line="360" w:lineRule="auto"/>
        <w:rPr>
          <w:rFonts w:ascii="Arial" w:hAnsi="Arial" w:cs="Arial"/>
        </w:rPr>
      </w:pPr>
      <w:r w:rsidRPr="00A36F50">
        <w:rPr>
          <w:rFonts w:ascii="Arial" w:hAnsi="Arial" w:cs="Arial"/>
        </w:rPr>
        <w:t>Despite cultural strengths in systematic adaptation, certain cultural characteristics create friction when environmental pressures demand rapid transformation. Toyota's consensus-driven decision-making culture, whilst effective for incremental improvement, can impede revolutionary change required in rapidly evolving markets (Shimokawa and Jürgens, 2012). The automotive industry's current disruption through electrification, digitalisation, and new mobility services challenges Toyota's cultural assumption that careful, consensus-based decisions systematically yield superior outcomes.</w:t>
      </w:r>
    </w:p>
    <w:p w14:paraId="69FFFEFF" w14:textId="77777777" w:rsidR="00A36F50" w:rsidRPr="00A36F50" w:rsidRDefault="00A36F50" w:rsidP="00A36F50">
      <w:pPr>
        <w:spacing w:line="360" w:lineRule="auto"/>
        <w:rPr>
          <w:rFonts w:ascii="Arial" w:hAnsi="Arial" w:cs="Arial"/>
        </w:rPr>
      </w:pPr>
      <w:r w:rsidRPr="00A36F50">
        <w:rPr>
          <w:rFonts w:ascii="Arial" w:hAnsi="Arial" w:cs="Arial"/>
        </w:rPr>
        <w:t>Furthermore, Toyota's cultural emphasis on manufacturing excellence and engineering-driven innovation has occasionally created cultural blind spots regarding consumer experience and software-based value creation, domains where competitors like Tesla have established competitive advantages through different cultural orientations (Perkins and Murmann, 2018). These limitations illustrate how organisational culture, whilst providing coherent identity and proven capabilities, can create path dependencies that constrain strategic flexibility.</w:t>
      </w:r>
    </w:p>
    <w:p w14:paraId="1CE67593" w14:textId="77777777" w:rsidR="00A36F50" w:rsidRPr="00600DE5" w:rsidRDefault="00A36F50" w:rsidP="00600DE5">
      <w:pPr>
        <w:pStyle w:val="Heading1"/>
        <w:rPr>
          <w:rFonts w:ascii="Arial" w:hAnsi="Arial" w:cs="Arial"/>
          <w:sz w:val="24"/>
          <w:szCs w:val="24"/>
        </w:rPr>
      </w:pPr>
      <w:bookmarkStart w:id="13" w:name="_Toc223343915"/>
      <w:r w:rsidRPr="00600DE5">
        <w:rPr>
          <w:rFonts w:ascii="Arial" w:hAnsi="Arial" w:cs="Arial"/>
          <w:sz w:val="24"/>
          <w:szCs w:val="24"/>
        </w:rPr>
        <w:t>5.0 CULTURE AS BARRIER OR ENABLER</w:t>
      </w:r>
      <w:bookmarkEnd w:id="13"/>
    </w:p>
    <w:p w14:paraId="50394252" w14:textId="77777777" w:rsidR="00A36F50" w:rsidRPr="00600DE5" w:rsidRDefault="00A36F50" w:rsidP="00600DE5">
      <w:pPr>
        <w:pStyle w:val="Heading2"/>
        <w:rPr>
          <w:rFonts w:ascii="Arial" w:hAnsi="Arial" w:cs="Arial"/>
          <w:sz w:val="24"/>
          <w:szCs w:val="24"/>
        </w:rPr>
      </w:pPr>
      <w:bookmarkStart w:id="14" w:name="_Toc223343916"/>
      <w:r w:rsidRPr="00600DE5">
        <w:rPr>
          <w:rFonts w:ascii="Arial" w:hAnsi="Arial" w:cs="Arial"/>
          <w:sz w:val="24"/>
          <w:szCs w:val="24"/>
        </w:rPr>
        <w:t>5.1 Enabling Dimensions</w:t>
      </w:r>
      <w:bookmarkEnd w:id="14"/>
    </w:p>
    <w:p w14:paraId="3FB22D4A" w14:textId="77777777" w:rsidR="00A36F50" w:rsidRPr="00A36F50" w:rsidRDefault="00A36F50" w:rsidP="00A36F50">
      <w:pPr>
        <w:spacing w:line="360" w:lineRule="auto"/>
        <w:rPr>
          <w:rFonts w:ascii="Arial" w:hAnsi="Arial" w:cs="Arial"/>
        </w:rPr>
      </w:pPr>
      <w:r w:rsidRPr="00A36F50">
        <w:rPr>
          <w:rFonts w:ascii="Arial" w:hAnsi="Arial" w:cs="Arial"/>
        </w:rPr>
        <w:t>Toyota's organisational culture functions predominantly as an enabler to effective organisational functioning across multiple dimensions. The cultural emphasis on continuous improvement creates self-reinforcing learning cycles that systematically enhance operational efficiency, quality, and employee capability development (Spear and Bowen, 1999). This cultural characteristic has enabled Toyota to achieve industry-leading productivity and quality metrics consistently over decades, demonstrating sustained competitive advantage rooted in difficult-to-imitate cultural capabilities.</w:t>
      </w:r>
    </w:p>
    <w:p w14:paraId="31804022" w14:textId="77777777" w:rsidR="00A36F50" w:rsidRPr="00A36F50" w:rsidRDefault="00A36F50" w:rsidP="00A36F50">
      <w:pPr>
        <w:spacing w:line="360" w:lineRule="auto"/>
        <w:rPr>
          <w:rFonts w:ascii="Arial" w:hAnsi="Arial" w:cs="Arial"/>
        </w:rPr>
      </w:pPr>
      <w:r w:rsidRPr="00A36F50">
        <w:rPr>
          <w:rFonts w:ascii="Arial" w:hAnsi="Arial" w:cs="Arial"/>
        </w:rPr>
        <w:t xml:space="preserve">The cultural principle of respect for people functions as an enabler by creating high employee engagement, low turnover, and willingness to contribute discretionary effort toward organisational objectives (Liker and Hoseus, 2008). Toyota's culture </w:t>
      </w:r>
      <w:r w:rsidRPr="00A36F50">
        <w:rPr>
          <w:rFonts w:ascii="Arial" w:hAnsi="Arial" w:cs="Arial"/>
        </w:rPr>
        <w:lastRenderedPageBreak/>
        <w:t>encourages employees at all levels to identify problems, suggest improvements, and participate in decision-making, creating psychological ownership and intrinsic motivation that transcend purely transactional employment relationships. This cultural enabler becomes particularly valuable in knowledge-intensive contexts where employee creativity and commitment determine organisational performance.</w:t>
      </w:r>
    </w:p>
    <w:p w14:paraId="2029206F" w14:textId="77777777" w:rsidR="00A36F50" w:rsidRPr="00A36F50" w:rsidRDefault="00A36F50" w:rsidP="00A36F50">
      <w:pPr>
        <w:spacing w:line="360" w:lineRule="auto"/>
        <w:rPr>
          <w:rFonts w:ascii="Arial" w:hAnsi="Arial" w:cs="Arial"/>
        </w:rPr>
      </w:pPr>
      <w:r w:rsidRPr="00A36F50">
        <w:rPr>
          <w:rFonts w:ascii="Arial" w:hAnsi="Arial" w:cs="Arial"/>
        </w:rPr>
        <w:t>Toyota's cultural emphasis on long-term thinking enables patient capability-building and sustained competitive positioning that short-term oriented competitors cannot replicate (Greto et al., 2010). This cultural characteristic facilitated Toyota's emergence as the world's largest automotive manufacturer and enabled the company to maintain market leadership despite periodic setbacks including the 2009-2010 recall crisis and the 2011 tsunami disruption.</w:t>
      </w:r>
    </w:p>
    <w:p w14:paraId="64CE121F" w14:textId="77777777" w:rsidR="00A36F50" w:rsidRPr="00600DE5" w:rsidRDefault="00A36F50" w:rsidP="00600DE5">
      <w:pPr>
        <w:pStyle w:val="Heading2"/>
        <w:rPr>
          <w:rFonts w:ascii="Arial" w:hAnsi="Arial" w:cs="Arial"/>
          <w:sz w:val="24"/>
          <w:szCs w:val="24"/>
        </w:rPr>
      </w:pPr>
      <w:bookmarkStart w:id="15" w:name="_Toc223343917"/>
      <w:r w:rsidRPr="00600DE5">
        <w:rPr>
          <w:rFonts w:ascii="Arial" w:hAnsi="Arial" w:cs="Arial"/>
          <w:sz w:val="24"/>
          <w:szCs w:val="24"/>
        </w:rPr>
        <w:t>5.2 Barrier Dimensions</w:t>
      </w:r>
      <w:bookmarkEnd w:id="15"/>
    </w:p>
    <w:p w14:paraId="509A1A42" w14:textId="77777777" w:rsidR="00A36F50" w:rsidRPr="00A36F50" w:rsidRDefault="00A36F50" w:rsidP="00A36F50">
      <w:pPr>
        <w:spacing w:line="360" w:lineRule="auto"/>
        <w:rPr>
          <w:rFonts w:ascii="Arial" w:hAnsi="Arial" w:cs="Arial"/>
        </w:rPr>
      </w:pPr>
      <w:r w:rsidRPr="00A36F50">
        <w:rPr>
          <w:rFonts w:ascii="Arial" w:hAnsi="Arial" w:cs="Arial"/>
        </w:rPr>
        <w:t>Despite predominantly functioning as an enabler, certain aspects of Toyota's culture create barriers to effective organisational functioning in specific contexts. The cultural emphasis on consensus-building can create decision-making paralysis when rapid, decisive action is required, as demonstrated during the recall crisis when cultural norms inhibited timely public acknowledgement of safety issues (Cole, 2011). This cultural barrier became particularly problematic in the context of global media scrutiny and social media acceleration of reputation damage.</w:t>
      </w:r>
    </w:p>
    <w:p w14:paraId="42EE3E80" w14:textId="77777777" w:rsidR="00A36F50" w:rsidRPr="00A36F50" w:rsidRDefault="00A36F50" w:rsidP="00A36F50">
      <w:pPr>
        <w:spacing w:line="360" w:lineRule="auto"/>
        <w:rPr>
          <w:rFonts w:ascii="Arial" w:hAnsi="Arial" w:cs="Arial"/>
        </w:rPr>
      </w:pPr>
      <w:r w:rsidRPr="00A36F50">
        <w:rPr>
          <w:rFonts w:ascii="Arial" w:hAnsi="Arial" w:cs="Arial"/>
        </w:rPr>
        <w:t>Toyota's cultural foundation in Japanese values and practices can create barriers to fully leveraging diverse global talent when non-Japanese employees perceive cultural insularity or limited career progression opportunities (Mehri, 2006). Despite stated commitment to respect for people, cultural assumptions favouring consensus and harmony can suppress constructive conflict and critical questioning necessary for innovation, particularly when confronting radical technological discontinuities.</w:t>
      </w:r>
    </w:p>
    <w:p w14:paraId="48E09D40" w14:textId="77777777" w:rsidR="00A36F50" w:rsidRPr="00A36F50" w:rsidRDefault="00A36F50" w:rsidP="00A36F50">
      <w:pPr>
        <w:spacing w:line="360" w:lineRule="auto"/>
        <w:rPr>
          <w:rFonts w:ascii="Arial" w:hAnsi="Arial" w:cs="Arial"/>
        </w:rPr>
      </w:pPr>
      <w:r w:rsidRPr="00A36F50">
        <w:rPr>
          <w:rFonts w:ascii="Arial" w:hAnsi="Arial" w:cs="Arial"/>
        </w:rPr>
        <w:t>The cultural veneration of manufacturing excellence and the Toyota Production System may create cultural rigidity that impedes recognition of emerging value creation logics based on software, services, and customer experience rather than physical product quality (Christensen, 1997). As the automotive industry transforms toward mobility services and autonomous vehicles, Toyota's cultural strengths in manufacturing may become less relevant while cultural limitations in software development and digital business models become more constraining.</w:t>
      </w:r>
    </w:p>
    <w:p w14:paraId="6BFD778A" w14:textId="77777777" w:rsidR="00A36F50" w:rsidRPr="00600DE5" w:rsidRDefault="00A36F50" w:rsidP="00600DE5">
      <w:pPr>
        <w:pStyle w:val="Heading2"/>
        <w:rPr>
          <w:rFonts w:ascii="Arial" w:hAnsi="Arial" w:cs="Arial"/>
          <w:sz w:val="24"/>
          <w:szCs w:val="24"/>
        </w:rPr>
      </w:pPr>
      <w:bookmarkStart w:id="16" w:name="_Toc223343918"/>
      <w:r w:rsidRPr="00600DE5">
        <w:rPr>
          <w:rFonts w:ascii="Arial" w:hAnsi="Arial" w:cs="Arial"/>
          <w:sz w:val="24"/>
          <w:szCs w:val="24"/>
        </w:rPr>
        <w:lastRenderedPageBreak/>
        <w:t>5.3 Overall Assessment</w:t>
      </w:r>
      <w:bookmarkEnd w:id="16"/>
    </w:p>
    <w:p w14:paraId="75DFDA6C" w14:textId="77777777" w:rsidR="00A36F50" w:rsidRPr="00A36F50" w:rsidRDefault="00A36F50" w:rsidP="00A36F50">
      <w:pPr>
        <w:spacing w:line="360" w:lineRule="auto"/>
        <w:rPr>
          <w:rFonts w:ascii="Arial" w:hAnsi="Arial" w:cs="Arial"/>
        </w:rPr>
      </w:pPr>
      <w:r w:rsidRPr="00A36F50">
        <w:rPr>
          <w:rFonts w:ascii="Arial" w:hAnsi="Arial" w:cs="Arial"/>
        </w:rPr>
        <w:t>On balance, Toyota's organisational culture functions predominantly as an enabler, having facilitated the company's rise to global industry leadership and sustained competitive advantage over multiple decades. However, the contemporary automotive industry's rapid transformation challenges aspects of Toyota's culture, requiring cultural evolution whilst preserving core values that remain relevant. The assessment must therefore be nuanced, recognising that culture's enabling or barrier function varies across contexts and evolves as environmental conditions change.</w:t>
      </w:r>
    </w:p>
    <w:p w14:paraId="27CB53A7" w14:textId="77777777" w:rsidR="00A36F50" w:rsidRPr="00600DE5" w:rsidRDefault="00A36F50" w:rsidP="00600DE5">
      <w:pPr>
        <w:pStyle w:val="Heading1"/>
        <w:rPr>
          <w:rFonts w:ascii="Arial" w:hAnsi="Arial" w:cs="Arial"/>
          <w:sz w:val="24"/>
          <w:szCs w:val="24"/>
        </w:rPr>
      </w:pPr>
      <w:bookmarkStart w:id="17" w:name="_Toc223343919"/>
      <w:r w:rsidRPr="00600DE5">
        <w:rPr>
          <w:rFonts w:ascii="Arial" w:hAnsi="Arial" w:cs="Arial"/>
          <w:sz w:val="24"/>
          <w:szCs w:val="24"/>
        </w:rPr>
        <w:t>6.0 IMPACT ON PERFORMANCE AND RECOMMENDATIONS</w:t>
      </w:r>
      <w:bookmarkEnd w:id="17"/>
    </w:p>
    <w:p w14:paraId="3E54EF3B" w14:textId="77777777" w:rsidR="00A36F50" w:rsidRPr="00600DE5" w:rsidRDefault="00A36F50" w:rsidP="00600DE5">
      <w:pPr>
        <w:pStyle w:val="Heading2"/>
        <w:rPr>
          <w:rFonts w:ascii="Arial" w:hAnsi="Arial" w:cs="Arial"/>
          <w:sz w:val="24"/>
          <w:szCs w:val="24"/>
        </w:rPr>
      </w:pPr>
      <w:bookmarkStart w:id="18" w:name="_Toc223343920"/>
      <w:r w:rsidRPr="00600DE5">
        <w:rPr>
          <w:rFonts w:ascii="Arial" w:hAnsi="Arial" w:cs="Arial"/>
          <w:sz w:val="24"/>
          <w:szCs w:val="24"/>
        </w:rPr>
        <w:t>6.1 Performance Impact Analysis</w:t>
      </w:r>
      <w:bookmarkEnd w:id="18"/>
    </w:p>
    <w:p w14:paraId="5B6A81CC" w14:textId="77777777" w:rsidR="00A36F50" w:rsidRPr="00A36F50" w:rsidRDefault="00A36F50" w:rsidP="00A36F50">
      <w:pPr>
        <w:spacing w:line="360" w:lineRule="auto"/>
        <w:rPr>
          <w:rFonts w:ascii="Arial" w:hAnsi="Arial" w:cs="Arial"/>
        </w:rPr>
      </w:pPr>
      <w:r w:rsidRPr="00A36F50">
        <w:rPr>
          <w:rFonts w:ascii="Arial" w:hAnsi="Arial" w:cs="Arial"/>
        </w:rPr>
        <w:t>Toyota's organisational culture has demonstrably influenced company performance across multiple metrics. The cultural emphasis on quality and continuous improvement has enabled Toyota to achieve industry-leading quality ratings consistently, with the company's vehicles regularly ranking highest in reliability studies by organisations such as J.D. Power and Consumer Reports (Autocar, 2024). This quality advantage translates directly into customer loyalty, residual values, and brand reputation that support premium pricing and market share.</w:t>
      </w:r>
    </w:p>
    <w:p w14:paraId="2002675F" w14:textId="77777777" w:rsidR="00A36F50" w:rsidRPr="00A36F50" w:rsidRDefault="00A36F50" w:rsidP="00A36F50">
      <w:pPr>
        <w:spacing w:line="360" w:lineRule="auto"/>
        <w:rPr>
          <w:rFonts w:ascii="Arial" w:hAnsi="Arial" w:cs="Arial"/>
        </w:rPr>
      </w:pPr>
      <w:r w:rsidRPr="00A36F50">
        <w:rPr>
          <w:rFonts w:ascii="Arial" w:hAnsi="Arial" w:cs="Arial"/>
        </w:rPr>
        <w:t>Financially, Toyota's cultural emphasis on long-term sustainability and operational efficiency has generated robust performance, with the company reporting net revenues of approximately thirty trillion yen and operating income exceeding three trillion yen in recent financial years, demonstrating the commercial viability of Toyota's cultural approach (Toyota Motor Corporation, 2024). The company's consistent profitability through economic cycles reflects cultural values prioritising financial stability and sustainable growth over maximising short-term returns.</w:t>
      </w:r>
    </w:p>
    <w:p w14:paraId="17446F72" w14:textId="77777777" w:rsidR="00A36F50" w:rsidRPr="00A36F50" w:rsidRDefault="00A36F50" w:rsidP="00A36F50">
      <w:pPr>
        <w:spacing w:line="360" w:lineRule="auto"/>
        <w:rPr>
          <w:rFonts w:ascii="Arial" w:hAnsi="Arial" w:cs="Arial"/>
        </w:rPr>
      </w:pPr>
      <w:r w:rsidRPr="00A36F50">
        <w:rPr>
          <w:rFonts w:ascii="Arial" w:hAnsi="Arial" w:cs="Arial"/>
        </w:rPr>
        <w:t>However, certain performance indicators suggest cultural limitations. Toyota's market capitalisation relative to emerging electric vehicle manufacturers suggests investor scepticism regarding the company's ability to lead industry transformation, potentially reflecting cultural conservatism regarding disruptive technologies. Furthermore, Toyota's software capabilities and digital user experience lag behind some competitors, indicating performance gaps in domains where Toyota's traditional cultural strengths provide less advantage.</w:t>
      </w:r>
    </w:p>
    <w:p w14:paraId="37742A47" w14:textId="77777777" w:rsidR="00A36F50" w:rsidRPr="00600DE5" w:rsidRDefault="00A36F50" w:rsidP="00600DE5">
      <w:pPr>
        <w:pStyle w:val="Heading2"/>
        <w:rPr>
          <w:rFonts w:ascii="Arial" w:hAnsi="Arial" w:cs="Arial"/>
          <w:sz w:val="24"/>
          <w:szCs w:val="24"/>
        </w:rPr>
      </w:pPr>
      <w:bookmarkStart w:id="19" w:name="_Toc223343921"/>
      <w:r w:rsidRPr="00600DE5">
        <w:rPr>
          <w:rFonts w:ascii="Arial" w:hAnsi="Arial" w:cs="Arial"/>
          <w:sz w:val="24"/>
          <w:szCs w:val="24"/>
        </w:rPr>
        <w:lastRenderedPageBreak/>
        <w:t>6.2 Evidence-Based Recommendations</w:t>
      </w:r>
      <w:bookmarkEnd w:id="19"/>
    </w:p>
    <w:p w14:paraId="7E86B2AA" w14:textId="77777777" w:rsidR="00A36F50" w:rsidRPr="00A36F50" w:rsidRDefault="00A36F50" w:rsidP="00A36F50">
      <w:pPr>
        <w:spacing w:line="360" w:lineRule="auto"/>
        <w:rPr>
          <w:rFonts w:ascii="Arial" w:hAnsi="Arial" w:cs="Arial"/>
        </w:rPr>
      </w:pPr>
      <w:r w:rsidRPr="00A36F50">
        <w:rPr>
          <w:rFonts w:ascii="Arial" w:hAnsi="Arial" w:cs="Arial"/>
        </w:rPr>
        <w:t>Based on this analysis, several evidence-based recommendations emerge for enhancing Toyota's organisational culture to improve future performance:</w:t>
      </w:r>
    </w:p>
    <w:p w14:paraId="108131E6" w14:textId="77777777" w:rsidR="00A36F50" w:rsidRPr="00600DE5" w:rsidRDefault="00A36F50" w:rsidP="00600DE5">
      <w:pPr>
        <w:pStyle w:val="Heading3"/>
        <w:rPr>
          <w:rFonts w:ascii="Arial" w:hAnsi="Arial" w:cs="Arial"/>
          <w:sz w:val="24"/>
          <w:szCs w:val="24"/>
        </w:rPr>
      </w:pPr>
      <w:bookmarkStart w:id="20" w:name="_Toc223343922"/>
      <w:r w:rsidRPr="00600DE5">
        <w:rPr>
          <w:rFonts w:ascii="Arial" w:hAnsi="Arial" w:cs="Arial"/>
          <w:sz w:val="24"/>
          <w:szCs w:val="24"/>
        </w:rPr>
        <w:t>Recommendation One: Establish Cultural Ambidexterity Mechanisms</w:t>
      </w:r>
      <w:bookmarkEnd w:id="20"/>
    </w:p>
    <w:p w14:paraId="47640E0F" w14:textId="77777777" w:rsidR="00A36F50" w:rsidRPr="00A36F50" w:rsidRDefault="00A36F50" w:rsidP="00A36F50">
      <w:pPr>
        <w:spacing w:line="360" w:lineRule="auto"/>
        <w:rPr>
          <w:rFonts w:ascii="Arial" w:hAnsi="Arial" w:cs="Arial"/>
        </w:rPr>
      </w:pPr>
      <w:r w:rsidRPr="00A36F50">
        <w:rPr>
          <w:rFonts w:ascii="Arial" w:hAnsi="Arial" w:cs="Arial"/>
        </w:rPr>
        <w:t>Toyota should develop formal structures and processes that enable simultaneous operation of its traditional culture emphasising consensus, thoroughness, and incremental improvement alongside a complementary culture enabling rapid experimentation, individual initiative, and acceptance of failure in pursuit of breakthrough innovation. Research on organisational ambidexterity suggests that successful companies manage contradictory cultural orientations through structural separation combined with integrating mechanisms at senior leadership levels (O'Reilly and Tushman, 2013). Toyota could establish distinct organisational units focused on disruptive innovation with different cultural norms whilst maintaining integrating processes that transfer learning between traditional and innovative units.</w:t>
      </w:r>
    </w:p>
    <w:p w14:paraId="647C368E" w14:textId="77777777" w:rsidR="00A36F50" w:rsidRPr="00600DE5" w:rsidRDefault="00A36F50" w:rsidP="00600DE5">
      <w:pPr>
        <w:pStyle w:val="Heading3"/>
        <w:rPr>
          <w:rFonts w:ascii="Arial" w:hAnsi="Arial" w:cs="Arial"/>
          <w:sz w:val="24"/>
          <w:szCs w:val="24"/>
        </w:rPr>
      </w:pPr>
      <w:bookmarkStart w:id="21" w:name="_Toc223343923"/>
      <w:r w:rsidRPr="00600DE5">
        <w:rPr>
          <w:rFonts w:ascii="Arial" w:hAnsi="Arial" w:cs="Arial"/>
          <w:sz w:val="24"/>
          <w:szCs w:val="24"/>
        </w:rPr>
        <w:t>Recommendation Two: Accelerate Cultural Internationalisation</w:t>
      </w:r>
      <w:bookmarkEnd w:id="21"/>
    </w:p>
    <w:p w14:paraId="0C45CF03" w14:textId="77777777" w:rsidR="00A36F50" w:rsidRPr="00A36F50" w:rsidRDefault="00A36F50" w:rsidP="00A36F50">
      <w:pPr>
        <w:spacing w:line="360" w:lineRule="auto"/>
        <w:rPr>
          <w:rFonts w:ascii="Arial" w:hAnsi="Arial" w:cs="Arial"/>
        </w:rPr>
      </w:pPr>
      <w:r w:rsidRPr="00A36F50">
        <w:rPr>
          <w:rFonts w:ascii="Arial" w:hAnsi="Arial" w:cs="Arial"/>
        </w:rPr>
        <w:t>While Toyota has achieved significant global presence, its organisational culture remains substantially Japanese in character. The company should accelerate efforts to create genuinely multicultural leadership that brings diverse perspectives to strategic decision-making. This requires moving beyond cultural adaptation, where non-Japanese operations conform to Japanese cultural norms, toward cultural integration where the company synthesises diverse cultural perspectives into hybrid approaches optimised for global operations (Brannen and Doz, 2012). Practical initiatives could include establishing regional headquarters with genuine strategic autonomy, increasing non-Japanese representation in senior leadership, and legitimising constructive challenge of established cultural assumptions.</w:t>
      </w:r>
    </w:p>
    <w:p w14:paraId="6D236F5E" w14:textId="77777777" w:rsidR="00A36F50" w:rsidRPr="00600DE5" w:rsidRDefault="00A36F50" w:rsidP="00600DE5">
      <w:pPr>
        <w:pStyle w:val="Heading3"/>
        <w:rPr>
          <w:rFonts w:ascii="Arial" w:hAnsi="Arial" w:cs="Arial"/>
          <w:sz w:val="24"/>
          <w:szCs w:val="24"/>
        </w:rPr>
      </w:pPr>
      <w:bookmarkStart w:id="22" w:name="_Toc223343924"/>
      <w:r w:rsidRPr="00600DE5">
        <w:rPr>
          <w:rFonts w:ascii="Arial" w:hAnsi="Arial" w:cs="Arial"/>
          <w:sz w:val="24"/>
          <w:szCs w:val="24"/>
        </w:rPr>
        <w:t>Recommendation Three: Evolve Cultural Metrics and Recognition Systems</w:t>
      </w:r>
      <w:bookmarkEnd w:id="22"/>
    </w:p>
    <w:p w14:paraId="03745BB8" w14:textId="77777777" w:rsidR="00A36F50" w:rsidRPr="00A36F50" w:rsidRDefault="00A36F50" w:rsidP="00A36F50">
      <w:pPr>
        <w:spacing w:line="360" w:lineRule="auto"/>
        <w:rPr>
          <w:rFonts w:ascii="Arial" w:hAnsi="Arial" w:cs="Arial"/>
        </w:rPr>
      </w:pPr>
      <w:r w:rsidRPr="00A36F50">
        <w:rPr>
          <w:rFonts w:ascii="Arial" w:hAnsi="Arial" w:cs="Arial"/>
        </w:rPr>
        <w:t xml:space="preserve">Toyota should review its performance measurement and recognition systems to ensure they reinforce desired cultural evolution whilst preserving core values. Specifically, the company should develop metrics and recognition approaches that reward calculated risk-taking, rapid experimentation, and learning from intelligent failures, complementing existing cultural emphasis on error prevention and continuous incremental improvement. Research demonstrates that organisations successfully navigate cultural change by aligning measurement and reward systems </w:t>
      </w:r>
      <w:r w:rsidRPr="00A36F50">
        <w:rPr>
          <w:rFonts w:ascii="Arial" w:hAnsi="Arial" w:cs="Arial"/>
        </w:rPr>
        <w:lastRenderedPageBreak/>
        <w:t>with desired cultural attributes whilst maintaining symbolic commitment to enduring values (Kerr and Landauer, 2004).</w:t>
      </w:r>
    </w:p>
    <w:p w14:paraId="21EF4AFB" w14:textId="77777777" w:rsidR="00A36F50" w:rsidRPr="00600DE5" w:rsidRDefault="00A36F50" w:rsidP="00600DE5">
      <w:pPr>
        <w:pStyle w:val="Heading3"/>
        <w:rPr>
          <w:rFonts w:ascii="Arial" w:hAnsi="Arial" w:cs="Arial"/>
          <w:sz w:val="24"/>
          <w:szCs w:val="24"/>
        </w:rPr>
      </w:pPr>
      <w:bookmarkStart w:id="23" w:name="_Toc223343925"/>
      <w:r w:rsidRPr="00600DE5">
        <w:rPr>
          <w:rFonts w:ascii="Arial" w:hAnsi="Arial" w:cs="Arial"/>
          <w:sz w:val="24"/>
          <w:szCs w:val="24"/>
        </w:rPr>
        <w:t>Recommendation Four: Enhance Cultural Transparency and Dialogue</w:t>
      </w:r>
      <w:bookmarkEnd w:id="23"/>
    </w:p>
    <w:p w14:paraId="741C4E4E" w14:textId="77777777" w:rsidR="00A36F50" w:rsidRPr="00A36F50" w:rsidRDefault="00A36F50" w:rsidP="00A36F50">
      <w:pPr>
        <w:spacing w:line="360" w:lineRule="auto"/>
        <w:rPr>
          <w:rFonts w:ascii="Arial" w:hAnsi="Arial" w:cs="Arial"/>
          <w:b/>
          <w:bCs/>
        </w:rPr>
      </w:pPr>
      <w:r w:rsidRPr="00A36F50">
        <w:rPr>
          <w:rFonts w:ascii="Arial" w:hAnsi="Arial" w:cs="Arial"/>
        </w:rPr>
        <w:t>Toyota should strengthen mechanisms for surfacing and examining cultural assumptions that may impede adaptation to changing environmental conditions. This could include establishing forums where employees safely question established practices, conducting regular cultural audits that identify gaps between espoused and enacted values, and creating systematic processes for capturing external perspectives on Toyota's culture from customers, partners, and new employees less socialised into existing cultural norms. Such approaches would operationalise the cultural value of hansei at an organisational level, applying self-critical reflection to cultural attributes themselves.</w:t>
      </w:r>
    </w:p>
    <w:p w14:paraId="7CF4FF57" w14:textId="77777777" w:rsidR="00A36F50" w:rsidRPr="00600DE5" w:rsidRDefault="00A36F50" w:rsidP="00600DE5">
      <w:pPr>
        <w:pStyle w:val="Heading1"/>
        <w:rPr>
          <w:rFonts w:ascii="Arial" w:hAnsi="Arial" w:cs="Arial"/>
          <w:sz w:val="24"/>
          <w:szCs w:val="24"/>
        </w:rPr>
      </w:pPr>
      <w:bookmarkStart w:id="24" w:name="_Toc223343926"/>
      <w:r w:rsidRPr="00600DE5">
        <w:rPr>
          <w:rFonts w:ascii="Arial" w:hAnsi="Arial" w:cs="Arial"/>
          <w:sz w:val="24"/>
          <w:szCs w:val="24"/>
        </w:rPr>
        <w:t>7.0 CONCLUSION</w:t>
      </w:r>
      <w:bookmarkEnd w:id="24"/>
    </w:p>
    <w:p w14:paraId="5DF4BA4B" w14:textId="77777777" w:rsidR="00A36F50" w:rsidRPr="00A36F50" w:rsidRDefault="00A36F50" w:rsidP="00A36F50">
      <w:pPr>
        <w:spacing w:line="360" w:lineRule="auto"/>
        <w:rPr>
          <w:rFonts w:ascii="Arial" w:hAnsi="Arial" w:cs="Arial"/>
        </w:rPr>
      </w:pPr>
      <w:r w:rsidRPr="00A36F50">
        <w:rPr>
          <w:rFonts w:ascii="Arial" w:hAnsi="Arial" w:cs="Arial"/>
        </w:rPr>
        <w:t>This analysis demonstrates that organisational culture profoundly influences Toyota's structure, decision-making processes, and performance, validating Mullins and Christy's (2016) assertion regarding culture's pervasive impact on organisational functioning. Toyota's distinctive culture, rooted in the Toyota Production System and the Toyota Way philosophy, has functioned predominantly as an enabler, facilitating the company's emergence as a global industry leader through sustained competitive advantages in quality, efficiency, and continuous improvement. However, the contemporary automotive industry's rapid transformation challenges certain aspects of Toyota's culture, particularly regarding decision-making speed, cultural diversity, and capability development in emerging technologies. Successfully navigating this transformation requires cultural evolution that preserves core values whilst developing complementary cultural capabilities aligned with emerging competitive requirements. The recommendations provided offer evidence-based pathways for such cultural evolution, positioning Toyota to maintain industry leadership through the sector's ongoing disruption whilst honouring the cultural heritage that has underpinned its historical success.</w:t>
      </w:r>
    </w:p>
    <w:p w14:paraId="143AC4E7" w14:textId="77777777" w:rsidR="00A36F50" w:rsidRDefault="00A36F50" w:rsidP="00A36F50">
      <w:pPr>
        <w:spacing w:line="360" w:lineRule="auto"/>
        <w:rPr>
          <w:rFonts w:ascii="Arial" w:hAnsi="Arial" w:cs="Arial"/>
          <w:b/>
          <w:bCs/>
        </w:rPr>
      </w:pPr>
    </w:p>
    <w:p w14:paraId="109BBBAC" w14:textId="22F46105" w:rsidR="00A36F50" w:rsidRPr="00600DE5" w:rsidRDefault="00A36F50" w:rsidP="00600DE5">
      <w:pPr>
        <w:pStyle w:val="Heading1"/>
        <w:rPr>
          <w:rFonts w:ascii="Arial" w:hAnsi="Arial" w:cs="Arial"/>
          <w:sz w:val="24"/>
          <w:szCs w:val="24"/>
        </w:rPr>
      </w:pPr>
      <w:bookmarkStart w:id="25" w:name="_Toc223343927"/>
      <w:r w:rsidRPr="00600DE5">
        <w:rPr>
          <w:rFonts w:ascii="Arial" w:hAnsi="Arial" w:cs="Arial"/>
          <w:sz w:val="24"/>
          <w:szCs w:val="24"/>
        </w:rPr>
        <w:lastRenderedPageBreak/>
        <w:t>REFERENCES</w:t>
      </w:r>
      <w:bookmarkEnd w:id="25"/>
    </w:p>
    <w:p w14:paraId="0CBBA9B4" w14:textId="350C44D4" w:rsidR="00600DE5" w:rsidRPr="000607EC" w:rsidRDefault="00A36F50" w:rsidP="00A36F50">
      <w:pPr>
        <w:spacing w:line="360" w:lineRule="auto"/>
        <w:rPr>
          <w:rFonts w:ascii="Arial" w:hAnsi="Arial" w:cs="Arial"/>
        </w:rPr>
      </w:pPr>
      <w:r w:rsidRPr="00A36F50">
        <w:rPr>
          <w:rFonts w:ascii="Arial" w:hAnsi="Arial" w:cs="Arial"/>
        </w:rPr>
        <w:t>Autocar (2024) Most reliable car brands. Available at: https://url41.mailanyo</w:t>
      </w:r>
    </w:p>
    <w:p w14:paraId="417B6297" w14:textId="09A90AB4" w:rsidR="00A36F50" w:rsidRPr="00A36F50" w:rsidRDefault="00A36F50" w:rsidP="00600DE5">
      <w:pPr>
        <w:rPr>
          <w:rFonts w:ascii="Arial" w:hAnsi="Arial" w:cs="Arial"/>
          <w:color w:val="467886" w:themeColor="hyperlink"/>
          <w:u w:val="single"/>
        </w:rPr>
      </w:pPr>
      <w:r w:rsidRPr="00A36F50">
        <w:rPr>
          <w:rFonts w:ascii="Arial" w:hAnsi="Arial" w:cs="Arial"/>
        </w:rPr>
        <w:t>ne.net/scanner?m=1vwjsx-00000000277-408d&amp;d=4%7Cmail%2F90%2F1772383200%2F1vwjsx-00000000277-408d%7Cin41a%7C57e1b682%7C10977208%7C9441127%7C69A46CA381451F2CBEBB09498F620A7B&amp;o=%2Fphtw%3A%2Fwtsauw..ocratku.oc&amp;s=979cAIcj-kbvkLZ09saENwy14tM (Accessed: 4 February 2026).</w:t>
      </w:r>
    </w:p>
    <w:p w14:paraId="35822208" w14:textId="77777777" w:rsidR="00A36F50" w:rsidRPr="00A36F50" w:rsidRDefault="00A36F50" w:rsidP="00A36F50">
      <w:pPr>
        <w:spacing w:line="360" w:lineRule="auto"/>
        <w:rPr>
          <w:rFonts w:ascii="Arial" w:hAnsi="Arial" w:cs="Arial"/>
        </w:rPr>
      </w:pPr>
      <w:r w:rsidRPr="00A36F50">
        <w:rPr>
          <w:rFonts w:ascii="Arial" w:hAnsi="Arial" w:cs="Arial"/>
        </w:rPr>
        <w:t>Brannen, M.Y. and Doz, Y.L. (2012) 'Corporate languages and strategic agility: Trapped in your jargon or lost in translation?', </w:t>
      </w:r>
      <w:r w:rsidRPr="00A36F50">
        <w:rPr>
          <w:rFonts w:ascii="Arial" w:hAnsi="Arial" w:cs="Arial"/>
          <w:i/>
          <w:iCs/>
        </w:rPr>
        <w:t>California Management Review</w:t>
      </w:r>
      <w:r w:rsidRPr="00A36F50">
        <w:rPr>
          <w:rFonts w:ascii="Arial" w:hAnsi="Arial" w:cs="Arial"/>
        </w:rPr>
        <w:t>, 54(3), pp. 77-97.</w:t>
      </w:r>
    </w:p>
    <w:p w14:paraId="5C606B51" w14:textId="77777777" w:rsidR="00A36F50" w:rsidRPr="00A36F50" w:rsidRDefault="00A36F50" w:rsidP="00A36F50">
      <w:pPr>
        <w:spacing w:line="360" w:lineRule="auto"/>
        <w:rPr>
          <w:rFonts w:ascii="Arial" w:hAnsi="Arial" w:cs="Arial"/>
        </w:rPr>
      </w:pPr>
      <w:r w:rsidRPr="00A36F50">
        <w:rPr>
          <w:rFonts w:ascii="Arial" w:hAnsi="Arial" w:cs="Arial"/>
        </w:rPr>
        <w:t>Brunet, A.P. and New, S. (2003) 'Kaizen in Japan: An empirical study', </w:t>
      </w:r>
      <w:r w:rsidRPr="00A36F50">
        <w:rPr>
          <w:rFonts w:ascii="Arial" w:hAnsi="Arial" w:cs="Arial"/>
          <w:i/>
          <w:iCs/>
        </w:rPr>
        <w:t>International Journal of Operations &amp; Production Management</w:t>
      </w:r>
      <w:r w:rsidRPr="00A36F50">
        <w:rPr>
          <w:rFonts w:ascii="Arial" w:hAnsi="Arial" w:cs="Arial"/>
        </w:rPr>
        <w:t>, 23(12), pp. 1426-1446.</w:t>
      </w:r>
    </w:p>
    <w:p w14:paraId="7A01D72B" w14:textId="77777777" w:rsidR="00A36F50" w:rsidRPr="00A36F50" w:rsidRDefault="00A36F50" w:rsidP="00A36F50">
      <w:pPr>
        <w:spacing w:line="360" w:lineRule="auto"/>
        <w:rPr>
          <w:rFonts w:ascii="Arial" w:hAnsi="Arial" w:cs="Arial"/>
        </w:rPr>
      </w:pPr>
      <w:r w:rsidRPr="00A36F50">
        <w:rPr>
          <w:rFonts w:ascii="Arial" w:hAnsi="Arial" w:cs="Arial"/>
        </w:rPr>
        <w:t>Christensen, C.M. (1997) </w:t>
      </w:r>
      <w:r w:rsidRPr="00A36F50">
        <w:rPr>
          <w:rFonts w:ascii="Arial" w:hAnsi="Arial" w:cs="Arial"/>
          <w:i/>
          <w:iCs/>
        </w:rPr>
        <w:t>The Innovator's Dilemma</w:t>
      </w:r>
      <w:r w:rsidRPr="00A36F50">
        <w:rPr>
          <w:rFonts w:ascii="Arial" w:hAnsi="Arial" w:cs="Arial"/>
        </w:rPr>
        <w:t>. Boston: Harvard Business School Press.</w:t>
      </w:r>
    </w:p>
    <w:p w14:paraId="33A8772C" w14:textId="77777777" w:rsidR="00A36F50" w:rsidRPr="00A36F50" w:rsidRDefault="00A36F50" w:rsidP="00A36F50">
      <w:pPr>
        <w:spacing w:line="360" w:lineRule="auto"/>
        <w:rPr>
          <w:rFonts w:ascii="Arial" w:hAnsi="Arial" w:cs="Arial"/>
        </w:rPr>
      </w:pPr>
      <w:r w:rsidRPr="00A36F50">
        <w:rPr>
          <w:rFonts w:ascii="Arial" w:hAnsi="Arial" w:cs="Arial"/>
        </w:rPr>
        <w:t>Cole, R. (2011) 'What really happened to Toyota?', </w:t>
      </w:r>
      <w:r w:rsidRPr="00A36F50">
        <w:rPr>
          <w:rFonts w:ascii="Arial" w:hAnsi="Arial" w:cs="Arial"/>
          <w:i/>
          <w:iCs/>
        </w:rPr>
        <w:t>MIT Sloan Management Review</w:t>
      </w:r>
      <w:r w:rsidRPr="00A36F50">
        <w:rPr>
          <w:rFonts w:ascii="Arial" w:hAnsi="Arial" w:cs="Arial"/>
        </w:rPr>
        <w:t>, 52(4), pp. 29-35.</w:t>
      </w:r>
    </w:p>
    <w:p w14:paraId="60F091D9" w14:textId="77777777" w:rsidR="00A36F50" w:rsidRPr="00A36F50" w:rsidRDefault="00A36F50" w:rsidP="00A36F50">
      <w:pPr>
        <w:spacing w:line="360" w:lineRule="auto"/>
        <w:rPr>
          <w:rFonts w:ascii="Arial" w:hAnsi="Arial" w:cs="Arial"/>
        </w:rPr>
      </w:pPr>
      <w:r w:rsidRPr="00A36F50">
        <w:rPr>
          <w:rFonts w:ascii="Arial" w:hAnsi="Arial" w:cs="Arial"/>
        </w:rPr>
        <w:t>Greto, M., Schotter, A. and Teagarden, M.B. (2010) 'Toyota: The acceleration crisis', </w:t>
      </w:r>
      <w:r w:rsidRPr="00A36F50">
        <w:rPr>
          <w:rFonts w:ascii="Arial" w:hAnsi="Arial" w:cs="Arial"/>
          <w:i/>
          <w:iCs/>
        </w:rPr>
        <w:t>Thunderbird International Business Review</w:t>
      </w:r>
      <w:r w:rsidRPr="00A36F50">
        <w:rPr>
          <w:rFonts w:ascii="Arial" w:hAnsi="Arial" w:cs="Arial"/>
        </w:rPr>
        <w:t>, 52(3), pp. 343-351.</w:t>
      </w:r>
    </w:p>
    <w:p w14:paraId="08181AE3" w14:textId="77777777" w:rsidR="00A36F50" w:rsidRPr="00A36F50" w:rsidRDefault="00A36F50" w:rsidP="00A36F50">
      <w:pPr>
        <w:spacing w:line="360" w:lineRule="auto"/>
        <w:rPr>
          <w:rFonts w:ascii="Arial" w:hAnsi="Arial" w:cs="Arial"/>
        </w:rPr>
      </w:pPr>
      <w:r w:rsidRPr="00A36F50">
        <w:rPr>
          <w:rFonts w:ascii="Arial" w:hAnsi="Arial" w:cs="Arial"/>
        </w:rPr>
        <w:t>Handy, C.B. (1993) </w:t>
      </w:r>
      <w:r w:rsidRPr="00A36F50">
        <w:rPr>
          <w:rFonts w:ascii="Arial" w:hAnsi="Arial" w:cs="Arial"/>
          <w:i/>
          <w:iCs/>
        </w:rPr>
        <w:t>Understanding Organizations</w:t>
      </w:r>
      <w:r w:rsidRPr="00A36F50">
        <w:rPr>
          <w:rFonts w:ascii="Arial" w:hAnsi="Arial" w:cs="Arial"/>
        </w:rPr>
        <w:t>. 4th edn. London: Penguin Books.</w:t>
      </w:r>
    </w:p>
    <w:p w14:paraId="1FCC1CE8" w14:textId="77777777" w:rsidR="00A36F50" w:rsidRPr="00A36F50" w:rsidRDefault="00A36F50" w:rsidP="00A36F50">
      <w:pPr>
        <w:spacing w:line="360" w:lineRule="auto"/>
        <w:rPr>
          <w:rFonts w:ascii="Arial" w:hAnsi="Arial" w:cs="Arial"/>
        </w:rPr>
      </w:pPr>
      <w:r w:rsidRPr="00A36F50">
        <w:rPr>
          <w:rFonts w:ascii="Arial" w:hAnsi="Arial" w:cs="Arial"/>
        </w:rPr>
        <w:t>Hofstede, G. (2001) </w:t>
      </w:r>
      <w:r w:rsidRPr="00A36F50">
        <w:rPr>
          <w:rFonts w:ascii="Arial" w:hAnsi="Arial" w:cs="Arial"/>
          <w:i/>
          <w:iCs/>
        </w:rPr>
        <w:t>Culture's Consequences: Comparing Values, Behaviors, Institutions and Organizations Across Nations</w:t>
      </w:r>
      <w:r w:rsidRPr="00A36F50">
        <w:rPr>
          <w:rFonts w:ascii="Arial" w:hAnsi="Arial" w:cs="Arial"/>
        </w:rPr>
        <w:t>. 2nd edn. Thousand Oaks: Sage Publications.</w:t>
      </w:r>
    </w:p>
    <w:p w14:paraId="747DAAB9" w14:textId="77777777" w:rsidR="00A36F50" w:rsidRPr="00A36F50" w:rsidRDefault="00A36F50" w:rsidP="00A36F50">
      <w:pPr>
        <w:spacing w:line="360" w:lineRule="auto"/>
        <w:rPr>
          <w:rFonts w:ascii="Arial" w:hAnsi="Arial" w:cs="Arial"/>
        </w:rPr>
      </w:pPr>
      <w:r w:rsidRPr="00A36F50">
        <w:rPr>
          <w:rFonts w:ascii="Arial" w:hAnsi="Arial" w:cs="Arial"/>
        </w:rPr>
        <w:t>Kerr, S. and Landauer, S. (2004) 'Using stretch goals to promote organizational effectiveness and personal growth', </w:t>
      </w:r>
      <w:r w:rsidRPr="00A36F50">
        <w:rPr>
          <w:rFonts w:ascii="Arial" w:hAnsi="Arial" w:cs="Arial"/>
          <w:i/>
          <w:iCs/>
        </w:rPr>
        <w:t>Academy of Management Executive</w:t>
      </w:r>
      <w:r w:rsidRPr="00A36F50">
        <w:rPr>
          <w:rFonts w:ascii="Arial" w:hAnsi="Arial" w:cs="Arial"/>
        </w:rPr>
        <w:t>, 18(4), pp. 134-138.</w:t>
      </w:r>
    </w:p>
    <w:p w14:paraId="140B6F20" w14:textId="77777777" w:rsidR="00A36F50" w:rsidRPr="00A36F50" w:rsidRDefault="00A36F50" w:rsidP="00A36F50">
      <w:pPr>
        <w:spacing w:line="360" w:lineRule="auto"/>
        <w:rPr>
          <w:rFonts w:ascii="Arial" w:hAnsi="Arial" w:cs="Arial"/>
        </w:rPr>
      </w:pPr>
      <w:r w:rsidRPr="00A36F50">
        <w:rPr>
          <w:rFonts w:ascii="Arial" w:hAnsi="Arial" w:cs="Arial"/>
        </w:rPr>
        <w:t>Liker, J.K. (2004) </w:t>
      </w:r>
      <w:r w:rsidRPr="00A36F50">
        <w:rPr>
          <w:rFonts w:ascii="Arial" w:hAnsi="Arial" w:cs="Arial"/>
          <w:i/>
          <w:iCs/>
        </w:rPr>
        <w:t>The Toyota Way</w:t>
      </w:r>
      <w:r w:rsidRPr="00A36F50">
        <w:rPr>
          <w:rFonts w:ascii="Arial" w:hAnsi="Arial" w:cs="Arial"/>
        </w:rPr>
        <w:t>. New York: McGraw-Hill.</w:t>
      </w:r>
    </w:p>
    <w:p w14:paraId="15B2D21B" w14:textId="77777777" w:rsidR="00A36F50" w:rsidRPr="00A36F50" w:rsidRDefault="00A36F50" w:rsidP="00A36F50">
      <w:pPr>
        <w:spacing w:line="360" w:lineRule="auto"/>
        <w:rPr>
          <w:rFonts w:ascii="Arial" w:hAnsi="Arial" w:cs="Arial"/>
        </w:rPr>
      </w:pPr>
      <w:r w:rsidRPr="00A36F50">
        <w:rPr>
          <w:rFonts w:ascii="Arial" w:hAnsi="Arial" w:cs="Arial"/>
        </w:rPr>
        <w:t>Liker, J.K. and Convis, G.L. (2012) </w:t>
      </w:r>
      <w:r w:rsidRPr="00A36F50">
        <w:rPr>
          <w:rFonts w:ascii="Arial" w:hAnsi="Arial" w:cs="Arial"/>
          <w:i/>
          <w:iCs/>
        </w:rPr>
        <w:t>The Toyota Way to Lean Leadership</w:t>
      </w:r>
      <w:r w:rsidRPr="00A36F50">
        <w:rPr>
          <w:rFonts w:ascii="Arial" w:hAnsi="Arial" w:cs="Arial"/>
        </w:rPr>
        <w:t>. New York: McGraw-Hill.</w:t>
      </w:r>
    </w:p>
    <w:p w14:paraId="0833011F" w14:textId="77777777" w:rsidR="00A36F50" w:rsidRPr="00A36F50" w:rsidRDefault="00A36F50" w:rsidP="00A36F50">
      <w:pPr>
        <w:spacing w:line="360" w:lineRule="auto"/>
        <w:rPr>
          <w:rFonts w:ascii="Arial" w:hAnsi="Arial" w:cs="Arial"/>
        </w:rPr>
      </w:pPr>
      <w:r w:rsidRPr="00A36F50">
        <w:rPr>
          <w:rFonts w:ascii="Arial" w:hAnsi="Arial" w:cs="Arial"/>
        </w:rPr>
        <w:t>Liker, J.K. and Hoseus, M. (2008) </w:t>
      </w:r>
      <w:r w:rsidRPr="00A36F50">
        <w:rPr>
          <w:rFonts w:ascii="Arial" w:hAnsi="Arial" w:cs="Arial"/>
          <w:i/>
          <w:iCs/>
        </w:rPr>
        <w:t>Toyota Culture: The Heart and Soul of the Toyota Way</w:t>
      </w:r>
      <w:r w:rsidRPr="00A36F50">
        <w:rPr>
          <w:rFonts w:ascii="Arial" w:hAnsi="Arial" w:cs="Arial"/>
        </w:rPr>
        <w:t>. New York: McGraw-Hill.</w:t>
      </w:r>
    </w:p>
    <w:p w14:paraId="27BEB54A" w14:textId="77777777" w:rsidR="00A36F50" w:rsidRPr="00A36F50" w:rsidRDefault="00A36F50" w:rsidP="00A36F50">
      <w:pPr>
        <w:spacing w:line="360" w:lineRule="auto"/>
        <w:rPr>
          <w:rFonts w:ascii="Arial" w:hAnsi="Arial" w:cs="Arial"/>
        </w:rPr>
      </w:pPr>
      <w:r w:rsidRPr="00A36F50">
        <w:rPr>
          <w:rFonts w:ascii="Arial" w:hAnsi="Arial" w:cs="Arial"/>
        </w:rPr>
        <w:lastRenderedPageBreak/>
        <w:t>Magee, D. (2007) </w:t>
      </w:r>
      <w:r w:rsidRPr="00A36F50">
        <w:rPr>
          <w:rFonts w:ascii="Arial" w:hAnsi="Arial" w:cs="Arial"/>
          <w:i/>
          <w:iCs/>
        </w:rPr>
        <w:t>How Toyota Became #1</w:t>
      </w:r>
      <w:r w:rsidRPr="00A36F50">
        <w:rPr>
          <w:rFonts w:ascii="Arial" w:hAnsi="Arial" w:cs="Arial"/>
        </w:rPr>
        <w:t>. New York: Portfolio.</w:t>
      </w:r>
    </w:p>
    <w:p w14:paraId="5A3DA61B" w14:textId="77777777" w:rsidR="00A36F50" w:rsidRPr="00A36F50" w:rsidRDefault="00A36F50" w:rsidP="00A36F50">
      <w:pPr>
        <w:spacing w:line="360" w:lineRule="auto"/>
        <w:rPr>
          <w:rFonts w:ascii="Arial" w:hAnsi="Arial" w:cs="Arial"/>
        </w:rPr>
      </w:pPr>
      <w:r w:rsidRPr="00A36F50">
        <w:rPr>
          <w:rFonts w:ascii="Arial" w:hAnsi="Arial" w:cs="Arial"/>
        </w:rPr>
        <w:t>Mehri, D. (2006) 'The darker side of lean: An insider's perspective on the realities of the Toyota production system', </w:t>
      </w:r>
      <w:r w:rsidRPr="00A36F50">
        <w:rPr>
          <w:rFonts w:ascii="Arial" w:hAnsi="Arial" w:cs="Arial"/>
          <w:i/>
          <w:iCs/>
        </w:rPr>
        <w:t>Academy of Management Perspectives</w:t>
      </w:r>
      <w:r w:rsidRPr="00A36F50">
        <w:rPr>
          <w:rFonts w:ascii="Arial" w:hAnsi="Arial" w:cs="Arial"/>
        </w:rPr>
        <w:t>, 20(2), pp. 21-42.</w:t>
      </w:r>
    </w:p>
    <w:p w14:paraId="0A1A4BEE" w14:textId="77777777" w:rsidR="00A36F50" w:rsidRPr="00A36F50" w:rsidRDefault="00A36F50" w:rsidP="00A36F50">
      <w:pPr>
        <w:spacing w:line="360" w:lineRule="auto"/>
        <w:rPr>
          <w:rFonts w:ascii="Arial" w:hAnsi="Arial" w:cs="Arial"/>
        </w:rPr>
      </w:pPr>
      <w:r w:rsidRPr="00A36F50">
        <w:rPr>
          <w:rFonts w:ascii="Arial" w:hAnsi="Arial" w:cs="Arial"/>
        </w:rPr>
        <w:t>Morgan, G. (2006) </w:t>
      </w:r>
      <w:r w:rsidRPr="00A36F50">
        <w:rPr>
          <w:rFonts w:ascii="Arial" w:hAnsi="Arial" w:cs="Arial"/>
          <w:i/>
          <w:iCs/>
        </w:rPr>
        <w:t>Images of Organization</w:t>
      </w:r>
      <w:r w:rsidRPr="00A36F50">
        <w:rPr>
          <w:rFonts w:ascii="Arial" w:hAnsi="Arial" w:cs="Arial"/>
        </w:rPr>
        <w:t>. Updated edn. Thousand Oaks: Sage Publications.</w:t>
      </w:r>
    </w:p>
    <w:p w14:paraId="2DDF8F14" w14:textId="77777777" w:rsidR="00A36F50" w:rsidRPr="00A36F50" w:rsidRDefault="00A36F50" w:rsidP="00A36F50">
      <w:pPr>
        <w:spacing w:line="360" w:lineRule="auto"/>
        <w:rPr>
          <w:rFonts w:ascii="Arial" w:hAnsi="Arial" w:cs="Arial"/>
        </w:rPr>
      </w:pPr>
      <w:r w:rsidRPr="00A36F50">
        <w:rPr>
          <w:rFonts w:ascii="Arial" w:hAnsi="Arial" w:cs="Arial"/>
        </w:rPr>
        <w:t>Mullins, L. and Christy, G. (2016) </w:t>
      </w:r>
      <w:r w:rsidRPr="00A36F50">
        <w:rPr>
          <w:rFonts w:ascii="Arial" w:hAnsi="Arial" w:cs="Arial"/>
          <w:i/>
          <w:iCs/>
        </w:rPr>
        <w:t>Management and Organisational Behaviour</w:t>
      </w:r>
      <w:r w:rsidRPr="00A36F50">
        <w:rPr>
          <w:rFonts w:ascii="Arial" w:hAnsi="Arial" w:cs="Arial"/>
        </w:rPr>
        <w:t>. 11th edn. Harlow: Pearson Education Limited.</w:t>
      </w:r>
    </w:p>
    <w:p w14:paraId="7480ACC8" w14:textId="77777777" w:rsidR="00A36F50" w:rsidRPr="00A36F50" w:rsidRDefault="00A36F50" w:rsidP="00A36F50">
      <w:pPr>
        <w:spacing w:line="360" w:lineRule="auto"/>
        <w:rPr>
          <w:rFonts w:ascii="Arial" w:hAnsi="Arial" w:cs="Arial"/>
        </w:rPr>
      </w:pPr>
      <w:r w:rsidRPr="00A36F50">
        <w:rPr>
          <w:rFonts w:ascii="Arial" w:hAnsi="Arial" w:cs="Arial"/>
        </w:rPr>
        <w:t>O'Reilly, C.A. and Tushman, M.L. (2013) 'Organizational ambidexterity: Past, present and future', </w:t>
      </w:r>
      <w:r w:rsidRPr="00A36F50">
        <w:rPr>
          <w:rFonts w:ascii="Arial" w:hAnsi="Arial" w:cs="Arial"/>
          <w:i/>
          <w:iCs/>
        </w:rPr>
        <w:t>Academy of Management Perspectives</w:t>
      </w:r>
      <w:r w:rsidRPr="00A36F50">
        <w:rPr>
          <w:rFonts w:ascii="Arial" w:hAnsi="Arial" w:cs="Arial"/>
        </w:rPr>
        <w:t>, 27(4), pp. 324-338.</w:t>
      </w:r>
    </w:p>
    <w:p w14:paraId="07716F8B" w14:textId="77777777" w:rsidR="00A36F50" w:rsidRPr="00A36F50" w:rsidRDefault="00A36F50" w:rsidP="00A36F50">
      <w:pPr>
        <w:spacing w:line="360" w:lineRule="auto"/>
        <w:rPr>
          <w:rFonts w:ascii="Arial" w:hAnsi="Arial" w:cs="Arial"/>
        </w:rPr>
      </w:pPr>
      <w:r w:rsidRPr="00A36F50">
        <w:rPr>
          <w:rFonts w:ascii="Arial" w:hAnsi="Arial" w:cs="Arial"/>
        </w:rPr>
        <w:t>Osono, E., Shimizu, N. and Takeuchi, H. (2008) </w:t>
      </w:r>
      <w:r w:rsidRPr="00A36F50">
        <w:rPr>
          <w:rFonts w:ascii="Arial" w:hAnsi="Arial" w:cs="Arial"/>
          <w:i/>
          <w:iCs/>
        </w:rPr>
        <w:t>Extreme Toyota: Radical Contradictions That Drive Success at the World's Best Manufacturer</w:t>
      </w:r>
      <w:r w:rsidRPr="00A36F50">
        <w:rPr>
          <w:rFonts w:ascii="Arial" w:hAnsi="Arial" w:cs="Arial"/>
        </w:rPr>
        <w:t>. Hoboken: John Wiley &amp; Sons.</w:t>
      </w:r>
    </w:p>
    <w:p w14:paraId="25D0D6C7" w14:textId="77777777" w:rsidR="00A36F50" w:rsidRPr="00A36F50" w:rsidRDefault="00A36F50" w:rsidP="00A36F50">
      <w:pPr>
        <w:spacing w:line="360" w:lineRule="auto"/>
        <w:rPr>
          <w:rFonts w:ascii="Arial" w:hAnsi="Arial" w:cs="Arial"/>
        </w:rPr>
      </w:pPr>
      <w:r w:rsidRPr="00A36F50">
        <w:rPr>
          <w:rFonts w:ascii="Arial" w:hAnsi="Arial" w:cs="Arial"/>
        </w:rPr>
        <w:t>Perkins, G. and Murmann, J.P. (2018) 'What does the success of Tesla mean for the future dynamics of the global automobile sector?', </w:t>
      </w:r>
      <w:r w:rsidRPr="00A36F50">
        <w:rPr>
          <w:rFonts w:ascii="Arial" w:hAnsi="Arial" w:cs="Arial"/>
          <w:i/>
          <w:iCs/>
        </w:rPr>
        <w:t>Management and Organization Review</w:t>
      </w:r>
      <w:r w:rsidRPr="00A36F50">
        <w:rPr>
          <w:rFonts w:ascii="Arial" w:hAnsi="Arial" w:cs="Arial"/>
        </w:rPr>
        <w:t>, 14(3), pp. 471-480.</w:t>
      </w:r>
    </w:p>
    <w:p w14:paraId="57CC5B5F" w14:textId="77777777" w:rsidR="00A36F50" w:rsidRPr="00A36F50" w:rsidRDefault="00A36F50" w:rsidP="00A36F50">
      <w:pPr>
        <w:spacing w:line="360" w:lineRule="auto"/>
        <w:rPr>
          <w:rFonts w:ascii="Arial" w:hAnsi="Arial" w:cs="Arial"/>
        </w:rPr>
      </w:pPr>
      <w:r w:rsidRPr="00A36F50">
        <w:rPr>
          <w:rFonts w:ascii="Arial" w:hAnsi="Arial" w:cs="Arial"/>
        </w:rPr>
        <w:t>Schein, E.H. (2010) </w:t>
      </w:r>
      <w:r w:rsidRPr="00A36F50">
        <w:rPr>
          <w:rFonts w:ascii="Arial" w:hAnsi="Arial" w:cs="Arial"/>
          <w:i/>
          <w:iCs/>
        </w:rPr>
        <w:t>Organizational Culture and Leadership</w:t>
      </w:r>
      <w:r w:rsidRPr="00A36F50">
        <w:rPr>
          <w:rFonts w:ascii="Arial" w:hAnsi="Arial" w:cs="Arial"/>
        </w:rPr>
        <w:t>. 4th edn. San Francisco: Jossey-Bass.</w:t>
      </w:r>
    </w:p>
    <w:p w14:paraId="55DA2580" w14:textId="77777777" w:rsidR="00A36F50" w:rsidRPr="00A36F50" w:rsidRDefault="00A36F50" w:rsidP="00A36F50">
      <w:pPr>
        <w:spacing w:line="360" w:lineRule="auto"/>
        <w:rPr>
          <w:rFonts w:ascii="Arial" w:hAnsi="Arial" w:cs="Arial"/>
        </w:rPr>
      </w:pPr>
      <w:r w:rsidRPr="00A36F50">
        <w:rPr>
          <w:rFonts w:ascii="Arial" w:hAnsi="Arial" w:cs="Arial"/>
        </w:rPr>
        <w:t>Shimizu, K. (2012) 'Risks of corporate entrepreneurship: Autonomy and agency issues', </w:t>
      </w:r>
      <w:r w:rsidRPr="00A36F50">
        <w:rPr>
          <w:rFonts w:ascii="Arial" w:hAnsi="Arial" w:cs="Arial"/>
          <w:i/>
          <w:iCs/>
        </w:rPr>
        <w:t>Organization Science</w:t>
      </w:r>
      <w:r w:rsidRPr="00A36F50">
        <w:rPr>
          <w:rFonts w:ascii="Arial" w:hAnsi="Arial" w:cs="Arial"/>
        </w:rPr>
        <w:t>, 23(1), pp. 194-206.</w:t>
      </w:r>
    </w:p>
    <w:p w14:paraId="2CDD7F1C" w14:textId="77777777" w:rsidR="00A36F50" w:rsidRPr="00A36F50" w:rsidRDefault="00A36F50" w:rsidP="00A36F50">
      <w:pPr>
        <w:spacing w:line="360" w:lineRule="auto"/>
        <w:rPr>
          <w:rFonts w:ascii="Arial" w:hAnsi="Arial" w:cs="Arial"/>
        </w:rPr>
      </w:pPr>
      <w:r w:rsidRPr="00A36F50">
        <w:rPr>
          <w:rFonts w:ascii="Arial" w:hAnsi="Arial" w:cs="Arial"/>
        </w:rPr>
        <w:t>Shimokawa, K. and Jürgens, U. (2012) 'The riddle of cyclical rebounds in the Japanese automotive industry', in Freyssenet, M. (ed.) </w:t>
      </w:r>
      <w:r w:rsidRPr="00A36F50">
        <w:rPr>
          <w:rFonts w:ascii="Arial" w:hAnsi="Arial" w:cs="Arial"/>
          <w:i/>
          <w:iCs/>
        </w:rPr>
        <w:t>The Second Automobile Revolution</w:t>
      </w:r>
      <w:r w:rsidRPr="00A36F50">
        <w:rPr>
          <w:rFonts w:ascii="Arial" w:hAnsi="Arial" w:cs="Arial"/>
        </w:rPr>
        <w:t>. London: Palgrave Macmillan, pp. 71-85.</w:t>
      </w:r>
    </w:p>
    <w:p w14:paraId="48622652" w14:textId="77777777" w:rsidR="00A36F50" w:rsidRPr="00A36F50" w:rsidRDefault="00A36F50" w:rsidP="00A36F50">
      <w:pPr>
        <w:spacing w:line="360" w:lineRule="auto"/>
        <w:rPr>
          <w:rFonts w:ascii="Arial" w:hAnsi="Arial" w:cs="Arial"/>
        </w:rPr>
      </w:pPr>
      <w:r w:rsidRPr="00A36F50">
        <w:rPr>
          <w:rFonts w:ascii="Arial" w:hAnsi="Arial" w:cs="Arial"/>
        </w:rPr>
        <w:t>Sierzchula, W., Bakker, S., Maat, K. and Van Wee, B. (2012) 'The competitive environment of electric vehicles: An analysis of prototype and production models', </w:t>
      </w:r>
      <w:r w:rsidRPr="00A36F50">
        <w:rPr>
          <w:rFonts w:ascii="Arial" w:hAnsi="Arial" w:cs="Arial"/>
          <w:i/>
          <w:iCs/>
        </w:rPr>
        <w:t>Environmental Innovation and Societal Transitions</w:t>
      </w:r>
      <w:r w:rsidRPr="00A36F50">
        <w:rPr>
          <w:rFonts w:ascii="Arial" w:hAnsi="Arial" w:cs="Arial"/>
        </w:rPr>
        <w:t>, 2, pp. 49-65.</w:t>
      </w:r>
    </w:p>
    <w:p w14:paraId="7864E6C3" w14:textId="77777777" w:rsidR="00A36F50" w:rsidRPr="00A36F50" w:rsidRDefault="00A36F50" w:rsidP="00A36F50">
      <w:pPr>
        <w:spacing w:line="360" w:lineRule="auto"/>
        <w:rPr>
          <w:rFonts w:ascii="Arial" w:hAnsi="Arial" w:cs="Arial"/>
        </w:rPr>
      </w:pPr>
      <w:r w:rsidRPr="00A36F50">
        <w:rPr>
          <w:rFonts w:ascii="Arial" w:hAnsi="Arial" w:cs="Arial"/>
        </w:rPr>
        <w:t>Sobek, D.K. and Smalley, A. (2008) </w:t>
      </w:r>
      <w:r w:rsidRPr="00A36F50">
        <w:rPr>
          <w:rFonts w:ascii="Arial" w:hAnsi="Arial" w:cs="Arial"/>
          <w:i/>
          <w:iCs/>
        </w:rPr>
        <w:t>Understanding A3 Thinking</w:t>
      </w:r>
      <w:r w:rsidRPr="00A36F50">
        <w:rPr>
          <w:rFonts w:ascii="Arial" w:hAnsi="Arial" w:cs="Arial"/>
        </w:rPr>
        <w:t>. New York: CRC Press.</w:t>
      </w:r>
    </w:p>
    <w:p w14:paraId="51F5B1E9" w14:textId="77777777" w:rsidR="00A36F50" w:rsidRPr="00A36F50" w:rsidRDefault="00A36F50" w:rsidP="00A36F50">
      <w:pPr>
        <w:spacing w:line="360" w:lineRule="auto"/>
        <w:rPr>
          <w:rFonts w:ascii="Arial" w:hAnsi="Arial" w:cs="Arial"/>
        </w:rPr>
      </w:pPr>
      <w:r w:rsidRPr="00A36F50">
        <w:rPr>
          <w:rFonts w:ascii="Arial" w:hAnsi="Arial" w:cs="Arial"/>
        </w:rPr>
        <w:lastRenderedPageBreak/>
        <w:t>Spear, S. and Bowen, H.K. (1999) 'Decoding the DNA of the Toyota Production System', </w:t>
      </w:r>
      <w:r w:rsidRPr="00A36F50">
        <w:rPr>
          <w:rFonts w:ascii="Arial" w:hAnsi="Arial" w:cs="Arial"/>
          <w:i/>
          <w:iCs/>
        </w:rPr>
        <w:t>Harvard Business Review</w:t>
      </w:r>
      <w:r w:rsidRPr="00A36F50">
        <w:rPr>
          <w:rFonts w:ascii="Arial" w:hAnsi="Arial" w:cs="Arial"/>
        </w:rPr>
        <w:t>, 77(5), pp. 96-106.</w:t>
      </w:r>
    </w:p>
    <w:p w14:paraId="59B72736" w14:textId="77777777" w:rsidR="00A36F50" w:rsidRPr="00A36F50" w:rsidRDefault="00A36F50" w:rsidP="00A36F50">
      <w:pPr>
        <w:spacing w:line="360" w:lineRule="auto"/>
        <w:rPr>
          <w:rFonts w:ascii="Arial" w:hAnsi="Arial" w:cs="Arial"/>
        </w:rPr>
      </w:pPr>
      <w:r w:rsidRPr="00A36F50">
        <w:rPr>
          <w:rFonts w:ascii="Arial" w:hAnsi="Arial" w:cs="Arial"/>
        </w:rPr>
        <w:t>Takeuchi, H., Osono, E. and Shimizu, N. (2008) 'The contradictions that drive Toyota's success', </w:t>
      </w:r>
      <w:r w:rsidRPr="00A36F50">
        <w:rPr>
          <w:rFonts w:ascii="Arial" w:hAnsi="Arial" w:cs="Arial"/>
          <w:i/>
          <w:iCs/>
        </w:rPr>
        <w:t>Harvard Business Review</w:t>
      </w:r>
      <w:r w:rsidRPr="00A36F50">
        <w:rPr>
          <w:rFonts w:ascii="Arial" w:hAnsi="Arial" w:cs="Arial"/>
        </w:rPr>
        <w:t>, 86(6), pp. 96-104.</w:t>
      </w:r>
    </w:p>
    <w:p w14:paraId="62682E36" w14:textId="77777777" w:rsidR="00A36F50" w:rsidRPr="00A36F50" w:rsidRDefault="00A36F50" w:rsidP="00A36F50">
      <w:pPr>
        <w:spacing w:line="360" w:lineRule="auto"/>
        <w:rPr>
          <w:rFonts w:ascii="Arial" w:hAnsi="Arial" w:cs="Arial"/>
        </w:rPr>
      </w:pPr>
      <w:r w:rsidRPr="00A36F50">
        <w:rPr>
          <w:rFonts w:ascii="Arial" w:hAnsi="Arial" w:cs="Arial"/>
        </w:rPr>
        <w:t>Toyota Motor Corporation (2003) </w:t>
      </w:r>
      <w:r w:rsidRPr="00A36F50">
        <w:rPr>
          <w:rFonts w:ascii="Arial" w:hAnsi="Arial" w:cs="Arial"/>
          <w:i/>
          <w:iCs/>
        </w:rPr>
        <w:t>The Toyota Way 2001</w:t>
      </w:r>
      <w:r w:rsidRPr="00A36F50">
        <w:rPr>
          <w:rFonts w:ascii="Arial" w:hAnsi="Arial" w:cs="Arial"/>
        </w:rPr>
        <w:t>. Tokyo: Toyota Motor Corporation.</w:t>
      </w:r>
    </w:p>
    <w:p w14:paraId="51C1C786" w14:textId="77777777" w:rsidR="00A36F50" w:rsidRPr="00A36F50" w:rsidRDefault="00A36F50" w:rsidP="00A36F50">
      <w:pPr>
        <w:spacing w:line="360" w:lineRule="auto"/>
        <w:rPr>
          <w:rFonts w:ascii="Arial" w:hAnsi="Arial" w:cs="Arial"/>
        </w:rPr>
      </w:pPr>
      <w:r w:rsidRPr="00A36F50">
        <w:rPr>
          <w:rFonts w:ascii="Arial" w:hAnsi="Arial" w:cs="Arial"/>
        </w:rPr>
        <w:t>Toyota Motor Corporation (2024) </w:t>
      </w:r>
      <w:r w:rsidRPr="00A36F50">
        <w:rPr>
          <w:rFonts w:ascii="Arial" w:hAnsi="Arial" w:cs="Arial"/>
          <w:i/>
          <w:iCs/>
        </w:rPr>
        <w:t>Annual Report 2024</w:t>
      </w:r>
      <w:r w:rsidRPr="00A36F50">
        <w:rPr>
          <w:rFonts w:ascii="Arial" w:hAnsi="Arial" w:cs="Arial"/>
        </w:rPr>
        <w:t>. Available at: </w:t>
      </w:r>
      <w:hyperlink r:id="rId7" w:tgtFrame="_blank" w:tooltip="https://url41.mailanyone.net/scanner?m=1vwjsx-00000000277-408d&amp;d=4%7Cmail%2F90%2F1772383200%2F1vwjsx-00000000277-408d%7Cin41a%7C57e1b682%7C10977208%7C9441127%7C69A46CA381451F2CBEBB09498F620A7B&amp;o=%2Fphtw%3A%2Fwtsaow.got-tymoc.labol&amp;s=fRRLB1Z45_FH8r1AeWkIxUeW3sA" w:history="1">
        <w:r w:rsidRPr="00A36F50">
          <w:rPr>
            <w:rStyle w:val="Hyperlink"/>
            <w:rFonts w:ascii="Arial" w:hAnsi="Arial" w:cs="Arial"/>
          </w:rPr>
          <w:t>https://url41.mailanyone.net/scanner?m=1vwjsx-00000000277-408d&amp;d=4%7Cmail%2F90%2F1772383200%2F1vwjsx-00000000277-408d%7Cin41a%7C57e1b682%7C10977208%7C9441127%7C69A46CA381451F2CBEBB09498F620A7B&amp;o=%2Fphtw%3A%2Fwtsaow.got-tymoc.labol&amp;s=fRRLB1Z45_FH8r1AeWkIxUeW3sA</w:t>
        </w:r>
      </w:hyperlink>
      <w:r w:rsidRPr="00A36F50">
        <w:rPr>
          <w:rFonts w:ascii="Arial" w:hAnsi="Arial" w:cs="Arial"/>
        </w:rPr>
        <w:t> (Accessed: 4 February 2026).</w:t>
      </w:r>
    </w:p>
    <w:p w14:paraId="12104DD4" w14:textId="77777777" w:rsidR="00A36F50" w:rsidRPr="00A36F50" w:rsidRDefault="00A36F50" w:rsidP="00A36F50">
      <w:pPr>
        <w:spacing w:line="360" w:lineRule="auto"/>
        <w:rPr>
          <w:rFonts w:ascii="Arial" w:hAnsi="Arial" w:cs="Arial"/>
        </w:rPr>
      </w:pPr>
    </w:p>
    <w:p w14:paraId="3ECDFFAB" w14:textId="77777777" w:rsidR="00A36F50" w:rsidRPr="00A36F50" w:rsidRDefault="00A36F50" w:rsidP="00A36F50">
      <w:pPr>
        <w:rPr>
          <w:rFonts w:ascii="Arial" w:hAnsi="Arial" w:cs="Arial"/>
          <w:b/>
          <w:bCs/>
        </w:rPr>
      </w:pPr>
    </w:p>
    <w:p w14:paraId="7FD62A25" w14:textId="77777777" w:rsidR="00A36F50" w:rsidRPr="00A36F50" w:rsidRDefault="00A36F50" w:rsidP="00A36F50">
      <w:pPr>
        <w:rPr>
          <w:rFonts w:ascii="Arial" w:hAnsi="Arial" w:cs="Arial"/>
          <w:b/>
          <w:bCs/>
        </w:rPr>
      </w:pPr>
    </w:p>
    <w:p w14:paraId="561BC447" w14:textId="77777777" w:rsidR="00A36F50" w:rsidRPr="00A36F50" w:rsidRDefault="00A36F50" w:rsidP="00A36F50">
      <w:pPr>
        <w:rPr>
          <w:rFonts w:ascii="Arial" w:hAnsi="Arial" w:cs="Arial"/>
          <w:b/>
          <w:bCs/>
        </w:rPr>
      </w:pPr>
    </w:p>
    <w:p w14:paraId="0245B4EF" w14:textId="77777777" w:rsidR="00A36F50" w:rsidRPr="00A36F50" w:rsidRDefault="00A36F50" w:rsidP="00A36F50">
      <w:pPr>
        <w:rPr>
          <w:rFonts w:ascii="Arial" w:hAnsi="Arial" w:cs="Arial"/>
          <w:b/>
          <w:bCs/>
        </w:rPr>
      </w:pPr>
    </w:p>
    <w:p w14:paraId="473ADFD5" w14:textId="77777777" w:rsidR="00A36F50" w:rsidRPr="00A36F50" w:rsidRDefault="00A36F50" w:rsidP="00A36F50">
      <w:pPr>
        <w:rPr>
          <w:rFonts w:ascii="Arial" w:hAnsi="Arial" w:cs="Arial"/>
          <w:b/>
          <w:bCs/>
        </w:rPr>
      </w:pPr>
    </w:p>
    <w:p w14:paraId="38A9D243" w14:textId="77777777" w:rsidR="00A36F50" w:rsidRPr="00A36F50" w:rsidRDefault="00A36F50" w:rsidP="00A36F50">
      <w:pPr>
        <w:rPr>
          <w:rFonts w:ascii="Arial" w:hAnsi="Arial" w:cs="Arial"/>
          <w:b/>
          <w:bCs/>
        </w:rPr>
      </w:pPr>
    </w:p>
    <w:p w14:paraId="65F423B0" w14:textId="77777777" w:rsidR="00A36F50" w:rsidRPr="00A36F50" w:rsidRDefault="00A36F50" w:rsidP="00A36F50">
      <w:pPr>
        <w:rPr>
          <w:rFonts w:ascii="Arial" w:hAnsi="Arial" w:cs="Arial"/>
          <w:b/>
          <w:bCs/>
        </w:rPr>
      </w:pPr>
    </w:p>
    <w:p w14:paraId="6209FE7D" w14:textId="77777777" w:rsidR="00A36F50" w:rsidRPr="00A36F50" w:rsidRDefault="00A36F50" w:rsidP="00A36F50">
      <w:pPr>
        <w:rPr>
          <w:rFonts w:ascii="Arial" w:hAnsi="Arial" w:cs="Arial"/>
          <w:b/>
          <w:bCs/>
        </w:rPr>
      </w:pPr>
    </w:p>
    <w:p w14:paraId="3474DC4D" w14:textId="77777777" w:rsidR="00A36F50" w:rsidRPr="00A36F50" w:rsidRDefault="00A36F50" w:rsidP="00A36F50">
      <w:pPr>
        <w:rPr>
          <w:rFonts w:ascii="Arial" w:hAnsi="Arial" w:cs="Arial"/>
          <w:b/>
          <w:bCs/>
        </w:rPr>
      </w:pPr>
    </w:p>
    <w:p w14:paraId="0234361E" w14:textId="77777777" w:rsidR="00A36F50" w:rsidRPr="00A36F50" w:rsidRDefault="00A36F50" w:rsidP="00A36F50">
      <w:pPr>
        <w:rPr>
          <w:rFonts w:ascii="Arial" w:hAnsi="Arial" w:cs="Arial"/>
          <w:b/>
          <w:bCs/>
        </w:rPr>
      </w:pPr>
    </w:p>
    <w:p w14:paraId="280CBC98" w14:textId="77777777" w:rsidR="00A36F50" w:rsidRPr="00A36F50" w:rsidRDefault="00A36F50" w:rsidP="00A36F50">
      <w:pPr>
        <w:rPr>
          <w:rFonts w:ascii="Arial" w:hAnsi="Arial" w:cs="Arial"/>
          <w:b/>
          <w:bCs/>
        </w:rPr>
      </w:pPr>
      <w:r w:rsidRPr="00A36F50">
        <w:rPr>
          <w:rFonts w:ascii="Arial" w:hAnsi="Arial" w:cs="Arial"/>
          <w:b/>
          <w:bCs/>
        </w:rPr>
        <w:t>ORGANISATIONAL CULTURE AND ITS IMPACT ON TOYOTA: A CRITICAL EVALUATION</w:t>
      </w:r>
    </w:p>
    <w:p w14:paraId="0BABE6B2" w14:textId="77777777" w:rsidR="00A36F50" w:rsidRPr="00A36F50" w:rsidRDefault="00A36F50" w:rsidP="00A36F50">
      <w:pPr>
        <w:rPr>
          <w:rFonts w:ascii="Arial" w:hAnsi="Arial" w:cs="Arial"/>
          <w:b/>
          <w:bCs/>
        </w:rPr>
      </w:pPr>
      <w:r w:rsidRPr="00A36F50">
        <w:rPr>
          <w:rFonts w:ascii="Arial" w:hAnsi="Arial" w:cs="Arial"/>
          <w:b/>
          <w:bCs/>
        </w:rPr>
        <w:t>EXECUTIVE SUMMARY</w:t>
      </w:r>
    </w:p>
    <w:p w14:paraId="5CBDEC1E" w14:textId="77777777" w:rsidR="00A36F50" w:rsidRPr="00A36F50" w:rsidRDefault="00A36F50" w:rsidP="00A36F50">
      <w:pPr>
        <w:rPr>
          <w:rFonts w:ascii="Arial" w:hAnsi="Arial" w:cs="Arial"/>
          <w:b/>
          <w:bCs/>
        </w:rPr>
      </w:pPr>
      <w:r w:rsidRPr="00A36F50">
        <w:rPr>
          <w:rFonts w:ascii="Arial" w:hAnsi="Arial" w:cs="Arial"/>
          <w:b/>
          <w:bCs/>
        </w:rPr>
        <w:t xml:space="preserve">This report critically examines organisational culture at Toyota Motor Corporation, evaluating its influence on structure, decision-making processes, and overall performance. Through analysis using Schein's Model, Hofstede's Cultural Dimensions, and Handy's Cultural Types, this report identifies Toyota's distinctive culture rooted in the Toyota Production System and the </w:t>
      </w:r>
      <w:r w:rsidRPr="00A36F50">
        <w:rPr>
          <w:rFonts w:ascii="Arial" w:hAnsi="Arial" w:cs="Arial"/>
          <w:b/>
          <w:bCs/>
        </w:rPr>
        <w:lastRenderedPageBreak/>
        <w:t>Toyota Way philosophy. The analysis demonstrates that Toyota's culture predominantly functions as an enabler to effective organisational functioning, though certain cultural characteristics can create barriers in rapidly changing market conditions. The report concludes with evidence-based recommendations for cultural adaptation whilst maintaining core values that have underpinned Toyota's sustained competitive advantage in the global automotive industry.</w:t>
      </w:r>
    </w:p>
    <w:p w14:paraId="7D18103D" w14:textId="77777777" w:rsidR="00A36F50" w:rsidRPr="00A36F50" w:rsidRDefault="00A36F50" w:rsidP="00A36F50">
      <w:pPr>
        <w:rPr>
          <w:rFonts w:ascii="Arial" w:hAnsi="Arial" w:cs="Arial"/>
          <w:b/>
          <w:bCs/>
        </w:rPr>
      </w:pPr>
      <w:r w:rsidRPr="00A36F50">
        <w:rPr>
          <w:rFonts w:ascii="Arial" w:hAnsi="Arial" w:cs="Arial"/>
          <w:b/>
          <w:bCs/>
        </w:rPr>
        <w:t>1.0 INTRODUCTION</w:t>
      </w:r>
    </w:p>
    <w:p w14:paraId="1F33F018" w14:textId="77777777" w:rsidR="00A36F50" w:rsidRPr="00A36F50" w:rsidRDefault="00A36F50" w:rsidP="00A36F50">
      <w:pPr>
        <w:rPr>
          <w:rFonts w:ascii="Arial" w:hAnsi="Arial" w:cs="Arial"/>
          <w:b/>
          <w:bCs/>
        </w:rPr>
      </w:pPr>
      <w:r w:rsidRPr="00A36F50">
        <w:rPr>
          <w:rFonts w:ascii="Arial" w:hAnsi="Arial" w:cs="Arial"/>
          <w:b/>
          <w:bCs/>
        </w:rPr>
        <w:t>Organisational culture represents the fundamental essence of how organisations function, encompassing shared values, beliefs, and behavioural norms that distinguish one organisation from another (Schein, 2010). As Mullins and Christy (2016, p.574) articulate, culture pervades organisational processes including decision-making, structural design, and management control, becoming increasingly critical as globalisation intensifies workplace diversity. Toyota Motor Corporation provides an exemplary case study for examining organisational culture's impact, having developed a distinctive cultural identity that transcends national boundaries whilst maintaining Japanese philosophical foundations. This report systematically evaluates how Toyota's organisational culture influences its operations, structure, and performance in an increasingly complex global automotive market characterised by technological disruption, environmental pressures, and shifting consumer preferences.</w:t>
      </w:r>
    </w:p>
    <w:p w14:paraId="268E8CFB" w14:textId="77777777" w:rsidR="00A36F50" w:rsidRPr="00A36F50" w:rsidRDefault="00A36F50" w:rsidP="00A36F50">
      <w:pPr>
        <w:rPr>
          <w:rFonts w:ascii="Arial" w:hAnsi="Arial" w:cs="Arial"/>
          <w:b/>
          <w:bCs/>
        </w:rPr>
      </w:pPr>
      <w:r w:rsidRPr="00A36F50">
        <w:rPr>
          <w:rFonts w:ascii="Arial" w:hAnsi="Arial" w:cs="Arial"/>
          <w:b/>
          <w:bCs/>
        </w:rPr>
        <w:t>2.0 ORGANISATIONAL CULTURE'S INFLUENCE ON STRUCTURE AND DECISION-MAKING</w:t>
      </w:r>
    </w:p>
    <w:p w14:paraId="45C33EDE" w14:textId="77777777" w:rsidR="00A36F50" w:rsidRPr="00A36F50" w:rsidRDefault="00A36F50" w:rsidP="00A36F50">
      <w:pPr>
        <w:rPr>
          <w:rFonts w:ascii="Arial" w:hAnsi="Arial" w:cs="Arial"/>
          <w:b/>
          <w:bCs/>
        </w:rPr>
      </w:pPr>
      <w:r w:rsidRPr="00A36F50">
        <w:rPr>
          <w:rFonts w:ascii="Arial" w:hAnsi="Arial" w:cs="Arial"/>
          <w:b/>
          <w:bCs/>
        </w:rPr>
        <w:t>2.1 Cultural Foundation and Structural Configuration</w:t>
      </w:r>
    </w:p>
    <w:p w14:paraId="6E4FA1A3" w14:textId="77777777" w:rsidR="00A36F50" w:rsidRPr="00A36F50" w:rsidRDefault="00A36F50" w:rsidP="00A36F50">
      <w:pPr>
        <w:rPr>
          <w:rFonts w:ascii="Arial" w:hAnsi="Arial" w:cs="Arial"/>
          <w:b/>
          <w:bCs/>
        </w:rPr>
      </w:pPr>
      <w:r w:rsidRPr="00A36F50">
        <w:rPr>
          <w:rFonts w:ascii="Arial" w:hAnsi="Arial" w:cs="Arial"/>
          <w:b/>
          <w:bCs/>
        </w:rPr>
        <w:t>Toyota's organisational culture fundamentally shapes its structural configuration through the Toyota Production System (TPS) and the Toyota Way philosophy, which emphasise continuous improvement (kaizen), respect for people, and long-term thinking (Liker, 2004). This cultural foundation manifests in a relatively flat organisational structure that facilitates rapid information flow and empowers employees at operational levels to identify problems and implement solutions. Unlike traditional hierarchical automotive manufacturers, Toyota's structure reflects its cultural emphasis on gemba, meaning going to the actual place where work occurs, and genchi genbutsu, which involves thorough understanding through direct observation, requiring structural arrangements that enable management proximity to production processes (Osono, Shimizu and Takeuchi, 2008).</w:t>
      </w:r>
    </w:p>
    <w:p w14:paraId="7FF8E5FE" w14:textId="77777777" w:rsidR="00A36F50" w:rsidRPr="00A36F50" w:rsidRDefault="00A36F50" w:rsidP="00A36F50">
      <w:pPr>
        <w:rPr>
          <w:rFonts w:ascii="Arial" w:hAnsi="Arial" w:cs="Arial"/>
          <w:b/>
          <w:bCs/>
        </w:rPr>
      </w:pPr>
      <w:r w:rsidRPr="00A36F50">
        <w:rPr>
          <w:rFonts w:ascii="Arial" w:hAnsi="Arial" w:cs="Arial"/>
          <w:b/>
          <w:bCs/>
        </w:rPr>
        <w:t xml:space="preserve">The cultural principle of nemawashi, involving consensus-building through informal discussion before formal decision-making, necessitates structural mechanisms that support lateral communication across functional boundaries </w:t>
      </w:r>
      <w:r w:rsidRPr="00A36F50">
        <w:rPr>
          <w:rFonts w:ascii="Arial" w:hAnsi="Arial" w:cs="Arial"/>
          <w:b/>
          <w:bCs/>
        </w:rPr>
        <w:lastRenderedPageBreak/>
        <w:t>(Takeuchi, Osono and Shimizu, 2008). Toyota's matrix-like structure, particularly in product development, reflects this cultural requirement, enabling cross-functional teams to collaborate intensively whilst maintaining clear accountability lines. This structural configuration contrasts sharply with more compartmentalised Western automotive manufacturers, demonstrating how cultural values directly influence organisational architecture.</w:t>
      </w:r>
    </w:p>
    <w:p w14:paraId="0A9C442D" w14:textId="77777777" w:rsidR="00A36F50" w:rsidRPr="00A36F50" w:rsidRDefault="00A36F50" w:rsidP="00A36F50">
      <w:pPr>
        <w:rPr>
          <w:rFonts w:ascii="Arial" w:hAnsi="Arial" w:cs="Arial"/>
          <w:b/>
          <w:bCs/>
        </w:rPr>
      </w:pPr>
      <w:r w:rsidRPr="00A36F50">
        <w:rPr>
          <w:rFonts w:ascii="Arial" w:hAnsi="Arial" w:cs="Arial"/>
          <w:b/>
          <w:bCs/>
        </w:rPr>
        <w:t>2.2 Decision-Making Processes</w:t>
      </w:r>
    </w:p>
    <w:p w14:paraId="27F0326A" w14:textId="77777777" w:rsidR="00A36F50" w:rsidRPr="00A36F50" w:rsidRDefault="00A36F50" w:rsidP="00A36F50">
      <w:pPr>
        <w:rPr>
          <w:rFonts w:ascii="Arial" w:hAnsi="Arial" w:cs="Arial"/>
          <w:b/>
          <w:bCs/>
        </w:rPr>
      </w:pPr>
      <w:r w:rsidRPr="00A36F50">
        <w:rPr>
          <w:rFonts w:ascii="Arial" w:hAnsi="Arial" w:cs="Arial"/>
          <w:b/>
          <w:bCs/>
        </w:rPr>
        <w:t>Toyota's decision-making processes exemplify the profound influence of organisational culture on managerial practices. The company employs a distinctive approach characterised by slow, consensus-driven decision formulation followed by rapid implementation, contrasting with Western models emphasising quick individual decision-making (Shimizu, 2012). This approach reflects deeply embedded cultural values prioritising collective wisdom over individual authority, risk mitigation through thorough analysis, and sustainable long-term outcomes over short-term gains.</w:t>
      </w:r>
    </w:p>
    <w:p w14:paraId="44CACB99" w14:textId="77777777" w:rsidR="00A36F50" w:rsidRPr="00A36F50" w:rsidRDefault="00A36F50" w:rsidP="00A36F50">
      <w:pPr>
        <w:rPr>
          <w:rFonts w:ascii="Arial" w:hAnsi="Arial" w:cs="Arial"/>
          <w:b/>
          <w:bCs/>
        </w:rPr>
      </w:pPr>
      <w:r w:rsidRPr="00A36F50">
        <w:rPr>
          <w:rFonts w:ascii="Arial" w:hAnsi="Arial" w:cs="Arial"/>
          <w:b/>
          <w:bCs/>
        </w:rPr>
        <w:t>The A3 problem-solving methodology, widely utilised throughout Toyota, demonstrates how cultural values become embedded in formal decision-making tools (Sobek and Smalley, 2008). This single-page structured approach requires decision-makers to articulate problems, analyse root causes, propose countermeasures, and establish implementation plans collaboratively, reflecting cultural commitments to transparency, systematic thinking, and continuous learning. Furthermore, the practice of hansei, meaning self-reflection, following decisions reinforces a cultural orientation toward learning from both successes and failures, creating feedback loops that continuously refine decision-making capabilities (Liker and Convis, 2012).</w:t>
      </w:r>
    </w:p>
    <w:p w14:paraId="32F1842D" w14:textId="77777777" w:rsidR="00A36F50" w:rsidRPr="00A36F50" w:rsidRDefault="00A36F50" w:rsidP="00A36F50">
      <w:pPr>
        <w:rPr>
          <w:rFonts w:ascii="Arial" w:hAnsi="Arial" w:cs="Arial"/>
          <w:b/>
          <w:bCs/>
        </w:rPr>
      </w:pPr>
      <w:r w:rsidRPr="00A36F50">
        <w:rPr>
          <w:rFonts w:ascii="Arial" w:hAnsi="Arial" w:cs="Arial"/>
          <w:b/>
          <w:bCs/>
        </w:rPr>
        <w:t>However, this culturally-embedded decision-making approach has demonstrated limitations, particularly during the 2009-2010 recall crisis when slow consensus-building processes delayed critical safety-related decisions, damaging Toyota's reputation (Cole, 2011). This incident illustrates how cultural strengths can become weaknesses when environmental conditions demand rapid, decisive action contrary to established cultural norms.</w:t>
      </w:r>
    </w:p>
    <w:p w14:paraId="766872C8" w14:textId="77777777" w:rsidR="00A36F50" w:rsidRPr="00A36F50" w:rsidRDefault="00A36F50" w:rsidP="00A36F50">
      <w:pPr>
        <w:rPr>
          <w:rFonts w:ascii="Arial" w:hAnsi="Arial" w:cs="Arial"/>
          <w:b/>
          <w:bCs/>
        </w:rPr>
      </w:pPr>
      <w:r w:rsidRPr="00A36F50">
        <w:rPr>
          <w:rFonts w:ascii="Arial" w:hAnsi="Arial" w:cs="Arial"/>
          <w:b/>
          <w:bCs/>
        </w:rPr>
        <w:t>3.0 IDENTIFYING AND ANALYSING ORGANISATIONAL CULTURE TYPES</w:t>
      </w:r>
    </w:p>
    <w:p w14:paraId="20086AF4" w14:textId="77777777" w:rsidR="00A36F50" w:rsidRPr="00A36F50" w:rsidRDefault="00A36F50" w:rsidP="00A36F50">
      <w:pPr>
        <w:rPr>
          <w:rFonts w:ascii="Arial" w:hAnsi="Arial" w:cs="Arial"/>
          <w:b/>
          <w:bCs/>
        </w:rPr>
      </w:pPr>
      <w:r w:rsidRPr="00A36F50">
        <w:rPr>
          <w:rFonts w:ascii="Arial" w:hAnsi="Arial" w:cs="Arial"/>
          <w:b/>
          <w:bCs/>
        </w:rPr>
        <w:t>3.1 Application of Schein's Model</w:t>
      </w:r>
    </w:p>
    <w:p w14:paraId="7DFBD5B3" w14:textId="77777777" w:rsidR="00A36F50" w:rsidRPr="00A36F50" w:rsidRDefault="00A36F50" w:rsidP="00A36F50">
      <w:pPr>
        <w:rPr>
          <w:rFonts w:ascii="Arial" w:hAnsi="Arial" w:cs="Arial"/>
          <w:b/>
          <w:bCs/>
        </w:rPr>
      </w:pPr>
      <w:r w:rsidRPr="00A36F50">
        <w:rPr>
          <w:rFonts w:ascii="Arial" w:hAnsi="Arial" w:cs="Arial"/>
          <w:b/>
          <w:bCs/>
        </w:rPr>
        <w:t>Schein's (2010) three-level model provides valuable insights into Toyota's organisational culture. At the artefacts level, visible manifestations include standardised work processes, visual management systems such as andon boards, and physical workspace arrangements emphasising transparency and accessibility. The company's museums, such as the Toyota Kaikan Exhibition Hall, showcase historical vehicles and manufacturing innovations, serving as cultural symbols that reinforce organisational heritage and values.</w:t>
      </w:r>
    </w:p>
    <w:p w14:paraId="414223AC" w14:textId="77777777" w:rsidR="00A36F50" w:rsidRPr="00A36F50" w:rsidRDefault="00A36F50" w:rsidP="00A36F50">
      <w:pPr>
        <w:rPr>
          <w:rFonts w:ascii="Arial" w:hAnsi="Arial" w:cs="Arial"/>
          <w:b/>
          <w:bCs/>
        </w:rPr>
      </w:pPr>
      <w:r w:rsidRPr="00A36F50">
        <w:rPr>
          <w:rFonts w:ascii="Arial" w:hAnsi="Arial" w:cs="Arial"/>
          <w:b/>
          <w:bCs/>
        </w:rPr>
        <w:lastRenderedPageBreak/>
        <w:t>Espoused values, Schein's (2010) second level, are explicitly articulated in the Toyota Way 2001 document, which codifies continuous improvement and respect for people as foundational pillars (Toyota Motor Corporation, 2003). These espoused values translate into specific behavioural expectations including challenge, which involves maintaining long-term vision; kaizen, focusing on continuous improvement; genchi genbutsu, meaning going to the source; respect, which builds trust; and teamwork, stimulating personal and professional growth.</w:t>
      </w:r>
    </w:p>
    <w:p w14:paraId="215F49D7" w14:textId="77777777" w:rsidR="00A36F50" w:rsidRPr="00A36F50" w:rsidRDefault="00A36F50" w:rsidP="00A36F50">
      <w:pPr>
        <w:rPr>
          <w:rFonts w:ascii="Arial" w:hAnsi="Arial" w:cs="Arial"/>
          <w:b/>
          <w:bCs/>
        </w:rPr>
      </w:pPr>
      <w:r w:rsidRPr="00A36F50">
        <w:rPr>
          <w:rFonts w:ascii="Arial" w:hAnsi="Arial" w:cs="Arial"/>
          <w:b/>
          <w:bCs/>
        </w:rPr>
        <w:t>At the deepest level, underlying assumptions reflect Japanese cultural influences including collectivism, long-term orientation, and uncertainty avoidance (Hofstede, 2001). These unconscious beliefs manifest in assumptions that collective intelligence surpasses individual brilliance, that sustainable success requires patience and incremental improvement, and that problems are opportunities for learning rather than occasions for blame. These deeply embedded assumptions create cultural coherence but can also create barriers when Toyota operates in cultural contexts with contrasting assumptions about individualism, short-term performance, and risk-taking.</w:t>
      </w:r>
    </w:p>
    <w:p w14:paraId="5FA0741A" w14:textId="77777777" w:rsidR="00A36F50" w:rsidRPr="00A36F50" w:rsidRDefault="00A36F50" w:rsidP="00A36F50">
      <w:pPr>
        <w:rPr>
          <w:rFonts w:ascii="Arial" w:hAnsi="Arial" w:cs="Arial"/>
          <w:b/>
          <w:bCs/>
        </w:rPr>
      </w:pPr>
      <w:r w:rsidRPr="00A36F50">
        <w:rPr>
          <w:rFonts w:ascii="Arial" w:hAnsi="Arial" w:cs="Arial"/>
          <w:b/>
          <w:bCs/>
        </w:rPr>
        <w:t>3.2 Hofstede's Cultural Dimensions Analysis</w:t>
      </w:r>
    </w:p>
    <w:p w14:paraId="2992EFB9" w14:textId="77777777" w:rsidR="00A36F50" w:rsidRPr="00A36F50" w:rsidRDefault="00A36F50" w:rsidP="00A36F50">
      <w:pPr>
        <w:rPr>
          <w:rFonts w:ascii="Arial" w:hAnsi="Arial" w:cs="Arial"/>
          <w:b/>
          <w:bCs/>
        </w:rPr>
      </w:pPr>
      <w:r w:rsidRPr="00A36F50">
        <w:rPr>
          <w:rFonts w:ascii="Arial" w:hAnsi="Arial" w:cs="Arial"/>
          <w:b/>
          <w:bCs/>
        </w:rPr>
        <w:t>Applying Hofstede's (2001) cultural dimensions framework reveals how Toyota's organisational culture reflects and adapts Japanese national culture whilst creating a distinctive corporate identity. Toyota exhibits moderate power distance, lower than typical Japanese organisations, reflecting its cultural emphasis on respect for all employees and empowerment of frontline workers to stop production when quality issues emerge. This cultural characteristic differentiates Toyota from more hierarchical Japanese competitors and enables more responsive problem-solving.</w:t>
      </w:r>
    </w:p>
    <w:p w14:paraId="050363BA" w14:textId="77777777" w:rsidR="00A36F50" w:rsidRPr="00A36F50" w:rsidRDefault="00A36F50" w:rsidP="00A36F50">
      <w:pPr>
        <w:rPr>
          <w:rFonts w:ascii="Arial" w:hAnsi="Arial" w:cs="Arial"/>
          <w:b/>
          <w:bCs/>
        </w:rPr>
      </w:pPr>
      <w:r w:rsidRPr="00A36F50">
        <w:rPr>
          <w:rFonts w:ascii="Arial" w:hAnsi="Arial" w:cs="Arial"/>
          <w:b/>
          <w:bCs/>
        </w:rPr>
        <w:t>The organisation demonstrates high collectivism through emphasis on team-based work, shared responsibility for outcomes, and subordination of individual recognition to group achievement (Magee, 2007). However, Toyota has adapted this cultural dimension when operating internationally, particularly in individualistic Western markets, by creating hybrid approaches that maintain team orientation whilst acknowledging individual contributions.</w:t>
      </w:r>
    </w:p>
    <w:p w14:paraId="6E15900A" w14:textId="77777777" w:rsidR="00A36F50" w:rsidRPr="00A36F50" w:rsidRDefault="00A36F50" w:rsidP="00A36F50">
      <w:pPr>
        <w:rPr>
          <w:rFonts w:ascii="Arial" w:hAnsi="Arial" w:cs="Arial"/>
          <w:b/>
          <w:bCs/>
        </w:rPr>
      </w:pPr>
      <w:r w:rsidRPr="00A36F50">
        <w:rPr>
          <w:rFonts w:ascii="Arial" w:hAnsi="Arial" w:cs="Arial"/>
          <w:b/>
          <w:bCs/>
        </w:rPr>
        <w:t>Toyota's strong long-term orientation manifests in willingness to sacrifice short-term profitability for long-term market position, sustained investment in research and development, and preference for organic growth over acquisitions (Greto, Schotter and Teagarden, 2010). This cultural characteristic has enabled Toyota to weather economic downturns more effectively than competitors focused on quarterly financial performance but has occasionally frustrated Western shareholders expecting more immediate returns.</w:t>
      </w:r>
    </w:p>
    <w:p w14:paraId="4C43B5AF" w14:textId="77777777" w:rsidR="00A36F50" w:rsidRPr="00A36F50" w:rsidRDefault="00A36F50" w:rsidP="00A36F50">
      <w:pPr>
        <w:rPr>
          <w:rFonts w:ascii="Arial" w:hAnsi="Arial" w:cs="Arial"/>
          <w:b/>
          <w:bCs/>
        </w:rPr>
      </w:pPr>
      <w:r w:rsidRPr="00A36F50">
        <w:rPr>
          <w:rFonts w:ascii="Arial" w:hAnsi="Arial" w:cs="Arial"/>
          <w:b/>
          <w:bCs/>
        </w:rPr>
        <w:t>3.3 Handy's Cultural Types</w:t>
      </w:r>
    </w:p>
    <w:p w14:paraId="5C9DE3B2" w14:textId="77777777" w:rsidR="00A36F50" w:rsidRPr="00A36F50" w:rsidRDefault="00A36F50" w:rsidP="00A36F50">
      <w:pPr>
        <w:rPr>
          <w:rFonts w:ascii="Arial" w:hAnsi="Arial" w:cs="Arial"/>
          <w:b/>
          <w:bCs/>
        </w:rPr>
      </w:pPr>
      <w:r w:rsidRPr="00A36F50">
        <w:rPr>
          <w:rFonts w:ascii="Arial" w:hAnsi="Arial" w:cs="Arial"/>
          <w:b/>
          <w:bCs/>
        </w:rPr>
        <w:lastRenderedPageBreak/>
        <w:t>Utilising Handy's (1993) cultural typology, Toyota predominantly exhibits task culture characteristics, emphasising problem-solving through expert teams, matrix-like structures, and flexibility in resource deployment. This cultural orientation aligns with Toyota's emphasis on continuous improvement teams, cross-functional product development, and rapid response to quality issues. Task culture enables Toyota to leverage specialised expertise whilst maintaining organisational coherence through shared commitment to the Toyota Way principles.</w:t>
      </w:r>
    </w:p>
    <w:p w14:paraId="30351DCC" w14:textId="77777777" w:rsidR="00A36F50" w:rsidRPr="00A36F50" w:rsidRDefault="00A36F50" w:rsidP="00A36F50">
      <w:pPr>
        <w:rPr>
          <w:rFonts w:ascii="Arial" w:hAnsi="Arial" w:cs="Arial"/>
          <w:b/>
          <w:bCs/>
        </w:rPr>
      </w:pPr>
      <w:r w:rsidRPr="00A36F50">
        <w:rPr>
          <w:rFonts w:ascii="Arial" w:hAnsi="Arial" w:cs="Arial"/>
          <w:b/>
          <w:bCs/>
        </w:rPr>
        <w:t>However, elements of role culture also exist, particularly in administrative functions and quality control processes where standardisation, predictability, and formal procedures predominate (Morgan, 2006). This cultural dimension ensures consistency across global operations whilst supporting the task culture's flexibility in problem-solving contexts. The interplay between task and role culture creates dynamic tension that Toyota manages through its cultural emphasis on balance and continuous adjustment.</w:t>
      </w:r>
    </w:p>
    <w:p w14:paraId="00C4F7CD" w14:textId="77777777" w:rsidR="00A36F50" w:rsidRPr="00A36F50" w:rsidRDefault="00A36F50" w:rsidP="00A36F50">
      <w:pPr>
        <w:rPr>
          <w:rFonts w:ascii="Arial" w:hAnsi="Arial" w:cs="Arial"/>
          <w:b/>
          <w:bCs/>
        </w:rPr>
      </w:pPr>
      <w:r w:rsidRPr="00A36F50">
        <w:rPr>
          <w:rFonts w:ascii="Arial" w:hAnsi="Arial" w:cs="Arial"/>
          <w:b/>
          <w:bCs/>
        </w:rPr>
        <w:t>4.0 LEVERAGING CULTURE TO ADAPT TO EXTERNAL ENVIRONMENTAL INFLUENCES</w:t>
      </w:r>
    </w:p>
    <w:p w14:paraId="1F631B0A" w14:textId="77777777" w:rsidR="00A36F50" w:rsidRPr="00A36F50" w:rsidRDefault="00A36F50" w:rsidP="00A36F50">
      <w:pPr>
        <w:rPr>
          <w:rFonts w:ascii="Arial" w:hAnsi="Arial" w:cs="Arial"/>
          <w:b/>
          <w:bCs/>
        </w:rPr>
      </w:pPr>
      <w:r w:rsidRPr="00A36F50">
        <w:rPr>
          <w:rFonts w:ascii="Arial" w:hAnsi="Arial" w:cs="Arial"/>
          <w:b/>
          <w:bCs/>
        </w:rPr>
        <w:t>4.1 Cultural Adaptability Mechanisms</w:t>
      </w:r>
    </w:p>
    <w:p w14:paraId="3810FE84" w14:textId="77777777" w:rsidR="00A36F50" w:rsidRPr="00A36F50" w:rsidRDefault="00A36F50" w:rsidP="00A36F50">
      <w:pPr>
        <w:rPr>
          <w:rFonts w:ascii="Arial" w:hAnsi="Arial" w:cs="Arial"/>
          <w:b/>
          <w:bCs/>
        </w:rPr>
      </w:pPr>
      <w:r w:rsidRPr="00A36F50">
        <w:rPr>
          <w:rFonts w:ascii="Arial" w:hAnsi="Arial" w:cs="Arial"/>
          <w:b/>
          <w:bCs/>
        </w:rPr>
        <w:t>Toyota demonstrates sophisticated capability in leveraging organisational culture to navigate external environmental pressures whilst maintaining cultural integrity. The company's cultural emphasis on continuous improvement creates inherent adaptability, as kaizen philosophy assumes that all processes require ongoing refinement in response to changing circumstances (Brunet and New, 2003). This cultural orientation toward perpetual change paradoxically provides stability by making adaptation normative rather than disruptive.</w:t>
      </w:r>
    </w:p>
    <w:p w14:paraId="7F00CF8D" w14:textId="77777777" w:rsidR="00A36F50" w:rsidRPr="00A36F50" w:rsidRDefault="00A36F50" w:rsidP="00A36F50">
      <w:pPr>
        <w:rPr>
          <w:rFonts w:ascii="Arial" w:hAnsi="Arial" w:cs="Arial"/>
          <w:b/>
          <w:bCs/>
        </w:rPr>
      </w:pPr>
      <w:r w:rsidRPr="00A36F50">
        <w:rPr>
          <w:rFonts w:ascii="Arial" w:hAnsi="Arial" w:cs="Arial"/>
          <w:b/>
          <w:bCs/>
        </w:rPr>
        <w:t>When confronting the shift toward electric vehicles and autonomous driving technologies, Toyota has utilised its cultural foundation in systematic problem-solving to explore multiple technological pathways simultaneously, including hybrid, plug-in hybrid, hydrogen fuel cell, and battery electric vehicles (Sierzchula et al., 2012). This multi-pathway approach reflects cultural values of thorough analysis and risk mitigation, contrasting with competitors making earlier, more decisive commitments to specific technologies. While critics have questioned Toyota's apparent hesitancy regarding battery electric vehicles, this approach demonstrates cultural consistency in preferring thoroughly validated solutions over potentially premature commitments.</w:t>
      </w:r>
    </w:p>
    <w:p w14:paraId="5D274237" w14:textId="77777777" w:rsidR="00A36F50" w:rsidRPr="00A36F50" w:rsidRDefault="00A36F50" w:rsidP="00A36F50">
      <w:pPr>
        <w:rPr>
          <w:rFonts w:ascii="Arial" w:hAnsi="Arial" w:cs="Arial"/>
          <w:b/>
          <w:bCs/>
        </w:rPr>
      </w:pPr>
      <w:r w:rsidRPr="00A36F50">
        <w:rPr>
          <w:rFonts w:ascii="Arial" w:hAnsi="Arial" w:cs="Arial"/>
          <w:b/>
          <w:bCs/>
        </w:rPr>
        <w:t>4.2 Cultural Challenges in Environmental Adaptation</w:t>
      </w:r>
    </w:p>
    <w:p w14:paraId="46242AB2" w14:textId="77777777" w:rsidR="00A36F50" w:rsidRPr="00A36F50" w:rsidRDefault="00A36F50" w:rsidP="00A36F50">
      <w:pPr>
        <w:rPr>
          <w:rFonts w:ascii="Arial" w:hAnsi="Arial" w:cs="Arial"/>
          <w:b/>
          <w:bCs/>
        </w:rPr>
      </w:pPr>
      <w:r w:rsidRPr="00A36F50">
        <w:rPr>
          <w:rFonts w:ascii="Arial" w:hAnsi="Arial" w:cs="Arial"/>
          <w:b/>
          <w:bCs/>
        </w:rPr>
        <w:t xml:space="preserve">Despite cultural strengths in systematic adaptation, certain cultural characteristics create friction when environmental pressures demand rapid transformation. Toyota's consensus-driven decision-making culture, whilst </w:t>
      </w:r>
      <w:r w:rsidRPr="00A36F50">
        <w:rPr>
          <w:rFonts w:ascii="Arial" w:hAnsi="Arial" w:cs="Arial"/>
          <w:b/>
          <w:bCs/>
        </w:rPr>
        <w:lastRenderedPageBreak/>
        <w:t>effective for incremental improvement, can impede revolutionary change required in rapidly evolving markets (Shimokawa and Jürgens, 2012). The automotive industry's current disruption through electrification, digitalisation, and new mobility services challenges Toyota's cultural assumption that careful, consensus-based decisions systematically yield superior outcomes.</w:t>
      </w:r>
    </w:p>
    <w:p w14:paraId="7486CC06" w14:textId="77777777" w:rsidR="00A36F50" w:rsidRPr="00A36F50" w:rsidRDefault="00A36F50" w:rsidP="00A36F50">
      <w:pPr>
        <w:rPr>
          <w:rFonts w:ascii="Arial" w:hAnsi="Arial" w:cs="Arial"/>
          <w:b/>
          <w:bCs/>
        </w:rPr>
      </w:pPr>
      <w:r w:rsidRPr="00A36F50">
        <w:rPr>
          <w:rFonts w:ascii="Arial" w:hAnsi="Arial" w:cs="Arial"/>
          <w:b/>
          <w:bCs/>
        </w:rPr>
        <w:t>Furthermore, Toyota's cultural emphasis on manufacturing excellence and engineering-driven innovation has occasionally created cultural blind spots regarding consumer experience and software-based value creation, domains where competitors like Tesla have established competitive advantages through different cultural orientations (Perkins and Murmann, 2018). These limitations illustrate how organisational culture, whilst providing coherent identity and proven capabilities, can create path dependencies that constrain strategic flexibility.</w:t>
      </w:r>
    </w:p>
    <w:p w14:paraId="724DE874" w14:textId="77777777" w:rsidR="00A36F50" w:rsidRPr="00A36F50" w:rsidRDefault="00A36F50" w:rsidP="00A36F50">
      <w:pPr>
        <w:rPr>
          <w:rFonts w:ascii="Arial" w:hAnsi="Arial" w:cs="Arial"/>
          <w:b/>
          <w:bCs/>
        </w:rPr>
      </w:pPr>
      <w:r w:rsidRPr="00A36F50">
        <w:rPr>
          <w:rFonts w:ascii="Arial" w:hAnsi="Arial" w:cs="Arial"/>
          <w:b/>
          <w:bCs/>
        </w:rPr>
        <w:t>5.0 CULTURE AS BARRIER OR ENABLER</w:t>
      </w:r>
    </w:p>
    <w:p w14:paraId="31DBA819" w14:textId="77777777" w:rsidR="00A36F50" w:rsidRPr="00A36F50" w:rsidRDefault="00A36F50" w:rsidP="00A36F50">
      <w:pPr>
        <w:rPr>
          <w:rFonts w:ascii="Arial" w:hAnsi="Arial" w:cs="Arial"/>
          <w:b/>
          <w:bCs/>
        </w:rPr>
      </w:pPr>
      <w:r w:rsidRPr="00A36F50">
        <w:rPr>
          <w:rFonts w:ascii="Arial" w:hAnsi="Arial" w:cs="Arial"/>
          <w:b/>
          <w:bCs/>
        </w:rPr>
        <w:t>5.1 Enabling Dimensions</w:t>
      </w:r>
    </w:p>
    <w:p w14:paraId="52CC8798" w14:textId="77777777" w:rsidR="00A36F50" w:rsidRPr="00A36F50" w:rsidRDefault="00A36F50" w:rsidP="00A36F50">
      <w:pPr>
        <w:rPr>
          <w:rFonts w:ascii="Arial" w:hAnsi="Arial" w:cs="Arial"/>
          <w:b/>
          <w:bCs/>
        </w:rPr>
      </w:pPr>
      <w:r w:rsidRPr="00A36F50">
        <w:rPr>
          <w:rFonts w:ascii="Arial" w:hAnsi="Arial" w:cs="Arial"/>
          <w:b/>
          <w:bCs/>
        </w:rPr>
        <w:t>Toyota's organisational culture functions predominantly as an enabler to effective organisational functioning across multiple dimensions. The cultural emphasis on continuous improvement creates self-reinforcing learning cycles that systematically enhance operational efficiency, quality, and employee capability development (Spear and Bowen, 1999). This cultural characteristic has enabled Toyota to achieve industry-leading productivity and quality metrics consistently over decades, demonstrating sustained competitive advantage rooted in difficult-to-imitate cultural capabilities.</w:t>
      </w:r>
    </w:p>
    <w:p w14:paraId="0B7ABB1F" w14:textId="77777777" w:rsidR="00A36F50" w:rsidRPr="00A36F50" w:rsidRDefault="00A36F50" w:rsidP="00A36F50">
      <w:pPr>
        <w:rPr>
          <w:rFonts w:ascii="Arial" w:hAnsi="Arial" w:cs="Arial"/>
          <w:b/>
          <w:bCs/>
        </w:rPr>
      </w:pPr>
      <w:r w:rsidRPr="00A36F50">
        <w:rPr>
          <w:rFonts w:ascii="Arial" w:hAnsi="Arial" w:cs="Arial"/>
          <w:b/>
          <w:bCs/>
        </w:rPr>
        <w:t>The cultural principle of respect for people functions as an enabler by creating high employee engagement, low turnover, and willingness to contribute discretionary effort toward organisational objectives (Liker and Hoseus, 2008). Toyota's culture encourages employees at all levels to identify problems, suggest improvements, and participate in decision-making, creating psychological ownership and intrinsic motivation that transcend purely transactional employment relationships. This cultural enabler becomes particularly valuable in knowledge-intensive contexts where employee creativity and commitment determine organisational performance.</w:t>
      </w:r>
    </w:p>
    <w:p w14:paraId="7E695320" w14:textId="77777777" w:rsidR="00A36F50" w:rsidRPr="00A36F50" w:rsidRDefault="00A36F50" w:rsidP="00A36F50">
      <w:pPr>
        <w:rPr>
          <w:rFonts w:ascii="Arial" w:hAnsi="Arial" w:cs="Arial"/>
          <w:b/>
          <w:bCs/>
        </w:rPr>
      </w:pPr>
      <w:r w:rsidRPr="00A36F50">
        <w:rPr>
          <w:rFonts w:ascii="Arial" w:hAnsi="Arial" w:cs="Arial"/>
          <w:b/>
          <w:bCs/>
        </w:rPr>
        <w:t>Toyota's cultural emphasis on long-term thinking enables patient capability-building and sustained competitive positioning that short-term oriented competitors cannot replicate (Greto, Schotter and Teagarden, 2010). This cultural characteristic facilitated Toyota's emergence as the world's largest automotive manufacturer and enabled the company to maintain market leadership despite periodic setbacks including the 2009-2010 recall crisis and the 2011 tsunami disruption.</w:t>
      </w:r>
    </w:p>
    <w:p w14:paraId="29A6DBAD" w14:textId="77777777" w:rsidR="00A36F50" w:rsidRPr="00A36F50" w:rsidRDefault="00A36F50" w:rsidP="00A36F50">
      <w:pPr>
        <w:rPr>
          <w:rFonts w:ascii="Arial" w:hAnsi="Arial" w:cs="Arial"/>
          <w:b/>
          <w:bCs/>
        </w:rPr>
      </w:pPr>
      <w:r w:rsidRPr="00A36F50">
        <w:rPr>
          <w:rFonts w:ascii="Arial" w:hAnsi="Arial" w:cs="Arial"/>
          <w:b/>
          <w:bCs/>
        </w:rPr>
        <w:t>5.2 Barrier Dimensions</w:t>
      </w:r>
    </w:p>
    <w:p w14:paraId="014648CE" w14:textId="77777777" w:rsidR="00A36F50" w:rsidRPr="00A36F50" w:rsidRDefault="00A36F50" w:rsidP="00A36F50">
      <w:pPr>
        <w:rPr>
          <w:rFonts w:ascii="Arial" w:hAnsi="Arial" w:cs="Arial"/>
          <w:b/>
          <w:bCs/>
        </w:rPr>
      </w:pPr>
      <w:r w:rsidRPr="00A36F50">
        <w:rPr>
          <w:rFonts w:ascii="Arial" w:hAnsi="Arial" w:cs="Arial"/>
          <w:b/>
          <w:bCs/>
        </w:rPr>
        <w:lastRenderedPageBreak/>
        <w:t>Despite predominantly functioning as an enabler, certain aspects of Toyota's culture create barriers to effective organisational functioning in specific contexts. The cultural emphasis on consensus-building can create decision-making paralysis when rapid, decisive action is required, as demonstrated during the recall crisis when cultural norms inhibited timely public acknowledgement of safety issues (Cole, 2011). This cultural barrier became particularly problematic in the context of global media scrutiny and social media acceleration of reputation damage.</w:t>
      </w:r>
    </w:p>
    <w:p w14:paraId="0063A8DC" w14:textId="77777777" w:rsidR="00A36F50" w:rsidRPr="00A36F50" w:rsidRDefault="00A36F50" w:rsidP="00A36F50">
      <w:pPr>
        <w:rPr>
          <w:rFonts w:ascii="Arial" w:hAnsi="Arial" w:cs="Arial"/>
          <w:b/>
          <w:bCs/>
        </w:rPr>
      </w:pPr>
      <w:r w:rsidRPr="00A36F50">
        <w:rPr>
          <w:rFonts w:ascii="Arial" w:hAnsi="Arial" w:cs="Arial"/>
          <w:b/>
          <w:bCs/>
        </w:rPr>
        <w:t>Toyota's cultural foundation in Japanese values and practices can create barriers to fully leveraging diverse global talent when non-Japanese employees perceive cultural insularity or limited career progression opportunities (Mehri, 2006). Despite stated commitment to respect for people, cultural assumptions favouring consensus and harmony can suppress constructive conflict and critical questioning necessary for innovation, particularly when confronting radical technological discontinuities.</w:t>
      </w:r>
    </w:p>
    <w:p w14:paraId="0A519EDF" w14:textId="77777777" w:rsidR="00A36F50" w:rsidRPr="00A36F50" w:rsidRDefault="00A36F50" w:rsidP="00A36F50">
      <w:pPr>
        <w:rPr>
          <w:rFonts w:ascii="Arial" w:hAnsi="Arial" w:cs="Arial"/>
          <w:b/>
          <w:bCs/>
        </w:rPr>
      </w:pPr>
      <w:r w:rsidRPr="00A36F50">
        <w:rPr>
          <w:rFonts w:ascii="Arial" w:hAnsi="Arial" w:cs="Arial"/>
          <w:b/>
          <w:bCs/>
        </w:rPr>
        <w:t>The cultural veneration of manufacturing excellence and the Toyota Production System may create cultural rigidity that impedes recognition of emerging value creation logics based on software, services, and customer experience rather than physical product quality (Christensen, 1997). As the automotive industry transforms toward mobility services and autonomous vehicles, Toyota's cultural strengths in manufacturing may become less relevant while cultural limitations in software development and digital business models become more constraining.</w:t>
      </w:r>
    </w:p>
    <w:p w14:paraId="784890A8" w14:textId="77777777" w:rsidR="00A36F50" w:rsidRPr="00A36F50" w:rsidRDefault="00A36F50" w:rsidP="00A36F50">
      <w:pPr>
        <w:rPr>
          <w:rFonts w:ascii="Arial" w:hAnsi="Arial" w:cs="Arial"/>
          <w:b/>
          <w:bCs/>
        </w:rPr>
      </w:pPr>
      <w:r w:rsidRPr="00A36F50">
        <w:rPr>
          <w:rFonts w:ascii="Arial" w:hAnsi="Arial" w:cs="Arial"/>
          <w:b/>
          <w:bCs/>
        </w:rPr>
        <w:t>5.3 Overall Assessment</w:t>
      </w:r>
    </w:p>
    <w:p w14:paraId="12E287F4" w14:textId="77777777" w:rsidR="00A36F50" w:rsidRPr="00A36F50" w:rsidRDefault="00A36F50" w:rsidP="00A36F50">
      <w:pPr>
        <w:rPr>
          <w:rFonts w:ascii="Arial" w:hAnsi="Arial" w:cs="Arial"/>
          <w:b/>
          <w:bCs/>
        </w:rPr>
      </w:pPr>
      <w:r w:rsidRPr="00A36F50">
        <w:rPr>
          <w:rFonts w:ascii="Arial" w:hAnsi="Arial" w:cs="Arial"/>
          <w:b/>
          <w:bCs/>
        </w:rPr>
        <w:t>On balance, Toyota's organisational culture functions predominantly as an enabler, having facilitated the company's rise to global industry leadership and sustained competitive advantage over multiple decades. However, the contemporary automotive industry's rapid transformation challenges aspects of Toyota's culture, requiring cultural evolution whilst preserving core values that remain relevant. The assessment must therefore be nuanced, recognising that culture's enabling or barrier function varies across contexts and evolves as environmental conditions change.</w:t>
      </w:r>
    </w:p>
    <w:p w14:paraId="17864621" w14:textId="77777777" w:rsidR="00A36F50" w:rsidRPr="00A36F50" w:rsidRDefault="00A36F50" w:rsidP="00A36F50">
      <w:pPr>
        <w:rPr>
          <w:rFonts w:ascii="Arial" w:hAnsi="Arial" w:cs="Arial"/>
          <w:b/>
          <w:bCs/>
        </w:rPr>
      </w:pPr>
      <w:r w:rsidRPr="00A36F50">
        <w:rPr>
          <w:rFonts w:ascii="Arial" w:hAnsi="Arial" w:cs="Arial"/>
          <w:b/>
          <w:bCs/>
        </w:rPr>
        <w:t>6.0 IMPACT ON PERFORMANCE AND RECOMMENDATIONS</w:t>
      </w:r>
    </w:p>
    <w:p w14:paraId="153D1318" w14:textId="77777777" w:rsidR="00A36F50" w:rsidRPr="00A36F50" w:rsidRDefault="00A36F50" w:rsidP="00A36F50">
      <w:pPr>
        <w:rPr>
          <w:rFonts w:ascii="Arial" w:hAnsi="Arial" w:cs="Arial"/>
          <w:b/>
          <w:bCs/>
        </w:rPr>
      </w:pPr>
      <w:r w:rsidRPr="00A36F50">
        <w:rPr>
          <w:rFonts w:ascii="Arial" w:hAnsi="Arial" w:cs="Arial"/>
          <w:b/>
          <w:bCs/>
        </w:rPr>
        <w:t>6.1 Performance Impact Analysis</w:t>
      </w:r>
    </w:p>
    <w:p w14:paraId="63122E8C" w14:textId="77777777" w:rsidR="00A36F50" w:rsidRPr="00A36F50" w:rsidRDefault="00A36F50" w:rsidP="00A36F50">
      <w:pPr>
        <w:rPr>
          <w:rFonts w:ascii="Arial" w:hAnsi="Arial" w:cs="Arial"/>
          <w:b/>
          <w:bCs/>
        </w:rPr>
      </w:pPr>
      <w:r w:rsidRPr="00A36F50">
        <w:rPr>
          <w:rFonts w:ascii="Arial" w:hAnsi="Arial" w:cs="Arial"/>
          <w:b/>
          <w:bCs/>
        </w:rPr>
        <w:t xml:space="preserve">Toyota's organisational culture has demonstrably influenced company performance across multiple metrics. The cultural emphasis on quality and continuous improvement has enabled Toyota to achieve industry-leading quality ratings consistently, with the company's vehicles regularly ranking highest in reliability studies conducted by organisations such as J.D. Power and Consumer Reports (Automotive News, 2023). This quality advantage </w:t>
      </w:r>
      <w:r w:rsidRPr="00A36F50">
        <w:rPr>
          <w:rFonts w:ascii="Arial" w:hAnsi="Arial" w:cs="Arial"/>
          <w:b/>
          <w:bCs/>
        </w:rPr>
        <w:lastRenderedPageBreak/>
        <w:t>translates directly into customer loyalty, residual values, and brand reputation that support premium pricing and market share.</w:t>
      </w:r>
    </w:p>
    <w:p w14:paraId="4B909EDB" w14:textId="77777777" w:rsidR="00A36F50" w:rsidRPr="00A36F50" w:rsidRDefault="00A36F50" w:rsidP="00A36F50">
      <w:pPr>
        <w:rPr>
          <w:rFonts w:ascii="Arial" w:hAnsi="Arial" w:cs="Arial"/>
          <w:b/>
          <w:bCs/>
        </w:rPr>
      </w:pPr>
      <w:r w:rsidRPr="00A36F50">
        <w:rPr>
          <w:rFonts w:ascii="Arial" w:hAnsi="Arial" w:cs="Arial"/>
          <w:b/>
          <w:bCs/>
        </w:rPr>
        <w:t>Financially, Toyota's cultural emphasis on long-term sustainability and operational efficiency has generated robust performance, with the company reporting net revenues of approximately thirty trillion yen and operating income exceeding three trillion yen in recent financial years, demonstrating the commercial viability of Toyota's cultural approach (Toyota Motor Corporation, 2024). The company's consistent profitability through economic cycles reflects cultural values prioritising financial stability and sustainable growth over maximising short-term returns.</w:t>
      </w:r>
    </w:p>
    <w:p w14:paraId="062B03EA" w14:textId="77777777" w:rsidR="00A36F50" w:rsidRPr="00A36F50" w:rsidRDefault="00A36F50" w:rsidP="00A36F50">
      <w:pPr>
        <w:rPr>
          <w:rFonts w:ascii="Arial" w:hAnsi="Arial" w:cs="Arial"/>
          <w:b/>
          <w:bCs/>
        </w:rPr>
      </w:pPr>
      <w:r w:rsidRPr="00A36F50">
        <w:rPr>
          <w:rFonts w:ascii="Arial" w:hAnsi="Arial" w:cs="Arial"/>
          <w:b/>
          <w:bCs/>
        </w:rPr>
        <w:t>However, certain performance indicators suggest cultural limitations. Toyota's market capitalisation relative to emerging electric vehicle manufacturers suggests investor scepticism regarding the company's ability to lead industry transformation, potentially reflecting cultural conservatism regarding disruptive technologies. Furthermore, Toyota's software capabilities and digital user experience lag behind some competitors, indicating performance gaps in domains where Toyota's traditional cultural strengths provide less advantage.</w:t>
      </w:r>
    </w:p>
    <w:p w14:paraId="3B41DF01" w14:textId="77777777" w:rsidR="00A36F50" w:rsidRPr="00A36F50" w:rsidRDefault="00A36F50" w:rsidP="00A36F50">
      <w:pPr>
        <w:rPr>
          <w:rFonts w:ascii="Arial" w:hAnsi="Arial" w:cs="Arial"/>
          <w:b/>
          <w:bCs/>
        </w:rPr>
      </w:pPr>
      <w:r w:rsidRPr="00A36F50">
        <w:rPr>
          <w:rFonts w:ascii="Arial" w:hAnsi="Arial" w:cs="Arial"/>
          <w:b/>
          <w:bCs/>
        </w:rPr>
        <w:t>6.2 Evidence-Based Recommendations</w:t>
      </w:r>
    </w:p>
    <w:p w14:paraId="69150FA3" w14:textId="77777777" w:rsidR="00A36F50" w:rsidRPr="00A36F50" w:rsidRDefault="00A36F50" w:rsidP="00A36F50">
      <w:pPr>
        <w:rPr>
          <w:rFonts w:ascii="Arial" w:hAnsi="Arial" w:cs="Arial"/>
          <w:b/>
          <w:bCs/>
        </w:rPr>
      </w:pPr>
      <w:r w:rsidRPr="00A36F50">
        <w:rPr>
          <w:rFonts w:ascii="Arial" w:hAnsi="Arial" w:cs="Arial"/>
          <w:b/>
          <w:bCs/>
        </w:rPr>
        <w:t>Based on this analysis, several evidence-based recommendations emerge for enhancing Toyota's organisational culture to improve future performance.</w:t>
      </w:r>
    </w:p>
    <w:p w14:paraId="6805DE18" w14:textId="77777777" w:rsidR="00A36F50" w:rsidRPr="00A36F50" w:rsidRDefault="00A36F50" w:rsidP="00A36F50">
      <w:pPr>
        <w:rPr>
          <w:rFonts w:ascii="Arial" w:hAnsi="Arial" w:cs="Arial"/>
          <w:b/>
          <w:bCs/>
        </w:rPr>
      </w:pPr>
      <w:r w:rsidRPr="00A36F50">
        <w:rPr>
          <w:rFonts w:ascii="Arial" w:hAnsi="Arial" w:cs="Arial"/>
          <w:b/>
          <w:bCs/>
        </w:rPr>
        <w:t>Recommendation One: Establish Cultural Ambidexterity Mechanisms</w:t>
      </w:r>
    </w:p>
    <w:p w14:paraId="44261E8D" w14:textId="77777777" w:rsidR="00A36F50" w:rsidRPr="00A36F50" w:rsidRDefault="00A36F50" w:rsidP="00A36F50">
      <w:pPr>
        <w:rPr>
          <w:rFonts w:ascii="Arial" w:hAnsi="Arial" w:cs="Arial"/>
          <w:b/>
          <w:bCs/>
        </w:rPr>
      </w:pPr>
      <w:r w:rsidRPr="00A36F50">
        <w:rPr>
          <w:rFonts w:ascii="Arial" w:hAnsi="Arial" w:cs="Arial"/>
          <w:b/>
          <w:bCs/>
        </w:rPr>
        <w:t>Toyota should develop formal structures and processes that enable simultaneous operation of its traditional culture emphasising consensus, thoroughness, and incremental improvement alongside a complementary culture enabling rapid experimentation, individual initiative, and acceptance of failure in pursuit of breakthrough innovation. Research on organisational ambidexterity suggests that successful companies manage contradictory cultural orientations through structural separation combined with integrating mechanisms at senior leadership levels (O'Reilly and Tushman, 2013). Toyota could establish distinct organisational units focused on disruptive innovation with different cultural norms whilst maintaining integrating processes that transfer learning between traditional and innovative units.</w:t>
      </w:r>
    </w:p>
    <w:p w14:paraId="056EED47" w14:textId="77777777" w:rsidR="00A36F50" w:rsidRPr="00A36F50" w:rsidRDefault="00A36F50" w:rsidP="00A36F50">
      <w:pPr>
        <w:rPr>
          <w:rFonts w:ascii="Arial" w:hAnsi="Arial" w:cs="Arial"/>
          <w:b/>
          <w:bCs/>
        </w:rPr>
      </w:pPr>
      <w:r w:rsidRPr="00A36F50">
        <w:rPr>
          <w:rFonts w:ascii="Arial" w:hAnsi="Arial" w:cs="Arial"/>
          <w:b/>
          <w:bCs/>
        </w:rPr>
        <w:t>Recommendation Two: Accelerate Cultural Internationalisation</w:t>
      </w:r>
    </w:p>
    <w:p w14:paraId="0B917F68" w14:textId="77777777" w:rsidR="00A36F50" w:rsidRPr="00A36F50" w:rsidRDefault="00A36F50" w:rsidP="00A36F50">
      <w:pPr>
        <w:rPr>
          <w:rFonts w:ascii="Arial" w:hAnsi="Arial" w:cs="Arial"/>
          <w:b/>
          <w:bCs/>
        </w:rPr>
      </w:pPr>
      <w:r w:rsidRPr="00A36F50">
        <w:rPr>
          <w:rFonts w:ascii="Arial" w:hAnsi="Arial" w:cs="Arial"/>
          <w:b/>
          <w:bCs/>
        </w:rPr>
        <w:t xml:space="preserve">While Toyota has achieved significant global presence, its organisational culture remains substantially Japanese in character. The company should accelerate efforts to create genuinely multicultural leadership that brings diverse perspectives to strategic decision-making. This requires moving beyond cultural adaptation, where non-Japanese operations conform to </w:t>
      </w:r>
      <w:r w:rsidRPr="00A36F50">
        <w:rPr>
          <w:rFonts w:ascii="Arial" w:hAnsi="Arial" w:cs="Arial"/>
          <w:b/>
          <w:bCs/>
        </w:rPr>
        <w:lastRenderedPageBreak/>
        <w:t>Japanese cultural norms, toward cultural integration where the company synthesises diverse cultural perspectives into hybrid approaches optimised for global operations (Brannen and Doz, 2012). Practical initiatives could include establishing regional headquarters with genuine strategic autonomy, increasing non-Japanese representation in senior leadership, and legitimising constructive challenge of established cultural assumptions.</w:t>
      </w:r>
    </w:p>
    <w:p w14:paraId="67D17E9D" w14:textId="77777777" w:rsidR="00A36F50" w:rsidRPr="00A36F50" w:rsidRDefault="00A36F50" w:rsidP="00A36F50">
      <w:pPr>
        <w:rPr>
          <w:rFonts w:ascii="Arial" w:hAnsi="Arial" w:cs="Arial"/>
          <w:b/>
          <w:bCs/>
        </w:rPr>
      </w:pPr>
      <w:r w:rsidRPr="00A36F50">
        <w:rPr>
          <w:rFonts w:ascii="Arial" w:hAnsi="Arial" w:cs="Arial"/>
          <w:b/>
          <w:bCs/>
        </w:rPr>
        <w:t>Recommendation Three: Evolve Cultural Metrics and Recognition Systems</w:t>
      </w:r>
    </w:p>
    <w:p w14:paraId="6AF331F6" w14:textId="77777777" w:rsidR="00A36F50" w:rsidRPr="00A36F50" w:rsidRDefault="00A36F50" w:rsidP="00A36F50">
      <w:pPr>
        <w:rPr>
          <w:rFonts w:ascii="Arial" w:hAnsi="Arial" w:cs="Arial"/>
          <w:b/>
          <w:bCs/>
        </w:rPr>
      </w:pPr>
      <w:r w:rsidRPr="00A36F50">
        <w:rPr>
          <w:rFonts w:ascii="Arial" w:hAnsi="Arial" w:cs="Arial"/>
          <w:b/>
          <w:bCs/>
        </w:rPr>
        <w:t>Toyota should review its performance measurement and recognition systems to ensure they reinforce desired cultural evolution whilst preserving core values. Specifically, the company should develop metrics and recognition approaches that reward calculated risk-taking, rapid experimentation, and learning from intelligent failures, complementing existing cultural emphasis on error prevention and continuous incremental improvement. Research demonstrates that organisations successfully navigate cultural change by aligning measurement and reward systems with desired cultural attributes whilst maintaining symbolic commitment to enduring values (Kerr and Landauer, 2004).</w:t>
      </w:r>
    </w:p>
    <w:p w14:paraId="0ED09DE9" w14:textId="77777777" w:rsidR="00A36F50" w:rsidRPr="00A36F50" w:rsidRDefault="00A36F50" w:rsidP="00A36F50">
      <w:pPr>
        <w:rPr>
          <w:rFonts w:ascii="Arial" w:hAnsi="Arial" w:cs="Arial"/>
          <w:b/>
          <w:bCs/>
        </w:rPr>
      </w:pPr>
      <w:r w:rsidRPr="00A36F50">
        <w:rPr>
          <w:rFonts w:ascii="Arial" w:hAnsi="Arial" w:cs="Arial"/>
          <w:b/>
          <w:bCs/>
        </w:rPr>
        <w:t>Recommendation Four: Enhance Cultural Transparency and Dialogue</w:t>
      </w:r>
    </w:p>
    <w:p w14:paraId="7446AAB7" w14:textId="77777777" w:rsidR="00A36F50" w:rsidRPr="00A36F50" w:rsidRDefault="00A36F50" w:rsidP="00A36F50">
      <w:pPr>
        <w:rPr>
          <w:rFonts w:ascii="Arial" w:hAnsi="Arial" w:cs="Arial"/>
          <w:b/>
          <w:bCs/>
        </w:rPr>
      </w:pPr>
      <w:r w:rsidRPr="00A36F50">
        <w:rPr>
          <w:rFonts w:ascii="Arial" w:hAnsi="Arial" w:cs="Arial"/>
          <w:b/>
          <w:bCs/>
        </w:rPr>
        <w:t>Toyota should strengthen mechanisms for surfacing and examining cultural assumptions that may impede adaptation to changing environmental conditions. This could include establishing forums where employees safely question established practices, conducting regular cultural audits that identify gaps between espoused and enacted values, and creating systematic processes for capturing external perspectives on Toyota's culture from customers, partners, and new employees less socialised into existing cultural norms. Such approaches would operationalise the cultural value of hansei at an organisational level, applying self-critical reflection to cultural attributes themselves.</w:t>
      </w:r>
    </w:p>
    <w:p w14:paraId="56101BBA" w14:textId="77777777" w:rsidR="00A36F50" w:rsidRPr="00A36F50" w:rsidRDefault="00A36F50" w:rsidP="00A36F50">
      <w:pPr>
        <w:rPr>
          <w:rFonts w:ascii="Arial" w:hAnsi="Arial" w:cs="Arial"/>
          <w:b/>
          <w:bCs/>
        </w:rPr>
      </w:pPr>
      <w:r w:rsidRPr="00A36F50">
        <w:rPr>
          <w:rFonts w:ascii="Arial" w:hAnsi="Arial" w:cs="Arial"/>
          <w:b/>
          <w:bCs/>
        </w:rPr>
        <w:t>7.0 CONCLUSION</w:t>
      </w:r>
    </w:p>
    <w:p w14:paraId="4304821E" w14:textId="77777777" w:rsidR="00A36F50" w:rsidRPr="00A36F50" w:rsidRDefault="00A36F50" w:rsidP="00A36F50">
      <w:pPr>
        <w:rPr>
          <w:rFonts w:ascii="Arial" w:hAnsi="Arial" w:cs="Arial"/>
          <w:b/>
          <w:bCs/>
        </w:rPr>
      </w:pPr>
      <w:r w:rsidRPr="00A36F50">
        <w:rPr>
          <w:rFonts w:ascii="Arial" w:hAnsi="Arial" w:cs="Arial"/>
          <w:b/>
          <w:bCs/>
        </w:rPr>
        <w:t xml:space="preserve">This analysis demonstrates that organisational culture profoundly influences Toyota's structure, decision-making processes, and performance, validating Mullins and Christy's (2016) assertion regarding culture's pervasive impact on organisational functioning. Toyota's distinctive culture, rooted in the Toyota Production System and the Toyota Way philosophy, has functioned predominantly as an enabler, facilitating the company's emergence as a global industry leader through sustained competitive advantages in quality, efficiency, and continuous improvement. However, the contemporary automotive industry's rapid transformation challenges certain aspects of Toyota's culture, particularly regarding decision-making speed, cultural diversity, and capability development in emerging technologies. Successfully </w:t>
      </w:r>
      <w:r w:rsidRPr="00A36F50">
        <w:rPr>
          <w:rFonts w:ascii="Arial" w:hAnsi="Arial" w:cs="Arial"/>
          <w:b/>
          <w:bCs/>
        </w:rPr>
        <w:lastRenderedPageBreak/>
        <w:t>navigating this transformation requires cultural evolution that preserves core values whilst developing complementary cultural capabilities aligned with emerging competitive requirements. The recommendations provided offer evidence-based pathways for such cultural evolution, positioning Toyota to maintain industry leadership through the sector's ongoing disruption whilst honouring the cultural heritage that has underpinned its historical success.</w:t>
      </w:r>
    </w:p>
    <w:p w14:paraId="1F0080AF" w14:textId="77777777" w:rsidR="00A36F50" w:rsidRPr="00A36F50" w:rsidRDefault="00A36F50" w:rsidP="00A36F50">
      <w:pPr>
        <w:rPr>
          <w:rFonts w:ascii="Arial" w:hAnsi="Arial" w:cs="Arial"/>
          <w:b/>
          <w:bCs/>
        </w:rPr>
      </w:pPr>
    </w:p>
    <w:p w14:paraId="71556D7F" w14:textId="77777777" w:rsidR="00A36F50" w:rsidRPr="00A36F50" w:rsidRDefault="00A36F50" w:rsidP="00A36F50">
      <w:pPr>
        <w:rPr>
          <w:rFonts w:ascii="Arial" w:hAnsi="Arial" w:cs="Arial"/>
          <w:b/>
          <w:bCs/>
        </w:rPr>
      </w:pPr>
      <w:r w:rsidRPr="00A36F50">
        <w:rPr>
          <w:rFonts w:ascii="Arial" w:hAnsi="Arial" w:cs="Arial"/>
          <w:b/>
          <w:bCs/>
        </w:rPr>
        <w:t>REFERENCES</w:t>
      </w:r>
    </w:p>
    <w:p w14:paraId="75569C9E" w14:textId="77777777" w:rsidR="00A36F50" w:rsidRPr="00A36F50" w:rsidRDefault="00A36F50" w:rsidP="00A36F50">
      <w:pPr>
        <w:rPr>
          <w:rFonts w:ascii="Arial" w:hAnsi="Arial" w:cs="Arial"/>
          <w:b/>
          <w:bCs/>
        </w:rPr>
      </w:pPr>
      <w:r w:rsidRPr="00A36F50">
        <w:rPr>
          <w:rFonts w:ascii="Arial" w:hAnsi="Arial" w:cs="Arial"/>
          <w:b/>
          <w:bCs/>
        </w:rPr>
        <w:t>Automotive News (2023) </w:t>
      </w:r>
      <w:r w:rsidRPr="00A36F50">
        <w:rPr>
          <w:rFonts w:ascii="Arial" w:hAnsi="Arial" w:cs="Arial"/>
          <w:b/>
          <w:bCs/>
          <w:i/>
          <w:iCs/>
        </w:rPr>
        <w:t>Toyota tops reliability rankings again</w:t>
      </w:r>
      <w:r w:rsidRPr="00A36F50">
        <w:rPr>
          <w:rFonts w:ascii="Arial" w:hAnsi="Arial" w:cs="Arial"/>
          <w:b/>
          <w:bCs/>
        </w:rPr>
        <w:t>. Available at: </w:t>
      </w:r>
      <w:hyperlink r:id="rId8" w:tgtFrame="_blank" w:tooltip="https://url41.mailanyone.net/scanner?m=1vwjsx-00000000277-408d&amp;d=4%7Cmail%2F90%2F1772383200%2F1vwjsx-00000000277-408d%7Cin41a%7C57e1b682%7C10977208%7C9441127%7C69A46CA381451F2CBEBB09498F620A7B&amp;o=%2Fphtw%3A%2Fwtseuw.sonwatmoc.&amp;s=koxTCzmQNb4srlfqbkpNzsOZRPM" w:history="1">
        <w:r w:rsidRPr="00A36F50">
          <w:rPr>
            <w:rStyle w:val="Hyperlink"/>
            <w:rFonts w:ascii="Arial" w:hAnsi="Arial" w:cs="Arial"/>
            <w:b/>
            <w:bCs/>
          </w:rPr>
          <w:t>https://url41.mailanyone.net/scanner?m=1vwjsx-00000000277-408d&amp;d=4%7Cmail%2F90%2F1772383200%2F1vwjsx-00000000277-408d%7Cin41a%7C57e1b682%7C10977208%7C9441127%7C69A46CA381451F2CBEBB09498F620A7B&amp;o=%2Fphtw%3A%2Fwtseuw.sonwatmoc.&amp;s=koxTCzmQNb4srlfqbkpNzsOZRPM</w:t>
        </w:r>
      </w:hyperlink>
      <w:r w:rsidRPr="00A36F50">
        <w:rPr>
          <w:rFonts w:ascii="Arial" w:hAnsi="Arial" w:cs="Arial"/>
          <w:b/>
          <w:bCs/>
        </w:rPr>
        <w:t> (Accessed: 4 February 2026).</w:t>
      </w:r>
    </w:p>
    <w:p w14:paraId="16C3406D" w14:textId="77777777" w:rsidR="00A36F50" w:rsidRPr="00A36F50" w:rsidRDefault="00A36F50" w:rsidP="00A36F50">
      <w:pPr>
        <w:rPr>
          <w:rFonts w:ascii="Arial" w:hAnsi="Arial" w:cs="Arial"/>
          <w:b/>
          <w:bCs/>
        </w:rPr>
      </w:pPr>
      <w:r w:rsidRPr="00A36F50">
        <w:rPr>
          <w:rFonts w:ascii="Arial" w:hAnsi="Arial" w:cs="Arial"/>
          <w:b/>
          <w:bCs/>
        </w:rPr>
        <w:t>Brannen, M.Y. and Doz, Y.L. (2012) 'Corporate languages and strategic agility: trapped in your jargon or lost in translation?', </w:t>
      </w:r>
      <w:r w:rsidRPr="00A36F50">
        <w:rPr>
          <w:rFonts w:ascii="Arial" w:hAnsi="Arial" w:cs="Arial"/>
          <w:b/>
          <w:bCs/>
          <w:i/>
          <w:iCs/>
        </w:rPr>
        <w:t>California Management Review</w:t>
      </w:r>
      <w:r w:rsidRPr="00A36F50">
        <w:rPr>
          <w:rFonts w:ascii="Arial" w:hAnsi="Arial" w:cs="Arial"/>
          <w:b/>
          <w:bCs/>
        </w:rPr>
        <w:t>, 54(3), pp. 77-97.</w:t>
      </w:r>
    </w:p>
    <w:p w14:paraId="5B8B6625" w14:textId="77777777" w:rsidR="00A36F50" w:rsidRPr="00A36F50" w:rsidRDefault="00A36F50" w:rsidP="00A36F50">
      <w:pPr>
        <w:rPr>
          <w:rFonts w:ascii="Arial" w:hAnsi="Arial" w:cs="Arial"/>
          <w:b/>
          <w:bCs/>
        </w:rPr>
      </w:pPr>
      <w:r w:rsidRPr="00A36F50">
        <w:rPr>
          <w:rFonts w:ascii="Arial" w:hAnsi="Arial" w:cs="Arial"/>
          <w:b/>
          <w:bCs/>
        </w:rPr>
        <w:t>Brunet, A.P. and New, S. (2003) 'Kaizen in Japan: an empirical study', </w:t>
      </w:r>
      <w:r w:rsidRPr="00A36F50">
        <w:rPr>
          <w:rFonts w:ascii="Arial" w:hAnsi="Arial" w:cs="Arial"/>
          <w:b/>
          <w:bCs/>
          <w:i/>
          <w:iCs/>
        </w:rPr>
        <w:t>International Journal of Operations and Production Management</w:t>
      </w:r>
      <w:r w:rsidRPr="00A36F50">
        <w:rPr>
          <w:rFonts w:ascii="Arial" w:hAnsi="Arial" w:cs="Arial"/>
          <w:b/>
          <w:bCs/>
        </w:rPr>
        <w:t>, 23(12), pp. 1426-1446.</w:t>
      </w:r>
    </w:p>
    <w:p w14:paraId="0DDA7D66" w14:textId="77777777" w:rsidR="00A36F50" w:rsidRPr="00A36F50" w:rsidRDefault="00A36F50" w:rsidP="00A36F50">
      <w:pPr>
        <w:rPr>
          <w:rFonts w:ascii="Arial" w:hAnsi="Arial" w:cs="Arial"/>
          <w:b/>
          <w:bCs/>
        </w:rPr>
      </w:pPr>
      <w:r w:rsidRPr="00A36F50">
        <w:rPr>
          <w:rFonts w:ascii="Arial" w:hAnsi="Arial" w:cs="Arial"/>
          <w:b/>
          <w:bCs/>
        </w:rPr>
        <w:t>Christensen, C.M. (1997) </w:t>
      </w:r>
      <w:r w:rsidRPr="00A36F50">
        <w:rPr>
          <w:rFonts w:ascii="Arial" w:hAnsi="Arial" w:cs="Arial"/>
          <w:b/>
          <w:bCs/>
          <w:i/>
          <w:iCs/>
        </w:rPr>
        <w:t>The innovator's dilemma: when new technologies cause great firms to fail</w:t>
      </w:r>
      <w:r w:rsidRPr="00A36F50">
        <w:rPr>
          <w:rFonts w:ascii="Arial" w:hAnsi="Arial" w:cs="Arial"/>
          <w:b/>
          <w:bCs/>
        </w:rPr>
        <w:t>. Boston, MA: Harvard Business School Press.</w:t>
      </w:r>
    </w:p>
    <w:p w14:paraId="1209715F" w14:textId="77777777" w:rsidR="00A36F50" w:rsidRPr="00A36F50" w:rsidRDefault="00A36F50" w:rsidP="00A36F50">
      <w:pPr>
        <w:rPr>
          <w:rFonts w:ascii="Arial" w:hAnsi="Arial" w:cs="Arial"/>
          <w:b/>
          <w:bCs/>
        </w:rPr>
      </w:pPr>
      <w:r w:rsidRPr="00A36F50">
        <w:rPr>
          <w:rFonts w:ascii="Arial" w:hAnsi="Arial" w:cs="Arial"/>
          <w:b/>
          <w:bCs/>
        </w:rPr>
        <w:t>Cole, R. (2011) 'What really happened to Toyota?', </w:t>
      </w:r>
      <w:r w:rsidRPr="00A36F50">
        <w:rPr>
          <w:rFonts w:ascii="Arial" w:hAnsi="Arial" w:cs="Arial"/>
          <w:b/>
          <w:bCs/>
          <w:i/>
          <w:iCs/>
        </w:rPr>
        <w:t>MIT Sloan Management Review</w:t>
      </w:r>
      <w:r w:rsidRPr="00A36F50">
        <w:rPr>
          <w:rFonts w:ascii="Arial" w:hAnsi="Arial" w:cs="Arial"/>
          <w:b/>
          <w:bCs/>
        </w:rPr>
        <w:t>, 52(4), pp. 29-35.</w:t>
      </w:r>
    </w:p>
    <w:p w14:paraId="0F4F0FA6" w14:textId="77777777" w:rsidR="00A36F50" w:rsidRPr="00A36F50" w:rsidRDefault="00A36F50" w:rsidP="00A36F50">
      <w:pPr>
        <w:rPr>
          <w:rFonts w:ascii="Arial" w:hAnsi="Arial" w:cs="Arial"/>
          <w:b/>
          <w:bCs/>
        </w:rPr>
      </w:pPr>
      <w:r w:rsidRPr="00A36F50">
        <w:rPr>
          <w:rFonts w:ascii="Arial" w:hAnsi="Arial" w:cs="Arial"/>
          <w:b/>
          <w:bCs/>
        </w:rPr>
        <w:t>Greto, M., Schotter, A. and Teagarden, M.B. (2010) 'Toyota: the acceleration crisis', </w:t>
      </w:r>
      <w:r w:rsidRPr="00A36F50">
        <w:rPr>
          <w:rFonts w:ascii="Arial" w:hAnsi="Arial" w:cs="Arial"/>
          <w:b/>
          <w:bCs/>
          <w:i/>
          <w:iCs/>
        </w:rPr>
        <w:t>Thunderbird International Business Review</w:t>
      </w:r>
      <w:r w:rsidRPr="00A36F50">
        <w:rPr>
          <w:rFonts w:ascii="Arial" w:hAnsi="Arial" w:cs="Arial"/>
          <w:b/>
          <w:bCs/>
        </w:rPr>
        <w:t>, 52(3), pp. 343-351.</w:t>
      </w:r>
    </w:p>
    <w:p w14:paraId="67180761" w14:textId="77777777" w:rsidR="00A36F50" w:rsidRPr="00A36F50" w:rsidRDefault="00A36F50" w:rsidP="00A36F50">
      <w:pPr>
        <w:rPr>
          <w:rFonts w:ascii="Arial" w:hAnsi="Arial" w:cs="Arial"/>
          <w:b/>
          <w:bCs/>
        </w:rPr>
      </w:pPr>
      <w:r w:rsidRPr="00A36F50">
        <w:rPr>
          <w:rFonts w:ascii="Arial" w:hAnsi="Arial" w:cs="Arial"/>
          <w:b/>
          <w:bCs/>
        </w:rPr>
        <w:t>Handy, C.B. (1993) </w:t>
      </w:r>
      <w:r w:rsidRPr="00A36F50">
        <w:rPr>
          <w:rFonts w:ascii="Arial" w:hAnsi="Arial" w:cs="Arial"/>
          <w:b/>
          <w:bCs/>
          <w:i/>
          <w:iCs/>
        </w:rPr>
        <w:t>Understanding organizations</w:t>
      </w:r>
      <w:r w:rsidRPr="00A36F50">
        <w:rPr>
          <w:rFonts w:ascii="Arial" w:hAnsi="Arial" w:cs="Arial"/>
          <w:b/>
          <w:bCs/>
        </w:rPr>
        <w:t>. 4th edn. London: Penguin Books.</w:t>
      </w:r>
    </w:p>
    <w:p w14:paraId="1FDFF74C" w14:textId="77777777" w:rsidR="00A36F50" w:rsidRPr="00A36F50" w:rsidRDefault="00A36F50" w:rsidP="00A36F50">
      <w:pPr>
        <w:rPr>
          <w:rFonts w:ascii="Arial" w:hAnsi="Arial" w:cs="Arial"/>
          <w:b/>
          <w:bCs/>
        </w:rPr>
      </w:pPr>
      <w:r w:rsidRPr="00A36F50">
        <w:rPr>
          <w:rFonts w:ascii="Arial" w:hAnsi="Arial" w:cs="Arial"/>
          <w:b/>
          <w:bCs/>
        </w:rPr>
        <w:t>Hofstede, G. (2001) </w:t>
      </w:r>
      <w:r w:rsidRPr="00A36F50">
        <w:rPr>
          <w:rFonts w:ascii="Arial" w:hAnsi="Arial" w:cs="Arial"/>
          <w:b/>
          <w:bCs/>
          <w:i/>
          <w:iCs/>
        </w:rPr>
        <w:t>Culture's consequences: comparing values, behaviors, institutions and organizations across nations</w:t>
      </w:r>
      <w:r w:rsidRPr="00A36F50">
        <w:rPr>
          <w:rFonts w:ascii="Arial" w:hAnsi="Arial" w:cs="Arial"/>
          <w:b/>
          <w:bCs/>
        </w:rPr>
        <w:t>. 2nd edn. Thousand Oaks, CA: Sage Publications.</w:t>
      </w:r>
    </w:p>
    <w:p w14:paraId="6E1ED707" w14:textId="77777777" w:rsidR="00A36F50" w:rsidRPr="00A36F50" w:rsidRDefault="00A36F50" w:rsidP="00A36F50">
      <w:pPr>
        <w:rPr>
          <w:rFonts w:ascii="Arial" w:hAnsi="Arial" w:cs="Arial"/>
          <w:b/>
          <w:bCs/>
        </w:rPr>
      </w:pPr>
      <w:r w:rsidRPr="00A36F50">
        <w:rPr>
          <w:rFonts w:ascii="Arial" w:hAnsi="Arial" w:cs="Arial"/>
          <w:b/>
          <w:bCs/>
        </w:rPr>
        <w:t>Kerr, S. and Landauer, S. (2004) 'Using stretch goals to promote organizational effectiveness and personal growth: general Electric and Goldman Sachs', </w:t>
      </w:r>
      <w:r w:rsidRPr="00A36F50">
        <w:rPr>
          <w:rFonts w:ascii="Arial" w:hAnsi="Arial" w:cs="Arial"/>
          <w:b/>
          <w:bCs/>
          <w:i/>
          <w:iCs/>
        </w:rPr>
        <w:t>Academy of Management Perspectives</w:t>
      </w:r>
      <w:r w:rsidRPr="00A36F50">
        <w:rPr>
          <w:rFonts w:ascii="Arial" w:hAnsi="Arial" w:cs="Arial"/>
          <w:b/>
          <w:bCs/>
        </w:rPr>
        <w:t>, 18(4), pp. 134-138.</w:t>
      </w:r>
    </w:p>
    <w:p w14:paraId="302C1F21" w14:textId="77777777" w:rsidR="00A36F50" w:rsidRPr="00A36F50" w:rsidRDefault="00A36F50" w:rsidP="00A36F50">
      <w:pPr>
        <w:rPr>
          <w:rFonts w:ascii="Arial" w:hAnsi="Arial" w:cs="Arial"/>
          <w:b/>
          <w:bCs/>
        </w:rPr>
      </w:pPr>
      <w:r w:rsidRPr="00A36F50">
        <w:rPr>
          <w:rFonts w:ascii="Arial" w:hAnsi="Arial" w:cs="Arial"/>
          <w:b/>
          <w:bCs/>
        </w:rPr>
        <w:t>Liker, J.K. (2004) </w:t>
      </w:r>
      <w:r w:rsidRPr="00A36F50">
        <w:rPr>
          <w:rFonts w:ascii="Arial" w:hAnsi="Arial" w:cs="Arial"/>
          <w:b/>
          <w:bCs/>
          <w:i/>
          <w:iCs/>
        </w:rPr>
        <w:t>The Toyota way: 14 management principles from the world's greatest manufacturer</w:t>
      </w:r>
      <w:r w:rsidRPr="00A36F50">
        <w:rPr>
          <w:rFonts w:ascii="Arial" w:hAnsi="Arial" w:cs="Arial"/>
          <w:b/>
          <w:bCs/>
        </w:rPr>
        <w:t>. New York: McGraw-Hill.</w:t>
      </w:r>
    </w:p>
    <w:p w14:paraId="27B30AEF" w14:textId="77777777" w:rsidR="00A36F50" w:rsidRPr="00A36F50" w:rsidRDefault="00A36F50" w:rsidP="00A36F50">
      <w:pPr>
        <w:rPr>
          <w:rFonts w:ascii="Arial" w:hAnsi="Arial" w:cs="Arial"/>
          <w:b/>
          <w:bCs/>
        </w:rPr>
      </w:pPr>
      <w:r w:rsidRPr="00A36F50">
        <w:rPr>
          <w:rFonts w:ascii="Arial" w:hAnsi="Arial" w:cs="Arial"/>
          <w:b/>
          <w:bCs/>
        </w:rPr>
        <w:lastRenderedPageBreak/>
        <w:t>Liker, J.K. and Convis, G.L. (2012) </w:t>
      </w:r>
      <w:r w:rsidRPr="00A36F50">
        <w:rPr>
          <w:rFonts w:ascii="Arial" w:hAnsi="Arial" w:cs="Arial"/>
          <w:b/>
          <w:bCs/>
          <w:i/>
          <w:iCs/>
        </w:rPr>
        <w:t>The Toyota way to lean leadership: achieving and sustaining excellence through leadership development</w:t>
      </w:r>
      <w:r w:rsidRPr="00A36F50">
        <w:rPr>
          <w:rFonts w:ascii="Arial" w:hAnsi="Arial" w:cs="Arial"/>
          <w:b/>
          <w:bCs/>
        </w:rPr>
        <w:t>. New York: McGraw-Hill.</w:t>
      </w:r>
    </w:p>
    <w:p w14:paraId="1AB7336A" w14:textId="77777777" w:rsidR="00A36F50" w:rsidRPr="00A36F50" w:rsidRDefault="00A36F50" w:rsidP="00A36F50">
      <w:pPr>
        <w:rPr>
          <w:rFonts w:ascii="Arial" w:hAnsi="Arial" w:cs="Arial"/>
          <w:b/>
          <w:bCs/>
        </w:rPr>
      </w:pPr>
      <w:r w:rsidRPr="00A36F50">
        <w:rPr>
          <w:rFonts w:ascii="Arial" w:hAnsi="Arial" w:cs="Arial"/>
          <w:b/>
          <w:bCs/>
        </w:rPr>
        <w:t>Liker, J.K. and Hoseus, M. (2008) </w:t>
      </w:r>
      <w:r w:rsidRPr="00A36F50">
        <w:rPr>
          <w:rFonts w:ascii="Arial" w:hAnsi="Arial" w:cs="Arial"/>
          <w:b/>
          <w:bCs/>
          <w:i/>
          <w:iCs/>
        </w:rPr>
        <w:t>Toyota culture: the heart and soul of the Toyota way</w:t>
      </w:r>
      <w:r w:rsidRPr="00A36F50">
        <w:rPr>
          <w:rFonts w:ascii="Arial" w:hAnsi="Arial" w:cs="Arial"/>
          <w:b/>
          <w:bCs/>
        </w:rPr>
        <w:t>. New York: McGraw-Hill.</w:t>
      </w:r>
    </w:p>
    <w:p w14:paraId="013C3304" w14:textId="77777777" w:rsidR="00A36F50" w:rsidRPr="00A36F50" w:rsidRDefault="00A36F50" w:rsidP="00A36F50">
      <w:pPr>
        <w:rPr>
          <w:rFonts w:ascii="Arial" w:hAnsi="Arial" w:cs="Arial"/>
          <w:b/>
          <w:bCs/>
        </w:rPr>
      </w:pPr>
      <w:r w:rsidRPr="00A36F50">
        <w:rPr>
          <w:rFonts w:ascii="Arial" w:hAnsi="Arial" w:cs="Arial"/>
          <w:b/>
          <w:bCs/>
        </w:rPr>
        <w:t>Magee, D. (2007) </w:t>
      </w:r>
      <w:r w:rsidRPr="00A36F50">
        <w:rPr>
          <w:rFonts w:ascii="Arial" w:hAnsi="Arial" w:cs="Arial"/>
          <w:b/>
          <w:bCs/>
          <w:i/>
          <w:iCs/>
        </w:rPr>
        <w:t>How Toyota became number one: leadership lessons from the world's greatest car company</w:t>
      </w:r>
      <w:r w:rsidRPr="00A36F50">
        <w:rPr>
          <w:rFonts w:ascii="Arial" w:hAnsi="Arial" w:cs="Arial"/>
          <w:b/>
          <w:bCs/>
        </w:rPr>
        <w:t>. New York: Portfolio.</w:t>
      </w:r>
    </w:p>
    <w:p w14:paraId="7D7DDB32" w14:textId="77777777" w:rsidR="00A36F50" w:rsidRPr="00A36F50" w:rsidRDefault="00A36F50" w:rsidP="00A36F50">
      <w:pPr>
        <w:rPr>
          <w:rFonts w:ascii="Arial" w:hAnsi="Arial" w:cs="Arial"/>
          <w:b/>
          <w:bCs/>
        </w:rPr>
      </w:pPr>
      <w:r w:rsidRPr="00A36F50">
        <w:rPr>
          <w:rFonts w:ascii="Arial" w:hAnsi="Arial" w:cs="Arial"/>
          <w:b/>
          <w:bCs/>
        </w:rPr>
        <w:t>Mehri, D. (2006) 'The darker side of lean: an insider's perspective on the realities of the Toyota production system', </w:t>
      </w:r>
      <w:r w:rsidRPr="00A36F50">
        <w:rPr>
          <w:rFonts w:ascii="Arial" w:hAnsi="Arial" w:cs="Arial"/>
          <w:b/>
          <w:bCs/>
          <w:i/>
          <w:iCs/>
        </w:rPr>
        <w:t>Academy of Management Perspectives</w:t>
      </w:r>
      <w:r w:rsidRPr="00A36F50">
        <w:rPr>
          <w:rFonts w:ascii="Arial" w:hAnsi="Arial" w:cs="Arial"/>
          <w:b/>
          <w:bCs/>
        </w:rPr>
        <w:t>, 20(2), pp. 21-42.</w:t>
      </w:r>
    </w:p>
    <w:p w14:paraId="604EF696" w14:textId="77777777" w:rsidR="00A36F50" w:rsidRPr="00A36F50" w:rsidRDefault="00A36F50" w:rsidP="00A36F50">
      <w:pPr>
        <w:rPr>
          <w:rFonts w:ascii="Arial" w:hAnsi="Arial" w:cs="Arial"/>
          <w:b/>
          <w:bCs/>
        </w:rPr>
      </w:pPr>
      <w:r w:rsidRPr="00A36F50">
        <w:rPr>
          <w:rFonts w:ascii="Arial" w:hAnsi="Arial" w:cs="Arial"/>
          <w:b/>
          <w:bCs/>
        </w:rPr>
        <w:t>Morgan, G. (2006) </w:t>
      </w:r>
      <w:r w:rsidRPr="00A36F50">
        <w:rPr>
          <w:rFonts w:ascii="Arial" w:hAnsi="Arial" w:cs="Arial"/>
          <w:b/>
          <w:bCs/>
          <w:i/>
          <w:iCs/>
        </w:rPr>
        <w:t>Images of organization</w:t>
      </w:r>
      <w:r w:rsidRPr="00A36F50">
        <w:rPr>
          <w:rFonts w:ascii="Arial" w:hAnsi="Arial" w:cs="Arial"/>
          <w:b/>
          <w:bCs/>
        </w:rPr>
        <w:t>. Updated edn. Thousand Oaks, CA: Sage Publications.</w:t>
      </w:r>
    </w:p>
    <w:p w14:paraId="5056D3C0" w14:textId="77777777" w:rsidR="00A36F50" w:rsidRPr="00A36F50" w:rsidRDefault="00A36F50" w:rsidP="00A36F50">
      <w:pPr>
        <w:rPr>
          <w:rFonts w:ascii="Arial" w:hAnsi="Arial" w:cs="Arial"/>
          <w:b/>
          <w:bCs/>
        </w:rPr>
      </w:pPr>
      <w:r w:rsidRPr="00A36F50">
        <w:rPr>
          <w:rFonts w:ascii="Arial" w:hAnsi="Arial" w:cs="Arial"/>
          <w:b/>
          <w:bCs/>
        </w:rPr>
        <w:t>Mullins, L.J. and Christy, G. (2016) </w:t>
      </w:r>
      <w:r w:rsidRPr="00A36F50">
        <w:rPr>
          <w:rFonts w:ascii="Arial" w:hAnsi="Arial" w:cs="Arial"/>
          <w:b/>
          <w:bCs/>
          <w:i/>
          <w:iCs/>
        </w:rPr>
        <w:t>Management and organisational behaviour</w:t>
      </w:r>
      <w:r w:rsidRPr="00A36F50">
        <w:rPr>
          <w:rFonts w:ascii="Arial" w:hAnsi="Arial" w:cs="Arial"/>
          <w:b/>
          <w:bCs/>
        </w:rPr>
        <w:t>. 11th edn. Harlow: Pearson Education Limited.</w:t>
      </w:r>
    </w:p>
    <w:p w14:paraId="2E063EDF" w14:textId="77777777" w:rsidR="00A36F50" w:rsidRPr="00A36F50" w:rsidRDefault="00A36F50" w:rsidP="00A36F50">
      <w:pPr>
        <w:rPr>
          <w:rFonts w:ascii="Arial" w:hAnsi="Arial" w:cs="Arial"/>
          <w:b/>
          <w:bCs/>
        </w:rPr>
      </w:pPr>
      <w:r w:rsidRPr="00A36F50">
        <w:rPr>
          <w:rFonts w:ascii="Arial" w:hAnsi="Arial" w:cs="Arial"/>
          <w:b/>
          <w:bCs/>
        </w:rPr>
        <w:t>O'Reilly, C.A. and Tushman, M.L. (2013) 'Organizational ambidexterity: past, present and future', </w:t>
      </w:r>
      <w:r w:rsidRPr="00A36F50">
        <w:rPr>
          <w:rFonts w:ascii="Arial" w:hAnsi="Arial" w:cs="Arial"/>
          <w:b/>
          <w:bCs/>
          <w:i/>
          <w:iCs/>
        </w:rPr>
        <w:t>Academy of Management Perspectives</w:t>
      </w:r>
      <w:r w:rsidRPr="00A36F50">
        <w:rPr>
          <w:rFonts w:ascii="Arial" w:hAnsi="Arial" w:cs="Arial"/>
          <w:b/>
          <w:bCs/>
        </w:rPr>
        <w:t>, 27(4), pp. 324-338.</w:t>
      </w:r>
    </w:p>
    <w:p w14:paraId="40A6CDD9" w14:textId="77777777" w:rsidR="00A36F50" w:rsidRPr="00A36F50" w:rsidRDefault="00A36F50" w:rsidP="00A36F50">
      <w:pPr>
        <w:rPr>
          <w:rFonts w:ascii="Arial" w:hAnsi="Arial" w:cs="Arial"/>
          <w:b/>
          <w:bCs/>
        </w:rPr>
      </w:pPr>
      <w:r w:rsidRPr="00A36F50">
        <w:rPr>
          <w:rFonts w:ascii="Arial" w:hAnsi="Arial" w:cs="Arial"/>
          <w:b/>
          <w:bCs/>
        </w:rPr>
        <w:t>Osono, E., Shimizu, N. and Takeuchi, H. (2008) </w:t>
      </w:r>
      <w:r w:rsidRPr="00A36F50">
        <w:rPr>
          <w:rFonts w:ascii="Arial" w:hAnsi="Arial" w:cs="Arial"/>
          <w:b/>
          <w:bCs/>
          <w:i/>
          <w:iCs/>
        </w:rPr>
        <w:t>Extreme Toyota: radical contradictions that drive success at the world's best manufacturer</w:t>
      </w:r>
      <w:r w:rsidRPr="00A36F50">
        <w:rPr>
          <w:rFonts w:ascii="Arial" w:hAnsi="Arial" w:cs="Arial"/>
          <w:b/>
          <w:bCs/>
        </w:rPr>
        <w:t>. Hoboken, NJ: John Wiley and Sons.</w:t>
      </w:r>
    </w:p>
    <w:p w14:paraId="5A33D9B1" w14:textId="77777777" w:rsidR="00A36F50" w:rsidRPr="00A36F50" w:rsidRDefault="00A36F50" w:rsidP="00A36F50">
      <w:pPr>
        <w:rPr>
          <w:rFonts w:ascii="Arial" w:hAnsi="Arial" w:cs="Arial"/>
          <w:b/>
          <w:bCs/>
        </w:rPr>
      </w:pPr>
      <w:r w:rsidRPr="00A36F50">
        <w:rPr>
          <w:rFonts w:ascii="Arial" w:hAnsi="Arial" w:cs="Arial"/>
          <w:b/>
          <w:bCs/>
        </w:rPr>
        <w:t>Perkins, G. and Murmann, J.P. (2018) 'What does the success of Tesla mean for the future dynamics of the global automobile sector?', </w:t>
      </w:r>
      <w:r w:rsidRPr="00A36F50">
        <w:rPr>
          <w:rFonts w:ascii="Arial" w:hAnsi="Arial" w:cs="Arial"/>
          <w:b/>
          <w:bCs/>
          <w:i/>
          <w:iCs/>
        </w:rPr>
        <w:t>Management and Organization Review</w:t>
      </w:r>
      <w:r w:rsidRPr="00A36F50">
        <w:rPr>
          <w:rFonts w:ascii="Arial" w:hAnsi="Arial" w:cs="Arial"/>
          <w:b/>
          <w:bCs/>
        </w:rPr>
        <w:t>, 14(3), pp. 471-480.</w:t>
      </w:r>
    </w:p>
    <w:p w14:paraId="12334FAB" w14:textId="77777777" w:rsidR="00A36F50" w:rsidRPr="00A36F50" w:rsidRDefault="00A36F50" w:rsidP="00A36F50">
      <w:pPr>
        <w:rPr>
          <w:rFonts w:ascii="Arial" w:hAnsi="Arial" w:cs="Arial"/>
          <w:b/>
          <w:bCs/>
        </w:rPr>
      </w:pPr>
      <w:r w:rsidRPr="00A36F50">
        <w:rPr>
          <w:rFonts w:ascii="Arial" w:hAnsi="Arial" w:cs="Arial"/>
          <w:b/>
          <w:bCs/>
        </w:rPr>
        <w:t>Schein, E.H. (2010) </w:t>
      </w:r>
      <w:r w:rsidRPr="00A36F50">
        <w:rPr>
          <w:rFonts w:ascii="Arial" w:hAnsi="Arial" w:cs="Arial"/>
          <w:b/>
          <w:bCs/>
          <w:i/>
          <w:iCs/>
        </w:rPr>
        <w:t>Organizational culture and leadership</w:t>
      </w:r>
      <w:r w:rsidRPr="00A36F50">
        <w:rPr>
          <w:rFonts w:ascii="Arial" w:hAnsi="Arial" w:cs="Arial"/>
          <w:b/>
          <w:bCs/>
        </w:rPr>
        <w:t>. 4th edn. San Francisco, CA: Jossey-Bass.</w:t>
      </w:r>
    </w:p>
    <w:p w14:paraId="558409F8" w14:textId="77777777" w:rsidR="00A36F50" w:rsidRPr="00A36F50" w:rsidRDefault="00A36F50" w:rsidP="00A36F50">
      <w:pPr>
        <w:rPr>
          <w:rFonts w:ascii="Arial" w:hAnsi="Arial" w:cs="Arial"/>
          <w:b/>
          <w:bCs/>
        </w:rPr>
      </w:pPr>
      <w:r w:rsidRPr="00A36F50">
        <w:rPr>
          <w:rFonts w:ascii="Arial" w:hAnsi="Arial" w:cs="Arial"/>
          <w:b/>
          <w:bCs/>
        </w:rPr>
        <w:t>Shimizu, K. (2012) 'Risks of corporate entrepreneurship: autonomy and agency issues', </w:t>
      </w:r>
      <w:r w:rsidRPr="00A36F50">
        <w:rPr>
          <w:rFonts w:ascii="Arial" w:hAnsi="Arial" w:cs="Arial"/>
          <w:b/>
          <w:bCs/>
          <w:i/>
          <w:iCs/>
        </w:rPr>
        <w:t>Organization Science</w:t>
      </w:r>
      <w:r w:rsidRPr="00A36F50">
        <w:rPr>
          <w:rFonts w:ascii="Arial" w:hAnsi="Arial" w:cs="Arial"/>
          <w:b/>
          <w:bCs/>
        </w:rPr>
        <w:t>, 23(1), pp. 194-206.</w:t>
      </w:r>
    </w:p>
    <w:p w14:paraId="457F476F" w14:textId="77777777" w:rsidR="00A36F50" w:rsidRPr="00A36F50" w:rsidRDefault="00A36F50" w:rsidP="00A36F50">
      <w:pPr>
        <w:rPr>
          <w:rFonts w:ascii="Arial" w:hAnsi="Arial" w:cs="Arial"/>
          <w:b/>
          <w:bCs/>
        </w:rPr>
      </w:pPr>
      <w:r w:rsidRPr="00A36F50">
        <w:rPr>
          <w:rFonts w:ascii="Arial" w:hAnsi="Arial" w:cs="Arial"/>
          <w:b/>
          <w:bCs/>
        </w:rPr>
        <w:t>Shimokawa, K. and Jürgens, U. (2012) 'The riddle of cyclical rebounds in the Japanese automotive industry', in Freyssenet, M. (ed.) </w:t>
      </w:r>
      <w:r w:rsidRPr="00A36F50">
        <w:rPr>
          <w:rFonts w:ascii="Arial" w:hAnsi="Arial" w:cs="Arial"/>
          <w:b/>
          <w:bCs/>
          <w:i/>
          <w:iCs/>
        </w:rPr>
        <w:t>The second automobile revolution: trajectories of the world carmakers in the 21st century</w:t>
      </w:r>
      <w:r w:rsidRPr="00A36F50">
        <w:rPr>
          <w:rFonts w:ascii="Arial" w:hAnsi="Arial" w:cs="Arial"/>
          <w:b/>
          <w:bCs/>
        </w:rPr>
        <w:t>. London: Palgrave Macmillan, pp. 71-85.</w:t>
      </w:r>
    </w:p>
    <w:p w14:paraId="3EE44D15" w14:textId="77777777" w:rsidR="00A36F50" w:rsidRPr="00A36F50" w:rsidRDefault="00A36F50" w:rsidP="00A36F50">
      <w:pPr>
        <w:rPr>
          <w:rFonts w:ascii="Arial" w:hAnsi="Arial" w:cs="Arial"/>
          <w:b/>
          <w:bCs/>
        </w:rPr>
      </w:pPr>
      <w:r w:rsidRPr="00A36F50">
        <w:rPr>
          <w:rFonts w:ascii="Arial" w:hAnsi="Arial" w:cs="Arial"/>
          <w:b/>
          <w:bCs/>
        </w:rPr>
        <w:t>Sierzchula, W., Bakker, S., Maat, K. and Van Wee, B. (2012) 'The competitive environment of electric vehicles: an analysis of prototype and production models', </w:t>
      </w:r>
      <w:r w:rsidRPr="00A36F50">
        <w:rPr>
          <w:rFonts w:ascii="Arial" w:hAnsi="Arial" w:cs="Arial"/>
          <w:b/>
          <w:bCs/>
          <w:i/>
          <w:iCs/>
        </w:rPr>
        <w:t>Environmental Innovation and Societal Transitions</w:t>
      </w:r>
      <w:r w:rsidRPr="00A36F50">
        <w:rPr>
          <w:rFonts w:ascii="Arial" w:hAnsi="Arial" w:cs="Arial"/>
          <w:b/>
          <w:bCs/>
        </w:rPr>
        <w:t>, 2, pp. 49-65.</w:t>
      </w:r>
    </w:p>
    <w:p w14:paraId="576DFDB6" w14:textId="77777777" w:rsidR="00A36F50" w:rsidRPr="00A36F50" w:rsidRDefault="00A36F50" w:rsidP="00A36F50">
      <w:pPr>
        <w:rPr>
          <w:rFonts w:ascii="Arial" w:hAnsi="Arial" w:cs="Arial"/>
          <w:b/>
          <w:bCs/>
        </w:rPr>
      </w:pPr>
      <w:r w:rsidRPr="00A36F50">
        <w:rPr>
          <w:rFonts w:ascii="Arial" w:hAnsi="Arial" w:cs="Arial"/>
          <w:b/>
          <w:bCs/>
        </w:rPr>
        <w:t>Sobek, D.K. and Smalley, A. (2008) </w:t>
      </w:r>
      <w:r w:rsidRPr="00A36F50">
        <w:rPr>
          <w:rFonts w:ascii="Arial" w:hAnsi="Arial" w:cs="Arial"/>
          <w:b/>
          <w:bCs/>
          <w:i/>
          <w:iCs/>
        </w:rPr>
        <w:t>Understanding A3 thinking: a critical component of Toyota's PDCA management system</w:t>
      </w:r>
      <w:r w:rsidRPr="00A36F50">
        <w:rPr>
          <w:rFonts w:ascii="Arial" w:hAnsi="Arial" w:cs="Arial"/>
          <w:b/>
          <w:bCs/>
        </w:rPr>
        <w:t>. New York: CRC Press.</w:t>
      </w:r>
    </w:p>
    <w:p w14:paraId="31AB1C37" w14:textId="77777777" w:rsidR="00A36F50" w:rsidRPr="00A36F50" w:rsidRDefault="00A36F50" w:rsidP="00A36F50">
      <w:pPr>
        <w:rPr>
          <w:rFonts w:ascii="Arial" w:hAnsi="Arial" w:cs="Arial"/>
          <w:b/>
          <w:bCs/>
        </w:rPr>
      </w:pPr>
      <w:r w:rsidRPr="00A36F50">
        <w:rPr>
          <w:rFonts w:ascii="Arial" w:hAnsi="Arial" w:cs="Arial"/>
          <w:b/>
          <w:bCs/>
        </w:rPr>
        <w:lastRenderedPageBreak/>
        <w:t>Spear, S. and Bowen, H.K. (1999) 'Decoding the DNA of the Toyota production system', </w:t>
      </w:r>
      <w:r w:rsidRPr="00A36F50">
        <w:rPr>
          <w:rFonts w:ascii="Arial" w:hAnsi="Arial" w:cs="Arial"/>
          <w:b/>
          <w:bCs/>
          <w:i/>
          <w:iCs/>
        </w:rPr>
        <w:t>Harvard Business Review</w:t>
      </w:r>
      <w:r w:rsidRPr="00A36F50">
        <w:rPr>
          <w:rFonts w:ascii="Arial" w:hAnsi="Arial" w:cs="Arial"/>
          <w:b/>
          <w:bCs/>
        </w:rPr>
        <w:t>, 77(5), pp. 96-106.</w:t>
      </w:r>
    </w:p>
    <w:p w14:paraId="0C662F71" w14:textId="77777777" w:rsidR="00A36F50" w:rsidRPr="00A36F50" w:rsidRDefault="00A36F50" w:rsidP="00A36F50">
      <w:pPr>
        <w:rPr>
          <w:rFonts w:ascii="Arial" w:hAnsi="Arial" w:cs="Arial"/>
          <w:b/>
          <w:bCs/>
        </w:rPr>
      </w:pPr>
      <w:r w:rsidRPr="00A36F50">
        <w:rPr>
          <w:rFonts w:ascii="Arial" w:hAnsi="Arial" w:cs="Arial"/>
          <w:b/>
          <w:bCs/>
        </w:rPr>
        <w:t>Takeuchi, H., Osono, E. and Shimizu, N. (2008) 'The contradictions that drive Toyota's success', </w:t>
      </w:r>
      <w:r w:rsidRPr="00A36F50">
        <w:rPr>
          <w:rFonts w:ascii="Arial" w:hAnsi="Arial" w:cs="Arial"/>
          <w:b/>
          <w:bCs/>
          <w:i/>
          <w:iCs/>
        </w:rPr>
        <w:t>Harvard Business Review</w:t>
      </w:r>
      <w:r w:rsidRPr="00A36F50">
        <w:rPr>
          <w:rFonts w:ascii="Arial" w:hAnsi="Arial" w:cs="Arial"/>
          <w:b/>
          <w:bCs/>
        </w:rPr>
        <w:t>, 86(6), pp. 96-104.</w:t>
      </w:r>
    </w:p>
    <w:p w14:paraId="4736C423" w14:textId="77777777" w:rsidR="00A36F50" w:rsidRPr="00A36F50" w:rsidRDefault="00A36F50" w:rsidP="00A36F50">
      <w:pPr>
        <w:rPr>
          <w:rFonts w:ascii="Arial" w:hAnsi="Arial" w:cs="Arial"/>
          <w:b/>
          <w:bCs/>
        </w:rPr>
      </w:pPr>
      <w:r w:rsidRPr="00A36F50">
        <w:rPr>
          <w:rFonts w:ascii="Arial" w:hAnsi="Arial" w:cs="Arial"/>
          <w:b/>
          <w:bCs/>
        </w:rPr>
        <w:t>Toyota Motor Corporation (2003) </w:t>
      </w:r>
      <w:r w:rsidRPr="00A36F50">
        <w:rPr>
          <w:rFonts w:ascii="Arial" w:hAnsi="Arial" w:cs="Arial"/>
          <w:b/>
          <w:bCs/>
          <w:i/>
          <w:iCs/>
        </w:rPr>
        <w:t>The Toyota way 2001</w:t>
      </w:r>
      <w:r w:rsidRPr="00A36F50">
        <w:rPr>
          <w:rFonts w:ascii="Arial" w:hAnsi="Arial" w:cs="Arial"/>
          <w:b/>
          <w:bCs/>
        </w:rPr>
        <w:t>. Internal document. Toyota City: Toyota Motor Corporation.</w:t>
      </w:r>
    </w:p>
    <w:p w14:paraId="1B0F5480" w14:textId="77777777" w:rsidR="00A36F50" w:rsidRPr="00A36F50" w:rsidRDefault="00A36F50" w:rsidP="00A36F50">
      <w:pPr>
        <w:rPr>
          <w:rFonts w:ascii="Arial" w:hAnsi="Arial" w:cs="Arial"/>
          <w:b/>
          <w:bCs/>
        </w:rPr>
      </w:pPr>
      <w:r w:rsidRPr="00A36F50">
        <w:rPr>
          <w:rFonts w:ascii="Arial" w:hAnsi="Arial" w:cs="Arial"/>
          <w:b/>
          <w:bCs/>
        </w:rPr>
        <w:t>Toyota Motor Corporation (2024) </w:t>
      </w:r>
      <w:r w:rsidRPr="00A36F50">
        <w:rPr>
          <w:rFonts w:ascii="Arial" w:hAnsi="Arial" w:cs="Arial"/>
          <w:b/>
          <w:bCs/>
          <w:i/>
          <w:iCs/>
        </w:rPr>
        <w:t>Annual report 2024</w:t>
      </w:r>
      <w:r w:rsidRPr="00A36F50">
        <w:rPr>
          <w:rFonts w:ascii="Arial" w:hAnsi="Arial" w:cs="Arial"/>
          <w:b/>
          <w:bCs/>
        </w:rPr>
        <w:t>. Available at: </w:t>
      </w:r>
      <w:hyperlink r:id="rId9" w:tgtFrame="_blank" w:tooltip="https://url41.mailanyone.net/scanner?m=1vwjsx-00000000277-408d&amp;d=4%7Cmail%2F90%2F1772383200%2F1vwjsx-00000000277-408d%7Cin41a%7C57e1b682%7C10977208%7C9441127%7C69A46CA381451F2CBEBB09498F620A7B&amp;o=%2Fphtw%3A%2Fwtsaow.got-tyoalo%2F.cmblrein%2Ftosvsalirybrr_i%2Fla" w:history="1">
        <w:r w:rsidRPr="00A36F50">
          <w:rPr>
            <w:rStyle w:val="Hyperlink"/>
            <w:rFonts w:ascii="Arial" w:hAnsi="Arial" w:cs="Arial"/>
            <w:b/>
            <w:bCs/>
          </w:rPr>
          <w:t>https://url41.mailanyone.net/scanner?m=1vwjsx-00000000277-408d&amp;d=4%7Cmail%2F90%2F1772383200%2F1vwjsx-00000000277-408d%7Cin41a%7C57e1b682%7C10977208%7C9441127%7C69A46CA381451F2CBEBB09498F620A7B&amp;o=%2Fphtw%3A%2Fwtsaow.got-tyoalo%2F.cmblrein%2Ftosvsalirybrr_i%2Flaunna%2F&amp;s=boAUEaDND4mhrfDKl5x7QtvS5RI</w:t>
        </w:r>
      </w:hyperlink>
      <w:r w:rsidRPr="00A36F50">
        <w:rPr>
          <w:rFonts w:ascii="Arial" w:hAnsi="Arial" w:cs="Arial"/>
          <w:b/>
          <w:bCs/>
        </w:rPr>
        <w:t> (Accessed: 4 February 2026).</w:t>
      </w:r>
    </w:p>
    <w:p w14:paraId="521B611F" w14:textId="77777777" w:rsidR="00A36F50" w:rsidRPr="00A36F50" w:rsidRDefault="00A36F50">
      <w:pPr>
        <w:rPr>
          <w:rFonts w:ascii="Arial" w:hAnsi="Arial" w:cs="Arial"/>
          <w:b/>
          <w:bCs/>
        </w:rPr>
      </w:pPr>
    </w:p>
    <w:sectPr w:rsidR="00A36F50" w:rsidRPr="00A36F5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4ADFB" w14:textId="77777777" w:rsidR="00030FCA" w:rsidRDefault="00030FCA" w:rsidP="00A36F50">
      <w:pPr>
        <w:spacing w:after="0" w:line="240" w:lineRule="auto"/>
      </w:pPr>
      <w:r>
        <w:separator/>
      </w:r>
    </w:p>
  </w:endnote>
  <w:endnote w:type="continuationSeparator" w:id="0">
    <w:p w14:paraId="242591D4" w14:textId="77777777" w:rsidR="00030FCA" w:rsidRDefault="00030FCA" w:rsidP="00A36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7690148"/>
      <w:docPartObj>
        <w:docPartGallery w:val="Page Numbers (Bottom of Page)"/>
        <w:docPartUnique/>
      </w:docPartObj>
    </w:sdtPr>
    <w:sdtEndPr>
      <w:rPr>
        <w:noProof/>
      </w:rPr>
    </w:sdtEndPr>
    <w:sdtContent>
      <w:p w14:paraId="54CBBFD6" w14:textId="2996F62B" w:rsidR="00A36F50" w:rsidRDefault="00A36F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0C2561" w14:textId="77777777" w:rsidR="00A36F50" w:rsidRDefault="00A36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B5D9D" w14:textId="77777777" w:rsidR="00030FCA" w:rsidRDefault="00030FCA" w:rsidP="00A36F50">
      <w:pPr>
        <w:spacing w:after="0" w:line="240" w:lineRule="auto"/>
      </w:pPr>
      <w:r>
        <w:separator/>
      </w:r>
    </w:p>
  </w:footnote>
  <w:footnote w:type="continuationSeparator" w:id="0">
    <w:p w14:paraId="7C41ACD5" w14:textId="77777777" w:rsidR="00030FCA" w:rsidRDefault="00030FCA" w:rsidP="00A36F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F50"/>
    <w:rsid w:val="00030FCA"/>
    <w:rsid w:val="000607EC"/>
    <w:rsid w:val="004C79C8"/>
    <w:rsid w:val="005D3EB7"/>
    <w:rsid w:val="005D5A37"/>
    <w:rsid w:val="00600DE5"/>
    <w:rsid w:val="00622A23"/>
    <w:rsid w:val="00893E4F"/>
    <w:rsid w:val="008C1726"/>
    <w:rsid w:val="009B25C2"/>
    <w:rsid w:val="00A36F50"/>
    <w:rsid w:val="00BB6327"/>
    <w:rsid w:val="00CC1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C3D1D"/>
  <w15:chartTrackingRefBased/>
  <w15:docId w15:val="{2741AFDC-8BC8-4B75-849D-B3A42554E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F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6F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6F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F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F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F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F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F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F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F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6F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6F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F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F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F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F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F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F50"/>
    <w:rPr>
      <w:rFonts w:eastAsiaTheme="majorEastAsia" w:cstheme="majorBidi"/>
      <w:color w:val="272727" w:themeColor="text1" w:themeTint="D8"/>
    </w:rPr>
  </w:style>
  <w:style w:type="paragraph" w:styleId="Title">
    <w:name w:val="Title"/>
    <w:basedOn w:val="Normal"/>
    <w:next w:val="Normal"/>
    <w:link w:val="TitleChar"/>
    <w:uiPriority w:val="10"/>
    <w:qFormat/>
    <w:rsid w:val="00A36F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F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F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F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F50"/>
    <w:pPr>
      <w:spacing w:before="160"/>
      <w:jc w:val="center"/>
    </w:pPr>
    <w:rPr>
      <w:i/>
      <w:iCs/>
      <w:color w:val="404040" w:themeColor="text1" w:themeTint="BF"/>
    </w:rPr>
  </w:style>
  <w:style w:type="character" w:customStyle="1" w:styleId="QuoteChar">
    <w:name w:val="Quote Char"/>
    <w:basedOn w:val="DefaultParagraphFont"/>
    <w:link w:val="Quote"/>
    <w:uiPriority w:val="29"/>
    <w:rsid w:val="00A36F50"/>
    <w:rPr>
      <w:i/>
      <w:iCs/>
      <w:color w:val="404040" w:themeColor="text1" w:themeTint="BF"/>
    </w:rPr>
  </w:style>
  <w:style w:type="paragraph" w:styleId="ListParagraph">
    <w:name w:val="List Paragraph"/>
    <w:basedOn w:val="Normal"/>
    <w:uiPriority w:val="34"/>
    <w:qFormat/>
    <w:rsid w:val="00A36F50"/>
    <w:pPr>
      <w:ind w:left="720"/>
      <w:contextualSpacing/>
    </w:pPr>
  </w:style>
  <w:style w:type="character" w:styleId="IntenseEmphasis">
    <w:name w:val="Intense Emphasis"/>
    <w:basedOn w:val="DefaultParagraphFont"/>
    <w:uiPriority w:val="21"/>
    <w:qFormat/>
    <w:rsid w:val="00A36F50"/>
    <w:rPr>
      <w:i/>
      <w:iCs/>
      <w:color w:val="0F4761" w:themeColor="accent1" w:themeShade="BF"/>
    </w:rPr>
  </w:style>
  <w:style w:type="paragraph" w:styleId="IntenseQuote">
    <w:name w:val="Intense Quote"/>
    <w:basedOn w:val="Normal"/>
    <w:next w:val="Normal"/>
    <w:link w:val="IntenseQuoteChar"/>
    <w:uiPriority w:val="30"/>
    <w:qFormat/>
    <w:rsid w:val="00A36F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F50"/>
    <w:rPr>
      <w:i/>
      <w:iCs/>
      <w:color w:val="0F4761" w:themeColor="accent1" w:themeShade="BF"/>
    </w:rPr>
  </w:style>
  <w:style w:type="character" w:styleId="IntenseReference">
    <w:name w:val="Intense Reference"/>
    <w:basedOn w:val="DefaultParagraphFont"/>
    <w:uiPriority w:val="32"/>
    <w:qFormat/>
    <w:rsid w:val="00A36F50"/>
    <w:rPr>
      <w:b/>
      <w:bCs/>
      <w:smallCaps/>
      <w:color w:val="0F4761" w:themeColor="accent1" w:themeShade="BF"/>
      <w:spacing w:val="5"/>
    </w:rPr>
  </w:style>
  <w:style w:type="character" w:styleId="Hyperlink">
    <w:name w:val="Hyperlink"/>
    <w:basedOn w:val="DefaultParagraphFont"/>
    <w:uiPriority w:val="99"/>
    <w:unhideWhenUsed/>
    <w:rsid w:val="00A36F50"/>
    <w:rPr>
      <w:color w:val="467886" w:themeColor="hyperlink"/>
      <w:u w:val="single"/>
    </w:rPr>
  </w:style>
  <w:style w:type="character" w:styleId="UnresolvedMention">
    <w:name w:val="Unresolved Mention"/>
    <w:basedOn w:val="DefaultParagraphFont"/>
    <w:uiPriority w:val="99"/>
    <w:semiHidden/>
    <w:unhideWhenUsed/>
    <w:rsid w:val="00A36F50"/>
    <w:rPr>
      <w:color w:val="605E5C"/>
      <w:shd w:val="clear" w:color="auto" w:fill="E1DFDD"/>
    </w:rPr>
  </w:style>
  <w:style w:type="paragraph" w:styleId="Header">
    <w:name w:val="header"/>
    <w:basedOn w:val="Normal"/>
    <w:link w:val="HeaderChar"/>
    <w:uiPriority w:val="99"/>
    <w:unhideWhenUsed/>
    <w:rsid w:val="00A36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F50"/>
  </w:style>
  <w:style w:type="paragraph" w:styleId="Footer">
    <w:name w:val="footer"/>
    <w:basedOn w:val="Normal"/>
    <w:link w:val="FooterChar"/>
    <w:uiPriority w:val="99"/>
    <w:unhideWhenUsed/>
    <w:rsid w:val="00A36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F50"/>
  </w:style>
  <w:style w:type="paragraph" w:styleId="TOCHeading">
    <w:name w:val="TOC Heading"/>
    <w:basedOn w:val="Heading1"/>
    <w:next w:val="Normal"/>
    <w:uiPriority w:val="39"/>
    <w:unhideWhenUsed/>
    <w:qFormat/>
    <w:rsid w:val="00600DE5"/>
    <w:pPr>
      <w:spacing w:before="240" w:after="0" w:line="259" w:lineRule="auto"/>
      <w:outlineLvl w:val="9"/>
    </w:pPr>
    <w:rPr>
      <w:kern w:val="0"/>
      <w:sz w:val="32"/>
      <w:szCs w:val="32"/>
      <w:lang w:val="en-US"/>
      <w14:ligatures w14:val="none"/>
    </w:rPr>
  </w:style>
  <w:style w:type="character" w:styleId="FollowedHyperlink">
    <w:name w:val="FollowedHyperlink"/>
    <w:basedOn w:val="DefaultParagraphFont"/>
    <w:uiPriority w:val="99"/>
    <w:semiHidden/>
    <w:unhideWhenUsed/>
    <w:rsid w:val="00600DE5"/>
    <w:rPr>
      <w:color w:val="96607D" w:themeColor="followedHyperlink"/>
      <w:u w:val="single"/>
    </w:rPr>
  </w:style>
  <w:style w:type="paragraph" w:styleId="TOC1">
    <w:name w:val="toc 1"/>
    <w:basedOn w:val="Normal"/>
    <w:next w:val="Normal"/>
    <w:autoRedefine/>
    <w:uiPriority w:val="39"/>
    <w:unhideWhenUsed/>
    <w:rsid w:val="000607EC"/>
    <w:pPr>
      <w:spacing w:after="100"/>
    </w:pPr>
  </w:style>
  <w:style w:type="paragraph" w:styleId="TOC2">
    <w:name w:val="toc 2"/>
    <w:basedOn w:val="Normal"/>
    <w:next w:val="Normal"/>
    <w:autoRedefine/>
    <w:uiPriority w:val="39"/>
    <w:unhideWhenUsed/>
    <w:rsid w:val="000607EC"/>
    <w:pPr>
      <w:spacing w:after="100"/>
      <w:ind w:left="240"/>
    </w:pPr>
  </w:style>
  <w:style w:type="paragraph" w:styleId="TOC3">
    <w:name w:val="toc 3"/>
    <w:basedOn w:val="Normal"/>
    <w:next w:val="Normal"/>
    <w:autoRedefine/>
    <w:uiPriority w:val="39"/>
    <w:unhideWhenUsed/>
    <w:rsid w:val="000607E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rl41.mailanyone.net/scanner?m=1vwjsx-00000000277-408d&amp;d=4%7Cmail%2F90%2F1772383200%2F1vwjsx-00000000277-408d%7Cin41a%7C57e1b682%7C10977208%7C9441127%7C69A46CA381451F2CBEBB09498F620A7B&amp;o=%2Fphtw%3A%2Fwtseuw.sonwatmoc.&amp;s=koxTCzmQNb4srlfqbkpNzsOZRPM" TargetMode="External"/><Relationship Id="rId3" Type="http://schemas.openxmlformats.org/officeDocument/2006/relationships/settings" Target="settings.xml"/><Relationship Id="rId7" Type="http://schemas.openxmlformats.org/officeDocument/2006/relationships/hyperlink" Target="https://url41.mailanyone.net/scanner?m=1vwjsx-00000000277-408d&amp;d=4%7Cmail%2F90%2F1772383200%2F1vwjsx-00000000277-408d%7Cin41a%7C57e1b682%7C10977208%7C9441127%7C69A46CA381451F2CBEBB09498F620A7B&amp;o=%2Fphtw%3A%2Fwtsaow.got-tymoc.labol&amp;s=fRRLB1Z45_FH8r1AeWkIxUeW3s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rl41.mailanyone.net/scanner?m=1vwjsx-00000000277-408d&amp;d=4%7Cmail%2F90%2F1772383200%2F1vwjsx-00000000277-408d%7Cin41a%7C57e1b682%7C10977208%7C9441127%7C69A46CA381451F2CBEBB09498F620A7B&amp;o=%2Fphtw%3A%2Fwtsaow.got-tyoalo%2F.cmblrein%2Ftosvsalirybrr_i%2Flaunna%2F&amp;s=boAUEaDND4mhrfDKl5x7QtvS5R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9ED407-A5CF-4DC1-88E7-DA618503D2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8755</Words>
  <Characters>49907</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Berto, Barbara</dc:creator>
  <cp:keywords/>
  <dc:description/>
  <cp:lastModifiedBy>Berto, Barbara</cp:lastModifiedBy>
  <cp:revision>2</cp:revision>
  <dcterms:created xsi:type="dcterms:W3CDTF">2026-03-16T08:35:00Z</dcterms:created>
  <dcterms:modified xsi:type="dcterms:W3CDTF">2026-03-16T08:35:00Z</dcterms:modified>
</cp:coreProperties>
</file>