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E5181" w14:textId="77777777" w:rsidR="009B2999" w:rsidRDefault="001C2D24" w:rsidP="001C2D24">
      <w:pPr>
        <w:spacing w:line="360" w:lineRule="auto"/>
      </w:pPr>
      <w:r>
        <w:t>Slide 1</w:t>
      </w:r>
    </w:p>
    <w:p w14:paraId="24E97FFB" w14:textId="77777777" w:rsidR="001C2D24" w:rsidRDefault="001C2D24" w:rsidP="001C2D24">
      <w:pPr>
        <w:spacing w:line="360" w:lineRule="auto"/>
      </w:pPr>
    </w:p>
    <w:p w14:paraId="2CDF89EA" w14:textId="3935AFAC" w:rsidR="001C2D24" w:rsidRDefault="001C2D24" w:rsidP="001C2D24">
      <w:pPr>
        <w:spacing w:line="360" w:lineRule="auto"/>
        <w:jc w:val="center"/>
      </w:pPr>
      <w:r>
        <w:object w:dxaOrig="9600" w:dyaOrig="5401" w14:anchorId="16BAA5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12087620" r:id="rId6"/>
        </w:object>
      </w:r>
    </w:p>
    <w:p w14:paraId="5BA12037" w14:textId="4F5DC9CD" w:rsidR="001C2D24" w:rsidRDefault="001C2D24" w:rsidP="001C2D24">
      <w:pPr>
        <w:spacing w:line="360" w:lineRule="auto"/>
        <w:jc w:val="center"/>
      </w:pPr>
    </w:p>
    <w:p w14:paraId="5C13A5EC" w14:textId="78D13083" w:rsidR="001C2D24" w:rsidRDefault="001C2D24" w:rsidP="001C2D24">
      <w:pPr>
        <w:spacing w:line="360" w:lineRule="auto"/>
      </w:pPr>
    </w:p>
    <w:p w14:paraId="0C3F135E" w14:textId="6AD6C7B3" w:rsidR="001C2D24" w:rsidRDefault="001C2D24">
      <w:r>
        <w:br w:type="page"/>
      </w:r>
    </w:p>
    <w:p w14:paraId="4CB813F7" w14:textId="3211ECEB" w:rsidR="001C2D24" w:rsidRDefault="001C2D24" w:rsidP="001C2D24">
      <w:pPr>
        <w:spacing w:line="360" w:lineRule="auto"/>
      </w:pPr>
      <w:r>
        <w:lastRenderedPageBreak/>
        <w:t>Slide 2</w:t>
      </w:r>
    </w:p>
    <w:p w14:paraId="74BAD2C0" w14:textId="3E3418B8" w:rsidR="001C2D24" w:rsidRDefault="001C2D24" w:rsidP="001C2D24">
      <w:pPr>
        <w:spacing w:line="360" w:lineRule="auto"/>
      </w:pPr>
    </w:p>
    <w:p w14:paraId="6FA5262E" w14:textId="2074893A" w:rsidR="001C2D24" w:rsidRDefault="001C2D24" w:rsidP="001C2D24">
      <w:pPr>
        <w:spacing w:line="360" w:lineRule="auto"/>
        <w:jc w:val="center"/>
      </w:pPr>
      <w:r>
        <w:object w:dxaOrig="9600" w:dyaOrig="5401" w14:anchorId="309F3939">
          <v:shape id="_x0000_i1031" type="#_x0000_t75" style="width:5in;height:20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1" DrawAspect="Content" ObjectID="_1712087621" r:id="rId8"/>
        </w:object>
      </w:r>
    </w:p>
    <w:p w14:paraId="31C12F04" w14:textId="5B358817" w:rsidR="001C2D24" w:rsidRDefault="001C2D24" w:rsidP="001C2D24">
      <w:pPr>
        <w:spacing w:line="360" w:lineRule="auto"/>
        <w:jc w:val="center"/>
      </w:pPr>
    </w:p>
    <w:p w14:paraId="2FB2B9D1" w14:textId="768F4A22" w:rsidR="001C2D24" w:rsidRDefault="001C2D24" w:rsidP="001C2D24">
      <w:pPr>
        <w:spacing w:line="360" w:lineRule="auto"/>
      </w:pPr>
    </w:p>
    <w:p w14:paraId="721BF7EE" w14:textId="36034FC9" w:rsidR="001C2D24" w:rsidRDefault="001C2D24">
      <w:r>
        <w:br w:type="page"/>
      </w:r>
    </w:p>
    <w:p w14:paraId="3818A245" w14:textId="7A03F69A" w:rsidR="001C2D24" w:rsidRDefault="001C2D24" w:rsidP="001C2D24">
      <w:pPr>
        <w:spacing w:line="360" w:lineRule="auto"/>
      </w:pPr>
      <w:r>
        <w:lastRenderedPageBreak/>
        <w:t>Slide 3</w:t>
      </w:r>
    </w:p>
    <w:p w14:paraId="05185CF2" w14:textId="12B27214" w:rsidR="001C2D24" w:rsidRDefault="001C2D24" w:rsidP="001C2D24">
      <w:pPr>
        <w:spacing w:line="360" w:lineRule="auto"/>
      </w:pPr>
    </w:p>
    <w:p w14:paraId="62CF2BA6" w14:textId="3E490F98" w:rsidR="001C2D24" w:rsidRDefault="001C2D24" w:rsidP="001C2D24">
      <w:pPr>
        <w:spacing w:line="360" w:lineRule="auto"/>
        <w:jc w:val="center"/>
      </w:pPr>
      <w:r>
        <w:object w:dxaOrig="9600" w:dyaOrig="5401" w14:anchorId="5ED6200E">
          <v:shape id="_x0000_i1037" type="#_x0000_t75" style="width:5in;height:20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7" DrawAspect="Content" ObjectID="_1712087622" r:id="rId10"/>
        </w:object>
      </w:r>
    </w:p>
    <w:p w14:paraId="13E81A5B" w14:textId="4A47CA42" w:rsidR="001C2D24" w:rsidRDefault="001C2D24" w:rsidP="001C2D24">
      <w:pPr>
        <w:spacing w:line="360" w:lineRule="auto"/>
        <w:jc w:val="center"/>
      </w:pPr>
    </w:p>
    <w:p w14:paraId="3F6592B9"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Introduction</w:t>
      </w:r>
    </w:p>
    <w:p w14:paraId="36BAAAE9"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For every business, expansion becomes an essential part and therefore, every business tries to open its franchise in other locality. However, there are several other ways to carry out the expansion process and this method allows the business to establish its brand name on a larger level. Also, the customer reach of the organization increases. Due to this, it becomes possible for the organization to generate more revenue, which also increases the profitability and scalability of the business (</w:t>
      </w:r>
      <w:r>
        <w:rPr>
          <w:rFonts w:ascii="Times New Roman" w:eastAsia="Times New Roman" w:hAnsi="Times New Roman" w:cs="Times New Roman"/>
          <w:color w:val="000000"/>
          <w:kern w:val="24"/>
          <w:sz w:val="24"/>
          <w:szCs w:val="24"/>
          <w:lang w:val="en-US"/>
        </w:rPr>
        <w:t>Tyagi</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i/>
          <w:iCs/>
          <w:kern w:val="24"/>
          <w:sz w:val="24"/>
          <w:szCs w:val="24"/>
          <w:lang w:val="en-US"/>
        </w:rPr>
        <w:t>et al.,</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2019</w:t>
      </w:r>
      <w:r>
        <w:rPr>
          <w:rFonts w:ascii="Times New Roman" w:eastAsia="Times New Roman" w:hAnsi="Times New Roman" w:cs="Times New Roman"/>
          <w:kern w:val="24"/>
          <w:sz w:val="24"/>
          <w:szCs w:val="24"/>
          <w:lang w:val="en-US"/>
        </w:rPr>
        <w:t xml:space="preserve">). Further, international expansion proves to be essential for businesses because of achieving global reach. As the organization becomes global, it has more access to global wealth. These dynamics of international expansion shall be assessed through this presentation in the context of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which is the fourth largest retailing supermarket chain among all other retailing giants (groceries.morrisons.com, 2022). Also, this presentation shall throw some light on hindrances occurring in international expansion.</w:t>
      </w:r>
    </w:p>
    <w:p w14:paraId="323B6F1B" w14:textId="77777777" w:rsidR="001C2D24" w:rsidRDefault="001C2D24" w:rsidP="001C2D24">
      <w:pPr>
        <w:autoSpaceDE w:val="0"/>
        <w:autoSpaceDN w:val="0"/>
        <w:adjustRightInd w:val="0"/>
        <w:spacing w:after="0" w:line="240" w:lineRule="auto"/>
        <w:rPr>
          <w:rFonts w:ascii="Arial" w:hAnsi="Arial" w:cs="Arial"/>
          <w:sz w:val="24"/>
          <w:szCs w:val="24"/>
        </w:rPr>
      </w:pPr>
    </w:p>
    <w:p w14:paraId="3F271E78" w14:textId="2D223D12" w:rsidR="001C2D24" w:rsidRDefault="001C2D24" w:rsidP="001C2D24">
      <w:pPr>
        <w:spacing w:line="360" w:lineRule="auto"/>
      </w:pPr>
    </w:p>
    <w:p w14:paraId="158DA259" w14:textId="7599FCC2" w:rsidR="001C2D24" w:rsidRDefault="001C2D24">
      <w:r>
        <w:br w:type="page"/>
      </w:r>
    </w:p>
    <w:p w14:paraId="2F8282CF" w14:textId="1E0C9A0A" w:rsidR="001C2D24" w:rsidRDefault="001C2D24" w:rsidP="001C2D24">
      <w:pPr>
        <w:spacing w:line="360" w:lineRule="auto"/>
      </w:pPr>
      <w:r>
        <w:lastRenderedPageBreak/>
        <w:t>Slide 4</w:t>
      </w:r>
    </w:p>
    <w:p w14:paraId="647E2375" w14:textId="562337B0" w:rsidR="001C2D24" w:rsidRDefault="001C2D24" w:rsidP="001C2D24">
      <w:pPr>
        <w:spacing w:line="360" w:lineRule="auto"/>
      </w:pPr>
    </w:p>
    <w:p w14:paraId="201C4244" w14:textId="3B458C1B" w:rsidR="001C2D24" w:rsidRDefault="001C2D24" w:rsidP="001C2D24">
      <w:pPr>
        <w:spacing w:line="360" w:lineRule="auto"/>
        <w:jc w:val="center"/>
      </w:pPr>
      <w:r>
        <w:object w:dxaOrig="9600" w:dyaOrig="5401" w14:anchorId="78F417C6">
          <v:shape id="_x0000_i1043" type="#_x0000_t75" style="width:5in;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3" DrawAspect="Content" ObjectID="_1712087623" r:id="rId12"/>
        </w:object>
      </w:r>
    </w:p>
    <w:p w14:paraId="761CB129" w14:textId="45C56B6E" w:rsidR="001C2D24" w:rsidRDefault="001C2D24" w:rsidP="001C2D24">
      <w:pPr>
        <w:spacing w:line="360" w:lineRule="auto"/>
        <w:jc w:val="center"/>
      </w:pPr>
    </w:p>
    <w:p w14:paraId="361BC8BE"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Joint Venturing Process</w:t>
      </w:r>
    </w:p>
    <w:p w14:paraId="62F0DF10"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The process of founding a business outlet or operation in a particular locality through the mutual understanding and agreement between two or more parties being involved in the deal, such that both the parties involved in the process receive optimum profit and need to bear the cost required for the business is called </w:t>
      </w:r>
      <w:r>
        <w:rPr>
          <w:rFonts w:ascii="Times New Roman" w:eastAsia="Times New Roman" w:hAnsi="Times New Roman" w:cs="Times New Roman"/>
          <w:b/>
          <w:bCs/>
          <w:i/>
          <w:iCs/>
          <w:kern w:val="24"/>
          <w:sz w:val="24"/>
          <w:szCs w:val="24"/>
          <w:lang w:val="en-US"/>
        </w:rPr>
        <w:t>joint venturing process</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Lin</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and Ho,</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2019</w:t>
      </w:r>
      <w:r>
        <w:rPr>
          <w:rFonts w:ascii="Times New Roman" w:eastAsia="Times New Roman" w:hAnsi="Times New Roman" w:cs="Times New Roman"/>
          <w:kern w:val="24"/>
          <w:sz w:val="24"/>
          <w:szCs w:val="24"/>
          <w:lang w:val="en-US"/>
        </w:rPr>
        <w:t xml:space="preserve">). One of the major aspects of the joint venturing process is that the participants of the deal divide the cost required to run the business among them as per the deal. To get the cost recovered, profit margins generated are shared by them as well. In the case of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it shall be advisable for it to tie up with a local Chinese retailing brand, such that the organization shall be achieving maximum local knowledge of the Chinese market. Hence, it shall be advised that a joint venture needs to be established with </w:t>
      </w:r>
      <w:r>
        <w:rPr>
          <w:rFonts w:ascii="Times New Roman" w:eastAsia="Times New Roman" w:hAnsi="Times New Roman" w:cs="Times New Roman"/>
          <w:b/>
          <w:bCs/>
          <w:i/>
          <w:iCs/>
          <w:kern w:val="24"/>
          <w:sz w:val="24"/>
          <w:szCs w:val="24"/>
          <w:lang w:val="en-US"/>
        </w:rPr>
        <w:t>Suning Commerce Group</w:t>
      </w:r>
      <w:r>
        <w:rPr>
          <w:rFonts w:ascii="Times New Roman" w:eastAsia="Times New Roman" w:hAnsi="Times New Roman" w:cs="Times New Roman"/>
          <w:kern w:val="24"/>
          <w:sz w:val="24"/>
          <w:szCs w:val="24"/>
          <w:lang w:val="en-US"/>
        </w:rPr>
        <w:t>, which is one of the largest retailing organizations in the Chinese market with annual revenue being £ 3015.33 crores (suning.com, 2022). As the said organization has the maximum market cap within the Chinese market, the allowance for Morrisons to expand shall be more. Therefore, the choice of the organization has been made.</w:t>
      </w:r>
    </w:p>
    <w:p w14:paraId="4DAA51F0" w14:textId="77777777" w:rsidR="001C2D24" w:rsidRDefault="001C2D24" w:rsidP="001C2D24">
      <w:pPr>
        <w:autoSpaceDE w:val="0"/>
        <w:autoSpaceDN w:val="0"/>
        <w:adjustRightInd w:val="0"/>
        <w:spacing w:after="0" w:line="240" w:lineRule="auto"/>
        <w:rPr>
          <w:rFonts w:ascii="Arial" w:hAnsi="Arial" w:cs="Arial"/>
          <w:sz w:val="24"/>
          <w:szCs w:val="24"/>
        </w:rPr>
      </w:pPr>
    </w:p>
    <w:p w14:paraId="41B7266A" w14:textId="1A1637F6" w:rsidR="001C2D24" w:rsidRDefault="001C2D24" w:rsidP="001C2D24">
      <w:pPr>
        <w:spacing w:line="360" w:lineRule="auto"/>
      </w:pPr>
    </w:p>
    <w:p w14:paraId="616D8EB0" w14:textId="4307EA3A" w:rsidR="001C2D24" w:rsidRDefault="001C2D24">
      <w:r>
        <w:br w:type="page"/>
      </w:r>
    </w:p>
    <w:p w14:paraId="21B18951" w14:textId="60E75A10" w:rsidR="001C2D24" w:rsidRDefault="001C2D24" w:rsidP="001C2D24">
      <w:pPr>
        <w:spacing w:line="360" w:lineRule="auto"/>
      </w:pPr>
      <w:r>
        <w:lastRenderedPageBreak/>
        <w:t>Slide 5</w:t>
      </w:r>
    </w:p>
    <w:p w14:paraId="2676FA6C" w14:textId="3D71B636" w:rsidR="001C2D24" w:rsidRDefault="001C2D24" w:rsidP="001C2D24">
      <w:pPr>
        <w:spacing w:line="360" w:lineRule="auto"/>
      </w:pPr>
    </w:p>
    <w:p w14:paraId="4E67F934" w14:textId="4C088C44" w:rsidR="001C2D24" w:rsidRDefault="001C2D24" w:rsidP="001C2D24">
      <w:pPr>
        <w:spacing w:line="360" w:lineRule="auto"/>
        <w:jc w:val="center"/>
      </w:pPr>
      <w:r>
        <w:object w:dxaOrig="9600" w:dyaOrig="5401" w14:anchorId="782E6FCF">
          <v:shape id="_x0000_i1049"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9" DrawAspect="Content" ObjectID="_1712087624" r:id="rId14"/>
        </w:object>
      </w:r>
    </w:p>
    <w:p w14:paraId="7EF9E57D" w14:textId="53E5F5FA" w:rsidR="001C2D24" w:rsidRDefault="001C2D24" w:rsidP="001C2D24">
      <w:pPr>
        <w:spacing w:line="360" w:lineRule="auto"/>
        <w:jc w:val="center"/>
      </w:pPr>
    </w:p>
    <w:p w14:paraId="381A648B" w14:textId="678FF179" w:rsidR="001C2D24" w:rsidRDefault="001C2D24" w:rsidP="001C2D24">
      <w:pPr>
        <w:spacing w:line="360" w:lineRule="auto"/>
      </w:pPr>
    </w:p>
    <w:p w14:paraId="182FAC04" w14:textId="77E6CEFF" w:rsidR="001C2D24" w:rsidRDefault="001C2D24">
      <w:r>
        <w:br w:type="page"/>
      </w:r>
    </w:p>
    <w:p w14:paraId="6C9FF9A8" w14:textId="49FB589E" w:rsidR="001C2D24" w:rsidRDefault="001C2D24" w:rsidP="001C2D24">
      <w:pPr>
        <w:spacing w:line="360" w:lineRule="auto"/>
      </w:pPr>
      <w:r>
        <w:lastRenderedPageBreak/>
        <w:t>Slide 6</w:t>
      </w:r>
    </w:p>
    <w:p w14:paraId="4A8389A7" w14:textId="3344A6DB" w:rsidR="001C2D24" w:rsidRDefault="001C2D24" w:rsidP="001C2D24">
      <w:pPr>
        <w:spacing w:line="360" w:lineRule="auto"/>
      </w:pPr>
    </w:p>
    <w:p w14:paraId="6BC1FB91" w14:textId="2D82374F" w:rsidR="001C2D24" w:rsidRDefault="001C2D24" w:rsidP="001C2D24">
      <w:pPr>
        <w:spacing w:line="360" w:lineRule="auto"/>
        <w:jc w:val="center"/>
      </w:pPr>
      <w:r>
        <w:object w:dxaOrig="9600" w:dyaOrig="5401" w14:anchorId="4CC18231">
          <v:shape id="_x0000_i1055"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5" DrawAspect="Content" ObjectID="_1712087625" r:id="rId16"/>
        </w:object>
      </w:r>
    </w:p>
    <w:p w14:paraId="7790AF22" w14:textId="049B989A" w:rsidR="001C2D24" w:rsidRDefault="001C2D24" w:rsidP="001C2D24">
      <w:pPr>
        <w:spacing w:line="360" w:lineRule="auto"/>
        <w:jc w:val="center"/>
      </w:pPr>
    </w:p>
    <w:p w14:paraId="61275D9E"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kern w:val="24"/>
          <w:sz w:val="24"/>
          <w:szCs w:val="24"/>
          <w:lang w:val="en-US"/>
        </w:rPr>
      </w:pPr>
      <w:r>
        <w:rPr>
          <w:rFonts w:ascii="Times New Roman" w:eastAsia="Times New Roman" w:hAnsi="Times New Roman" w:cs="Times New Roman"/>
          <w:b/>
          <w:bCs/>
          <w:kern w:val="24"/>
          <w:sz w:val="24"/>
          <w:szCs w:val="24"/>
          <w:lang w:val="en-US"/>
        </w:rPr>
        <w:t>Language Barrier</w:t>
      </w:r>
    </w:p>
    <w:p w14:paraId="3E3F5363"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One of the foremost barriers that shall be faced by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while entering the Chinese market is the language barrier. As far as the Chinese environment is considered, the most widely spoken language in China is Chinese, which is followed by the highest number of people speaking Mandarin as their language of business (</w:t>
      </w:r>
      <w:r>
        <w:rPr>
          <w:rFonts w:ascii="Times New Roman" w:eastAsia="Times New Roman" w:hAnsi="Times New Roman" w:cs="Times New Roman"/>
          <w:color w:val="000000"/>
          <w:kern w:val="24"/>
          <w:sz w:val="24"/>
          <w:szCs w:val="24"/>
          <w:lang w:val="en-US"/>
        </w:rPr>
        <w:t>Tam,</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2020</w:t>
      </w:r>
      <w:r>
        <w:rPr>
          <w:rFonts w:ascii="Times New Roman" w:eastAsia="Times New Roman" w:hAnsi="Times New Roman" w:cs="Times New Roman"/>
          <w:kern w:val="24"/>
          <w:sz w:val="24"/>
          <w:szCs w:val="24"/>
          <w:lang w:val="en-US"/>
        </w:rPr>
        <w:t>). As a result of this, there arises a strong language barrier because the predominant language in which the trade is operated by the organization is English. Due to this difference, the joint venturing process shall be difficult. Therefore, it is one of the foremost barriers faced by the organization.</w:t>
      </w:r>
    </w:p>
    <w:p w14:paraId="1E6EC067" w14:textId="77777777" w:rsidR="001C2D24" w:rsidRDefault="001C2D24" w:rsidP="001C2D24">
      <w:pPr>
        <w:autoSpaceDE w:val="0"/>
        <w:autoSpaceDN w:val="0"/>
        <w:adjustRightInd w:val="0"/>
        <w:spacing w:after="0" w:line="240" w:lineRule="auto"/>
        <w:rPr>
          <w:rFonts w:ascii="Arial" w:hAnsi="Arial" w:cs="Arial"/>
          <w:sz w:val="24"/>
          <w:szCs w:val="24"/>
        </w:rPr>
      </w:pPr>
    </w:p>
    <w:p w14:paraId="6039F920" w14:textId="19D7F52E" w:rsidR="001C2D24" w:rsidRDefault="001C2D24" w:rsidP="001C2D24">
      <w:pPr>
        <w:spacing w:line="360" w:lineRule="auto"/>
      </w:pPr>
    </w:p>
    <w:p w14:paraId="0CE59D50" w14:textId="5FD0B0FF" w:rsidR="001C2D24" w:rsidRDefault="001C2D24">
      <w:r>
        <w:br w:type="page"/>
      </w:r>
    </w:p>
    <w:p w14:paraId="6423038C" w14:textId="32F6F42E" w:rsidR="001C2D24" w:rsidRDefault="001C2D24" w:rsidP="001C2D24">
      <w:pPr>
        <w:spacing w:line="360" w:lineRule="auto"/>
      </w:pPr>
      <w:r>
        <w:lastRenderedPageBreak/>
        <w:t>Slide 7</w:t>
      </w:r>
    </w:p>
    <w:p w14:paraId="4702664C" w14:textId="421B466E" w:rsidR="001C2D24" w:rsidRDefault="001C2D24" w:rsidP="001C2D24">
      <w:pPr>
        <w:spacing w:line="360" w:lineRule="auto"/>
      </w:pPr>
    </w:p>
    <w:p w14:paraId="2B69B51E" w14:textId="16B421B5" w:rsidR="001C2D24" w:rsidRDefault="001C2D24" w:rsidP="001C2D24">
      <w:pPr>
        <w:spacing w:line="360" w:lineRule="auto"/>
        <w:jc w:val="center"/>
      </w:pPr>
      <w:r>
        <w:object w:dxaOrig="9600" w:dyaOrig="5401" w14:anchorId="0F91847D">
          <v:shape id="_x0000_i1061"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61" DrawAspect="Content" ObjectID="_1712087626" r:id="rId18"/>
        </w:object>
      </w:r>
    </w:p>
    <w:p w14:paraId="177DE6DC" w14:textId="540E520C" w:rsidR="001C2D24" w:rsidRDefault="001C2D24" w:rsidP="001C2D24">
      <w:pPr>
        <w:spacing w:line="360" w:lineRule="auto"/>
        <w:jc w:val="center"/>
      </w:pPr>
    </w:p>
    <w:p w14:paraId="7E475574"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kern w:val="24"/>
          <w:sz w:val="24"/>
          <w:szCs w:val="24"/>
          <w:lang w:val="en-US"/>
        </w:rPr>
      </w:pPr>
      <w:r>
        <w:rPr>
          <w:rFonts w:ascii="Times New Roman" w:eastAsia="Times New Roman" w:hAnsi="Times New Roman" w:cs="Times New Roman"/>
          <w:b/>
          <w:bCs/>
          <w:kern w:val="24"/>
          <w:sz w:val="24"/>
          <w:szCs w:val="24"/>
          <w:lang w:val="en-US"/>
        </w:rPr>
        <w:t>Cultural Differences</w:t>
      </w:r>
    </w:p>
    <w:p w14:paraId="11A63496"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The Chinese culture has been different from that of the English culture. As far as English culture is considered, the fundamental approach of business is toward the following individualism and the industrialist approach is adopted by most the businesses. On the other hand, the Chinese culture has been following the communalist approach. The businesses existing within China have also been influenced by the communalist approach. This shows that there is a huge cultural difference for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Apart from this, Chinese people try to be more polite, which is hardly seen in the case of the English environment.</w:t>
      </w:r>
    </w:p>
    <w:p w14:paraId="303C1245" w14:textId="77777777" w:rsidR="001C2D24" w:rsidRDefault="001C2D24" w:rsidP="001C2D24">
      <w:pPr>
        <w:autoSpaceDE w:val="0"/>
        <w:autoSpaceDN w:val="0"/>
        <w:adjustRightInd w:val="0"/>
        <w:spacing w:after="0" w:line="240" w:lineRule="auto"/>
        <w:rPr>
          <w:rFonts w:ascii="Arial" w:hAnsi="Arial" w:cs="Arial"/>
          <w:sz w:val="24"/>
          <w:szCs w:val="24"/>
        </w:rPr>
      </w:pPr>
    </w:p>
    <w:p w14:paraId="446E852E" w14:textId="0B95A840" w:rsidR="001C2D24" w:rsidRDefault="001C2D24" w:rsidP="001C2D24">
      <w:pPr>
        <w:spacing w:line="360" w:lineRule="auto"/>
      </w:pPr>
    </w:p>
    <w:p w14:paraId="07646829" w14:textId="31FC9642" w:rsidR="001C2D24" w:rsidRDefault="001C2D24">
      <w:r>
        <w:br w:type="page"/>
      </w:r>
    </w:p>
    <w:p w14:paraId="421D1FA5" w14:textId="12754A16" w:rsidR="001C2D24" w:rsidRDefault="001C2D24" w:rsidP="001C2D24">
      <w:pPr>
        <w:spacing w:line="360" w:lineRule="auto"/>
      </w:pPr>
      <w:r>
        <w:lastRenderedPageBreak/>
        <w:t>Slide 8</w:t>
      </w:r>
    </w:p>
    <w:p w14:paraId="38A7E285" w14:textId="1BA9C875" w:rsidR="001C2D24" w:rsidRDefault="001C2D24" w:rsidP="001C2D24">
      <w:pPr>
        <w:spacing w:line="360" w:lineRule="auto"/>
      </w:pPr>
    </w:p>
    <w:p w14:paraId="5B7BF68F" w14:textId="19FC4FB5" w:rsidR="001C2D24" w:rsidRDefault="001C2D24" w:rsidP="001C2D24">
      <w:pPr>
        <w:spacing w:line="360" w:lineRule="auto"/>
        <w:jc w:val="center"/>
      </w:pPr>
      <w:r>
        <w:object w:dxaOrig="9600" w:dyaOrig="5401" w14:anchorId="50F0C436">
          <v:shape id="_x0000_i1067"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7" DrawAspect="Content" ObjectID="_1712087627" r:id="rId20"/>
        </w:object>
      </w:r>
    </w:p>
    <w:p w14:paraId="7F8A9151" w14:textId="01F5C3F8" w:rsidR="001C2D24" w:rsidRDefault="001C2D24" w:rsidP="001C2D24">
      <w:pPr>
        <w:spacing w:line="360" w:lineRule="auto"/>
        <w:jc w:val="center"/>
      </w:pPr>
    </w:p>
    <w:p w14:paraId="16F4F4C4"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kern w:val="24"/>
          <w:sz w:val="24"/>
          <w:szCs w:val="24"/>
          <w:lang w:val="en-US"/>
        </w:rPr>
      </w:pPr>
      <w:r>
        <w:rPr>
          <w:rFonts w:ascii="Times New Roman" w:eastAsia="Times New Roman" w:hAnsi="Times New Roman" w:cs="Times New Roman"/>
          <w:b/>
          <w:bCs/>
          <w:kern w:val="24"/>
          <w:sz w:val="24"/>
          <w:szCs w:val="24"/>
          <w:lang w:val="en-US"/>
        </w:rPr>
        <w:t>Demographic Differences</w:t>
      </w:r>
    </w:p>
    <w:p w14:paraId="4E5ECB49"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As far as demography is concerned, it is evident that China has surpassed nearly every other country including the UK. The population of China is 1,41,21,20,000 (statista.com, 2022). Whereas the total population of the UK is 6,70,25,542. The median age in the UK is 40.5 years, whereas the median age in China is 38.4 years (statista.com, 2022). Due to this demographic difference, the target audience of the organization also changes. It becomes difficult to adjust to such an altered target audience and therefore, it becomes a barrier to international trade.</w:t>
      </w:r>
    </w:p>
    <w:p w14:paraId="25A97F52" w14:textId="77777777" w:rsidR="001C2D24" w:rsidRDefault="001C2D24" w:rsidP="001C2D24">
      <w:pPr>
        <w:autoSpaceDE w:val="0"/>
        <w:autoSpaceDN w:val="0"/>
        <w:adjustRightInd w:val="0"/>
        <w:spacing w:after="0" w:line="240" w:lineRule="auto"/>
        <w:rPr>
          <w:rFonts w:ascii="Arial" w:hAnsi="Arial" w:cs="Arial"/>
          <w:sz w:val="24"/>
          <w:szCs w:val="24"/>
        </w:rPr>
      </w:pPr>
    </w:p>
    <w:p w14:paraId="4C6BB82A" w14:textId="7286316C" w:rsidR="001C2D24" w:rsidRDefault="001C2D24" w:rsidP="001C2D24">
      <w:pPr>
        <w:spacing w:line="360" w:lineRule="auto"/>
      </w:pPr>
    </w:p>
    <w:p w14:paraId="2122E4C3" w14:textId="52AECF4D" w:rsidR="001C2D24" w:rsidRDefault="001C2D24">
      <w:r>
        <w:br w:type="page"/>
      </w:r>
    </w:p>
    <w:p w14:paraId="17539B3C" w14:textId="5C37EDBC" w:rsidR="001C2D24" w:rsidRDefault="001C2D24" w:rsidP="001C2D24">
      <w:pPr>
        <w:spacing w:line="360" w:lineRule="auto"/>
      </w:pPr>
      <w:r>
        <w:lastRenderedPageBreak/>
        <w:t>Slide 9</w:t>
      </w:r>
    </w:p>
    <w:p w14:paraId="68A829A0" w14:textId="1651C149" w:rsidR="001C2D24" w:rsidRDefault="001C2D24" w:rsidP="001C2D24">
      <w:pPr>
        <w:spacing w:line="360" w:lineRule="auto"/>
      </w:pPr>
    </w:p>
    <w:p w14:paraId="5970BF0C" w14:textId="3982BB03" w:rsidR="001C2D24" w:rsidRDefault="001C2D24" w:rsidP="001C2D24">
      <w:pPr>
        <w:spacing w:line="360" w:lineRule="auto"/>
        <w:jc w:val="center"/>
      </w:pPr>
      <w:r>
        <w:object w:dxaOrig="9600" w:dyaOrig="5401" w14:anchorId="79ABF491">
          <v:shape id="_x0000_i1073"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73" DrawAspect="Content" ObjectID="_1712087628" r:id="rId22"/>
        </w:object>
      </w:r>
    </w:p>
    <w:p w14:paraId="674D36D5" w14:textId="183D73EE" w:rsidR="001C2D24" w:rsidRDefault="001C2D24" w:rsidP="001C2D24">
      <w:pPr>
        <w:spacing w:line="360" w:lineRule="auto"/>
        <w:jc w:val="center"/>
      </w:pPr>
    </w:p>
    <w:p w14:paraId="6A784810"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kern w:val="24"/>
          <w:sz w:val="24"/>
          <w:szCs w:val="24"/>
          <w:lang w:val="en-US"/>
        </w:rPr>
      </w:pPr>
      <w:r>
        <w:rPr>
          <w:rFonts w:ascii="Times New Roman" w:eastAsia="Times New Roman" w:hAnsi="Times New Roman" w:cs="Times New Roman"/>
          <w:b/>
          <w:bCs/>
          <w:kern w:val="24"/>
          <w:sz w:val="24"/>
          <w:szCs w:val="24"/>
          <w:lang w:val="en-US"/>
        </w:rPr>
        <w:t>Differences In Organizational Cultures</w:t>
      </w:r>
    </w:p>
    <w:p w14:paraId="23718985"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One of the major drivers of Chinese organizational culture is Confucianism. This culture is majorly followed by most organizations including </w:t>
      </w:r>
      <w:r>
        <w:rPr>
          <w:rFonts w:ascii="Times New Roman" w:eastAsia="Times New Roman" w:hAnsi="Times New Roman" w:cs="Times New Roman"/>
          <w:b/>
          <w:bCs/>
          <w:i/>
          <w:iCs/>
          <w:kern w:val="24"/>
          <w:sz w:val="24"/>
          <w:szCs w:val="24"/>
          <w:lang w:val="en-US"/>
        </w:rPr>
        <w:t>Suning Commerce Group</w:t>
      </w:r>
      <w:r>
        <w:rPr>
          <w:rFonts w:ascii="Times New Roman" w:eastAsia="Times New Roman" w:hAnsi="Times New Roman" w:cs="Times New Roman"/>
          <w:kern w:val="24"/>
          <w:sz w:val="24"/>
          <w:szCs w:val="24"/>
          <w:lang w:val="en-US"/>
        </w:rPr>
        <w:t>. These values of the culture primarily revolve around morals, loyalty, solidarity, and many more things. On the other hand, organizational culture in the UK is more practical. Discipline is the most fostered. As a result of this, there is a complete conflict between the interests of the corporate cultures. Therefore, it forms to be a barrier to international communication.</w:t>
      </w:r>
    </w:p>
    <w:p w14:paraId="55B588E2" w14:textId="77777777" w:rsidR="001C2D24" w:rsidRDefault="001C2D24" w:rsidP="001C2D24">
      <w:pPr>
        <w:autoSpaceDE w:val="0"/>
        <w:autoSpaceDN w:val="0"/>
        <w:adjustRightInd w:val="0"/>
        <w:spacing w:after="0" w:line="240" w:lineRule="auto"/>
        <w:rPr>
          <w:rFonts w:ascii="Arial" w:hAnsi="Arial" w:cs="Arial"/>
          <w:sz w:val="24"/>
          <w:szCs w:val="24"/>
        </w:rPr>
      </w:pPr>
    </w:p>
    <w:p w14:paraId="0895302E" w14:textId="30513093" w:rsidR="001C2D24" w:rsidRDefault="001C2D24" w:rsidP="001C2D24">
      <w:pPr>
        <w:spacing w:line="360" w:lineRule="auto"/>
      </w:pPr>
    </w:p>
    <w:p w14:paraId="35C15583" w14:textId="54FA61D3" w:rsidR="001C2D24" w:rsidRDefault="001C2D24">
      <w:r>
        <w:br w:type="page"/>
      </w:r>
    </w:p>
    <w:p w14:paraId="2487B053" w14:textId="5B678859" w:rsidR="001C2D24" w:rsidRDefault="001C2D24" w:rsidP="001C2D24">
      <w:pPr>
        <w:spacing w:line="360" w:lineRule="auto"/>
      </w:pPr>
      <w:r>
        <w:lastRenderedPageBreak/>
        <w:t>Slide 10</w:t>
      </w:r>
    </w:p>
    <w:p w14:paraId="2DE69912" w14:textId="028B201C" w:rsidR="001C2D24" w:rsidRDefault="001C2D24" w:rsidP="001C2D24">
      <w:pPr>
        <w:spacing w:line="360" w:lineRule="auto"/>
      </w:pPr>
    </w:p>
    <w:p w14:paraId="2E5B7A1C" w14:textId="16B9C119" w:rsidR="001C2D24" w:rsidRDefault="001C2D24" w:rsidP="001C2D24">
      <w:pPr>
        <w:spacing w:line="360" w:lineRule="auto"/>
        <w:jc w:val="center"/>
      </w:pPr>
      <w:r>
        <w:object w:dxaOrig="9600" w:dyaOrig="5401" w14:anchorId="52C4C7E4">
          <v:shape id="_x0000_i1079"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9" DrawAspect="Content" ObjectID="_1712087629" r:id="rId24"/>
        </w:object>
      </w:r>
    </w:p>
    <w:p w14:paraId="6F31A43C" w14:textId="5E768EED" w:rsidR="001C2D24" w:rsidRDefault="001C2D24" w:rsidP="001C2D24">
      <w:pPr>
        <w:spacing w:line="360" w:lineRule="auto"/>
        <w:jc w:val="center"/>
      </w:pPr>
    </w:p>
    <w:p w14:paraId="05560121" w14:textId="4F75F919" w:rsidR="001C2D24" w:rsidRDefault="001C2D24" w:rsidP="001C2D24">
      <w:pPr>
        <w:spacing w:line="360" w:lineRule="auto"/>
      </w:pPr>
    </w:p>
    <w:p w14:paraId="7BE21111" w14:textId="2AB5A2FA" w:rsidR="001C2D24" w:rsidRDefault="001C2D24">
      <w:r>
        <w:br w:type="page"/>
      </w:r>
    </w:p>
    <w:p w14:paraId="153A1695" w14:textId="215EF5DF" w:rsidR="001C2D24" w:rsidRDefault="001C2D24" w:rsidP="001C2D24">
      <w:pPr>
        <w:spacing w:line="360" w:lineRule="auto"/>
      </w:pPr>
      <w:r>
        <w:lastRenderedPageBreak/>
        <w:t>Slide 11</w:t>
      </w:r>
    </w:p>
    <w:p w14:paraId="530B22A2" w14:textId="6D3C8AA6" w:rsidR="001C2D24" w:rsidRDefault="001C2D24" w:rsidP="001C2D24">
      <w:pPr>
        <w:spacing w:line="360" w:lineRule="auto"/>
      </w:pPr>
    </w:p>
    <w:p w14:paraId="469FEE6D" w14:textId="1625A413" w:rsidR="001C2D24" w:rsidRDefault="001C2D24" w:rsidP="001C2D24">
      <w:pPr>
        <w:spacing w:line="360" w:lineRule="auto"/>
        <w:jc w:val="center"/>
      </w:pPr>
      <w:r>
        <w:object w:dxaOrig="9600" w:dyaOrig="5401" w14:anchorId="6E33914C">
          <v:shape id="_x0000_i1085"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85" DrawAspect="Content" ObjectID="_1712087630" r:id="rId26"/>
        </w:object>
      </w:r>
    </w:p>
    <w:p w14:paraId="3D142B78" w14:textId="49D467C5" w:rsidR="001C2D24" w:rsidRDefault="001C2D24" w:rsidP="001C2D24">
      <w:pPr>
        <w:spacing w:line="360" w:lineRule="auto"/>
        <w:jc w:val="center"/>
      </w:pPr>
    </w:p>
    <w:p w14:paraId="0978E5A6"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kern w:val="24"/>
          <w:sz w:val="24"/>
          <w:szCs w:val="24"/>
          <w:lang w:val="en-US"/>
        </w:rPr>
      </w:pPr>
      <w:r>
        <w:rPr>
          <w:rFonts w:ascii="Times New Roman" w:eastAsia="Times New Roman" w:hAnsi="Times New Roman" w:cs="Times New Roman"/>
          <w:kern w:val="24"/>
          <w:sz w:val="24"/>
          <w:szCs w:val="24"/>
          <w:lang w:val="en-US"/>
        </w:rPr>
        <w:t>Interpretive Approach</w:t>
      </w:r>
    </w:p>
    <w:p w14:paraId="7E0ED2DD"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This approach to intercultural communication is based primarily on exchanging cultural thoughts through communication. This is often done through experience sharing. People tend to tell their experiences from their respective cultures. The fundamental role of the said intercultural communication approach is to analyze the speech or the dialects or the languages spoken within a particular area. In the case of the Chinese market, the intercultural communication phenomenon shall bring about the knowledge related to the speeches or languages that are being spoken in China more prominently. This shall be helping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in a variety of ways. One of the most important assessments is regarding the market language or the business language necessarily to be adopted during joint venturing. The </w:t>
      </w:r>
      <w:r>
        <w:rPr>
          <w:rFonts w:ascii="Times New Roman" w:eastAsia="Times New Roman" w:hAnsi="Times New Roman" w:cs="Times New Roman"/>
          <w:b/>
          <w:bCs/>
          <w:i/>
          <w:iCs/>
          <w:kern w:val="24"/>
          <w:sz w:val="24"/>
          <w:szCs w:val="24"/>
          <w:lang w:val="en-US"/>
        </w:rPr>
        <w:t>advantage</w:t>
      </w:r>
      <w:r>
        <w:rPr>
          <w:rFonts w:ascii="Times New Roman" w:eastAsia="Times New Roman" w:hAnsi="Times New Roman" w:cs="Times New Roman"/>
          <w:kern w:val="24"/>
          <w:sz w:val="24"/>
          <w:szCs w:val="24"/>
          <w:lang w:val="en-US"/>
        </w:rPr>
        <w:t xml:space="preserve"> of this method is that it does not consider a generalized approach (</w:t>
      </w:r>
      <w:r>
        <w:rPr>
          <w:rFonts w:ascii="Times New Roman" w:eastAsia="Times New Roman" w:hAnsi="Times New Roman" w:cs="Times New Roman"/>
          <w:color w:val="000000"/>
          <w:kern w:val="24"/>
          <w:sz w:val="24"/>
          <w:szCs w:val="24"/>
          <w:lang w:val="en-US"/>
        </w:rPr>
        <w:t>Meares</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and Bennett,</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2020</w:t>
      </w:r>
      <w:r>
        <w:rPr>
          <w:rFonts w:ascii="Times New Roman" w:eastAsia="Times New Roman" w:hAnsi="Times New Roman" w:cs="Times New Roman"/>
          <w:kern w:val="24"/>
          <w:sz w:val="24"/>
          <w:szCs w:val="24"/>
          <w:lang w:val="en-US"/>
        </w:rPr>
        <w:t xml:space="preserve">). It adopts an individualistic approach, which shall allow the organization to analyze the varying perspectives of different individuals. As a result of this, it shall yield a more precise assessment, which shall prove to be useful to overcome the intercultural barrier of language, which has been discussed above. However, the </w:t>
      </w:r>
      <w:r>
        <w:rPr>
          <w:rFonts w:ascii="Times New Roman" w:eastAsia="Times New Roman" w:hAnsi="Times New Roman" w:cs="Times New Roman"/>
          <w:b/>
          <w:bCs/>
          <w:i/>
          <w:iCs/>
          <w:kern w:val="24"/>
          <w:sz w:val="24"/>
          <w:szCs w:val="24"/>
          <w:lang w:val="en-US"/>
        </w:rPr>
        <w:t>disadvantage</w:t>
      </w:r>
      <w:r>
        <w:rPr>
          <w:rFonts w:ascii="Times New Roman" w:eastAsia="Times New Roman" w:hAnsi="Times New Roman" w:cs="Times New Roman"/>
          <w:kern w:val="24"/>
          <w:sz w:val="24"/>
          <w:szCs w:val="24"/>
          <w:lang w:val="en-US"/>
        </w:rPr>
        <w:t xml:space="preserve"> of this method is that it is a lengthy process. This is because it considers the opinions of every individual that it thinks are going to be important.</w:t>
      </w:r>
    </w:p>
    <w:p w14:paraId="19BC6604" w14:textId="77777777" w:rsidR="001C2D24" w:rsidRDefault="001C2D24" w:rsidP="001C2D24">
      <w:pPr>
        <w:autoSpaceDE w:val="0"/>
        <w:autoSpaceDN w:val="0"/>
        <w:adjustRightInd w:val="0"/>
        <w:spacing w:after="0" w:line="240" w:lineRule="auto"/>
        <w:rPr>
          <w:rFonts w:ascii="Arial" w:hAnsi="Arial" w:cs="Arial"/>
          <w:sz w:val="24"/>
          <w:szCs w:val="24"/>
        </w:rPr>
      </w:pPr>
    </w:p>
    <w:p w14:paraId="749DCDD9" w14:textId="6BA2797F" w:rsidR="001C2D24" w:rsidRDefault="001C2D24" w:rsidP="001C2D24">
      <w:pPr>
        <w:spacing w:line="360" w:lineRule="auto"/>
      </w:pPr>
    </w:p>
    <w:p w14:paraId="531BF95E" w14:textId="733A6B47" w:rsidR="001C2D24" w:rsidRDefault="001C2D24">
      <w:r>
        <w:br w:type="page"/>
      </w:r>
    </w:p>
    <w:p w14:paraId="233284B9" w14:textId="62CDED50" w:rsidR="001C2D24" w:rsidRDefault="001C2D24" w:rsidP="001C2D24">
      <w:pPr>
        <w:spacing w:line="360" w:lineRule="auto"/>
      </w:pPr>
      <w:r>
        <w:lastRenderedPageBreak/>
        <w:t>Slide 12</w:t>
      </w:r>
    </w:p>
    <w:p w14:paraId="11160B07" w14:textId="15B1D3C7" w:rsidR="001C2D24" w:rsidRDefault="001C2D24" w:rsidP="001C2D24">
      <w:pPr>
        <w:spacing w:line="360" w:lineRule="auto"/>
      </w:pPr>
    </w:p>
    <w:p w14:paraId="621630AA" w14:textId="11BCF82A" w:rsidR="001C2D24" w:rsidRDefault="001C2D24" w:rsidP="001C2D24">
      <w:pPr>
        <w:spacing w:line="360" w:lineRule="auto"/>
        <w:jc w:val="center"/>
      </w:pPr>
      <w:r>
        <w:object w:dxaOrig="9600" w:dyaOrig="5401" w14:anchorId="69FC68FF">
          <v:shape id="_x0000_i1091"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91" DrawAspect="Content" ObjectID="_1712087631" r:id="rId28"/>
        </w:object>
      </w:r>
    </w:p>
    <w:p w14:paraId="19892712" w14:textId="3DAC9FC7" w:rsidR="001C2D24" w:rsidRDefault="001C2D24" w:rsidP="001C2D24">
      <w:pPr>
        <w:spacing w:line="360" w:lineRule="auto"/>
        <w:jc w:val="center"/>
      </w:pPr>
    </w:p>
    <w:p w14:paraId="5FAC370A"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kern w:val="24"/>
          <w:sz w:val="24"/>
          <w:szCs w:val="24"/>
          <w:lang w:val="en-US"/>
        </w:rPr>
      </w:pPr>
      <w:r>
        <w:rPr>
          <w:rFonts w:ascii="Times New Roman" w:eastAsia="Times New Roman" w:hAnsi="Times New Roman" w:cs="Times New Roman"/>
          <w:kern w:val="24"/>
          <w:sz w:val="24"/>
          <w:szCs w:val="24"/>
          <w:lang w:val="en-US"/>
        </w:rPr>
        <w:t>Social Science Approach</w:t>
      </w:r>
    </w:p>
    <w:p w14:paraId="6CC8572B"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proofErr w:type="gramStart"/>
      <w:r>
        <w:rPr>
          <w:rFonts w:ascii="Times New Roman" w:eastAsia="Times New Roman" w:hAnsi="Times New Roman" w:cs="Times New Roman"/>
          <w:kern w:val="24"/>
          <w:sz w:val="24"/>
          <w:szCs w:val="24"/>
          <w:lang w:val="en-US"/>
        </w:rPr>
        <w:t>Similar to</w:t>
      </w:r>
      <w:proofErr w:type="gramEnd"/>
      <w:r>
        <w:rPr>
          <w:rFonts w:ascii="Times New Roman" w:eastAsia="Times New Roman" w:hAnsi="Times New Roman" w:cs="Times New Roman"/>
          <w:kern w:val="24"/>
          <w:sz w:val="24"/>
          <w:szCs w:val="24"/>
          <w:lang w:val="en-US"/>
        </w:rPr>
        <w:t xml:space="preserve"> the theory that has been discussed above, the </w:t>
      </w:r>
      <w:r>
        <w:rPr>
          <w:rFonts w:ascii="Times New Roman" w:eastAsia="Times New Roman" w:hAnsi="Times New Roman" w:cs="Times New Roman"/>
          <w:b/>
          <w:bCs/>
          <w:i/>
          <w:iCs/>
          <w:kern w:val="24"/>
          <w:sz w:val="24"/>
          <w:szCs w:val="24"/>
          <w:lang w:val="en-US"/>
        </w:rPr>
        <w:t>social science approach</w:t>
      </w:r>
      <w:r>
        <w:rPr>
          <w:rFonts w:ascii="Times New Roman" w:eastAsia="Times New Roman" w:hAnsi="Times New Roman" w:cs="Times New Roman"/>
          <w:kern w:val="24"/>
          <w:sz w:val="24"/>
          <w:szCs w:val="24"/>
          <w:lang w:val="en-US"/>
        </w:rPr>
        <w:t xml:space="preserve"> allows a business to assess the behavioral traits of an individual. The theory tries to assess the graph of an individual who would behave in different aspects during a particular incidence. As discussed above, one of the barriers that would be faced by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during its joint venture with </w:t>
      </w:r>
      <w:r>
        <w:rPr>
          <w:rFonts w:ascii="Times New Roman" w:eastAsia="Times New Roman" w:hAnsi="Times New Roman" w:cs="Times New Roman"/>
          <w:b/>
          <w:bCs/>
          <w:i/>
          <w:iCs/>
          <w:kern w:val="24"/>
          <w:sz w:val="24"/>
          <w:szCs w:val="24"/>
          <w:lang w:val="en-US"/>
        </w:rPr>
        <w:t>Suning Commerce Group</w:t>
      </w:r>
      <w:r>
        <w:rPr>
          <w:rFonts w:ascii="Times New Roman" w:eastAsia="Times New Roman" w:hAnsi="Times New Roman" w:cs="Times New Roman"/>
          <w:kern w:val="24"/>
          <w:sz w:val="24"/>
          <w:szCs w:val="24"/>
          <w:lang w:val="en-US"/>
        </w:rPr>
        <w:t xml:space="preserve"> is related to the cultural differences observed between the organizations, as well as, between the two countries. The difference between English and Chinese cultural environment </w:t>
      </w:r>
      <w:proofErr w:type="gramStart"/>
      <w:r>
        <w:rPr>
          <w:rFonts w:ascii="Times New Roman" w:eastAsia="Times New Roman" w:hAnsi="Times New Roman" w:cs="Times New Roman"/>
          <w:kern w:val="24"/>
          <w:sz w:val="24"/>
          <w:szCs w:val="24"/>
          <w:lang w:val="en-US"/>
        </w:rPr>
        <w:t>prove</w:t>
      </w:r>
      <w:proofErr w:type="gramEnd"/>
      <w:r>
        <w:rPr>
          <w:rFonts w:ascii="Times New Roman" w:eastAsia="Times New Roman" w:hAnsi="Times New Roman" w:cs="Times New Roman"/>
          <w:kern w:val="24"/>
          <w:sz w:val="24"/>
          <w:szCs w:val="24"/>
          <w:lang w:val="en-US"/>
        </w:rPr>
        <w:t xml:space="preserve"> to be vital for a person to behave in a particular way. This is because there are a lot of factors that have impacted the person during his upbringing. These parameters include his native language, his cultural background, the culture of the organization in which he works, and so on. Therefore, the theory of </w:t>
      </w:r>
      <w:r>
        <w:rPr>
          <w:rFonts w:ascii="Times New Roman" w:eastAsia="Times New Roman" w:hAnsi="Times New Roman" w:cs="Times New Roman"/>
          <w:b/>
          <w:bCs/>
          <w:i/>
          <w:iCs/>
          <w:kern w:val="24"/>
          <w:sz w:val="24"/>
          <w:szCs w:val="24"/>
          <w:lang w:val="en-US"/>
        </w:rPr>
        <w:t>the social science approach</w:t>
      </w:r>
      <w:r>
        <w:rPr>
          <w:rFonts w:ascii="Times New Roman" w:eastAsia="Times New Roman" w:hAnsi="Times New Roman" w:cs="Times New Roman"/>
          <w:kern w:val="24"/>
          <w:sz w:val="24"/>
          <w:szCs w:val="24"/>
          <w:lang w:val="en-US"/>
        </w:rPr>
        <w:t xml:space="preserve"> assesses these cultural hurdles of communication (</w:t>
      </w:r>
      <w:r>
        <w:rPr>
          <w:rFonts w:ascii="Times New Roman" w:eastAsia="Times New Roman" w:hAnsi="Times New Roman" w:cs="Times New Roman"/>
          <w:color w:val="000000"/>
          <w:kern w:val="24"/>
          <w:sz w:val="24"/>
          <w:szCs w:val="24"/>
          <w:lang w:val="en-US"/>
        </w:rPr>
        <w:t>Lindholm</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and Mednick Myles,</w:t>
      </w:r>
      <w:r>
        <w:rPr>
          <w:rFonts w:ascii="Times New Roman" w:eastAsia="Times New Roman" w:hAnsi="Times New Roman" w:cs="Times New Roman"/>
          <w:kern w:val="24"/>
          <w:sz w:val="24"/>
          <w:szCs w:val="24"/>
          <w:lang w:val="en-US"/>
        </w:rPr>
        <w:t xml:space="preserve"> </w:t>
      </w:r>
      <w:r>
        <w:rPr>
          <w:rFonts w:ascii="Times New Roman" w:eastAsia="Times New Roman" w:hAnsi="Times New Roman" w:cs="Times New Roman"/>
          <w:color w:val="000000"/>
          <w:kern w:val="24"/>
          <w:sz w:val="24"/>
          <w:szCs w:val="24"/>
          <w:lang w:val="en-US"/>
        </w:rPr>
        <w:t>2019</w:t>
      </w:r>
      <w:r>
        <w:rPr>
          <w:rFonts w:ascii="Times New Roman" w:eastAsia="Times New Roman" w:hAnsi="Times New Roman" w:cs="Times New Roman"/>
          <w:kern w:val="24"/>
          <w:sz w:val="24"/>
          <w:szCs w:val="24"/>
          <w:lang w:val="en-US"/>
        </w:rPr>
        <w:t xml:space="preserve">). The main </w:t>
      </w:r>
      <w:r>
        <w:rPr>
          <w:rFonts w:ascii="Times New Roman" w:eastAsia="Times New Roman" w:hAnsi="Times New Roman" w:cs="Times New Roman"/>
          <w:b/>
          <w:bCs/>
          <w:i/>
          <w:iCs/>
          <w:kern w:val="24"/>
          <w:sz w:val="24"/>
          <w:szCs w:val="24"/>
          <w:lang w:val="en-US"/>
        </w:rPr>
        <w:t>advantage</w:t>
      </w:r>
      <w:r>
        <w:rPr>
          <w:rFonts w:ascii="Times New Roman" w:eastAsia="Times New Roman" w:hAnsi="Times New Roman" w:cs="Times New Roman"/>
          <w:kern w:val="24"/>
          <w:sz w:val="24"/>
          <w:szCs w:val="24"/>
          <w:lang w:val="en-US"/>
        </w:rPr>
        <w:t xml:space="preserve"> of this theory is that organizational communication gets smoother due to an understanding of cultural backgrounds. As a result of this,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shall be able to achieve its goal of effectively implementing intercultural communication modes. However, the </w:t>
      </w:r>
      <w:r>
        <w:rPr>
          <w:rFonts w:ascii="Times New Roman" w:eastAsia="Times New Roman" w:hAnsi="Times New Roman" w:cs="Times New Roman"/>
          <w:b/>
          <w:bCs/>
          <w:i/>
          <w:iCs/>
          <w:kern w:val="24"/>
          <w:sz w:val="24"/>
          <w:szCs w:val="24"/>
          <w:lang w:val="en-US"/>
        </w:rPr>
        <w:t>disadvantage</w:t>
      </w:r>
      <w:r>
        <w:rPr>
          <w:rFonts w:ascii="Times New Roman" w:eastAsia="Times New Roman" w:hAnsi="Times New Roman" w:cs="Times New Roman"/>
          <w:kern w:val="24"/>
          <w:sz w:val="24"/>
          <w:szCs w:val="24"/>
          <w:lang w:val="en-US"/>
        </w:rPr>
        <w:t xml:space="preserve"> of the process is that the factor of globalization and the mixing up of communities has not been taken into consideration.</w:t>
      </w:r>
    </w:p>
    <w:p w14:paraId="5CC4F2F9" w14:textId="77777777" w:rsidR="001C2D24" w:rsidRDefault="001C2D24" w:rsidP="001C2D24">
      <w:pPr>
        <w:autoSpaceDE w:val="0"/>
        <w:autoSpaceDN w:val="0"/>
        <w:adjustRightInd w:val="0"/>
        <w:spacing w:after="0" w:line="240" w:lineRule="auto"/>
        <w:rPr>
          <w:rFonts w:ascii="Arial" w:hAnsi="Arial" w:cs="Arial"/>
          <w:sz w:val="24"/>
          <w:szCs w:val="24"/>
        </w:rPr>
      </w:pPr>
    </w:p>
    <w:p w14:paraId="227A5EA6" w14:textId="0AAA1918" w:rsidR="001C2D24" w:rsidRDefault="001C2D24" w:rsidP="001C2D24">
      <w:pPr>
        <w:spacing w:line="360" w:lineRule="auto"/>
      </w:pPr>
    </w:p>
    <w:p w14:paraId="3A917101" w14:textId="78A9118C" w:rsidR="001C2D24" w:rsidRDefault="001C2D24">
      <w:r>
        <w:br w:type="page"/>
      </w:r>
    </w:p>
    <w:p w14:paraId="09130E11" w14:textId="54F14960" w:rsidR="001C2D24" w:rsidRDefault="001C2D24" w:rsidP="001C2D24">
      <w:pPr>
        <w:spacing w:line="360" w:lineRule="auto"/>
      </w:pPr>
      <w:r>
        <w:lastRenderedPageBreak/>
        <w:t>Slide 13</w:t>
      </w:r>
    </w:p>
    <w:p w14:paraId="4798CD8D" w14:textId="4C1286B8" w:rsidR="001C2D24" w:rsidRDefault="001C2D24" w:rsidP="001C2D24">
      <w:pPr>
        <w:spacing w:line="360" w:lineRule="auto"/>
      </w:pPr>
    </w:p>
    <w:p w14:paraId="7DC71B47" w14:textId="70F9DC5E" w:rsidR="001C2D24" w:rsidRDefault="001C2D24" w:rsidP="001C2D24">
      <w:pPr>
        <w:spacing w:line="360" w:lineRule="auto"/>
        <w:jc w:val="center"/>
      </w:pPr>
      <w:r>
        <w:object w:dxaOrig="9600" w:dyaOrig="5401" w14:anchorId="24F6C185">
          <v:shape id="_x0000_i1097"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97" DrawAspect="Content" ObjectID="_1712087632" r:id="rId30"/>
        </w:object>
      </w:r>
    </w:p>
    <w:p w14:paraId="3C87EC06" w14:textId="45766EFB" w:rsidR="001C2D24" w:rsidRDefault="001C2D24" w:rsidP="001C2D24">
      <w:pPr>
        <w:spacing w:line="360" w:lineRule="auto"/>
        <w:jc w:val="center"/>
      </w:pPr>
    </w:p>
    <w:p w14:paraId="7F38D9AC"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Recommendations</w:t>
      </w:r>
    </w:p>
    <w:p w14:paraId="4303A01C"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Based on the discussion being carried out above, some of the recommendations have been made to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These have arisen as a result of an assessment of various intercultural communication factors. These suggestions are as </w:t>
      </w:r>
      <w:proofErr w:type="gramStart"/>
      <w:r>
        <w:rPr>
          <w:rFonts w:ascii="Times New Roman" w:eastAsia="Times New Roman" w:hAnsi="Times New Roman" w:cs="Times New Roman"/>
          <w:kern w:val="24"/>
          <w:sz w:val="24"/>
          <w:szCs w:val="24"/>
          <w:lang w:val="en-US"/>
        </w:rPr>
        <w:t>follows:-</w:t>
      </w:r>
      <w:proofErr w:type="gramEnd"/>
    </w:p>
    <w:p w14:paraId="7D221920" w14:textId="77777777" w:rsidR="001C2D24" w:rsidRDefault="001C2D24" w:rsidP="001C2D24">
      <w:pPr>
        <w:numPr>
          <w:ilvl w:val="0"/>
          <w:numId w:val="1"/>
        </w:numPr>
        <w:autoSpaceDE w:val="0"/>
        <w:autoSpaceDN w:val="0"/>
        <w:adjustRightInd w:val="0"/>
        <w:spacing w:after="0" w:line="240" w:lineRule="auto"/>
        <w:ind w:left="540" w:hanging="540"/>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The organization needs to implement a cultural exchange program on a trial basis. It might send its employees to get acclimatized with the Chinese corporate environment. This shall allow the organization to have a better idea of the same and all the nuances could be incorporated effectively during intercultural communication.</w:t>
      </w:r>
    </w:p>
    <w:p w14:paraId="202AE15B" w14:textId="77777777" w:rsidR="001C2D24" w:rsidRDefault="001C2D24" w:rsidP="001C2D24">
      <w:pPr>
        <w:numPr>
          <w:ilvl w:val="0"/>
          <w:numId w:val="1"/>
        </w:numPr>
        <w:autoSpaceDE w:val="0"/>
        <w:autoSpaceDN w:val="0"/>
        <w:adjustRightInd w:val="0"/>
        <w:spacing w:after="0" w:line="240" w:lineRule="auto"/>
        <w:ind w:left="540" w:hanging="540"/>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It is immensely important to carry out a continuous assessment of varying corporate and business cultures within the Chinese market. This shall allow the organization to know the Dos and Don’ts.</w:t>
      </w:r>
    </w:p>
    <w:p w14:paraId="281415EF" w14:textId="77777777" w:rsidR="001C2D24" w:rsidRDefault="001C2D24" w:rsidP="001C2D24">
      <w:pPr>
        <w:numPr>
          <w:ilvl w:val="0"/>
          <w:numId w:val="1"/>
        </w:numPr>
        <w:autoSpaceDE w:val="0"/>
        <w:autoSpaceDN w:val="0"/>
        <w:adjustRightInd w:val="0"/>
        <w:spacing w:after="0" w:line="240" w:lineRule="auto"/>
        <w:ind w:left="540" w:hanging="540"/>
        <w:jc w:val="both"/>
        <w:rPr>
          <w:rFonts w:ascii="Times New Roman" w:eastAsia="Times New Roman" w:hAnsi="Times New Roman" w:cs="Times New Roman"/>
          <w:kern w:val="24"/>
          <w:sz w:val="24"/>
          <w:szCs w:val="24"/>
          <w:lang w:val="en-US"/>
        </w:rPr>
      </w:pPr>
      <w:proofErr w:type="gramStart"/>
      <w:r>
        <w:rPr>
          <w:rFonts w:ascii="Times New Roman" w:eastAsia="Times New Roman" w:hAnsi="Times New Roman" w:cs="Times New Roman"/>
          <w:kern w:val="24"/>
          <w:sz w:val="24"/>
          <w:szCs w:val="24"/>
          <w:lang w:val="en-US"/>
        </w:rPr>
        <w:t>Similar to</w:t>
      </w:r>
      <w:proofErr w:type="gramEnd"/>
      <w:r>
        <w:rPr>
          <w:rFonts w:ascii="Times New Roman" w:eastAsia="Times New Roman" w:hAnsi="Times New Roman" w:cs="Times New Roman"/>
          <w:kern w:val="24"/>
          <w:sz w:val="24"/>
          <w:szCs w:val="24"/>
          <w:lang w:val="en-US"/>
        </w:rPr>
        <w:t xml:space="preserve"> the cultural exchange programs, the organization might also host personnel of </w:t>
      </w:r>
      <w:r>
        <w:rPr>
          <w:rFonts w:ascii="Times New Roman" w:eastAsia="Times New Roman" w:hAnsi="Times New Roman" w:cs="Times New Roman"/>
          <w:b/>
          <w:bCs/>
          <w:i/>
          <w:iCs/>
          <w:kern w:val="24"/>
          <w:sz w:val="24"/>
          <w:szCs w:val="24"/>
          <w:lang w:val="en-US"/>
        </w:rPr>
        <w:t>Suning Commerce Group</w:t>
      </w:r>
      <w:r>
        <w:rPr>
          <w:rFonts w:ascii="Times New Roman" w:eastAsia="Times New Roman" w:hAnsi="Times New Roman" w:cs="Times New Roman"/>
          <w:kern w:val="24"/>
          <w:sz w:val="24"/>
          <w:szCs w:val="24"/>
          <w:lang w:val="en-US"/>
        </w:rPr>
        <w:t xml:space="preserve"> for a specified period. This shall give an idea to the Chinese companies as well regarding the expectations of the organization.</w:t>
      </w:r>
    </w:p>
    <w:p w14:paraId="259A3C4E" w14:textId="77777777" w:rsidR="001C2D24" w:rsidRDefault="001C2D24" w:rsidP="001C2D24">
      <w:pPr>
        <w:numPr>
          <w:ilvl w:val="0"/>
          <w:numId w:val="1"/>
        </w:numPr>
        <w:autoSpaceDE w:val="0"/>
        <w:autoSpaceDN w:val="0"/>
        <w:adjustRightInd w:val="0"/>
        <w:spacing w:after="0" w:line="240" w:lineRule="auto"/>
        <w:ind w:left="540" w:hanging="540"/>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Theoretical approaches and frameworks should be studied and followed keenly by the business so that the implementation of effective intercultural communicative ideas becomes possible.</w:t>
      </w:r>
    </w:p>
    <w:p w14:paraId="290844F1" w14:textId="77777777" w:rsidR="001C2D24" w:rsidRDefault="001C2D24" w:rsidP="001C2D24">
      <w:pPr>
        <w:autoSpaceDE w:val="0"/>
        <w:autoSpaceDN w:val="0"/>
        <w:adjustRightInd w:val="0"/>
        <w:spacing w:after="0" w:line="240" w:lineRule="auto"/>
        <w:rPr>
          <w:rFonts w:ascii="Arial" w:hAnsi="Arial" w:cs="Arial"/>
          <w:sz w:val="24"/>
          <w:szCs w:val="24"/>
        </w:rPr>
      </w:pPr>
    </w:p>
    <w:p w14:paraId="6B8C73FD" w14:textId="533103D8" w:rsidR="001C2D24" w:rsidRDefault="001C2D24" w:rsidP="001C2D24">
      <w:pPr>
        <w:spacing w:line="360" w:lineRule="auto"/>
      </w:pPr>
    </w:p>
    <w:p w14:paraId="1A6D4592" w14:textId="6D12AC2E" w:rsidR="001C2D24" w:rsidRDefault="001C2D24">
      <w:r>
        <w:br w:type="page"/>
      </w:r>
    </w:p>
    <w:p w14:paraId="00645F1F" w14:textId="4A305919" w:rsidR="001C2D24" w:rsidRDefault="001C2D24" w:rsidP="001C2D24">
      <w:pPr>
        <w:spacing w:line="360" w:lineRule="auto"/>
      </w:pPr>
      <w:r>
        <w:lastRenderedPageBreak/>
        <w:t>Slide 14</w:t>
      </w:r>
    </w:p>
    <w:p w14:paraId="3BD6E395" w14:textId="3DE59A41" w:rsidR="001C2D24" w:rsidRDefault="001C2D24" w:rsidP="001C2D24">
      <w:pPr>
        <w:spacing w:line="360" w:lineRule="auto"/>
      </w:pPr>
    </w:p>
    <w:p w14:paraId="2C5B8243" w14:textId="2FC33DC2" w:rsidR="001C2D24" w:rsidRDefault="001C2D24" w:rsidP="001C2D24">
      <w:pPr>
        <w:spacing w:line="360" w:lineRule="auto"/>
        <w:jc w:val="center"/>
      </w:pPr>
      <w:r>
        <w:object w:dxaOrig="9600" w:dyaOrig="5401" w14:anchorId="17954516">
          <v:shape id="_x0000_i1103"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103" DrawAspect="Content" ObjectID="_1712087633" r:id="rId32"/>
        </w:object>
      </w:r>
    </w:p>
    <w:p w14:paraId="702519BC" w14:textId="5A592E77" w:rsidR="001C2D24" w:rsidRDefault="001C2D24" w:rsidP="001C2D24">
      <w:pPr>
        <w:spacing w:line="360" w:lineRule="auto"/>
        <w:jc w:val="center"/>
      </w:pPr>
    </w:p>
    <w:p w14:paraId="1EAF5574"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Conclusion</w:t>
      </w:r>
    </w:p>
    <w:p w14:paraId="476E00A8"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This presentation has thrown some light on the international expansion strategies needed to be implemented by the organization under consideration. It is also evident through this presentation that while expanding in the international market, an organization faces several hindrances. These hindrances majorly occur due to cultural differences, conflicts, and many other aspects. Many times, an organization is unable to cope with the cultural advancements and cultural gaps existing within the countries. These cultural gaps become essential to understand from the point of view of a business before initiating an international partnership. The presentation has thrown some light on cultural challenges faced by </w:t>
      </w:r>
      <w:r>
        <w:rPr>
          <w:rFonts w:ascii="Times New Roman" w:eastAsia="Times New Roman" w:hAnsi="Times New Roman" w:cs="Times New Roman"/>
          <w:b/>
          <w:bCs/>
          <w:i/>
          <w:iCs/>
          <w:kern w:val="24"/>
          <w:sz w:val="24"/>
          <w:szCs w:val="24"/>
          <w:lang w:val="en-US"/>
        </w:rPr>
        <w:t>Morrisons</w:t>
      </w:r>
      <w:r>
        <w:rPr>
          <w:rFonts w:ascii="Times New Roman" w:eastAsia="Times New Roman" w:hAnsi="Times New Roman" w:cs="Times New Roman"/>
          <w:kern w:val="24"/>
          <w:sz w:val="24"/>
          <w:szCs w:val="24"/>
          <w:lang w:val="en-US"/>
        </w:rPr>
        <w:t xml:space="preserve"> in China while partnering with local retailing giant Alibaba and further, the presentation has also thrown some light on the probable hurdles and way-outs to face the same. Finally, the presentation has concluded by recommending some solutions to the said organization so that it can expand successfully.</w:t>
      </w:r>
    </w:p>
    <w:p w14:paraId="621C0BBD" w14:textId="77777777" w:rsidR="001C2D24" w:rsidRDefault="001C2D24" w:rsidP="001C2D24">
      <w:pPr>
        <w:autoSpaceDE w:val="0"/>
        <w:autoSpaceDN w:val="0"/>
        <w:adjustRightInd w:val="0"/>
        <w:spacing w:after="0" w:line="240" w:lineRule="auto"/>
        <w:rPr>
          <w:rFonts w:ascii="Arial" w:hAnsi="Arial" w:cs="Arial"/>
          <w:sz w:val="24"/>
          <w:szCs w:val="24"/>
        </w:rPr>
      </w:pPr>
    </w:p>
    <w:p w14:paraId="2A587E19" w14:textId="68FB4246" w:rsidR="001C2D24" w:rsidRDefault="001C2D24" w:rsidP="001C2D24">
      <w:pPr>
        <w:spacing w:line="360" w:lineRule="auto"/>
      </w:pPr>
    </w:p>
    <w:p w14:paraId="0A2A77DC" w14:textId="1A44F323" w:rsidR="001C2D24" w:rsidRDefault="001C2D24">
      <w:r>
        <w:br w:type="page"/>
      </w:r>
    </w:p>
    <w:p w14:paraId="623052BD" w14:textId="0C44AE11" w:rsidR="001C2D24" w:rsidRDefault="001C2D24" w:rsidP="001C2D24">
      <w:pPr>
        <w:spacing w:line="360" w:lineRule="auto"/>
      </w:pPr>
      <w:r>
        <w:lastRenderedPageBreak/>
        <w:t>Slide 15</w:t>
      </w:r>
    </w:p>
    <w:p w14:paraId="41D676DA" w14:textId="5B9A5745" w:rsidR="001C2D24" w:rsidRDefault="001C2D24" w:rsidP="001C2D24">
      <w:pPr>
        <w:spacing w:line="360" w:lineRule="auto"/>
      </w:pPr>
    </w:p>
    <w:p w14:paraId="4B12D63F" w14:textId="23A13169" w:rsidR="001C2D24" w:rsidRDefault="001C2D24" w:rsidP="001C2D24">
      <w:pPr>
        <w:spacing w:line="360" w:lineRule="auto"/>
        <w:jc w:val="center"/>
      </w:pPr>
      <w:r>
        <w:object w:dxaOrig="9600" w:dyaOrig="5401" w14:anchorId="2CD79E4E">
          <v:shape id="_x0000_i1109"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109" DrawAspect="Content" ObjectID="_1712087634" r:id="rId34"/>
        </w:object>
      </w:r>
    </w:p>
    <w:p w14:paraId="79F1605C" w14:textId="3C0A93BF" w:rsidR="001C2D24" w:rsidRDefault="001C2D24" w:rsidP="001C2D24">
      <w:pPr>
        <w:spacing w:line="360" w:lineRule="auto"/>
        <w:jc w:val="center"/>
      </w:pPr>
    </w:p>
    <w:p w14:paraId="6D396C18"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References</w:t>
      </w:r>
    </w:p>
    <w:p w14:paraId="4EF4CD94"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groceries.morrisons.com, 2022. [Online]. Available at: &lt;https://groceries.morrisons.com/&gt; Accessed on: [20</w:t>
      </w:r>
      <w:r>
        <w:rPr>
          <w:rFonts w:ascii="Times New Roman" w:eastAsia="Times New Roman" w:hAnsi="Times New Roman" w:cs="Times New Roman"/>
          <w:kern w:val="24"/>
          <w:sz w:val="24"/>
          <w:szCs w:val="24"/>
          <w:vertAlign w:val="superscript"/>
          <w:lang w:val="en-US"/>
        </w:rPr>
        <w:t>th</w:t>
      </w:r>
      <w:r>
        <w:rPr>
          <w:rFonts w:ascii="Times New Roman" w:eastAsia="Times New Roman" w:hAnsi="Times New Roman" w:cs="Times New Roman"/>
          <w:kern w:val="24"/>
          <w:sz w:val="24"/>
          <w:szCs w:val="24"/>
          <w:lang w:val="en-US"/>
        </w:rPr>
        <w:t xml:space="preserve"> April 2022].</w:t>
      </w:r>
    </w:p>
    <w:p w14:paraId="207F8028"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color w:val="000000"/>
          <w:kern w:val="24"/>
          <w:sz w:val="24"/>
          <w:szCs w:val="24"/>
          <w:lang w:val="en-US"/>
        </w:rPr>
        <w:t xml:space="preserve">Lin, F.J., and Ho, C.W., 2019. The knowledge of entry mode decisions for small and medium enterprises. </w:t>
      </w:r>
      <w:r>
        <w:rPr>
          <w:rFonts w:ascii="Times New Roman" w:eastAsia="Times New Roman" w:hAnsi="Times New Roman" w:cs="Times New Roman"/>
          <w:i/>
          <w:iCs/>
          <w:color w:val="000000"/>
          <w:kern w:val="24"/>
          <w:sz w:val="24"/>
          <w:szCs w:val="24"/>
          <w:lang w:val="en-US"/>
        </w:rPr>
        <w:t>Journal of Innovation &amp; Knowledge</w:t>
      </w:r>
      <w:r>
        <w:rPr>
          <w:rFonts w:ascii="Times New Roman" w:eastAsia="Times New Roman" w:hAnsi="Times New Roman" w:cs="Times New Roman"/>
          <w:color w:val="000000"/>
          <w:kern w:val="24"/>
          <w:sz w:val="24"/>
          <w:szCs w:val="24"/>
          <w:lang w:val="en-US"/>
        </w:rPr>
        <w:t>, </w:t>
      </w:r>
      <w:r>
        <w:rPr>
          <w:rFonts w:ascii="Times New Roman" w:eastAsia="Times New Roman" w:hAnsi="Times New Roman" w:cs="Times New Roman"/>
          <w:i/>
          <w:iCs/>
          <w:color w:val="000000"/>
          <w:kern w:val="24"/>
          <w:sz w:val="24"/>
          <w:szCs w:val="24"/>
          <w:lang w:val="en-US"/>
        </w:rPr>
        <w:t>4</w:t>
      </w:r>
      <w:r>
        <w:rPr>
          <w:rFonts w:ascii="Times New Roman" w:eastAsia="Times New Roman" w:hAnsi="Times New Roman" w:cs="Times New Roman"/>
          <w:color w:val="000000"/>
          <w:kern w:val="24"/>
          <w:sz w:val="24"/>
          <w:szCs w:val="24"/>
          <w:lang w:val="en-US"/>
        </w:rPr>
        <w:t>(1), pp.32-37.</w:t>
      </w:r>
    </w:p>
    <w:p w14:paraId="56644CC1"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color w:val="000000"/>
          <w:kern w:val="24"/>
          <w:sz w:val="24"/>
          <w:szCs w:val="24"/>
          <w:lang w:val="en-US"/>
        </w:rPr>
        <w:t>Lindholm, T., and Mednick Myles, J., 2019. Navigating the intercultural classroom. </w:t>
      </w:r>
      <w:r>
        <w:rPr>
          <w:rFonts w:ascii="Times New Roman" w:eastAsia="Times New Roman" w:hAnsi="Times New Roman" w:cs="Times New Roman"/>
          <w:i/>
          <w:iCs/>
          <w:color w:val="000000"/>
          <w:kern w:val="24"/>
          <w:sz w:val="24"/>
          <w:szCs w:val="24"/>
          <w:lang w:val="en-US"/>
        </w:rPr>
        <w:t>TẠP CHÍ NGHIÊN CỨU NƯỚC NGOÀI</w:t>
      </w:r>
      <w:r>
        <w:rPr>
          <w:rFonts w:ascii="Times New Roman" w:eastAsia="Times New Roman" w:hAnsi="Times New Roman" w:cs="Times New Roman"/>
          <w:color w:val="000000"/>
          <w:kern w:val="24"/>
          <w:sz w:val="24"/>
          <w:szCs w:val="24"/>
          <w:lang w:val="en-US"/>
        </w:rPr>
        <w:t>, p.180.</w:t>
      </w:r>
    </w:p>
    <w:p w14:paraId="60E17A3A"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color w:val="000000"/>
          <w:kern w:val="24"/>
          <w:sz w:val="24"/>
          <w:szCs w:val="24"/>
          <w:lang w:val="en-US"/>
        </w:rPr>
        <w:t>Meares, M.M., and Bennett, J.M., 2020. Cross-cultural management and intercultural communication. </w:t>
      </w:r>
      <w:r>
        <w:rPr>
          <w:rFonts w:ascii="Times New Roman" w:eastAsia="Times New Roman" w:hAnsi="Times New Roman" w:cs="Times New Roman"/>
          <w:i/>
          <w:iCs/>
          <w:color w:val="000000"/>
          <w:kern w:val="24"/>
          <w:sz w:val="24"/>
          <w:szCs w:val="24"/>
          <w:lang w:val="en-US"/>
        </w:rPr>
        <w:t>The SAGE handbook of contemporary cross-cultural management</w:t>
      </w:r>
      <w:r>
        <w:rPr>
          <w:rFonts w:ascii="Times New Roman" w:eastAsia="Times New Roman" w:hAnsi="Times New Roman" w:cs="Times New Roman"/>
          <w:color w:val="000000"/>
          <w:kern w:val="24"/>
          <w:sz w:val="24"/>
          <w:szCs w:val="24"/>
          <w:lang w:val="en-US"/>
        </w:rPr>
        <w:t>, pp.313-325.</w:t>
      </w:r>
    </w:p>
    <w:p w14:paraId="451AF569"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statista.com, 2022. [Online]. </w:t>
      </w:r>
      <w:r>
        <w:rPr>
          <w:rFonts w:ascii="Times New Roman" w:eastAsia="Times New Roman" w:hAnsi="Times New Roman" w:cs="Times New Roman"/>
          <w:i/>
          <w:iCs/>
          <w:kern w:val="24"/>
          <w:sz w:val="24"/>
          <w:szCs w:val="24"/>
          <w:lang w:val="en-US"/>
        </w:rPr>
        <w:t>Total population of China from 1980 to 2021 with forecasts until 2027</w:t>
      </w:r>
      <w:r>
        <w:rPr>
          <w:rFonts w:ascii="Times New Roman" w:eastAsia="Times New Roman" w:hAnsi="Times New Roman" w:cs="Times New Roman"/>
          <w:kern w:val="24"/>
          <w:sz w:val="24"/>
          <w:szCs w:val="24"/>
          <w:lang w:val="en-US"/>
        </w:rPr>
        <w:t>. Available at: &lt;https://www.statista.com/statistics/263765/total-population-of-china/&gt; Accessed on: [20</w:t>
      </w:r>
      <w:r>
        <w:rPr>
          <w:rFonts w:ascii="Times New Roman" w:eastAsia="Times New Roman" w:hAnsi="Times New Roman" w:cs="Times New Roman"/>
          <w:kern w:val="24"/>
          <w:sz w:val="24"/>
          <w:szCs w:val="24"/>
          <w:vertAlign w:val="superscript"/>
          <w:lang w:val="en-US"/>
        </w:rPr>
        <w:t>th</w:t>
      </w:r>
      <w:r>
        <w:rPr>
          <w:rFonts w:ascii="Times New Roman" w:eastAsia="Times New Roman" w:hAnsi="Times New Roman" w:cs="Times New Roman"/>
          <w:kern w:val="24"/>
          <w:sz w:val="24"/>
          <w:szCs w:val="24"/>
          <w:lang w:val="en-US"/>
        </w:rPr>
        <w:t xml:space="preserve"> April 2022].</w:t>
      </w:r>
    </w:p>
    <w:p w14:paraId="36459E07"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statista.com, 2022. [Online]. </w:t>
      </w:r>
      <w:r>
        <w:rPr>
          <w:rFonts w:ascii="Times New Roman" w:eastAsia="Times New Roman" w:hAnsi="Times New Roman" w:cs="Times New Roman"/>
          <w:i/>
          <w:iCs/>
          <w:kern w:val="24"/>
          <w:sz w:val="24"/>
          <w:szCs w:val="24"/>
          <w:lang w:val="en-US"/>
        </w:rPr>
        <w:t>Total population of the United Kingdom (UK) from 2015 to 2025</w:t>
      </w:r>
      <w:r>
        <w:rPr>
          <w:rFonts w:ascii="Times New Roman" w:eastAsia="Times New Roman" w:hAnsi="Times New Roman" w:cs="Times New Roman"/>
          <w:kern w:val="24"/>
          <w:sz w:val="24"/>
          <w:szCs w:val="24"/>
          <w:lang w:val="en-US"/>
        </w:rPr>
        <w:t>. Available at: &lt;https://www.statista.com/statistics/263754/total-population-of-the-united-kingdom/&gt; Accessed on: [20</w:t>
      </w:r>
      <w:r>
        <w:rPr>
          <w:rFonts w:ascii="Times New Roman" w:eastAsia="Times New Roman" w:hAnsi="Times New Roman" w:cs="Times New Roman"/>
          <w:kern w:val="24"/>
          <w:sz w:val="24"/>
          <w:szCs w:val="24"/>
          <w:vertAlign w:val="superscript"/>
          <w:lang w:val="en-US"/>
        </w:rPr>
        <w:t>th</w:t>
      </w:r>
      <w:r>
        <w:rPr>
          <w:rFonts w:ascii="Times New Roman" w:eastAsia="Times New Roman" w:hAnsi="Times New Roman" w:cs="Times New Roman"/>
          <w:kern w:val="24"/>
          <w:sz w:val="24"/>
          <w:szCs w:val="24"/>
          <w:lang w:val="en-US"/>
        </w:rPr>
        <w:t xml:space="preserve"> April 2022].</w:t>
      </w:r>
    </w:p>
    <w:p w14:paraId="27CC4710"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suning.com, 2022. [Online]. Available at: &lt;https://www.suning.com/&gt; Accessed on: [20</w:t>
      </w:r>
      <w:r>
        <w:rPr>
          <w:rFonts w:ascii="Times New Roman" w:eastAsia="Times New Roman" w:hAnsi="Times New Roman" w:cs="Times New Roman"/>
          <w:kern w:val="24"/>
          <w:sz w:val="24"/>
          <w:szCs w:val="24"/>
          <w:vertAlign w:val="superscript"/>
          <w:lang w:val="en-US"/>
        </w:rPr>
        <w:t>th</w:t>
      </w:r>
      <w:r>
        <w:rPr>
          <w:rFonts w:ascii="Times New Roman" w:eastAsia="Times New Roman" w:hAnsi="Times New Roman" w:cs="Times New Roman"/>
          <w:kern w:val="24"/>
          <w:sz w:val="24"/>
          <w:szCs w:val="24"/>
          <w:lang w:val="en-US"/>
        </w:rPr>
        <w:t xml:space="preserve"> April 2022].</w:t>
      </w:r>
    </w:p>
    <w:p w14:paraId="62CF0674"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color w:val="000000"/>
          <w:kern w:val="24"/>
          <w:sz w:val="24"/>
          <w:szCs w:val="24"/>
          <w:lang w:val="en-US"/>
        </w:rPr>
        <w:t>Tam, G.A., 2020. </w:t>
      </w:r>
      <w:r>
        <w:rPr>
          <w:rFonts w:ascii="Times New Roman" w:eastAsia="Times New Roman" w:hAnsi="Times New Roman" w:cs="Times New Roman"/>
          <w:i/>
          <w:iCs/>
          <w:color w:val="000000"/>
          <w:kern w:val="24"/>
          <w:sz w:val="24"/>
          <w:szCs w:val="24"/>
          <w:lang w:val="en-US"/>
        </w:rPr>
        <w:t>Dialect and Nationalism in China, 1860–1960</w:t>
      </w:r>
      <w:r>
        <w:rPr>
          <w:rFonts w:ascii="Times New Roman" w:eastAsia="Times New Roman" w:hAnsi="Times New Roman" w:cs="Times New Roman"/>
          <w:color w:val="000000"/>
          <w:kern w:val="24"/>
          <w:sz w:val="24"/>
          <w:szCs w:val="24"/>
          <w:lang w:val="en-US"/>
        </w:rPr>
        <w:t>. Cambridge University Press.</w:t>
      </w:r>
    </w:p>
    <w:p w14:paraId="3B378195" w14:textId="77777777" w:rsidR="001C2D24" w:rsidRDefault="001C2D24" w:rsidP="001C2D24">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color w:val="000000"/>
          <w:kern w:val="24"/>
          <w:sz w:val="24"/>
          <w:szCs w:val="24"/>
          <w:lang w:val="en-US"/>
        </w:rPr>
        <w:t>Tyagi, M., Sharma, R., Gupta, P., Sinha, V., and Tyagi, N., 2019. TQM: A Philosophy of Business Expansion by Increasing Productivity. </w:t>
      </w:r>
      <w:r>
        <w:rPr>
          <w:rFonts w:ascii="Times New Roman" w:eastAsia="Times New Roman" w:hAnsi="Times New Roman" w:cs="Times New Roman"/>
          <w:i/>
          <w:iCs/>
          <w:color w:val="000000"/>
          <w:kern w:val="24"/>
          <w:sz w:val="24"/>
          <w:szCs w:val="24"/>
          <w:lang w:val="en-US"/>
        </w:rPr>
        <w:t>International Journal of Research in Engineering, IT and Social Sciences</w:t>
      </w:r>
      <w:r>
        <w:rPr>
          <w:rFonts w:ascii="Times New Roman" w:eastAsia="Times New Roman" w:hAnsi="Times New Roman" w:cs="Times New Roman"/>
          <w:color w:val="000000"/>
          <w:kern w:val="24"/>
          <w:sz w:val="24"/>
          <w:szCs w:val="24"/>
          <w:lang w:val="en-US"/>
        </w:rPr>
        <w:t>.</w:t>
      </w:r>
    </w:p>
    <w:p w14:paraId="5B730B1E" w14:textId="77777777" w:rsidR="001C2D24" w:rsidRDefault="001C2D24" w:rsidP="001C2D24">
      <w:pPr>
        <w:autoSpaceDE w:val="0"/>
        <w:autoSpaceDN w:val="0"/>
        <w:adjustRightInd w:val="0"/>
        <w:spacing w:after="0" w:line="240" w:lineRule="auto"/>
        <w:rPr>
          <w:rFonts w:ascii="Arial" w:hAnsi="Arial" w:cs="Arial"/>
          <w:sz w:val="24"/>
          <w:szCs w:val="24"/>
        </w:rPr>
      </w:pPr>
    </w:p>
    <w:p w14:paraId="7CD2D6A2" w14:textId="677E5D81" w:rsidR="001C2D24" w:rsidRDefault="001C2D24" w:rsidP="001C2D24">
      <w:pPr>
        <w:spacing w:line="360" w:lineRule="auto"/>
      </w:pPr>
    </w:p>
    <w:p w14:paraId="75D6155F" w14:textId="30FED2DA" w:rsidR="001C2D24" w:rsidRDefault="001C2D24">
      <w:r>
        <w:br w:type="page"/>
      </w:r>
    </w:p>
    <w:p w14:paraId="3AEBBA0E" w14:textId="3886EE8E" w:rsidR="001C2D24" w:rsidRDefault="001C2D24" w:rsidP="001C2D24">
      <w:pPr>
        <w:spacing w:line="360" w:lineRule="auto"/>
      </w:pPr>
      <w:r>
        <w:lastRenderedPageBreak/>
        <w:t>Slide 16</w:t>
      </w:r>
    </w:p>
    <w:p w14:paraId="2B7A9601" w14:textId="18D9731E" w:rsidR="001C2D24" w:rsidRDefault="001C2D24" w:rsidP="001C2D24">
      <w:pPr>
        <w:spacing w:line="360" w:lineRule="auto"/>
      </w:pPr>
    </w:p>
    <w:p w14:paraId="6921F5B3" w14:textId="6308C023" w:rsidR="001C2D24" w:rsidRDefault="001C2D24" w:rsidP="001C2D24">
      <w:pPr>
        <w:spacing w:line="360" w:lineRule="auto"/>
        <w:jc w:val="center"/>
      </w:pPr>
      <w:r>
        <w:object w:dxaOrig="9600" w:dyaOrig="5401" w14:anchorId="71D3F541">
          <v:shape id="_x0000_i1115" type="#_x0000_t75" style="width:5in;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115" DrawAspect="Content" ObjectID="_1712087635" r:id="rId36"/>
        </w:object>
      </w:r>
    </w:p>
    <w:p w14:paraId="61BFE7B0" w14:textId="1A283723" w:rsidR="001C2D24" w:rsidRDefault="001C2D24" w:rsidP="001C2D24">
      <w:pPr>
        <w:spacing w:line="360" w:lineRule="auto"/>
        <w:jc w:val="center"/>
      </w:pPr>
    </w:p>
    <w:p w14:paraId="13D7F848" w14:textId="5F5CAF55" w:rsidR="001C2D24" w:rsidRDefault="001C2D24" w:rsidP="001C2D24">
      <w:pPr>
        <w:spacing w:line="360" w:lineRule="auto"/>
      </w:pPr>
    </w:p>
    <w:p w14:paraId="01BF2D2B" w14:textId="77777777" w:rsidR="001C2D24" w:rsidRDefault="001C2D24" w:rsidP="001C2D24">
      <w:pPr>
        <w:spacing w:line="360" w:lineRule="auto"/>
      </w:pPr>
    </w:p>
    <w:sectPr w:rsidR="001C2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A929C9C"/>
    <w:lvl w:ilvl="0">
      <w:numFmt w:val="bullet"/>
      <w:lvlText w:val="*"/>
      <w:lvlJc w:val="left"/>
    </w:lvl>
  </w:abstractNum>
  <w:num w:numId="1">
    <w:abstractNumId w:val="0"/>
    <w:lvlOverride w:ilvl="0">
      <w:lvl w:ilvl="0">
        <w:numFmt w:val="bullet"/>
        <w:lvlText w:val="•"/>
        <w:legacy w:legacy="1" w:legacySpace="0" w:legacyIndent="0"/>
        <w:lvlJc w:val="left"/>
        <w:rPr>
          <w:rFonts w:ascii="Times New Roman" w:hAnsi="Times New Roman" w:cs="Times New Roman"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D24"/>
    <w:rsid w:val="001C2D24"/>
    <w:rsid w:val="00684BE2"/>
    <w:rsid w:val="00D9083A"/>
    <w:rsid w:val="00F2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71D8F"/>
  <w15:chartTrackingRefBased/>
  <w15:docId w15:val="{F7742C6F-5E3D-4CAD-AEAE-982962ED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package" Target="embeddings/Microsoft_PowerPoint_Slide14.sldx"/><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package" Target="embeddings/Microsoft_PowerPoint_Slide13.sldx"/><Relationship Id="rId37"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36" Type="http://schemas.openxmlformats.org/officeDocument/2006/relationships/package" Target="embeddings/Microsoft_PowerPoint_Slide15.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35"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1793</Words>
  <Characters>10224</Characters>
  <Application>Microsoft Office Word</Application>
  <DocSecurity>0</DocSecurity>
  <Lines>85</Lines>
  <Paragraphs>23</Paragraphs>
  <ScaleCrop>false</ScaleCrop>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serbu</dc:creator>
  <cp:keywords/>
  <dc:description/>
  <cp:lastModifiedBy>marian serbu</cp:lastModifiedBy>
  <cp:revision>2</cp:revision>
  <dcterms:created xsi:type="dcterms:W3CDTF">2022-04-21T20:06:00Z</dcterms:created>
  <dcterms:modified xsi:type="dcterms:W3CDTF">2022-04-21T20:06:00Z</dcterms:modified>
</cp:coreProperties>
</file>