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8ED04" w14:textId="77777777" w:rsidR="001402C3" w:rsidRPr="00694632" w:rsidRDefault="001402C3" w:rsidP="001402C3">
      <w:pPr>
        <w:jc w:val="center"/>
        <w:rPr>
          <w:rFonts w:ascii="Aptos" w:hAnsi="Aptos"/>
          <w:sz w:val="22"/>
          <w:szCs w:val="22"/>
        </w:rPr>
      </w:pPr>
      <w:r w:rsidRPr="00694632">
        <w:rPr>
          <w:rFonts w:ascii="Aptos" w:hAnsi="Aptos"/>
          <w:sz w:val="22"/>
          <w:szCs w:val="22"/>
        </w:rPr>
        <w:t>Name: Sharon Cuthbert</w:t>
      </w:r>
    </w:p>
    <w:p w14:paraId="5BD97609" w14:textId="77777777" w:rsidR="001402C3" w:rsidRPr="00694632" w:rsidRDefault="001402C3" w:rsidP="001402C3">
      <w:pPr>
        <w:jc w:val="center"/>
        <w:rPr>
          <w:rFonts w:ascii="Aptos" w:hAnsi="Aptos"/>
          <w:sz w:val="22"/>
          <w:szCs w:val="22"/>
        </w:rPr>
      </w:pPr>
      <w:r w:rsidRPr="00694632">
        <w:rPr>
          <w:rFonts w:ascii="Aptos" w:hAnsi="Aptos"/>
          <w:sz w:val="22"/>
          <w:szCs w:val="22"/>
        </w:rPr>
        <w:t>Student No: 2409782</w:t>
      </w:r>
    </w:p>
    <w:p w14:paraId="40923154" w14:textId="674BEC8D" w:rsidR="001402C3" w:rsidRPr="00694632" w:rsidRDefault="001402C3" w:rsidP="001402C3">
      <w:pPr>
        <w:jc w:val="center"/>
        <w:rPr>
          <w:rFonts w:ascii="Aptos" w:hAnsi="Aptos"/>
          <w:color w:val="EE0000"/>
          <w:sz w:val="22"/>
          <w:szCs w:val="22"/>
        </w:rPr>
      </w:pPr>
      <w:r w:rsidRPr="00694632">
        <w:rPr>
          <w:rFonts w:ascii="Aptos" w:hAnsi="Aptos"/>
          <w:sz w:val="22"/>
          <w:szCs w:val="22"/>
        </w:rPr>
        <w:t xml:space="preserve">Word Count:  </w:t>
      </w:r>
      <w:r w:rsidR="00C8002E" w:rsidRPr="00694632">
        <w:rPr>
          <w:rFonts w:ascii="Aptos" w:hAnsi="Aptos"/>
          <w:sz w:val="22"/>
          <w:szCs w:val="22"/>
        </w:rPr>
        <w:t>4,093</w:t>
      </w:r>
      <w:r w:rsidRPr="00694632">
        <w:rPr>
          <w:rFonts w:ascii="Aptos" w:hAnsi="Aptos"/>
          <w:sz w:val="22"/>
          <w:szCs w:val="22"/>
        </w:rPr>
        <w:t xml:space="preserve"> </w:t>
      </w:r>
    </w:p>
    <w:p w14:paraId="437B393C" w14:textId="09F6EEAE" w:rsidR="001402C3" w:rsidRPr="00694632" w:rsidRDefault="001402C3" w:rsidP="001402C3">
      <w:pPr>
        <w:jc w:val="center"/>
        <w:rPr>
          <w:rFonts w:ascii="Aptos" w:hAnsi="Aptos"/>
          <w:sz w:val="22"/>
          <w:szCs w:val="22"/>
        </w:rPr>
      </w:pPr>
      <w:r w:rsidRPr="00694632">
        <w:rPr>
          <w:rFonts w:ascii="Aptos" w:hAnsi="Aptos"/>
          <w:sz w:val="22"/>
          <w:szCs w:val="22"/>
        </w:rPr>
        <w:t>CIPD 5HR0</w:t>
      </w:r>
      <w:r w:rsidR="00136C3C" w:rsidRPr="00694632">
        <w:rPr>
          <w:rFonts w:ascii="Aptos" w:hAnsi="Aptos"/>
          <w:sz w:val="22"/>
          <w:szCs w:val="22"/>
        </w:rPr>
        <w:t>3</w:t>
      </w:r>
    </w:p>
    <w:p w14:paraId="79CB627A" w14:textId="4FEFDDAD" w:rsidR="00766F26" w:rsidRPr="00694632" w:rsidRDefault="00136C3C" w:rsidP="007D122A">
      <w:pPr>
        <w:jc w:val="center"/>
        <w:rPr>
          <w:rFonts w:ascii="Aptos" w:hAnsi="Aptos"/>
          <w:sz w:val="22"/>
          <w:szCs w:val="22"/>
        </w:rPr>
      </w:pPr>
      <w:r w:rsidRPr="00694632">
        <w:rPr>
          <w:rFonts w:ascii="Aptos" w:hAnsi="Aptos"/>
          <w:sz w:val="22"/>
          <w:szCs w:val="22"/>
        </w:rPr>
        <w:t>Reward for performance and contribution</w:t>
      </w:r>
    </w:p>
    <w:p w14:paraId="24017FF7" w14:textId="77777777" w:rsidR="00E23431" w:rsidRPr="00694632" w:rsidRDefault="00E23431" w:rsidP="00E23431">
      <w:pPr>
        <w:rPr>
          <w:rFonts w:ascii="Aptos" w:hAnsi="Aptos"/>
          <w:b/>
          <w:bCs/>
          <w:sz w:val="22"/>
          <w:szCs w:val="22"/>
          <w:u w:color="004147"/>
        </w:rPr>
      </w:pPr>
    </w:p>
    <w:p w14:paraId="788ABF75" w14:textId="1FAB95A9" w:rsidR="008B0026" w:rsidRPr="00694632" w:rsidRDefault="00065780" w:rsidP="004E3131">
      <w:pPr>
        <w:rPr>
          <w:rFonts w:ascii="Aptos" w:hAnsi="Aptos"/>
          <w:b/>
          <w:bCs/>
          <w:sz w:val="22"/>
          <w:szCs w:val="22"/>
          <w:u w:color="004147"/>
        </w:rPr>
      </w:pPr>
      <w:r w:rsidRPr="00694632">
        <w:rPr>
          <w:rFonts w:ascii="Aptos" w:hAnsi="Aptos"/>
          <w:b/>
          <w:bCs/>
          <w:sz w:val="22"/>
          <w:szCs w:val="22"/>
          <w:u w:color="004147"/>
        </w:rPr>
        <w:t>(</w:t>
      </w:r>
      <w:r w:rsidR="00E90025" w:rsidRPr="00694632">
        <w:rPr>
          <w:rFonts w:ascii="Aptos" w:hAnsi="Aptos"/>
          <w:b/>
          <w:bCs/>
          <w:sz w:val="22"/>
          <w:szCs w:val="22"/>
          <w:u w:color="004147"/>
        </w:rPr>
        <w:t>AC 1.1</w:t>
      </w:r>
      <w:r w:rsidRPr="00694632">
        <w:rPr>
          <w:rFonts w:ascii="Aptos" w:hAnsi="Aptos"/>
          <w:b/>
          <w:bCs/>
          <w:sz w:val="22"/>
          <w:szCs w:val="22"/>
          <w:u w:color="004147"/>
        </w:rPr>
        <w:t>)</w:t>
      </w:r>
      <w:r w:rsidR="00E90025" w:rsidRPr="00694632">
        <w:rPr>
          <w:rFonts w:ascii="Aptos" w:hAnsi="Aptos"/>
          <w:b/>
          <w:bCs/>
          <w:sz w:val="22"/>
          <w:szCs w:val="22"/>
          <w:u w:color="004147"/>
        </w:rPr>
        <w:t xml:space="preserve"> </w:t>
      </w:r>
    </w:p>
    <w:p w14:paraId="0E6BF93D"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This report has been prepared for Green Friendly Eco’s senior management team to explain key reward principles and their importance in shaping organisational culture and supporting performance. It aims to address high turnover and improve morale through more effective reward practices.</w:t>
      </w:r>
    </w:p>
    <w:p w14:paraId="5F454404"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Reward refers to the financial and non-financial returns employees receive in exchange for their contribution. The CIPD (2025) explains that reward influences employee behaviour by supporting attraction, retention and sustained engagement. Effective reward systems communicate what an organisation values and align employee behaviour with business objectives.</w:t>
      </w:r>
    </w:p>
    <w:p w14:paraId="7F4F49C1"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For Green Friendly Eco, where no incentive or recognition schemes currently exist and turnover is increasing, the lack of a structured reward framework is likely contributing to low morale and negative culture. This highlights the need to review reward principles to strengthen performance management and improve commitment.</w:t>
      </w:r>
    </w:p>
    <w:p w14:paraId="1FCD7E6E"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A key principle of effective reward is the total reward approach, recognising that employees are motivated by more than pay alone. Total reward combines extrinsic rewards (pay, bonuses, benefits) with intrinsic rewards (recognition, development opportunities, autonomy and meaningful work) (CIPD, 2025). This is relevant for Green Friendly Eco, where measured day work dominates, as it allows motivation to be enhanced without relying solely on pay increases.</w:t>
      </w:r>
    </w:p>
    <w:p w14:paraId="29780B9E"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Reward also shapes culture and performance management by reinforcing desired behaviours and outcomes. Recognition and development opportunities can foster a positive, high-trust culture, which is important given the Managing Director’s concerns about negative attitudes (CIPD, 2025).</w:t>
      </w:r>
    </w:p>
    <w:p w14:paraId="7D627513"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Employee engagement is strongly influenced by reward practices (Waite et al., 2021). The CIPD (2025) links engagement to higher motivation, commitment and discretionary effort, contributing to performance. For example, organisations like the John Lewis Partnership show how profit-sharing and recognition can reinforce values and support sustained performance.</w:t>
      </w:r>
    </w:p>
    <w:p w14:paraId="45326173"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Fairness, consistency and transparency are fundamental. Reward must comply with legislation, including equal pay and national minimum wage requirements, to be ethical and lawful (ACAS, 2023). For Green Friendly Eco, balancing internal fairness with market competitiveness is essential to rebuild trust and reduce turnover.</w:t>
      </w:r>
    </w:p>
    <w:p w14:paraId="38D142E2" w14:textId="77777777" w:rsidR="00BD38C7" w:rsidRPr="00694632" w:rsidRDefault="00BD38C7" w:rsidP="00BD38C7">
      <w:pPr>
        <w:rPr>
          <w:rFonts w:ascii="Aptos" w:hAnsi="Aptos"/>
          <w:sz w:val="22"/>
          <w:szCs w:val="22"/>
          <w:u w:color="004147"/>
        </w:rPr>
      </w:pPr>
      <w:r w:rsidRPr="00694632">
        <w:rPr>
          <w:rFonts w:ascii="Aptos" w:hAnsi="Aptos"/>
          <w:sz w:val="22"/>
          <w:szCs w:val="22"/>
          <w:u w:color="004147"/>
        </w:rPr>
        <w:t>Overall, adopting a fair, transparent and total reward approach would help improve engagement, reduce turnover and reinforce desired performance behaviours.</w:t>
      </w:r>
    </w:p>
    <w:p w14:paraId="6EE44D22" w14:textId="37420CBB" w:rsidR="00E611B6" w:rsidRPr="00694632" w:rsidRDefault="00C709DD" w:rsidP="00BA2E4F">
      <w:pPr>
        <w:rPr>
          <w:rFonts w:ascii="Aptos" w:hAnsi="Aptos"/>
          <w:b/>
          <w:bCs/>
          <w:sz w:val="22"/>
          <w:szCs w:val="22"/>
          <w:u w:color="004147"/>
        </w:rPr>
      </w:pPr>
      <w:r w:rsidRPr="00694632">
        <w:rPr>
          <w:rFonts w:ascii="Aptos" w:hAnsi="Aptos"/>
          <w:b/>
          <w:bCs/>
          <w:sz w:val="22"/>
          <w:szCs w:val="22"/>
          <w:u w:color="004147"/>
        </w:rPr>
        <w:t>(</w:t>
      </w:r>
      <w:r w:rsidR="0079311D" w:rsidRPr="00694632">
        <w:rPr>
          <w:rFonts w:ascii="Aptos" w:hAnsi="Aptos"/>
          <w:b/>
          <w:bCs/>
          <w:sz w:val="22"/>
          <w:szCs w:val="22"/>
          <w:u w:color="004147"/>
        </w:rPr>
        <w:t>AC 1.2</w:t>
      </w:r>
      <w:r w:rsidRPr="00694632">
        <w:rPr>
          <w:rFonts w:ascii="Aptos" w:hAnsi="Aptos"/>
          <w:b/>
          <w:bCs/>
          <w:sz w:val="22"/>
          <w:szCs w:val="22"/>
          <w:u w:color="004147"/>
        </w:rPr>
        <w:t>)</w:t>
      </w:r>
      <w:r w:rsidR="00EB1DFF" w:rsidRPr="00694632">
        <w:rPr>
          <w:rFonts w:ascii="Aptos" w:hAnsi="Aptos"/>
          <w:b/>
          <w:bCs/>
          <w:sz w:val="22"/>
          <w:szCs w:val="22"/>
          <w:u w:color="004147"/>
        </w:rPr>
        <w:t xml:space="preserve"> </w:t>
      </w:r>
    </w:p>
    <w:p w14:paraId="04D789B6" w14:textId="035CC077" w:rsidR="00A603F4" w:rsidRPr="00694632" w:rsidRDefault="00386929" w:rsidP="004567F1">
      <w:pPr>
        <w:rPr>
          <w:rFonts w:ascii="Aptos" w:hAnsi="Aptos"/>
          <w:sz w:val="22"/>
          <w:szCs w:val="22"/>
          <w:u w:color="004147"/>
        </w:rPr>
      </w:pPr>
      <w:r w:rsidRPr="00694632">
        <w:rPr>
          <w:rFonts w:ascii="Aptos" w:hAnsi="Aptos"/>
          <w:sz w:val="22"/>
          <w:szCs w:val="22"/>
          <w:u w:color="004147"/>
        </w:rPr>
        <w:t>Maslow’s hierarchy provides a useful framework for understanding how extrinsic and intrinsic rewards influence motivation. Extrinsic rewards, such as pay and job security, satisfy physiological and safety needs. When these needs are unmet, employees may experience stress or anxiety, reducing contribution and short-term performance (Maslow, 1943). For Green Friendly Eco, the lack of incentives and rising turnover suggests basic needs may not be fully met, meaning extrinsic rewards should be improved first to stabilise performance and reduce turnover.</w:t>
      </w:r>
      <w:r w:rsidRPr="00694632">
        <w:rPr>
          <w:rFonts w:ascii="Aptos" w:hAnsi="Aptos"/>
          <w:sz w:val="22"/>
          <w:szCs w:val="22"/>
          <w:u w:color="004147"/>
        </w:rPr>
        <w:br/>
        <w:t>Intrinsic rewards, including recognition, autonomy, development, and meaningful work, support higher-level needs like esteem and self-actualisation, enhancing engagement, creativity, and discretionary effort for sustained organisational performance (Waite et al., 2021, pp.168–169). Therefore, once hygiene factors are addressed, intrinsic rewards are required to rebuild motivation and sustain performance.</w:t>
      </w:r>
      <w:r w:rsidRPr="00694632">
        <w:rPr>
          <w:rFonts w:ascii="Aptos" w:hAnsi="Aptos"/>
          <w:sz w:val="22"/>
          <w:szCs w:val="22"/>
          <w:u w:color="004147"/>
        </w:rPr>
        <w:br/>
        <w:t>Figure 1 (below) shows Maslow’s Hierarchy of Needs as a supporting model.</w:t>
      </w:r>
    </w:p>
    <w:p w14:paraId="2B8FAF32" w14:textId="66A28BBC" w:rsidR="00B92230" w:rsidRPr="00694632" w:rsidRDefault="00B92230" w:rsidP="004567F1">
      <w:pPr>
        <w:rPr>
          <w:rFonts w:ascii="Aptos" w:hAnsi="Aptos"/>
          <w:sz w:val="22"/>
          <w:szCs w:val="22"/>
          <w:u w:color="004147"/>
        </w:rPr>
      </w:pPr>
      <w:r w:rsidRPr="00694632">
        <w:rPr>
          <w:rFonts w:ascii="Aptos" w:hAnsi="Aptos"/>
          <w:b/>
          <w:bCs/>
          <w:i/>
          <w:iCs/>
          <w:sz w:val="22"/>
          <w:szCs w:val="22"/>
          <w:u w:color="004147"/>
        </w:rPr>
        <w:t>Figure 1</w:t>
      </w:r>
      <w:r w:rsidRPr="00694632">
        <w:rPr>
          <w:rFonts w:ascii="Aptos" w:hAnsi="Aptos"/>
          <w:i/>
          <w:iCs/>
          <w:sz w:val="22"/>
          <w:szCs w:val="22"/>
          <w:u w:color="004147"/>
        </w:rPr>
        <w:t>: Maslow’s Hierarchy of Needs (Maslow, 1943)</w:t>
      </w:r>
    </w:p>
    <w:p w14:paraId="27C4B1AB" w14:textId="27CB3BD7" w:rsidR="009050C1" w:rsidRPr="00694632" w:rsidRDefault="009050C1" w:rsidP="002436BD">
      <w:pPr>
        <w:rPr>
          <w:rFonts w:ascii="Aptos" w:hAnsi="Aptos"/>
          <w:sz w:val="22"/>
          <w:szCs w:val="22"/>
          <w:u w:color="004147"/>
        </w:rPr>
      </w:pPr>
      <w:r w:rsidRPr="00694632">
        <w:rPr>
          <w:rFonts w:ascii="Aptos" w:hAnsi="Aptos"/>
          <w:noProof/>
          <w:sz w:val="22"/>
          <w:szCs w:val="22"/>
          <w:u w:color="004147"/>
        </w:rPr>
        <w:drawing>
          <wp:inline distT="0" distB="0" distL="0" distR="0" wp14:anchorId="03D00232" wp14:editId="1C7AE807">
            <wp:extent cx="2511777" cy="2425148"/>
            <wp:effectExtent l="0" t="0" r="3175" b="0"/>
            <wp:docPr id="1783202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202433" name=""/>
                    <pic:cNvPicPr/>
                  </pic:nvPicPr>
                  <pic:blipFill>
                    <a:blip r:embed="rId5"/>
                    <a:stretch>
                      <a:fillRect/>
                    </a:stretch>
                  </pic:blipFill>
                  <pic:spPr>
                    <a:xfrm>
                      <a:off x="0" y="0"/>
                      <a:ext cx="2524377" cy="2437313"/>
                    </a:xfrm>
                    <a:prstGeom prst="rect">
                      <a:avLst/>
                    </a:prstGeom>
                  </pic:spPr>
                </pic:pic>
              </a:graphicData>
            </a:graphic>
          </wp:inline>
        </w:drawing>
      </w:r>
    </w:p>
    <w:p w14:paraId="2C6B4CF2" w14:textId="77777777" w:rsidR="00C058B3" w:rsidRPr="00694632" w:rsidRDefault="00C058B3" w:rsidP="009050C1">
      <w:pPr>
        <w:jc w:val="center"/>
        <w:rPr>
          <w:rFonts w:ascii="Aptos" w:hAnsi="Aptos"/>
          <w:sz w:val="22"/>
          <w:szCs w:val="22"/>
          <w:u w:color="004147"/>
        </w:rPr>
      </w:pPr>
    </w:p>
    <w:p w14:paraId="76CA998E" w14:textId="77777777" w:rsidR="00A74ACF" w:rsidRPr="00694632" w:rsidRDefault="00A74ACF" w:rsidP="00A74ACF">
      <w:pPr>
        <w:numPr>
          <w:ilvl w:val="0"/>
          <w:numId w:val="45"/>
        </w:numPr>
        <w:rPr>
          <w:rFonts w:ascii="Aptos" w:hAnsi="Aptos"/>
          <w:sz w:val="22"/>
          <w:szCs w:val="22"/>
          <w:u w:color="004147"/>
        </w:rPr>
      </w:pPr>
      <w:r w:rsidRPr="00694632">
        <w:rPr>
          <w:rFonts w:ascii="Aptos" w:hAnsi="Aptos"/>
          <w:sz w:val="22"/>
          <w:szCs w:val="22"/>
          <w:u w:color="004147"/>
        </w:rPr>
        <w:t>Self-actualisation needs – fulfilment of potential, pursuing passions.</w:t>
      </w:r>
    </w:p>
    <w:p w14:paraId="5571CFE6" w14:textId="77777777" w:rsidR="00A74ACF" w:rsidRPr="00694632" w:rsidRDefault="00A74ACF" w:rsidP="00A74ACF">
      <w:pPr>
        <w:numPr>
          <w:ilvl w:val="0"/>
          <w:numId w:val="45"/>
        </w:numPr>
        <w:rPr>
          <w:rFonts w:ascii="Aptos" w:hAnsi="Aptos"/>
          <w:sz w:val="22"/>
          <w:szCs w:val="22"/>
          <w:u w:color="004147"/>
        </w:rPr>
      </w:pPr>
      <w:r w:rsidRPr="00694632">
        <w:rPr>
          <w:rFonts w:ascii="Aptos" w:hAnsi="Aptos"/>
          <w:sz w:val="22"/>
          <w:szCs w:val="22"/>
          <w:u w:color="004147"/>
        </w:rPr>
        <w:t>Esteem needs – recognition, status, respect from others.</w:t>
      </w:r>
    </w:p>
    <w:p w14:paraId="0A419961" w14:textId="77777777" w:rsidR="00A74ACF" w:rsidRPr="00694632" w:rsidRDefault="00A74ACF" w:rsidP="00A74ACF">
      <w:pPr>
        <w:numPr>
          <w:ilvl w:val="0"/>
          <w:numId w:val="45"/>
        </w:numPr>
        <w:rPr>
          <w:rFonts w:ascii="Aptos" w:hAnsi="Aptos"/>
          <w:sz w:val="22"/>
          <w:szCs w:val="22"/>
          <w:u w:color="004147"/>
        </w:rPr>
      </w:pPr>
      <w:r w:rsidRPr="00694632">
        <w:rPr>
          <w:rFonts w:ascii="Aptos" w:hAnsi="Aptos"/>
          <w:sz w:val="22"/>
          <w:szCs w:val="22"/>
          <w:u w:color="004147"/>
        </w:rPr>
        <w:t>Love/belonging needs – friendships, community, connection.</w:t>
      </w:r>
    </w:p>
    <w:p w14:paraId="11A5C428" w14:textId="77777777" w:rsidR="00A74ACF" w:rsidRPr="00694632" w:rsidRDefault="00A74ACF" w:rsidP="00A74ACF">
      <w:pPr>
        <w:numPr>
          <w:ilvl w:val="0"/>
          <w:numId w:val="45"/>
        </w:numPr>
        <w:rPr>
          <w:rFonts w:ascii="Aptos" w:hAnsi="Aptos"/>
          <w:sz w:val="22"/>
          <w:szCs w:val="22"/>
          <w:u w:color="004147"/>
        </w:rPr>
      </w:pPr>
      <w:r w:rsidRPr="00694632">
        <w:rPr>
          <w:rFonts w:ascii="Aptos" w:hAnsi="Aptos"/>
          <w:sz w:val="22"/>
          <w:szCs w:val="22"/>
          <w:u w:color="004147"/>
        </w:rPr>
        <w:t>Safety needs – security, safe working environment, financial stability.</w:t>
      </w:r>
    </w:p>
    <w:p w14:paraId="1F62E290" w14:textId="77777777" w:rsidR="00A74ACF" w:rsidRPr="00694632" w:rsidRDefault="00A74ACF" w:rsidP="00A74ACF">
      <w:pPr>
        <w:numPr>
          <w:ilvl w:val="0"/>
          <w:numId w:val="45"/>
        </w:numPr>
        <w:rPr>
          <w:rFonts w:ascii="Aptos" w:hAnsi="Aptos"/>
          <w:sz w:val="22"/>
          <w:szCs w:val="22"/>
          <w:u w:color="004147"/>
        </w:rPr>
      </w:pPr>
      <w:r w:rsidRPr="00694632">
        <w:rPr>
          <w:rFonts w:ascii="Aptos" w:hAnsi="Aptos"/>
          <w:sz w:val="22"/>
          <w:szCs w:val="22"/>
          <w:u w:color="004147"/>
        </w:rPr>
        <w:t>Physiological needs – basic survival needs such as food, water, and rest (Maslow, 1943).</w:t>
      </w:r>
    </w:p>
    <w:p w14:paraId="1EB64C88" w14:textId="77777777" w:rsidR="007D4DA2" w:rsidRPr="00694632" w:rsidRDefault="007D4DA2" w:rsidP="007D4DA2">
      <w:pPr>
        <w:rPr>
          <w:rFonts w:ascii="Aptos" w:hAnsi="Aptos"/>
          <w:sz w:val="22"/>
          <w:szCs w:val="22"/>
          <w:u w:color="004147"/>
        </w:rPr>
      </w:pPr>
      <w:r w:rsidRPr="00694632">
        <w:rPr>
          <w:rFonts w:ascii="Aptos" w:hAnsi="Aptos"/>
          <w:b/>
          <w:bCs/>
          <w:sz w:val="22"/>
          <w:szCs w:val="22"/>
          <w:u w:color="004147"/>
        </w:rPr>
        <w:t>Herzberg’s Motivation–Hygiene Theory</w:t>
      </w:r>
      <w:r w:rsidRPr="00694632">
        <w:rPr>
          <w:rFonts w:ascii="Aptos" w:hAnsi="Aptos"/>
          <w:sz w:val="22"/>
          <w:szCs w:val="22"/>
          <w:u w:color="004147"/>
        </w:rPr>
        <w:br/>
        <w:t>Herzberg distinguishes between factors that prevent dissatisfaction and those that drive motivation. Hygiene factors (salary, job security, working conditions) prevent dissatisfaction but do not create long-term motivation. Motivators (recognition, achievement, career development) drive engagement and discretionary effort (Waite et al., 2021, p.169).</w:t>
      </w:r>
    </w:p>
    <w:p w14:paraId="52A2B8E6" w14:textId="77777777" w:rsidR="007D4DA2" w:rsidRPr="00694632" w:rsidRDefault="007D4DA2" w:rsidP="007D4DA2">
      <w:pPr>
        <w:rPr>
          <w:rFonts w:ascii="Aptos" w:hAnsi="Aptos"/>
          <w:sz w:val="22"/>
          <w:szCs w:val="22"/>
          <w:u w:color="004147"/>
        </w:rPr>
      </w:pPr>
      <w:r w:rsidRPr="00694632">
        <w:rPr>
          <w:rFonts w:ascii="Aptos" w:hAnsi="Aptos"/>
          <w:sz w:val="22"/>
          <w:szCs w:val="22"/>
          <w:u w:color="004147"/>
        </w:rPr>
        <w:t>At Green Friendly Eco, the absence of incentives suggests hygiene factors are not fully addressed, contributing to high turnover and negative culture. To rebuild engagement, the organisation should ensure fair pay and job security, then strengthen motivators such as recognition and development opportunities.</w:t>
      </w:r>
    </w:p>
    <w:p w14:paraId="479C31EF" w14:textId="77777777" w:rsidR="007D4DA2" w:rsidRPr="00694632" w:rsidRDefault="007D4DA2" w:rsidP="007D4DA2">
      <w:pPr>
        <w:rPr>
          <w:rFonts w:ascii="Aptos" w:hAnsi="Aptos"/>
          <w:sz w:val="22"/>
          <w:szCs w:val="22"/>
          <w:u w:color="004147"/>
        </w:rPr>
      </w:pPr>
      <w:r w:rsidRPr="00694632">
        <w:rPr>
          <w:rFonts w:ascii="Aptos" w:hAnsi="Aptos"/>
          <w:b/>
          <w:bCs/>
          <w:sz w:val="22"/>
          <w:szCs w:val="22"/>
          <w:u w:color="004147"/>
        </w:rPr>
        <w:t>Pay Structure and Management Support</w:t>
      </w:r>
      <w:r w:rsidRPr="00694632">
        <w:rPr>
          <w:rFonts w:ascii="Aptos" w:hAnsi="Aptos"/>
          <w:sz w:val="22"/>
          <w:szCs w:val="22"/>
          <w:u w:color="004147"/>
        </w:rPr>
        <w:br/>
        <w:t>A pay structure, comprising grades or bands, links jobs in a hierarchy and provides a framework to implement reward strategies (UWTSD, 2025). Well-designed structures align rewards with organisational objectives, ensure fairness, and communicate progression opportunities. Pay band span determines progression potential, while differentials reward additional responsibility, motivating staff and reinforcing desired behaviours. Managers who are trusted and skilled in communication can positively influence behaviour, whereas coercive approaches, such as threatening to withhold a bonus, reduce discretionary effort (Taylor &amp; Woodham, 2022, p.162). Fair and transparent reward allocation supports trust and engagement (CIPD, 2025; Taylor &amp; Woodham, 2022, p.162).</w:t>
      </w:r>
    </w:p>
    <w:p w14:paraId="4E348A9F" w14:textId="77777777" w:rsidR="007D4DA2" w:rsidRPr="00694632" w:rsidRDefault="007D4DA2" w:rsidP="007D4DA2">
      <w:pPr>
        <w:rPr>
          <w:rFonts w:ascii="Aptos" w:hAnsi="Aptos"/>
          <w:sz w:val="22"/>
          <w:szCs w:val="22"/>
          <w:u w:color="004147"/>
        </w:rPr>
      </w:pPr>
      <w:r w:rsidRPr="00694632">
        <w:rPr>
          <w:rFonts w:ascii="Aptos" w:hAnsi="Aptos"/>
          <w:b/>
          <w:bCs/>
          <w:sz w:val="22"/>
          <w:szCs w:val="22"/>
          <w:u w:color="004147"/>
        </w:rPr>
        <w:t>Conclusion</w:t>
      </w:r>
      <w:r w:rsidRPr="00694632">
        <w:rPr>
          <w:rFonts w:ascii="Aptos" w:hAnsi="Aptos"/>
          <w:sz w:val="22"/>
          <w:szCs w:val="22"/>
          <w:u w:color="004147"/>
        </w:rPr>
        <w:br/>
        <w:t>Extrinsic rewards like pay and job security prevent dissatisfaction but do not drive long-term motivation. Intrinsic rewards such as recognition and development foster engagement and discretionary effort. For Green Friendly Eco, hygiene factors must be addressed first, but motivators are needed to improve contribution. A balanced strategy combining fair pay with recognition and development is most likely to sustain performance.</w:t>
      </w:r>
    </w:p>
    <w:p w14:paraId="26CCAA7F" w14:textId="01D9936B" w:rsidR="00AF6117" w:rsidRPr="00694632" w:rsidRDefault="00C709DD" w:rsidP="00C709DD">
      <w:pPr>
        <w:rPr>
          <w:rFonts w:ascii="Aptos" w:hAnsi="Aptos"/>
          <w:b/>
          <w:bCs/>
          <w:sz w:val="22"/>
          <w:szCs w:val="22"/>
          <w:u w:color="004147"/>
        </w:rPr>
      </w:pPr>
      <w:r w:rsidRPr="00694632">
        <w:rPr>
          <w:rFonts w:ascii="Aptos" w:hAnsi="Aptos"/>
          <w:b/>
          <w:bCs/>
          <w:sz w:val="22"/>
          <w:szCs w:val="22"/>
          <w:u w:color="004147"/>
        </w:rPr>
        <w:t>(</w:t>
      </w:r>
      <w:r w:rsidR="001B50BE" w:rsidRPr="00694632">
        <w:rPr>
          <w:rFonts w:ascii="Aptos" w:hAnsi="Aptos"/>
          <w:b/>
          <w:bCs/>
          <w:sz w:val="22"/>
          <w:szCs w:val="22"/>
          <w:u w:color="004147"/>
        </w:rPr>
        <w:t>AC 2.1</w:t>
      </w:r>
      <w:r w:rsidRPr="00694632">
        <w:rPr>
          <w:rFonts w:ascii="Aptos" w:hAnsi="Aptos"/>
          <w:b/>
          <w:bCs/>
          <w:sz w:val="22"/>
          <w:szCs w:val="22"/>
          <w:u w:color="004147"/>
        </w:rPr>
        <w:t>)</w:t>
      </w:r>
      <w:r w:rsidR="00AF6117" w:rsidRPr="00694632">
        <w:rPr>
          <w:rFonts w:ascii="Aptos" w:hAnsi="Aptos"/>
          <w:b/>
          <w:bCs/>
          <w:color w:val="000000" w:themeColor="text1"/>
          <w:sz w:val="22"/>
          <w:szCs w:val="22"/>
        </w:rPr>
        <w:t xml:space="preserve"> </w:t>
      </w:r>
    </w:p>
    <w:p w14:paraId="58DB2913" w14:textId="0F15C7D0" w:rsidR="00831DD8" w:rsidRPr="00694632" w:rsidRDefault="00831DD8" w:rsidP="00831DD8">
      <w:pPr>
        <w:rPr>
          <w:rFonts w:ascii="Aptos" w:hAnsi="Aptos"/>
          <w:sz w:val="22"/>
          <w:szCs w:val="22"/>
          <w:u w:color="004147"/>
        </w:rPr>
      </w:pPr>
      <w:r w:rsidRPr="00694632">
        <w:rPr>
          <w:rFonts w:ascii="Aptos" w:hAnsi="Aptos"/>
          <w:sz w:val="22"/>
          <w:szCs w:val="22"/>
          <w:u w:color="004147"/>
        </w:rPr>
        <w:t>According to the CIPD (2025), a pay structure is a framework of grades, levels or bands that links related jobs within a hierarchy and supports the implementation of reward strategies and policies. Pay structures provide a framework for wage progression, which describes how employees can receive pay increases either within the structure or through promotion. They encourage appropriate behaviours and performance by linking pay to role expectations and progression criteria. Pay structures align reward systems with an organisation’s mission, culture and business strategy, providing clarity in managing progression and career development. They also help ensure fairness and compliance (for example by preventing pay discrimination) and communicate how pay is determined and what employees must do to progress. The CIPD’s 201</w:t>
      </w:r>
      <w:r w:rsidR="00446F26" w:rsidRPr="00694632">
        <w:rPr>
          <w:rFonts w:ascii="Aptos" w:hAnsi="Aptos"/>
          <w:sz w:val="22"/>
          <w:szCs w:val="22"/>
          <w:u w:color="004147"/>
        </w:rPr>
        <w:t>8</w:t>
      </w:r>
      <w:r w:rsidRPr="00694632">
        <w:rPr>
          <w:rFonts w:ascii="Aptos" w:hAnsi="Aptos"/>
          <w:sz w:val="22"/>
          <w:szCs w:val="22"/>
          <w:u w:color="004147"/>
        </w:rPr>
        <w:t xml:space="preserve"> Reward Management survey found that 67% of employers use a pay structure, particularly larger organisations and public sector employers. Pay structures typically include pay band span, the percentage difference between minimum and maximum salary, and differentials, the percentage differences between midpoints of adjacent grades. For Green Friendly Eco, a clear pay structure and transparent progression routes could help reduce turnover by improving fairness and motivation (CIPD, 2025).</w:t>
      </w:r>
    </w:p>
    <w:p w14:paraId="6AC39E8F" w14:textId="77777777" w:rsidR="00831DD8" w:rsidRPr="00694632" w:rsidRDefault="00831DD8" w:rsidP="00831DD8">
      <w:pPr>
        <w:rPr>
          <w:rFonts w:ascii="Aptos" w:hAnsi="Aptos"/>
          <w:b/>
          <w:bCs/>
          <w:sz w:val="22"/>
          <w:szCs w:val="22"/>
          <w:u w:color="004147"/>
        </w:rPr>
      </w:pPr>
      <w:r w:rsidRPr="00694632">
        <w:rPr>
          <w:rFonts w:ascii="Aptos" w:hAnsi="Aptos"/>
          <w:b/>
          <w:bCs/>
          <w:sz w:val="22"/>
          <w:szCs w:val="22"/>
          <w:u w:color="004147"/>
        </w:rPr>
        <w:t>Formal pay structures</w:t>
      </w:r>
    </w:p>
    <w:p w14:paraId="6DA6B9ED" w14:textId="77777777" w:rsidR="00831DD8" w:rsidRPr="00694632" w:rsidRDefault="00831DD8" w:rsidP="00831DD8">
      <w:pPr>
        <w:rPr>
          <w:rFonts w:ascii="Aptos" w:hAnsi="Aptos"/>
          <w:sz w:val="22"/>
          <w:szCs w:val="22"/>
          <w:u w:color="004147"/>
        </w:rPr>
      </w:pPr>
      <w:r w:rsidRPr="00694632">
        <w:rPr>
          <w:rFonts w:ascii="Aptos" w:hAnsi="Aptos"/>
          <w:sz w:val="22"/>
          <w:szCs w:val="22"/>
          <w:u w:color="004147"/>
        </w:rPr>
        <w:t>Formal pay structures consist of defined grades or bands and support career progression, fairness and clarity. Multi-graded structures use many narrow grades linked to specific job levels and responsibilities, creating a clear hierarchical system (Waite et al., 2021, p.189). Narrow-graded structures include more grades with smaller salary ranges, giving frequent progression steps. Broad-graded structures use fewer grades with wider salary ranges, offering more flexibility but less clarity. Broad-banded structures combine several grades into one band, allowing greater flexibility and supporting wider responsibilities and job enrichment (Waite et al., 2021, p.189). Job families group similar roles into functions, such as IT or engineering. Each family has its own pay structure with defined levels and required skills, allowing different pay frameworks where market rates vary between functions (Waite et al., 2021, p.189).</w:t>
      </w:r>
    </w:p>
    <w:p w14:paraId="30379B1B" w14:textId="77777777" w:rsidR="00831DD8" w:rsidRPr="00694632" w:rsidRDefault="00831DD8" w:rsidP="00831DD8">
      <w:pPr>
        <w:rPr>
          <w:rFonts w:ascii="Aptos" w:hAnsi="Aptos"/>
          <w:b/>
          <w:bCs/>
          <w:sz w:val="22"/>
          <w:szCs w:val="22"/>
          <w:u w:color="004147"/>
        </w:rPr>
      </w:pPr>
      <w:r w:rsidRPr="00694632">
        <w:rPr>
          <w:rFonts w:ascii="Aptos" w:hAnsi="Aptos"/>
          <w:b/>
          <w:bCs/>
          <w:sz w:val="22"/>
          <w:szCs w:val="22"/>
          <w:u w:color="004147"/>
        </w:rPr>
        <w:t>Informal pay structures</w:t>
      </w:r>
    </w:p>
    <w:p w14:paraId="604624C3" w14:textId="77777777" w:rsidR="00831DD8" w:rsidRPr="00694632" w:rsidRDefault="00831DD8" w:rsidP="00831DD8">
      <w:pPr>
        <w:rPr>
          <w:rFonts w:ascii="Aptos" w:hAnsi="Aptos"/>
          <w:sz w:val="22"/>
          <w:szCs w:val="22"/>
          <w:u w:color="004147"/>
        </w:rPr>
      </w:pPr>
      <w:r w:rsidRPr="00694632">
        <w:rPr>
          <w:rFonts w:ascii="Aptos" w:hAnsi="Aptos"/>
          <w:sz w:val="22"/>
          <w:szCs w:val="22"/>
          <w:u w:color="004147"/>
        </w:rPr>
        <w:t>Informal pay structures are less structured and often used where roles are unique or where flexibility is prioritised. Spot rates are fixed pay rates set for a specific job, regardless of the individual employee. This method is transparent and ensures consistency for employees in the same role. CIPD (2019) notes that spot rates are a common method for setting base pay. Individual job grades assign pay rates to specific jobs rather than grouped grades, offering flexibility but risking inconsistency and reduced transparency.</w:t>
      </w:r>
    </w:p>
    <w:p w14:paraId="7DFD3164" w14:textId="77777777" w:rsidR="00831DD8" w:rsidRPr="00694632" w:rsidRDefault="00831DD8" w:rsidP="00831DD8">
      <w:pPr>
        <w:rPr>
          <w:rFonts w:ascii="Aptos" w:hAnsi="Aptos"/>
          <w:b/>
          <w:bCs/>
          <w:sz w:val="22"/>
          <w:szCs w:val="22"/>
          <w:u w:color="004147"/>
        </w:rPr>
      </w:pPr>
      <w:r w:rsidRPr="00694632">
        <w:rPr>
          <w:rFonts w:ascii="Aptos" w:hAnsi="Aptos"/>
          <w:b/>
          <w:bCs/>
          <w:sz w:val="22"/>
          <w:szCs w:val="22"/>
          <w:u w:color="004147"/>
        </w:rPr>
        <w:t>Comparison</w:t>
      </w:r>
    </w:p>
    <w:p w14:paraId="254447A8" w14:textId="2BBDD361" w:rsidR="00735677" w:rsidRPr="00694632" w:rsidRDefault="00831DD8" w:rsidP="0046390B">
      <w:pPr>
        <w:rPr>
          <w:rFonts w:ascii="Aptos" w:hAnsi="Aptos"/>
          <w:sz w:val="22"/>
          <w:szCs w:val="22"/>
          <w:u w:color="004147"/>
        </w:rPr>
      </w:pPr>
      <w:r w:rsidRPr="00694632">
        <w:rPr>
          <w:rFonts w:ascii="Aptos" w:hAnsi="Aptos"/>
          <w:sz w:val="22"/>
          <w:szCs w:val="22"/>
          <w:u w:color="004147"/>
        </w:rPr>
        <w:t>Formal structures provide consistency, clear progression and fairness, improving motivation and retention. Informal structures offer flexibility and are easier to implement but can reduce transparency and create pay inconsistency. For Green Friendly Eco, a formal pay structure would likely improve fairness and reduce turnover, while spot rates could be used selectively for specialist roles (CIPD, 2019; Waite et al., 2021, p.189)</w:t>
      </w:r>
    </w:p>
    <w:p w14:paraId="629AD7EE" w14:textId="4BEB83D1" w:rsidR="00AE54F1" w:rsidRPr="00694632" w:rsidRDefault="00AE54F1" w:rsidP="0046390B">
      <w:pPr>
        <w:rPr>
          <w:rFonts w:ascii="Aptos" w:hAnsi="Aptos"/>
          <w:sz w:val="22"/>
          <w:szCs w:val="22"/>
          <w:u w:color="004147"/>
        </w:rPr>
      </w:pPr>
      <w:r w:rsidRPr="00694632">
        <w:rPr>
          <w:rFonts w:ascii="Aptos" w:hAnsi="Aptos"/>
          <w:b/>
          <w:bCs/>
          <w:color w:val="000000" w:themeColor="text1"/>
          <w:sz w:val="22"/>
          <w:szCs w:val="22"/>
        </w:rPr>
        <w:t>(AC 2.2)</w:t>
      </w:r>
    </w:p>
    <w:p w14:paraId="20B2A00F" w14:textId="77777777" w:rsidR="00CD1899" w:rsidRPr="00694632" w:rsidRDefault="00CD1899" w:rsidP="00CD1899">
      <w:pPr>
        <w:rPr>
          <w:rFonts w:ascii="Aptos" w:hAnsi="Aptos"/>
          <w:sz w:val="22"/>
          <w:szCs w:val="22"/>
        </w:rPr>
      </w:pPr>
      <w:r w:rsidRPr="00694632">
        <w:rPr>
          <w:rFonts w:ascii="Aptos" w:hAnsi="Aptos"/>
          <w:sz w:val="22"/>
          <w:szCs w:val="22"/>
        </w:rPr>
        <w:t>Contingent rewards are payments or incentives given only when specific performance criteria are met. They motivate employees by linking pay to outcomes or behaviours (CIPD, 2025). At Green Friendly Eco, there is currently no incentive scheme, yet employees are expected to meet standard times and measured day work. Introducing contingent rewards could improve motivation, engagement, and reduce turnover.</w:t>
      </w:r>
    </w:p>
    <w:p w14:paraId="7FB315D8" w14:textId="1F51D188" w:rsidR="00CD1899" w:rsidRPr="00694632" w:rsidRDefault="00CD1899" w:rsidP="00CD1899">
      <w:pPr>
        <w:rPr>
          <w:rFonts w:ascii="Aptos" w:hAnsi="Aptos"/>
          <w:sz w:val="22"/>
          <w:szCs w:val="22"/>
        </w:rPr>
      </w:pPr>
      <w:r w:rsidRPr="00694632">
        <w:rPr>
          <w:rFonts w:ascii="Aptos" w:hAnsi="Aptos"/>
          <w:b/>
          <w:bCs/>
          <w:sz w:val="22"/>
          <w:szCs w:val="22"/>
        </w:rPr>
        <w:t>Individual level</w:t>
      </w:r>
      <w:r w:rsidRPr="00694632">
        <w:rPr>
          <w:rFonts w:ascii="Aptos" w:hAnsi="Aptos"/>
          <w:sz w:val="22"/>
          <w:szCs w:val="22"/>
        </w:rPr>
        <w:br/>
        <w:t>Performance-related pay (PRP) links pay directly to performance outcomes. Research shows that performance-contingent rewards can improve individual performance by increasing motivation and effort. Liegel et al. (2024) found participants responded faster when expecting a reward, suggesting performance-based rewards enhance focus. For Green Friendly Eco, PRP could encourage employees to meet or exceed standard times, improving productivity and reducing turnover (Liegel et al., 2024). The CIPD (2025) notes PRP can motivate employees when supported by fair performance measures and clear objectives.</w:t>
      </w:r>
      <w:r w:rsidR="00567AA5" w:rsidRPr="00694632">
        <w:rPr>
          <w:rFonts w:ascii="Aptos" w:hAnsi="Aptos"/>
          <w:sz w:val="22"/>
          <w:szCs w:val="22"/>
        </w:rPr>
        <w:t xml:space="preserve"> However, PRP can also create competition, stress and short-termism if targets are unrealistic or poorly designed, which may reduce cooperation and lead to quality issues if employees focus only on measurable outcomes (CIPD, 2025).</w:t>
      </w:r>
    </w:p>
    <w:p w14:paraId="1459FABB" w14:textId="77777777" w:rsidR="00CD1899" w:rsidRPr="00694632" w:rsidRDefault="00CD1899" w:rsidP="00CD1899">
      <w:pPr>
        <w:rPr>
          <w:rFonts w:ascii="Aptos" w:hAnsi="Aptos"/>
          <w:sz w:val="22"/>
          <w:szCs w:val="22"/>
        </w:rPr>
      </w:pPr>
      <w:r w:rsidRPr="00694632">
        <w:rPr>
          <w:rFonts w:ascii="Aptos" w:hAnsi="Aptos"/>
          <w:sz w:val="22"/>
          <w:szCs w:val="22"/>
        </w:rPr>
        <w:t>Competency-related pay rewards employees for developing skills and behaviours needed for effective performance (CIPD, 2025). Contribution-related pay rewards employees for exceeding normal job requirements, such as suggesting improvements or showing initiative, which could help Green Friendly Eco improve production processes. Skill-based pay rewards employees for acquiring additional skills, increasing workforce flexibility. Service-related pay increases pay based on length of service; while this may improve loyalty, it has limited impact on performance because rewards are not linked to outcomes (CIPD, 2025).</w:t>
      </w:r>
    </w:p>
    <w:p w14:paraId="57BC60F1" w14:textId="1ED89B9F" w:rsidR="00BA380A" w:rsidRPr="00694632" w:rsidRDefault="00CD1899" w:rsidP="00CD1899">
      <w:pPr>
        <w:rPr>
          <w:rFonts w:ascii="Aptos" w:hAnsi="Aptos"/>
          <w:b/>
          <w:bCs/>
          <w:sz w:val="22"/>
          <w:szCs w:val="22"/>
        </w:rPr>
      </w:pPr>
      <w:r w:rsidRPr="00694632">
        <w:rPr>
          <w:rFonts w:ascii="Aptos" w:hAnsi="Aptos"/>
          <w:b/>
          <w:bCs/>
          <w:sz w:val="22"/>
          <w:szCs w:val="22"/>
        </w:rPr>
        <w:t>Team level</w:t>
      </w:r>
    </w:p>
    <w:p w14:paraId="5AF483C4" w14:textId="0F38E770" w:rsidR="00CD1899" w:rsidRPr="00694632" w:rsidRDefault="00BA380A" w:rsidP="00CD1899">
      <w:pPr>
        <w:rPr>
          <w:rFonts w:ascii="Aptos" w:hAnsi="Aptos"/>
          <w:sz w:val="22"/>
          <w:szCs w:val="22"/>
        </w:rPr>
      </w:pPr>
      <w:r w:rsidRPr="00694632">
        <w:rPr>
          <w:rFonts w:ascii="Aptos" w:hAnsi="Aptos"/>
          <w:sz w:val="22"/>
          <w:szCs w:val="22"/>
        </w:rPr>
        <w:t>PRP can improve team performance when goals are clear and measurable. Liegel et al. (2024) found reward effects were stronger when tasks were specific, suggesting clear team targets could improve coordination at Green Friendly Eco. Competency- and skill-based pay support teams by ensuring members have a broader range of skills, allowing teams to cover absences and reduce production delays. Contribution-related pay encourages team members to share ideas and support each other. Service-related pay increases team stability but may not encourage innovation (CIPD, 2025). Potential risks: Contingent rewards can also create conflict within teams if members feel targets are unfair or if individuals free-ride on others’ efforts, reducing collaboration and trust (CIPD, 2025).</w:t>
      </w:r>
    </w:p>
    <w:p w14:paraId="716FDA01" w14:textId="77777777" w:rsidR="00CD1899" w:rsidRPr="00694632" w:rsidRDefault="00CD1899" w:rsidP="00CD1899">
      <w:pPr>
        <w:rPr>
          <w:rFonts w:ascii="Aptos" w:hAnsi="Aptos"/>
          <w:sz w:val="22"/>
          <w:szCs w:val="22"/>
        </w:rPr>
      </w:pPr>
      <w:r w:rsidRPr="00694632">
        <w:rPr>
          <w:rFonts w:ascii="Aptos" w:hAnsi="Aptos"/>
          <w:b/>
          <w:bCs/>
          <w:sz w:val="22"/>
          <w:szCs w:val="22"/>
        </w:rPr>
        <w:t>Organisational level</w:t>
      </w:r>
      <w:r w:rsidRPr="00694632">
        <w:rPr>
          <w:rFonts w:ascii="Aptos" w:hAnsi="Aptos"/>
          <w:sz w:val="22"/>
          <w:szCs w:val="22"/>
        </w:rPr>
        <w:br/>
        <w:t>PRP can improve productivity by aligning employee behaviour with business objectives. Liegel et al. (2024) showed performance-contingent rewards increase attention and preparation, leading to improved outcomes. For Green Friendly Eco, PRP could help address negative culture by reinforcing performance expectations. Skill-, competency- and contribution-based rewards support long-term performance by building capability, flexibility and engagement, while service-related pay supports retention but should not be relied on alone (CIPD, 2025).</w:t>
      </w:r>
    </w:p>
    <w:p w14:paraId="5AC01045" w14:textId="5A1D21EB" w:rsidR="007A7133" w:rsidRPr="00694632" w:rsidRDefault="00CD1899" w:rsidP="00D115FB">
      <w:pPr>
        <w:rPr>
          <w:rFonts w:ascii="Aptos" w:hAnsi="Aptos"/>
          <w:sz w:val="22"/>
          <w:szCs w:val="22"/>
        </w:rPr>
      </w:pPr>
      <w:r w:rsidRPr="00694632">
        <w:rPr>
          <w:rFonts w:ascii="Aptos" w:hAnsi="Aptos"/>
          <w:sz w:val="22"/>
          <w:szCs w:val="22"/>
        </w:rPr>
        <w:t>Overall, contingent pay systems can significantly influence individual, team and organisational performance. Introducing PRP and other contingent rewards could reduce turnover, improve motivation, and create a more positive performance-focused culture (Liegel et al., 2024; CIPD, 2025).</w:t>
      </w:r>
    </w:p>
    <w:p w14:paraId="4BB928E2" w14:textId="576D87AF" w:rsidR="000D30CC" w:rsidRPr="00694632" w:rsidRDefault="00BB514A" w:rsidP="000D30CC">
      <w:pPr>
        <w:pStyle w:val="Norna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Aptos" w:hAnsi="Aptos"/>
          <w:b/>
          <w:bCs/>
        </w:rPr>
      </w:pPr>
      <w:r w:rsidRPr="00694632">
        <w:rPr>
          <w:rFonts w:ascii="Aptos" w:hAnsi="Aptos"/>
          <w:b/>
          <w:bCs/>
        </w:rPr>
        <w:t>(AC 2.3)</w:t>
      </w:r>
      <w:r w:rsidR="000D30CC" w:rsidRPr="00694632">
        <w:rPr>
          <w:rFonts w:ascii="Aptos" w:hAnsi="Aptos"/>
          <w:b/>
          <w:bCs/>
        </w:rPr>
        <w:t xml:space="preserve"> </w:t>
      </w:r>
    </w:p>
    <w:p w14:paraId="3DCD8CF6" w14:textId="77777777" w:rsidR="004A0C63" w:rsidRPr="00694632" w:rsidRDefault="004A0C63" w:rsidP="00D479A1">
      <w:pPr>
        <w:pStyle w:val="Norna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Aptos" w:hAnsi="Aptos"/>
        </w:rPr>
      </w:pPr>
    </w:p>
    <w:p w14:paraId="735F6DA3" w14:textId="77777777" w:rsidR="00695754" w:rsidRPr="00694632" w:rsidRDefault="00695754" w:rsidP="00695754">
      <w:pPr>
        <w:pStyle w:val="Nornal"/>
        <w:spacing w:after="0"/>
        <w:rPr>
          <w:rFonts w:ascii="Aptos" w:hAnsi="Aptos"/>
          <w:lang w:val="en-GB"/>
        </w:rPr>
      </w:pPr>
      <w:r w:rsidRPr="00694632">
        <w:rPr>
          <w:rFonts w:ascii="Aptos" w:hAnsi="Aptos"/>
          <w:lang w:val="en-GB"/>
        </w:rPr>
        <w:t>Employee benefits are non-pay rewards provided in addition to basic salary. They play an important role in attracting, retaining and engaging employees, while also supporting wellbeing and organisational commitment (CIPD, 2025). For Green Friendly Eco, which is experiencing high turnover and a negative culture, a well-designed benefits package could help address these challenges without relying solely on pay increases.</w:t>
      </w:r>
    </w:p>
    <w:p w14:paraId="067CC4FA" w14:textId="77777777" w:rsidR="00695754" w:rsidRPr="00694632" w:rsidRDefault="00695754" w:rsidP="00695754">
      <w:pPr>
        <w:pStyle w:val="Nornal"/>
        <w:spacing w:after="0"/>
        <w:rPr>
          <w:rFonts w:ascii="Aptos" w:hAnsi="Aptos"/>
          <w:lang w:val="en-GB"/>
        </w:rPr>
      </w:pPr>
    </w:p>
    <w:p w14:paraId="2EFDFC27" w14:textId="77777777" w:rsidR="00695754" w:rsidRPr="00694632" w:rsidRDefault="00695754" w:rsidP="00695754">
      <w:pPr>
        <w:pStyle w:val="Nornal"/>
        <w:spacing w:after="0"/>
        <w:rPr>
          <w:rFonts w:ascii="Aptos" w:hAnsi="Aptos"/>
          <w:lang w:val="en-GB"/>
        </w:rPr>
      </w:pPr>
      <w:r w:rsidRPr="00694632">
        <w:rPr>
          <w:rFonts w:ascii="Aptos" w:hAnsi="Aptos"/>
          <w:b/>
          <w:bCs/>
          <w:lang w:val="en-GB"/>
        </w:rPr>
        <w:t>Retention:</w:t>
      </w:r>
      <w:r w:rsidRPr="00694632">
        <w:rPr>
          <w:rFonts w:ascii="Aptos" w:hAnsi="Aptos"/>
          <w:lang w:val="en-GB"/>
        </w:rPr>
        <w:t xml:space="preserve"> Pensions provide long-term financial security, encouraging employees to stay with the organisation. The CIPD (2025) notes that pension schemes are particularly valued by employees seeking stability, making them effective in reducing turnover. For Green Friendly Eco, pensions could help retain experienced staff and reduce recruitment and training costs. Taylor and Woodham (2022, p.101) explain that retention initiatives and career development opportunities are important in maintaining employee commitment. Benefits such as pensions, combined with development opportunities and supportive management, can strengthen loyalty and reduce turnover.</w:t>
      </w:r>
    </w:p>
    <w:p w14:paraId="5FE3D385" w14:textId="77777777" w:rsidR="00695754" w:rsidRPr="00694632" w:rsidRDefault="00695754" w:rsidP="00695754">
      <w:pPr>
        <w:pStyle w:val="Nornal"/>
        <w:spacing w:after="0"/>
        <w:rPr>
          <w:rFonts w:ascii="Aptos" w:hAnsi="Aptos"/>
          <w:lang w:val="en-GB"/>
        </w:rPr>
      </w:pPr>
    </w:p>
    <w:p w14:paraId="60BF3A69" w14:textId="77777777" w:rsidR="00695754" w:rsidRPr="00694632" w:rsidRDefault="00695754" w:rsidP="00695754">
      <w:pPr>
        <w:pStyle w:val="Nornal"/>
        <w:spacing w:after="0"/>
        <w:rPr>
          <w:rFonts w:ascii="Aptos" w:hAnsi="Aptos"/>
          <w:lang w:val="en-GB"/>
        </w:rPr>
      </w:pPr>
      <w:r w:rsidRPr="00694632">
        <w:rPr>
          <w:rFonts w:ascii="Aptos" w:hAnsi="Aptos"/>
          <w:b/>
          <w:bCs/>
          <w:lang w:val="en-GB"/>
        </w:rPr>
        <w:t>Engagement and wellbeing:</w:t>
      </w:r>
      <w:r w:rsidRPr="00694632">
        <w:rPr>
          <w:rFonts w:ascii="Aptos" w:hAnsi="Aptos"/>
          <w:lang w:val="en-GB"/>
        </w:rPr>
        <w:t xml:space="preserve"> Healthcare and insurance benefits, such as enhanced sick pay, life assurance and private medical cover, support wellbeing and reduce financial anxiety. The CIPD (2025) explains that wellbeing-related benefits can reduce absence and improve morale. ACAS (2023) also highlights that benefits like sick pay and wellbeing support improve morale and employee relations when applied fairly and consistently. For Green Friendly Eco, healthcare benefits could improve culture and productivity, especially in physically demanding manufacturing roles.</w:t>
      </w:r>
    </w:p>
    <w:p w14:paraId="4077FEFE" w14:textId="77777777" w:rsidR="00695754" w:rsidRPr="00694632" w:rsidRDefault="00695754" w:rsidP="00695754">
      <w:pPr>
        <w:pStyle w:val="Nornal"/>
        <w:spacing w:after="0"/>
        <w:rPr>
          <w:rFonts w:ascii="Aptos" w:hAnsi="Aptos"/>
          <w:lang w:val="en-GB"/>
        </w:rPr>
      </w:pPr>
    </w:p>
    <w:p w14:paraId="2330AA9C" w14:textId="77777777" w:rsidR="00695754" w:rsidRPr="00694632" w:rsidRDefault="00695754" w:rsidP="00695754">
      <w:pPr>
        <w:pStyle w:val="Nornal"/>
        <w:spacing w:after="0"/>
        <w:rPr>
          <w:rFonts w:ascii="Aptos" w:hAnsi="Aptos"/>
          <w:lang w:val="en-GB"/>
        </w:rPr>
      </w:pPr>
      <w:r w:rsidRPr="00694632">
        <w:rPr>
          <w:rFonts w:ascii="Aptos" w:hAnsi="Aptos"/>
          <w:b/>
          <w:bCs/>
          <w:lang w:val="en-GB"/>
        </w:rPr>
        <w:t>Attraction:</w:t>
      </w:r>
      <w:r w:rsidRPr="00694632">
        <w:rPr>
          <w:rFonts w:ascii="Aptos" w:hAnsi="Aptos"/>
          <w:lang w:val="en-GB"/>
        </w:rPr>
        <w:t xml:space="preserve"> Family-friendly benefits, including enhanced maternity, paternity and adoption leave, and childcare support, help employees balance work and personal responsibilities. The CIPD (2025) highlights that these benefits improve retention and make organisations more attractive to a diverse workforce. For Green Friendly Eco, family-friendly benefits could support inclusion and reduce turnover, particularly for working parents and carers.</w:t>
      </w:r>
    </w:p>
    <w:p w14:paraId="41846028" w14:textId="77777777" w:rsidR="00695754" w:rsidRPr="00694632" w:rsidRDefault="00695754" w:rsidP="00695754">
      <w:pPr>
        <w:pStyle w:val="Nornal"/>
        <w:spacing w:after="0"/>
        <w:rPr>
          <w:rFonts w:ascii="Aptos" w:hAnsi="Aptos"/>
          <w:lang w:val="en-GB"/>
        </w:rPr>
      </w:pPr>
    </w:p>
    <w:p w14:paraId="1D0DDBB2" w14:textId="77777777" w:rsidR="00695754" w:rsidRPr="00694632" w:rsidRDefault="00695754" w:rsidP="00695754">
      <w:pPr>
        <w:pStyle w:val="Nornal"/>
        <w:spacing w:after="0"/>
        <w:rPr>
          <w:rFonts w:ascii="Aptos" w:hAnsi="Aptos"/>
          <w:lang w:val="en-GB"/>
        </w:rPr>
      </w:pPr>
      <w:r w:rsidRPr="00694632">
        <w:rPr>
          <w:rFonts w:ascii="Aptos" w:hAnsi="Aptos"/>
          <w:b/>
          <w:bCs/>
          <w:lang w:val="en-GB"/>
        </w:rPr>
        <w:t>Individual differences:</w:t>
      </w:r>
      <w:r w:rsidRPr="00694632">
        <w:rPr>
          <w:rFonts w:ascii="Aptos" w:hAnsi="Aptos"/>
          <w:lang w:val="en-GB"/>
        </w:rPr>
        <w:t xml:space="preserve"> Flexible benefits allow employees to choose rewards that suit their needs, increasing the perceived value of the package. The CIPD (2025) explains that flexible benefits can improve motivation and satisfaction without significantly increasing costs. This would allow Green Friendly Eco to meet diverse employee needs while managing budgets effectively.</w:t>
      </w:r>
    </w:p>
    <w:p w14:paraId="086B6AD8" w14:textId="77777777" w:rsidR="00695754" w:rsidRPr="00694632" w:rsidRDefault="00695754" w:rsidP="00695754">
      <w:pPr>
        <w:pStyle w:val="Nornal"/>
        <w:spacing w:after="0"/>
        <w:rPr>
          <w:rFonts w:ascii="Aptos" w:hAnsi="Aptos"/>
          <w:lang w:val="en-GB"/>
        </w:rPr>
      </w:pPr>
    </w:p>
    <w:p w14:paraId="37B1F7E8" w14:textId="77777777" w:rsidR="00695754" w:rsidRPr="00694632" w:rsidRDefault="00695754" w:rsidP="00695754">
      <w:pPr>
        <w:pStyle w:val="Nornal"/>
        <w:spacing w:after="0"/>
        <w:rPr>
          <w:rFonts w:ascii="Aptos" w:hAnsi="Aptos"/>
          <w:lang w:val="en-GB"/>
        </w:rPr>
      </w:pPr>
      <w:r w:rsidRPr="00694632">
        <w:rPr>
          <w:rFonts w:ascii="Aptos" w:hAnsi="Aptos"/>
          <w:b/>
          <w:bCs/>
          <w:lang w:val="en-GB"/>
        </w:rPr>
        <w:t>Investment in people:</w:t>
      </w:r>
      <w:r w:rsidRPr="00694632">
        <w:rPr>
          <w:rFonts w:ascii="Aptos" w:hAnsi="Aptos"/>
          <w:lang w:val="en-GB"/>
        </w:rPr>
        <w:t xml:space="preserve"> Training and development can be offered as a benefit, demonstrating that the organisation values employees as a long-term asset. Waite et al. (2021, p.35) suggest that recognising employees as a tangible asset contributes to organisational capability. Development benefits can increase job satisfaction, enhance skills and support internal progression. For Green Friendly Eco, training and development as part of benefits could help retain skilled employees, improve flexibility and support long-term performance, while strengthening the employment relationship.</w:t>
      </w:r>
    </w:p>
    <w:p w14:paraId="29D9C628" w14:textId="77777777" w:rsidR="00695754" w:rsidRPr="00694632" w:rsidRDefault="00695754" w:rsidP="00695754">
      <w:pPr>
        <w:pStyle w:val="Nornal"/>
        <w:spacing w:after="0"/>
        <w:rPr>
          <w:rFonts w:ascii="Aptos" w:hAnsi="Aptos"/>
          <w:lang w:val="en-GB"/>
        </w:rPr>
      </w:pPr>
    </w:p>
    <w:p w14:paraId="41805A9E" w14:textId="77777777" w:rsidR="00695754" w:rsidRPr="00694632" w:rsidRDefault="00695754" w:rsidP="00695754">
      <w:pPr>
        <w:pStyle w:val="Nornal"/>
        <w:spacing w:after="0"/>
        <w:rPr>
          <w:rFonts w:ascii="Aptos" w:hAnsi="Aptos"/>
          <w:lang w:val="en-GB"/>
        </w:rPr>
      </w:pPr>
      <w:r w:rsidRPr="00694632">
        <w:rPr>
          <w:rFonts w:ascii="Aptos" w:hAnsi="Aptos"/>
          <w:lang w:val="en-GB"/>
        </w:rPr>
        <w:t>While benefits represent a cost, the CIPD (2025) emphasises balancing affordability with impact by prioritising benefits that support attraction, retention and engagement. For Green Friendly Eco, investing in pensions, wellbeing, family-friendly, flexible and development benefits could improve culture, reduce turnover and support sustainable performance.</w:t>
      </w:r>
    </w:p>
    <w:p w14:paraId="5956B377" w14:textId="77777777" w:rsidR="00695754" w:rsidRPr="00694632" w:rsidRDefault="00695754" w:rsidP="00D479A1">
      <w:pPr>
        <w:pStyle w:val="Norna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Aptos" w:hAnsi="Aptos"/>
        </w:rPr>
      </w:pPr>
    </w:p>
    <w:p w14:paraId="4B4BC1C6" w14:textId="09876ACF" w:rsidR="00D4294B" w:rsidRPr="00694632" w:rsidRDefault="00D4294B" w:rsidP="00D4294B">
      <w:pPr>
        <w:pStyle w:val="Norna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Aptos" w:hAnsi="Aptos"/>
          <w:b/>
          <w:bCs/>
        </w:rPr>
      </w:pPr>
      <w:r w:rsidRPr="00694632">
        <w:rPr>
          <w:rFonts w:ascii="Aptos" w:hAnsi="Aptos"/>
          <w:b/>
          <w:bCs/>
        </w:rPr>
        <w:t xml:space="preserve">(AC 2.4) </w:t>
      </w:r>
    </w:p>
    <w:p w14:paraId="47222722" w14:textId="507C1F5E" w:rsidR="00410F2D" w:rsidRPr="00694632" w:rsidRDefault="00410F2D" w:rsidP="00D479A1">
      <w:pPr>
        <w:pStyle w:val="Norna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Aptos" w:hAnsi="Aptos"/>
        </w:rPr>
      </w:pPr>
    </w:p>
    <w:p w14:paraId="5B336364" w14:textId="77777777" w:rsidR="005D4ED0" w:rsidRPr="00694632" w:rsidRDefault="005D4ED0" w:rsidP="005D4ED0">
      <w:pPr>
        <w:pStyle w:val="Nornal"/>
        <w:spacing w:after="0"/>
        <w:rPr>
          <w:rFonts w:ascii="Aptos" w:hAnsi="Aptos"/>
          <w:lang w:val="en-GB"/>
        </w:rPr>
      </w:pPr>
      <w:r w:rsidRPr="00694632">
        <w:rPr>
          <w:rFonts w:ascii="Aptos" w:hAnsi="Aptos"/>
          <w:lang w:val="en-GB"/>
        </w:rPr>
        <w:t>Recognition schemes can be formal or informal, and each type offers different benefits for motivation, culture and retention. Formal recognition schemes are structured programmes that acknowledge skills, behaviours and achievements through official mechanisms such as “Employee of the Month” awards or annual events. A key merit is that formal recognition sets clear performance standards and signals what the organisation values, motivating employees to sustain high performance (CIPD, 2025). Waite et al. (2021) explain that formal schemes also support career development by identifying high-performing employees for progression and building a talent pipeline. For Green Friendly Eco, formal recognition could highlight skilled employees for promotion, supporting retention and reducing turnover. However, ACAS (2023) emphasises that formal schemes must be applied fairly and transparently, as perceived favouritism can damage motivation and employee relations.</w:t>
      </w:r>
    </w:p>
    <w:p w14:paraId="0766E713" w14:textId="77777777" w:rsidR="005E1766" w:rsidRPr="00694632" w:rsidRDefault="005E1766" w:rsidP="005D4ED0">
      <w:pPr>
        <w:pStyle w:val="Nornal"/>
        <w:spacing w:after="0"/>
        <w:rPr>
          <w:rFonts w:ascii="Aptos" w:hAnsi="Aptos"/>
          <w:lang w:val="en-GB"/>
        </w:rPr>
      </w:pPr>
    </w:p>
    <w:p w14:paraId="5D78EA9D" w14:textId="77777777" w:rsidR="005D4ED0" w:rsidRPr="00694632" w:rsidRDefault="005D4ED0" w:rsidP="005D4ED0">
      <w:pPr>
        <w:pStyle w:val="Nornal"/>
        <w:spacing w:after="0"/>
        <w:rPr>
          <w:rFonts w:ascii="Aptos" w:hAnsi="Aptos"/>
          <w:lang w:val="en-GB"/>
        </w:rPr>
      </w:pPr>
      <w:r w:rsidRPr="00694632">
        <w:rPr>
          <w:rFonts w:ascii="Aptos" w:hAnsi="Aptos"/>
          <w:lang w:val="en-GB"/>
        </w:rPr>
        <w:t xml:space="preserve">Informal recognition includes day-to-day appreciation such as verbal praise or </w:t>
      </w:r>
      <w:proofErr w:type="gramStart"/>
      <w:r w:rsidRPr="00694632">
        <w:rPr>
          <w:rFonts w:ascii="Aptos" w:hAnsi="Aptos"/>
          <w:lang w:val="en-GB"/>
        </w:rPr>
        <w:t>thank</w:t>
      </w:r>
      <w:proofErr w:type="gramEnd"/>
      <w:r w:rsidRPr="00694632">
        <w:rPr>
          <w:rFonts w:ascii="Aptos" w:hAnsi="Aptos"/>
          <w:lang w:val="en-GB"/>
        </w:rPr>
        <w:t xml:space="preserve">-you </w:t>
      </w:r>
      <w:proofErr w:type="gramStart"/>
      <w:r w:rsidRPr="00694632">
        <w:rPr>
          <w:rFonts w:ascii="Aptos" w:hAnsi="Aptos"/>
          <w:lang w:val="en-GB"/>
        </w:rPr>
        <w:t>notes</w:t>
      </w:r>
      <w:proofErr w:type="gramEnd"/>
      <w:r w:rsidRPr="00694632">
        <w:rPr>
          <w:rFonts w:ascii="Aptos" w:hAnsi="Aptos"/>
          <w:lang w:val="en-GB"/>
        </w:rPr>
        <w:t>. Its main merit is immediacy, allowing positive behaviours to be recognised as they occur, quickly boosting morale without complex processes (CIPD, 2025). Informal recognition supports intrinsic motivation by meeting psychological needs for competence and relatedness (Deci and Ryan, 2000). In Green Friendly Eco’s negative culture, regular informal recognition could help foster a more supportive environment and improve wellbeing and engagement (ACAS, 2023).</w:t>
      </w:r>
    </w:p>
    <w:p w14:paraId="5E55C7A0" w14:textId="77777777" w:rsidR="005E1766" w:rsidRPr="00694632" w:rsidRDefault="005E1766" w:rsidP="005D4ED0">
      <w:pPr>
        <w:pStyle w:val="Nornal"/>
        <w:spacing w:after="0"/>
        <w:rPr>
          <w:rFonts w:ascii="Aptos" w:hAnsi="Aptos"/>
          <w:lang w:val="en-GB"/>
        </w:rPr>
      </w:pPr>
    </w:p>
    <w:p w14:paraId="02CD6979" w14:textId="77777777" w:rsidR="005D4ED0" w:rsidRPr="00694632" w:rsidRDefault="005D4ED0" w:rsidP="005D4ED0">
      <w:pPr>
        <w:pStyle w:val="Nornal"/>
        <w:spacing w:after="0"/>
        <w:rPr>
          <w:rFonts w:ascii="Aptos" w:hAnsi="Aptos"/>
          <w:lang w:val="en-GB"/>
        </w:rPr>
      </w:pPr>
      <w:r w:rsidRPr="00694632">
        <w:rPr>
          <w:rFonts w:ascii="Aptos" w:hAnsi="Aptos"/>
          <w:lang w:val="en-GB"/>
        </w:rPr>
        <w:t>Public recognition involves acknowledging achievements in front of others, such as during meetings or in newsletters. It enhances belonging and social value by showing that contributions are visible and appreciated (Deci and Ryan, 2000). Public recognition also reinforces organisational values by showcasing desired behaviours and encouraging others to emulate them (CIPD, 2025). Green Friendly Eco could use public recognition to celebrate safety improvements or sustainability initiatives, but ACAS (2023) warns it must be managed sensitively to avoid resentment or unfairness.</w:t>
      </w:r>
    </w:p>
    <w:p w14:paraId="51366CB7" w14:textId="77777777" w:rsidR="005E1766" w:rsidRPr="00694632" w:rsidRDefault="005E1766" w:rsidP="005D4ED0">
      <w:pPr>
        <w:pStyle w:val="Nornal"/>
        <w:spacing w:after="0"/>
        <w:rPr>
          <w:rFonts w:ascii="Aptos" w:hAnsi="Aptos"/>
          <w:lang w:val="en-GB"/>
        </w:rPr>
      </w:pPr>
    </w:p>
    <w:p w14:paraId="1D53F1AB" w14:textId="7E649201" w:rsidR="005D4ED0" w:rsidRPr="00694632" w:rsidRDefault="005D4ED0" w:rsidP="005D4ED0">
      <w:pPr>
        <w:pStyle w:val="Nornal"/>
        <w:spacing w:after="0"/>
        <w:rPr>
          <w:rFonts w:ascii="Aptos" w:hAnsi="Aptos"/>
          <w:lang w:val="en-GB"/>
        </w:rPr>
      </w:pPr>
      <w:r w:rsidRPr="00694632">
        <w:rPr>
          <w:rFonts w:ascii="Aptos" w:hAnsi="Aptos"/>
          <w:lang w:val="en-GB"/>
        </w:rPr>
        <w:t xml:space="preserve">Cash awards such as bonuses or performance-related payments are tangible rewards that directly increase income. They can improve motivation and performance when linked to measurable targets (CIPD, 2025). </w:t>
      </w:r>
      <w:r w:rsidR="005B39D8" w:rsidRPr="00694632">
        <w:rPr>
          <w:rFonts w:ascii="Aptos" w:hAnsi="Aptos"/>
          <w:lang w:val="en-GB"/>
        </w:rPr>
        <w:t>However, cash awards may only motivate short-term performance and can create competition rather than teamwork if not managed carefully.</w:t>
      </w:r>
      <w:r w:rsidR="00FA623D" w:rsidRPr="00694632">
        <w:rPr>
          <w:rFonts w:ascii="Aptos" w:hAnsi="Aptos"/>
          <w:lang w:val="en-GB"/>
        </w:rPr>
        <w:t xml:space="preserve"> </w:t>
      </w:r>
      <w:r w:rsidRPr="00694632">
        <w:rPr>
          <w:rFonts w:ascii="Aptos" w:hAnsi="Aptos"/>
          <w:lang w:val="en-GB"/>
        </w:rPr>
        <w:t>Green Friendly Eco could use cash awards to reward production targets or waste reduction, but ACAS (2023) notes they must be distributed objectively to prevent mistrust.</w:t>
      </w:r>
    </w:p>
    <w:p w14:paraId="79C8E79F" w14:textId="77777777" w:rsidR="005E1766" w:rsidRPr="00694632" w:rsidRDefault="005E1766" w:rsidP="005D4ED0">
      <w:pPr>
        <w:pStyle w:val="Nornal"/>
        <w:spacing w:after="0"/>
        <w:rPr>
          <w:rFonts w:ascii="Aptos" w:hAnsi="Aptos"/>
          <w:lang w:val="en-GB"/>
        </w:rPr>
      </w:pPr>
    </w:p>
    <w:p w14:paraId="386AF521" w14:textId="77777777" w:rsidR="005D4ED0" w:rsidRPr="00694632" w:rsidRDefault="005D4ED0" w:rsidP="005D4ED0">
      <w:pPr>
        <w:pStyle w:val="Nornal"/>
        <w:spacing w:after="0"/>
        <w:rPr>
          <w:rFonts w:ascii="Aptos" w:hAnsi="Aptos"/>
          <w:lang w:val="en-GB"/>
        </w:rPr>
      </w:pPr>
      <w:r w:rsidRPr="00694632">
        <w:rPr>
          <w:rFonts w:ascii="Aptos" w:hAnsi="Aptos"/>
          <w:lang w:val="en-GB"/>
        </w:rPr>
        <w:t>Non-cash awards (gifts, vouchers, tickets) can feel more personal and meaningful than cash, especially when tailored to individuals (CIPD, 2025). They can be cost-effective while still showing appreciation and reinforcing values (Waite et al., 2021). For Green Friendly Eco, vouchers or experiences could recognise long service or teamwork, supporting a culture of appreciation rather than purely financial reward (ACAS, 2023).</w:t>
      </w:r>
    </w:p>
    <w:p w14:paraId="64E3C69C" w14:textId="77777777" w:rsidR="00E72230" w:rsidRPr="00694632" w:rsidRDefault="00E72230" w:rsidP="00D479A1">
      <w:pPr>
        <w:pStyle w:val="Norna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Aptos" w:hAnsi="Aptos"/>
        </w:rPr>
      </w:pPr>
    </w:p>
    <w:p w14:paraId="587FED8F" w14:textId="77777777" w:rsidR="00E733CA" w:rsidRPr="00694632" w:rsidRDefault="007B0D96" w:rsidP="007B0D96">
      <w:pPr>
        <w:pStyle w:val="Nornal"/>
        <w:spacing w:after="0"/>
        <w:rPr>
          <w:rFonts w:ascii="Aptos" w:hAnsi="Aptos"/>
          <w:b/>
          <w:bCs/>
          <w:lang w:val="en-GB"/>
        </w:rPr>
      </w:pPr>
      <w:r w:rsidRPr="00694632">
        <w:rPr>
          <w:rFonts w:ascii="Aptos" w:hAnsi="Aptos"/>
          <w:b/>
          <w:bCs/>
          <w:lang w:val="en-GB"/>
        </w:rPr>
        <w:t>(AC 3.1)</w:t>
      </w:r>
    </w:p>
    <w:p w14:paraId="3D65957B" w14:textId="77777777" w:rsidR="00D209DB" w:rsidRPr="00694632" w:rsidRDefault="007B0D96" w:rsidP="00D209DB">
      <w:pPr>
        <w:pStyle w:val="Nornal"/>
        <w:spacing w:after="0"/>
        <w:rPr>
          <w:rFonts w:ascii="Aptos" w:hAnsi="Aptos"/>
          <w:lang w:val="en-GB"/>
        </w:rPr>
      </w:pPr>
      <w:r w:rsidRPr="00694632">
        <w:rPr>
          <w:rFonts w:ascii="Aptos" w:hAnsi="Aptos"/>
          <w:lang w:val="en-GB"/>
        </w:rPr>
        <w:t xml:space="preserve"> </w:t>
      </w:r>
    </w:p>
    <w:p w14:paraId="3137584F" w14:textId="100C27F5" w:rsidR="00703CDF" w:rsidRPr="00694632" w:rsidRDefault="00703CDF" w:rsidP="00D209DB">
      <w:pPr>
        <w:pStyle w:val="Nornal"/>
        <w:spacing w:after="0"/>
        <w:rPr>
          <w:rFonts w:ascii="Aptos" w:hAnsi="Aptos"/>
          <w:lang w:val="en-GB"/>
        </w:rPr>
      </w:pPr>
      <w:r w:rsidRPr="00694632">
        <w:rPr>
          <w:rFonts w:ascii="Aptos" w:hAnsi="Aptos"/>
        </w:rPr>
        <w:t xml:space="preserve">The reward environment is shaped by external and internal factors that influence what organisations can offer and how they design reward systems. For Green Friendly Eco, external market conditions and internal cultural issues significantly impact reward decisions. This assessment focuses on the most relevant factors: </w:t>
      </w:r>
      <w:proofErr w:type="spellStart"/>
      <w:r w:rsidRPr="00694632">
        <w:rPr>
          <w:rFonts w:ascii="Aptos" w:hAnsi="Aptos"/>
        </w:rPr>
        <w:t>labour</w:t>
      </w:r>
      <w:proofErr w:type="spellEnd"/>
      <w:r w:rsidRPr="00694632">
        <w:rPr>
          <w:rFonts w:ascii="Aptos" w:hAnsi="Aptos"/>
        </w:rPr>
        <w:t xml:space="preserve"> market conditions, economic climate, equality legislation, </w:t>
      </w:r>
      <w:proofErr w:type="spellStart"/>
      <w:r w:rsidRPr="00694632">
        <w:rPr>
          <w:rFonts w:ascii="Aptos" w:hAnsi="Aptos"/>
        </w:rPr>
        <w:t>organisational</w:t>
      </w:r>
      <w:proofErr w:type="spellEnd"/>
      <w:r w:rsidRPr="00694632">
        <w:rPr>
          <w:rFonts w:ascii="Aptos" w:hAnsi="Aptos"/>
        </w:rPr>
        <w:t xml:space="preserve"> culture and psychological contract, human capital and retention, and internal equity.</w:t>
      </w:r>
    </w:p>
    <w:p w14:paraId="3343A6BE"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External factors</w:t>
      </w:r>
    </w:p>
    <w:p w14:paraId="45608AE9"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Labour market conditions (skills shortages and competition)</w:t>
      </w:r>
      <w:r w:rsidRPr="00694632">
        <w:rPr>
          <w:rFonts w:ascii="Aptos" w:hAnsi="Aptos"/>
          <w:sz w:val="22"/>
          <w:szCs w:val="22"/>
        </w:rPr>
        <w:br/>
        <w:t>The UK labour market, particularly in manufacturing, has faced skills shortages and increased competition. This increases employees’ bargaining power, as they can move to employers offering better pay or conditions. The Annual Population Survey (2022) highlights that 2.3 million working-age people (6.6%) have skills to work in another occupation. The Census (2021) reports that 20.2% of employed adults are more qualified than average for their occupation, suggesting a higher likelihood of leaving for better roles (ONS, 2024). Reward systems must therefore be competitive. For Green Friendly Eco, high turnover indicates existing rewards are insufficient, risking loss of skilled staff and operational capability (CIPD, 2025).</w:t>
      </w:r>
    </w:p>
    <w:p w14:paraId="23BDD5DA"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Impact on reward:</w:t>
      </w:r>
      <w:r w:rsidRPr="00694632">
        <w:rPr>
          <w:rFonts w:ascii="Aptos" w:hAnsi="Aptos"/>
          <w:sz w:val="22"/>
          <w:szCs w:val="22"/>
        </w:rPr>
        <w:br/>
        <w:t>• Greater pressure to match market pay rates</w:t>
      </w:r>
      <w:r w:rsidRPr="00694632">
        <w:rPr>
          <w:rFonts w:ascii="Aptos" w:hAnsi="Aptos"/>
          <w:sz w:val="22"/>
          <w:szCs w:val="22"/>
        </w:rPr>
        <w:br/>
        <w:t>• Increased use of non-pay rewards</w:t>
      </w:r>
      <w:r w:rsidRPr="00694632">
        <w:rPr>
          <w:rFonts w:ascii="Aptos" w:hAnsi="Aptos"/>
          <w:sz w:val="22"/>
          <w:szCs w:val="22"/>
        </w:rPr>
        <w:br/>
        <w:t>• Need for transparent reward policies</w:t>
      </w:r>
    </w:p>
    <w:p w14:paraId="44C1D16E"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Economic climate (inflation and cost pressures)</w:t>
      </w:r>
      <w:r w:rsidRPr="00694632">
        <w:rPr>
          <w:rFonts w:ascii="Aptos" w:hAnsi="Aptos"/>
          <w:sz w:val="22"/>
          <w:szCs w:val="22"/>
        </w:rPr>
        <w:br/>
        <w:t>The UK economic environment is characterised by inflation and rising costs, especially in energy-intensive manufacturing sectors. This places pressure on pay budgets. BBC News (2026) reports wage growth eased to 4.5% between September and November, with private sector pay growth slowing to its lowest rate in five years while public sector pay growth remained at 7.9%. This indicates mixed pay pressures and suggests organisations must manage reward carefully to retain staff. When pay budgets are limited, alternative reward methods such as recognition schemes and flexible benefits become more important (CIPD, 2025).</w:t>
      </w:r>
    </w:p>
    <w:p w14:paraId="5A8C3C81"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Impact on reward:</w:t>
      </w:r>
      <w:r w:rsidRPr="00694632">
        <w:rPr>
          <w:rFonts w:ascii="Aptos" w:hAnsi="Aptos"/>
          <w:sz w:val="22"/>
          <w:szCs w:val="22"/>
        </w:rPr>
        <w:br/>
        <w:t>• Limits ability to offer large pay rises</w:t>
      </w:r>
      <w:r w:rsidRPr="00694632">
        <w:rPr>
          <w:rFonts w:ascii="Aptos" w:hAnsi="Aptos"/>
          <w:sz w:val="22"/>
          <w:szCs w:val="22"/>
        </w:rPr>
        <w:br/>
        <w:t>• Encourages cost-effective recognition schemes</w:t>
      </w:r>
      <w:r w:rsidRPr="00694632">
        <w:rPr>
          <w:rFonts w:ascii="Aptos" w:hAnsi="Aptos"/>
          <w:sz w:val="22"/>
          <w:szCs w:val="22"/>
        </w:rPr>
        <w:br/>
        <w:t>• Increases need for fairness and communication</w:t>
      </w:r>
    </w:p>
    <w:p w14:paraId="50FA0F02"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Equality legislation (legal compliance)</w:t>
      </w:r>
      <w:r w:rsidRPr="00694632">
        <w:rPr>
          <w:rFonts w:ascii="Aptos" w:hAnsi="Aptos"/>
          <w:sz w:val="22"/>
          <w:szCs w:val="22"/>
        </w:rPr>
        <w:br/>
        <w:t>Equality legislation sets minimum standards for fair pay and prevents discrimination. Organisations must ensure reward systems comply with equal pay, national minimum wage and anti-discrimination laws to avoid legal risk and protect reputation (ACAS, 2023). For Green Friendly Eco, ensuring legal compliance is essential to prevent costly claims and support fairness.</w:t>
      </w:r>
    </w:p>
    <w:p w14:paraId="241E9A04"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Impact on reward:</w:t>
      </w:r>
      <w:r w:rsidRPr="00694632">
        <w:rPr>
          <w:rFonts w:ascii="Aptos" w:hAnsi="Aptos"/>
          <w:sz w:val="22"/>
          <w:szCs w:val="22"/>
        </w:rPr>
        <w:br/>
        <w:t>• Requires transparent pay structures and consistent criteria</w:t>
      </w:r>
      <w:r w:rsidRPr="00694632">
        <w:rPr>
          <w:rFonts w:ascii="Aptos" w:hAnsi="Aptos"/>
          <w:sz w:val="22"/>
          <w:szCs w:val="22"/>
        </w:rPr>
        <w:br/>
        <w:t>• Limits arbitrary pay decisions</w:t>
      </w:r>
    </w:p>
    <w:p w14:paraId="45076092"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Internal factors</w:t>
      </w:r>
    </w:p>
    <w:p w14:paraId="4710A811" w14:textId="77777777" w:rsidR="00703CDF" w:rsidRPr="00694632" w:rsidRDefault="00703CDF" w:rsidP="00703CDF">
      <w:pPr>
        <w:pStyle w:val="NormalWeb"/>
        <w:rPr>
          <w:rFonts w:ascii="Aptos" w:hAnsi="Aptos"/>
          <w:sz w:val="22"/>
          <w:szCs w:val="22"/>
        </w:rPr>
      </w:pPr>
      <w:r w:rsidRPr="00694632">
        <w:rPr>
          <w:rStyle w:val="Strong"/>
          <w:rFonts w:ascii="Aptos" w:eastAsiaTheme="majorEastAsia" w:hAnsi="Aptos"/>
          <w:sz w:val="22"/>
          <w:szCs w:val="22"/>
        </w:rPr>
        <w:t>Organisational culture and psychological contract</w:t>
      </w:r>
      <w:r w:rsidRPr="00694632">
        <w:rPr>
          <w:rFonts w:ascii="Aptos" w:hAnsi="Aptos"/>
          <w:sz w:val="22"/>
          <w:szCs w:val="22"/>
        </w:rPr>
        <w:br/>
        <w:t>Green Friendly Eco’s negative culture and high turnover suggest the psychological contract is damaged. This contract refers to informal expectations and beliefs between employer and employee (CIPD, 2021b). Taylor and Woodham (2022, p.103) explain that while the employment contract sets formal terms, the psychological contract reflects deeper expectations about treatment. Recognition schemes can help restore trust and morale if they are consistent and meaningful (CIPD, 2025). Culture is shaped by shared habits and relationships, and reward practices must support behaviours aligned with organisational values (Waite et al., 2021, p.28).</w:t>
      </w:r>
    </w:p>
    <w:p w14:paraId="18707611" w14:textId="00972AAC" w:rsidR="00043E6B" w:rsidRPr="00694632" w:rsidRDefault="00703CDF" w:rsidP="00C8002E">
      <w:pPr>
        <w:pStyle w:val="NormalWeb"/>
        <w:rPr>
          <w:rFonts w:ascii="Aptos" w:hAnsi="Aptos"/>
          <w:sz w:val="22"/>
          <w:szCs w:val="22"/>
        </w:rPr>
      </w:pPr>
      <w:r w:rsidRPr="00694632">
        <w:rPr>
          <w:rStyle w:val="Strong"/>
          <w:rFonts w:ascii="Aptos" w:eastAsiaTheme="majorEastAsia" w:hAnsi="Aptos"/>
          <w:sz w:val="22"/>
          <w:szCs w:val="22"/>
        </w:rPr>
        <w:t>Impact on reward:</w:t>
      </w:r>
      <w:r w:rsidRPr="00694632">
        <w:rPr>
          <w:rFonts w:ascii="Aptos" w:hAnsi="Aptos"/>
          <w:sz w:val="22"/>
          <w:szCs w:val="22"/>
        </w:rPr>
        <w:br/>
        <w:t>• Reward must rebuild trust and morale</w:t>
      </w:r>
      <w:r w:rsidRPr="00694632">
        <w:rPr>
          <w:rFonts w:ascii="Aptos" w:hAnsi="Aptos"/>
          <w:sz w:val="22"/>
          <w:szCs w:val="22"/>
        </w:rPr>
        <w:br/>
        <w:t>• Recognition should become core to culture</w:t>
      </w:r>
    </w:p>
    <w:p w14:paraId="036869FE" w14:textId="77777777" w:rsidR="00E733CA" w:rsidRPr="00694632" w:rsidRDefault="00B60F1E" w:rsidP="007857AB">
      <w:pPr>
        <w:pStyle w:val="Nornal"/>
        <w:spacing w:after="0"/>
        <w:rPr>
          <w:rFonts w:ascii="Aptos" w:hAnsi="Aptos"/>
          <w:b/>
          <w:bCs/>
          <w:lang w:val="en-GB"/>
        </w:rPr>
      </w:pPr>
      <w:r w:rsidRPr="00694632">
        <w:rPr>
          <w:rFonts w:ascii="Aptos" w:hAnsi="Aptos"/>
          <w:b/>
          <w:bCs/>
          <w:lang w:val="en-GB"/>
        </w:rPr>
        <w:t>(AC 3.2)</w:t>
      </w:r>
    </w:p>
    <w:p w14:paraId="47629B34" w14:textId="15F8C348" w:rsidR="00B60F1E" w:rsidRPr="00694632" w:rsidRDefault="00B60F1E" w:rsidP="007857AB">
      <w:pPr>
        <w:pStyle w:val="Nornal"/>
        <w:spacing w:after="0"/>
        <w:rPr>
          <w:rFonts w:ascii="Aptos" w:hAnsi="Aptos"/>
          <w:lang w:val="en-GB"/>
        </w:rPr>
      </w:pPr>
      <w:r w:rsidRPr="00694632">
        <w:rPr>
          <w:rFonts w:ascii="Aptos" w:hAnsi="Aptos"/>
          <w:lang w:val="en-GB"/>
        </w:rPr>
        <w:t xml:space="preserve"> </w:t>
      </w:r>
    </w:p>
    <w:p w14:paraId="1A70396A" w14:textId="77777777" w:rsidR="00700934" w:rsidRPr="00694632" w:rsidRDefault="00700934" w:rsidP="00700934">
      <w:pPr>
        <w:pStyle w:val="Nornal"/>
        <w:spacing w:after="0"/>
        <w:rPr>
          <w:rFonts w:ascii="Aptos" w:hAnsi="Aptos"/>
          <w:lang w:val="en-GB"/>
        </w:rPr>
      </w:pPr>
      <w:r w:rsidRPr="00694632">
        <w:rPr>
          <w:rFonts w:ascii="Aptos" w:hAnsi="Aptos"/>
          <w:lang w:val="en-GB"/>
        </w:rPr>
        <w:t>Benchmarking data is essential for Green Friendly Eco to ensure its reward packages are competitive and fair in the manufacturing market. Salary and reward surveys provide up-to-date market data on pay rates, benefits and incentives. These surveys are reliable when based on large samples and regular updates, but they can be costly and may not fully cover niche manufacturing roles (CIPD, 2025). Survey data also depends on the accuracy of employer submissions and may not reflect local variations unless regionally segmented.</w:t>
      </w:r>
    </w:p>
    <w:p w14:paraId="23776F5D" w14:textId="77777777" w:rsidR="00700934" w:rsidRPr="00694632" w:rsidRDefault="00700934" w:rsidP="00700934">
      <w:pPr>
        <w:pStyle w:val="Nornal"/>
        <w:spacing w:after="0"/>
        <w:rPr>
          <w:rFonts w:ascii="Aptos" w:hAnsi="Aptos"/>
          <w:lang w:val="en-GB"/>
        </w:rPr>
      </w:pPr>
    </w:p>
    <w:p w14:paraId="5E575C84" w14:textId="77777777" w:rsidR="00700934" w:rsidRPr="00694632" w:rsidRDefault="00700934" w:rsidP="00700934">
      <w:pPr>
        <w:pStyle w:val="Nornal"/>
        <w:spacing w:after="0"/>
        <w:rPr>
          <w:rFonts w:ascii="Aptos" w:hAnsi="Aptos"/>
          <w:lang w:val="en-GB"/>
        </w:rPr>
      </w:pPr>
      <w:r w:rsidRPr="00694632">
        <w:rPr>
          <w:rFonts w:ascii="Aptos" w:hAnsi="Aptos"/>
          <w:lang w:val="en-GB"/>
        </w:rPr>
        <w:t>Job evaluation and market pricing allow the organisation to compare roles internally and externally by assessing responsibilities, skills and job complexity. This supports internal equity and market competitiveness, but requires accurate job matching and consistent evaluation criteria. If job roles are poorly defined, results may be misleading (CIPD, 2025).</w:t>
      </w:r>
    </w:p>
    <w:p w14:paraId="24790270" w14:textId="77777777" w:rsidR="0012756A" w:rsidRPr="00694632" w:rsidRDefault="0012756A" w:rsidP="00700934">
      <w:pPr>
        <w:pStyle w:val="Nornal"/>
        <w:spacing w:after="0"/>
        <w:rPr>
          <w:rFonts w:ascii="Aptos" w:hAnsi="Aptos"/>
          <w:lang w:val="en-GB"/>
        </w:rPr>
      </w:pPr>
    </w:p>
    <w:p w14:paraId="4FA498C9" w14:textId="12F8BA14" w:rsidR="0012756A" w:rsidRPr="00694632" w:rsidRDefault="00C71E8F" w:rsidP="00700934">
      <w:pPr>
        <w:pStyle w:val="Nornal"/>
        <w:spacing w:after="0"/>
        <w:rPr>
          <w:rFonts w:ascii="Aptos" w:hAnsi="Aptos"/>
          <w:lang w:val="en-GB"/>
        </w:rPr>
      </w:pPr>
      <w:r w:rsidRPr="00694632">
        <w:rPr>
          <w:rFonts w:ascii="Aptos" w:hAnsi="Aptos"/>
          <w:lang w:val="en-GB"/>
        </w:rPr>
        <w:t>Government statistics, such as ONS labour market and pay data, offer valid and standardised information on earnings, vacancies and inflation trends. These sources are reliable due to rigorous methodology, but can lag behind real-time market changes and therefore work best when combined with survey data (ONS, 2024). For Green Friendly Eco, ONS data can help understand national pay trends and sector-level shifts, but the company should also use industry-specific surveys to capture local manufacturing demand. Benchmarking data can be measured by comparing Green Friendly Eco’s pay ranges to market medians and percentiles, identifying gaps by job family, and tracking trends over time to highlight where rewards are under- or over-valued (CIPD 2025).</w:t>
      </w:r>
    </w:p>
    <w:p w14:paraId="5494F32B" w14:textId="77777777" w:rsidR="00700934" w:rsidRPr="00694632" w:rsidRDefault="00700934" w:rsidP="00700934">
      <w:pPr>
        <w:pStyle w:val="Nornal"/>
        <w:spacing w:after="0"/>
        <w:rPr>
          <w:rFonts w:ascii="Aptos" w:hAnsi="Aptos"/>
          <w:lang w:val="en-GB"/>
        </w:rPr>
      </w:pPr>
    </w:p>
    <w:p w14:paraId="051B4327" w14:textId="77777777" w:rsidR="00700934" w:rsidRPr="00694632" w:rsidRDefault="00700934" w:rsidP="00700934">
      <w:pPr>
        <w:pStyle w:val="Nornal"/>
        <w:spacing w:after="0"/>
        <w:rPr>
          <w:rFonts w:ascii="Aptos" w:hAnsi="Aptos"/>
          <w:lang w:val="en-GB"/>
        </w:rPr>
      </w:pPr>
      <w:r w:rsidRPr="00694632">
        <w:rPr>
          <w:rFonts w:ascii="Aptos" w:hAnsi="Aptos"/>
          <w:lang w:val="en-GB"/>
        </w:rPr>
        <w:t>Pay benchmarking reports (e.g., People Management) provide sector-specific insight by comparing pay with similar employers, including salary ranges, averages and benefits by region. This is useful for identifying pay gaps and adjusting reward packages, but the quality depends on accurate job matching and up-to-date data (Farrand, 2023).</w:t>
      </w:r>
    </w:p>
    <w:p w14:paraId="7A6058C3" w14:textId="77777777" w:rsidR="00700934" w:rsidRPr="00694632" w:rsidRDefault="00700934" w:rsidP="00700934">
      <w:pPr>
        <w:pStyle w:val="Nornal"/>
        <w:spacing w:after="0"/>
        <w:rPr>
          <w:rFonts w:ascii="Aptos" w:hAnsi="Aptos"/>
          <w:lang w:val="en-GB"/>
        </w:rPr>
      </w:pPr>
    </w:p>
    <w:p w14:paraId="01EBE1F9" w14:textId="77777777" w:rsidR="00700934" w:rsidRPr="00694632" w:rsidRDefault="00700934" w:rsidP="00700934">
      <w:pPr>
        <w:pStyle w:val="Nornal"/>
        <w:spacing w:after="0"/>
        <w:rPr>
          <w:rFonts w:ascii="Aptos" w:hAnsi="Aptos"/>
          <w:lang w:val="en-GB"/>
        </w:rPr>
      </w:pPr>
      <w:r w:rsidRPr="00694632">
        <w:rPr>
          <w:rFonts w:ascii="Aptos" w:hAnsi="Aptos"/>
          <w:lang w:val="en-GB"/>
        </w:rPr>
        <w:t>Internal payroll data (e.g., turnover rates, retention statistics and pay progression) is another valuable source. While not a market benchmark, it helps measure the effectiveness of current reward strategies and identify where pay and benefits are driving turnover. When combined with external benchmarking, this gives a more complete picture of reward performance (CIPD, 2025).</w:t>
      </w:r>
    </w:p>
    <w:p w14:paraId="1B58D1AE" w14:textId="77777777" w:rsidR="00700934" w:rsidRPr="00694632" w:rsidRDefault="00700934" w:rsidP="00700934">
      <w:pPr>
        <w:pStyle w:val="Nornal"/>
        <w:spacing w:after="0"/>
        <w:rPr>
          <w:rFonts w:ascii="Aptos" w:hAnsi="Aptos"/>
          <w:lang w:val="en-GB"/>
        </w:rPr>
      </w:pPr>
    </w:p>
    <w:p w14:paraId="5148C6C7" w14:textId="2A6D8530" w:rsidR="00700934" w:rsidRPr="00694632" w:rsidRDefault="00700934" w:rsidP="00700934">
      <w:pPr>
        <w:pStyle w:val="Nornal"/>
        <w:spacing w:after="0"/>
        <w:rPr>
          <w:rFonts w:ascii="Aptos" w:hAnsi="Aptos"/>
          <w:lang w:val="en-GB"/>
        </w:rPr>
      </w:pPr>
      <w:r w:rsidRPr="00694632">
        <w:rPr>
          <w:rFonts w:ascii="Aptos" w:hAnsi="Aptos"/>
          <w:lang w:val="en-GB"/>
        </w:rPr>
        <w:t xml:space="preserve">Green Friendly Eco’s reward issues reflect a wider need for HR to act strategically rather than purely administratively. The CIPD podcast highlights that HR is increasingly expected to support organisational goals such as talent retention, engagement and fair reward systems, rather than only managing compliance and paperwork (Cassidy, </w:t>
      </w:r>
      <w:r w:rsidR="002B2891" w:rsidRPr="00694632">
        <w:rPr>
          <w:rFonts w:ascii="Aptos" w:hAnsi="Aptos"/>
          <w:lang w:val="en-GB"/>
        </w:rPr>
        <w:t xml:space="preserve">N. </w:t>
      </w:r>
      <w:r w:rsidRPr="00694632">
        <w:rPr>
          <w:rFonts w:ascii="Aptos" w:hAnsi="Aptos"/>
          <w:lang w:val="en-GB"/>
        </w:rPr>
        <w:t>2022). This supports the need for Green Friendly Eco to redesign its reward strategy to rebuild trust, improve morale and reduce turnover. By adopting a more strategic HR approach, the organisation can better align reward with employee expectations, ensuring recognition, development opportunities and fair pay are delivered consistently. This would strengthen the psychological contract, improve employee commitment, and enhance long-term organisational performance.</w:t>
      </w:r>
    </w:p>
    <w:p w14:paraId="6B1DBC59" w14:textId="77777777" w:rsidR="00A17FC6" w:rsidRPr="00694632" w:rsidRDefault="00A17FC6" w:rsidP="00700934">
      <w:pPr>
        <w:pStyle w:val="Nornal"/>
        <w:spacing w:after="0"/>
        <w:rPr>
          <w:rFonts w:ascii="Aptos" w:hAnsi="Aptos"/>
          <w:lang w:val="en-GB"/>
        </w:rPr>
      </w:pPr>
    </w:p>
    <w:p w14:paraId="3D744D2C" w14:textId="5556E03B" w:rsidR="00551675" w:rsidRPr="00694632" w:rsidRDefault="00714669" w:rsidP="00551675">
      <w:pPr>
        <w:pStyle w:val="Nornal"/>
        <w:spacing w:after="0"/>
        <w:rPr>
          <w:rFonts w:ascii="Aptos" w:hAnsi="Aptos"/>
          <w:b/>
          <w:bCs/>
        </w:rPr>
      </w:pPr>
      <w:r w:rsidRPr="00694632">
        <w:rPr>
          <w:rFonts w:ascii="Aptos" w:hAnsi="Aptos"/>
          <w:b/>
          <w:bCs/>
        </w:rPr>
        <w:t>(AC 3.3)</w:t>
      </w:r>
    </w:p>
    <w:p w14:paraId="5C0AD816" w14:textId="77777777" w:rsidR="00E733CA" w:rsidRPr="00694632" w:rsidRDefault="00E733CA" w:rsidP="00551675">
      <w:pPr>
        <w:pStyle w:val="Nornal"/>
        <w:spacing w:after="0"/>
        <w:rPr>
          <w:rFonts w:ascii="Aptos" w:hAnsi="Aptos"/>
          <w:b/>
          <w:bCs/>
        </w:rPr>
      </w:pPr>
    </w:p>
    <w:p w14:paraId="1E142DA0" w14:textId="77777777" w:rsidR="00C578E1" w:rsidRPr="00694632" w:rsidRDefault="00C578E1" w:rsidP="00C578E1">
      <w:pPr>
        <w:pStyle w:val="Nornal"/>
        <w:spacing w:after="0"/>
        <w:rPr>
          <w:rFonts w:ascii="Aptos" w:hAnsi="Aptos"/>
          <w:lang w:val="en-GB"/>
        </w:rPr>
      </w:pPr>
      <w:r w:rsidRPr="00694632">
        <w:rPr>
          <w:rFonts w:ascii="Aptos" w:hAnsi="Aptos"/>
          <w:lang w:val="en-GB"/>
        </w:rPr>
        <w:t>Job evaluation is a systematic process used to determine the relative importance of jobs within an organisation, forming the basis for fair and equitable pay structures. ACAS defines job evaluation as “a method of determining on a systematic basis the relative importance of a number of different jobs” (Acas, n.d.). Although organisations have always made implicit judgements about job value, formal job evaluation provides a structured and objective approach that helps reduce bias and discrimination.</w:t>
      </w:r>
    </w:p>
    <w:p w14:paraId="2719D61E" w14:textId="77777777" w:rsidR="00C578E1" w:rsidRPr="00694632" w:rsidRDefault="00C578E1" w:rsidP="00C578E1">
      <w:pPr>
        <w:pStyle w:val="Nornal"/>
        <w:spacing w:after="0"/>
        <w:rPr>
          <w:rFonts w:ascii="Aptos" w:hAnsi="Aptos"/>
          <w:lang w:val="en-GB"/>
        </w:rPr>
      </w:pPr>
    </w:p>
    <w:p w14:paraId="072726F9" w14:textId="77777777" w:rsidR="00C578E1" w:rsidRPr="00694632" w:rsidRDefault="00C578E1" w:rsidP="00C578E1">
      <w:pPr>
        <w:pStyle w:val="Nornal"/>
        <w:spacing w:after="0"/>
        <w:rPr>
          <w:rFonts w:ascii="Aptos" w:hAnsi="Aptos"/>
          <w:lang w:val="en-GB"/>
        </w:rPr>
      </w:pPr>
      <w:r w:rsidRPr="00694632">
        <w:rPr>
          <w:rFonts w:ascii="Aptos" w:hAnsi="Aptos"/>
          <w:lang w:val="en-GB"/>
        </w:rPr>
        <w:t>Informal job evaluation relies on managerial judgement and broad comparisons between roles. While it is quick and flexible, it lacks transparency and consistency, making it unsuitable for defending pay decisions or addressing equality concerns. In contrast, formal job evaluation uses structured methods and documented criteria to assess roles, improving consistency and supporting fairness across the organisation (Acas, n.d.).</w:t>
      </w:r>
    </w:p>
    <w:p w14:paraId="71C7B99C" w14:textId="77777777" w:rsidR="00C578E1" w:rsidRPr="00694632" w:rsidRDefault="00C578E1" w:rsidP="00C578E1">
      <w:pPr>
        <w:pStyle w:val="Nornal"/>
        <w:spacing w:after="0"/>
        <w:rPr>
          <w:rFonts w:ascii="Aptos" w:hAnsi="Aptos"/>
          <w:lang w:val="en-GB"/>
        </w:rPr>
      </w:pPr>
    </w:p>
    <w:p w14:paraId="040EDBC1" w14:textId="7605D32B" w:rsidR="00C578E1" w:rsidRPr="00694632" w:rsidRDefault="00C578E1" w:rsidP="00C578E1">
      <w:pPr>
        <w:pStyle w:val="Nornal"/>
        <w:spacing w:after="0"/>
        <w:rPr>
          <w:rFonts w:ascii="Aptos" w:hAnsi="Aptos"/>
          <w:lang w:val="en-GB"/>
        </w:rPr>
      </w:pPr>
      <w:r w:rsidRPr="00694632">
        <w:rPr>
          <w:rFonts w:ascii="Aptos" w:hAnsi="Aptos"/>
          <w:lang w:val="en-GB"/>
        </w:rPr>
        <w:t>Job evaluation approaches can also be divided into non-analytical and analytical methods.</w:t>
      </w:r>
      <w:r w:rsidR="0067132A" w:rsidRPr="00694632">
        <w:rPr>
          <w:rFonts w:ascii="Aptos" w:eastAsiaTheme="minorHAnsi" w:hAnsi="Aptos" w:cstheme="minorBidi"/>
          <w:color w:val="auto"/>
          <w:kern w:val="2"/>
          <w:bdr w:val="none" w:sz="0" w:space="0" w:color="auto"/>
          <w:lang w:val="en-GB" w:eastAsia="en-US"/>
          <w14:ligatures w14:val="standardContextual"/>
        </w:rPr>
        <w:t xml:space="preserve"> </w:t>
      </w:r>
      <w:r w:rsidR="0067132A" w:rsidRPr="00694632">
        <w:rPr>
          <w:rFonts w:ascii="Aptos" w:hAnsi="Aptos"/>
          <w:lang w:val="en-GB"/>
        </w:rPr>
        <w:t>Job ranking orders roles from highest to lowest value, while job classification groups jobs into predefined grades</w:t>
      </w:r>
      <w:r w:rsidRPr="00694632">
        <w:rPr>
          <w:rFonts w:ascii="Aptos" w:hAnsi="Aptos"/>
          <w:lang w:val="en-GB"/>
        </w:rPr>
        <w:t>. Job matching involves comparing internal roles with benchmark roles from external surveys, which is useful for understanding market competitiveness but can lack precision if roles are poorly matched (CIPD, 2025).</w:t>
      </w:r>
    </w:p>
    <w:p w14:paraId="2A27F0DF" w14:textId="77777777" w:rsidR="00C578E1" w:rsidRPr="00694632" w:rsidRDefault="00C578E1" w:rsidP="00C578E1">
      <w:pPr>
        <w:pStyle w:val="Nornal"/>
        <w:spacing w:after="0"/>
        <w:rPr>
          <w:rFonts w:ascii="Aptos" w:hAnsi="Aptos"/>
          <w:lang w:val="en-GB"/>
        </w:rPr>
      </w:pPr>
    </w:p>
    <w:p w14:paraId="49111E8E" w14:textId="77777777" w:rsidR="00C578E1" w:rsidRPr="00694632" w:rsidRDefault="00C578E1" w:rsidP="00C578E1">
      <w:pPr>
        <w:pStyle w:val="Nornal"/>
        <w:spacing w:after="0"/>
        <w:rPr>
          <w:rFonts w:ascii="Aptos" w:hAnsi="Aptos"/>
          <w:lang w:val="en-GB"/>
        </w:rPr>
      </w:pPr>
      <w:r w:rsidRPr="00694632">
        <w:rPr>
          <w:rFonts w:ascii="Aptos" w:hAnsi="Aptos"/>
          <w:lang w:val="en-GB"/>
        </w:rPr>
        <w:t>Analytical job evaluation breaks jobs down into defined factors such as skills, effort, responsibility and decision-making. Point factor schemes are a common analytical method, allocating scores to each factor to produce an overall job value. These approaches are more complex and time-consuming but are considered more robust, objective and defensible, particularly in relation to equal pay claims (CIPD, 2025).</w:t>
      </w:r>
    </w:p>
    <w:p w14:paraId="7AD12CB5" w14:textId="77777777" w:rsidR="00C578E1" w:rsidRPr="00694632" w:rsidRDefault="00C578E1" w:rsidP="00C578E1">
      <w:pPr>
        <w:pStyle w:val="Nornal"/>
        <w:spacing w:after="0"/>
        <w:rPr>
          <w:rFonts w:ascii="Aptos" w:hAnsi="Aptos"/>
          <w:lang w:val="en-GB"/>
        </w:rPr>
      </w:pPr>
    </w:p>
    <w:p w14:paraId="30CE0434" w14:textId="77777777" w:rsidR="00C578E1" w:rsidRPr="00694632" w:rsidRDefault="00C578E1" w:rsidP="00C578E1">
      <w:pPr>
        <w:pStyle w:val="Nornal"/>
        <w:spacing w:after="0"/>
        <w:rPr>
          <w:rFonts w:ascii="Aptos" w:hAnsi="Aptos"/>
          <w:lang w:val="en-GB"/>
        </w:rPr>
      </w:pPr>
      <w:r w:rsidRPr="00694632">
        <w:rPr>
          <w:rFonts w:ascii="Aptos" w:hAnsi="Aptos"/>
          <w:lang w:val="en-GB"/>
        </w:rPr>
        <w:t>Job levelling is often used alongside analytical evaluation to group roles of similar value into grades or bands, supporting career progression and consistent reward decisions. Importantly, analytical job evaluation schemes are widely recognised as a valid defence in equal pay cases, as they demonstrate that pay differences are based on objective job-related factors rather than gender or other protected characteristics (Acas, n.d.).</w:t>
      </w:r>
    </w:p>
    <w:p w14:paraId="19A99F46" w14:textId="77777777" w:rsidR="00C578E1" w:rsidRPr="00694632" w:rsidRDefault="00C578E1" w:rsidP="00C578E1">
      <w:pPr>
        <w:pStyle w:val="Nornal"/>
        <w:spacing w:after="0"/>
        <w:rPr>
          <w:rFonts w:ascii="Aptos" w:hAnsi="Aptos"/>
          <w:lang w:val="en-GB"/>
        </w:rPr>
      </w:pPr>
    </w:p>
    <w:p w14:paraId="6A8417D4" w14:textId="77777777" w:rsidR="00C578E1" w:rsidRPr="00694632" w:rsidRDefault="00C578E1" w:rsidP="00C578E1">
      <w:pPr>
        <w:pStyle w:val="Nornal"/>
        <w:spacing w:after="0"/>
        <w:rPr>
          <w:rFonts w:ascii="Aptos" w:hAnsi="Aptos"/>
          <w:lang w:val="en-GB"/>
        </w:rPr>
      </w:pPr>
      <w:r w:rsidRPr="00694632">
        <w:rPr>
          <w:rFonts w:ascii="Aptos" w:hAnsi="Aptos"/>
          <w:lang w:val="en-GB"/>
        </w:rPr>
        <w:t>Overall, while job evaluation can be complex and sensitive due to the human factor and employee perceptions, structured analytical approaches supported by clear communication provide organisations with a transparent and legally defensible foundation for fair reward systems. For Green Friendly Eco, using a formal analytical job evaluation approach, such as a point factor scheme combined with market pricing, would support internal equity, provide transparency in grading decisions, and offer a robust defence against equal pay claims.</w:t>
      </w:r>
    </w:p>
    <w:p w14:paraId="46B93303" w14:textId="77777777" w:rsidR="00CA0EAD" w:rsidRPr="00694632" w:rsidRDefault="00CA0EAD" w:rsidP="00D479A1">
      <w:pPr>
        <w:pStyle w:val="Norna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Aptos" w:hAnsi="Aptos"/>
        </w:rPr>
      </w:pPr>
    </w:p>
    <w:p w14:paraId="2ACC6681" w14:textId="70F700B1" w:rsidR="00B14F66" w:rsidRPr="00694632" w:rsidRDefault="00B14F66" w:rsidP="008C0673">
      <w:pPr>
        <w:pStyle w:val="Listparag"/>
        <w:numPr>
          <w:ilvl w:val="0"/>
          <w:numId w:val="0"/>
        </w:numPr>
        <w:rPr>
          <w:rFonts w:ascii="Aptos" w:eastAsia="Arial" w:hAnsi="Aptos"/>
          <w:b/>
          <w:bCs/>
          <w:szCs w:val="22"/>
        </w:rPr>
      </w:pPr>
      <w:r w:rsidRPr="00694632">
        <w:rPr>
          <w:rFonts w:ascii="Aptos" w:eastAsia="Arial" w:hAnsi="Aptos"/>
          <w:b/>
          <w:bCs/>
          <w:szCs w:val="22"/>
        </w:rPr>
        <w:t>(AC 3.4)</w:t>
      </w:r>
    </w:p>
    <w:p w14:paraId="0FF8AA56" w14:textId="2B6DBFAB" w:rsidR="007F2900" w:rsidRPr="00694632" w:rsidRDefault="007F2900" w:rsidP="00ED283F">
      <w:pPr>
        <w:pStyle w:val="Nornal"/>
        <w:spacing w:after="0"/>
        <w:rPr>
          <w:rFonts w:ascii="Aptos" w:hAnsi="Aptos"/>
          <w:lang w:val="en-GB"/>
        </w:rPr>
      </w:pPr>
      <w:r w:rsidRPr="00694632">
        <w:rPr>
          <w:rFonts w:ascii="Aptos" w:hAnsi="Aptos"/>
          <w:lang w:val="en-GB"/>
        </w:rPr>
        <w:t xml:space="preserve">Reward practice is heavily shaped by legislative requirements governing how pay is calculated, reported, and communicated. </w:t>
      </w:r>
      <w:r w:rsidR="00375871" w:rsidRPr="00694632">
        <w:rPr>
          <w:rFonts w:ascii="Aptos" w:hAnsi="Aptos"/>
          <w:lang w:val="en-GB"/>
        </w:rPr>
        <w:t>Three key areas impacting Green Friendly Eco are income tax compliance, itemised pay statements, and CEO pay reporting.</w:t>
      </w:r>
    </w:p>
    <w:p w14:paraId="779112D6" w14:textId="77777777" w:rsidR="00ED283F" w:rsidRPr="00694632" w:rsidRDefault="00ED283F" w:rsidP="00ED283F">
      <w:pPr>
        <w:pStyle w:val="Nornal"/>
        <w:spacing w:after="0"/>
        <w:rPr>
          <w:rFonts w:ascii="Aptos" w:hAnsi="Aptos"/>
          <w:lang w:val="en-GB"/>
        </w:rPr>
      </w:pPr>
    </w:p>
    <w:p w14:paraId="51AB4EC0" w14:textId="57A14385" w:rsidR="007F2900" w:rsidRPr="00694632" w:rsidRDefault="007F2900" w:rsidP="003970F2">
      <w:pPr>
        <w:pStyle w:val="Nornal"/>
        <w:numPr>
          <w:ilvl w:val="0"/>
          <w:numId w:val="85"/>
        </w:numPr>
        <w:spacing w:after="0"/>
        <w:rPr>
          <w:rFonts w:ascii="Aptos" w:hAnsi="Aptos"/>
          <w:lang w:val="en-GB"/>
        </w:rPr>
      </w:pPr>
      <w:r w:rsidRPr="00694632">
        <w:rPr>
          <w:rFonts w:ascii="Aptos" w:hAnsi="Aptos"/>
          <w:b/>
          <w:bCs/>
          <w:lang w:val="en-GB"/>
        </w:rPr>
        <w:t>Income Tax (PAYE &amp; HMRC compliance)</w:t>
      </w:r>
      <w:r w:rsidRPr="00694632">
        <w:rPr>
          <w:rFonts w:ascii="Aptos" w:hAnsi="Aptos"/>
          <w:lang w:val="en-GB"/>
        </w:rPr>
        <w:br/>
        <w:t xml:space="preserve">Employers must operate the Pay </w:t>
      </w:r>
      <w:proofErr w:type="gramStart"/>
      <w:r w:rsidRPr="00694632">
        <w:rPr>
          <w:rFonts w:ascii="Aptos" w:hAnsi="Aptos"/>
          <w:lang w:val="en-GB"/>
        </w:rPr>
        <w:t>As</w:t>
      </w:r>
      <w:proofErr w:type="gramEnd"/>
      <w:r w:rsidRPr="00694632">
        <w:rPr>
          <w:rFonts w:ascii="Aptos" w:hAnsi="Aptos"/>
          <w:lang w:val="en-GB"/>
        </w:rPr>
        <w:t xml:space="preserve"> You Earn (PAYE) system, deducting income tax and National Insurance contributions and submitting them to HMRC (Gov.uk, n.d.). Employers must also apply correct tax codes and report payroll information accurately. This affects reward practice because net pay determines employee motivation, retention, and perceived fairness. Incorrect deductions or late payments can result in penalties and reputational damage. For Green Friendly Eco, accurate tax deductions are vital to rebuild trust after high turnover and low morale. Reward packages should be designed with tax implications in mind—especially bonuses, overtime, and benefits in kind—ensuring employees receive correct pay and understand deductions. Clear tax compliance also supports transparent reward policies and reduces suspicion of unfair treatment.</w:t>
      </w:r>
    </w:p>
    <w:p w14:paraId="24849F31" w14:textId="77777777" w:rsidR="005B0F6B" w:rsidRPr="00694632" w:rsidRDefault="005B0F6B" w:rsidP="007F2900">
      <w:pPr>
        <w:pStyle w:val="Nornal"/>
        <w:spacing w:after="0"/>
        <w:ind w:left="720"/>
        <w:rPr>
          <w:rFonts w:ascii="Aptos" w:hAnsi="Aptos"/>
          <w:lang w:val="en-GB"/>
        </w:rPr>
      </w:pPr>
    </w:p>
    <w:p w14:paraId="33F90DB8" w14:textId="30CE87C6" w:rsidR="007F2900" w:rsidRPr="00694632" w:rsidRDefault="007F2900" w:rsidP="005B0F6B">
      <w:pPr>
        <w:pStyle w:val="Nornal"/>
        <w:spacing w:after="0"/>
        <w:ind w:left="720"/>
        <w:rPr>
          <w:rFonts w:ascii="Aptos" w:hAnsi="Aptos"/>
          <w:lang w:val="en-GB"/>
        </w:rPr>
      </w:pPr>
      <w:r w:rsidRPr="00694632">
        <w:rPr>
          <w:rFonts w:ascii="Aptos" w:hAnsi="Aptos"/>
          <w:b/>
          <w:bCs/>
          <w:lang w:val="en-GB"/>
        </w:rPr>
        <w:t>Impact on reward:</w:t>
      </w:r>
      <w:r w:rsidRPr="00694632">
        <w:rPr>
          <w:rFonts w:ascii="Aptos" w:hAnsi="Aptos"/>
          <w:lang w:val="en-GB"/>
        </w:rPr>
        <w:br/>
        <w:t>• Accurate pay calculations reduce legal risk</w:t>
      </w:r>
      <w:r w:rsidRPr="00694632">
        <w:rPr>
          <w:rFonts w:ascii="Aptos" w:hAnsi="Aptos"/>
          <w:lang w:val="en-GB"/>
        </w:rPr>
        <w:br/>
        <w:t>• Ensures employees understand their net pay</w:t>
      </w:r>
      <w:r w:rsidRPr="00694632">
        <w:rPr>
          <w:rFonts w:ascii="Aptos" w:hAnsi="Aptos"/>
          <w:lang w:val="en-GB"/>
        </w:rPr>
        <w:br/>
        <w:t>• Influences bonus and benefits decisions</w:t>
      </w:r>
    </w:p>
    <w:p w14:paraId="2CB2BA9E" w14:textId="77777777" w:rsidR="005B0F6B" w:rsidRPr="00694632" w:rsidRDefault="005B0F6B" w:rsidP="007F2900">
      <w:pPr>
        <w:pStyle w:val="Nornal"/>
        <w:spacing w:after="0"/>
        <w:ind w:left="720"/>
        <w:rPr>
          <w:rFonts w:ascii="Aptos" w:hAnsi="Aptos"/>
          <w:lang w:val="en-GB"/>
        </w:rPr>
      </w:pPr>
    </w:p>
    <w:p w14:paraId="749009E2" w14:textId="79E35B0D" w:rsidR="007F2900" w:rsidRPr="00694632" w:rsidRDefault="007F2900" w:rsidP="003970F2">
      <w:pPr>
        <w:pStyle w:val="Nornal"/>
        <w:numPr>
          <w:ilvl w:val="0"/>
          <w:numId w:val="85"/>
        </w:numPr>
        <w:spacing w:after="0"/>
        <w:rPr>
          <w:rFonts w:ascii="Aptos" w:hAnsi="Aptos"/>
          <w:lang w:val="en-GB"/>
        </w:rPr>
      </w:pPr>
      <w:r w:rsidRPr="00694632">
        <w:rPr>
          <w:rFonts w:ascii="Aptos" w:hAnsi="Aptos"/>
          <w:b/>
          <w:bCs/>
          <w:lang w:val="en-GB"/>
        </w:rPr>
        <w:t>Itemised Pay Statements (Employment Rights Act 1996)</w:t>
      </w:r>
      <w:r w:rsidRPr="00694632">
        <w:rPr>
          <w:rFonts w:ascii="Aptos" w:hAnsi="Aptos"/>
          <w:lang w:val="en-GB"/>
        </w:rPr>
        <w:br/>
        <w:t>Employers must provide itemised payslips showing gross pay, deductions, net pay, and hours worked where applicable (Gov.uk, n.d.). This increases transparency and supports trust in reward systems. Itemised pay statements allow employees to verify correct payment, especially where overtime, shift allowances, or bonuses apply. For Green Friendly Eco, which has low morale and high turnover, accurate and clear payslips help restore confidence and reduce disputes. It also enables early identification of payroll errors and improves payroll monitoring. Failure to provide correct payslips can result in enforcement action and employee claims.</w:t>
      </w:r>
    </w:p>
    <w:p w14:paraId="532D97ED" w14:textId="77777777" w:rsidR="005B0F6B" w:rsidRPr="00694632" w:rsidRDefault="005B0F6B" w:rsidP="007F2900">
      <w:pPr>
        <w:pStyle w:val="Nornal"/>
        <w:spacing w:after="0"/>
        <w:ind w:left="720"/>
        <w:rPr>
          <w:rFonts w:ascii="Aptos" w:hAnsi="Aptos"/>
          <w:lang w:val="en-GB"/>
        </w:rPr>
      </w:pPr>
    </w:p>
    <w:p w14:paraId="54D80C3A" w14:textId="243903F7" w:rsidR="007F2900" w:rsidRPr="00694632" w:rsidRDefault="007F2900" w:rsidP="005B0F6B">
      <w:pPr>
        <w:pStyle w:val="Nornal"/>
        <w:spacing w:after="0"/>
        <w:ind w:left="720"/>
        <w:rPr>
          <w:rFonts w:ascii="Aptos" w:hAnsi="Aptos"/>
          <w:lang w:val="en-GB"/>
        </w:rPr>
      </w:pPr>
      <w:r w:rsidRPr="00694632">
        <w:rPr>
          <w:rFonts w:ascii="Aptos" w:hAnsi="Aptos"/>
          <w:b/>
          <w:bCs/>
          <w:lang w:val="en-GB"/>
        </w:rPr>
        <w:t>Impact on reward:</w:t>
      </w:r>
      <w:r w:rsidRPr="00694632">
        <w:rPr>
          <w:rFonts w:ascii="Aptos" w:hAnsi="Aptos"/>
          <w:lang w:val="en-GB"/>
        </w:rPr>
        <w:br/>
        <w:t>• Promotes transparency and fairness</w:t>
      </w:r>
      <w:r w:rsidRPr="00694632">
        <w:rPr>
          <w:rFonts w:ascii="Aptos" w:hAnsi="Aptos"/>
          <w:lang w:val="en-GB"/>
        </w:rPr>
        <w:br/>
        <w:t>• Reduces payroll disputes</w:t>
      </w:r>
      <w:r w:rsidRPr="00694632">
        <w:rPr>
          <w:rFonts w:ascii="Aptos" w:hAnsi="Aptos"/>
          <w:lang w:val="en-GB"/>
        </w:rPr>
        <w:br/>
        <w:t>• Supports employee trust and engagement</w:t>
      </w:r>
    </w:p>
    <w:p w14:paraId="01ED4BEA" w14:textId="77777777" w:rsidR="005B0F6B" w:rsidRPr="00694632" w:rsidRDefault="005B0F6B" w:rsidP="007F2900">
      <w:pPr>
        <w:pStyle w:val="Nornal"/>
        <w:spacing w:after="0"/>
        <w:ind w:left="720"/>
        <w:rPr>
          <w:rFonts w:ascii="Aptos" w:hAnsi="Aptos"/>
          <w:lang w:val="en-GB"/>
        </w:rPr>
      </w:pPr>
    </w:p>
    <w:p w14:paraId="7F59E0E9" w14:textId="652021A2" w:rsidR="007F2900" w:rsidRPr="00694632" w:rsidRDefault="007F2900" w:rsidP="003970F2">
      <w:pPr>
        <w:pStyle w:val="Nornal"/>
        <w:numPr>
          <w:ilvl w:val="0"/>
          <w:numId w:val="85"/>
        </w:numPr>
        <w:spacing w:after="0"/>
        <w:rPr>
          <w:rFonts w:ascii="Aptos" w:hAnsi="Aptos"/>
          <w:lang w:val="en-GB"/>
        </w:rPr>
      </w:pPr>
      <w:r w:rsidRPr="00694632">
        <w:rPr>
          <w:rFonts w:ascii="Aptos" w:hAnsi="Aptos"/>
          <w:b/>
          <w:bCs/>
          <w:lang w:val="en-GB"/>
        </w:rPr>
        <w:t>CEO Pay Reporting (Corporate governance &amp; transparency)</w:t>
      </w:r>
      <w:r w:rsidRPr="00694632">
        <w:rPr>
          <w:rFonts w:ascii="Aptos" w:hAnsi="Aptos"/>
          <w:lang w:val="en-GB"/>
        </w:rPr>
        <w:br/>
        <w:t>Listed companies and large organisations must report executive pay and, for many, CEO-to-average pay ratios in annual reports (CIPD, 2025). While Green Friendly Eco may not be legally required to publish these disclosures, adopting similar practices can improve trust and fairness. CEO pay reporting affects reward practice because organisations must justify executive pay and align it with performance and ethical standards. In companies with negative culture, large pay gaps can worsen perceptions of unfairness and reduce motivation. The CIPD notes that reporting requirements are expanding, including ethnicity and disability pay reporting for employers with 250+ employees and broader equal pay protections (CIPD, 2025). This increases the need for transparent reward practices and accurate reporting.</w:t>
      </w:r>
    </w:p>
    <w:p w14:paraId="3CF28A32" w14:textId="77777777" w:rsidR="005B0F6B" w:rsidRPr="00694632" w:rsidRDefault="005B0F6B" w:rsidP="003970F2">
      <w:pPr>
        <w:pStyle w:val="Nornal"/>
        <w:spacing w:after="0"/>
        <w:ind w:left="720"/>
        <w:rPr>
          <w:rFonts w:ascii="Aptos" w:hAnsi="Aptos"/>
          <w:lang w:val="en-GB"/>
        </w:rPr>
      </w:pPr>
    </w:p>
    <w:p w14:paraId="361654AA" w14:textId="77777777" w:rsidR="007F2900" w:rsidRPr="00694632" w:rsidRDefault="007F2900" w:rsidP="007F2900">
      <w:pPr>
        <w:pStyle w:val="Nornal"/>
        <w:spacing w:after="0"/>
        <w:ind w:left="720"/>
        <w:rPr>
          <w:rFonts w:ascii="Aptos" w:hAnsi="Aptos"/>
          <w:lang w:val="en-GB"/>
        </w:rPr>
      </w:pPr>
      <w:r w:rsidRPr="00694632">
        <w:rPr>
          <w:rFonts w:ascii="Aptos" w:hAnsi="Aptos"/>
          <w:b/>
          <w:bCs/>
          <w:lang w:val="en-GB"/>
        </w:rPr>
        <w:t>Impact on rewards:</w:t>
      </w:r>
      <w:r w:rsidRPr="00694632">
        <w:rPr>
          <w:rFonts w:ascii="Aptos" w:hAnsi="Aptos"/>
          <w:lang w:val="en-GB"/>
        </w:rPr>
        <w:br/>
        <w:t>• Increases transparency and fairness</w:t>
      </w:r>
      <w:r w:rsidRPr="00694632">
        <w:rPr>
          <w:rFonts w:ascii="Aptos" w:hAnsi="Aptos"/>
          <w:lang w:val="en-GB"/>
        </w:rPr>
        <w:br/>
        <w:t>• Aligns pay with performance and values</w:t>
      </w:r>
      <w:r w:rsidRPr="00694632">
        <w:rPr>
          <w:rFonts w:ascii="Aptos" w:hAnsi="Aptos"/>
          <w:lang w:val="en-GB"/>
        </w:rPr>
        <w:br/>
        <w:t>• Encourages review of pay structures to reduce disparities</w:t>
      </w:r>
    </w:p>
    <w:p w14:paraId="652A404C" w14:textId="77777777" w:rsidR="005F720F" w:rsidRDefault="005F720F" w:rsidP="007A0FC3">
      <w:pPr>
        <w:pStyle w:val="Nornal"/>
        <w:spacing w:after="0"/>
        <w:ind w:left="720"/>
        <w:rPr>
          <w:rFonts w:ascii="Aptos" w:hAnsi="Aptos"/>
        </w:rPr>
      </w:pPr>
    </w:p>
    <w:p w14:paraId="32F2AA3F" w14:textId="77777777" w:rsidR="00F412CF" w:rsidRDefault="00F412CF" w:rsidP="003B64C7">
      <w:pPr>
        <w:pStyle w:val="Nornal"/>
        <w:spacing w:after="0"/>
        <w:rPr>
          <w:rFonts w:ascii="Aptos" w:hAnsi="Aptos"/>
          <w:lang w:val="en-GB"/>
        </w:rPr>
      </w:pPr>
    </w:p>
    <w:p w14:paraId="3C8C8CAB" w14:textId="1CCD7E51" w:rsidR="00F412CF" w:rsidRPr="00A17436" w:rsidRDefault="002D47A2" w:rsidP="003B64C7">
      <w:pPr>
        <w:pStyle w:val="Nornal"/>
        <w:spacing w:after="0"/>
        <w:rPr>
          <w:rFonts w:ascii="Aptos" w:hAnsi="Aptos"/>
          <w:b/>
          <w:bCs/>
          <w:lang w:val="en-GB"/>
        </w:rPr>
      </w:pPr>
      <w:r w:rsidRPr="00A17436">
        <w:rPr>
          <w:rFonts w:ascii="Aptos" w:hAnsi="Aptos"/>
          <w:b/>
          <w:bCs/>
          <w:lang w:val="en-GB"/>
        </w:rPr>
        <w:t xml:space="preserve">References: </w:t>
      </w:r>
    </w:p>
    <w:p w14:paraId="78FDD416" w14:textId="77777777" w:rsidR="002D47A2" w:rsidRDefault="002D47A2" w:rsidP="003B64C7">
      <w:pPr>
        <w:pStyle w:val="Nornal"/>
        <w:spacing w:after="0"/>
        <w:rPr>
          <w:rFonts w:ascii="Aptos" w:hAnsi="Aptos"/>
          <w:lang w:val="en-GB"/>
        </w:rPr>
      </w:pPr>
    </w:p>
    <w:p w14:paraId="273FA42B" w14:textId="29E93FF2"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Acas (2014) </w:t>
      </w:r>
      <w:r w:rsidRPr="004C2448">
        <w:rPr>
          <w:rFonts w:ascii="Aptos" w:hAnsi="Aptos"/>
          <w:i/>
          <w:iCs/>
          <w:sz w:val="22"/>
          <w:szCs w:val="22"/>
          <w:u w:color="004147"/>
        </w:rPr>
        <w:t>Pay and job evaluation</w:t>
      </w:r>
      <w:r w:rsidRPr="004C2448">
        <w:rPr>
          <w:rFonts w:ascii="Aptos" w:hAnsi="Aptos"/>
          <w:sz w:val="22"/>
          <w:szCs w:val="22"/>
          <w:u w:color="004147"/>
        </w:rPr>
        <w:t xml:space="preserve">. Available at: </w:t>
      </w:r>
      <w:hyperlink r:id="rId6" w:history="1">
        <w:r w:rsidR="002D47A2" w:rsidRPr="004C2448">
          <w:rPr>
            <w:rStyle w:val="Hyperlink"/>
            <w:rFonts w:ascii="Aptos" w:hAnsi="Aptos"/>
            <w:sz w:val="22"/>
            <w:szCs w:val="22"/>
          </w:rPr>
          <w:t>www.acas.org.uk</w:t>
        </w:r>
      </w:hyperlink>
      <w:r w:rsidR="002D47A2" w:rsidRPr="004C2448">
        <w:rPr>
          <w:rFonts w:ascii="Aptos" w:hAnsi="Aptos"/>
          <w:sz w:val="22"/>
          <w:szCs w:val="22"/>
          <w:u w:color="004147"/>
        </w:rPr>
        <w:t xml:space="preserve"> </w:t>
      </w:r>
      <w:r w:rsidRPr="004C2448">
        <w:rPr>
          <w:rFonts w:ascii="Aptos" w:hAnsi="Aptos"/>
          <w:sz w:val="22"/>
          <w:szCs w:val="22"/>
          <w:u w:color="004147"/>
        </w:rPr>
        <w:t xml:space="preserve"> (Accessed: 27 December 2025).</w:t>
      </w:r>
    </w:p>
    <w:p w14:paraId="4F89C336" w14:textId="4F02B331"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Acas (n.d.) </w:t>
      </w:r>
      <w:r w:rsidRPr="004C2448">
        <w:rPr>
          <w:rFonts w:ascii="Aptos" w:hAnsi="Aptos"/>
          <w:i/>
          <w:iCs/>
          <w:sz w:val="22"/>
          <w:szCs w:val="22"/>
          <w:u w:color="004147"/>
        </w:rPr>
        <w:t>Job evaluation: considerations and risks</w:t>
      </w:r>
      <w:r w:rsidRPr="004C2448">
        <w:rPr>
          <w:rFonts w:ascii="Aptos" w:hAnsi="Aptos"/>
          <w:sz w:val="22"/>
          <w:szCs w:val="22"/>
          <w:u w:color="004147"/>
        </w:rPr>
        <w:t>. Advisory, Conciliation and Arbitration Service. Available</w:t>
      </w:r>
      <w:r w:rsidR="002465DD" w:rsidRPr="004C2448">
        <w:rPr>
          <w:rFonts w:ascii="Aptos" w:hAnsi="Aptos"/>
          <w:sz w:val="22"/>
          <w:szCs w:val="22"/>
          <w:u w:color="004147"/>
        </w:rPr>
        <w:t xml:space="preserve"> at:</w:t>
      </w:r>
      <w:hyperlink r:id="rId7" w:history="1">
        <w:r w:rsidR="00DB3636" w:rsidRPr="004C2448">
          <w:rPr>
            <w:rStyle w:val="Hyperlink"/>
            <w:rFonts w:ascii="Aptos" w:hAnsi="Aptos"/>
            <w:sz w:val="22"/>
            <w:szCs w:val="22"/>
          </w:rPr>
          <w:t>https://www.acas.org.uk/sites/default/files/2021-03/job-evaluation-considerations-and-risks-advisory-booklet.pdf</w:t>
        </w:r>
      </w:hyperlink>
      <w:r w:rsidR="00DB3636" w:rsidRPr="004C2448">
        <w:rPr>
          <w:rFonts w:ascii="Aptos" w:hAnsi="Aptos"/>
          <w:sz w:val="22"/>
          <w:szCs w:val="22"/>
          <w:u w:color="004147"/>
        </w:rPr>
        <w:t xml:space="preserve"> </w:t>
      </w:r>
      <w:r w:rsidRPr="004C2448">
        <w:rPr>
          <w:rFonts w:ascii="Aptos" w:hAnsi="Aptos"/>
          <w:sz w:val="22"/>
          <w:szCs w:val="22"/>
          <w:u w:color="004147"/>
        </w:rPr>
        <w:t>(Accessed: 24 January 2026).</w:t>
      </w:r>
    </w:p>
    <w:p w14:paraId="7312D44B" w14:textId="20037650"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Acas (n.d.) </w:t>
      </w:r>
      <w:r w:rsidRPr="004C2448">
        <w:rPr>
          <w:rFonts w:ascii="Aptos" w:hAnsi="Aptos"/>
          <w:i/>
          <w:iCs/>
          <w:sz w:val="22"/>
          <w:szCs w:val="22"/>
          <w:u w:color="004147"/>
        </w:rPr>
        <w:t>Pay and wages</w:t>
      </w:r>
      <w:r w:rsidRPr="004C2448">
        <w:rPr>
          <w:rFonts w:ascii="Aptos" w:hAnsi="Aptos"/>
          <w:sz w:val="22"/>
          <w:szCs w:val="22"/>
          <w:u w:color="004147"/>
        </w:rPr>
        <w:t xml:space="preserve">. Available at: </w:t>
      </w:r>
      <w:hyperlink r:id="rId8" w:history="1">
        <w:r w:rsidR="00DB3636" w:rsidRPr="004C2448">
          <w:rPr>
            <w:rStyle w:val="Hyperlink"/>
            <w:rFonts w:ascii="Aptos" w:hAnsi="Aptos"/>
            <w:sz w:val="22"/>
            <w:szCs w:val="22"/>
          </w:rPr>
          <w:t>www.acas.org.uk</w:t>
        </w:r>
      </w:hyperlink>
      <w:r w:rsidR="00DB3636" w:rsidRPr="004C2448">
        <w:rPr>
          <w:rFonts w:ascii="Aptos" w:hAnsi="Aptos"/>
          <w:sz w:val="22"/>
          <w:szCs w:val="22"/>
          <w:u w:color="004147"/>
        </w:rPr>
        <w:t xml:space="preserve"> </w:t>
      </w:r>
      <w:r w:rsidRPr="004C2448">
        <w:rPr>
          <w:rFonts w:ascii="Aptos" w:hAnsi="Aptos"/>
          <w:sz w:val="22"/>
          <w:szCs w:val="22"/>
          <w:u w:color="004147"/>
        </w:rPr>
        <w:t>(Accessed: 27 December 2025).</w:t>
      </w:r>
    </w:p>
    <w:p w14:paraId="7552AC75"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Armstrong, M. (2014) </w:t>
      </w:r>
      <w:r w:rsidRPr="004C2448">
        <w:rPr>
          <w:rFonts w:ascii="Aptos" w:hAnsi="Aptos"/>
          <w:i/>
          <w:iCs/>
          <w:sz w:val="22"/>
          <w:szCs w:val="22"/>
          <w:u w:color="004147"/>
        </w:rPr>
        <w:t>Armstrong’s Handbook of Human Resource Management Practice</w:t>
      </w:r>
      <w:r w:rsidRPr="004C2448">
        <w:rPr>
          <w:rFonts w:ascii="Aptos" w:hAnsi="Aptos"/>
          <w:sz w:val="22"/>
          <w:szCs w:val="22"/>
          <w:u w:color="004147"/>
        </w:rPr>
        <w:t xml:space="preserve">. 13th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w:t>
      </w:r>
    </w:p>
    <w:p w14:paraId="7FAF0DEB" w14:textId="247F2D72"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BBC News (2026) </w:t>
      </w:r>
      <w:r w:rsidRPr="004C2448">
        <w:rPr>
          <w:rFonts w:ascii="Aptos" w:hAnsi="Aptos"/>
          <w:i/>
          <w:iCs/>
          <w:sz w:val="22"/>
          <w:szCs w:val="22"/>
          <w:u w:color="004147"/>
        </w:rPr>
        <w:t>Wage growth as number of people employed falls</w:t>
      </w:r>
      <w:r w:rsidRPr="004C2448">
        <w:rPr>
          <w:rFonts w:ascii="Aptos" w:hAnsi="Aptos"/>
          <w:sz w:val="22"/>
          <w:szCs w:val="22"/>
          <w:u w:color="004147"/>
        </w:rPr>
        <w:t>. Available at:</w:t>
      </w:r>
      <w:r w:rsidR="000E4883" w:rsidRPr="004C2448">
        <w:rPr>
          <w:rFonts w:ascii="Aptos" w:hAnsi="Aptos"/>
          <w:sz w:val="22"/>
          <w:szCs w:val="22"/>
          <w:u w:color="004147"/>
        </w:rPr>
        <w:t xml:space="preserve"> </w:t>
      </w:r>
      <w:hyperlink r:id="rId9" w:anchor=":~:text=Wage%20growth%20in%20the%20UK,in%20private%20sector%20pay%20increases" w:history="1">
        <w:r w:rsidR="00BA47ED" w:rsidRPr="004C2448">
          <w:rPr>
            <w:rStyle w:val="Hyperlink"/>
            <w:rFonts w:ascii="Aptos" w:hAnsi="Aptos"/>
            <w:sz w:val="22"/>
            <w:szCs w:val="22"/>
          </w:rPr>
          <w:t>https://www.bbc.co.uk/news/articles/cddgrg87ly5o#:~:text=Wage%20growth%20in%20the%20UK,in%20private%20sector%20pay%20increases</w:t>
        </w:r>
      </w:hyperlink>
      <w:r w:rsidR="00BA47ED" w:rsidRPr="004C2448">
        <w:rPr>
          <w:rFonts w:ascii="Aptos" w:hAnsi="Aptos"/>
          <w:sz w:val="22"/>
          <w:szCs w:val="22"/>
          <w:u w:color="004147"/>
        </w:rPr>
        <w:t xml:space="preserve"> </w:t>
      </w:r>
      <w:r w:rsidRPr="004C2448">
        <w:rPr>
          <w:rFonts w:ascii="Aptos" w:hAnsi="Aptos"/>
          <w:sz w:val="22"/>
          <w:szCs w:val="22"/>
          <w:u w:color="004147"/>
        </w:rPr>
        <w:t>(Accessed: 23 January 2026).</w:t>
      </w:r>
    </w:p>
    <w:p w14:paraId="79B5F5AA" w14:textId="1A95978B"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Cassidy, N. (2022) </w:t>
      </w:r>
      <w:r w:rsidRPr="004C2448">
        <w:rPr>
          <w:rFonts w:ascii="Aptos" w:hAnsi="Aptos"/>
          <w:i/>
          <w:iCs/>
          <w:sz w:val="22"/>
          <w:szCs w:val="22"/>
          <w:u w:color="004147"/>
        </w:rPr>
        <w:t>What value does HR bring to today’s organisations?</w:t>
      </w:r>
      <w:r w:rsidRPr="004C2448">
        <w:rPr>
          <w:rFonts w:ascii="Aptos" w:hAnsi="Aptos"/>
          <w:sz w:val="22"/>
          <w:szCs w:val="22"/>
          <w:u w:color="004147"/>
        </w:rPr>
        <w:t xml:space="preserve"> CIPD Podcast. Available at: </w:t>
      </w:r>
      <w:hyperlink r:id="rId10" w:history="1">
        <w:r w:rsidR="00DB3636" w:rsidRPr="004C2448">
          <w:rPr>
            <w:rStyle w:val="Hyperlink"/>
            <w:rFonts w:ascii="Aptos" w:hAnsi="Aptos"/>
            <w:sz w:val="22"/>
            <w:szCs w:val="22"/>
          </w:rPr>
          <w:t>https://www.cipd.org/uk/knowledge/podcasts/purpose-and-value-of-hr/</w:t>
        </w:r>
      </w:hyperlink>
      <w:r w:rsidRPr="004C2448">
        <w:rPr>
          <w:rFonts w:ascii="Aptos" w:hAnsi="Aptos"/>
          <w:sz w:val="22"/>
          <w:szCs w:val="22"/>
          <w:u w:color="004147"/>
        </w:rPr>
        <w:t xml:space="preserve"> (Accessed: 23 January 2026).</w:t>
      </w:r>
    </w:p>
    <w:p w14:paraId="549E805B" w14:textId="36AB585D"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(2018) </w:t>
      </w:r>
      <w:r w:rsidRPr="004C2448">
        <w:rPr>
          <w:rFonts w:ascii="Aptos" w:hAnsi="Aptos"/>
          <w:i/>
          <w:iCs/>
          <w:sz w:val="22"/>
          <w:szCs w:val="22"/>
          <w:u w:color="004147"/>
        </w:rPr>
        <w:t>Reward management: focus on employee benefits</w:t>
      </w:r>
      <w:r w:rsidRPr="004C2448">
        <w:rPr>
          <w:rFonts w:ascii="Aptos" w:hAnsi="Aptos"/>
          <w:sz w:val="22"/>
          <w:szCs w:val="22"/>
          <w:u w:color="004147"/>
        </w:rPr>
        <w:t>. London: Chartered Institute of Personnel and Development. Available at:</w:t>
      </w:r>
      <w:r w:rsidR="00917221" w:rsidRPr="004C2448">
        <w:rPr>
          <w:rFonts w:ascii="Aptos" w:hAnsi="Aptos"/>
          <w:sz w:val="22"/>
          <w:szCs w:val="22"/>
        </w:rPr>
        <w:t xml:space="preserve"> </w:t>
      </w:r>
      <w:hyperlink r:id="rId11" w:history="1">
        <w:r w:rsidR="00144E7E" w:rsidRPr="004C2448">
          <w:rPr>
            <w:rStyle w:val="Hyperlink"/>
            <w:rFonts w:ascii="Aptos" w:hAnsi="Aptos"/>
            <w:sz w:val="22"/>
            <w:szCs w:val="22"/>
          </w:rPr>
          <w:t>https://www.cipd.org/globalassets/media/knowledge/knowledge-hub/reports/2018-pdfs/reward-management-report-2018_tcm18-51630.pdf</w:t>
        </w:r>
      </w:hyperlink>
      <w:r w:rsidR="00144E7E" w:rsidRPr="004C2448">
        <w:rPr>
          <w:rFonts w:ascii="Aptos" w:hAnsi="Aptos"/>
          <w:sz w:val="22"/>
          <w:szCs w:val="22"/>
          <w:u w:color="004147"/>
        </w:rPr>
        <w:t xml:space="preserve"> </w:t>
      </w:r>
      <w:r w:rsidRPr="004C2448">
        <w:rPr>
          <w:rFonts w:ascii="Aptos" w:hAnsi="Aptos"/>
          <w:sz w:val="22"/>
          <w:szCs w:val="22"/>
          <w:u w:color="004147"/>
        </w:rPr>
        <w:t>(Accessed: 24 January 2026).</w:t>
      </w:r>
    </w:p>
    <w:p w14:paraId="5FAEF7CD"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(2024) </w:t>
      </w:r>
      <w:r w:rsidRPr="004C2448">
        <w:rPr>
          <w:rFonts w:ascii="Aptos" w:hAnsi="Aptos"/>
          <w:i/>
          <w:iCs/>
          <w:sz w:val="22"/>
          <w:szCs w:val="22"/>
          <w:u w:color="004147"/>
        </w:rPr>
        <w:t>Flexible benefits</w:t>
      </w:r>
      <w:r w:rsidRPr="004C2448">
        <w:rPr>
          <w:rFonts w:ascii="Aptos" w:hAnsi="Aptos"/>
          <w:sz w:val="22"/>
          <w:szCs w:val="22"/>
          <w:u w:color="004147"/>
        </w:rPr>
        <w:t xml:space="preserve">. Factsheet. Available at: </w:t>
      </w:r>
      <w:hyperlink r:id="rId12" w:tgtFrame="_new" w:history="1">
        <w:r w:rsidRPr="004C2448">
          <w:rPr>
            <w:rStyle w:val="Hyperlink"/>
            <w:rFonts w:ascii="Aptos" w:hAnsi="Aptos"/>
            <w:sz w:val="22"/>
            <w:szCs w:val="22"/>
          </w:rPr>
          <w:t>https://www.cipd.org/uk/knowledge/factsheets/flexible-benefits-factsheet/</w:t>
        </w:r>
      </w:hyperlink>
      <w:r w:rsidRPr="004C2448">
        <w:rPr>
          <w:rFonts w:ascii="Aptos" w:hAnsi="Aptos"/>
          <w:sz w:val="22"/>
          <w:szCs w:val="22"/>
          <w:u w:color="004147"/>
        </w:rPr>
        <w:t xml:space="preserve"> (Accessed: 22 January 2026).</w:t>
      </w:r>
    </w:p>
    <w:p w14:paraId="56655E05"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Employee benefits</w:t>
      </w:r>
      <w:r w:rsidRPr="004C2448">
        <w:rPr>
          <w:rFonts w:ascii="Aptos" w:hAnsi="Aptos"/>
          <w:sz w:val="22"/>
          <w:szCs w:val="22"/>
          <w:u w:color="004147"/>
        </w:rPr>
        <w:t xml:space="preserve">. Factsheet. Available at: </w:t>
      </w:r>
      <w:hyperlink r:id="rId13" w:tgtFrame="_new" w:history="1">
        <w:r w:rsidRPr="004C2448">
          <w:rPr>
            <w:rStyle w:val="Hyperlink"/>
            <w:rFonts w:ascii="Aptos" w:hAnsi="Aptos"/>
            <w:sz w:val="22"/>
            <w:szCs w:val="22"/>
          </w:rPr>
          <w:t>https://www.cipd.org/uk/knowledge/factsheets/employee-benefits-factsheet/</w:t>
        </w:r>
      </w:hyperlink>
      <w:r w:rsidRPr="004C2448">
        <w:rPr>
          <w:rFonts w:ascii="Aptos" w:hAnsi="Aptos"/>
          <w:sz w:val="22"/>
          <w:szCs w:val="22"/>
          <w:u w:color="004147"/>
        </w:rPr>
        <w:t xml:space="preserve"> (Accessed: 22 January 2026).</w:t>
      </w:r>
    </w:p>
    <w:p w14:paraId="09D4CAE6"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Employee engagement factsheet</w:t>
      </w:r>
      <w:r w:rsidRPr="004C2448">
        <w:rPr>
          <w:rFonts w:ascii="Aptos" w:hAnsi="Aptos"/>
          <w:sz w:val="22"/>
          <w:szCs w:val="22"/>
          <w:u w:color="004147"/>
        </w:rPr>
        <w:t xml:space="preserve">. London: Chartered Institute of Personnel and Development. Available at: </w:t>
      </w:r>
      <w:hyperlink r:id="rId14" w:tgtFrame="_new" w:history="1">
        <w:r w:rsidRPr="004C2448">
          <w:rPr>
            <w:rStyle w:val="Hyperlink"/>
            <w:rFonts w:ascii="Aptos" w:hAnsi="Aptos"/>
            <w:sz w:val="22"/>
            <w:szCs w:val="22"/>
          </w:rPr>
          <w:t>https://www.cipd.org/uk/knowledge/factsheets/engagement-factsheet/</w:t>
        </w:r>
      </w:hyperlink>
      <w:r w:rsidRPr="004C2448">
        <w:rPr>
          <w:rFonts w:ascii="Aptos" w:hAnsi="Aptos"/>
          <w:sz w:val="22"/>
          <w:szCs w:val="22"/>
          <w:u w:color="004147"/>
        </w:rPr>
        <w:t xml:space="preserve"> (Accessed: 27 December 2025).</w:t>
      </w:r>
    </w:p>
    <w:p w14:paraId="43788E4E"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Executive pay</w:t>
      </w:r>
      <w:r w:rsidRPr="004C2448">
        <w:rPr>
          <w:rFonts w:ascii="Aptos" w:hAnsi="Aptos"/>
          <w:sz w:val="22"/>
          <w:szCs w:val="22"/>
          <w:u w:color="004147"/>
        </w:rPr>
        <w:t xml:space="preserve">. Available at: </w:t>
      </w:r>
      <w:hyperlink r:id="rId15" w:tgtFrame="_new" w:history="1">
        <w:r w:rsidRPr="004C2448">
          <w:rPr>
            <w:rStyle w:val="Hyperlink"/>
            <w:rFonts w:ascii="Aptos" w:hAnsi="Aptos"/>
            <w:sz w:val="22"/>
            <w:szCs w:val="22"/>
          </w:rPr>
          <w:t>https://www.cipd.org/uk/views-and-insights/cipd-viewpoint/executive-pay/</w:t>
        </w:r>
      </w:hyperlink>
      <w:r w:rsidRPr="004C2448">
        <w:rPr>
          <w:rFonts w:ascii="Aptos" w:hAnsi="Aptos"/>
          <w:sz w:val="22"/>
          <w:szCs w:val="22"/>
          <w:u w:color="004147"/>
        </w:rPr>
        <w:t xml:space="preserve"> (Accessed: 24 January 2026).</w:t>
      </w:r>
    </w:p>
    <w:p w14:paraId="02F81B62"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Job evaluation and market pricing factsheet</w:t>
      </w:r>
      <w:r w:rsidRPr="004C2448">
        <w:rPr>
          <w:rFonts w:ascii="Aptos" w:hAnsi="Aptos"/>
          <w:sz w:val="22"/>
          <w:szCs w:val="22"/>
          <w:u w:color="004147"/>
        </w:rPr>
        <w:t xml:space="preserve">. CIPD. Available at: </w:t>
      </w:r>
      <w:hyperlink r:id="rId16" w:tgtFrame="_new" w:history="1">
        <w:r w:rsidRPr="004C2448">
          <w:rPr>
            <w:rStyle w:val="Hyperlink"/>
            <w:rFonts w:ascii="Aptos" w:hAnsi="Aptos"/>
            <w:sz w:val="22"/>
            <w:szCs w:val="22"/>
          </w:rPr>
          <w:t>https://www.cipd.org/uk/knowledge/factsheets/market-pricing-factsheet/</w:t>
        </w:r>
      </w:hyperlink>
      <w:r w:rsidRPr="004C2448">
        <w:rPr>
          <w:rFonts w:ascii="Aptos" w:hAnsi="Aptos"/>
          <w:sz w:val="22"/>
          <w:szCs w:val="22"/>
          <w:u w:color="004147"/>
        </w:rPr>
        <w:t xml:space="preserve"> (Accessed: 24 January 2026).</w:t>
      </w:r>
    </w:p>
    <w:p w14:paraId="033F384D"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Market pricing and job evaluation factsheet</w:t>
      </w:r>
      <w:r w:rsidRPr="004C2448">
        <w:rPr>
          <w:rFonts w:ascii="Aptos" w:hAnsi="Aptos"/>
          <w:sz w:val="22"/>
          <w:szCs w:val="22"/>
          <w:u w:color="004147"/>
        </w:rPr>
        <w:t xml:space="preserve">. Available at: </w:t>
      </w:r>
      <w:hyperlink r:id="rId17" w:anchor="jobevaluationmarket" w:tgtFrame="_new" w:history="1">
        <w:r w:rsidRPr="004C2448">
          <w:rPr>
            <w:rStyle w:val="Hyperlink"/>
            <w:rFonts w:ascii="Aptos" w:hAnsi="Aptos"/>
            <w:sz w:val="22"/>
            <w:szCs w:val="22"/>
          </w:rPr>
          <w:t>https://www.cipd.org/uk/knowledge/factsheets/market-pricing-factsheet/#jobevaluationmarket</w:t>
        </w:r>
      </w:hyperlink>
      <w:r w:rsidRPr="004C2448">
        <w:rPr>
          <w:rFonts w:ascii="Aptos" w:hAnsi="Aptos"/>
          <w:sz w:val="22"/>
          <w:szCs w:val="22"/>
          <w:u w:color="004147"/>
        </w:rPr>
        <w:t xml:space="preserve"> (Accessed: 24 January 2026).</w:t>
      </w:r>
    </w:p>
    <w:p w14:paraId="2B5F9035"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Pay fairness and pay reporting</w:t>
      </w:r>
      <w:r w:rsidRPr="004C2448">
        <w:rPr>
          <w:rFonts w:ascii="Aptos" w:hAnsi="Aptos"/>
          <w:sz w:val="22"/>
          <w:szCs w:val="22"/>
          <w:u w:color="004147"/>
        </w:rPr>
        <w:t xml:space="preserve">. Available at: </w:t>
      </w:r>
      <w:hyperlink r:id="rId18" w:tgtFrame="_new" w:history="1">
        <w:r w:rsidRPr="004C2448">
          <w:rPr>
            <w:rStyle w:val="Hyperlink"/>
            <w:rFonts w:ascii="Aptos" w:hAnsi="Aptos"/>
            <w:sz w:val="22"/>
            <w:szCs w:val="22"/>
          </w:rPr>
          <w:t>https://www.cipd.org/uk/knowledge/factsheets/pay-fairness-reporting-factsheet/</w:t>
        </w:r>
      </w:hyperlink>
      <w:r w:rsidRPr="004C2448">
        <w:rPr>
          <w:rFonts w:ascii="Aptos" w:hAnsi="Aptos"/>
          <w:sz w:val="22"/>
          <w:szCs w:val="22"/>
          <w:u w:color="004147"/>
        </w:rPr>
        <w:t xml:space="preserve"> (Accessed: 24 January 2026).</w:t>
      </w:r>
    </w:p>
    <w:p w14:paraId="0C2C0E81"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Pay structure and pay progression</w:t>
      </w:r>
      <w:r w:rsidRPr="004C2448">
        <w:rPr>
          <w:rFonts w:ascii="Aptos" w:hAnsi="Aptos"/>
          <w:sz w:val="22"/>
          <w:szCs w:val="22"/>
          <w:u w:color="004147"/>
        </w:rPr>
        <w:t xml:space="preserve">. CIPD. Available at: </w:t>
      </w:r>
      <w:hyperlink r:id="rId19" w:tgtFrame="_new" w:history="1">
        <w:r w:rsidRPr="004C2448">
          <w:rPr>
            <w:rStyle w:val="Hyperlink"/>
            <w:rFonts w:ascii="Aptos" w:hAnsi="Aptos"/>
            <w:sz w:val="22"/>
            <w:szCs w:val="22"/>
          </w:rPr>
          <w:t>https://www.cipd.co.uk/knowledge/fundamentals/emp-law/reward/factsheet</w:t>
        </w:r>
      </w:hyperlink>
      <w:r w:rsidRPr="004C2448">
        <w:rPr>
          <w:rFonts w:ascii="Aptos" w:hAnsi="Aptos"/>
          <w:sz w:val="22"/>
          <w:szCs w:val="22"/>
          <w:u w:color="004147"/>
        </w:rPr>
        <w:t xml:space="preserve"> (Accessed: 28 December 2025).</w:t>
      </w:r>
    </w:p>
    <w:p w14:paraId="1135211D"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Reward: an introduction</w:t>
      </w:r>
      <w:r w:rsidRPr="004C2448">
        <w:rPr>
          <w:rFonts w:ascii="Aptos" w:hAnsi="Aptos"/>
          <w:sz w:val="22"/>
          <w:szCs w:val="22"/>
          <w:u w:color="004147"/>
        </w:rPr>
        <w:t xml:space="preserve">. Factsheet. Available at: </w:t>
      </w:r>
      <w:hyperlink r:id="rId20" w:tgtFrame="_new" w:history="1">
        <w:r w:rsidRPr="004C2448">
          <w:rPr>
            <w:rStyle w:val="Hyperlink"/>
            <w:rFonts w:ascii="Aptos" w:hAnsi="Aptos"/>
            <w:sz w:val="22"/>
            <w:szCs w:val="22"/>
          </w:rPr>
          <w:t>https://www.cipd.org/uk/knowledge/factsheets/reward-factsheet/</w:t>
        </w:r>
      </w:hyperlink>
      <w:r w:rsidRPr="004C2448">
        <w:rPr>
          <w:rFonts w:ascii="Aptos" w:hAnsi="Aptos"/>
          <w:sz w:val="22"/>
          <w:szCs w:val="22"/>
          <w:u w:color="004147"/>
        </w:rPr>
        <w:t xml:space="preserve"> (Accessed: 22 January 2026).</w:t>
      </w:r>
    </w:p>
    <w:p w14:paraId="3E441C7E"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Reward: an introduction</w:t>
      </w:r>
      <w:r w:rsidRPr="004C2448">
        <w:rPr>
          <w:rFonts w:ascii="Aptos" w:hAnsi="Aptos"/>
          <w:sz w:val="22"/>
          <w:szCs w:val="22"/>
          <w:u w:color="004147"/>
        </w:rPr>
        <w:t xml:space="preserve">. London: Chartered Institute of Personnel and Development. Available at: </w:t>
      </w:r>
      <w:hyperlink r:id="rId21" w:tgtFrame="_new" w:history="1">
        <w:r w:rsidRPr="004C2448">
          <w:rPr>
            <w:rStyle w:val="Hyperlink"/>
            <w:rFonts w:ascii="Aptos" w:hAnsi="Aptos"/>
            <w:sz w:val="22"/>
            <w:szCs w:val="22"/>
          </w:rPr>
          <w:t>https://www.cipd.co.uk/knowledge/fundamentals/relations/reward/factsheet</w:t>
        </w:r>
      </w:hyperlink>
      <w:r w:rsidRPr="004C2448">
        <w:rPr>
          <w:rFonts w:ascii="Aptos" w:hAnsi="Aptos"/>
          <w:sz w:val="22"/>
          <w:szCs w:val="22"/>
          <w:u w:color="004147"/>
        </w:rPr>
        <w:t xml:space="preserve"> (Accessed: 27 December 2025).</w:t>
      </w:r>
    </w:p>
    <w:p w14:paraId="5605E823"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CIPD (2025) </w:t>
      </w:r>
      <w:r w:rsidRPr="004C2448">
        <w:rPr>
          <w:rFonts w:ascii="Aptos" w:hAnsi="Aptos"/>
          <w:i/>
          <w:iCs/>
          <w:sz w:val="22"/>
          <w:szCs w:val="22"/>
          <w:u w:color="004147"/>
        </w:rPr>
        <w:t>Reward management</w:t>
      </w:r>
      <w:r w:rsidRPr="004C2448">
        <w:rPr>
          <w:rFonts w:ascii="Aptos" w:hAnsi="Aptos"/>
          <w:sz w:val="22"/>
          <w:szCs w:val="22"/>
          <w:u w:color="004147"/>
        </w:rPr>
        <w:t xml:space="preserve">. Available at: </w:t>
      </w:r>
      <w:hyperlink r:id="rId22" w:tgtFrame="_new" w:history="1">
        <w:r w:rsidRPr="004C2448">
          <w:rPr>
            <w:rStyle w:val="Hyperlink"/>
            <w:rFonts w:ascii="Aptos" w:hAnsi="Aptos"/>
            <w:sz w:val="22"/>
            <w:szCs w:val="22"/>
          </w:rPr>
          <w:t>https://www.cipd.co.uk/knowledge/fundamentals/emp-law/reward/factsheet</w:t>
        </w:r>
      </w:hyperlink>
      <w:r w:rsidRPr="004C2448">
        <w:rPr>
          <w:rFonts w:ascii="Aptos" w:hAnsi="Aptos"/>
          <w:sz w:val="22"/>
          <w:szCs w:val="22"/>
          <w:u w:color="004147"/>
        </w:rPr>
        <w:t xml:space="preserve"> (Accessed: 28 December 2025).</w:t>
      </w:r>
    </w:p>
    <w:p w14:paraId="1F863561" w14:textId="2852110C" w:rsidR="005B2CCF" w:rsidRPr="004C2448" w:rsidRDefault="00850317" w:rsidP="005B2CCF">
      <w:pPr>
        <w:rPr>
          <w:rFonts w:ascii="Aptos" w:hAnsi="Aptos"/>
          <w:sz w:val="22"/>
          <w:szCs w:val="22"/>
          <w:u w:color="004147"/>
        </w:rPr>
      </w:pPr>
      <w:r w:rsidRPr="004C2448">
        <w:rPr>
          <w:rFonts w:ascii="Aptos" w:hAnsi="Aptos"/>
          <w:sz w:val="22"/>
          <w:szCs w:val="22"/>
          <w:u w:color="004147"/>
        </w:rPr>
        <w:t>CIPD</w:t>
      </w:r>
      <w:r w:rsidR="005B2CCF" w:rsidRPr="004C2448">
        <w:rPr>
          <w:rFonts w:ascii="Aptos" w:hAnsi="Aptos"/>
          <w:sz w:val="22"/>
          <w:szCs w:val="22"/>
          <w:u w:color="004147"/>
        </w:rPr>
        <w:t xml:space="preserve"> (2022) </w:t>
      </w:r>
      <w:r w:rsidR="005B2CCF" w:rsidRPr="004C2448">
        <w:rPr>
          <w:rFonts w:ascii="Aptos" w:hAnsi="Aptos"/>
          <w:i/>
          <w:iCs/>
          <w:sz w:val="22"/>
          <w:szCs w:val="22"/>
          <w:u w:color="004147"/>
        </w:rPr>
        <w:t xml:space="preserve">Incentives and recognition: an evidence </w:t>
      </w:r>
      <w:proofErr w:type="gramStart"/>
      <w:r w:rsidR="005B2CCF" w:rsidRPr="004C2448">
        <w:rPr>
          <w:rFonts w:ascii="Aptos" w:hAnsi="Aptos"/>
          <w:i/>
          <w:iCs/>
          <w:sz w:val="22"/>
          <w:szCs w:val="22"/>
          <w:u w:color="004147"/>
        </w:rPr>
        <w:t>review</w:t>
      </w:r>
      <w:proofErr w:type="gramEnd"/>
      <w:r w:rsidR="005B2CCF" w:rsidRPr="004C2448">
        <w:rPr>
          <w:rFonts w:ascii="Aptos" w:hAnsi="Aptos"/>
          <w:i/>
          <w:iCs/>
          <w:sz w:val="22"/>
          <w:szCs w:val="22"/>
          <w:u w:color="004147"/>
        </w:rPr>
        <w:t>.</w:t>
      </w:r>
      <w:r w:rsidR="005B2CCF" w:rsidRPr="004C2448">
        <w:rPr>
          <w:rFonts w:ascii="Aptos" w:hAnsi="Aptos"/>
          <w:sz w:val="22"/>
          <w:szCs w:val="22"/>
          <w:u w:color="004147"/>
        </w:rPr>
        <w:t xml:space="preserve"> Available at</w:t>
      </w:r>
      <w:r w:rsidR="00447D49" w:rsidRPr="004C2448">
        <w:rPr>
          <w:rFonts w:ascii="Aptos" w:hAnsi="Aptos"/>
          <w:sz w:val="22"/>
          <w:szCs w:val="22"/>
        </w:rPr>
        <w:t xml:space="preserve"> </w:t>
      </w:r>
      <w:hyperlink r:id="rId23" w:history="1">
        <w:r w:rsidR="00D630F0" w:rsidRPr="004C2448">
          <w:rPr>
            <w:rStyle w:val="Hyperlink"/>
            <w:rFonts w:ascii="Aptos" w:hAnsi="Aptos"/>
            <w:sz w:val="22"/>
            <w:szCs w:val="22"/>
          </w:rPr>
          <w:t>https://www.cipd.org/globalassets/media/knowledge/knowledge-hub/evidence-reviews/incentives-recognition-practice-summary_tcm18-105466.pdf</w:t>
        </w:r>
      </w:hyperlink>
      <w:r w:rsidR="00D630F0" w:rsidRPr="004C2448">
        <w:rPr>
          <w:rFonts w:ascii="Aptos" w:hAnsi="Aptos"/>
          <w:sz w:val="22"/>
          <w:szCs w:val="22"/>
        </w:rPr>
        <w:t xml:space="preserve"> </w:t>
      </w:r>
      <w:r w:rsidR="005B2CCF" w:rsidRPr="004C2448">
        <w:rPr>
          <w:rFonts w:ascii="Aptos" w:hAnsi="Aptos"/>
          <w:sz w:val="22"/>
          <w:szCs w:val="22"/>
          <w:u w:color="004147"/>
        </w:rPr>
        <w:t>(Accessed: 22 January 2026).</w:t>
      </w:r>
    </w:p>
    <w:p w14:paraId="7ABA9B15"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Farrand, L. (2023) </w:t>
      </w:r>
      <w:r w:rsidRPr="004C2448">
        <w:rPr>
          <w:rFonts w:ascii="Aptos" w:hAnsi="Aptos"/>
          <w:i/>
          <w:iCs/>
          <w:sz w:val="22"/>
          <w:szCs w:val="22"/>
          <w:u w:color="004147"/>
        </w:rPr>
        <w:t>Is pay benchmarking working? An interactive report for HR professionals</w:t>
      </w:r>
      <w:r w:rsidRPr="004C2448">
        <w:rPr>
          <w:rFonts w:ascii="Aptos" w:hAnsi="Aptos"/>
          <w:sz w:val="22"/>
          <w:szCs w:val="22"/>
          <w:u w:color="004147"/>
        </w:rPr>
        <w:t xml:space="preserve">. Available at: </w:t>
      </w:r>
      <w:hyperlink r:id="rId24" w:tgtFrame="_new" w:history="1">
        <w:r w:rsidRPr="004C2448">
          <w:rPr>
            <w:rStyle w:val="Hyperlink"/>
            <w:rFonts w:ascii="Aptos" w:hAnsi="Aptos"/>
            <w:sz w:val="22"/>
            <w:szCs w:val="22"/>
          </w:rPr>
          <w:t>https://www.peoplemanagement.co.uk/article/1830913/pay-benchmarking-working-interactive-report-hr-professionals</w:t>
        </w:r>
      </w:hyperlink>
      <w:r w:rsidRPr="004C2448">
        <w:rPr>
          <w:rFonts w:ascii="Aptos" w:hAnsi="Aptos"/>
          <w:sz w:val="22"/>
          <w:szCs w:val="22"/>
          <w:u w:color="004147"/>
        </w:rPr>
        <w:t xml:space="preserve"> (Accessed: 23 January 2026).</w:t>
      </w:r>
    </w:p>
    <w:p w14:paraId="63DC7474"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HMRC (n.d.) </w:t>
      </w:r>
      <w:r w:rsidRPr="004C2448">
        <w:rPr>
          <w:rFonts w:ascii="Aptos" w:hAnsi="Aptos"/>
          <w:i/>
          <w:iCs/>
          <w:sz w:val="22"/>
          <w:szCs w:val="22"/>
          <w:u w:color="004147"/>
        </w:rPr>
        <w:t>Income tax</w:t>
      </w:r>
      <w:r w:rsidRPr="004C2448">
        <w:rPr>
          <w:rFonts w:ascii="Aptos" w:hAnsi="Aptos"/>
          <w:sz w:val="22"/>
          <w:szCs w:val="22"/>
          <w:u w:color="004147"/>
        </w:rPr>
        <w:t xml:space="preserve">. Available at: </w:t>
      </w:r>
      <w:hyperlink r:id="rId25" w:tgtFrame="_new" w:history="1">
        <w:r w:rsidRPr="004C2448">
          <w:rPr>
            <w:rStyle w:val="Hyperlink"/>
            <w:rFonts w:ascii="Aptos" w:hAnsi="Aptos"/>
            <w:sz w:val="22"/>
            <w:szCs w:val="22"/>
          </w:rPr>
          <w:t>https://www.gov.uk/income-tax</w:t>
        </w:r>
      </w:hyperlink>
      <w:r w:rsidRPr="004C2448">
        <w:rPr>
          <w:rFonts w:ascii="Aptos" w:hAnsi="Aptos"/>
          <w:sz w:val="22"/>
          <w:szCs w:val="22"/>
          <w:u w:color="004147"/>
        </w:rPr>
        <w:t xml:space="preserve"> (Accessed: 24 January 2026).</w:t>
      </w:r>
    </w:p>
    <w:p w14:paraId="1B6C81DA"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John Lewis Partnership (2025) </w:t>
      </w:r>
      <w:r w:rsidRPr="004C2448">
        <w:rPr>
          <w:rFonts w:ascii="Aptos" w:hAnsi="Aptos"/>
          <w:i/>
          <w:iCs/>
          <w:sz w:val="22"/>
          <w:szCs w:val="22"/>
          <w:u w:color="004147"/>
        </w:rPr>
        <w:t>About us: Reward and recognition</w:t>
      </w:r>
      <w:r w:rsidRPr="004C2448">
        <w:rPr>
          <w:rFonts w:ascii="Aptos" w:hAnsi="Aptos"/>
          <w:sz w:val="22"/>
          <w:szCs w:val="22"/>
          <w:u w:color="004147"/>
        </w:rPr>
        <w:t xml:space="preserve">. Available at: </w:t>
      </w:r>
      <w:hyperlink r:id="rId26" w:tgtFrame="_new" w:history="1">
        <w:r w:rsidRPr="004C2448">
          <w:rPr>
            <w:rStyle w:val="Hyperlink"/>
            <w:rFonts w:ascii="Aptos" w:hAnsi="Aptos"/>
            <w:sz w:val="22"/>
            <w:szCs w:val="22"/>
          </w:rPr>
          <w:t>https://www.johnlewispartnership.co.uk/about-us/our-business/reward-and-recognition.html</w:t>
        </w:r>
      </w:hyperlink>
      <w:r w:rsidRPr="004C2448">
        <w:rPr>
          <w:rFonts w:ascii="Aptos" w:hAnsi="Aptos"/>
          <w:sz w:val="22"/>
          <w:szCs w:val="22"/>
          <w:u w:color="004147"/>
        </w:rPr>
        <w:t xml:space="preserve"> (Accessed: 27 December 2025).</w:t>
      </w:r>
    </w:p>
    <w:p w14:paraId="2CBE3767"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John Lewis Partnership (2025) </w:t>
      </w:r>
      <w:r w:rsidRPr="004C2448">
        <w:rPr>
          <w:rFonts w:ascii="Aptos" w:hAnsi="Aptos"/>
          <w:i/>
          <w:iCs/>
          <w:sz w:val="22"/>
          <w:szCs w:val="22"/>
          <w:u w:color="004147"/>
        </w:rPr>
        <w:t>Annual Report 2025</w:t>
      </w:r>
      <w:r w:rsidRPr="004C2448">
        <w:rPr>
          <w:rFonts w:ascii="Aptos" w:hAnsi="Aptos"/>
          <w:sz w:val="22"/>
          <w:szCs w:val="22"/>
          <w:u w:color="004147"/>
        </w:rPr>
        <w:t xml:space="preserve">. Available at: </w:t>
      </w:r>
      <w:hyperlink r:id="rId27" w:tgtFrame="_new" w:history="1">
        <w:r w:rsidRPr="004C2448">
          <w:rPr>
            <w:rStyle w:val="Hyperlink"/>
            <w:rFonts w:ascii="Aptos" w:hAnsi="Aptos"/>
            <w:sz w:val="22"/>
            <w:szCs w:val="22"/>
          </w:rPr>
          <w:t>https://www.johnlewispartnership.co.uk/</w:t>
        </w:r>
      </w:hyperlink>
      <w:r w:rsidRPr="004C2448">
        <w:rPr>
          <w:rFonts w:ascii="Aptos" w:hAnsi="Aptos"/>
          <w:sz w:val="22"/>
          <w:szCs w:val="22"/>
          <w:u w:color="004147"/>
        </w:rPr>
        <w:t xml:space="preserve"> (Accessed: 27 December 2025).</w:t>
      </w:r>
    </w:p>
    <w:p w14:paraId="18602E88"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Liegel, N., Schneider, D., Wascher, E., Klatt, L.-I. and Arnau, S. (2024) ‘The effect of performance contingent reward prospects flexibly adapts to more versus less specific task goals’, </w:t>
      </w:r>
      <w:r w:rsidRPr="004C2448">
        <w:rPr>
          <w:rFonts w:ascii="Aptos" w:hAnsi="Aptos"/>
          <w:i/>
          <w:iCs/>
          <w:sz w:val="22"/>
          <w:szCs w:val="22"/>
          <w:u w:color="004147"/>
        </w:rPr>
        <w:t>Psychophysiology</w:t>
      </w:r>
      <w:r w:rsidRPr="004C2448">
        <w:rPr>
          <w:rFonts w:ascii="Aptos" w:hAnsi="Aptos"/>
          <w:sz w:val="22"/>
          <w:szCs w:val="22"/>
          <w:u w:color="004147"/>
        </w:rPr>
        <w:t xml:space="preserve">. </w:t>
      </w:r>
      <w:proofErr w:type="spellStart"/>
      <w:r w:rsidRPr="004C2448">
        <w:rPr>
          <w:rFonts w:ascii="Aptos" w:hAnsi="Aptos"/>
          <w:sz w:val="22"/>
          <w:szCs w:val="22"/>
          <w:u w:color="004147"/>
        </w:rPr>
        <w:t>doi</w:t>
      </w:r>
      <w:proofErr w:type="spellEnd"/>
      <w:r w:rsidRPr="004C2448">
        <w:rPr>
          <w:rFonts w:ascii="Aptos" w:hAnsi="Aptos"/>
          <w:sz w:val="22"/>
          <w:szCs w:val="22"/>
          <w:u w:color="004147"/>
        </w:rPr>
        <w:t>: 10.1111/psyp.14678.</w:t>
      </w:r>
    </w:p>
    <w:p w14:paraId="3CE5CF27"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Maslow, A.H. (1943) ‘A theory of human motivation’, </w:t>
      </w:r>
      <w:r w:rsidRPr="004C2448">
        <w:rPr>
          <w:rFonts w:ascii="Aptos" w:hAnsi="Aptos"/>
          <w:i/>
          <w:iCs/>
          <w:sz w:val="22"/>
          <w:szCs w:val="22"/>
          <w:u w:color="004147"/>
        </w:rPr>
        <w:t>Psychological Review</w:t>
      </w:r>
      <w:r w:rsidRPr="004C2448">
        <w:rPr>
          <w:rFonts w:ascii="Aptos" w:hAnsi="Aptos"/>
          <w:sz w:val="22"/>
          <w:szCs w:val="22"/>
          <w:u w:color="004147"/>
        </w:rPr>
        <w:t>, 50(4), pp. 370–396.</w:t>
      </w:r>
    </w:p>
    <w:p w14:paraId="5748EA67" w14:textId="014F7F68"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Office for National Statistics (ONS) (2024) </w:t>
      </w:r>
      <w:r w:rsidRPr="004C2448">
        <w:rPr>
          <w:rFonts w:ascii="Aptos" w:hAnsi="Aptos"/>
          <w:i/>
          <w:iCs/>
          <w:sz w:val="22"/>
          <w:szCs w:val="22"/>
          <w:u w:color="004147"/>
        </w:rPr>
        <w:t>Labour market overview, UK: 12 November 2024</w:t>
      </w:r>
      <w:r w:rsidRPr="004C2448">
        <w:rPr>
          <w:rFonts w:ascii="Aptos" w:hAnsi="Aptos"/>
          <w:sz w:val="22"/>
          <w:szCs w:val="22"/>
          <w:u w:color="004147"/>
        </w:rPr>
        <w:t>. Available at:</w:t>
      </w:r>
      <w:r w:rsidR="00F34AB0" w:rsidRPr="004C2448">
        <w:rPr>
          <w:rFonts w:ascii="Aptos" w:hAnsi="Aptos"/>
          <w:sz w:val="22"/>
          <w:szCs w:val="22"/>
        </w:rPr>
        <w:t xml:space="preserve"> </w:t>
      </w:r>
      <w:hyperlink r:id="rId28" w:history="1">
        <w:r w:rsidR="00E73755" w:rsidRPr="004C2448">
          <w:rPr>
            <w:rStyle w:val="Hyperlink"/>
            <w:rFonts w:ascii="Aptos" w:hAnsi="Aptos"/>
            <w:sz w:val="22"/>
            <w:szCs w:val="22"/>
          </w:rPr>
          <w:t>https://www.ons.gov.uk/</w:t>
        </w:r>
      </w:hyperlink>
      <w:r w:rsidR="00E73755" w:rsidRPr="004C2448">
        <w:rPr>
          <w:rFonts w:ascii="Aptos" w:hAnsi="Aptos"/>
          <w:sz w:val="22"/>
          <w:szCs w:val="22"/>
          <w:u w:color="004147"/>
        </w:rPr>
        <w:t xml:space="preserve"> </w:t>
      </w:r>
      <w:r w:rsidRPr="004C2448">
        <w:rPr>
          <w:rFonts w:ascii="Aptos" w:hAnsi="Aptos"/>
          <w:sz w:val="22"/>
          <w:szCs w:val="22"/>
          <w:u w:color="004147"/>
        </w:rPr>
        <w:t>(ONS)</w:t>
      </w:r>
      <w:r w:rsidR="00595E57" w:rsidRPr="004C2448">
        <w:rPr>
          <w:rFonts w:ascii="Aptos" w:hAnsi="Aptos"/>
          <w:sz w:val="22"/>
          <w:szCs w:val="22"/>
          <w:u w:color="004147"/>
        </w:rPr>
        <w:t xml:space="preserve"> </w:t>
      </w:r>
      <w:r w:rsidRPr="004C2448">
        <w:rPr>
          <w:rFonts w:ascii="Aptos" w:hAnsi="Aptos"/>
          <w:sz w:val="22"/>
          <w:szCs w:val="22"/>
          <w:u w:color="004147"/>
        </w:rPr>
        <w:t>(2024) Labour market overview, - Search</w:t>
      </w:r>
      <w:r w:rsidR="00E73755" w:rsidRPr="004C2448">
        <w:rPr>
          <w:rFonts w:ascii="Aptos" w:hAnsi="Aptos"/>
          <w:sz w:val="22"/>
          <w:szCs w:val="22"/>
          <w:u w:color="004147"/>
        </w:rPr>
        <w:t xml:space="preserve"> </w:t>
      </w:r>
      <w:r w:rsidRPr="004C2448">
        <w:rPr>
          <w:rFonts w:ascii="Aptos" w:hAnsi="Aptos"/>
          <w:sz w:val="22"/>
          <w:szCs w:val="22"/>
          <w:u w:color="004147"/>
        </w:rPr>
        <w:t>(Accessed: 23 January 2026).</w:t>
      </w:r>
    </w:p>
    <w:p w14:paraId="23554617" w14:textId="5E5B1E04"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Office for National Statistics (ONS) (2024) </w:t>
      </w:r>
      <w:r w:rsidRPr="004C2448">
        <w:rPr>
          <w:rFonts w:ascii="Aptos" w:hAnsi="Aptos"/>
          <w:i/>
          <w:iCs/>
          <w:sz w:val="22"/>
          <w:szCs w:val="22"/>
          <w:u w:color="004147"/>
        </w:rPr>
        <w:t>Labour market overview, UK</w:t>
      </w:r>
      <w:r w:rsidRPr="004C2448">
        <w:rPr>
          <w:rFonts w:ascii="Aptos" w:hAnsi="Aptos"/>
          <w:sz w:val="22"/>
          <w:szCs w:val="22"/>
          <w:u w:color="004147"/>
        </w:rPr>
        <w:t>. Available at:</w:t>
      </w:r>
      <w:r w:rsidR="00E73755" w:rsidRPr="004C2448">
        <w:rPr>
          <w:rFonts w:ascii="Aptos" w:hAnsi="Aptos"/>
          <w:sz w:val="22"/>
          <w:szCs w:val="22"/>
        </w:rPr>
        <w:t xml:space="preserve"> </w:t>
      </w:r>
      <w:hyperlink r:id="rId29" w:history="1">
        <w:r w:rsidR="00557EF6" w:rsidRPr="004C2448">
          <w:rPr>
            <w:rStyle w:val="Hyperlink"/>
            <w:rFonts w:ascii="Aptos" w:hAnsi="Aptos"/>
            <w:sz w:val="22"/>
            <w:szCs w:val="22"/>
          </w:rPr>
          <w:t>https://www.ons.gov.uk/</w:t>
        </w:r>
      </w:hyperlink>
      <w:r w:rsidR="00557EF6" w:rsidRPr="004C2448">
        <w:rPr>
          <w:rFonts w:ascii="Aptos" w:hAnsi="Aptos"/>
          <w:sz w:val="22"/>
          <w:szCs w:val="22"/>
          <w:u w:color="004147"/>
        </w:rPr>
        <w:t xml:space="preserve"> </w:t>
      </w:r>
      <w:r w:rsidRPr="004C2448">
        <w:rPr>
          <w:rFonts w:ascii="Aptos" w:hAnsi="Aptos"/>
          <w:sz w:val="22"/>
          <w:szCs w:val="22"/>
          <w:u w:color="004147"/>
        </w:rPr>
        <w:t xml:space="preserve"> (ONS). (2024) Labour market overview, - Search (Accessed: 24 July 2025).</w:t>
      </w:r>
    </w:p>
    <w:p w14:paraId="196E9D93"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Taylor, S. and Woodham, C. (2022) </w:t>
      </w:r>
      <w:r w:rsidRPr="004C2448">
        <w:rPr>
          <w:rFonts w:ascii="Aptos" w:hAnsi="Aptos"/>
          <w:i/>
          <w:iCs/>
          <w:sz w:val="22"/>
          <w:szCs w:val="22"/>
          <w:u w:color="004147"/>
        </w:rPr>
        <w:t>Studying human resource management: A guide to the study, context and practice of HR</w:t>
      </w:r>
      <w:r w:rsidRPr="004C2448">
        <w:rPr>
          <w:rFonts w:ascii="Aptos" w:hAnsi="Aptos"/>
          <w:sz w:val="22"/>
          <w:szCs w:val="22"/>
          <w:u w:color="004147"/>
        </w:rPr>
        <w:t xml:space="preserve">. 3rd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w:t>
      </w:r>
    </w:p>
    <w:p w14:paraId="439FD33D"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Taylor, S. and Woodham, C. (2022) </w:t>
      </w:r>
      <w:r w:rsidRPr="004C2448">
        <w:rPr>
          <w:rFonts w:ascii="Aptos" w:hAnsi="Aptos"/>
          <w:i/>
          <w:iCs/>
          <w:sz w:val="22"/>
          <w:szCs w:val="22"/>
          <w:u w:color="004147"/>
        </w:rPr>
        <w:t>Studying Human Resource Management: A Guide to the Study, Context and Practice of HR</w:t>
      </w:r>
      <w:r w:rsidRPr="004C2448">
        <w:rPr>
          <w:rFonts w:ascii="Aptos" w:hAnsi="Aptos"/>
          <w:sz w:val="22"/>
          <w:szCs w:val="22"/>
          <w:u w:color="004147"/>
        </w:rPr>
        <w:t xml:space="preserve">. 3rd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 p.101.</w:t>
      </w:r>
    </w:p>
    <w:p w14:paraId="6577A5E5"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Taylor, S. and Woodham, C. (2022) </w:t>
      </w:r>
      <w:r w:rsidRPr="004C2448">
        <w:rPr>
          <w:rFonts w:ascii="Aptos" w:hAnsi="Aptos"/>
          <w:i/>
          <w:iCs/>
          <w:sz w:val="22"/>
          <w:szCs w:val="22"/>
          <w:u w:color="004147"/>
        </w:rPr>
        <w:t>Studying Human Resource Management: A Guide to the Study, Context and Practice of HR</w:t>
      </w:r>
      <w:r w:rsidRPr="004C2448">
        <w:rPr>
          <w:rFonts w:ascii="Aptos" w:hAnsi="Aptos"/>
          <w:sz w:val="22"/>
          <w:szCs w:val="22"/>
          <w:u w:color="004147"/>
        </w:rPr>
        <w:t xml:space="preserve">. 3rd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 p.103.</w:t>
      </w:r>
    </w:p>
    <w:p w14:paraId="3A24411F"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Waite, K., Beevers, K., Small, N., Tomlinson, K. and Hussain, S. (2021) </w:t>
      </w:r>
      <w:r w:rsidRPr="004C2448">
        <w:rPr>
          <w:rFonts w:ascii="Aptos" w:hAnsi="Aptos"/>
          <w:i/>
          <w:iCs/>
          <w:sz w:val="22"/>
          <w:szCs w:val="22"/>
          <w:u w:color="004147"/>
        </w:rPr>
        <w:t>People Practice: A Complete Guide</w:t>
      </w:r>
      <w:r w:rsidRPr="004C2448">
        <w:rPr>
          <w:rFonts w:ascii="Aptos" w:hAnsi="Aptos"/>
          <w:sz w:val="22"/>
          <w:szCs w:val="22"/>
          <w:u w:color="004147"/>
        </w:rPr>
        <w:t xml:space="preserve">. 2nd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w:t>
      </w:r>
    </w:p>
    <w:p w14:paraId="1BE31090"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Waite, K., Beevers, K., Small, N., Tomlinson, K. and Hussain, S. (2021) </w:t>
      </w:r>
      <w:r w:rsidRPr="004C2448">
        <w:rPr>
          <w:rFonts w:ascii="Aptos" w:hAnsi="Aptos"/>
          <w:i/>
          <w:iCs/>
          <w:sz w:val="22"/>
          <w:szCs w:val="22"/>
          <w:u w:color="004147"/>
        </w:rPr>
        <w:t>People Practice: A Complete Guide</w:t>
      </w:r>
      <w:r w:rsidRPr="004C2448">
        <w:rPr>
          <w:rFonts w:ascii="Aptos" w:hAnsi="Aptos"/>
          <w:sz w:val="22"/>
          <w:szCs w:val="22"/>
          <w:u w:color="004147"/>
        </w:rPr>
        <w:t xml:space="preserve">. 2nd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 p.28.</w:t>
      </w:r>
    </w:p>
    <w:p w14:paraId="70FF3708"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Waite, K., Beevers, K., Small, N., Tomlinson, K. and Hussain, S. (2021) </w:t>
      </w:r>
      <w:r w:rsidRPr="004C2448">
        <w:rPr>
          <w:rFonts w:ascii="Aptos" w:hAnsi="Aptos"/>
          <w:i/>
          <w:iCs/>
          <w:sz w:val="22"/>
          <w:szCs w:val="22"/>
          <w:u w:color="004147"/>
        </w:rPr>
        <w:t>People Practice: A Complete Guide</w:t>
      </w:r>
      <w:r w:rsidRPr="004C2448">
        <w:rPr>
          <w:rFonts w:ascii="Aptos" w:hAnsi="Aptos"/>
          <w:sz w:val="22"/>
          <w:szCs w:val="22"/>
          <w:u w:color="004147"/>
        </w:rPr>
        <w:t xml:space="preserve">. 2nd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 p.35.</w:t>
      </w:r>
    </w:p>
    <w:p w14:paraId="09EF1C21" w14:textId="77777777" w:rsidR="005B2CCF" w:rsidRPr="004C2448" w:rsidRDefault="005B2CCF" w:rsidP="005B2CCF">
      <w:pPr>
        <w:rPr>
          <w:rFonts w:ascii="Aptos" w:hAnsi="Aptos"/>
          <w:sz w:val="22"/>
          <w:szCs w:val="22"/>
          <w:u w:color="004147"/>
        </w:rPr>
      </w:pPr>
      <w:r w:rsidRPr="004C2448">
        <w:rPr>
          <w:rFonts w:ascii="Aptos" w:hAnsi="Aptos"/>
          <w:sz w:val="22"/>
          <w:szCs w:val="22"/>
          <w:u w:color="004147"/>
        </w:rPr>
        <w:t xml:space="preserve">Waite, K., Beevers, K., Small, N., Tomlinson, K. and Hussain, S. (2021) </w:t>
      </w:r>
      <w:r w:rsidRPr="004C2448">
        <w:rPr>
          <w:rFonts w:ascii="Aptos" w:hAnsi="Aptos"/>
          <w:i/>
          <w:iCs/>
          <w:sz w:val="22"/>
          <w:szCs w:val="22"/>
          <w:u w:color="004147"/>
        </w:rPr>
        <w:t>People Practice: A Complete Guide</w:t>
      </w:r>
      <w:r w:rsidRPr="004C2448">
        <w:rPr>
          <w:rFonts w:ascii="Aptos" w:hAnsi="Aptos"/>
          <w:sz w:val="22"/>
          <w:szCs w:val="22"/>
          <w:u w:color="004147"/>
        </w:rPr>
        <w:t xml:space="preserve">. 2nd </w:t>
      </w:r>
      <w:proofErr w:type="spellStart"/>
      <w:r w:rsidRPr="004C2448">
        <w:rPr>
          <w:rFonts w:ascii="Aptos" w:hAnsi="Aptos"/>
          <w:sz w:val="22"/>
          <w:szCs w:val="22"/>
          <w:u w:color="004147"/>
        </w:rPr>
        <w:t>edn</w:t>
      </w:r>
      <w:proofErr w:type="spellEnd"/>
      <w:r w:rsidRPr="004C2448">
        <w:rPr>
          <w:rFonts w:ascii="Aptos" w:hAnsi="Aptos"/>
          <w:sz w:val="22"/>
          <w:szCs w:val="22"/>
          <w:u w:color="004147"/>
        </w:rPr>
        <w:t>. London: Kogan Page, p.171.</w:t>
      </w:r>
    </w:p>
    <w:p w14:paraId="55C43C8B" w14:textId="30D77230" w:rsidR="00182E53" w:rsidRPr="004C2448" w:rsidRDefault="005B2CCF" w:rsidP="00F966E5">
      <w:pPr>
        <w:rPr>
          <w:rFonts w:ascii="Aptos" w:hAnsi="Aptos"/>
          <w:sz w:val="22"/>
          <w:szCs w:val="22"/>
          <w:u w:color="004147"/>
        </w:rPr>
      </w:pPr>
      <w:r w:rsidRPr="004C2448">
        <w:rPr>
          <w:rFonts w:ascii="Aptos" w:hAnsi="Aptos"/>
          <w:sz w:val="22"/>
          <w:szCs w:val="22"/>
          <w:u w:color="004147"/>
        </w:rPr>
        <w:t xml:space="preserve">Written evidence from the John Lewis Partnership (2025) </w:t>
      </w:r>
      <w:r w:rsidRPr="004C2448">
        <w:rPr>
          <w:rFonts w:ascii="Aptos" w:hAnsi="Aptos"/>
          <w:i/>
          <w:iCs/>
          <w:sz w:val="22"/>
          <w:szCs w:val="22"/>
          <w:u w:color="004147"/>
        </w:rPr>
        <w:t>Corporate governance and employee ownership (CGV0099)</w:t>
      </w:r>
      <w:r w:rsidRPr="004C2448">
        <w:rPr>
          <w:rFonts w:ascii="Aptos" w:hAnsi="Aptos"/>
          <w:sz w:val="22"/>
          <w:szCs w:val="22"/>
          <w:u w:color="004147"/>
        </w:rPr>
        <w:t xml:space="preserve">. Available at: </w:t>
      </w:r>
      <w:hyperlink r:id="rId30" w:tgtFrame="_new" w:history="1">
        <w:r w:rsidRPr="004C2448">
          <w:rPr>
            <w:rStyle w:val="Hyperlink"/>
            <w:rFonts w:ascii="Aptos" w:hAnsi="Aptos"/>
            <w:sz w:val="22"/>
            <w:szCs w:val="22"/>
          </w:rPr>
          <w:t>https://committees.parliament.uk/writtenevidence/74324/pdf/</w:t>
        </w:r>
      </w:hyperlink>
      <w:r w:rsidRPr="004C2448">
        <w:rPr>
          <w:rFonts w:ascii="Aptos" w:hAnsi="Aptos"/>
          <w:sz w:val="22"/>
          <w:szCs w:val="22"/>
          <w:u w:color="004147"/>
        </w:rPr>
        <w:t xml:space="preserve"> (Accessed: 27 December 2025).</w:t>
      </w:r>
    </w:p>
    <w:p w14:paraId="7032F64D" w14:textId="77777777" w:rsidR="00182E53" w:rsidRPr="00F966E5" w:rsidRDefault="00182E53" w:rsidP="00F966E5">
      <w:pPr>
        <w:rPr>
          <w:rFonts w:ascii="Aptos" w:hAnsi="Aptos"/>
          <w:sz w:val="22"/>
          <w:szCs w:val="22"/>
          <w:u w:color="004147"/>
        </w:rPr>
      </w:pPr>
    </w:p>
    <w:sectPr w:rsidR="00182E53" w:rsidRPr="00F96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roman"/>
    <w:pitch w:val="default"/>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C3A"/>
    <w:multiLevelType w:val="multilevel"/>
    <w:tmpl w:val="E82C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D7A43"/>
    <w:multiLevelType w:val="multilevel"/>
    <w:tmpl w:val="4B4E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65597"/>
    <w:multiLevelType w:val="multilevel"/>
    <w:tmpl w:val="92A6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236CB"/>
    <w:multiLevelType w:val="multilevel"/>
    <w:tmpl w:val="A65E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B71C4"/>
    <w:multiLevelType w:val="hybridMultilevel"/>
    <w:tmpl w:val="52E45D56"/>
    <w:lvl w:ilvl="0" w:tplc="7D76B4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7F4AB2"/>
    <w:multiLevelType w:val="multilevel"/>
    <w:tmpl w:val="A980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965A1E"/>
    <w:multiLevelType w:val="hybridMultilevel"/>
    <w:tmpl w:val="DC3EE98A"/>
    <w:lvl w:ilvl="0" w:tplc="864EC310">
      <w:start w:val="4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200988"/>
    <w:multiLevelType w:val="multilevel"/>
    <w:tmpl w:val="D3143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D1EC9"/>
    <w:multiLevelType w:val="hybridMultilevel"/>
    <w:tmpl w:val="724E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216BF7"/>
    <w:multiLevelType w:val="multilevel"/>
    <w:tmpl w:val="716C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337CF2"/>
    <w:multiLevelType w:val="multilevel"/>
    <w:tmpl w:val="60F6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476827"/>
    <w:multiLevelType w:val="multilevel"/>
    <w:tmpl w:val="D336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3348D5"/>
    <w:multiLevelType w:val="multilevel"/>
    <w:tmpl w:val="A7F8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F32313"/>
    <w:multiLevelType w:val="multilevel"/>
    <w:tmpl w:val="AD12FA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3201E9"/>
    <w:multiLevelType w:val="multilevel"/>
    <w:tmpl w:val="FA48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4147DF"/>
    <w:multiLevelType w:val="multilevel"/>
    <w:tmpl w:val="D8B4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832EAB"/>
    <w:multiLevelType w:val="multilevel"/>
    <w:tmpl w:val="41F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8B58AB"/>
    <w:multiLevelType w:val="multilevel"/>
    <w:tmpl w:val="A78C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E64B4E"/>
    <w:multiLevelType w:val="multilevel"/>
    <w:tmpl w:val="6722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BB4E11"/>
    <w:multiLevelType w:val="hybridMultilevel"/>
    <w:tmpl w:val="2F042352"/>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318140D"/>
    <w:multiLevelType w:val="hybridMultilevel"/>
    <w:tmpl w:val="E318AE84"/>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2" w15:restartNumberingAfterBreak="0">
    <w:nsid w:val="2361700E"/>
    <w:multiLevelType w:val="multilevel"/>
    <w:tmpl w:val="4A92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C52190"/>
    <w:multiLevelType w:val="hybridMultilevel"/>
    <w:tmpl w:val="797052D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26397FF9"/>
    <w:multiLevelType w:val="multilevel"/>
    <w:tmpl w:val="953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E94038"/>
    <w:multiLevelType w:val="multilevel"/>
    <w:tmpl w:val="A680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FF7E27"/>
    <w:multiLevelType w:val="multilevel"/>
    <w:tmpl w:val="0360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0C6459"/>
    <w:multiLevelType w:val="multilevel"/>
    <w:tmpl w:val="04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E7509FD"/>
    <w:multiLevelType w:val="multilevel"/>
    <w:tmpl w:val="A69E9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C25F0B"/>
    <w:multiLevelType w:val="multilevel"/>
    <w:tmpl w:val="DC88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130E01"/>
    <w:multiLevelType w:val="multilevel"/>
    <w:tmpl w:val="B7BAC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AB26B95"/>
    <w:multiLevelType w:val="hybridMultilevel"/>
    <w:tmpl w:val="B37082DA"/>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3" w15:restartNumberingAfterBreak="0">
    <w:nsid w:val="3BBD77C6"/>
    <w:multiLevelType w:val="hybridMultilevel"/>
    <w:tmpl w:val="96D00EC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3C4F7300"/>
    <w:multiLevelType w:val="hybridMultilevel"/>
    <w:tmpl w:val="95AEBFA8"/>
    <w:lvl w:ilvl="0" w:tplc="EC260EB8">
      <w:start w:val="48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CE9675A"/>
    <w:multiLevelType w:val="multilevel"/>
    <w:tmpl w:val="77C0A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46741A"/>
    <w:multiLevelType w:val="multilevel"/>
    <w:tmpl w:val="C502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2173BC"/>
    <w:multiLevelType w:val="multilevel"/>
    <w:tmpl w:val="7500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07F015F"/>
    <w:multiLevelType w:val="multilevel"/>
    <w:tmpl w:val="74D0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11635E"/>
    <w:multiLevelType w:val="multilevel"/>
    <w:tmpl w:val="BC4A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045DFA"/>
    <w:multiLevelType w:val="hybridMultilevel"/>
    <w:tmpl w:val="2F042352"/>
    <w:numStyleLink w:val="ImportedStyle5"/>
  </w:abstractNum>
  <w:abstractNum w:abstractNumId="42" w15:restartNumberingAfterBreak="0">
    <w:nsid w:val="46980838"/>
    <w:multiLevelType w:val="multilevel"/>
    <w:tmpl w:val="15D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D93A77"/>
    <w:multiLevelType w:val="multilevel"/>
    <w:tmpl w:val="66F6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E27EB9"/>
    <w:multiLevelType w:val="hybridMultilevel"/>
    <w:tmpl w:val="BBC645EC"/>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5" w15:restartNumberingAfterBreak="0">
    <w:nsid w:val="4A350FE9"/>
    <w:multiLevelType w:val="multilevel"/>
    <w:tmpl w:val="25F47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EB70B9"/>
    <w:multiLevelType w:val="hybridMultilevel"/>
    <w:tmpl w:val="908603C6"/>
    <w:lvl w:ilvl="0" w:tplc="898EB692">
      <w:start w:val="478"/>
      <w:numFmt w:val="decimal"/>
      <w:lvlText w:val="%1"/>
      <w:lvlJc w:val="left"/>
      <w:pPr>
        <w:ind w:left="765" w:hanging="405"/>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B0C52CE"/>
    <w:multiLevelType w:val="multilevel"/>
    <w:tmpl w:val="04AC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734CBB"/>
    <w:multiLevelType w:val="hybridMultilevel"/>
    <w:tmpl w:val="79146188"/>
    <w:lvl w:ilvl="0" w:tplc="779C4006">
      <w:start w:val="49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BE9684B"/>
    <w:multiLevelType w:val="hybridMultilevel"/>
    <w:tmpl w:val="5D16A7A8"/>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0" w15:restartNumberingAfterBreak="0">
    <w:nsid w:val="4FC17682"/>
    <w:multiLevelType w:val="multilevel"/>
    <w:tmpl w:val="5D90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8D0375"/>
    <w:multiLevelType w:val="hybridMultilevel"/>
    <w:tmpl w:val="E898C36C"/>
    <w:lvl w:ilvl="0" w:tplc="2E22394E">
      <w:start w:val="55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12536C8"/>
    <w:multiLevelType w:val="hybridMultilevel"/>
    <w:tmpl w:val="C066BC26"/>
    <w:lvl w:ilvl="0" w:tplc="9DC07A6E">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686C96D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43C69394">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3B7A1726">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6D4EAEDA">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4C967A80">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2528B33C">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A4281832">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AE7A07D2">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52B5355E"/>
    <w:multiLevelType w:val="multilevel"/>
    <w:tmpl w:val="1E28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174A94"/>
    <w:multiLevelType w:val="multilevel"/>
    <w:tmpl w:val="9BD8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823051"/>
    <w:multiLevelType w:val="multilevel"/>
    <w:tmpl w:val="7F7E8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70A5978"/>
    <w:multiLevelType w:val="multilevel"/>
    <w:tmpl w:val="5840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0E610A"/>
    <w:multiLevelType w:val="multilevel"/>
    <w:tmpl w:val="29C25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9A55445"/>
    <w:multiLevelType w:val="hybridMultilevel"/>
    <w:tmpl w:val="2F042352"/>
    <w:lvl w:ilvl="0" w:tplc="FFFFFFFF">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9C937B5"/>
    <w:multiLevelType w:val="multilevel"/>
    <w:tmpl w:val="D7BCE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D5092C"/>
    <w:multiLevelType w:val="multilevel"/>
    <w:tmpl w:val="FB2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8402B0"/>
    <w:multiLevelType w:val="hybridMultilevel"/>
    <w:tmpl w:val="7152EBB8"/>
    <w:lvl w:ilvl="0" w:tplc="C3E6C5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D85059F"/>
    <w:multiLevelType w:val="multilevel"/>
    <w:tmpl w:val="8CEC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913CF3"/>
    <w:multiLevelType w:val="multilevel"/>
    <w:tmpl w:val="EDDE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2C4DB5"/>
    <w:multiLevelType w:val="multilevel"/>
    <w:tmpl w:val="C4162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4817C42"/>
    <w:multiLevelType w:val="hybridMultilevel"/>
    <w:tmpl w:val="03DA397A"/>
    <w:lvl w:ilvl="0" w:tplc="FFFFFFFF">
      <w:start w:val="43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5263CE8"/>
    <w:multiLevelType w:val="multilevel"/>
    <w:tmpl w:val="9F62F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F53AE9"/>
    <w:multiLevelType w:val="multilevel"/>
    <w:tmpl w:val="7730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8D635FA"/>
    <w:multiLevelType w:val="multilevel"/>
    <w:tmpl w:val="D500D9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91C2B9A"/>
    <w:multiLevelType w:val="multilevel"/>
    <w:tmpl w:val="F3E89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DC728D9"/>
    <w:multiLevelType w:val="multilevel"/>
    <w:tmpl w:val="9800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5C1F59"/>
    <w:multiLevelType w:val="hybridMultilevel"/>
    <w:tmpl w:val="210AC4C8"/>
    <w:lvl w:ilvl="0" w:tplc="60F2B4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07223D0"/>
    <w:multiLevelType w:val="multilevel"/>
    <w:tmpl w:val="33BA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B225E2"/>
    <w:multiLevelType w:val="multilevel"/>
    <w:tmpl w:val="2B80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957402"/>
    <w:multiLevelType w:val="multilevel"/>
    <w:tmpl w:val="5FD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EB40C4"/>
    <w:multiLevelType w:val="hybridMultilevel"/>
    <w:tmpl w:val="03DA397A"/>
    <w:lvl w:ilvl="0" w:tplc="EC260EB8">
      <w:start w:val="4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41047F4"/>
    <w:multiLevelType w:val="multilevel"/>
    <w:tmpl w:val="535E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9F32E2"/>
    <w:multiLevelType w:val="multilevel"/>
    <w:tmpl w:val="7A68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130789"/>
    <w:multiLevelType w:val="multilevel"/>
    <w:tmpl w:val="97C8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3C2117"/>
    <w:multiLevelType w:val="hybridMultilevel"/>
    <w:tmpl w:val="90102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C7C7EB9"/>
    <w:multiLevelType w:val="multilevel"/>
    <w:tmpl w:val="8ED6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DAB691D"/>
    <w:multiLevelType w:val="multilevel"/>
    <w:tmpl w:val="B096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733DEE"/>
    <w:multiLevelType w:val="multilevel"/>
    <w:tmpl w:val="41B8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F787412"/>
    <w:multiLevelType w:val="hybridMultilevel"/>
    <w:tmpl w:val="2B2ED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FF07F1B"/>
    <w:multiLevelType w:val="multilevel"/>
    <w:tmpl w:val="25BC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299131">
    <w:abstractNumId w:val="38"/>
  </w:num>
  <w:num w:numId="2" w16cid:durableId="1692682602">
    <w:abstractNumId w:val="41"/>
  </w:num>
  <w:num w:numId="3" w16cid:durableId="1058285596">
    <w:abstractNumId w:val="5"/>
  </w:num>
  <w:num w:numId="4" w16cid:durableId="1996185611">
    <w:abstractNumId w:val="67"/>
  </w:num>
  <w:num w:numId="5" w16cid:durableId="1012953437">
    <w:abstractNumId w:val="62"/>
  </w:num>
  <w:num w:numId="6" w16cid:durableId="374164408">
    <w:abstractNumId w:val="50"/>
  </w:num>
  <w:num w:numId="7" w16cid:durableId="477916402">
    <w:abstractNumId w:val="58"/>
  </w:num>
  <w:num w:numId="8" w16cid:durableId="1837301763">
    <w:abstractNumId w:val="35"/>
  </w:num>
  <w:num w:numId="9" w16cid:durableId="29497697">
    <w:abstractNumId w:val="69"/>
  </w:num>
  <w:num w:numId="10" w16cid:durableId="381028356">
    <w:abstractNumId w:val="20"/>
  </w:num>
  <w:num w:numId="11" w16cid:durableId="1399983576">
    <w:abstractNumId w:val="52"/>
  </w:num>
  <w:num w:numId="12" w16cid:durableId="1321544841">
    <w:abstractNumId w:val="64"/>
  </w:num>
  <w:num w:numId="13" w16cid:durableId="1717389189">
    <w:abstractNumId w:val="79"/>
  </w:num>
  <w:num w:numId="14" w16cid:durableId="93864425">
    <w:abstractNumId w:val="33"/>
  </w:num>
  <w:num w:numId="15" w16cid:durableId="1664579889">
    <w:abstractNumId w:val="29"/>
  </w:num>
  <w:num w:numId="16" w16cid:durableId="780731620">
    <w:abstractNumId w:val="27"/>
  </w:num>
  <w:num w:numId="17" w16cid:durableId="204220509">
    <w:abstractNumId w:val="32"/>
  </w:num>
  <w:num w:numId="18" w16cid:durableId="1066607466">
    <w:abstractNumId w:val="49"/>
  </w:num>
  <w:num w:numId="19" w16cid:durableId="1953440740">
    <w:abstractNumId w:val="23"/>
  </w:num>
  <w:num w:numId="20" w16cid:durableId="865288948">
    <w:abstractNumId w:val="44"/>
  </w:num>
  <w:num w:numId="21" w16cid:durableId="598830311">
    <w:abstractNumId w:val="21"/>
  </w:num>
  <w:num w:numId="22" w16cid:durableId="869296448">
    <w:abstractNumId w:val="7"/>
  </w:num>
  <w:num w:numId="23" w16cid:durableId="526064399">
    <w:abstractNumId w:val="9"/>
  </w:num>
  <w:num w:numId="24" w16cid:durableId="2037920460">
    <w:abstractNumId w:val="83"/>
  </w:num>
  <w:num w:numId="25" w16cid:durableId="924264066">
    <w:abstractNumId w:val="1"/>
  </w:num>
  <w:num w:numId="26" w16cid:durableId="1654600489">
    <w:abstractNumId w:val="66"/>
  </w:num>
  <w:num w:numId="27" w16cid:durableId="938031023">
    <w:abstractNumId w:val="37"/>
  </w:num>
  <w:num w:numId="28" w16cid:durableId="1369725468">
    <w:abstractNumId w:val="78"/>
  </w:num>
  <w:num w:numId="29" w16cid:durableId="185682226">
    <w:abstractNumId w:val="25"/>
  </w:num>
  <w:num w:numId="30" w16cid:durableId="820464910">
    <w:abstractNumId w:val="53"/>
  </w:num>
  <w:num w:numId="31" w16cid:durableId="1259017878">
    <w:abstractNumId w:val="54"/>
  </w:num>
  <w:num w:numId="32" w16cid:durableId="385107571">
    <w:abstractNumId w:val="19"/>
  </w:num>
  <w:num w:numId="33" w16cid:durableId="1546213425">
    <w:abstractNumId w:val="84"/>
  </w:num>
  <w:num w:numId="34" w16cid:durableId="348260354">
    <w:abstractNumId w:val="3"/>
  </w:num>
  <w:num w:numId="35" w16cid:durableId="1928347706">
    <w:abstractNumId w:val="59"/>
  </w:num>
  <w:num w:numId="36" w16cid:durableId="1743991399">
    <w:abstractNumId w:val="39"/>
  </w:num>
  <w:num w:numId="37" w16cid:durableId="1742633761">
    <w:abstractNumId w:val="40"/>
  </w:num>
  <w:num w:numId="38" w16cid:durableId="1615360385">
    <w:abstractNumId w:val="31"/>
  </w:num>
  <w:num w:numId="39" w16cid:durableId="215167267">
    <w:abstractNumId w:val="30"/>
  </w:num>
  <w:num w:numId="40" w16cid:durableId="809398056">
    <w:abstractNumId w:val="14"/>
  </w:num>
  <w:num w:numId="41" w16cid:durableId="77870169">
    <w:abstractNumId w:val="60"/>
  </w:num>
  <w:num w:numId="42" w16cid:durableId="1367174584">
    <w:abstractNumId w:val="8"/>
  </w:num>
  <w:num w:numId="43" w16cid:durableId="1988322361">
    <w:abstractNumId w:val="82"/>
  </w:num>
  <w:num w:numId="44" w16cid:durableId="1054351462">
    <w:abstractNumId w:val="22"/>
  </w:num>
  <w:num w:numId="45" w16cid:durableId="570583195">
    <w:abstractNumId w:val="2"/>
  </w:num>
  <w:num w:numId="46" w16cid:durableId="1437094077">
    <w:abstractNumId w:val="15"/>
  </w:num>
  <w:num w:numId="47" w16cid:durableId="2002658829">
    <w:abstractNumId w:val="55"/>
  </w:num>
  <w:num w:numId="48" w16cid:durableId="1536427501">
    <w:abstractNumId w:val="17"/>
  </w:num>
  <w:num w:numId="49" w16cid:durableId="1020356007">
    <w:abstractNumId w:val="28"/>
  </w:num>
  <w:num w:numId="50" w16cid:durableId="1491604150">
    <w:abstractNumId w:val="75"/>
  </w:num>
  <w:num w:numId="51" w16cid:durableId="1063989771">
    <w:abstractNumId w:val="65"/>
  </w:num>
  <w:num w:numId="52" w16cid:durableId="593972630">
    <w:abstractNumId w:val="34"/>
  </w:num>
  <w:num w:numId="53" w16cid:durableId="1215309260">
    <w:abstractNumId w:val="46"/>
  </w:num>
  <w:num w:numId="54" w16cid:durableId="649138621">
    <w:abstractNumId w:val="48"/>
  </w:num>
  <w:num w:numId="55" w16cid:durableId="1985547922">
    <w:abstractNumId w:val="51"/>
  </w:num>
  <w:num w:numId="56" w16cid:durableId="247732584">
    <w:abstractNumId w:val="10"/>
  </w:num>
  <w:num w:numId="57" w16cid:durableId="2127507408">
    <w:abstractNumId w:val="63"/>
  </w:num>
  <w:num w:numId="58" w16cid:durableId="694043048">
    <w:abstractNumId w:val="77"/>
  </w:num>
  <w:num w:numId="59" w16cid:durableId="1346908890">
    <w:abstractNumId w:val="80"/>
  </w:num>
  <w:num w:numId="60" w16cid:durableId="2052800007">
    <w:abstractNumId w:val="0"/>
  </w:num>
  <w:num w:numId="61" w16cid:durableId="746418694">
    <w:abstractNumId w:val="45"/>
  </w:num>
  <w:num w:numId="62" w16cid:durableId="1075780321">
    <w:abstractNumId w:val="43"/>
  </w:num>
  <w:num w:numId="63" w16cid:durableId="389577018">
    <w:abstractNumId w:val="70"/>
  </w:num>
  <w:num w:numId="64" w16cid:durableId="448428804">
    <w:abstractNumId w:val="76"/>
  </w:num>
  <w:num w:numId="65" w16cid:durableId="210727817">
    <w:abstractNumId w:val="18"/>
  </w:num>
  <w:num w:numId="66" w16cid:durableId="479806822">
    <w:abstractNumId w:val="16"/>
  </w:num>
  <w:num w:numId="67" w16cid:durableId="964702554">
    <w:abstractNumId w:val="72"/>
  </w:num>
  <w:num w:numId="68" w16cid:durableId="1717663396">
    <w:abstractNumId w:val="81"/>
  </w:num>
  <w:num w:numId="69" w16cid:durableId="1773814382">
    <w:abstractNumId w:val="42"/>
  </w:num>
  <w:num w:numId="70" w16cid:durableId="406148200">
    <w:abstractNumId w:val="47"/>
  </w:num>
  <w:num w:numId="71" w16cid:durableId="880477192">
    <w:abstractNumId w:val="74"/>
  </w:num>
  <w:num w:numId="72" w16cid:durableId="81296172">
    <w:abstractNumId w:val="56"/>
  </w:num>
  <w:num w:numId="73" w16cid:durableId="254362168">
    <w:abstractNumId w:val="12"/>
  </w:num>
  <w:num w:numId="74" w16cid:durableId="1572228929">
    <w:abstractNumId w:val="11"/>
  </w:num>
  <w:num w:numId="75" w16cid:durableId="1165168653">
    <w:abstractNumId w:val="26"/>
  </w:num>
  <w:num w:numId="76" w16cid:durableId="144670099">
    <w:abstractNumId w:val="24"/>
  </w:num>
  <w:num w:numId="77" w16cid:durableId="1580140929">
    <w:abstractNumId w:val="36"/>
  </w:num>
  <w:num w:numId="78" w16cid:durableId="110249363">
    <w:abstractNumId w:val="73"/>
  </w:num>
  <w:num w:numId="79" w16cid:durableId="1971670555">
    <w:abstractNumId w:val="71"/>
  </w:num>
  <w:num w:numId="80" w16cid:durableId="206600352">
    <w:abstractNumId w:val="61"/>
  </w:num>
  <w:num w:numId="81" w16cid:durableId="1824002553">
    <w:abstractNumId w:val="6"/>
  </w:num>
  <w:num w:numId="82" w16cid:durableId="179904179">
    <w:abstractNumId w:val="57"/>
  </w:num>
  <w:num w:numId="83" w16cid:durableId="1037508106">
    <w:abstractNumId w:val="68"/>
  </w:num>
  <w:num w:numId="84" w16cid:durableId="659431653">
    <w:abstractNumId w:val="13"/>
  </w:num>
  <w:num w:numId="85" w16cid:durableId="3626350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2C3"/>
    <w:rsid w:val="00005F3E"/>
    <w:rsid w:val="0000665D"/>
    <w:rsid w:val="000072EE"/>
    <w:rsid w:val="00011454"/>
    <w:rsid w:val="00013EE3"/>
    <w:rsid w:val="000145B9"/>
    <w:rsid w:val="000162D5"/>
    <w:rsid w:val="0001702A"/>
    <w:rsid w:val="000265AB"/>
    <w:rsid w:val="00027B47"/>
    <w:rsid w:val="000306D3"/>
    <w:rsid w:val="000325B9"/>
    <w:rsid w:val="00032D15"/>
    <w:rsid w:val="00033667"/>
    <w:rsid w:val="00033820"/>
    <w:rsid w:val="00034150"/>
    <w:rsid w:val="00035B55"/>
    <w:rsid w:val="0004203E"/>
    <w:rsid w:val="00042535"/>
    <w:rsid w:val="00042B00"/>
    <w:rsid w:val="00043E6B"/>
    <w:rsid w:val="00045107"/>
    <w:rsid w:val="000458AE"/>
    <w:rsid w:val="00045CAF"/>
    <w:rsid w:val="0004608F"/>
    <w:rsid w:val="00046699"/>
    <w:rsid w:val="0004689A"/>
    <w:rsid w:val="00054DA4"/>
    <w:rsid w:val="000555C6"/>
    <w:rsid w:val="00056FFB"/>
    <w:rsid w:val="0006100F"/>
    <w:rsid w:val="00064865"/>
    <w:rsid w:val="000651A4"/>
    <w:rsid w:val="00065780"/>
    <w:rsid w:val="00066EA7"/>
    <w:rsid w:val="00071E96"/>
    <w:rsid w:val="00073C24"/>
    <w:rsid w:val="00076007"/>
    <w:rsid w:val="00076840"/>
    <w:rsid w:val="000770ED"/>
    <w:rsid w:val="000778F9"/>
    <w:rsid w:val="00077E16"/>
    <w:rsid w:val="000803D4"/>
    <w:rsid w:val="00080C37"/>
    <w:rsid w:val="00085BF3"/>
    <w:rsid w:val="00087689"/>
    <w:rsid w:val="00087CFD"/>
    <w:rsid w:val="00090799"/>
    <w:rsid w:val="000934E3"/>
    <w:rsid w:val="00095401"/>
    <w:rsid w:val="00097ACB"/>
    <w:rsid w:val="00097E24"/>
    <w:rsid w:val="000A058A"/>
    <w:rsid w:val="000A179E"/>
    <w:rsid w:val="000A2D9B"/>
    <w:rsid w:val="000A40D6"/>
    <w:rsid w:val="000A5754"/>
    <w:rsid w:val="000B1B61"/>
    <w:rsid w:val="000B1FDB"/>
    <w:rsid w:val="000B266D"/>
    <w:rsid w:val="000B2B76"/>
    <w:rsid w:val="000B4D97"/>
    <w:rsid w:val="000B72DB"/>
    <w:rsid w:val="000B73D0"/>
    <w:rsid w:val="000B7D28"/>
    <w:rsid w:val="000C0BFF"/>
    <w:rsid w:val="000C0CB0"/>
    <w:rsid w:val="000C1504"/>
    <w:rsid w:val="000C3045"/>
    <w:rsid w:val="000C7148"/>
    <w:rsid w:val="000C77F7"/>
    <w:rsid w:val="000D0258"/>
    <w:rsid w:val="000D30CC"/>
    <w:rsid w:val="000D4D01"/>
    <w:rsid w:val="000D79B0"/>
    <w:rsid w:val="000E356B"/>
    <w:rsid w:val="000E3924"/>
    <w:rsid w:val="000E45B1"/>
    <w:rsid w:val="000E4883"/>
    <w:rsid w:val="000E4DA0"/>
    <w:rsid w:val="000E52C3"/>
    <w:rsid w:val="000E5473"/>
    <w:rsid w:val="000E75E3"/>
    <w:rsid w:val="000F276F"/>
    <w:rsid w:val="000F37FE"/>
    <w:rsid w:val="000F5CD9"/>
    <w:rsid w:val="000F623B"/>
    <w:rsid w:val="000F6EE1"/>
    <w:rsid w:val="000F796B"/>
    <w:rsid w:val="00101594"/>
    <w:rsid w:val="0010483A"/>
    <w:rsid w:val="00104B34"/>
    <w:rsid w:val="00104E41"/>
    <w:rsid w:val="0011290F"/>
    <w:rsid w:val="00115CD4"/>
    <w:rsid w:val="00116018"/>
    <w:rsid w:val="00116444"/>
    <w:rsid w:val="00120FCA"/>
    <w:rsid w:val="00123FED"/>
    <w:rsid w:val="00124AEF"/>
    <w:rsid w:val="00124C79"/>
    <w:rsid w:val="001261C0"/>
    <w:rsid w:val="0012756A"/>
    <w:rsid w:val="0013142C"/>
    <w:rsid w:val="001314D7"/>
    <w:rsid w:val="0013151C"/>
    <w:rsid w:val="001322D3"/>
    <w:rsid w:val="001360D0"/>
    <w:rsid w:val="00136C3C"/>
    <w:rsid w:val="00137638"/>
    <w:rsid w:val="001401C2"/>
    <w:rsid w:val="001402C3"/>
    <w:rsid w:val="00141197"/>
    <w:rsid w:val="00141933"/>
    <w:rsid w:val="00143888"/>
    <w:rsid w:val="001446F3"/>
    <w:rsid w:val="001448AF"/>
    <w:rsid w:val="00144E7E"/>
    <w:rsid w:val="00145C47"/>
    <w:rsid w:val="001461AE"/>
    <w:rsid w:val="001461D5"/>
    <w:rsid w:val="00146E56"/>
    <w:rsid w:val="00147116"/>
    <w:rsid w:val="00147E22"/>
    <w:rsid w:val="00150EE5"/>
    <w:rsid w:val="00152AA1"/>
    <w:rsid w:val="001563A7"/>
    <w:rsid w:val="00156D2F"/>
    <w:rsid w:val="00160921"/>
    <w:rsid w:val="00160EC2"/>
    <w:rsid w:val="0016181B"/>
    <w:rsid w:val="00163485"/>
    <w:rsid w:val="001648C8"/>
    <w:rsid w:val="00167785"/>
    <w:rsid w:val="001717F6"/>
    <w:rsid w:val="00171B96"/>
    <w:rsid w:val="00172ADA"/>
    <w:rsid w:val="00174023"/>
    <w:rsid w:val="001757ED"/>
    <w:rsid w:val="00176AA2"/>
    <w:rsid w:val="00180428"/>
    <w:rsid w:val="0018226D"/>
    <w:rsid w:val="00182AAB"/>
    <w:rsid w:val="00182E53"/>
    <w:rsid w:val="00186ECA"/>
    <w:rsid w:val="0018743D"/>
    <w:rsid w:val="001916E4"/>
    <w:rsid w:val="001925F2"/>
    <w:rsid w:val="00193125"/>
    <w:rsid w:val="0019325B"/>
    <w:rsid w:val="001940DA"/>
    <w:rsid w:val="00195A59"/>
    <w:rsid w:val="00196FEB"/>
    <w:rsid w:val="001A04CC"/>
    <w:rsid w:val="001A2EAF"/>
    <w:rsid w:val="001A319A"/>
    <w:rsid w:val="001A4D46"/>
    <w:rsid w:val="001A5FBE"/>
    <w:rsid w:val="001B0BB1"/>
    <w:rsid w:val="001B0C6C"/>
    <w:rsid w:val="001B17A1"/>
    <w:rsid w:val="001B1C3B"/>
    <w:rsid w:val="001B32B6"/>
    <w:rsid w:val="001B44DF"/>
    <w:rsid w:val="001B50BE"/>
    <w:rsid w:val="001B5331"/>
    <w:rsid w:val="001B5F08"/>
    <w:rsid w:val="001B72C2"/>
    <w:rsid w:val="001C0F5A"/>
    <w:rsid w:val="001C1868"/>
    <w:rsid w:val="001C1CAC"/>
    <w:rsid w:val="001C27FF"/>
    <w:rsid w:val="001C4BA0"/>
    <w:rsid w:val="001C4DF3"/>
    <w:rsid w:val="001C747F"/>
    <w:rsid w:val="001C7489"/>
    <w:rsid w:val="001C7911"/>
    <w:rsid w:val="001D1384"/>
    <w:rsid w:val="001D2BD0"/>
    <w:rsid w:val="001D2C46"/>
    <w:rsid w:val="001D5FBD"/>
    <w:rsid w:val="001D64EA"/>
    <w:rsid w:val="001D73BC"/>
    <w:rsid w:val="001D762D"/>
    <w:rsid w:val="001D76E1"/>
    <w:rsid w:val="001E3209"/>
    <w:rsid w:val="001E3875"/>
    <w:rsid w:val="001E3CDB"/>
    <w:rsid w:val="001E4F25"/>
    <w:rsid w:val="001E6C65"/>
    <w:rsid w:val="001E720E"/>
    <w:rsid w:val="001E76A2"/>
    <w:rsid w:val="001F004D"/>
    <w:rsid w:val="001F0854"/>
    <w:rsid w:val="001F5383"/>
    <w:rsid w:val="002020AA"/>
    <w:rsid w:val="00203597"/>
    <w:rsid w:val="00203650"/>
    <w:rsid w:val="00205FCB"/>
    <w:rsid w:val="0020761C"/>
    <w:rsid w:val="00213DF7"/>
    <w:rsid w:val="00215D5A"/>
    <w:rsid w:val="00216E0E"/>
    <w:rsid w:val="0022219B"/>
    <w:rsid w:val="0022363E"/>
    <w:rsid w:val="0022463D"/>
    <w:rsid w:val="0022764E"/>
    <w:rsid w:val="00227F6B"/>
    <w:rsid w:val="00230EF1"/>
    <w:rsid w:val="002336B0"/>
    <w:rsid w:val="00233AFB"/>
    <w:rsid w:val="002340CD"/>
    <w:rsid w:val="00234743"/>
    <w:rsid w:val="002436BD"/>
    <w:rsid w:val="0024433F"/>
    <w:rsid w:val="002444AA"/>
    <w:rsid w:val="002465DD"/>
    <w:rsid w:val="0024721E"/>
    <w:rsid w:val="00250376"/>
    <w:rsid w:val="00253678"/>
    <w:rsid w:val="002540D4"/>
    <w:rsid w:val="002552DF"/>
    <w:rsid w:val="00261F45"/>
    <w:rsid w:val="002620F3"/>
    <w:rsid w:val="002630E5"/>
    <w:rsid w:val="002642CA"/>
    <w:rsid w:val="00274524"/>
    <w:rsid w:val="0027480A"/>
    <w:rsid w:val="00274944"/>
    <w:rsid w:val="00276916"/>
    <w:rsid w:val="00277633"/>
    <w:rsid w:val="00283B7E"/>
    <w:rsid w:val="00286A20"/>
    <w:rsid w:val="00290B44"/>
    <w:rsid w:val="002924E1"/>
    <w:rsid w:val="00293329"/>
    <w:rsid w:val="0029447E"/>
    <w:rsid w:val="00295A4E"/>
    <w:rsid w:val="00295AAD"/>
    <w:rsid w:val="002968D9"/>
    <w:rsid w:val="00297F00"/>
    <w:rsid w:val="002A0CD5"/>
    <w:rsid w:val="002A0DB2"/>
    <w:rsid w:val="002A1480"/>
    <w:rsid w:val="002A3A95"/>
    <w:rsid w:val="002A677B"/>
    <w:rsid w:val="002B2891"/>
    <w:rsid w:val="002B2B67"/>
    <w:rsid w:val="002B6CBE"/>
    <w:rsid w:val="002C0F03"/>
    <w:rsid w:val="002C21C4"/>
    <w:rsid w:val="002C2603"/>
    <w:rsid w:val="002C2A7A"/>
    <w:rsid w:val="002C3A32"/>
    <w:rsid w:val="002C57DA"/>
    <w:rsid w:val="002C5DBC"/>
    <w:rsid w:val="002D16AE"/>
    <w:rsid w:val="002D1B35"/>
    <w:rsid w:val="002D47A2"/>
    <w:rsid w:val="002D754E"/>
    <w:rsid w:val="002E2871"/>
    <w:rsid w:val="002E2E3B"/>
    <w:rsid w:val="002E3F8A"/>
    <w:rsid w:val="002E5813"/>
    <w:rsid w:val="002E6567"/>
    <w:rsid w:val="002E6F77"/>
    <w:rsid w:val="002E7468"/>
    <w:rsid w:val="002F14C8"/>
    <w:rsid w:val="002F3B9E"/>
    <w:rsid w:val="002F46D9"/>
    <w:rsid w:val="002F4F04"/>
    <w:rsid w:val="002F7F91"/>
    <w:rsid w:val="0030179C"/>
    <w:rsid w:val="00302D0E"/>
    <w:rsid w:val="00302F6A"/>
    <w:rsid w:val="00303D8F"/>
    <w:rsid w:val="0030535C"/>
    <w:rsid w:val="00306293"/>
    <w:rsid w:val="003111DD"/>
    <w:rsid w:val="0031148D"/>
    <w:rsid w:val="00311747"/>
    <w:rsid w:val="003120AE"/>
    <w:rsid w:val="00312C55"/>
    <w:rsid w:val="0031392D"/>
    <w:rsid w:val="00315820"/>
    <w:rsid w:val="003159BB"/>
    <w:rsid w:val="0031730A"/>
    <w:rsid w:val="003213F4"/>
    <w:rsid w:val="00321E65"/>
    <w:rsid w:val="00322B91"/>
    <w:rsid w:val="003235CD"/>
    <w:rsid w:val="00325149"/>
    <w:rsid w:val="003253C2"/>
    <w:rsid w:val="003272BA"/>
    <w:rsid w:val="003272DC"/>
    <w:rsid w:val="00327CF0"/>
    <w:rsid w:val="00327E61"/>
    <w:rsid w:val="00331505"/>
    <w:rsid w:val="00331A14"/>
    <w:rsid w:val="00332638"/>
    <w:rsid w:val="00333ADC"/>
    <w:rsid w:val="00333D57"/>
    <w:rsid w:val="00334E04"/>
    <w:rsid w:val="00337350"/>
    <w:rsid w:val="00340F99"/>
    <w:rsid w:val="003413A5"/>
    <w:rsid w:val="003435A2"/>
    <w:rsid w:val="00344FBA"/>
    <w:rsid w:val="00346688"/>
    <w:rsid w:val="0036024A"/>
    <w:rsid w:val="0036134E"/>
    <w:rsid w:val="003613DE"/>
    <w:rsid w:val="00363B3C"/>
    <w:rsid w:val="00364A59"/>
    <w:rsid w:val="00367B76"/>
    <w:rsid w:val="003703B2"/>
    <w:rsid w:val="003722B3"/>
    <w:rsid w:val="00373546"/>
    <w:rsid w:val="00375871"/>
    <w:rsid w:val="00375B64"/>
    <w:rsid w:val="00377598"/>
    <w:rsid w:val="003808D8"/>
    <w:rsid w:val="00382AAA"/>
    <w:rsid w:val="00383AC9"/>
    <w:rsid w:val="00386929"/>
    <w:rsid w:val="00386AC4"/>
    <w:rsid w:val="00395B70"/>
    <w:rsid w:val="00395C09"/>
    <w:rsid w:val="00395D8A"/>
    <w:rsid w:val="00395E55"/>
    <w:rsid w:val="00396EF3"/>
    <w:rsid w:val="003970F2"/>
    <w:rsid w:val="003A040B"/>
    <w:rsid w:val="003A0567"/>
    <w:rsid w:val="003A0589"/>
    <w:rsid w:val="003A05FA"/>
    <w:rsid w:val="003A12C5"/>
    <w:rsid w:val="003A6383"/>
    <w:rsid w:val="003A68B2"/>
    <w:rsid w:val="003A74B1"/>
    <w:rsid w:val="003B0720"/>
    <w:rsid w:val="003B167F"/>
    <w:rsid w:val="003B5104"/>
    <w:rsid w:val="003B54A0"/>
    <w:rsid w:val="003B64C7"/>
    <w:rsid w:val="003B6FD2"/>
    <w:rsid w:val="003C0710"/>
    <w:rsid w:val="003C4B81"/>
    <w:rsid w:val="003C505E"/>
    <w:rsid w:val="003C5E75"/>
    <w:rsid w:val="003D184F"/>
    <w:rsid w:val="003D1EC5"/>
    <w:rsid w:val="003D2B9C"/>
    <w:rsid w:val="003D35B5"/>
    <w:rsid w:val="003D41F0"/>
    <w:rsid w:val="003D7CC5"/>
    <w:rsid w:val="003E1699"/>
    <w:rsid w:val="003E4AEB"/>
    <w:rsid w:val="003E54A3"/>
    <w:rsid w:val="003E60EF"/>
    <w:rsid w:val="003F04A4"/>
    <w:rsid w:val="003F0ADC"/>
    <w:rsid w:val="003F0AFA"/>
    <w:rsid w:val="003F1D75"/>
    <w:rsid w:val="003F2D8D"/>
    <w:rsid w:val="003F33E8"/>
    <w:rsid w:val="003F358C"/>
    <w:rsid w:val="003F36A4"/>
    <w:rsid w:val="003F3F12"/>
    <w:rsid w:val="003F46BB"/>
    <w:rsid w:val="00401584"/>
    <w:rsid w:val="00401A13"/>
    <w:rsid w:val="00402D08"/>
    <w:rsid w:val="00403880"/>
    <w:rsid w:val="004044FC"/>
    <w:rsid w:val="00404ED4"/>
    <w:rsid w:val="00405030"/>
    <w:rsid w:val="004073C3"/>
    <w:rsid w:val="0041038D"/>
    <w:rsid w:val="00410F2D"/>
    <w:rsid w:val="00411255"/>
    <w:rsid w:val="00411FB4"/>
    <w:rsid w:val="004134C4"/>
    <w:rsid w:val="00413846"/>
    <w:rsid w:val="0041392A"/>
    <w:rsid w:val="0041485B"/>
    <w:rsid w:val="0041491A"/>
    <w:rsid w:val="004157B7"/>
    <w:rsid w:val="0041611A"/>
    <w:rsid w:val="004173AF"/>
    <w:rsid w:val="004177D4"/>
    <w:rsid w:val="0042138E"/>
    <w:rsid w:val="00422AE1"/>
    <w:rsid w:val="0042323A"/>
    <w:rsid w:val="004239DF"/>
    <w:rsid w:val="00423EA2"/>
    <w:rsid w:val="00426AF5"/>
    <w:rsid w:val="004301E9"/>
    <w:rsid w:val="004336F6"/>
    <w:rsid w:val="00433A1E"/>
    <w:rsid w:val="00433B75"/>
    <w:rsid w:val="004342C1"/>
    <w:rsid w:val="00434F10"/>
    <w:rsid w:val="0043631F"/>
    <w:rsid w:val="00437923"/>
    <w:rsid w:val="004408E8"/>
    <w:rsid w:val="00440B39"/>
    <w:rsid w:val="004423DE"/>
    <w:rsid w:val="00443491"/>
    <w:rsid w:val="00445539"/>
    <w:rsid w:val="00445784"/>
    <w:rsid w:val="00445CC8"/>
    <w:rsid w:val="0044657C"/>
    <w:rsid w:val="00446F26"/>
    <w:rsid w:val="004476A3"/>
    <w:rsid w:val="00447D49"/>
    <w:rsid w:val="0045143D"/>
    <w:rsid w:val="00452410"/>
    <w:rsid w:val="00453F83"/>
    <w:rsid w:val="004557EA"/>
    <w:rsid w:val="004567F1"/>
    <w:rsid w:val="004623E9"/>
    <w:rsid w:val="00462A89"/>
    <w:rsid w:val="0046390B"/>
    <w:rsid w:val="00463F84"/>
    <w:rsid w:val="0046615B"/>
    <w:rsid w:val="00470CD7"/>
    <w:rsid w:val="00471851"/>
    <w:rsid w:val="004745B3"/>
    <w:rsid w:val="00474765"/>
    <w:rsid w:val="00475208"/>
    <w:rsid w:val="00480315"/>
    <w:rsid w:val="004815F2"/>
    <w:rsid w:val="00483E49"/>
    <w:rsid w:val="00487089"/>
    <w:rsid w:val="00487EEC"/>
    <w:rsid w:val="00490D57"/>
    <w:rsid w:val="00493516"/>
    <w:rsid w:val="00493854"/>
    <w:rsid w:val="00493BD4"/>
    <w:rsid w:val="004A009F"/>
    <w:rsid w:val="004A0485"/>
    <w:rsid w:val="004A07FE"/>
    <w:rsid w:val="004A0C63"/>
    <w:rsid w:val="004A1CF8"/>
    <w:rsid w:val="004A1FF2"/>
    <w:rsid w:val="004A37CF"/>
    <w:rsid w:val="004A4E54"/>
    <w:rsid w:val="004A5CA5"/>
    <w:rsid w:val="004B0CD3"/>
    <w:rsid w:val="004B0D8B"/>
    <w:rsid w:val="004B36D1"/>
    <w:rsid w:val="004B5451"/>
    <w:rsid w:val="004B5D69"/>
    <w:rsid w:val="004B7063"/>
    <w:rsid w:val="004B7152"/>
    <w:rsid w:val="004B7BB4"/>
    <w:rsid w:val="004B7EFB"/>
    <w:rsid w:val="004C2448"/>
    <w:rsid w:val="004C2FB1"/>
    <w:rsid w:val="004C54B7"/>
    <w:rsid w:val="004C5571"/>
    <w:rsid w:val="004D0CB6"/>
    <w:rsid w:val="004D1A26"/>
    <w:rsid w:val="004D515C"/>
    <w:rsid w:val="004D599F"/>
    <w:rsid w:val="004D677D"/>
    <w:rsid w:val="004D705E"/>
    <w:rsid w:val="004D7A57"/>
    <w:rsid w:val="004E3131"/>
    <w:rsid w:val="004E58B4"/>
    <w:rsid w:val="004E6785"/>
    <w:rsid w:val="004F0C84"/>
    <w:rsid w:val="004F1013"/>
    <w:rsid w:val="004F28E4"/>
    <w:rsid w:val="004F41BA"/>
    <w:rsid w:val="004F6E3F"/>
    <w:rsid w:val="004F6E84"/>
    <w:rsid w:val="00500A58"/>
    <w:rsid w:val="005014B3"/>
    <w:rsid w:val="00503E91"/>
    <w:rsid w:val="00512853"/>
    <w:rsid w:val="00515212"/>
    <w:rsid w:val="005164E1"/>
    <w:rsid w:val="00516CBD"/>
    <w:rsid w:val="00520B71"/>
    <w:rsid w:val="00521447"/>
    <w:rsid w:val="00521B38"/>
    <w:rsid w:val="00521E00"/>
    <w:rsid w:val="005244B6"/>
    <w:rsid w:val="005255D1"/>
    <w:rsid w:val="00530974"/>
    <w:rsid w:val="00531452"/>
    <w:rsid w:val="00533377"/>
    <w:rsid w:val="00534404"/>
    <w:rsid w:val="00535643"/>
    <w:rsid w:val="00536FEF"/>
    <w:rsid w:val="005413EF"/>
    <w:rsid w:val="00541708"/>
    <w:rsid w:val="00542BBC"/>
    <w:rsid w:val="00544069"/>
    <w:rsid w:val="005446A3"/>
    <w:rsid w:val="005457BD"/>
    <w:rsid w:val="00546A4C"/>
    <w:rsid w:val="00547B9D"/>
    <w:rsid w:val="0055161E"/>
    <w:rsid w:val="00551675"/>
    <w:rsid w:val="00553026"/>
    <w:rsid w:val="00555123"/>
    <w:rsid w:val="00555169"/>
    <w:rsid w:val="00557EF6"/>
    <w:rsid w:val="0056078D"/>
    <w:rsid w:val="0056255D"/>
    <w:rsid w:val="00562912"/>
    <w:rsid w:val="00566E85"/>
    <w:rsid w:val="00567433"/>
    <w:rsid w:val="00567AA5"/>
    <w:rsid w:val="0057072A"/>
    <w:rsid w:val="005713EC"/>
    <w:rsid w:val="00573518"/>
    <w:rsid w:val="005754EF"/>
    <w:rsid w:val="005855C9"/>
    <w:rsid w:val="005863F1"/>
    <w:rsid w:val="00586BDB"/>
    <w:rsid w:val="00586C1F"/>
    <w:rsid w:val="00587475"/>
    <w:rsid w:val="005909E1"/>
    <w:rsid w:val="00591AE1"/>
    <w:rsid w:val="00593028"/>
    <w:rsid w:val="005958AC"/>
    <w:rsid w:val="00595C6E"/>
    <w:rsid w:val="00595E57"/>
    <w:rsid w:val="00596151"/>
    <w:rsid w:val="0059743B"/>
    <w:rsid w:val="005A0786"/>
    <w:rsid w:val="005A1446"/>
    <w:rsid w:val="005A2923"/>
    <w:rsid w:val="005A2D2A"/>
    <w:rsid w:val="005A5DE2"/>
    <w:rsid w:val="005A60AF"/>
    <w:rsid w:val="005A6372"/>
    <w:rsid w:val="005A77F9"/>
    <w:rsid w:val="005B0F6B"/>
    <w:rsid w:val="005B10BA"/>
    <w:rsid w:val="005B11AF"/>
    <w:rsid w:val="005B2CC6"/>
    <w:rsid w:val="005B2CCF"/>
    <w:rsid w:val="005B39D8"/>
    <w:rsid w:val="005B77D0"/>
    <w:rsid w:val="005B791F"/>
    <w:rsid w:val="005C0A9F"/>
    <w:rsid w:val="005C0C77"/>
    <w:rsid w:val="005C1460"/>
    <w:rsid w:val="005C18E4"/>
    <w:rsid w:val="005C2C18"/>
    <w:rsid w:val="005C3CFC"/>
    <w:rsid w:val="005C6648"/>
    <w:rsid w:val="005C7075"/>
    <w:rsid w:val="005D2A24"/>
    <w:rsid w:val="005D2F91"/>
    <w:rsid w:val="005D3D24"/>
    <w:rsid w:val="005D4ED0"/>
    <w:rsid w:val="005D6A97"/>
    <w:rsid w:val="005E0B8B"/>
    <w:rsid w:val="005E1766"/>
    <w:rsid w:val="005E5C53"/>
    <w:rsid w:val="005E7838"/>
    <w:rsid w:val="005F1091"/>
    <w:rsid w:val="005F1294"/>
    <w:rsid w:val="005F17D4"/>
    <w:rsid w:val="005F2DE7"/>
    <w:rsid w:val="005F720F"/>
    <w:rsid w:val="00604FAB"/>
    <w:rsid w:val="006051E7"/>
    <w:rsid w:val="00606642"/>
    <w:rsid w:val="006074C9"/>
    <w:rsid w:val="00607567"/>
    <w:rsid w:val="0060783E"/>
    <w:rsid w:val="00615708"/>
    <w:rsid w:val="00625FA9"/>
    <w:rsid w:val="00627E89"/>
    <w:rsid w:val="0063134E"/>
    <w:rsid w:val="006317C5"/>
    <w:rsid w:val="00632C7C"/>
    <w:rsid w:val="0063367B"/>
    <w:rsid w:val="00634E44"/>
    <w:rsid w:val="0063594C"/>
    <w:rsid w:val="006406F6"/>
    <w:rsid w:val="00641C34"/>
    <w:rsid w:val="006425B8"/>
    <w:rsid w:val="00644458"/>
    <w:rsid w:val="0064542B"/>
    <w:rsid w:val="00645941"/>
    <w:rsid w:val="006470F3"/>
    <w:rsid w:val="00653FC6"/>
    <w:rsid w:val="00654002"/>
    <w:rsid w:val="00660AE9"/>
    <w:rsid w:val="00661BC8"/>
    <w:rsid w:val="0066429D"/>
    <w:rsid w:val="00664D5E"/>
    <w:rsid w:val="00664F77"/>
    <w:rsid w:val="00665AE4"/>
    <w:rsid w:val="00665D98"/>
    <w:rsid w:val="006661F3"/>
    <w:rsid w:val="006675B5"/>
    <w:rsid w:val="00667730"/>
    <w:rsid w:val="00667FC5"/>
    <w:rsid w:val="0067132A"/>
    <w:rsid w:val="0067167C"/>
    <w:rsid w:val="0067334F"/>
    <w:rsid w:val="00674926"/>
    <w:rsid w:val="00675633"/>
    <w:rsid w:val="00675BD3"/>
    <w:rsid w:val="00680327"/>
    <w:rsid w:val="00681F40"/>
    <w:rsid w:val="00682FC7"/>
    <w:rsid w:val="0068323D"/>
    <w:rsid w:val="006834EA"/>
    <w:rsid w:val="00685431"/>
    <w:rsid w:val="00685B5D"/>
    <w:rsid w:val="00687647"/>
    <w:rsid w:val="00687A07"/>
    <w:rsid w:val="00687CF6"/>
    <w:rsid w:val="00692944"/>
    <w:rsid w:val="00693B57"/>
    <w:rsid w:val="00694632"/>
    <w:rsid w:val="00695754"/>
    <w:rsid w:val="006965DA"/>
    <w:rsid w:val="006A0545"/>
    <w:rsid w:val="006A1442"/>
    <w:rsid w:val="006A35AA"/>
    <w:rsid w:val="006A5B30"/>
    <w:rsid w:val="006B00C7"/>
    <w:rsid w:val="006B34E8"/>
    <w:rsid w:val="006B3A1D"/>
    <w:rsid w:val="006B4F54"/>
    <w:rsid w:val="006B64D0"/>
    <w:rsid w:val="006B7301"/>
    <w:rsid w:val="006B76F0"/>
    <w:rsid w:val="006B7C39"/>
    <w:rsid w:val="006C0C03"/>
    <w:rsid w:val="006C1DE9"/>
    <w:rsid w:val="006C4564"/>
    <w:rsid w:val="006C7026"/>
    <w:rsid w:val="006D2E7C"/>
    <w:rsid w:val="006D38EE"/>
    <w:rsid w:val="006D3D16"/>
    <w:rsid w:val="006D409C"/>
    <w:rsid w:val="006D47FE"/>
    <w:rsid w:val="006D66AF"/>
    <w:rsid w:val="006D678D"/>
    <w:rsid w:val="006D78E3"/>
    <w:rsid w:val="006D7EE6"/>
    <w:rsid w:val="006E18C4"/>
    <w:rsid w:val="006E23B7"/>
    <w:rsid w:val="006E283E"/>
    <w:rsid w:val="006E3987"/>
    <w:rsid w:val="006E6335"/>
    <w:rsid w:val="006F1F26"/>
    <w:rsid w:val="006F27FA"/>
    <w:rsid w:val="006F2F32"/>
    <w:rsid w:val="006F49B9"/>
    <w:rsid w:val="006F6905"/>
    <w:rsid w:val="006F6C5F"/>
    <w:rsid w:val="006F6CA6"/>
    <w:rsid w:val="006F7054"/>
    <w:rsid w:val="00700934"/>
    <w:rsid w:val="00700B85"/>
    <w:rsid w:val="00702A57"/>
    <w:rsid w:val="00703CDF"/>
    <w:rsid w:val="00704496"/>
    <w:rsid w:val="00705855"/>
    <w:rsid w:val="00707D2C"/>
    <w:rsid w:val="007115F6"/>
    <w:rsid w:val="00711AD5"/>
    <w:rsid w:val="00712F63"/>
    <w:rsid w:val="00713FB6"/>
    <w:rsid w:val="00714669"/>
    <w:rsid w:val="00722515"/>
    <w:rsid w:val="00725F72"/>
    <w:rsid w:val="00726A9A"/>
    <w:rsid w:val="00730767"/>
    <w:rsid w:val="00731B12"/>
    <w:rsid w:val="00735677"/>
    <w:rsid w:val="00736C65"/>
    <w:rsid w:val="00737A4A"/>
    <w:rsid w:val="00741188"/>
    <w:rsid w:val="00741C63"/>
    <w:rsid w:val="007424FB"/>
    <w:rsid w:val="0074273B"/>
    <w:rsid w:val="007434A5"/>
    <w:rsid w:val="00743E77"/>
    <w:rsid w:val="00743EAD"/>
    <w:rsid w:val="007441A6"/>
    <w:rsid w:val="007444E9"/>
    <w:rsid w:val="00746431"/>
    <w:rsid w:val="00753B7B"/>
    <w:rsid w:val="00753D9D"/>
    <w:rsid w:val="00757238"/>
    <w:rsid w:val="007572D6"/>
    <w:rsid w:val="0075789B"/>
    <w:rsid w:val="00760943"/>
    <w:rsid w:val="00766DC0"/>
    <w:rsid w:val="00766F26"/>
    <w:rsid w:val="0076735D"/>
    <w:rsid w:val="00767F89"/>
    <w:rsid w:val="0077063B"/>
    <w:rsid w:val="0077078A"/>
    <w:rsid w:val="00771067"/>
    <w:rsid w:val="007715DD"/>
    <w:rsid w:val="00771946"/>
    <w:rsid w:val="007724D0"/>
    <w:rsid w:val="00774889"/>
    <w:rsid w:val="007757F7"/>
    <w:rsid w:val="00775EF0"/>
    <w:rsid w:val="00780C7E"/>
    <w:rsid w:val="00781BD3"/>
    <w:rsid w:val="00783860"/>
    <w:rsid w:val="00785547"/>
    <w:rsid w:val="007857AB"/>
    <w:rsid w:val="00785D9F"/>
    <w:rsid w:val="00785E14"/>
    <w:rsid w:val="007860B4"/>
    <w:rsid w:val="00786A45"/>
    <w:rsid w:val="00787F87"/>
    <w:rsid w:val="00791434"/>
    <w:rsid w:val="0079311D"/>
    <w:rsid w:val="00795969"/>
    <w:rsid w:val="00797EC6"/>
    <w:rsid w:val="007A01C4"/>
    <w:rsid w:val="007A0FC3"/>
    <w:rsid w:val="007A1631"/>
    <w:rsid w:val="007A1707"/>
    <w:rsid w:val="007A1EF6"/>
    <w:rsid w:val="007A68C3"/>
    <w:rsid w:val="007A7133"/>
    <w:rsid w:val="007A7CEE"/>
    <w:rsid w:val="007B0AA9"/>
    <w:rsid w:val="007B0D96"/>
    <w:rsid w:val="007B0F14"/>
    <w:rsid w:val="007B29D7"/>
    <w:rsid w:val="007B2B22"/>
    <w:rsid w:val="007B3BA4"/>
    <w:rsid w:val="007B46F5"/>
    <w:rsid w:val="007B4898"/>
    <w:rsid w:val="007C0FF1"/>
    <w:rsid w:val="007C1C85"/>
    <w:rsid w:val="007C2A9A"/>
    <w:rsid w:val="007C3BF6"/>
    <w:rsid w:val="007C48EB"/>
    <w:rsid w:val="007D058F"/>
    <w:rsid w:val="007D122A"/>
    <w:rsid w:val="007D19EE"/>
    <w:rsid w:val="007D2A26"/>
    <w:rsid w:val="007D4DA2"/>
    <w:rsid w:val="007D6B11"/>
    <w:rsid w:val="007D7104"/>
    <w:rsid w:val="007E0372"/>
    <w:rsid w:val="007E1141"/>
    <w:rsid w:val="007E3589"/>
    <w:rsid w:val="007E3F18"/>
    <w:rsid w:val="007E7140"/>
    <w:rsid w:val="007F16D7"/>
    <w:rsid w:val="007F2900"/>
    <w:rsid w:val="007F31F3"/>
    <w:rsid w:val="007F333F"/>
    <w:rsid w:val="007F4E22"/>
    <w:rsid w:val="00800390"/>
    <w:rsid w:val="008017A7"/>
    <w:rsid w:val="0080489D"/>
    <w:rsid w:val="00806A8A"/>
    <w:rsid w:val="00806C0A"/>
    <w:rsid w:val="0080711F"/>
    <w:rsid w:val="008071F1"/>
    <w:rsid w:val="008138E3"/>
    <w:rsid w:val="00813C0A"/>
    <w:rsid w:val="00814CCB"/>
    <w:rsid w:val="008175D9"/>
    <w:rsid w:val="00820CE8"/>
    <w:rsid w:val="0082247F"/>
    <w:rsid w:val="00826B2C"/>
    <w:rsid w:val="0082719B"/>
    <w:rsid w:val="00831B53"/>
    <w:rsid w:val="00831DD8"/>
    <w:rsid w:val="00834D7A"/>
    <w:rsid w:val="008360C4"/>
    <w:rsid w:val="008365A8"/>
    <w:rsid w:val="00836A67"/>
    <w:rsid w:val="00843ABA"/>
    <w:rsid w:val="00843DAC"/>
    <w:rsid w:val="0084413A"/>
    <w:rsid w:val="0084646A"/>
    <w:rsid w:val="00846F89"/>
    <w:rsid w:val="0084725A"/>
    <w:rsid w:val="00850317"/>
    <w:rsid w:val="00851138"/>
    <w:rsid w:val="00854213"/>
    <w:rsid w:val="00854C30"/>
    <w:rsid w:val="00861B84"/>
    <w:rsid w:val="00862091"/>
    <w:rsid w:val="00862DE9"/>
    <w:rsid w:val="0086638C"/>
    <w:rsid w:val="008708D9"/>
    <w:rsid w:val="0087101D"/>
    <w:rsid w:val="0087194C"/>
    <w:rsid w:val="0087228B"/>
    <w:rsid w:val="00873DC2"/>
    <w:rsid w:val="00874601"/>
    <w:rsid w:val="00877883"/>
    <w:rsid w:val="00881364"/>
    <w:rsid w:val="00881B03"/>
    <w:rsid w:val="008855C1"/>
    <w:rsid w:val="008859B1"/>
    <w:rsid w:val="008914B4"/>
    <w:rsid w:val="00892C59"/>
    <w:rsid w:val="00892E3A"/>
    <w:rsid w:val="00896697"/>
    <w:rsid w:val="00897CAC"/>
    <w:rsid w:val="008A1D1E"/>
    <w:rsid w:val="008A34FE"/>
    <w:rsid w:val="008A4135"/>
    <w:rsid w:val="008A53C3"/>
    <w:rsid w:val="008A6187"/>
    <w:rsid w:val="008A643A"/>
    <w:rsid w:val="008A677B"/>
    <w:rsid w:val="008B0026"/>
    <w:rsid w:val="008B50B3"/>
    <w:rsid w:val="008B5829"/>
    <w:rsid w:val="008B5F92"/>
    <w:rsid w:val="008B6813"/>
    <w:rsid w:val="008B77C4"/>
    <w:rsid w:val="008C0673"/>
    <w:rsid w:val="008C098C"/>
    <w:rsid w:val="008C2D9C"/>
    <w:rsid w:val="008C3206"/>
    <w:rsid w:val="008C4A60"/>
    <w:rsid w:val="008D041D"/>
    <w:rsid w:val="008D1156"/>
    <w:rsid w:val="008D3A10"/>
    <w:rsid w:val="008D5437"/>
    <w:rsid w:val="008D762C"/>
    <w:rsid w:val="008D7FB2"/>
    <w:rsid w:val="008E0786"/>
    <w:rsid w:val="008E2F9A"/>
    <w:rsid w:val="008E4F22"/>
    <w:rsid w:val="008E7219"/>
    <w:rsid w:val="008E7D12"/>
    <w:rsid w:val="008F0280"/>
    <w:rsid w:val="008F1E22"/>
    <w:rsid w:val="008F1E90"/>
    <w:rsid w:val="008F2CA3"/>
    <w:rsid w:val="008F4068"/>
    <w:rsid w:val="008F674B"/>
    <w:rsid w:val="008F6836"/>
    <w:rsid w:val="008F6A46"/>
    <w:rsid w:val="00904966"/>
    <w:rsid w:val="00904ED5"/>
    <w:rsid w:val="009050C1"/>
    <w:rsid w:val="00905CC9"/>
    <w:rsid w:val="009063CA"/>
    <w:rsid w:val="00910004"/>
    <w:rsid w:val="009110E1"/>
    <w:rsid w:val="0091283A"/>
    <w:rsid w:val="00913335"/>
    <w:rsid w:val="00915601"/>
    <w:rsid w:val="00917221"/>
    <w:rsid w:val="0092219B"/>
    <w:rsid w:val="00922451"/>
    <w:rsid w:val="00924E43"/>
    <w:rsid w:val="009251EE"/>
    <w:rsid w:val="00926AC4"/>
    <w:rsid w:val="009319ED"/>
    <w:rsid w:val="0094204E"/>
    <w:rsid w:val="009423C7"/>
    <w:rsid w:val="00945D72"/>
    <w:rsid w:val="00946045"/>
    <w:rsid w:val="00946221"/>
    <w:rsid w:val="009508EC"/>
    <w:rsid w:val="00952626"/>
    <w:rsid w:val="009540E1"/>
    <w:rsid w:val="009541C2"/>
    <w:rsid w:val="009550DA"/>
    <w:rsid w:val="00955255"/>
    <w:rsid w:val="00955F37"/>
    <w:rsid w:val="009572ED"/>
    <w:rsid w:val="00961D3C"/>
    <w:rsid w:val="00965EC4"/>
    <w:rsid w:val="00967545"/>
    <w:rsid w:val="0097127D"/>
    <w:rsid w:val="00972482"/>
    <w:rsid w:val="00972FD4"/>
    <w:rsid w:val="00974609"/>
    <w:rsid w:val="00974908"/>
    <w:rsid w:val="00975E98"/>
    <w:rsid w:val="00977DA9"/>
    <w:rsid w:val="00980C08"/>
    <w:rsid w:val="0098170C"/>
    <w:rsid w:val="00981B14"/>
    <w:rsid w:val="00981D29"/>
    <w:rsid w:val="00982D08"/>
    <w:rsid w:val="009834AE"/>
    <w:rsid w:val="00985A87"/>
    <w:rsid w:val="00987A96"/>
    <w:rsid w:val="00991565"/>
    <w:rsid w:val="00993AC7"/>
    <w:rsid w:val="00994F00"/>
    <w:rsid w:val="009967FC"/>
    <w:rsid w:val="009A13E9"/>
    <w:rsid w:val="009A15FD"/>
    <w:rsid w:val="009A1CBF"/>
    <w:rsid w:val="009A32A3"/>
    <w:rsid w:val="009A3C1B"/>
    <w:rsid w:val="009A5827"/>
    <w:rsid w:val="009A6620"/>
    <w:rsid w:val="009A6AF4"/>
    <w:rsid w:val="009A6DE5"/>
    <w:rsid w:val="009B2787"/>
    <w:rsid w:val="009B56BA"/>
    <w:rsid w:val="009C0339"/>
    <w:rsid w:val="009C1C7C"/>
    <w:rsid w:val="009C213E"/>
    <w:rsid w:val="009C22BC"/>
    <w:rsid w:val="009C27AC"/>
    <w:rsid w:val="009C29EE"/>
    <w:rsid w:val="009C4D7E"/>
    <w:rsid w:val="009C50FA"/>
    <w:rsid w:val="009C5336"/>
    <w:rsid w:val="009C5374"/>
    <w:rsid w:val="009D206A"/>
    <w:rsid w:val="009D38FD"/>
    <w:rsid w:val="009E0180"/>
    <w:rsid w:val="009E0F14"/>
    <w:rsid w:val="009E1F7D"/>
    <w:rsid w:val="009E3650"/>
    <w:rsid w:val="009E5F92"/>
    <w:rsid w:val="009F00DF"/>
    <w:rsid w:val="009F0E0D"/>
    <w:rsid w:val="009F175B"/>
    <w:rsid w:val="009F2E51"/>
    <w:rsid w:val="009F4675"/>
    <w:rsid w:val="009F50C5"/>
    <w:rsid w:val="009F6FCD"/>
    <w:rsid w:val="009F7DFD"/>
    <w:rsid w:val="00A00A4F"/>
    <w:rsid w:val="00A025DB"/>
    <w:rsid w:val="00A02FDA"/>
    <w:rsid w:val="00A051B3"/>
    <w:rsid w:val="00A05560"/>
    <w:rsid w:val="00A05918"/>
    <w:rsid w:val="00A077C1"/>
    <w:rsid w:val="00A113AD"/>
    <w:rsid w:val="00A11EDA"/>
    <w:rsid w:val="00A136A4"/>
    <w:rsid w:val="00A13E57"/>
    <w:rsid w:val="00A14AD7"/>
    <w:rsid w:val="00A14BA5"/>
    <w:rsid w:val="00A17436"/>
    <w:rsid w:val="00A177D5"/>
    <w:rsid w:val="00A17820"/>
    <w:rsid w:val="00A17FC6"/>
    <w:rsid w:val="00A210B1"/>
    <w:rsid w:val="00A21D50"/>
    <w:rsid w:val="00A267E4"/>
    <w:rsid w:val="00A27938"/>
    <w:rsid w:val="00A30DB2"/>
    <w:rsid w:val="00A325B1"/>
    <w:rsid w:val="00A3363C"/>
    <w:rsid w:val="00A33D28"/>
    <w:rsid w:val="00A34BF0"/>
    <w:rsid w:val="00A418D2"/>
    <w:rsid w:val="00A41A34"/>
    <w:rsid w:val="00A43181"/>
    <w:rsid w:val="00A45057"/>
    <w:rsid w:val="00A45140"/>
    <w:rsid w:val="00A45435"/>
    <w:rsid w:val="00A46B58"/>
    <w:rsid w:val="00A46D5C"/>
    <w:rsid w:val="00A50DE0"/>
    <w:rsid w:val="00A5162E"/>
    <w:rsid w:val="00A529B0"/>
    <w:rsid w:val="00A5569F"/>
    <w:rsid w:val="00A560EC"/>
    <w:rsid w:val="00A56653"/>
    <w:rsid w:val="00A603F4"/>
    <w:rsid w:val="00A63E00"/>
    <w:rsid w:val="00A6543B"/>
    <w:rsid w:val="00A666D1"/>
    <w:rsid w:val="00A66ECA"/>
    <w:rsid w:val="00A70B60"/>
    <w:rsid w:val="00A71323"/>
    <w:rsid w:val="00A714A9"/>
    <w:rsid w:val="00A72B32"/>
    <w:rsid w:val="00A72F1F"/>
    <w:rsid w:val="00A742F8"/>
    <w:rsid w:val="00A7479D"/>
    <w:rsid w:val="00A74ACF"/>
    <w:rsid w:val="00A75795"/>
    <w:rsid w:val="00A809C8"/>
    <w:rsid w:val="00A80B5A"/>
    <w:rsid w:val="00A80C86"/>
    <w:rsid w:val="00A84691"/>
    <w:rsid w:val="00A85785"/>
    <w:rsid w:val="00A87403"/>
    <w:rsid w:val="00A91342"/>
    <w:rsid w:val="00A916C0"/>
    <w:rsid w:val="00A91903"/>
    <w:rsid w:val="00A94F11"/>
    <w:rsid w:val="00A95363"/>
    <w:rsid w:val="00A9743A"/>
    <w:rsid w:val="00A9748B"/>
    <w:rsid w:val="00AA0DD4"/>
    <w:rsid w:val="00AA2DA9"/>
    <w:rsid w:val="00AA3C4B"/>
    <w:rsid w:val="00AA40E1"/>
    <w:rsid w:val="00AA49E1"/>
    <w:rsid w:val="00AA73FB"/>
    <w:rsid w:val="00AB22AC"/>
    <w:rsid w:val="00AB4970"/>
    <w:rsid w:val="00AC0C9A"/>
    <w:rsid w:val="00AC5F28"/>
    <w:rsid w:val="00AD0D1A"/>
    <w:rsid w:val="00AD2160"/>
    <w:rsid w:val="00AD273A"/>
    <w:rsid w:val="00AD3F71"/>
    <w:rsid w:val="00AD51C0"/>
    <w:rsid w:val="00AD6133"/>
    <w:rsid w:val="00AD7A25"/>
    <w:rsid w:val="00AE1CD8"/>
    <w:rsid w:val="00AE25DD"/>
    <w:rsid w:val="00AE2AFA"/>
    <w:rsid w:val="00AE3AE8"/>
    <w:rsid w:val="00AE47B6"/>
    <w:rsid w:val="00AE4B0F"/>
    <w:rsid w:val="00AE54F1"/>
    <w:rsid w:val="00AF0D81"/>
    <w:rsid w:val="00AF0F6E"/>
    <w:rsid w:val="00AF19B8"/>
    <w:rsid w:val="00AF304C"/>
    <w:rsid w:val="00AF6117"/>
    <w:rsid w:val="00AF7B28"/>
    <w:rsid w:val="00B01AFB"/>
    <w:rsid w:val="00B0455E"/>
    <w:rsid w:val="00B056E8"/>
    <w:rsid w:val="00B1098E"/>
    <w:rsid w:val="00B10B1C"/>
    <w:rsid w:val="00B10D13"/>
    <w:rsid w:val="00B110DF"/>
    <w:rsid w:val="00B1350B"/>
    <w:rsid w:val="00B14F66"/>
    <w:rsid w:val="00B15570"/>
    <w:rsid w:val="00B15A35"/>
    <w:rsid w:val="00B15BCA"/>
    <w:rsid w:val="00B20AF9"/>
    <w:rsid w:val="00B20C13"/>
    <w:rsid w:val="00B22B67"/>
    <w:rsid w:val="00B24F49"/>
    <w:rsid w:val="00B26A8C"/>
    <w:rsid w:val="00B309D2"/>
    <w:rsid w:val="00B32A65"/>
    <w:rsid w:val="00B355DC"/>
    <w:rsid w:val="00B3612D"/>
    <w:rsid w:val="00B40DED"/>
    <w:rsid w:val="00B453E1"/>
    <w:rsid w:val="00B455E8"/>
    <w:rsid w:val="00B466D6"/>
    <w:rsid w:val="00B47270"/>
    <w:rsid w:val="00B51565"/>
    <w:rsid w:val="00B51D86"/>
    <w:rsid w:val="00B536CE"/>
    <w:rsid w:val="00B5389D"/>
    <w:rsid w:val="00B55922"/>
    <w:rsid w:val="00B55B3F"/>
    <w:rsid w:val="00B56B49"/>
    <w:rsid w:val="00B574D6"/>
    <w:rsid w:val="00B60F1E"/>
    <w:rsid w:val="00B618AE"/>
    <w:rsid w:val="00B61B02"/>
    <w:rsid w:val="00B622A7"/>
    <w:rsid w:val="00B64A5F"/>
    <w:rsid w:val="00B6576C"/>
    <w:rsid w:val="00B7018D"/>
    <w:rsid w:val="00B71AA8"/>
    <w:rsid w:val="00B76DD6"/>
    <w:rsid w:val="00B772E4"/>
    <w:rsid w:val="00B774B2"/>
    <w:rsid w:val="00B8163D"/>
    <w:rsid w:val="00B826B1"/>
    <w:rsid w:val="00B82EEF"/>
    <w:rsid w:val="00B837D4"/>
    <w:rsid w:val="00B914E0"/>
    <w:rsid w:val="00B92230"/>
    <w:rsid w:val="00B92AD5"/>
    <w:rsid w:val="00B94820"/>
    <w:rsid w:val="00B94E54"/>
    <w:rsid w:val="00B9607F"/>
    <w:rsid w:val="00B966D8"/>
    <w:rsid w:val="00B96E98"/>
    <w:rsid w:val="00B96F08"/>
    <w:rsid w:val="00B97DE7"/>
    <w:rsid w:val="00BA1E1A"/>
    <w:rsid w:val="00BA2E4F"/>
    <w:rsid w:val="00BA3779"/>
    <w:rsid w:val="00BA380A"/>
    <w:rsid w:val="00BA437C"/>
    <w:rsid w:val="00BA47ED"/>
    <w:rsid w:val="00BA58BB"/>
    <w:rsid w:val="00BB1807"/>
    <w:rsid w:val="00BB2542"/>
    <w:rsid w:val="00BB326B"/>
    <w:rsid w:val="00BB514A"/>
    <w:rsid w:val="00BB5413"/>
    <w:rsid w:val="00BB6FA4"/>
    <w:rsid w:val="00BC00AA"/>
    <w:rsid w:val="00BC2B42"/>
    <w:rsid w:val="00BC6F44"/>
    <w:rsid w:val="00BD10D1"/>
    <w:rsid w:val="00BD131A"/>
    <w:rsid w:val="00BD3842"/>
    <w:rsid w:val="00BD38C7"/>
    <w:rsid w:val="00BD3DBF"/>
    <w:rsid w:val="00BD6D06"/>
    <w:rsid w:val="00BE1685"/>
    <w:rsid w:val="00BE2754"/>
    <w:rsid w:val="00BE2D8B"/>
    <w:rsid w:val="00BE3AB8"/>
    <w:rsid w:val="00BE3EBD"/>
    <w:rsid w:val="00BE6C45"/>
    <w:rsid w:val="00BE6FAE"/>
    <w:rsid w:val="00BF06F8"/>
    <w:rsid w:val="00BF0F9A"/>
    <w:rsid w:val="00BF3C3C"/>
    <w:rsid w:val="00BF4155"/>
    <w:rsid w:val="00BF6574"/>
    <w:rsid w:val="00C002E3"/>
    <w:rsid w:val="00C01F77"/>
    <w:rsid w:val="00C02265"/>
    <w:rsid w:val="00C033D5"/>
    <w:rsid w:val="00C03910"/>
    <w:rsid w:val="00C058B3"/>
    <w:rsid w:val="00C05EFA"/>
    <w:rsid w:val="00C113B5"/>
    <w:rsid w:val="00C13206"/>
    <w:rsid w:val="00C132C0"/>
    <w:rsid w:val="00C13F38"/>
    <w:rsid w:val="00C16009"/>
    <w:rsid w:val="00C160BC"/>
    <w:rsid w:val="00C16440"/>
    <w:rsid w:val="00C168A3"/>
    <w:rsid w:val="00C20ABB"/>
    <w:rsid w:val="00C21F7D"/>
    <w:rsid w:val="00C2201F"/>
    <w:rsid w:val="00C227F1"/>
    <w:rsid w:val="00C237B5"/>
    <w:rsid w:val="00C255D0"/>
    <w:rsid w:val="00C31B60"/>
    <w:rsid w:val="00C31B7C"/>
    <w:rsid w:val="00C3433A"/>
    <w:rsid w:val="00C36BEA"/>
    <w:rsid w:val="00C426E9"/>
    <w:rsid w:val="00C44739"/>
    <w:rsid w:val="00C458A1"/>
    <w:rsid w:val="00C45B16"/>
    <w:rsid w:val="00C45EF3"/>
    <w:rsid w:val="00C47B37"/>
    <w:rsid w:val="00C51316"/>
    <w:rsid w:val="00C52073"/>
    <w:rsid w:val="00C5319F"/>
    <w:rsid w:val="00C53C9A"/>
    <w:rsid w:val="00C541EB"/>
    <w:rsid w:val="00C54B72"/>
    <w:rsid w:val="00C54BF3"/>
    <w:rsid w:val="00C561AB"/>
    <w:rsid w:val="00C578E1"/>
    <w:rsid w:val="00C61030"/>
    <w:rsid w:val="00C6120E"/>
    <w:rsid w:val="00C615EB"/>
    <w:rsid w:val="00C622DE"/>
    <w:rsid w:val="00C64E96"/>
    <w:rsid w:val="00C65448"/>
    <w:rsid w:val="00C709DD"/>
    <w:rsid w:val="00C7108A"/>
    <w:rsid w:val="00C71E8F"/>
    <w:rsid w:val="00C742C3"/>
    <w:rsid w:val="00C7569A"/>
    <w:rsid w:val="00C75E6B"/>
    <w:rsid w:val="00C767EE"/>
    <w:rsid w:val="00C76DC8"/>
    <w:rsid w:val="00C8002E"/>
    <w:rsid w:val="00C827F4"/>
    <w:rsid w:val="00C86CFF"/>
    <w:rsid w:val="00C87E61"/>
    <w:rsid w:val="00C90B29"/>
    <w:rsid w:val="00C91904"/>
    <w:rsid w:val="00C922CE"/>
    <w:rsid w:val="00C92F0C"/>
    <w:rsid w:val="00C93178"/>
    <w:rsid w:val="00C956A5"/>
    <w:rsid w:val="00C96EFE"/>
    <w:rsid w:val="00CA0EAD"/>
    <w:rsid w:val="00CA15F6"/>
    <w:rsid w:val="00CA169C"/>
    <w:rsid w:val="00CA2916"/>
    <w:rsid w:val="00CA3225"/>
    <w:rsid w:val="00CA4DEE"/>
    <w:rsid w:val="00CA5F2E"/>
    <w:rsid w:val="00CB0CDC"/>
    <w:rsid w:val="00CB15C8"/>
    <w:rsid w:val="00CB1638"/>
    <w:rsid w:val="00CB1B75"/>
    <w:rsid w:val="00CC08F8"/>
    <w:rsid w:val="00CC163D"/>
    <w:rsid w:val="00CD0349"/>
    <w:rsid w:val="00CD0FDA"/>
    <w:rsid w:val="00CD15FC"/>
    <w:rsid w:val="00CD1899"/>
    <w:rsid w:val="00CD2AC1"/>
    <w:rsid w:val="00CD3576"/>
    <w:rsid w:val="00CD5C07"/>
    <w:rsid w:val="00CE076E"/>
    <w:rsid w:val="00CE4BCA"/>
    <w:rsid w:val="00CE4D95"/>
    <w:rsid w:val="00CE7CE1"/>
    <w:rsid w:val="00CF03A9"/>
    <w:rsid w:val="00CF0740"/>
    <w:rsid w:val="00CF1AE4"/>
    <w:rsid w:val="00CF31CF"/>
    <w:rsid w:val="00CF3C43"/>
    <w:rsid w:val="00CF580A"/>
    <w:rsid w:val="00CF6BAC"/>
    <w:rsid w:val="00CF776E"/>
    <w:rsid w:val="00D015B2"/>
    <w:rsid w:val="00D028D7"/>
    <w:rsid w:val="00D037A4"/>
    <w:rsid w:val="00D03EF4"/>
    <w:rsid w:val="00D05730"/>
    <w:rsid w:val="00D06C71"/>
    <w:rsid w:val="00D07EA8"/>
    <w:rsid w:val="00D104F4"/>
    <w:rsid w:val="00D10B6C"/>
    <w:rsid w:val="00D115FB"/>
    <w:rsid w:val="00D11B28"/>
    <w:rsid w:val="00D12BFA"/>
    <w:rsid w:val="00D131D2"/>
    <w:rsid w:val="00D13D6A"/>
    <w:rsid w:val="00D13FD0"/>
    <w:rsid w:val="00D14244"/>
    <w:rsid w:val="00D14410"/>
    <w:rsid w:val="00D16AED"/>
    <w:rsid w:val="00D16D79"/>
    <w:rsid w:val="00D177FF"/>
    <w:rsid w:val="00D20644"/>
    <w:rsid w:val="00D209DB"/>
    <w:rsid w:val="00D2145F"/>
    <w:rsid w:val="00D214C9"/>
    <w:rsid w:val="00D2164C"/>
    <w:rsid w:val="00D2696C"/>
    <w:rsid w:val="00D2697A"/>
    <w:rsid w:val="00D27292"/>
    <w:rsid w:val="00D33708"/>
    <w:rsid w:val="00D37E59"/>
    <w:rsid w:val="00D400E4"/>
    <w:rsid w:val="00D42023"/>
    <w:rsid w:val="00D4294B"/>
    <w:rsid w:val="00D42B50"/>
    <w:rsid w:val="00D4311C"/>
    <w:rsid w:val="00D4398A"/>
    <w:rsid w:val="00D43B24"/>
    <w:rsid w:val="00D470C1"/>
    <w:rsid w:val="00D476C8"/>
    <w:rsid w:val="00D479A1"/>
    <w:rsid w:val="00D47FAA"/>
    <w:rsid w:val="00D51ECD"/>
    <w:rsid w:val="00D61D37"/>
    <w:rsid w:val="00D623E6"/>
    <w:rsid w:val="00D630F0"/>
    <w:rsid w:val="00D653E9"/>
    <w:rsid w:val="00D65E1E"/>
    <w:rsid w:val="00D67A9E"/>
    <w:rsid w:val="00D71C7B"/>
    <w:rsid w:val="00D7461C"/>
    <w:rsid w:val="00D74C87"/>
    <w:rsid w:val="00D7698A"/>
    <w:rsid w:val="00D778E3"/>
    <w:rsid w:val="00D77BD3"/>
    <w:rsid w:val="00D8080C"/>
    <w:rsid w:val="00D90B59"/>
    <w:rsid w:val="00D90CD2"/>
    <w:rsid w:val="00D922C7"/>
    <w:rsid w:val="00D92403"/>
    <w:rsid w:val="00D924C4"/>
    <w:rsid w:val="00D942A6"/>
    <w:rsid w:val="00D946AC"/>
    <w:rsid w:val="00D95203"/>
    <w:rsid w:val="00D95F12"/>
    <w:rsid w:val="00D96B32"/>
    <w:rsid w:val="00D976F2"/>
    <w:rsid w:val="00DA07A4"/>
    <w:rsid w:val="00DA07DA"/>
    <w:rsid w:val="00DA0822"/>
    <w:rsid w:val="00DA2401"/>
    <w:rsid w:val="00DA2639"/>
    <w:rsid w:val="00DA45AC"/>
    <w:rsid w:val="00DA466C"/>
    <w:rsid w:val="00DA6030"/>
    <w:rsid w:val="00DA7B70"/>
    <w:rsid w:val="00DA7C1E"/>
    <w:rsid w:val="00DB0AF3"/>
    <w:rsid w:val="00DB3636"/>
    <w:rsid w:val="00DB77C7"/>
    <w:rsid w:val="00DC208F"/>
    <w:rsid w:val="00DC2506"/>
    <w:rsid w:val="00DC25A3"/>
    <w:rsid w:val="00DC3DA3"/>
    <w:rsid w:val="00DC431C"/>
    <w:rsid w:val="00DC595A"/>
    <w:rsid w:val="00DC5D45"/>
    <w:rsid w:val="00DC6D40"/>
    <w:rsid w:val="00DC7D38"/>
    <w:rsid w:val="00DD1256"/>
    <w:rsid w:val="00DD33D3"/>
    <w:rsid w:val="00DD63DD"/>
    <w:rsid w:val="00DE0CF8"/>
    <w:rsid w:val="00DE1C00"/>
    <w:rsid w:val="00DE45AE"/>
    <w:rsid w:val="00DE4DF2"/>
    <w:rsid w:val="00DE6FC9"/>
    <w:rsid w:val="00DE7CA5"/>
    <w:rsid w:val="00DF1BB0"/>
    <w:rsid w:val="00DF401F"/>
    <w:rsid w:val="00DF5047"/>
    <w:rsid w:val="00DF524B"/>
    <w:rsid w:val="00DF785B"/>
    <w:rsid w:val="00E007B4"/>
    <w:rsid w:val="00E00D02"/>
    <w:rsid w:val="00E027B0"/>
    <w:rsid w:val="00E0380C"/>
    <w:rsid w:val="00E03858"/>
    <w:rsid w:val="00E0388D"/>
    <w:rsid w:val="00E065E1"/>
    <w:rsid w:val="00E06A36"/>
    <w:rsid w:val="00E107E9"/>
    <w:rsid w:val="00E11201"/>
    <w:rsid w:val="00E12F2F"/>
    <w:rsid w:val="00E15AE4"/>
    <w:rsid w:val="00E1618A"/>
    <w:rsid w:val="00E16468"/>
    <w:rsid w:val="00E1799E"/>
    <w:rsid w:val="00E20DED"/>
    <w:rsid w:val="00E23431"/>
    <w:rsid w:val="00E261E7"/>
    <w:rsid w:val="00E26229"/>
    <w:rsid w:val="00E26686"/>
    <w:rsid w:val="00E266D6"/>
    <w:rsid w:val="00E2697F"/>
    <w:rsid w:val="00E27995"/>
    <w:rsid w:val="00E325F9"/>
    <w:rsid w:val="00E34168"/>
    <w:rsid w:val="00E34DB4"/>
    <w:rsid w:val="00E3620E"/>
    <w:rsid w:val="00E433FD"/>
    <w:rsid w:val="00E43F07"/>
    <w:rsid w:val="00E45754"/>
    <w:rsid w:val="00E46CD2"/>
    <w:rsid w:val="00E5332D"/>
    <w:rsid w:val="00E53AE6"/>
    <w:rsid w:val="00E5473A"/>
    <w:rsid w:val="00E573ED"/>
    <w:rsid w:val="00E60616"/>
    <w:rsid w:val="00E611B6"/>
    <w:rsid w:val="00E616E3"/>
    <w:rsid w:val="00E62ACE"/>
    <w:rsid w:val="00E6304E"/>
    <w:rsid w:val="00E66045"/>
    <w:rsid w:val="00E66423"/>
    <w:rsid w:val="00E665D4"/>
    <w:rsid w:val="00E671F9"/>
    <w:rsid w:val="00E72230"/>
    <w:rsid w:val="00E733CA"/>
    <w:rsid w:val="00E73755"/>
    <w:rsid w:val="00E737ED"/>
    <w:rsid w:val="00E74715"/>
    <w:rsid w:val="00E75A28"/>
    <w:rsid w:val="00E8001C"/>
    <w:rsid w:val="00E80ABB"/>
    <w:rsid w:val="00E82D76"/>
    <w:rsid w:val="00E83D67"/>
    <w:rsid w:val="00E8461E"/>
    <w:rsid w:val="00E86E86"/>
    <w:rsid w:val="00E90025"/>
    <w:rsid w:val="00E95358"/>
    <w:rsid w:val="00E966D6"/>
    <w:rsid w:val="00E96B72"/>
    <w:rsid w:val="00EA0630"/>
    <w:rsid w:val="00EA221C"/>
    <w:rsid w:val="00EA351B"/>
    <w:rsid w:val="00EA362C"/>
    <w:rsid w:val="00EA7FF2"/>
    <w:rsid w:val="00EB0F4E"/>
    <w:rsid w:val="00EB1904"/>
    <w:rsid w:val="00EB1CC6"/>
    <w:rsid w:val="00EB1DFF"/>
    <w:rsid w:val="00EB21F2"/>
    <w:rsid w:val="00EB41E7"/>
    <w:rsid w:val="00EB4897"/>
    <w:rsid w:val="00EB60CF"/>
    <w:rsid w:val="00EC01ED"/>
    <w:rsid w:val="00EC053B"/>
    <w:rsid w:val="00EC2A8B"/>
    <w:rsid w:val="00EC3B15"/>
    <w:rsid w:val="00EC4372"/>
    <w:rsid w:val="00EC4509"/>
    <w:rsid w:val="00EC4C52"/>
    <w:rsid w:val="00EC59C2"/>
    <w:rsid w:val="00ED283F"/>
    <w:rsid w:val="00ED69B9"/>
    <w:rsid w:val="00EE045D"/>
    <w:rsid w:val="00EE0A5D"/>
    <w:rsid w:val="00EE0F70"/>
    <w:rsid w:val="00EE1C6E"/>
    <w:rsid w:val="00EE3BB9"/>
    <w:rsid w:val="00EE4A1A"/>
    <w:rsid w:val="00EE4FA6"/>
    <w:rsid w:val="00EE5AB0"/>
    <w:rsid w:val="00EE5FE9"/>
    <w:rsid w:val="00EE6E10"/>
    <w:rsid w:val="00EE7513"/>
    <w:rsid w:val="00EF1F85"/>
    <w:rsid w:val="00EF3DFE"/>
    <w:rsid w:val="00EF47C9"/>
    <w:rsid w:val="00EF5EEA"/>
    <w:rsid w:val="00EF6CCD"/>
    <w:rsid w:val="00EF6ED2"/>
    <w:rsid w:val="00EF7541"/>
    <w:rsid w:val="00F01EF0"/>
    <w:rsid w:val="00F02808"/>
    <w:rsid w:val="00F03B96"/>
    <w:rsid w:val="00F05465"/>
    <w:rsid w:val="00F05D96"/>
    <w:rsid w:val="00F06A93"/>
    <w:rsid w:val="00F10165"/>
    <w:rsid w:val="00F107BF"/>
    <w:rsid w:val="00F127AA"/>
    <w:rsid w:val="00F14076"/>
    <w:rsid w:val="00F15A3F"/>
    <w:rsid w:val="00F17105"/>
    <w:rsid w:val="00F17155"/>
    <w:rsid w:val="00F171F7"/>
    <w:rsid w:val="00F204DF"/>
    <w:rsid w:val="00F20596"/>
    <w:rsid w:val="00F21AED"/>
    <w:rsid w:val="00F2248E"/>
    <w:rsid w:val="00F226A9"/>
    <w:rsid w:val="00F2287F"/>
    <w:rsid w:val="00F22A01"/>
    <w:rsid w:val="00F23516"/>
    <w:rsid w:val="00F24B41"/>
    <w:rsid w:val="00F3129B"/>
    <w:rsid w:val="00F314D6"/>
    <w:rsid w:val="00F31768"/>
    <w:rsid w:val="00F34AB0"/>
    <w:rsid w:val="00F412CF"/>
    <w:rsid w:val="00F41D02"/>
    <w:rsid w:val="00F41D52"/>
    <w:rsid w:val="00F41F10"/>
    <w:rsid w:val="00F41F13"/>
    <w:rsid w:val="00F42002"/>
    <w:rsid w:val="00F476BD"/>
    <w:rsid w:val="00F51C85"/>
    <w:rsid w:val="00F52F05"/>
    <w:rsid w:val="00F54EAC"/>
    <w:rsid w:val="00F57DAD"/>
    <w:rsid w:val="00F6003A"/>
    <w:rsid w:val="00F610AF"/>
    <w:rsid w:val="00F610F0"/>
    <w:rsid w:val="00F61734"/>
    <w:rsid w:val="00F63ECB"/>
    <w:rsid w:val="00F661BB"/>
    <w:rsid w:val="00F70B9E"/>
    <w:rsid w:val="00F736DC"/>
    <w:rsid w:val="00F739D0"/>
    <w:rsid w:val="00F774E6"/>
    <w:rsid w:val="00F77E02"/>
    <w:rsid w:val="00F82429"/>
    <w:rsid w:val="00F83945"/>
    <w:rsid w:val="00F8569D"/>
    <w:rsid w:val="00F85D5B"/>
    <w:rsid w:val="00F85DB0"/>
    <w:rsid w:val="00F9139B"/>
    <w:rsid w:val="00F92F50"/>
    <w:rsid w:val="00F966E5"/>
    <w:rsid w:val="00F967A5"/>
    <w:rsid w:val="00FA01B7"/>
    <w:rsid w:val="00FA083F"/>
    <w:rsid w:val="00FA623D"/>
    <w:rsid w:val="00FB0531"/>
    <w:rsid w:val="00FB0E9A"/>
    <w:rsid w:val="00FB36AF"/>
    <w:rsid w:val="00FB3D2C"/>
    <w:rsid w:val="00FB6A3E"/>
    <w:rsid w:val="00FB76DD"/>
    <w:rsid w:val="00FB7B54"/>
    <w:rsid w:val="00FC0780"/>
    <w:rsid w:val="00FC2E4B"/>
    <w:rsid w:val="00FC2E5F"/>
    <w:rsid w:val="00FC3707"/>
    <w:rsid w:val="00FC41E1"/>
    <w:rsid w:val="00FC5833"/>
    <w:rsid w:val="00FC5D95"/>
    <w:rsid w:val="00FC66DF"/>
    <w:rsid w:val="00FD0502"/>
    <w:rsid w:val="00FD068A"/>
    <w:rsid w:val="00FD1A8A"/>
    <w:rsid w:val="00FD1E0A"/>
    <w:rsid w:val="00FD23B2"/>
    <w:rsid w:val="00FD315A"/>
    <w:rsid w:val="00FD4D3D"/>
    <w:rsid w:val="00FE5376"/>
    <w:rsid w:val="00FE5E1B"/>
    <w:rsid w:val="00FE62C3"/>
    <w:rsid w:val="00FE7894"/>
    <w:rsid w:val="00FF0A92"/>
    <w:rsid w:val="00FF0E57"/>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12A1B"/>
  <w15:chartTrackingRefBased/>
  <w15:docId w15:val="{7D18A569-6753-43CB-BF30-BA45550AB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2C3"/>
  </w:style>
  <w:style w:type="paragraph" w:styleId="Heading1">
    <w:name w:val="heading 1"/>
    <w:basedOn w:val="Normal"/>
    <w:next w:val="Normal"/>
    <w:link w:val="Heading1Char"/>
    <w:uiPriority w:val="9"/>
    <w:qFormat/>
    <w:rsid w:val="001402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402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402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402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02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02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2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2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2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2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402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402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402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02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02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2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2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2C3"/>
    <w:rPr>
      <w:rFonts w:eastAsiaTheme="majorEastAsia" w:cstheme="majorBidi"/>
      <w:color w:val="272727" w:themeColor="text1" w:themeTint="D8"/>
    </w:rPr>
  </w:style>
  <w:style w:type="paragraph" w:styleId="Title">
    <w:name w:val="Title"/>
    <w:basedOn w:val="Normal"/>
    <w:next w:val="Normal"/>
    <w:link w:val="TitleChar"/>
    <w:uiPriority w:val="10"/>
    <w:qFormat/>
    <w:rsid w:val="001402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2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2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2C3"/>
    <w:pPr>
      <w:spacing w:before="160"/>
      <w:jc w:val="center"/>
    </w:pPr>
    <w:rPr>
      <w:i/>
      <w:iCs/>
      <w:color w:val="404040" w:themeColor="text1" w:themeTint="BF"/>
    </w:rPr>
  </w:style>
  <w:style w:type="character" w:customStyle="1" w:styleId="QuoteChar">
    <w:name w:val="Quote Char"/>
    <w:basedOn w:val="DefaultParagraphFont"/>
    <w:link w:val="Quote"/>
    <w:uiPriority w:val="29"/>
    <w:rsid w:val="001402C3"/>
    <w:rPr>
      <w:i/>
      <w:iCs/>
      <w:color w:val="404040" w:themeColor="text1" w:themeTint="BF"/>
    </w:rPr>
  </w:style>
  <w:style w:type="paragraph" w:styleId="ListParagraph">
    <w:name w:val="List Paragraph"/>
    <w:basedOn w:val="Normal"/>
    <w:qFormat/>
    <w:rsid w:val="001402C3"/>
    <w:pPr>
      <w:ind w:left="720"/>
      <w:contextualSpacing/>
    </w:pPr>
  </w:style>
  <w:style w:type="character" w:styleId="IntenseEmphasis">
    <w:name w:val="Intense Emphasis"/>
    <w:basedOn w:val="DefaultParagraphFont"/>
    <w:uiPriority w:val="21"/>
    <w:qFormat/>
    <w:rsid w:val="001402C3"/>
    <w:rPr>
      <w:i/>
      <w:iCs/>
      <w:color w:val="2F5496" w:themeColor="accent1" w:themeShade="BF"/>
    </w:rPr>
  </w:style>
  <w:style w:type="paragraph" w:styleId="IntenseQuote">
    <w:name w:val="Intense Quote"/>
    <w:basedOn w:val="Normal"/>
    <w:next w:val="Normal"/>
    <w:link w:val="IntenseQuoteChar"/>
    <w:uiPriority w:val="30"/>
    <w:qFormat/>
    <w:rsid w:val="001402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02C3"/>
    <w:rPr>
      <w:i/>
      <w:iCs/>
      <w:color w:val="2F5496" w:themeColor="accent1" w:themeShade="BF"/>
    </w:rPr>
  </w:style>
  <w:style w:type="character" w:styleId="IntenseReference">
    <w:name w:val="Intense Reference"/>
    <w:basedOn w:val="DefaultParagraphFont"/>
    <w:uiPriority w:val="32"/>
    <w:qFormat/>
    <w:rsid w:val="001402C3"/>
    <w:rPr>
      <w:b/>
      <w:bCs/>
      <w:smallCaps/>
      <w:color w:val="2F5496" w:themeColor="accent1" w:themeShade="BF"/>
      <w:spacing w:val="5"/>
    </w:rPr>
  </w:style>
  <w:style w:type="character" w:customStyle="1" w:styleId="None">
    <w:name w:val="None"/>
    <w:rsid w:val="001D5FBD"/>
  </w:style>
  <w:style w:type="character" w:styleId="Hyperlink">
    <w:name w:val="Hyperlink"/>
    <w:basedOn w:val="DefaultParagraphFont"/>
    <w:uiPriority w:val="99"/>
    <w:unhideWhenUsed/>
    <w:rsid w:val="008175D9"/>
    <w:rPr>
      <w:color w:val="0563C1" w:themeColor="hyperlink"/>
      <w:u w:val="single"/>
    </w:rPr>
  </w:style>
  <w:style w:type="character" w:styleId="UnresolvedMention">
    <w:name w:val="Unresolved Mention"/>
    <w:basedOn w:val="DefaultParagraphFont"/>
    <w:uiPriority w:val="99"/>
    <w:semiHidden/>
    <w:unhideWhenUsed/>
    <w:rsid w:val="008175D9"/>
    <w:rPr>
      <w:color w:val="605E5C"/>
      <w:shd w:val="clear" w:color="auto" w:fill="E1DFDD"/>
    </w:rPr>
  </w:style>
  <w:style w:type="character" w:customStyle="1" w:styleId="ui-provider">
    <w:name w:val="ui-provider"/>
    <w:rsid w:val="001E3CDB"/>
  </w:style>
  <w:style w:type="paragraph" w:customStyle="1" w:styleId="Body">
    <w:name w:val="Body"/>
    <w:rsid w:val="001E3CDB"/>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zh-CN"/>
      <w14:textOutline w14:w="0" w14:cap="flat" w14:cmpd="sng" w14:algn="ctr">
        <w14:noFill/>
        <w14:prstDash w14:val="solid"/>
        <w14:bevel/>
      </w14:textOutline>
      <w14:ligatures w14:val="none"/>
    </w:rPr>
  </w:style>
  <w:style w:type="paragraph" w:customStyle="1" w:styleId="Nornal">
    <w:name w:val="Nornal"/>
    <w:link w:val="NornalChar"/>
    <w:qFormat/>
    <w:rsid w:val="001E3CDB"/>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zh-CN"/>
      <w14:ligatures w14:val="none"/>
    </w:rPr>
  </w:style>
  <w:style w:type="paragraph" w:customStyle="1" w:styleId="Heading">
    <w:name w:val="Heading"/>
    <w:next w:val="Body"/>
    <w:rsid w:val="001E3CDB"/>
    <w:pPr>
      <w:pBdr>
        <w:top w:val="nil"/>
        <w:left w:val="nil"/>
        <w:bottom w:val="nil"/>
        <w:right w:val="nil"/>
        <w:between w:val="nil"/>
        <w:bar w:val="nil"/>
      </w:pBdr>
      <w:spacing w:before="120" w:after="360" w:line="264" w:lineRule="auto"/>
      <w:outlineLvl w:val="0"/>
    </w:pPr>
    <w:rPr>
      <w:rFonts w:ascii="Georgia" w:eastAsia="Georgia" w:hAnsi="Georgia" w:cs="Georgia"/>
      <w:i/>
      <w:iCs/>
      <w:color w:val="004147"/>
      <w:kern w:val="0"/>
      <w:sz w:val="48"/>
      <w:szCs w:val="48"/>
      <w:u w:color="004147"/>
      <w:bdr w:val="nil"/>
      <w:lang w:eastAsia="zh-CN"/>
      <w14:textOutline w14:w="0" w14:cap="flat" w14:cmpd="sng" w14:algn="ctr">
        <w14:noFill/>
        <w14:prstDash w14:val="solid"/>
        <w14:bevel/>
      </w14:textOutline>
      <w14:ligatures w14:val="none"/>
    </w:rPr>
  </w:style>
  <w:style w:type="numbering" w:customStyle="1" w:styleId="ImportedStyle5">
    <w:name w:val="Imported Style 5"/>
    <w:rsid w:val="001E3CDB"/>
    <w:pPr>
      <w:numPr>
        <w:numId w:val="1"/>
      </w:numPr>
    </w:pPr>
  </w:style>
  <w:style w:type="table" w:styleId="TableGrid">
    <w:name w:val="Table Grid"/>
    <w:basedOn w:val="TableNormal"/>
    <w:uiPriority w:val="39"/>
    <w:rsid w:val="00445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2">
    <w:name w:val="Table Style 2"/>
    <w:rsid w:val="00EE045D"/>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zh-CN"/>
      <w14:textOutline w14:w="12700" w14:cap="flat" w14:cmpd="sng" w14:algn="ctr">
        <w14:noFill/>
        <w14:prstDash w14:val="solid"/>
        <w14:miter w14:lim="400000"/>
      </w14:textOutline>
      <w14:ligatures w14:val="none"/>
    </w:rPr>
  </w:style>
  <w:style w:type="character" w:customStyle="1" w:styleId="Hyperlink0">
    <w:name w:val="Hyperlink.0"/>
    <w:basedOn w:val="None"/>
    <w:rsid w:val="00EE045D"/>
    <w:rPr>
      <w:rFonts w:ascii="Helvetica Neue" w:eastAsia="Helvetica Neue" w:hAnsi="Helvetica Neue" w:cs="Helvetica Neue"/>
      <w:u w:val="single"/>
      <w:lang w:val="en-US"/>
    </w:rPr>
  </w:style>
  <w:style w:type="character" w:customStyle="1" w:styleId="Hyperlink1">
    <w:name w:val="Hyperlink.1"/>
    <w:basedOn w:val="None"/>
    <w:rsid w:val="00EE045D"/>
    <w:rPr>
      <w:rFonts w:ascii="Helvetica Neue" w:eastAsia="Helvetica Neue" w:hAnsi="Helvetica Neue" w:cs="Helvetica Neue"/>
      <w:sz w:val="24"/>
      <w:szCs w:val="24"/>
      <w:u w:val="single"/>
      <w:lang w:val="en-US"/>
    </w:rPr>
  </w:style>
  <w:style w:type="character" w:styleId="FollowedHyperlink">
    <w:name w:val="FollowedHyperlink"/>
    <w:basedOn w:val="DefaultParagraphFont"/>
    <w:uiPriority w:val="99"/>
    <w:semiHidden/>
    <w:unhideWhenUsed/>
    <w:rsid w:val="009508EC"/>
    <w:rPr>
      <w:color w:val="954F72" w:themeColor="followedHyperlink"/>
      <w:u w:val="single"/>
    </w:rPr>
  </w:style>
  <w:style w:type="paragraph" w:styleId="NormalWeb">
    <w:name w:val="Normal (Web)"/>
    <w:basedOn w:val="Normal"/>
    <w:uiPriority w:val="99"/>
    <w:unhideWhenUsed/>
    <w:rsid w:val="00DF40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F401F"/>
    <w:rPr>
      <w:b/>
      <w:bCs/>
    </w:rPr>
  </w:style>
  <w:style w:type="paragraph" w:customStyle="1" w:styleId="Listparag">
    <w:name w:val="List parag"/>
    <w:basedOn w:val="ListParagraph"/>
    <w:link w:val="ListparagChar"/>
    <w:qFormat/>
    <w:rsid w:val="005457BD"/>
    <w:pPr>
      <w:numPr>
        <w:numId w:val="48"/>
      </w:numPr>
      <w:spacing w:after="120" w:line="264" w:lineRule="auto"/>
      <w:contextualSpacing w:val="0"/>
    </w:pPr>
    <w:rPr>
      <w:rFonts w:ascii="Arial" w:eastAsia="Times New Roman" w:hAnsi="Arial" w:cs="Arial"/>
      <w:kern w:val="0"/>
      <w:sz w:val="22"/>
      <w:lang w:eastAsia="en-GB"/>
      <w14:ligatures w14:val="none"/>
    </w:rPr>
  </w:style>
  <w:style w:type="character" w:customStyle="1" w:styleId="ListparagChar">
    <w:name w:val="List parag Char"/>
    <w:basedOn w:val="DefaultParagraphFont"/>
    <w:link w:val="Listparag"/>
    <w:rsid w:val="005457BD"/>
    <w:rPr>
      <w:rFonts w:ascii="Arial" w:eastAsia="Times New Roman" w:hAnsi="Arial" w:cs="Arial"/>
      <w:kern w:val="0"/>
      <w:sz w:val="22"/>
      <w:lang w:eastAsia="en-GB"/>
      <w14:ligatures w14:val="none"/>
    </w:rPr>
  </w:style>
  <w:style w:type="character" w:customStyle="1" w:styleId="NornalChar">
    <w:name w:val="Nornal Char"/>
    <w:basedOn w:val="DefaultParagraphFont"/>
    <w:link w:val="Nornal"/>
    <w:rsid w:val="00AF6117"/>
    <w:rPr>
      <w:rFonts w:ascii="Arial" w:eastAsia="Arial" w:hAnsi="Arial" w:cs="Arial"/>
      <w:color w:val="000000"/>
      <w:kern w:val="0"/>
      <w:sz w:val="22"/>
      <w:szCs w:val="22"/>
      <w:u w:color="000000"/>
      <w:bdr w:val="nil"/>
      <w:lang w:val="en-US" w:eastAsia="zh-CN"/>
      <w14:ligatures w14:val="none"/>
    </w:rPr>
  </w:style>
  <w:style w:type="paragraph" w:customStyle="1" w:styleId="commentcontentpara">
    <w:name w:val="commentcontentpara"/>
    <w:basedOn w:val="Normal"/>
    <w:rsid w:val="00836A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 TargetMode="External"/><Relationship Id="rId13" Type="http://schemas.openxmlformats.org/officeDocument/2006/relationships/hyperlink" Target="https://www.cipd.org/uk/knowledge/factsheets/employee-benefits-factsheet/" TargetMode="External"/><Relationship Id="rId18" Type="http://schemas.openxmlformats.org/officeDocument/2006/relationships/hyperlink" Target="https://www.cipd.org/uk/knowledge/factsheets/pay-fairness-reporting-factsheet/?utm_source=chatgpt.com" TargetMode="External"/><Relationship Id="rId26" Type="http://schemas.openxmlformats.org/officeDocument/2006/relationships/hyperlink" Target="https://www.johnlewispartnership.co.uk/about-us/our-business/reward-and-recognition.html" TargetMode="External"/><Relationship Id="rId3" Type="http://schemas.openxmlformats.org/officeDocument/2006/relationships/settings" Target="settings.xml"/><Relationship Id="rId21" Type="http://schemas.openxmlformats.org/officeDocument/2006/relationships/hyperlink" Target="https://www.cipd.co.uk/knowledge/fundamentals/relations/reward/factsheet" TargetMode="External"/><Relationship Id="rId7" Type="http://schemas.openxmlformats.org/officeDocument/2006/relationships/hyperlink" Target="https://www.acas.org.uk/sites/default/files/2021-03/job-evaluation-considerations-and-risks-advisory-booklet.pdf" TargetMode="External"/><Relationship Id="rId12" Type="http://schemas.openxmlformats.org/officeDocument/2006/relationships/hyperlink" Target="https://www.cipd.org/uk/knowledge/factsheets/flexible-benefits-factsheet/" TargetMode="External"/><Relationship Id="rId17" Type="http://schemas.openxmlformats.org/officeDocument/2006/relationships/hyperlink" Target="https://www.cipd.org/uk/knowledge/factsheets/market-pricing-factsheet/" TargetMode="External"/><Relationship Id="rId25" Type="http://schemas.openxmlformats.org/officeDocument/2006/relationships/hyperlink" Target="https://www.gov.uk/income-tax" TargetMode="External"/><Relationship Id="rId2" Type="http://schemas.openxmlformats.org/officeDocument/2006/relationships/styles" Target="styles.xml"/><Relationship Id="rId16" Type="http://schemas.openxmlformats.org/officeDocument/2006/relationships/hyperlink" Target="https://www.cipd.org/uk/knowledge/factsheets/market-pricing-factsheet/?utm_source=chatgpt.com" TargetMode="External"/><Relationship Id="rId20" Type="http://schemas.openxmlformats.org/officeDocument/2006/relationships/hyperlink" Target="https://www.cipd.org/uk/knowledge/factsheets/reward-factsheet/?utm_source=chatgpt.com" TargetMode="External"/><Relationship Id="rId29" Type="http://schemas.openxmlformats.org/officeDocument/2006/relationships/hyperlink" Target="https://www.ons.gov.uk/" TargetMode="External"/><Relationship Id="rId1" Type="http://schemas.openxmlformats.org/officeDocument/2006/relationships/numbering" Target="numbering.xml"/><Relationship Id="rId6" Type="http://schemas.openxmlformats.org/officeDocument/2006/relationships/hyperlink" Target="http://www.acas.org.uk" TargetMode="External"/><Relationship Id="rId11" Type="http://schemas.openxmlformats.org/officeDocument/2006/relationships/hyperlink" Target="https://www.cipd.org/globalassets/media/knowledge/knowledge-hub/reports/2018-pdfs/reward-management-report-2018_tcm18-51630.pdf" TargetMode="External"/><Relationship Id="rId24" Type="http://schemas.openxmlformats.org/officeDocument/2006/relationships/hyperlink" Target="https://www.peoplemanagement.co.uk/article/1830913/pay-benchmarking-working-interactive-report-hr-professionals"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cipd.org/uk/views-and-insights/cipd-viewpoint/executive-pay/" TargetMode="External"/><Relationship Id="rId23" Type="http://schemas.openxmlformats.org/officeDocument/2006/relationships/hyperlink" Target="https://www.cipd.org/globalassets/media/knowledge/knowledge-hub/evidence-reviews/incentives-recognition-practice-summary_tcm18-105466.pdf" TargetMode="External"/><Relationship Id="rId28" Type="http://schemas.openxmlformats.org/officeDocument/2006/relationships/hyperlink" Target="https://www.ons.gov.uk/" TargetMode="External"/><Relationship Id="rId10" Type="http://schemas.openxmlformats.org/officeDocument/2006/relationships/hyperlink" Target="https://www.cipd.org/uk/knowledge/podcasts/purpose-and-value-of-hr/" TargetMode="External"/><Relationship Id="rId19" Type="http://schemas.openxmlformats.org/officeDocument/2006/relationships/hyperlink" Target="https://www.cipd.co.uk/knowledge/fundamentals/emp-law/reward/factshe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articles/cddgrg87ly5o" TargetMode="External"/><Relationship Id="rId14" Type="http://schemas.openxmlformats.org/officeDocument/2006/relationships/hyperlink" Target="https://www.cipd.org/uk/knowledge/factsheets/engagement-factsheet/" TargetMode="External"/><Relationship Id="rId22" Type="http://schemas.openxmlformats.org/officeDocument/2006/relationships/hyperlink" Target="https://www.cipd.co.uk/knowledge/fundamentals/emp-law/reward/factsheet" TargetMode="External"/><Relationship Id="rId27" Type="http://schemas.openxmlformats.org/officeDocument/2006/relationships/hyperlink" Target="https://www.johnlewispartnership.co.uk/" TargetMode="External"/><Relationship Id="rId30" Type="http://schemas.openxmlformats.org/officeDocument/2006/relationships/hyperlink" Target="https://committees.parliament.uk/writtenevidence/743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6043</Words>
  <Characters>34448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 Morris</dc:creator>
  <cp:keywords/>
  <dc:description/>
  <cp:lastModifiedBy>shaz Morris</cp:lastModifiedBy>
  <cp:revision>105</cp:revision>
  <dcterms:created xsi:type="dcterms:W3CDTF">2026-01-24T02:03:00Z</dcterms:created>
  <dcterms:modified xsi:type="dcterms:W3CDTF">2026-01-24T16:35:00Z</dcterms:modified>
</cp:coreProperties>
</file>