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91551" w14:textId="77777777" w:rsidR="00EA1D88" w:rsidRPr="00EA1D88" w:rsidRDefault="00EA1D88" w:rsidP="00B94DE6">
      <w:pPr>
        <w:spacing w:after="100" w:afterAutospacing="1" w:line="480" w:lineRule="auto"/>
        <w:rPr>
          <w:rFonts w:ascii="Times New Roman" w:eastAsiaTheme="minorHAnsi" w:hAnsi="Times New Roman"/>
          <w:kern w:val="0"/>
          <w:sz w:val="24"/>
          <w:lang w:val="en-US" w:eastAsia="en-US"/>
          <w14:ligatures w14:val="none"/>
        </w:rPr>
      </w:pPr>
    </w:p>
    <w:p w14:paraId="2F7396B3" w14:textId="77777777" w:rsidR="00EA1D88" w:rsidRPr="00EA1D88" w:rsidRDefault="00EA1D88" w:rsidP="00EA1D88">
      <w:pPr>
        <w:spacing w:after="100" w:afterAutospacing="1" w:line="480" w:lineRule="auto"/>
        <w:jc w:val="center"/>
        <w:rPr>
          <w:rFonts w:ascii="Times New Roman" w:eastAsiaTheme="minorHAnsi" w:hAnsi="Times New Roman"/>
          <w:b/>
          <w:bCs/>
          <w:kern w:val="0"/>
          <w:sz w:val="44"/>
          <w:szCs w:val="44"/>
          <w:u w:val="single"/>
          <w:lang w:val="en-US" w:eastAsia="en-US"/>
          <w14:ligatures w14:val="none"/>
        </w:rPr>
      </w:pPr>
      <w:r w:rsidRPr="00EA1D88">
        <w:rPr>
          <w:rFonts w:ascii="Times New Roman" w:eastAsiaTheme="minorHAnsi" w:hAnsi="Times New Roman"/>
          <w:b/>
          <w:bCs/>
          <w:kern w:val="0"/>
          <w:sz w:val="44"/>
          <w:szCs w:val="44"/>
          <w:u w:val="single"/>
          <w:lang w:val="en-US" w:eastAsia="en-US"/>
          <w14:ligatures w14:val="none"/>
        </w:rPr>
        <w:t>International Financial Markets for ExxonMobil Corporation</w:t>
      </w:r>
    </w:p>
    <w:p w14:paraId="00692C72" w14:textId="77777777" w:rsidR="00EA1D88" w:rsidRPr="00EA1D88" w:rsidRDefault="00EA1D88" w:rsidP="00EA1D88">
      <w:pPr>
        <w:spacing w:after="100" w:afterAutospacing="1" w:line="480" w:lineRule="auto"/>
        <w:jc w:val="center"/>
        <w:rPr>
          <w:rFonts w:ascii="Times New Roman" w:eastAsiaTheme="minorHAnsi" w:hAnsi="Times New Roman"/>
          <w:kern w:val="0"/>
          <w:sz w:val="44"/>
          <w:szCs w:val="44"/>
          <w:lang w:val="en-US" w:eastAsia="en-US"/>
          <w14:ligatures w14:val="none"/>
        </w:rPr>
      </w:pPr>
    </w:p>
    <w:p w14:paraId="48EFC2FF" w14:textId="77777777" w:rsidR="00B94DE6" w:rsidRPr="00013F05" w:rsidRDefault="00EA1D88" w:rsidP="00EA1D88">
      <w:pPr>
        <w:spacing w:after="100" w:afterAutospacing="1" w:line="480" w:lineRule="auto"/>
        <w:jc w:val="center"/>
        <w:rPr>
          <w:rFonts w:ascii="Times New Roman" w:eastAsiaTheme="minorHAnsi" w:hAnsi="Times New Roman" w:cs="Times New Roman"/>
          <w:i/>
          <w:iCs/>
          <w:kern w:val="0"/>
          <w:sz w:val="44"/>
          <w:szCs w:val="44"/>
          <w:lang w:val="en-US" w:eastAsia="en-US"/>
          <w14:ligatures w14:val="none"/>
        </w:rPr>
      </w:pPr>
      <w:r w:rsidRPr="00013F05">
        <w:rPr>
          <w:rFonts w:ascii="Times New Roman" w:eastAsiaTheme="minorHAnsi" w:hAnsi="Times New Roman" w:cs="Times New Roman"/>
          <w:i/>
          <w:iCs/>
          <w:kern w:val="0"/>
          <w:sz w:val="44"/>
          <w:szCs w:val="44"/>
          <w:lang w:val="en-US" w:eastAsia="en-US"/>
          <w14:ligatures w14:val="none"/>
        </w:rPr>
        <w:t xml:space="preserve">By Kiril </w:t>
      </w:r>
      <w:proofErr w:type="spellStart"/>
      <w:r w:rsidRPr="00013F05">
        <w:rPr>
          <w:rFonts w:ascii="Times New Roman" w:eastAsiaTheme="minorHAnsi" w:hAnsi="Times New Roman" w:cs="Times New Roman"/>
          <w:i/>
          <w:iCs/>
          <w:kern w:val="0"/>
          <w:sz w:val="44"/>
          <w:szCs w:val="44"/>
          <w:lang w:val="en-US" w:eastAsia="en-US"/>
          <w14:ligatures w14:val="none"/>
        </w:rPr>
        <w:t>Angelov</w:t>
      </w:r>
      <w:proofErr w:type="spellEnd"/>
    </w:p>
    <w:p w14:paraId="5AF6E083" w14:textId="5059DBE5" w:rsidR="000C377A" w:rsidRPr="00013F05" w:rsidRDefault="00AA2064" w:rsidP="00EA1D88">
      <w:pPr>
        <w:spacing w:after="100" w:afterAutospacing="1" w:line="480" w:lineRule="auto"/>
        <w:jc w:val="center"/>
        <w:rPr>
          <w:rFonts w:ascii="Times New Roman" w:eastAsiaTheme="minorHAnsi" w:hAnsi="Times New Roman" w:cs="Times New Roman"/>
          <w:i/>
          <w:iCs/>
          <w:kern w:val="0"/>
          <w:sz w:val="44"/>
          <w:szCs w:val="44"/>
          <w:lang w:val="en-US" w:eastAsia="en-US"/>
          <w14:ligatures w14:val="none"/>
        </w:rPr>
      </w:pPr>
      <w:r w:rsidRPr="00013F05">
        <w:rPr>
          <w:rFonts w:ascii="Times New Roman" w:eastAsiaTheme="minorHAnsi" w:hAnsi="Times New Roman" w:cs="Times New Roman"/>
          <w:i/>
          <w:iCs/>
          <w:kern w:val="0"/>
          <w:sz w:val="44"/>
          <w:szCs w:val="44"/>
          <w:lang w:val="en-US" w:eastAsia="en-US"/>
          <w14:ligatures w14:val="none"/>
        </w:rPr>
        <w:t>2028274</w:t>
      </w:r>
    </w:p>
    <w:p w14:paraId="27C3D4E0" w14:textId="14E9D8D1" w:rsidR="00AA2064" w:rsidRPr="00013F05" w:rsidRDefault="00AA2064" w:rsidP="00EA1D88">
      <w:pPr>
        <w:spacing w:after="100" w:afterAutospacing="1" w:line="480" w:lineRule="auto"/>
        <w:jc w:val="center"/>
        <w:rPr>
          <w:rFonts w:ascii="Times New Roman" w:eastAsiaTheme="minorHAnsi" w:hAnsi="Times New Roman" w:cs="Times New Roman"/>
          <w:kern w:val="0"/>
          <w:sz w:val="44"/>
          <w:szCs w:val="44"/>
          <w:lang w:val="en-US" w:eastAsia="en-US"/>
          <w14:ligatures w14:val="none"/>
        </w:rPr>
      </w:pPr>
      <w:r w:rsidRPr="00013F05">
        <w:rPr>
          <w:rFonts w:ascii="Times New Roman" w:eastAsiaTheme="minorHAnsi" w:hAnsi="Times New Roman" w:cs="Times New Roman"/>
          <w:kern w:val="0"/>
          <w:sz w:val="44"/>
          <w:szCs w:val="44"/>
          <w:lang w:val="en-US" w:eastAsia="en-US"/>
          <w14:ligatures w14:val="none"/>
        </w:rPr>
        <w:t xml:space="preserve">International </w:t>
      </w:r>
      <w:r w:rsidR="00E24A2B" w:rsidRPr="00013F05">
        <w:rPr>
          <w:rFonts w:ascii="Times New Roman" w:eastAsiaTheme="minorHAnsi" w:hAnsi="Times New Roman" w:cs="Times New Roman"/>
          <w:kern w:val="0"/>
          <w:sz w:val="44"/>
          <w:szCs w:val="44"/>
          <w:lang w:val="en-US" w:eastAsia="en-US"/>
          <w14:ligatures w14:val="none"/>
        </w:rPr>
        <w:t xml:space="preserve">Financial Management </w:t>
      </w:r>
    </w:p>
    <w:p w14:paraId="3CCFE427" w14:textId="5D7B1B69" w:rsidR="00013F05" w:rsidRPr="00013F05" w:rsidRDefault="00013F05" w:rsidP="00EA1D88">
      <w:pPr>
        <w:spacing w:after="100" w:afterAutospacing="1" w:line="480" w:lineRule="auto"/>
        <w:jc w:val="center"/>
        <w:rPr>
          <w:rFonts w:ascii="Times New Roman" w:eastAsiaTheme="minorHAnsi" w:hAnsi="Times New Roman" w:cs="Times New Roman"/>
          <w:kern w:val="0"/>
          <w:sz w:val="44"/>
          <w:szCs w:val="44"/>
          <w:lang w:val="en-US" w:eastAsia="en-US"/>
          <w14:ligatures w14:val="none"/>
        </w:rPr>
      </w:pPr>
      <w:r w:rsidRPr="00013F05">
        <w:rPr>
          <w:rFonts w:ascii="Times New Roman" w:eastAsiaTheme="minorHAnsi" w:hAnsi="Times New Roman" w:cs="Times New Roman"/>
          <w:kern w:val="0"/>
          <w:sz w:val="44"/>
          <w:szCs w:val="44"/>
          <w:lang w:val="en-US" w:eastAsia="en-US"/>
          <w14:ligatures w14:val="none"/>
        </w:rPr>
        <w:t>LCBB6002</w:t>
      </w:r>
    </w:p>
    <w:p w14:paraId="4F1647D6" w14:textId="77777777" w:rsidR="00AA2064" w:rsidRPr="00030575" w:rsidRDefault="00AA2064" w:rsidP="00EA1D88">
      <w:pPr>
        <w:spacing w:after="100" w:afterAutospacing="1" w:line="480" w:lineRule="auto"/>
        <w:jc w:val="center"/>
        <w:rPr>
          <w:rFonts w:ascii="Times New Roman" w:eastAsiaTheme="minorHAnsi" w:hAnsi="Times New Roman" w:cs="Times New Roman"/>
          <w:i/>
          <w:iCs/>
          <w:kern w:val="0"/>
          <w:sz w:val="24"/>
          <w:szCs w:val="24"/>
          <w:lang w:val="en-US" w:eastAsia="en-US"/>
          <w14:ligatures w14:val="none"/>
        </w:rPr>
      </w:pPr>
    </w:p>
    <w:p w14:paraId="534FBFD9" w14:textId="77777777" w:rsidR="00B94DE6" w:rsidRDefault="00B94DE6" w:rsidP="00EA1D88">
      <w:pPr>
        <w:spacing w:after="100" w:afterAutospacing="1" w:line="480" w:lineRule="auto"/>
        <w:jc w:val="center"/>
        <w:rPr>
          <w:rFonts w:ascii="Times New Roman" w:eastAsiaTheme="minorHAnsi" w:hAnsi="Times New Roman" w:cs="Times New Roman"/>
          <w:kern w:val="0"/>
          <w:sz w:val="24"/>
          <w:szCs w:val="24"/>
          <w:lang w:val="en-US" w:eastAsia="en-US"/>
          <w14:ligatures w14:val="none"/>
        </w:rPr>
      </w:pPr>
    </w:p>
    <w:p w14:paraId="15659D6B" w14:textId="77777777" w:rsidR="00B94DE6" w:rsidRDefault="00B94DE6" w:rsidP="00EA1D88">
      <w:pPr>
        <w:spacing w:after="100" w:afterAutospacing="1" w:line="480" w:lineRule="auto"/>
        <w:jc w:val="center"/>
        <w:rPr>
          <w:rFonts w:ascii="Times New Roman" w:eastAsiaTheme="minorHAnsi" w:hAnsi="Times New Roman" w:cs="Times New Roman"/>
          <w:kern w:val="0"/>
          <w:sz w:val="24"/>
          <w:szCs w:val="24"/>
          <w:lang w:val="en-US" w:eastAsia="en-US"/>
          <w14:ligatures w14:val="none"/>
        </w:rPr>
      </w:pPr>
    </w:p>
    <w:p w14:paraId="0AE24F93" w14:textId="311889A7" w:rsidR="00EA1D88" w:rsidRPr="00EA1D88" w:rsidRDefault="00EA1D88" w:rsidP="00EA1D88">
      <w:pPr>
        <w:spacing w:after="100" w:afterAutospacing="1" w:line="480" w:lineRule="auto"/>
        <w:jc w:val="center"/>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br w:type="page"/>
      </w:r>
      <w:r w:rsidRPr="00EA1D88">
        <w:rPr>
          <w:rFonts w:ascii="Times New Roman" w:eastAsiaTheme="minorHAnsi" w:hAnsi="Times New Roman" w:cs="Times New Roman"/>
          <w:b/>
          <w:bCs/>
          <w:kern w:val="0"/>
          <w:sz w:val="24"/>
          <w:szCs w:val="24"/>
          <w:lang w:val="en-US" w:eastAsia="en-US"/>
          <w14:ligatures w14:val="none"/>
        </w:rPr>
        <w:lastRenderedPageBreak/>
        <w:t xml:space="preserve">International Financial Markets for ExxonMobil Corporation   </w:t>
      </w:r>
    </w:p>
    <w:p w14:paraId="271370F4"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Exxon Mobil is a multinational company that is highly successful in the dynamic world that requires financial management. ExxonMobil is a global company with an operation head office in America and global leadership in the gas and oil sector (</w:t>
      </w:r>
      <w:proofErr w:type="spellStart"/>
      <w:r w:rsidRPr="00EA1D88">
        <w:rPr>
          <w:rFonts w:ascii="Times New Roman" w:eastAsiaTheme="minorHAnsi" w:hAnsi="Times New Roman" w:cs="Times New Roman"/>
          <w:kern w:val="0"/>
          <w:sz w:val="24"/>
          <w:szCs w:val="24"/>
          <w:lang w:val="en-US" w:eastAsia="en-US"/>
          <w14:ligatures w14:val="none"/>
        </w:rPr>
        <w:t>Attig</w:t>
      </w:r>
      <w:proofErr w:type="spellEnd"/>
      <w:r w:rsidRPr="00EA1D88">
        <w:rPr>
          <w:rFonts w:ascii="Times New Roman" w:eastAsiaTheme="minorHAnsi" w:hAnsi="Times New Roman" w:cs="Times New Roman"/>
          <w:kern w:val="0"/>
          <w:sz w:val="24"/>
          <w:szCs w:val="24"/>
          <w:lang w:val="en-US" w:eastAsia="en-US"/>
          <w14:ligatures w14:val="none"/>
        </w:rPr>
        <w:t xml:space="preserve"> et al., 2022, p.4). Oil companies are Financial multinational corporations (MNCs) that depend much on international financial management (IFM) to overcome the complications in global financial markets. ExxonMobil is a stable corporation working in a capital-intensive sector. International Financial management is vital in ExxonMobil's company since it fosters successful multinational financial operations.     </w:t>
      </w:r>
    </w:p>
    <w:p w14:paraId="2FE1141A"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Significance of International Financial Management      </w:t>
      </w:r>
    </w:p>
    <w:p w14:paraId="68CD015F"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Global Financial Management is vital in distributing dividends with parity. The dividend allocation policy is a foundation of IFM and entails determining the percentage of a company's profits that should be allocated to the shareholders as dividends (Kaufmann et al.,2022, p.3). Also, IFM involves deciding the percentage of earnings that should be kept for further investments in the business. Multinational corporations like ExxonMobil are confronted with myriad factors when choosing dividends and re-investment for their local and foreign shareholders.    </w:t>
      </w:r>
    </w:p>
    <w:p w14:paraId="1BBA8C7E"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Exxon Mobil Dividend Policy    </w:t>
      </w:r>
    </w:p>
    <w:p w14:paraId="5EAC7A04"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ExxonMobil allocates the dividends in every quarter for every year. This is crucial in ensuring a fair share of returns. All companies are expected to adopt different accounting standards based on the nation. For instance, Generally Accepted Accounting Procedures controls </w:t>
      </w:r>
      <w:r w:rsidRPr="00EA1D88">
        <w:rPr>
          <w:rFonts w:ascii="Times New Roman" w:eastAsiaTheme="minorHAnsi" w:hAnsi="Times New Roman" w:cs="Times New Roman"/>
          <w:kern w:val="0"/>
          <w:sz w:val="24"/>
          <w:szCs w:val="24"/>
          <w:lang w:val="en-US" w:eastAsia="en-US"/>
          <w14:ligatures w14:val="none"/>
        </w:rPr>
        <w:lastRenderedPageBreak/>
        <w:t>financial reporting in the United States (</w:t>
      </w:r>
      <w:proofErr w:type="spellStart"/>
      <w:r w:rsidRPr="00EA1D88">
        <w:rPr>
          <w:rFonts w:ascii="Times New Roman" w:eastAsiaTheme="minorHAnsi" w:hAnsi="Times New Roman" w:cs="Times New Roman"/>
          <w:kern w:val="0"/>
          <w:sz w:val="24"/>
          <w:szCs w:val="24"/>
          <w:lang w:val="en-US" w:eastAsia="en-US"/>
          <w14:ligatures w14:val="none"/>
        </w:rPr>
        <w:t>Rouvolis</w:t>
      </w:r>
      <w:proofErr w:type="spellEnd"/>
      <w:r w:rsidRPr="00EA1D88">
        <w:rPr>
          <w:rFonts w:ascii="Times New Roman" w:eastAsiaTheme="minorHAnsi" w:hAnsi="Times New Roman" w:cs="Times New Roman"/>
          <w:kern w:val="0"/>
          <w:sz w:val="24"/>
          <w:szCs w:val="24"/>
          <w:lang w:val="en-US" w:eastAsia="en-US"/>
          <w14:ligatures w14:val="none"/>
        </w:rPr>
        <w:t>, 2022, p.206). ExxonMobil's dividend policy demonstrates the company's commitment to promoting financial flexibility and offering steady returns to shareholders. ExxonMobil added its quarterly dividends by 21% in 2012 to become a paymaster in the industry (</w:t>
      </w:r>
      <w:proofErr w:type="spellStart"/>
      <w:r w:rsidRPr="00EA1D88">
        <w:rPr>
          <w:rFonts w:ascii="Times New Roman" w:eastAsiaTheme="minorHAnsi" w:hAnsi="Times New Roman" w:cs="Times New Roman"/>
          <w:kern w:val="0"/>
          <w:sz w:val="24"/>
          <w:szCs w:val="24"/>
          <w:lang w:val="en-US" w:eastAsia="en-US"/>
          <w14:ligatures w14:val="none"/>
        </w:rPr>
        <w:t>Atigi</w:t>
      </w:r>
      <w:proofErr w:type="spellEnd"/>
      <w:r w:rsidRPr="00EA1D88">
        <w:rPr>
          <w:rFonts w:ascii="Times New Roman" w:eastAsiaTheme="minorHAnsi" w:hAnsi="Times New Roman" w:cs="Times New Roman"/>
          <w:kern w:val="0"/>
          <w:sz w:val="24"/>
          <w:szCs w:val="24"/>
          <w:lang w:val="en-US" w:eastAsia="en-US"/>
          <w14:ligatures w14:val="none"/>
        </w:rPr>
        <w:t xml:space="preserve"> et al., 2021, p.4). The corporation maintains a consistent dividend policy, with the long-term goal of growing its dividend payout to shareholders. This approach is useful in maintaining the trust of shareholders by attracting long-term investors and offering them a steady flow of income.  </w:t>
      </w:r>
    </w:p>
    <w:p w14:paraId="19D1C6CB"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International Financial Markets Theory         </w:t>
      </w:r>
    </w:p>
    <w:p w14:paraId="1FC41D55"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Modigliani-Miller irrelevancy model suggests that the value of a corporation should not be affected by the capital framework. Irrelevance theory denotes that the way a corporation selects to fund its operations should not influence the company’s worth (</w:t>
      </w:r>
      <w:proofErr w:type="spellStart"/>
      <w:r w:rsidRPr="00EA1D88">
        <w:rPr>
          <w:rFonts w:ascii="Times New Roman" w:eastAsiaTheme="minorHAnsi" w:hAnsi="Times New Roman" w:cs="Times New Roman"/>
          <w:kern w:val="0"/>
          <w:sz w:val="24"/>
          <w:szCs w:val="24"/>
          <w:lang w:val="en-US" w:eastAsia="en-US"/>
          <w14:ligatures w14:val="none"/>
        </w:rPr>
        <w:t>Kowerski</w:t>
      </w:r>
      <w:proofErr w:type="spellEnd"/>
      <w:r w:rsidRPr="00EA1D88">
        <w:rPr>
          <w:rFonts w:ascii="Times New Roman" w:eastAsiaTheme="minorHAnsi" w:hAnsi="Times New Roman" w:cs="Times New Roman"/>
          <w:kern w:val="0"/>
          <w:sz w:val="24"/>
          <w:szCs w:val="24"/>
          <w:lang w:val="en-US" w:eastAsia="en-US"/>
          <w14:ligatures w14:val="none"/>
        </w:rPr>
        <w:t xml:space="preserve"> &amp; </w:t>
      </w:r>
      <w:proofErr w:type="spellStart"/>
      <w:r w:rsidRPr="00EA1D88">
        <w:rPr>
          <w:rFonts w:ascii="Times New Roman" w:eastAsiaTheme="minorHAnsi" w:hAnsi="Times New Roman" w:cs="Times New Roman"/>
          <w:kern w:val="0"/>
          <w:sz w:val="24"/>
          <w:szCs w:val="24"/>
          <w:lang w:val="en-US" w:eastAsia="en-US"/>
          <w14:ligatures w14:val="none"/>
        </w:rPr>
        <w:t>Haniewska,80</w:t>
      </w:r>
      <w:proofErr w:type="spellEnd"/>
      <w:r w:rsidRPr="00EA1D88">
        <w:rPr>
          <w:rFonts w:ascii="Times New Roman" w:eastAsiaTheme="minorHAnsi" w:hAnsi="Times New Roman" w:cs="Times New Roman"/>
          <w:kern w:val="0"/>
          <w:sz w:val="24"/>
          <w:szCs w:val="24"/>
          <w:lang w:val="en-US" w:eastAsia="en-US"/>
          <w14:ligatures w14:val="none"/>
        </w:rPr>
        <w:t xml:space="preserve">). Miller and Modigliani’s theory is applied in ExxonMobil's operations in distributing dividends. This is consistent with Gordon's growth model, which suggests that the dividend growth rate must always be persistent and the price should always be justifiable.      </w:t>
      </w:r>
    </w:p>
    <w:p w14:paraId="41A61993"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Significance of Financial Management in ExxonMobil        </w:t>
      </w:r>
    </w:p>
    <w:p w14:paraId="1C2FF21F"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There are unique needs in ExxonMobil in its International Financial Management. Leadership in a sector requires expertise in finance management to encourage growth and advancement in multinational companies. ExxonMobil is the largest company in the oil and gas industry. Exxon has a </w:t>
      </w:r>
      <w:proofErr w:type="spellStart"/>
      <w:r w:rsidRPr="00EA1D88">
        <w:rPr>
          <w:rFonts w:ascii="Times New Roman" w:eastAsiaTheme="minorHAnsi" w:hAnsi="Times New Roman" w:cs="Times New Roman"/>
          <w:kern w:val="0"/>
          <w:sz w:val="24"/>
          <w:szCs w:val="24"/>
          <w:lang w:val="en-US" w:eastAsia="en-US"/>
          <w14:ligatures w14:val="none"/>
        </w:rPr>
        <w:t>capitalisation</w:t>
      </w:r>
      <w:proofErr w:type="spellEnd"/>
      <w:r w:rsidRPr="00EA1D88">
        <w:rPr>
          <w:rFonts w:ascii="Times New Roman" w:eastAsiaTheme="minorHAnsi" w:hAnsi="Times New Roman" w:cs="Times New Roman"/>
          <w:kern w:val="0"/>
          <w:sz w:val="24"/>
          <w:szCs w:val="24"/>
          <w:lang w:val="en-US" w:eastAsia="en-US"/>
          <w14:ligatures w14:val="none"/>
        </w:rPr>
        <w:t xml:space="preserve"> of $426.7, the 14th biggest </w:t>
      </w:r>
      <w:proofErr w:type="spellStart"/>
      <w:r w:rsidRPr="00EA1D88">
        <w:rPr>
          <w:rFonts w:ascii="Times New Roman" w:eastAsiaTheme="minorHAnsi" w:hAnsi="Times New Roman" w:cs="Times New Roman"/>
          <w:kern w:val="0"/>
          <w:sz w:val="24"/>
          <w:szCs w:val="24"/>
          <w:lang w:val="en-US" w:eastAsia="en-US"/>
          <w14:ligatures w14:val="none"/>
        </w:rPr>
        <w:t>capitalisation</w:t>
      </w:r>
      <w:proofErr w:type="spellEnd"/>
      <w:r w:rsidRPr="00EA1D88">
        <w:rPr>
          <w:rFonts w:ascii="Times New Roman" w:eastAsiaTheme="minorHAnsi" w:hAnsi="Times New Roman" w:cs="Times New Roman"/>
          <w:kern w:val="0"/>
          <w:sz w:val="24"/>
          <w:szCs w:val="24"/>
          <w:lang w:val="en-US" w:eastAsia="en-US"/>
          <w14:ligatures w14:val="none"/>
        </w:rPr>
        <w:t xml:space="preserve"> compared to all companies globally (Kauffman et al., 2023, p.2). This section assesses the dividend policy and the ExxonMobil firm as a multinational firm. The dividend policy holds that a company should </w:t>
      </w:r>
      <w:r w:rsidRPr="00EA1D88">
        <w:rPr>
          <w:rFonts w:ascii="Times New Roman" w:eastAsiaTheme="minorHAnsi" w:hAnsi="Times New Roman" w:cs="Times New Roman"/>
          <w:kern w:val="0"/>
          <w:sz w:val="24"/>
          <w:szCs w:val="24"/>
          <w:lang w:val="en-US" w:eastAsia="en-US"/>
          <w14:ligatures w14:val="none"/>
        </w:rPr>
        <w:lastRenderedPageBreak/>
        <w:t xml:space="preserve">withhold the extra profits more so if the company is making abnormal profits. However, in cases where Exxon is under a loss for more than a year, the company pays shareholder dividends per the dividend policy. The regular dividend policy is useful for multinational companies with stable earnings and cash flows.    </w:t>
      </w:r>
    </w:p>
    <w:p w14:paraId="7668614E"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Application of the Dividend Distribution Policy</w:t>
      </w:r>
    </w:p>
    <w:p w14:paraId="1D69E992"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ExxonMobil has a firmly established dividend payout plan that is adhered to during financial reporting. ExxonMobil ensures financial flexibility, security, and regular dividends to its shareholders (ExxonMobil, 2022 par.3). A continuous increase in the dividend is consistent with the requirements of irrelevancy theory. The dividend plan for the corporation is to increase the dividend per share yearly to demonstrate the company’s dedication to rewarding shareholders for years to come and keeping their trust. </w:t>
      </w:r>
    </w:p>
    <w:p w14:paraId="03323FAA"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Modigliani-Miller Theory Application   </w:t>
      </w:r>
    </w:p>
    <w:p w14:paraId="39C10405"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The Modigliani-Miller theory serves as the foundation for the IFM theory. The irrelevancy theory suggests that an ideal financial market and operations are frictionless corporation market values where the company's value is independent of its dividend policy and capital framework (</w:t>
      </w:r>
      <w:proofErr w:type="spellStart"/>
      <w:r w:rsidRPr="00EA1D88">
        <w:rPr>
          <w:rFonts w:ascii="Times New Roman" w:eastAsiaTheme="minorHAnsi" w:hAnsi="Times New Roman" w:cs="Times New Roman"/>
          <w:kern w:val="0"/>
          <w:sz w:val="24"/>
          <w:szCs w:val="24"/>
          <w:lang w:val="en-US" w:eastAsia="en-US"/>
          <w14:ligatures w14:val="none"/>
        </w:rPr>
        <w:t>Kowerski</w:t>
      </w:r>
      <w:proofErr w:type="spellEnd"/>
      <w:r w:rsidRPr="00EA1D88">
        <w:rPr>
          <w:rFonts w:ascii="Times New Roman" w:eastAsiaTheme="minorHAnsi" w:hAnsi="Times New Roman" w:cs="Times New Roman"/>
          <w:kern w:val="0"/>
          <w:sz w:val="24"/>
          <w:szCs w:val="24"/>
          <w:lang w:val="en-US" w:eastAsia="en-US"/>
          <w14:ligatures w14:val="none"/>
        </w:rPr>
        <w:t xml:space="preserve"> &amp; </w:t>
      </w:r>
      <w:proofErr w:type="spellStart"/>
      <w:r w:rsidRPr="00EA1D88">
        <w:rPr>
          <w:rFonts w:ascii="Times New Roman" w:eastAsiaTheme="minorHAnsi" w:hAnsi="Times New Roman" w:cs="Times New Roman"/>
          <w:kern w:val="0"/>
          <w:sz w:val="24"/>
          <w:szCs w:val="24"/>
          <w:lang w:val="en-US" w:eastAsia="en-US"/>
          <w14:ligatures w14:val="none"/>
        </w:rPr>
        <w:t>Harniewska</w:t>
      </w:r>
      <w:proofErr w:type="spellEnd"/>
      <w:r w:rsidRPr="00EA1D88">
        <w:rPr>
          <w:rFonts w:ascii="Times New Roman" w:eastAsiaTheme="minorHAnsi" w:hAnsi="Times New Roman" w:cs="Times New Roman"/>
          <w:kern w:val="0"/>
          <w:sz w:val="24"/>
          <w:szCs w:val="24"/>
          <w:lang w:val="en-US" w:eastAsia="en-US"/>
          <w14:ligatures w14:val="none"/>
        </w:rPr>
        <w:t xml:space="preserve">, 2023, p.80). Exxon Corporation allocated a dividend share of $0.88 per share for each stakeholder with an increase in the dividend share for more than 39 consecutive years (ExxonMobil, 2022 par. 2).   This theorem suggests that the company’s stock is independent of the profits shared among the shareholders. ExxonMobil increases its dividends with an increase in cashflows and asset values. Overall, the company’s growth is consistent with the increase in the corporation's profitability. </w:t>
      </w:r>
    </w:p>
    <w:p w14:paraId="3CC4148D"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lastRenderedPageBreak/>
        <w:t xml:space="preserve">Evaluation of Financial Practice Alignment in ExxonMobil </w:t>
      </w:r>
    </w:p>
    <w:p w14:paraId="495542CF"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 xml:space="preserve"> </w:t>
      </w:r>
      <w:r w:rsidRPr="00EA1D88">
        <w:rPr>
          <w:rFonts w:ascii="Times New Roman" w:eastAsiaTheme="minorHAnsi" w:hAnsi="Times New Roman" w:cs="Times New Roman"/>
          <w:kern w:val="0"/>
          <w:sz w:val="24"/>
          <w:szCs w:val="24"/>
          <w:lang w:val="en-US" w:eastAsia="en-US"/>
          <w14:ligatures w14:val="none"/>
        </w:rPr>
        <w:tab/>
        <w:t>The analysis of the allocation of dividends in ExxonMobil company aligns properly with Modigliani and Miller's theory requirements. This theory proposes that the return on investment should equate with increased dividends. ExxonMobil decreases the dividend when there is an agreement with stakeholders to increase the investment amount (</w:t>
      </w:r>
      <w:proofErr w:type="spellStart"/>
      <w:r w:rsidRPr="00EA1D88">
        <w:rPr>
          <w:rFonts w:ascii="Times New Roman" w:eastAsiaTheme="minorHAnsi" w:hAnsi="Times New Roman" w:cs="Times New Roman"/>
          <w:kern w:val="0"/>
          <w:sz w:val="24"/>
          <w:szCs w:val="24"/>
          <w:lang w:val="en-US" w:eastAsia="en-US"/>
          <w14:ligatures w14:val="none"/>
        </w:rPr>
        <w:t>Attig</w:t>
      </w:r>
      <w:proofErr w:type="spellEnd"/>
      <w:r w:rsidRPr="00EA1D88">
        <w:rPr>
          <w:rFonts w:ascii="Times New Roman" w:eastAsiaTheme="minorHAnsi" w:hAnsi="Times New Roman" w:cs="Times New Roman"/>
          <w:kern w:val="0"/>
          <w:sz w:val="24"/>
          <w:szCs w:val="24"/>
          <w:lang w:val="en-US" w:eastAsia="en-US"/>
          <w14:ligatures w14:val="none"/>
        </w:rPr>
        <w:t xml:space="preserve"> et al., 2022, p.4). ExxonMobil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a dividend policy to maintain investor trust and self-assurance in enticing long-term capital investments. The decision to increase the dividends over the years is affected by investor preference, </w:t>
      </w:r>
      <w:proofErr w:type="spellStart"/>
      <w:r w:rsidRPr="00EA1D88">
        <w:rPr>
          <w:rFonts w:ascii="Times New Roman" w:eastAsiaTheme="minorHAnsi" w:hAnsi="Times New Roman" w:cs="Times New Roman"/>
          <w:kern w:val="0"/>
          <w:sz w:val="24"/>
          <w:szCs w:val="24"/>
          <w:lang w:val="en-US" w:eastAsia="en-US"/>
          <w14:ligatures w14:val="none"/>
        </w:rPr>
        <w:t>signalling</w:t>
      </w:r>
      <w:proofErr w:type="spellEnd"/>
      <w:r w:rsidRPr="00EA1D88">
        <w:rPr>
          <w:rFonts w:ascii="Times New Roman" w:eastAsiaTheme="minorHAnsi" w:hAnsi="Times New Roman" w:cs="Times New Roman"/>
          <w:kern w:val="0"/>
          <w:sz w:val="24"/>
          <w:szCs w:val="24"/>
          <w:lang w:val="en-US" w:eastAsia="en-US"/>
          <w14:ligatures w14:val="none"/>
        </w:rPr>
        <w:t xml:space="preserve"> effects, and taxation. ExxonMobil's plan considers dividend policy facts and aims to balance paying dividends and maintaining profits for future investments.</w:t>
      </w:r>
    </w:p>
    <w:p w14:paraId="66F0D404"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Effective Market Hypothesis  </w:t>
      </w:r>
    </w:p>
    <w:p w14:paraId="40028EF8"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The Efficient Market Hypothesis (EMH) proposes that stock prices represent all accessible information. This makes it difficult for investors to earn extraordinary profits by investing in public information. A company's stock dividend is recorded based on information about dividend payments (Hussain &amp; Akbar, 2022, p.840). This implies that the valuations of assets and resources in an efficient market represent every pertinent information, making it difficult for investors to exceed market expectations. The </w:t>
      </w:r>
      <w:proofErr w:type="spellStart"/>
      <w:r w:rsidRPr="00EA1D88">
        <w:rPr>
          <w:rFonts w:ascii="Times New Roman" w:eastAsiaTheme="minorHAnsi" w:hAnsi="Times New Roman" w:cs="Times New Roman"/>
          <w:kern w:val="0"/>
          <w:sz w:val="24"/>
          <w:szCs w:val="24"/>
          <w:lang w:val="en-US" w:eastAsia="en-US"/>
          <w14:ligatures w14:val="none"/>
        </w:rPr>
        <w:t>utilisation</w:t>
      </w:r>
      <w:proofErr w:type="spellEnd"/>
      <w:r w:rsidRPr="00EA1D88">
        <w:rPr>
          <w:rFonts w:ascii="Times New Roman" w:eastAsiaTheme="minorHAnsi" w:hAnsi="Times New Roman" w:cs="Times New Roman"/>
          <w:kern w:val="0"/>
          <w:sz w:val="24"/>
          <w:szCs w:val="24"/>
          <w:lang w:val="en-US" w:eastAsia="en-US"/>
          <w14:ligatures w14:val="none"/>
        </w:rPr>
        <w:t xml:space="preserve"> of all appropriate information in the determination of asset prices.   </w:t>
      </w:r>
    </w:p>
    <w:p w14:paraId="3D33A10D"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Operations of ExxonMobil in the EMH Framework</w:t>
      </w:r>
    </w:p>
    <w:p w14:paraId="00B64B37"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Many different factors influence the prices of commodities and stock in ExxonMobil company. The factors influencing ExxonMobil's stock include variations in oil prices, regulatory developments, and geopolitical events (Kaufmann et al., 2023, p.4). Financial decisions in </w:t>
      </w:r>
      <w:r w:rsidRPr="00EA1D88">
        <w:rPr>
          <w:rFonts w:ascii="Times New Roman" w:eastAsiaTheme="minorHAnsi" w:hAnsi="Times New Roman" w:cs="Times New Roman"/>
          <w:kern w:val="0"/>
          <w:sz w:val="24"/>
          <w:szCs w:val="24"/>
          <w:lang w:val="en-US" w:eastAsia="en-US"/>
          <w14:ligatures w14:val="none"/>
        </w:rPr>
        <w:lastRenderedPageBreak/>
        <w:t>ExxonMobil company are made within the context of EMH, which requires the business to acknowledge quick integration of recent data in stock price. Therefore, operation managers should assess the effectiveness and responsiveness of financial markets when making choices about project investments, funding, and risk management.</w:t>
      </w:r>
    </w:p>
    <w:p w14:paraId="6C702823"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Ramifications of Financial Decisions in ExxonMobil Company </w:t>
      </w:r>
    </w:p>
    <w:p w14:paraId="25C0B889"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 There are serious repercussions for ExxonMobil's decisions that result from the effects of the EMH framework. Bad financial decision is a big issue, considering that ExxonMobil stock is traded internationally. ExxonMobil market's success in representing all information indicates that taking advantage of undervaluation to finance projects or raise cash will prove difficult for the corporation (Kaufmann et al., 2023 p.9). Therefore, it is imperative for ExxonMobil's management to thoroughly assess all investment prospects thoroughly, considering the firm's capital costs and the effectiveness of financial markets. </w:t>
      </w:r>
    </w:p>
    <w:p w14:paraId="6D741B56"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Project Appraisal Strategies in ExxonMobil Corporation </w:t>
      </w:r>
    </w:p>
    <w:p w14:paraId="1A499B98"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ExxonMobil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project appraisal techniques in examining the possible returns on investments for most of its projects. This oil sector company uses project assessment projects to determine the best investment in various alternative options. ExxonMobil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comprehensive risk assessment, Internal Rate of Return (IRR), and Net Present Value (NPV). NPV is crucial in deciding the discretion earnings for further investment (Hussain &amp; </w:t>
      </w:r>
      <w:proofErr w:type="spellStart"/>
      <w:r w:rsidRPr="00EA1D88">
        <w:rPr>
          <w:rFonts w:ascii="Times New Roman" w:eastAsiaTheme="minorHAnsi" w:hAnsi="Times New Roman" w:cs="Times New Roman"/>
          <w:kern w:val="0"/>
          <w:sz w:val="24"/>
          <w:szCs w:val="24"/>
          <w:lang w:val="en-US" w:eastAsia="en-US"/>
          <w14:ligatures w14:val="none"/>
        </w:rPr>
        <w:t>Akba,2022</w:t>
      </w:r>
      <w:proofErr w:type="spellEnd"/>
      <w:r w:rsidRPr="00EA1D88">
        <w:rPr>
          <w:rFonts w:ascii="Times New Roman" w:eastAsiaTheme="minorHAnsi" w:hAnsi="Times New Roman" w:cs="Times New Roman"/>
          <w:kern w:val="0"/>
          <w:sz w:val="24"/>
          <w:szCs w:val="24"/>
          <w:lang w:val="en-US" w:eastAsia="en-US"/>
          <w14:ligatures w14:val="none"/>
        </w:rPr>
        <w:t xml:space="preserve">, p.840). These assessment strategies are useful in comparing the projected cashflows for different geographic regions and nations. ExxonMobil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variables such as market conditions, exchange rate risks and political instability. </w:t>
      </w:r>
    </w:p>
    <w:p w14:paraId="14E2D889"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lastRenderedPageBreak/>
        <w:t xml:space="preserve">The Effects of IFM Theories Regarding Project Appraisal   </w:t>
      </w:r>
    </w:p>
    <w:p w14:paraId="5D99A9BA"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ExxonMobil's strategy for appraising projects is consistent with IFM theories because it thoroughly ranks projects based on anticipated cash flows and risk levels. The company's operation strategy indicates an expert understanding of the complexities of international markets. Companies risk uncertainties in demand and productivity, which can increase 100% and 50% during a recession and 200% and 100% with economic and political shock (</w:t>
      </w:r>
      <w:proofErr w:type="spellStart"/>
      <w:r w:rsidRPr="00EA1D88">
        <w:rPr>
          <w:rFonts w:ascii="Times New Roman" w:eastAsiaTheme="minorHAnsi" w:hAnsi="Times New Roman" w:cs="Times New Roman"/>
          <w:kern w:val="0"/>
          <w:sz w:val="24"/>
          <w:szCs w:val="24"/>
          <w:lang w:val="en-US" w:eastAsia="en-US"/>
          <w14:ligatures w14:val="none"/>
        </w:rPr>
        <w:t>Atigi</w:t>
      </w:r>
      <w:proofErr w:type="spellEnd"/>
      <w:r w:rsidRPr="00EA1D88">
        <w:rPr>
          <w:rFonts w:ascii="Times New Roman" w:eastAsiaTheme="minorHAnsi" w:hAnsi="Times New Roman" w:cs="Times New Roman"/>
          <w:kern w:val="0"/>
          <w:sz w:val="24"/>
          <w:szCs w:val="24"/>
          <w:lang w:val="en-US" w:eastAsia="en-US"/>
          <w14:ligatures w14:val="none"/>
        </w:rPr>
        <w:t xml:space="preserve"> et al., 2021, p.3). The awareness of the dynamics in the international financial markets is illustrated through the assessment of political stability, nations' risk premiums, and risks of currency fluctuations. ExxonMobil uses IFM theories aiming to evaluate projects, </w:t>
      </w:r>
      <w:proofErr w:type="spellStart"/>
      <w:r w:rsidRPr="00EA1D88">
        <w:rPr>
          <w:rFonts w:ascii="Times New Roman" w:eastAsiaTheme="minorHAnsi" w:hAnsi="Times New Roman" w:cs="Times New Roman"/>
          <w:kern w:val="0"/>
          <w:sz w:val="24"/>
          <w:szCs w:val="24"/>
          <w:lang w:val="en-US" w:eastAsia="en-US"/>
          <w14:ligatures w14:val="none"/>
        </w:rPr>
        <w:t>maximise</w:t>
      </w:r>
      <w:proofErr w:type="spellEnd"/>
      <w:r w:rsidRPr="00EA1D88">
        <w:rPr>
          <w:rFonts w:ascii="Times New Roman" w:eastAsiaTheme="minorHAnsi" w:hAnsi="Times New Roman" w:cs="Times New Roman"/>
          <w:kern w:val="0"/>
          <w:sz w:val="24"/>
          <w:szCs w:val="24"/>
          <w:lang w:val="en-US" w:eastAsia="en-US"/>
          <w14:ligatures w14:val="none"/>
        </w:rPr>
        <w:t xml:space="preserve"> shareholder value and reduce risks of global investments.</w:t>
      </w:r>
    </w:p>
    <w:p w14:paraId="6B1139FB"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Challenges Facing Exxon Mobil in the International Financial Markets</w:t>
      </w:r>
    </w:p>
    <w:p w14:paraId="0EEA443A" w14:textId="77777777" w:rsid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There are issues of exchange rate risk in ExxonMobil corporation. The risk associated with foreign exchange rate variations has a negative effect on a business's financial performance. Financial reports are crucial in all companies in assessing financial health and operation risks (Hussain &amp; Akbar, 2022, p.840). ExxonMobil is an international leader focusing its operations in America; thus, when the United States. Every time the dollar gains value compared to other currencies, this greatly impacts the multinational companies' performance. ExxonMobil's overseas revenues can be negatively affected when the currency is translated to dollars at lower rates.</w:t>
      </w:r>
    </w:p>
    <w:p w14:paraId="40255E9F" w14:textId="77777777" w:rsidR="00771C49" w:rsidRDefault="00771C49"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00099F4D" w14:textId="77777777" w:rsidR="00771C49" w:rsidRPr="00EA1D88" w:rsidRDefault="00771C49"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4C482A14"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lastRenderedPageBreak/>
        <w:t xml:space="preserve">Hedging Strategies in ExxonMobil Corporation </w:t>
      </w:r>
    </w:p>
    <w:p w14:paraId="07832646"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ExxonMobil uses hedging measures, such as forward contracts and alternatives, to reduce the effect caused by currency fluctuations. These mechanisms assist the ExxonMobil </w:t>
      </w:r>
      <w:proofErr w:type="spellStart"/>
      <w:r w:rsidRPr="00EA1D88">
        <w:rPr>
          <w:rFonts w:ascii="Times New Roman" w:eastAsiaTheme="minorHAnsi" w:hAnsi="Times New Roman" w:cs="Times New Roman"/>
          <w:kern w:val="0"/>
          <w:sz w:val="24"/>
          <w:szCs w:val="24"/>
          <w:lang w:val="en-US" w:eastAsia="en-US"/>
          <w14:ligatures w14:val="none"/>
        </w:rPr>
        <w:t>organisation</w:t>
      </w:r>
      <w:proofErr w:type="spellEnd"/>
      <w:r w:rsidRPr="00EA1D88">
        <w:rPr>
          <w:rFonts w:ascii="Times New Roman" w:eastAsiaTheme="minorHAnsi" w:hAnsi="Times New Roman" w:cs="Times New Roman"/>
          <w:kern w:val="0"/>
          <w:sz w:val="24"/>
          <w:szCs w:val="24"/>
          <w:lang w:val="en-US" w:eastAsia="en-US"/>
          <w14:ligatures w14:val="none"/>
        </w:rPr>
        <w:t xml:space="preserve"> in regulating exchange rates for upcoming transactions, making foreign business cash flows easier to forecast. ExxonMobil's goal is to maintain consistent financial outcomes and protect shareholder value through proactive currency fluctuation risk management. </w:t>
      </w:r>
    </w:p>
    <w:p w14:paraId="4D5FF936"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Regulatory Risks and Political Environment</w:t>
      </w:r>
    </w:p>
    <w:p w14:paraId="75E865C7"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There are major issues in the financial markets arising from political operations and regulatory policies. The regulatory policies in the global markets affecting ExxonMobil Corporation comprise the government seizure regulation, government policies, taxation and legal framework. The dividend allocation policy depends heavily on the accounting standards of a nation (Hussain &amp; Akbar, 2022, p.841). Government asset seizures, sudden shifts in tax policy, and environmental rules are influential risks oil and gas companies face. Adaption to these changes is essential as they can cause havoc in the workplace and reduce profits.  </w:t>
      </w:r>
    </w:p>
    <w:p w14:paraId="6F958956" w14:textId="77777777" w:rsidR="00EA1D88" w:rsidRPr="00EA1D88" w:rsidRDefault="00EA1D88"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EA1D88">
        <w:rPr>
          <w:rFonts w:ascii="Times New Roman" w:eastAsiaTheme="minorHAnsi" w:hAnsi="Times New Roman" w:cs="Times New Roman"/>
          <w:b/>
          <w:bCs/>
          <w:kern w:val="0"/>
          <w:sz w:val="24"/>
          <w:szCs w:val="24"/>
          <w:lang w:val="en-US" w:eastAsia="en-US"/>
          <w14:ligatures w14:val="none"/>
        </w:rPr>
        <w:t xml:space="preserve">ExxonMobil Strategy for Dealing with Global Operation Risks  </w:t>
      </w:r>
    </w:p>
    <w:p w14:paraId="56C2A6CC" w14:textId="77777777" w:rsid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ExxonMobil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many different strategies in managing the risks associated with regulatory and regulatory risks using a multifaceted approach. Firstly, before investing in new markets, multinational corporations should comprehensively evaluate the country's regulatory frameworks and political stability (Hussain &amp; Akbar, 2022, p.842). ExxonMobil uses productive negotiations with government agencies and sector regulators to establish a mutually beneficial </w:t>
      </w:r>
      <w:r w:rsidRPr="00EA1D88">
        <w:rPr>
          <w:rFonts w:ascii="Times New Roman" w:eastAsiaTheme="minorHAnsi" w:hAnsi="Times New Roman" w:cs="Times New Roman"/>
          <w:kern w:val="0"/>
          <w:sz w:val="24"/>
          <w:szCs w:val="24"/>
          <w:lang w:val="en-US" w:eastAsia="en-US"/>
          <w14:ligatures w14:val="none"/>
        </w:rPr>
        <w:lastRenderedPageBreak/>
        <w:t>agreement.</w:t>
      </w:r>
      <w:r w:rsidRPr="00EA1D88">
        <w:rPr>
          <w:rFonts w:ascii="Times New Roman" w:eastAsiaTheme="minorHAnsi" w:hAnsi="Times New Roman"/>
          <w:kern w:val="0"/>
          <w:sz w:val="24"/>
          <w:lang w:val="en-US" w:eastAsia="en-US"/>
          <w14:ligatures w14:val="none"/>
        </w:rPr>
        <w:t xml:space="preserve"> </w:t>
      </w:r>
      <w:r w:rsidRPr="00EA1D88">
        <w:rPr>
          <w:rFonts w:ascii="Times New Roman" w:eastAsiaTheme="minorHAnsi" w:hAnsi="Times New Roman" w:cs="Times New Roman"/>
          <w:kern w:val="0"/>
          <w:sz w:val="24"/>
          <w:szCs w:val="24"/>
          <w:lang w:val="en-US" w:eastAsia="en-US"/>
          <w14:ligatures w14:val="none"/>
        </w:rPr>
        <w:t>ExxonMobil's globally diversified portfolio for investment spreads risk, reducing the effect of detrimental developments in any market.</w:t>
      </w:r>
    </w:p>
    <w:p w14:paraId="1ED23C8F" w14:textId="065A76D9" w:rsidR="00FC6123" w:rsidRPr="00EA1D88" w:rsidRDefault="00FC6123" w:rsidP="00EA1D88">
      <w:pPr>
        <w:spacing w:after="100" w:afterAutospacing="1" w:line="480" w:lineRule="auto"/>
        <w:rPr>
          <w:rFonts w:ascii="Times New Roman" w:eastAsiaTheme="minorHAnsi" w:hAnsi="Times New Roman" w:cs="Times New Roman"/>
          <w:b/>
          <w:bCs/>
          <w:kern w:val="0"/>
          <w:sz w:val="24"/>
          <w:szCs w:val="24"/>
          <w:lang w:val="en-US" w:eastAsia="en-US"/>
          <w14:ligatures w14:val="none"/>
        </w:rPr>
      </w:pPr>
      <w:r w:rsidRPr="00FC6123">
        <w:rPr>
          <w:rFonts w:ascii="Times New Roman" w:eastAsiaTheme="minorHAnsi" w:hAnsi="Times New Roman" w:cs="Times New Roman"/>
          <w:b/>
          <w:bCs/>
          <w:kern w:val="0"/>
          <w:sz w:val="24"/>
          <w:szCs w:val="24"/>
          <w:lang w:val="en-US" w:eastAsia="en-US"/>
          <w14:ligatures w14:val="none"/>
        </w:rPr>
        <w:t xml:space="preserve">Conclusion </w:t>
      </w:r>
    </w:p>
    <w:p w14:paraId="0485B203"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ab/>
        <w:t xml:space="preserve">In summary, International Financial Management is important for ExxonMobil in enhancing its success in international financial operations. Exxon Corporation </w:t>
      </w:r>
      <w:proofErr w:type="spellStart"/>
      <w:r w:rsidRPr="00EA1D88">
        <w:rPr>
          <w:rFonts w:ascii="Times New Roman" w:eastAsiaTheme="minorHAnsi" w:hAnsi="Times New Roman" w:cs="Times New Roman"/>
          <w:kern w:val="0"/>
          <w:sz w:val="24"/>
          <w:szCs w:val="24"/>
          <w:lang w:val="en-US" w:eastAsia="en-US"/>
          <w14:ligatures w14:val="none"/>
        </w:rPr>
        <w:t>utilises</w:t>
      </w:r>
      <w:proofErr w:type="spellEnd"/>
      <w:r w:rsidRPr="00EA1D88">
        <w:rPr>
          <w:rFonts w:ascii="Times New Roman" w:eastAsiaTheme="minorHAnsi" w:hAnsi="Times New Roman" w:cs="Times New Roman"/>
          <w:kern w:val="0"/>
          <w:sz w:val="24"/>
          <w:szCs w:val="24"/>
          <w:lang w:val="en-US" w:eastAsia="en-US"/>
          <w14:ligatures w14:val="none"/>
        </w:rPr>
        <w:t xml:space="preserve"> the Modigliani-Miller theory irrelevancy theory effectively. The leading oil company, ExxonMobil, encounters currency fluctuations, regulatory laws, and capital access difficulties. The commitment of ExxonMobil to IFM practices and using capital budgeting methods is proof of its focus on achieving a competitive edge and good performance. </w:t>
      </w:r>
    </w:p>
    <w:p w14:paraId="180ABEA9"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r w:rsidRPr="00EA1D88">
        <w:rPr>
          <w:rFonts w:ascii="Times New Roman" w:eastAsiaTheme="minorHAnsi" w:hAnsi="Times New Roman" w:cs="Times New Roman"/>
          <w:kern w:val="0"/>
          <w:sz w:val="24"/>
          <w:szCs w:val="24"/>
          <w:lang w:val="en-US" w:eastAsia="en-US"/>
          <w14:ligatures w14:val="none"/>
        </w:rPr>
        <w:t xml:space="preserve">  </w:t>
      </w:r>
    </w:p>
    <w:p w14:paraId="6F411B41"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2FBF7FDB"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6098B5F8"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5D89DAE3"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0C9F109B"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4D4CD17D"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170D97AE"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613460EA"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3176E05A" w14:textId="77777777" w:rsidR="00EA1D88" w:rsidRPr="00EA1D88" w:rsidRDefault="00EA1D88" w:rsidP="00EA1D88">
      <w:pPr>
        <w:spacing w:after="100" w:afterAutospacing="1" w:line="480" w:lineRule="auto"/>
        <w:jc w:val="center"/>
        <w:rPr>
          <w:rFonts w:ascii="Times New Roman" w:eastAsiaTheme="minorHAnsi" w:hAnsi="Times New Roman" w:cs="Times New Roman"/>
          <w:b/>
          <w:kern w:val="0"/>
          <w:sz w:val="24"/>
          <w:szCs w:val="24"/>
          <w:lang w:eastAsia="en-US"/>
          <w14:ligatures w14:val="none"/>
        </w:rPr>
      </w:pPr>
      <w:r w:rsidRPr="00EA1D88">
        <w:rPr>
          <w:rFonts w:ascii="Times New Roman" w:eastAsiaTheme="minorHAnsi" w:hAnsi="Times New Roman" w:cs="Times New Roman"/>
          <w:b/>
          <w:kern w:val="0"/>
          <w:sz w:val="24"/>
          <w:szCs w:val="24"/>
          <w:lang w:eastAsia="en-US"/>
          <w14:ligatures w14:val="none"/>
        </w:rPr>
        <w:lastRenderedPageBreak/>
        <w:t>Bibliography</w:t>
      </w:r>
    </w:p>
    <w:p w14:paraId="3889B363"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proofErr w:type="spellStart"/>
      <w:r w:rsidRPr="00EA1D88">
        <w:rPr>
          <w:rFonts w:ascii="Times New Roman" w:eastAsiaTheme="minorHAnsi" w:hAnsi="Times New Roman" w:cs="Times New Roman"/>
          <w:kern w:val="0"/>
          <w:sz w:val="24"/>
          <w:szCs w:val="24"/>
          <w:lang w:eastAsia="en-US"/>
          <w14:ligatures w14:val="none"/>
        </w:rPr>
        <w:t>Attig</w:t>
      </w:r>
      <w:proofErr w:type="spellEnd"/>
      <w:r w:rsidRPr="00EA1D88">
        <w:rPr>
          <w:rFonts w:ascii="Times New Roman" w:eastAsiaTheme="minorHAnsi" w:hAnsi="Times New Roman" w:cs="Times New Roman"/>
          <w:kern w:val="0"/>
          <w:sz w:val="24"/>
          <w:szCs w:val="24"/>
          <w:lang w:eastAsia="en-US"/>
          <w14:ligatures w14:val="none"/>
        </w:rPr>
        <w:t xml:space="preserve">, N., El Ghoul, S., </w:t>
      </w:r>
      <w:proofErr w:type="spellStart"/>
      <w:r w:rsidRPr="00EA1D88">
        <w:rPr>
          <w:rFonts w:ascii="Times New Roman" w:eastAsiaTheme="minorHAnsi" w:hAnsi="Times New Roman" w:cs="Times New Roman"/>
          <w:kern w:val="0"/>
          <w:sz w:val="24"/>
          <w:szCs w:val="24"/>
          <w:lang w:eastAsia="en-US"/>
          <w14:ligatures w14:val="none"/>
        </w:rPr>
        <w:t>Guedhami</w:t>
      </w:r>
      <w:proofErr w:type="spellEnd"/>
      <w:r w:rsidRPr="00EA1D88">
        <w:rPr>
          <w:rFonts w:ascii="Times New Roman" w:eastAsiaTheme="minorHAnsi" w:hAnsi="Times New Roman" w:cs="Times New Roman"/>
          <w:kern w:val="0"/>
          <w:sz w:val="24"/>
          <w:szCs w:val="24"/>
          <w:lang w:eastAsia="en-US"/>
          <w14:ligatures w14:val="none"/>
        </w:rPr>
        <w:t>, O. and Zheng, X., 2021. Dividends and economic policy uncertainty: International evidence. Journal of Corporate Finance, 66, p.101785.</w:t>
      </w:r>
      <w:r w:rsidRPr="00EA1D88">
        <w:rPr>
          <w:rFonts w:ascii="Times New Roman" w:eastAsiaTheme="minorHAnsi" w:hAnsi="Times New Roman"/>
          <w:kern w:val="0"/>
          <w:sz w:val="24"/>
          <w:lang w:val="en-US" w:eastAsia="en-US"/>
          <w14:ligatures w14:val="none"/>
        </w:rPr>
        <w:t xml:space="preserve"> </w:t>
      </w:r>
      <w:hyperlink r:id="rId6" w:history="1">
        <w:r w:rsidRPr="00EA1D88">
          <w:rPr>
            <w:rFonts w:ascii="Times New Roman" w:eastAsiaTheme="minorHAnsi" w:hAnsi="Times New Roman" w:cs="Times New Roman"/>
            <w:color w:val="0000FF"/>
            <w:kern w:val="0"/>
            <w:sz w:val="24"/>
            <w:szCs w:val="24"/>
            <w:u w:val="single"/>
            <w:lang w:eastAsia="en-US"/>
            <w14:ligatures w14:val="none"/>
          </w:rPr>
          <w:t>http://www.econ.aoyama.ac.jp/laboratory/wp-content/uploads/2018/05/34d94f2837d2800b94f42b2b2385f363.pdf</w:t>
        </w:r>
      </w:hyperlink>
    </w:p>
    <w:p w14:paraId="15B3BCE0"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r w:rsidRPr="00EA1D88">
        <w:rPr>
          <w:rFonts w:ascii="Times New Roman" w:eastAsiaTheme="minorHAnsi" w:hAnsi="Times New Roman" w:cs="Times New Roman"/>
          <w:kern w:val="0"/>
          <w:sz w:val="24"/>
          <w:szCs w:val="24"/>
          <w:lang w:eastAsia="en-US"/>
          <w14:ligatures w14:val="none"/>
        </w:rPr>
        <w:t>ExxonMobil (2022) Exxon Mobil Corporation declares a third-quarter dividend, ExxonMobil. Available at: https://corporate.exxonmobil.com/news/news-releases/2022/0727_exxon-mobil-corporation-declares-third-quarter-dividend (Accessed: 01 September 2023).</w:t>
      </w:r>
    </w:p>
    <w:p w14:paraId="2B61A409"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r w:rsidRPr="00EA1D88">
        <w:rPr>
          <w:rFonts w:ascii="Times New Roman" w:eastAsiaTheme="minorHAnsi" w:hAnsi="Times New Roman" w:cs="Times New Roman"/>
          <w:kern w:val="0"/>
          <w:sz w:val="24"/>
          <w:szCs w:val="24"/>
          <w:lang w:eastAsia="en-US"/>
          <w14:ligatures w14:val="none"/>
        </w:rPr>
        <w:t xml:space="preserve">Hussain, A. and Akbar, M., 2022. Dividend policy and earnings management: Do agency problems and financing constraints matter? </w:t>
      </w:r>
      <w:proofErr w:type="spellStart"/>
      <w:r w:rsidRPr="00EA1D88">
        <w:rPr>
          <w:rFonts w:ascii="Times New Roman" w:eastAsiaTheme="minorHAnsi" w:hAnsi="Times New Roman" w:cs="Times New Roman"/>
          <w:kern w:val="0"/>
          <w:sz w:val="24"/>
          <w:szCs w:val="24"/>
          <w:lang w:eastAsia="en-US"/>
          <w14:ligatures w14:val="none"/>
        </w:rPr>
        <w:t>Borsa</w:t>
      </w:r>
      <w:proofErr w:type="spellEnd"/>
      <w:r w:rsidRPr="00EA1D88">
        <w:rPr>
          <w:rFonts w:ascii="Times New Roman" w:eastAsiaTheme="minorHAnsi" w:hAnsi="Times New Roman" w:cs="Times New Roman"/>
          <w:kern w:val="0"/>
          <w:sz w:val="24"/>
          <w:szCs w:val="24"/>
          <w:lang w:eastAsia="en-US"/>
          <w14:ligatures w14:val="none"/>
        </w:rPr>
        <w:t xml:space="preserve"> Istanbul Review, 22(5), pp.839-853. </w:t>
      </w:r>
      <w:hyperlink r:id="rId7" w:history="1">
        <w:r w:rsidRPr="00EA1D88">
          <w:rPr>
            <w:rFonts w:ascii="Times New Roman" w:eastAsiaTheme="minorHAnsi" w:hAnsi="Times New Roman" w:cs="Times New Roman"/>
            <w:color w:val="0000FF"/>
            <w:kern w:val="0"/>
            <w:sz w:val="24"/>
            <w:szCs w:val="24"/>
            <w:u w:val="single"/>
            <w:lang w:eastAsia="en-US"/>
            <w14:ligatures w14:val="none"/>
          </w:rPr>
          <w:t>https://doi.org/10.1016/j.bir.2022.05.003</w:t>
        </w:r>
      </w:hyperlink>
    </w:p>
    <w:p w14:paraId="5BDEABC2"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r w:rsidRPr="00EA1D88">
        <w:rPr>
          <w:rFonts w:ascii="Times New Roman" w:eastAsiaTheme="minorHAnsi" w:hAnsi="Times New Roman" w:cs="Times New Roman"/>
          <w:kern w:val="0"/>
          <w:sz w:val="24"/>
          <w:szCs w:val="24"/>
          <w:lang w:eastAsia="en-US"/>
          <w14:ligatures w14:val="none"/>
        </w:rPr>
        <w:t xml:space="preserve">Kaufmann, R.K., </w:t>
      </w:r>
      <w:proofErr w:type="spellStart"/>
      <w:r w:rsidRPr="00EA1D88">
        <w:rPr>
          <w:rFonts w:ascii="Times New Roman" w:eastAsiaTheme="minorHAnsi" w:hAnsi="Times New Roman" w:cs="Times New Roman"/>
          <w:kern w:val="0"/>
          <w:sz w:val="24"/>
          <w:szCs w:val="24"/>
          <w:lang w:eastAsia="en-US"/>
          <w14:ligatures w14:val="none"/>
        </w:rPr>
        <w:t>Kulatilaka</w:t>
      </w:r>
      <w:proofErr w:type="spellEnd"/>
      <w:r w:rsidRPr="00EA1D88">
        <w:rPr>
          <w:rFonts w:ascii="Times New Roman" w:eastAsiaTheme="minorHAnsi" w:hAnsi="Times New Roman" w:cs="Times New Roman"/>
          <w:kern w:val="0"/>
          <w:sz w:val="24"/>
          <w:szCs w:val="24"/>
          <w:lang w:eastAsia="en-US"/>
          <w14:ligatures w14:val="none"/>
        </w:rPr>
        <w:t xml:space="preserve">, N. and </w:t>
      </w:r>
      <w:proofErr w:type="spellStart"/>
      <w:r w:rsidRPr="00EA1D88">
        <w:rPr>
          <w:rFonts w:ascii="Times New Roman" w:eastAsiaTheme="minorHAnsi" w:hAnsi="Times New Roman" w:cs="Times New Roman"/>
          <w:kern w:val="0"/>
          <w:sz w:val="24"/>
          <w:szCs w:val="24"/>
          <w:lang w:eastAsia="en-US"/>
          <w14:ligatures w14:val="none"/>
        </w:rPr>
        <w:t>Mittelman</w:t>
      </w:r>
      <w:proofErr w:type="spellEnd"/>
      <w:r w:rsidRPr="00EA1D88">
        <w:rPr>
          <w:rFonts w:ascii="Times New Roman" w:eastAsiaTheme="minorHAnsi" w:hAnsi="Times New Roman" w:cs="Times New Roman"/>
          <w:kern w:val="0"/>
          <w:sz w:val="24"/>
          <w:szCs w:val="24"/>
          <w:lang w:eastAsia="en-US"/>
          <w14:ligatures w14:val="none"/>
        </w:rPr>
        <w:t xml:space="preserve">, M., 2023. Evaluating Hedge Fund Activism: Engine Number 1 and ExxonMobil. Journal of Climate Finance, p.1-34. </w:t>
      </w:r>
      <w:hyperlink r:id="rId8" w:history="1">
        <w:r w:rsidRPr="00EA1D88">
          <w:rPr>
            <w:rFonts w:ascii="Times New Roman" w:eastAsiaTheme="minorHAnsi" w:hAnsi="Times New Roman" w:cs="Times New Roman"/>
            <w:color w:val="0000FF"/>
            <w:kern w:val="0"/>
            <w:sz w:val="24"/>
            <w:szCs w:val="24"/>
            <w:u w:val="single"/>
            <w:lang w:eastAsia="en-US"/>
            <w14:ligatures w14:val="none"/>
          </w:rPr>
          <w:t>https://doi.org/10.1016/j.jclimf.2023.100018</w:t>
        </w:r>
      </w:hyperlink>
      <w:r w:rsidRPr="00EA1D88">
        <w:rPr>
          <w:rFonts w:ascii="Times New Roman" w:eastAsiaTheme="minorHAnsi" w:hAnsi="Times New Roman" w:cs="Times New Roman"/>
          <w:kern w:val="0"/>
          <w:sz w:val="24"/>
          <w:szCs w:val="24"/>
          <w:lang w:eastAsia="en-US"/>
          <w14:ligatures w14:val="none"/>
        </w:rPr>
        <w:t xml:space="preserve"> </w:t>
      </w:r>
    </w:p>
    <w:p w14:paraId="08701E0D"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proofErr w:type="spellStart"/>
      <w:r w:rsidRPr="00EA1D88">
        <w:rPr>
          <w:rFonts w:ascii="Times New Roman" w:eastAsiaTheme="minorHAnsi" w:hAnsi="Times New Roman" w:cs="Times New Roman"/>
          <w:kern w:val="0"/>
          <w:sz w:val="24"/>
          <w:szCs w:val="24"/>
          <w:lang w:eastAsia="en-US"/>
          <w14:ligatures w14:val="none"/>
        </w:rPr>
        <w:t>Kowerski</w:t>
      </w:r>
      <w:proofErr w:type="spellEnd"/>
      <w:r w:rsidRPr="00EA1D88">
        <w:rPr>
          <w:rFonts w:ascii="Times New Roman" w:eastAsiaTheme="minorHAnsi" w:hAnsi="Times New Roman" w:cs="Times New Roman"/>
          <w:kern w:val="0"/>
          <w:sz w:val="24"/>
          <w:szCs w:val="24"/>
          <w:lang w:eastAsia="en-US"/>
          <w14:ligatures w14:val="none"/>
        </w:rPr>
        <w:t xml:space="preserve">, M. and </w:t>
      </w:r>
      <w:proofErr w:type="spellStart"/>
      <w:r w:rsidRPr="00EA1D88">
        <w:rPr>
          <w:rFonts w:ascii="Times New Roman" w:eastAsiaTheme="minorHAnsi" w:hAnsi="Times New Roman" w:cs="Times New Roman"/>
          <w:kern w:val="0"/>
          <w:sz w:val="24"/>
          <w:szCs w:val="24"/>
          <w:lang w:eastAsia="en-US"/>
          <w14:ligatures w14:val="none"/>
        </w:rPr>
        <w:t>Haniewska</w:t>
      </w:r>
      <w:proofErr w:type="spellEnd"/>
      <w:r w:rsidRPr="00EA1D88">
        <w:rPr>
          <w:rFonts w:ascii="Times New Roman" w:eastAsiaTheme="minorHAnsi" w:hAnsi="Times New Roman" w:cs="Times New Roman"/>
          <w:kern w:val="0"/>
          <w:sz w:val="24"/>
          <w:szCs w:val="24"/>
          <w:lang w:eastAsia="en-US"/>
          <w14:ligatures w14:val="none"/>
        </w:rPr>
        <w:t>, L., 2022. The Miller-Modigliani Dividend Irrelevance Theory as A Warning for Investors Looking For Quick Profits From Investments In Companies Paying Dividends. Financial Internet Quarterly-Finance, 18(4).</w:t>
      </w:r>
      <w:r w:rsidRPr="00EA1D88">
        <w:rPr>
          <w:rFonts w:ascii="Times New Roman" w:eastAsiaTheme="minorHAnsi" w:hAnsi="Times New Roman"/>
          <w:kern w:val="0"/>
          <w:sz w:val="24"/>
          <w:lang w:val="en-US" w:eastAsia="en-US"/>
          <w14:ligatures w14:val="none"/>
        </w:rPr>
        <w:t xml:space="preserve"> </w:t>
      </w:r>
      <w:hyperlink r:id="rId9" w:history="1">
        <w:r w:rsidRPr="00EA1D88">
          <w:rPr>
            <w:rFonts w:ascii="Times New Roman" w:eastAsiaTheme="minorHAnsi" w:hAnsi="Times New Roman" w:cs="Times New Roman"/>
            <w:color w:val="0000FF"/>
            <w:kern w:val="0"/>
            <w:sz w:val="24"/>
            <w:szCs w:val="24"/>
            <w:u w:val="single"/>
            <w:lang w:eastAsia="en-US"/>
            <w14:ligatures w14:val="none"/>
          </w:rPr>
          <w:t>https://doi.org/10.2478/fiqf-2022-0029</w:t>
        </w:r>
      </w:hyperlink>
      <w:r w:rsidRPr="00EA1D88">
        <w:rPr>
          <w:rFonts w:ascii="Times New Roman" w:eastAsiaTheme="minorHAnsi" w:hAnsi="Times New Roman" w:cs="Times New Roman"/>
          <w:kern w:val="0"/>
          <w:sz w:val="24"/>
          <w:szCs w:val="24"/>
          <w:lang w:eastAsia="en-US"/>
          <w14:ligatures w14:val="none"/>
        </w:rPr>
        <w:t xml:space="preserve">   </w:t>
      </w:r>
    </w:p>
    <w:p w14:paraId="503D93C4" w14:textId="77777777" w:rsidR="00EA1D88" w:rsidRPr="00EA1D88" w:rsidRDefault="00EA1D88" w:rsidP="00EA1D88">
      <w:pPr>
        <w:spacing w:after="100" w:afterAutospacing="1" w:line="480" w:lineRule="auto"/>
        <w:ind w:left="720" w:hanging="720"/>
        <w:rPr>
          <w:rFonts w:ascii="Times New Roman" w:eastAsiaTheme="minorHAnsi" w:hAnsi="Times New Roman" w:cs="Times New Roman"/>
          <w:kern w:val="0"/>
          <w:sz w:val="24"/>
          <w:szCs w:val="24"/>
          <w:lang w:eastAsia="en-US"/>
          <w14:ligatures w14:val="none"/>
        </w:rPr>
      </w:pPr>
      <w:proofErr w:type="spellStart"/>
      <w:r w:rsidRPr="00EA1D88">
        <w:rPr>
          <w:rFonts w:ascii="Times New Roman" w:eastAsiaTheme="minorHAnsi" w:hAnsi="Times New Roman" w:cs="Times New Roman"/>
          <w:kern w:val="0"/>
          <w:sz w:val="24"/>
          <w:szCs w:val="24"/>
          <w:lang w:eastAsia="en-US"/>
          <w14:ligatures w14:val="none"/>
        </w:rPr>
        <w:lastRenderedPageBreak/>
        <w:t>Rouvolis</w:t>
      </w:r>
      <w:proofErr w:type="spellEnd"/>
      <w:r w:rsidRPr="00EA1D88">
        <w:rPr>
          <w:rFonts w:ascii="Times New Roman" w:eastAsiaTheme="minorHAnsi" w:hAnsi="Times New Roman" w:cs="Times New Roman"/>
          <w:kern w:val="0"/>
          <w:sz w:val="24"/>
          <w:szCs w:val="24"/>
          <w:lang w:eastAsia="en-US"/>
          <w14:ligatures w14:val="none"/>
        </w:rPr>
        <w:t>, S., 2022. International Financial Reporting Standards (IFRS): Exploring Financial Evidence from Listed Companies in the US. Open Journal of Accounting, 10(4), pp.283-308.</w:t>
      </w:r>
      <w:r w:rsidRPr="00EA1D88">
        <w:rPr>
          <w:rFonts w:ascii="Times New Roman" w:eastAsiaTheme="minorHAnsi" w:hAnsi="Times New Roman"/>
          <w:kern w:val="0"/>
          <w:sz w:val="24"/>
          <w:lang w:val="en-US" w:eastAsia="en-US"/>
          <w14:ligatures w14:val="none"/>
        </w:rPr>
        <w:t xml:space="preserve"> </w:t>
      </w:r>
      <w:hyperlink r:id="rId10" w:history="1">
        <w:r w:rsidRPr="00EA1D88">
          <w:rPr>
            <w:rFonts w:ascii="Times New Roman" w:eastAsiaTheme="minorHAnsi" w:hAnsi="Times New Roman" w:cs="Times New Roman"/>
            <w:color w:val="0000FF"/>
            <w:kern w:val="0"/>
            <w:sz w:val="24"/>
            <w:szCs w:val="24"/>
            <w:u w:val="single"/>
            <w:lang w:eastAsia="en-US"/>
            <w14:ligatures w14:val="none"/>
          </w:rPr>
          <w:t>https://doi.org/10.4236/ojacct.2022.114014</w:t>
        </w:r>
      </w:hyperlink>
      <w:r w:rsidRPr="00EA1D88">
        <w:rPr>
          <w:rFonts w:ascii="Times New Roman" w:eastAsiaTheme="minorHAnsi" w:hAnsi="Times New Roman" w:cs="Times New Roman"/>
          <w:kern w:val="0"/>
          <w:sz w:val="24"/>
          <w:szCs w:val="24"/>
          <w:lang w:eastAsia="en-US"/>
          <w14:ligatures w14:val="none"/>
        </w:rPr>
        <w:t xml:space="preserve"> </w:t>
      </w:r>
    </w:p>
    <w:p w14:paraId="655AA523" w14:textId="77777777" w:rsidR="00EA1D88" w:rsidRPr="00EA1D88" w:rsidRDefault="00EA1D88" w:rsidP="00EA1D88">
      <w:pPr>
        <w:spacing w:after="100" w:afterAutospacing="1" w:line="480" w:lineRule="auto"/>
        <w:rPr>
          <w:rFonts w:ascii="Times New Roman" w:eastAsiaTheme="minorHAnsi" w:hAnsi="Times New Roman" w:cs="Times New Roman"/>
          <w:kern w:val="0"/>
          <w:sz w:val="24"/>
          <w:szCs w:val="24"/>
          <w:lang w:val="en-US" w:eastAsia="en-US"/>
          <w14:ligatures w14:val="none"/>
        </w:rPr>
      </w:pPr>
    </w:p>
    <w:p w14:paraId="180163D4" w14:textId="77777777" w:rsidR="00EA1D88" w:rsidRDefault="00EA1D88"/>
    <w:sectPr w:rsidR="00EA1D88">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AD4A2" w14:textId="77777777" w:rsidR="006D56B0" w:rsidRDefault="006D56B0">
      <w:r>
        <w:separator/>
      </w:r>
    </w:p>
  </w:endnote>
  <w:endnote w:type="continuationSeparator" w:id="0">
    <w:p w14:paraId="4E9507FA" w14:textId="77777777" w:rsidR="006D56B0" w:rsidRDefault="006D5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06693" w14:textId="77777777" w:rsidR="006D56B0" w:rsidRDefault="006D56B0">
      <w:r>
        <w:separator/>
      </w:r>
    </w:p>
  </w:footnote>
  <w:footnote w:type="continuationSeparator" w:id="0">
    <w:p w14:paraId="7FA964B6" w14:textId="77777777" w:rsidR="006D56B0" w:rsidRDefault="006D56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104085"/>
      <w:docPartObj>
        <w:docPartGallery w:val="Page Numbers (Top of Page)"/>
        <w:docPartUnique/>
      </w:docPartObj>
    </w:sdtPr>
    <w:sdtEndPr>
      <w:rPr>
        <w:rFonts w:cs="Times New Roman"/>
        <w:noProof/>
        <w:szCs w:val="24"/>
      </w:rPr>
    </w:sdtEndPr>
    <w:sdtContent>
      <w:p w14:paraId="617E0EDF" w14:textId="77777777" w:rsidR="006D56B0" w:rsidRPr="002D0BF0" w:rsidRDefault="006D56B0" w:rsidP="00195DF5">
        <w:pPr>
          <w:pStyle w:val="Header"/>
          <w:spacing w:line="480" w:lineRule="auto"/>
          <w:ind w:left="1800" w:firstLine="4680"/>
          <w:jc w:val="center"/>
          <w:rPr>
            <w:rFonts w:cs="Times New Roman"/>
            <w:szCs w:val="24"/>
          </w:rPr>
        </w:pPr>
        <w:r w:rsidRPr="00195DF5">
          <w:t>Business and Management</w:t>
        </w:r>
        <w:r>
          <w:t xml:space="preserve"> </w:t>
        </w:r>
        <w:r w:rsidRPr="00195DF5">
          <w:fldChar w:fldCharType="begin"/>
        </w:r>
        <w:r w:rsidRPr="00195DF5">
          <w:instrText xml:space="preserve"> PAGE   \* MERGEFORMAT </w:instrText>
        </w:r>
        <w:r w:rsidRPr="00195DF5">
          <w:fldChar w:fldCharType="separate"/>
        </w:r>
        <w:r>
          <w:rPr>
            <w:noProof/>
          </w:rPr>
          <w:t>1</w:t>
        </w:r>
        <w:r w:rsidRPr="00195DF5">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D88"/>
    <w:rsid w:val="00013F05"/>
    <w:rsid w:val="00030575"/>
    <w:rsid w:val="000C377A"/>
    <w:rsid w:val="006D56B0"/>
    <w:rsid w:val="00771C49"/>
    <w:rsid w:val="00AA2064"/>
    <w:rsid w:val="00B94DE6"/>
    <w:rsid w:val="00E24A2B"/>
    <w:rsid w:val="00EA1D88"/>
    <w:rsid w:val="00FC6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732FE3"/>
  <w15:chartTrackingRefBased/>
  <w15:docId w15:val="{FEE53969-06D4-7949-8796-DD090D52D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D88"/>
    <w:rPr>
      <w:color w:val="0000FF"/>
      <w:u w:val="single"/>
    </w:rPr>
  </w:style>
  <w:style w:type="paragraph" w:styleId="Header">
    <w:name w:val="header"/>
    <w:basedOn w:val="Normal"/>
    <w:link w:val="HeaderChar"/>
    <w:uiPriority w:val="99"/>
    <w:unhideWhenUsed/>
    <w:rsid w:val="00EA1D88"/>
    <w:pPr>
      <w:tabs>
        <w:tab w:val="center" w:pos="4680"/>
        <w:tab w:val="right" w:pos="9360"/>
      </w:tabs>
    </w:pPr>
    <w:rPr>
      <w:rFonts w:ascii="Times New Roman" w:eastAsiaTheme="minorHAnsi" w:hAnsi="Times New Roman"/>
      <w:kern w:val="0"/>
      <w:sz w:val="24"/>
      <w:lang w:val="en-US" w:eastAsia="en-US"/>
      <w14:ligatures w14:val="none"/>
    </w:rPr>
  </w:style>
  <w:style w:type="character" w:customStyle="1" w:styleId="HeaderChar">
    <w:name w:val="Header Char"/>
    <w:basedOn w:val="DefaultParagraphFont"/>
    <w:link w:val="Header"/>
    <w:uiPriority w:val="99"/>
    <w:rsid w:val="00EA1D88"/>
    <w:rPr>
      <w:rFonts w:ascii="Times New Roman" w:eastAsiaTheme="minorHAnsi" w:hAnsi="Times New Roman"/>
      <w:kern w:val="0"/>
      <w:sz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imf.2023.10001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bir.2022.05.00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con.aoyama.ac.jp/laboratory/wp-content/uploads/2018/05/34d94f2837d2800b94f42b2b2385f363.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4236/ojacct.2022.114014" TargetMode="External"/><Relationship Id="rId4" Type="http://schemas.openxmlformats.org/officeDocument/2006/relationships/footnotes" Target="footnotes.xml"/><Relationship Id="rId9" Type="http://schemas.openxmlformats.org/officeDocument/2006/relationships/hyperlink" Target="https://doi.org/10.2478/fiqf-2022-0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2172</Words>
  <Characters>12387</Characters>
  <Application>Microsoft Office Word</Application>
  <DocSecurity>0</DocSecurity>
  <Lines>103</Lines>
  <Paragraphs>29</Paragraphs>
  <ScaleCrop>false</ScaleCrop>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2023-09-02T08:48:00Z</dcterms:created>
  <dcterms:modified xsi:type="dcterms:W3CDTF">2023-09-02T08:48:00Z</dcterms:modified>
</cp:coreProperties>
</file>