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diagrams/layout2.xml" ContentType="application/vnd.openxmlformats-officedocument.drawingml.diagramLayout+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quickStyle2.xml" ContentType="application/vnd.openxmlformats-officedocument.drawingml.diagramStyle+xml"/>
  <Override PartName="/word/diagrams/layout1.xml" ContentType="application/vnd.openxmlformats-officedocument.drawingml.diagramLayout+xml"/>
  <Override PartName="/word/diagrams/drawing2.xml" ContentType="application/vnd.ms-office.drawingml.diagramDrawing+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diagrams/quickStyle1.xml" ContentType="application/vnd.openxmlformats-officedocument.drawingml.diagramStyle+xml"/>
  <Override PartName="/word/diagrams/data2.xml" ContentType="application/vnd.openxmlformats-officedocument.drawingml.diagramData+xml"/>
  <Override PartName="/word/diagrams/colors2.xml" ContentType="application/vnd.openxmlformats-officedocument.drawingml.diagramColor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1DFF52C9">
      <w:pPr>
        <w:pStyle w:val="style0"/>
        <w:spacing w:after="120" w:lineRule="auto" w:line="360"/>
        <w:jc w:val="both"/>
        <w:rPr>
          <w:rFonts w:ascii="Times New Roman" w:cs="Times New Roman" w:hAnsi="Times New Roman"/>
          <w:b/>
          <w:bCs/>
          <w:lang w:val="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10"/>
        <w:gridCol w:w="2551"/>
        <w:gridCol w:w="2268"/>
      </w:tblGrid>
      <w:tr w14:paraId="1EFE0B7A">
        <w:trPr/>
        <w:tc>
          <w:tcPr>
            <w:tcW w:w="2093" w:type="dxa"/>
            <w:tcBorders/>
          </w:tcPr>
          <w:p w14:paraId="11FD420E">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Student name:</w:t>
            </w:r>
          </w:p>
        </w:tc>
        <w:tc>
          <w:tcPr>
            <w:tcW w:w="3010" w:type="dxa"/>
            <w:tcBorders/>
          </w:tcPr>
          <w:p w14:paraId="3BDBDDDD">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 xml:space="preserve"> Jitendra Kumar Ranwa </w:t>
            </w:r>
          </w:p>
        </w:tc>
        <w:tc>
          <w:tcPr>
            <w:tcW w:w="2551" w:type="dxa"/>
            <w:tcBorders/>
            <w:shd w:val="clear" w:color="auto" w:fill="d9d9d9"/>
          </w:tcPr>
          <w:p w14:paraId="7CDB4BC3">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Student ID number:</w:t>
            </w:r>
          </w:p>
        </w:tc>
        <w:tc>
          <w:tcPr>
            <w:tcW w:w="2268" w:type="dxa"/>
            <w:tcBorders/>
          </w:tcPr>
          <w:p w14:paraId="03F667F0">
            <w:pPr>
              <w:pStyle w:val="style0"/>
              <w:spacing w:after="120" w:lineRule="auto" w:line="360"/>
              <w:jc w:val="both"/>
              <w:rPr>
                <w:rFonts w:ascii="Times New Roman" w:cs="Times New Roman" w:hAnsi="Times New Roman"/>
                <w:b/>
                <w:lang w:val="en-GB"/>
              </w:rPr>
            </w:pPr>
            <w:r>
              <w:rPr>
                <w:rFonts w:ascii="Times New Roman" w:cs="Times New Roman" w:hAnsi="Times New Roman"/>
                <w:b/>
                <w:lang w:val="en-US"/>
              </w:rPr>
              <w:t xml:space="preserve"> 2605723</w:t>
            </w:r>
          </w:p>
        </w:tc>
      </w:tr>
      <w:tr w14:paraId="04A3DC59">
        <w:tblPrEx/>
        <w:trPr/>
        <w:tc>
          <w:tcPr>
            <w:tcW w:w="2093" w:type="dxa"/>
            <w:tcBorders/>
          </w:tcPr>
          <w:p w14:paraId="130AFE05">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Programme:</w:t>
            </w:r>
          </w:p>
        </w:tc>
        <w:tc>
          <w:tcPr>
            <w:tcW w:w="7829" w:type="dxa"/>
            <w:gridSpan w:val="3"/>
            <w:tcBorders/>
          </w:tcPr>
          <w:p w14:paraId="27BFD039">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Master of Business Administration</w:t>
            </w:r>
          </w:p>
        </w:tc>
      </w:tr>
      <w:tr w14:paraId="7A8930D6">
        <w:tblPrEx/>
        <w:trPr/>
        <w:tc>
          <w:tcPr>
            <w:tcW w:w="2093" w:type="dxa"/>
            <w:tcBorders/>
          </w:tcPr>
          <w:p w14:paraId="1D48FA4E">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Module:</w:t>
            </w:r>
          </w:p>
        </w:tc>
        <w:tc>
          <w:tcPr>
            <w:tcW w:w="7829" w:type="dxa"/>
            <w:gridSpan w:val="3"/>
            <w:tcBorders/>
          </w:tcPr>
          <w:p w14:paraId="13B7501D">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Human Capital Management</w:t>
            </w:r>
          </w:p>
        </w:tc>
      </w:tr>
      <w:tr w14:paraId="593D0988">
        <w:tblPrEx/>
        <w:trPr/>
        <w:tc>
          <w:tcPr>
            <w:tcW w:w="2093" w:type="dxa"/>
            <w:tcBorders/>
          </w:tcPr>
          <w:p w14:paraId="7C238CCE">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Module code:</w:t>
            </w:r>
          </w:p>
        </w:tc>
        <w:tc>
          <w:tcPr>
            <w:tcW w:w="3010" w:type="dxa"/>
            <w:tcBorders/>
          </w:tcPr>
          <w:p w14:paraId="7ADDBFD5">
            <w:pPr>
              <w:pStyle w:val="style0"/>
              <w:spacing w:after="120" w:lineRule="auto" w:line="360"/>
              <w:jc w:val="both"/>
              <w:rPr>
                <w:rFonts w:ascii="Times New Roman" w:cs="Times New Roman" w:hAnsi="Times New Roman"/>
                <w:b/>
                <w:lang w:val="en-GB"/>
              </w:rPr>
            </w:pPr>
            <w:r>
              <w:rPr>
                <w:rFonts w:ascii="Times New Roman" w:cs="Times New Roman" w:hAnsi="Times New Roman"/>
                <w:b/>
                <w:bCs/>
                <w:lang w:val="en-GB"/>
              </w:rPr>
              <w:t>LCMB7023</w:t>
            </w:r>
          </w:p>
        </w:tc>
        <w:tc>
          <w:tcPr>
            <w:tcW w:w="2551" w:type="dxa"/>
            <w:tcBorders/>
            <w:shd w:val="clear" w:color="auto" w:fill="d9d9d9"/>
          </w:tcPr>
          <w:p w14:paraId="2815381B">
            <w:pPr>
              <w:pStyle w:val="style0"/>
              <w:spacing w:after="120" w:lineRule="auto" w:line="360"/>
              <w:jc w:val="both"/>
              <w:rPr>
                <w:lang w:val="en-GB"/>
              </w:rPr>
            </w:pPr>
            <w:r>
              <w:rPr>
                <w:rFonts w:ascii="Times New Roman" w:cs="Times New Roman" w:hAnsi="Times New Roman"/>
                <w:b/>
                <w:lang w:val="en-GB"/>
              </w:rPr>
              <w:t>Contribution to Overall Module Assessment (%):</w:t>
            </w:r>
          </w:p>
        </w:tc>
        <w:tc>
          <w:tcPr>
            <w:tcW w:w="2268" w:type="dxa"/>
            <w:tcBorders/>
          </w:tcPr>
          <w:p w14:paraId="511622AC">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50%</w:t>
            </w:r>
          </w:p>
        </w:tc>
      </w:tr>
      <w:tr w14:paraId="771E7E11">
        <w:tblPrEx/>
        <w:trPr>
          <w:trHeight w:val="749" w:hRule="atLeast"/>
        </w:trPr>
        <w:tc>
          <w:tcPr>
            <w:tcW w:w="2093" w:type="dxa"/>
            <w:tcBorders/>
          </w:tcPr>
          <w:p w14:paraId="15A39993">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Lecturer:</w:t>
            </w:r>
          </w:p>
        </w:tc>
        <w:tc>
          <w:tcPr>
            <w:tcW w:w="3010" w:type="dxa"/>
            <w:tcBorders/>
          </w:tcPr>
          <w:p w14:paraId="404756D9">
            <w:pPr>
              <w:pStyle w:val="style0"/>
              <w:spacing w:after="120" w:lineRule="auto" w:line="360"/>
              <w:rPr>
                <w:rFonts w:ascii="Times New Roman" w:cs="Times New Roman" w:hAnsi="Times New Roman"/>
                <w:b/>
                <w:bCs/>
                <w:lang w:val="en-GB"/>
              </w:rPr>
            </w:pPr>
            <w:r>
              <w:rPr>
                <w:rFonts w:ascii="Times New Roman" w:cs="Times New Roman" w:hAnsi="Times New Roman"/>
                <w:b/>
                <w:bCs/>
                <w:lang w:val="en-GB"/>
              </w:rPr>
              <w:t>Gladius Kulothungan (London)</w:t>
            </w:r>
          </w:p>
          <w:p w14:paraId="0BDB9063">
            <w:pPr>
              <w:pStyle w:val="style0"/>
              <w:spacing w:after="120" w:lineRule="auto" w:line="360"/>
              <w:rPr>
                <w:rFonts w:ascii="Times New Roman" w:cs="Times New Roman" w:hAnsi="Times New Roman"/>
                <w:b/>
                <w:lang w:val="en-GB"/>
              </w:rPr>
            </w:pPr>
            <w:r>
              <w:rPr>
                <w:rFonts w:ascii="Times New Roman" w:cs="Times New Roman" w:hAnsi="Times New Roman"/>
                <w:b/>
                <w:bCs/>
                <w:lang w:val="en-GB"/>
              </w:rPr>
              <w:t>Eno Maycock (Birmingham)</w:t>
            </w:r>
          </w:p>
        </w:tc>
        <w:tc>
          <w:tcPr>
            <w:tcW w:w="2551" w:type="dxa"/>
            <w:tcBorders/>
            <w:shd w:val="clear" w:color="auto" w:fill="d9d9d9"/>
          </w:tcPr>
          <w:p w14:paraId="013ED95F">
            <w:pPr>
              <w:pStyle w:val="style0"/>
              <w:spacing w:after="120" w:lineRule="auto" w:line="360"/>
              <w:rPr>
                <w:rFonts w:ascii="Times New Roman" w:cs="Times New Roman" w:hAnsi="Times New Roman"/>
                <w:b/>
                <w:lang w:val="en-GB"/>
              </w:rPr>
            </w:pPr>
            <w:r>
              <w:rPr>
                <w:rFonts w:ascii="Times New Roman" w:cs="Times New Roman" w:hAnsi="Times New Roman"/>
                <w:b/>
                <w:lang w:val="en-GB"/>
              </w:rPr>
              <w:t>Internal Verifier:</w:t>
            </w:r>
          </w:p>
        </w:tc>
        <w:tc>
          <w:tcPr>
            <w:tcW w:w="2268" w:type="dxa"/>
            <w:tcBorders/>
          </w:tcPr>
          <w:p w14:paraId="6325B5DA">
            <w:pPr>
              <w:pStyle w:val="style0"/>
              <w:spacing w:after="120" w:lineRule="auto" w:line="360"/>
              <w:rPr>
                <w:rFonts w:ascii="Times New Roman" w:cs="Times New Roman" w:hAnsi="Times New Roman"/>
                <w:b/>
                <w:bCs/>
                <w:lang w:val="en-GB"/>
              </w:rPr>
            </w:pPr>
            <w:r>
              <w:rPr>
                <w:rFonts w:ascii="Times New Roman" w:cs="Times New Roman" w:hAnsi="Times New Roman"/>
                <w:b/>
                <w:bCs/>
                <w:lang w:val="en-GB"/>
              </w:rPr>
              <w:t>Vasilios Tavlaridis</w:t>
            </w:r>
          </w:p>
          <w:p w14:paraId="38BE49B5">
            <w:pPr>
              <w:pStyle w:val="style0"/>
              <w:spacing w:after="120" w:lineRule="auto" w:line="360"/>
              <w:rPr>
                <w:rFonts w:ascii="Times New Roman" w:cs="Times New Roman" w:hAnsi="Times New Roman"/>
                <w:b/>
                <w:lang w:val="en-GB"/>
              </w:rPr>
            </w:pPr>
            <w:r>
              <w:rPr>
                <w:rFonts w:ascii="Times New Roman" w:cs="Times New Roman" w:hAnsi="Times New Roman"/>
                <w:b/>
                <w:bCs/>
                <w:lang w:val="en-GB"/>
              </w:rPr>
              <w:t>Hoang Nguyen</w:t>
            </w:r>
          </w:p>
        </w:tc>
      </w:tr>
      <w:tr w14:paraId="355F4395">
        <w:tblPrEx/>
        <w:trPr/>
        <w:tc>
          <w:tcPr>
            <w:tcW w:w="2093" w:type="dxa"/>
            <w:tcBorders/>
          </w:tcPr>
          <w:p w14:paraId="67D73FCB">
            <w:pPr>
              <w:pStyle w:val="style0"/>
              <w:spacing w:after="120" w:lineRule="auto" w:line="360"/>
              <w:jc w:val="both"/>
              <w:rPr>
                <w:rFonts w:ascii="Times New Roman" w:cs="Times New Roman" w:hAnsi="Times New Roman"/>
                <w:b/>
                <w:lang w:val="en-GB"/>
              </w:rPr>
            </w:pPr>
            <w:r>
              <w:rPr>
                <w:rFonts w:ascii="Times New Roman" w:cs="Times New Roman" w:hAnsi="Times New Roman"/>
                <w:b/>
                <w:lang w:val="en-GB"/>
              </w:rPr>
              <w:t>Assignment Title:</w:t>
            </w:r>
          </w:p>
        </w:tc>
        <w:tc>
          <w:tcPr>
            <w:tcW w:w="3010" w:type="dxa"/>
            <w:tcBorders/>
          </w:tcPr>
          <w:p w14:paraId="47B7450F">
            <w:pPr>
              <w:pStyle w:val="style0"/>
              <w:spacing w:after="120" w:lineRule="auto" w:line="360"/>
              <w:rPr>
                <w:rFonts w:ascii="Times New Roman" w:cs="Times New Roman" w:hAnsi="Times New Roman"/>
                <w:b/>
                <w:lang w:val="en-GB"/>
              </w:rPr>
            </w:pPr>
            <w:r>
              <w:rPr>
                <w:rFonts w:ascii="Times New Roman" w:cs="Times New Roman" w:hAnsi="Times New Roman"/>
                <w:b/>
                <w:bCs/>
                <w:lang w:val="en-GB"/>
              </w:rPr>
              <w:t>Assessment component 1: Individual report</w:t>
            </w:r>
          </w:p>
        </w:tc>
        <w:tc>
          <w:tcPr>
            <w:tcW w:w="2551" w:type="dxa"/>
            <w:tcBorders/>
          </w:tcPr>
          <w:p w14:paraId="5CE12305">
            <w:pPr>
              <w:pStyle w:val="style0"/>
              <w:spacing w:after="120" w:lineRule="auto" w:line="360"/>
              <w:rPr>
                <w:rFonts w:ascii="Times New Roman" w:cs="Times New Roman" w:hAnsi="Times New Roman"/>
                <w:b/>
                <w:lang w:val="en-GB"/>
              </w:rPr>
            </w:pPr>
            <w:r>
              <w:rPr>
                <w:rFonts w:ascii="Times New Roman" w:cs="Times New Roman" w:hAnsi="Times New Roman"/>
                <w:b/>
                <w:lang w:val="en-GB"/>
              </w:rPr>
              <w:t>Word count (or equivalent):</w:t>
            </w:r>
          </w:p>
        </w:tc>
        <w:tc>
          <w:tcPr>
            <w:tcW w:w="2268" w:type="dxa"/>
            <w:tcBorders/>
            <w:vAlign w:val="center"/>
          </w:tcPr>
          <w:p w14:paraId="44095719">
            <w:pPr>
              <w:pStyle w:val="style0"/>
              <w:spacing w:after="120" w:lineRule="auto" w:line="360"/>
              <w:rPr>
                <w:rFonts w:ascii="Times New Roman" w:cs="Times New Roman" w:hAnsi="Times New Roman"/>
                <w:b/>
                <w:lang w:val="en-GB"/>
              </w:rPr>
            </w:pPr>
            <w:r>
              <w:rPr>
                <w:rFonts w:ascii="Times New Roman" w:cs="Times New Roman" w:hAnsi="Times New Roman"/>
                <w:b/>
                <w:bCs/>
                <w:lang w:val="en-GB"/>
              </w:rPr>
              <w:t>2,500 (± 10%)</w:t>
            </w:r>
          </w:p>
        </w:tc>
      </w:tr>
    </w:tbl>
    <w:p w14:paraId="13A15A5C">
      <w:pPr>
        <w:pStyle w:val="style0"/>
        <w:spacing w:after="120" w:lineRule="auto" w:line="360"/>
        <w:jc w:val="both"/>
        <w:rPr>
          <w:rFonts w:ascii="Times New Roman" w:cs="Times New Roman" w:hAnsi="Times New Roman"/>
          <w:b/>
          <w:bCs/>
          <w:lang w:val="en-GB"/>
        </w:rPr>
      </w:pPr>
    </w:p>
    <w:p w14:paraId="4A8F879C">
      <w:pPr>
        <w:pStyle w:val="style0"/>
        <w:spacing w:after="120" w:lineRule="auto" w:line="360"/>
        <w:rPr>
          <w:rFonts w:ascii="Times New Roman" w:cs="Times New Roman" w:hAnsi="Times New Roman"/>
          <w:b/>
          <w:bCs/>
          <w:lang w:val="en-GB"/>
        </w:rPr>
      </w:pPr>
      <w:r>
        <w:rPr>
          <w:rFonts w:ascii="Times New Roman" w:cs="Times New Roman" w:hAnsi="Times New Roman"/>
          <w:b/>
          <w:bCs/>
          <w:lang w:val="en-GB"/>
        </w:rPr>
        <w:br w:type="page"/>
      </w:r>
    </w:p>
    <w:p w14:paraId="59A1DA54">
      <w:pPr>
        <w:pStyle w:val="style266"/>
        <w:spacing w:before="0" w:after="120" w:lineRule="auto" w:line="360"/>
        <w:jc w:val="center"/>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p w14:paraId="66EE8C6F">
      <w:pPr>
        <w:pStyle w:val="style19"/>
        <w:tabs>
          <w:tab w:val="right" w:leader="dot" w:pos="9016"/>
        </w:tabs>
        <w:spacing w:before="240" w:lineRule="auto" w:line="360"/>
        <w:jc w:val="both"/>
        <w:rPr>
          <w:rFonts w:ascii="Times New Roman" w:cs="Times New Roman" w:eastAsia="等线" w:hAnsi="Times New Roman"/>
          <w:noProof/>
          <w:lang w:eastAsia="en-IN"/>
        </w:rPr>
      </w:pPr>
      <w:r>
        <w:rPr>
          <w:rFonts w:ascii="Times New Roman" w:cs="Times New Roman" w:hAnsi="Times New Roman"/>
        </w:rPr>
        <w:fldChar w:fldCharType="begin"/>
      </w:r>
      <w:r>
        <w:rPr>
          <w:rFonts w:ascii="Times New Roman" w:cs="Times New Roman" w:hAnsi="Times New Roman"/>
        </w:rPr>
        <w:instrText xml:space="preserve"> TOC \o "1-3" \h \z \u </w:instrText>
      </w:r>
      <w:r>
        <w:rPr>
          <w:rFonts w:ascii="Times New Roman" w:cs="Times New Roman" w:hAnsi="Times New Roman"/>
        </w:rPr>
        <w:fldChar w:fldCharType="separate"/>
      </w:r>
      <w:r>
        <w:rPr/>
        <w:fldChar w:fldCharType="begin"/>
      </w:r>
      <w:r>
        <w:instrText xml:space="preserve"> HYPERLINK \l "_Toc242788493" </w:instrText>
      </w:r>
      <w:r>
        <w:rPr/>
        <w:fldChar w:fldCharType="separate"/>
      </w:r>
      <w:r>
        <w:rPr>
          <w:rStyle w:val="style85"/>
          <w:rFonts w:ascii="Times New Roman" w:cs="Times New Roman" w:hAnsi="Times New Roman"/>
          <w:noProof/>
          <w:lang w:val="en-GB"/>
        </w:rPr>
        <w:t>Task A: Designing Innovative Working Practices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_Toc242788493 \h </w:instrText>
      </w:r>
      <w:r>
        <w:rPr>
          <w:rFonts w:ascii="Times New Roman" w:cs="Times New Roman" w:hAnsi="Times New Roman"/>
          <w:noProof/>
          <w:webHidden/>
        </w:rPr>
        <w:fldChar w:fldCharType="separate"/>
      </w:r>
      <w:r>
        <w:rPr>
          <w:rFonts w:ascii="Times New Roman" w:cs="Times New Roman" w:hAnsi="Times New Roman"/>
          <w:noProof/>
          <w:webHidden/>
        </w:rPr>
        <w:t>3</w:t>
      </w:r>
      <w:r>
        <w:rPr>
          <w:rFonts w:ascii="Times New Roman" w:cs="Times New Roman" w:hAnsi="Times New Roman"/>
          <w:noProof/>
          <w:webHidden/>
        </w:rPr>
        <w:fldChar w:fldCharType="end"/>
      </w:r>
      <w:r>
        <w:rPr/>
        <w:fldChar w:fldCharType="end"/>
      </w:r>
    </w:p>
    <w:p w14:paraId="688E7B27">
      <w:pPr>
        <w:pStyle w:val="style20"/>
        <w:tabs>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"_Toc242788494" </w:instrText>
      </w:r>
      <w:r>
        <w:rPr/>
        <w:fldChar w:fldCharType="separate"/>
      </w:r>
      <w:r>
        <w:rPr>
          <w:rStyle w:val="style85"/>
          <w:rFonts w:ascii="Times New Roman" w:cs="Times New Roman" w:hAnsi="Times New Roman"/>
          <w:noProof/>
          <w:lang w:val="en-GB"/>
        </w:rPr>
        <w:t>1. Critical Evaluation of Traditional and Contemporary Working Practices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_Toc242788494 \h </w:instrText>
      </w:r>
      <w:r>
        <w:rPr>
          <w:rFonts w:ascii="Times New Roman" w:cs="Times New Roman" w:hAnsi="Times New Roman"/>
          <w:noProof/>
          <w:webHidden/>
        </w:rPr>
        <w:fldChar w:fldCharType="separate"/>
      </w:r>
      <w:r>
        <w:rPr>
          <w:rFonts w:ascii="Times New Roman" w:cs="Times New Roman" w:hAnsi="Times New Roman"/>
          <w:noProof/>
          <w:webHidden/>
        </w:rPr>
        <w:t>3</w:t>
      </w:r>
      <w:r>
        <w:rPr>
          <w:rFonts w:ascii="Times New Roman" w:cs="Times New Roman" w:hAnsi="Times New Roman"/>
          <w:noProof/>
          <w:webHidden/>
        </w:rPr>
        <w:fldChar w:fldCharType="end"/>
      </w:r>
      <w:r>
        <w:rPr/>
        <w:fldChar w:fldCharType="end"/>
      </w:r>
    </w:p>
    <w:p w14:paraId="3D177889">
      <w:pPr>
        <w:pStyle w:val="style20"/>
        <w:tabs>
          <w:tab w:val="left" w:leader="none" w:pos="720"/>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"_Toc242788495" </w:instrText>
      </w:r>
      <w:r>
        <w:rPr/>
        <w:fldChar w:fldCharType="separate"/>
      </w:r>
      <w:r>
        <w:rPr>
          <w:rStyle w:val="style85"/>
          <w:rFonts w:ascii="Times New Roman" w:cs="Times New Roman" w:hAnsi="Times New Roman"/>
          <w:noProof/>
          <w:lang w:val="en-GB"/>
        </w:rPr>
        <w:t>2.</w:t>
      </w:r>
      <w:r>
        <w:rPr>
          <w:rFonts w:ascii="Times New Roman" w:cs="Times New Roman" w:eastAsia="等线" w:hAnsi="Times New Roman"/>
          <w:noProof/>
          <w:lang w:eastAsia="en-IN"/>
        </w:rPr>
        <w:tab/>
      </w:r>
      <w:r>
        <w:rPr>
          <w:rStyle w:val="style85"/>
          <w:rFonts w:ascii="Times New Roman" w:cs="Times New Roman" w:hAnsi="Times New Roman"/>
          <w:noProof/>
          <w:lang w:val="en-GB"/>
        </w:rPr>
        <w:t>An Integrated Framework for Innovative Working Practices at NexSpace Health Systems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_Toc242788495 \h </w:instrText>
      </w:r>
      <w:r>
        <w:rPr>
          <w:rFonts w:ascii="Times New Roman" w:cs="Times New Roman" w:hAnsi="Times New Roman"/>
          <w:noProof/>
          <w:webHidden/>
        </w:rPr>
        <w:fldChar w:fldCharType="separate"/>
      </w:r>
      <w:r>
        <w:rPr>
          <w:rFonts w:ascii="Times New Roman" w:cs="Times New Roman" w:hAnsi="Times New Roman"/>
          <w:noProof/>
          <w:webHidden/>
        </w:rPr>
        <w:t>4</w:t>
      </w:r>
      <w:r>
        <w:rPr>
          <w:rFonts w:ascii="Times New Roman" w:cs="Times New Roman" w:hAnsi="Times New Roman"/>
          <w:noProof/>
          <w:webHidden/>
        </w:rPr>
        <w:fldChar w:fldCharType="end"/>
      </w:r>
      <w:r>
        <w:rPr/>
        <w:fldChar w:fldCharType="end"/>
      </w:r>
    </w:p>
    <w:p w14:paraId="4877F2CA">
      <w:pPr>
        <w:pStyle w:val="style19"/>
        <w:tabs>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"_Toc242788496" </w:instrText>
      </w:r>
      <w:r>
        <w:rPr/>
        <w:fldChar w:fldCharType="separate"/>
      </w:r>
      <w:r>
        <w:rPr>
          <w:rStyle w:val="style85"/>
          <w:rFonts w:ascii="Times New Roman" w:cs="Times New Roman" w:hAnsi="Times New Roman"/>
          <w:noProof/>
          <w:lang w:val="en-GB"/>
        </w:rPr>
        <w:t>Task B: Breeding an Environment Where Talent May Grow</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_Toc242788496 \h </w:instrText>
      </w:r>
      <w:r>
        <w:rPr>
          <w:rFonts w:ascii="Times New Roman" w:cs="Times New Roman" w:hAnsi="Times New Roman"/>
          <w:noProof/>
          <w:webHidden/>
        </w:rPr>
        <w:fldChar w:fldCharType="separate"/>
      </w:r>
      <w:r>
        <w:rPr>
          <w:rFonts w:ascii="Times New Roman" w:cs="Times New Roman" w:hAnsi="Times New Roman"/>
          <w:noProof/>
          <w:webHidden/>
        </w:rPr>
        <w:t>7</w:t>
      </w:r>
      <w:r>
        <w:rPr>
          <w:rFonts w:ascii="Times New Roman" w:cs="Times New Roman" w:hAnsi="Times New Roman"/>
          <w:noProof/>
          <w:webHidden/>
        </w:rPr>
        <w:fldChar w:fldCharType="end"/>
      </w:r>
      <w:r>
        <w:rPr/>
        <w:fldChar w:fldCharType="end"/>
      </w:r>
    </w:p>
    <w:p w14:paraId="3CAA131D">
      <w:pPr>
        <w:pStyle w:val="style20"/>
        <w:tabs>
          <w:tab w:val="left" w:leader="none" w:pos="720"/>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"_Toc242788497" </w:instrText>
      </w:r>
      <w:r>
        <w:rPr/>
        <w:fldChar w:fldCharType="separate"/>
      </w:r>
      <w:r>
        <w:rPr>
          <w:rStyle w:val="style85"/>
          <w:rFonts w:ascii="Times New Roman" w:cs="Times New Roman" w:hAnsi="Times New Roman"/>
          <w:noProof/>
          <w:lang w:val="en-GB"/>
        </w:rPr>
        <w:t>1.</w:t>
      </w:r>
      <w:r>
        <w:rPr>
          <w:rFonts w:ascii="Times New Roman" w:cs="Times New Roman" w:eastAsia="等线" w:hAnsi="Times New Roman"/>
          <w:noProof/>
          <w:lang w:eastAsia="en-IN"/>
        </w:rPr>
        <w:tab/>
      </w:r>
      <w:r>
        <w:rPr>
          <w:rStyle w:val="style85"/>
          <w:rFonts w:ascii="Times New Roman" w:cs="Times New Roman" w:hAnsi="Times New Roman"/>
          <w:noProof/>
          <w:lang w:val="en-GB"/>
        </w:rPr>
        <w:t>Critical Evaluation of How Organisations Create Environments Where Talent Flourishes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_Toc242788497 \h </w:instrText>
      </w:r>
      <w:r>
        <w:rPr>
          <w:rFonts w:ascii="Times New Roman" w:cs="Times New Roman" w:hAnsi="Times New Roman"/>
          <w:noProof/>
          <w:webHidden/>
        </w:rPr>
        <w:fldChar w:fldCharType="separate"/>
      </w:r>
      <w:r>
        <w:rPr>
          <w:rFonts w:ascii="Times New Roman" w:cs="Times New Roman" w:hAnsi="Times New Roman"/>
          <w:noProof/>
          <w:webHidden/>
        </w:rPr>
        <w:t>7</w:t>
      </w:r>
      <w:r>
        <w:rPr>
          <w:rFonts w:ascii="Times New Roman" w:cs="Times New Roman" w:hAnsi="Times New Roman"/>
          <w:noProof/>
          <w:webHidden/>
        </w:rPr>
        <w:fldChar w:fldCharType="end"/>
      </w:r>
      <w:r>
        <w:rPr/>
        <w:fldChar w:fldCharType="end"/>
      </w:r>
    </w:p>
    <w:p w14:paraId="63AC104E">
      <w:pPr>
        <w:pStyle w:val="style20"/>
        <w:tabs>
          <w:tab w:val="left" w:leader="none" w:pos="720"/>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"_Toc242788498" </w:instrText>
      </w:r>
      <w:r>
        <w:rPr/>
        <w:fldChar w:fldCharType="separate"/>
      </w:r>
      <w:r>
        <w:rPr>
          <w:rStyle w:val="style85"/>
          <w:rFonts w:ascii="Times New Roman" w:cs="Times New Roman" w:hAnsi="Times New Roman"/>
          <w:noProof/>
          <w:lang w:val="en-GB"/>
        </w:rPr>
        <w:t>2.</w:t>
      </w:r>
      <w:r>
        <w:rPr>
          <w:rFonts w:ascii="Times New Roman" w:cs="Times New Roman" w:eastAsia="等线" w:hAnsi="Times New Roman"/>
          <w:noProof/>
          <w:lang w:eastAsia="en-IN"/>
        </w:rPr>
        <w:tab/>
      </w:r>
      <w:r>
        <w:rPr>
          <w:rStyle w:val="style85"/>
          <w:rFonts w:ascii="Times New Roman" w:cs="Times New Roman" w:hAnsi="Times New Roman"/>
          <w:noProof/>
          <w:lang w:val="en-GB"/>
        </w:rPr>
        <w:t>Strategic Talent Ecosystem for NexSpace Health Systems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_Toc242788498 \h </w:instrText>
      </w:r>
      <w:r>
        <w:rPr>
          <w:rFonts w:ascii="Times New Roman" w:cs="Times New Roman" w:hAnsi="Times New Roman"/>
          <w:noProof/>
          <w:webHidden/>
        </w:rPr>
        <w:fldChar w:fldCharType="separate"/>
      </w:r>
      <w:r>
        <w:rPr>
          <w:rFonts w:ascii="Times New Roman" w:cs="Times New Roman" w:hAnsi="Times New Roman"/>
          <w:noProof/>
          <w:webHidden/>
        </w:rPr>
        <w:t>8</w:t>
      </w:r>
      <w:r>
        <w:rPr>
          <w:rFonts w:ascii="Times New Roman" w:cs="Times New Roman" w:hAnsi="Times New Roman"/>
          <w:noProof/>
          <w:webHidden/>
        </w:rPr>
        <w:fldChar w:fldCharType="end"/>
      </w:r>
      <w:r>
        <w:rPr/>
        <w:fldChar w:fldCharType="end"/>
      </w:r>
    </w:p>
    <w:p w14:paraId="5AFA7932">
      <w:pPr>
        <w:pStyle w:val="style19"/>
        <w:tabs>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"_Toc242788499" </w:instrText>
      </w:r>
      <w:r>
        <w:rPr/>
        <w:fldChar w:fldCharType="separate"/>
      </w:r>
      <w:r>
        <w:rPr>
          <w:rStyle w:val="style85"/>
          <w:rFonts w:ascii="Times New Roman" w:cs="Times New Roman" w:hAnsi="Times New Roman"/>
          <w:noProof/>
          <w:lang w:val="en-GB"/>
        </w:rPr>
        <w:t>Task C: Reflective Report</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_Toc242788499 \h </w:instrText>
      </w:r>
      <w:r>
        <w:rPr>
          <w:rFonts w:ascii="Times New Roman" w:cs="Times New Roman" w:hAnsi="Times New Roman"/>
          <w:noProof/>
          <w:webHidden/>
        </w:rPr>
        <w:fldChar w:fldCharType="separate"/>
      </w:r>
      <w:r>
        <w:rPr>
          <w:rFonts w:ascii="Times New Roman" w:cs="Times New Roman" w:hAnsi="Times New Roman"/>
          <w:noProof/>
          <w:webHidden/>
        </w:rPr>
        <w:t>11</w:t>
      </w:r>
      <w:r>
        <w:rPr>
          <w:rFonts w:ascii="Times New Roman" w:cs="Times New Roman" w:hAnsi="Times New Roman"/>
          <w:noProof/>
          <w:webHidden/>
        </w:rPr>
        <w:fldChar w:fldCharType="end"/>
      </w:r>
      <w:r>
        <w:rPr/>
        <w:fldChar w:fldCharType="end"/>
      </w:r>
    </w:p>
    <w:p w14:paraId="56084C7A">
      <w:pPr>
        <w:pStyle w:val="style20"/>
        <w:tabs>
          <w:tab w:val="left" w:leader="none" w:pos="720"/>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"_Toc242788500" </w:instrText>
      </w:r>
      <w:r>
        <w:rPr/>
        <w:fldChar w:fldCharType="separate"/>
      </w:r>
      <w:r>
        <w:rPr>
          <w:rStyle w:val="style85"/>
          <w:rFonts w:ascii="Times New Roman" w:cs="Times New Roman" w:hAnsi="Times New Roman"/>
          <w:noProof/>
          <w:lang w:val="en-GB"/>
        </w:rPr>
        <w:t>1.</w:t>
      </w:r>
      <w:r>
        <w:rPr>
          <w:rFonts w:ascii="Times New Roman" w:cs="Times New Roman" w:eastAsia="等线" w:hAnsi="Times New Roman"/>
          <w:noProof/>
          <w:lang w:eastAsia="en-IN"/>
        </w:rPr>
        <w:tab/>
      </w:r>
      <w:r>
        <w:rPr>
          <w:rStyle w:val="style85"/>
          <w:rFonts w:ascii="Times New Roman" w:cs="Times New Roman" w:hAnsi="Times New Roman"/>
          <w:noProof/>
          <w:lang w:val="en-GB"/>
        </w:rPr>
        <w:t>Artificial Intelligence as a Strategic Decision-Support Tool in Human Resource Management</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_Toc242788500 \h </w:instrText>
      </w:r>
      <w:r>
        <w:rPr>
          <w:rFonts w:ascii="Times New Roman" w:cs="Times New Roman" w:hAnsi="Times New Roman"/>
          <w:noProof/>
          <w:webHidden/>
        </w:rPr>
        <w:fldChar w:fldCharType="separate"/>
      </w:r>
      <w:r>
        <w:rPr>
          <w:rFonts w:ascii="Times New Roman" w:cs="Times New Roman" w:hAnsi="Times New Roman"/>
          <w:noProof/>
          <w:webHidden/>
        </w:rPr>
        <w:t>11</w:t>
      </w:r>
      <w:r>
        <w:rPr>
          <w:rFonts w:ascii="Times New Roman" w:cs="Times New Roman" w:hAnsi="Times New Roman"/>
          <w:noProof/>
          <w:webHidden/>
        </w:rPr>
        <w:fldChar w:fldCharType="end"/>
      </w:r>
      <w:r>
        <w:rPr/>
        <w:fldChar w:fldCharType="end"/>
      </w:r>
    </w:p>
    <w:p w14:paraId="176AD1F1">
      <w:pPr>
        <w:pStyle w:val="style20"/>
        <w:tabs>
          <w:tab w:val="left" w:leader="none" w:pos="720"/>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"_Toc242788501" </w:instrText>
      </w:r>
      <w:r>
        <w:rPr/>
        <w:fldChar w:fldCharType="separate"/>
      </w:r>
      <w:r>
        <w:rPr>
          <w:rStyle w:val="style85"/>
          <w:rFonts w:ascii="Times New Roman" w:cs="Times New Roman" w:hAnsi="Times New Roman"/>
          <w:noProof/>
          <w:lang w:val="en-GB"/>
        </w:rPr>
        <w:t>2.</w:t>
      </w:r>
      <w:r>
        <w:rPr>
          <w:rFonts w:ascii="Times New Roman" w:cs="Times New Roman" w:eastAsia="等线" w:hAnsi="Times New Roman"/>
          <w:noProof/>
          <w:lang w:eastAsia="en-IN"/>
        </w:rPr>
        <w:tab/>
      </w:r>
      <w:r>
        <w:rPr>
          <w:rStyle w:val="style85"/>
          <w:rFonts w:ascii="Times New Roman" w:cs="Times New Roman" w:hAnsi="Times New Roman"/>
          <w:noProof/>
          <w:lang w:val="en-GB"/>
        </w:rPr>
        <w:t>Reflective Analysis of My Use of Artificial Intelligence</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_Toc242788501 \h </w:instrText>
      </w:r>
      <w:r>
        <w:rPr>
          <w:rFonts w:ascii="Times New Roman" w:cs="Times New Roman" w:hAnsi="Times New Roman"/>
          <w:noProof/>
          <w:webHidden/>
        </w:rPr>
        <w:fldChar w:fldCharType="separate"/>
      </w:r>
      <w:r>
        <w:rPr>
          <w:rFonts w:ascii="Times New Roman" w:cs="Times New Roman" w:hAnsi="Times New Roman"/>
          <w:noProof/>
          <w:webHidden/>
        </w:rPr>
        <w:t>12</w:t>
      </w:r>
      <w:r>
        <w:rPr>
          <w:rFonts w:ascii="Times New Roman" w:cs="Times New Roman" w:hAnsi="Times New Roman"/>
          <w:noProof/>
          <w:webHidden/>
        </w:rPr>
        <w:fldChar w:fldCharType="end"/>
      </w:r>
      <w:r>
        <w:rPr/>
        <w:fldChar w:fldCharType="end"/>
      </w:r>
    </w:p>
    <w:p w14:paraId="7804DA6C">
      <w:pPr>
        <w:pStyle w:val="style20"/>
        <w:tabs>
          <w:tab w:val="left" w:leader="none" w:pos="720"/>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"_Toc242788502" </w:instrText>
      </w:r>
      <w:r>
        <w:rPr/>
        <w:fldChar w:fldCharType="separate"/>
      </w:r>
      <w:r>
        <w:rPr>
          <w:rStyle w:val="style85"/>
          <w:rFonts w:ascii="Times New Roman" w:cs="Times New Roman" w:hAnsi="Times New Roman"/>
          <w:noProof/>
          <w:lang w:val="en-GB"/>
        </w:rPr>
        <w:t>3.</w:t>
      </w:r>
      <w:r>
        <w:rPr>
          <w:rFonts w:ascii="Times New Roman" w:cs="Times New Roman" w:eastAsia="等线" w:hAnsi="Times New Roman"/>
          <w:noProof/>
          <w:lang w:eastAsia="en-IN"/>
        </w:rPr>
        <w:tab/>
      </w:r>
      <w:r>
        <w:rPr>
          <w:rStyle w:val="style85"/>
          <w:rFonts w:ascii="Times New Roman" w:cs="Times New Roman" w:hAnsi="Times New Roman"/>
          <w:noProof/>
          <w:lang w:val="en-GB"/>
        </w:rPr>
        <w:t>Personal Capability Development Plan</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_Toc242788502 \h </w:instrText>
      </w:r>
      <w:r>
        <w:rPr>
          <w:rFonts w:ascii="Times New Roman" w:cs="Times New Roman" w:hAnsi="Times New Roman"/>
          <w:noProof/>
          <w:webHidden/>
        </w:rPr>
        <w:fldChar w:fldCharType="separate"/>
      </w:r>
      <w:r>
        <w:rPr>
          <w:rFonts w:ascii="Times New Roman" w:cs="Times New Roman" w:hAnsi="Times New Roman"/>
          <w:noProof/>
          <w:webHidden/>
        </w:rPr>
        <w:t>12</w:t>
      </w:r>
      <w:r>
        <w:rPr>
          <w:rFonts w:ascii="Times New Roman" w:cs="Times New Roman" w:hAnsi="Times New Roman"/>
          <w:noProof/>
          <w:webHidden/>
        </w:rPr>
        <w:fldChar w:fldCharType="end"/>
      </w:r>
      <w:r>
        <w:rPr/>
        <w:fldChar w:fldCharType="end"/>
      </w:r>
    </w:p>
    <w:p w14:paraId="6D3C5333">
      <w:pPr>
        <w:pStyle w:val="style19"/>
        <w:tabs>
          <w:tab w:val="right" w:leader="dot" w:pos="9016"/>
        </w:tabs>
        <w:spacing w:before="240" w:lineRule="auto" w:line="360"/>
        <w:jc w:val="both"/>
        <w:rPr>
          <w:rFonts w:ascii="Times New Roman" w:cs="Times New Roman" w:eastAsia="等线" w:hAnsi="Times New Roman"/>
          <w:noProof/>
          <w:lang w:eastAsia="en-IN"/>
        </w:rPr>
      </w:pPr>
      <w:r>
        <w:rPr/>
        <w:fldChar w:fldCharType="begin"/>
      </w:r>
      <w:r>
        <w:instrText xml:space="preserve"> HYPERLINK \l "_Toc242788503" </w:instrText>
      </w:r>
      <w:r>
        <w:rPr/>
        <w:fldChar w:fldCharType="separate"/>
      </w:r>
      <w:r>
        <w:rPr>
          <w:rStyle w:val="style85"/>
          <w:rFonts w:ascii="Times New Roman" w:cs="Times New Roman" w:hAnsi="Times New Roman"/>
          <w:noProof/>
          <w:lang w:val="en-GB"/>
        </w:rPr>
        <w:t>References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_Toc242788503 \h </w:instrText>
      </w:r>
      <w:r>
        <w:rPr>
          <w:rFonts w:ascii="Times New Roman" w:cs="Times New Roman" w:hAnsi="Times New Roman"/>
          <w:noProof/>
          <w:webHidden/>
        </w:rPr>
        <w:fldChar w:fldCharType="separate"/>
      </w:r>
      <w:r>
        <w:rPr>
          <w:rFonts w:ascii="Times New Roman" w:cs="Times New Roman" w:hAnsi="Times New Roman"/>
          <w:noProof/>
          <w:webHidden/>
        </w:rPr>
        <w:t>14</w:t>
      </w:r>
      <w:r>
        <w:rPr>
          <w:rFonts w:ascii="Times New Roman" w:cs="Times New Roman" w:hAnsi="Times New Roman"/>
          <w:noProof/>
          <w:webHidden/>
        </w:rPr>
        <w:fldChar w:fldCharType="end"/>
      </w:r>
      <w:r>
        <w:rPr/>
        <w:fldChar w:fldCharType="end"/>
      </w:r>
    </w:p>
    <w:p w14:paraId="31419D1C">
      <w:pPr>
        <w:pStyle w:val="style0"/>
        <w:spacing w:after="120" w:lineRule="auto" w:line="360"/>
        <w:jc w:val="both"/>
        <w:rPr/>
      </w:pPr>
      <w:r>
        <w:rPr>
          <w:rFonts w:ascii="Times New Roman" w:cs="Times New Roman" w:hAnsi="Times New Roman"/>
          <w:b/>
          <w:bCs/>
          <w:noProof/>
        </w:rPr>
        <w:fldChar w:fldCharType="end"/>
      </w:r>
    </w:p>
    <w:p w14:paraId="1E1066C9">
      <w:pPr>
        <w:pStyle w:val="style0"/>
        <w:spacing w:after="120" w:lineRule="auto" w:line="360"/>
        <w:rPr>
          <w:rFonts w:ascii="Times New Roman" w:cs="Times New Roman" w:hAnsi="Times New Roman"/>
          <w:b/>
          <w:bCs/>
          <w:lang w:val="en-GB"/>
        </w:rPr>
      </w:pPr>
    </w:p>
    <w:p w14:paraId="158BBE5F">
      <w:pPr>
        <w:pStyle w:val="style0"/>
        <w:spacing w:after="120" w:lineRule="auto" w:line="360"/>
        <w:rPr>
          <w:rFonts w:ascii="Times New Roman" w:cs="Times New Roman" w:hAnsi="Times New Roman"/>
          <w:b/>
          <w:bCs/>
          <w:lang w:val="en-GB"/>
        </w:rPr>
      </w:pPr>
      <w:r>
        <w:rPr>
          <w:rFonts w:ascii="Times New Roman" w:cs="Times New Roman" w:hAnsi="Times New Roman"/>
          <w:b/>
          <w:bCs/>
          <w:lang w:val="en-GB"/>
        </w:rPr>
        <w:br w:type="page"/>
      </w:r>
    </w:p>
    <w:bookmarkStart w:id="0" w:name="_Toc242788493"/>
    <w:p w14:paraId="75502253">
      <w:pPr>
        <w:pStyle w:val="style1"/>
        <w:spacing w:before="0" w:after="120"/>
        <w:rPr>
          <w:lang w:val="en-GB"/>
        </w:rPr>
      </w:pPr>
      <w:r>
        <w:rPr>
          <w:lang w:val="en-GB"/>
        </w:rPr>
        <w:t>Task A: Designing Innovative Working Practices</w:t>
      </w:r>
      <w:bookmarkEnd w:id="0"/>
    </w:p>
    <w:bookmarkStart w:id="1" w:name="_Toc242788494"/>
    <w:p w14:paraId="1E41C988">
      <w:pPr>
        <w:pStyle w:val="style2"/>
        <w:numPr>
          <w:ilvl w:val="0"/>
          <w:numId w:val="0"/>
        </w:numPr>
        <w:spacing w:before="0" w:after="120"/>
        <w:ind w:left="360"/>
        <w:rPr>
          <w:lang w:val="en-GB"/>
        </w:rPr>
      </w:pPr>
      <w:r>
        <w:rPr>
          <w:lang w:val="en-GB"/>
        </w:rPr>
        <w:t xml:space="preserve">1. </w:t>
      </w:r>
      <w:r>
        <w:rPr>
          <w:lang w:val="en-GB"/>
        </w:rPr>
        <w:t>Critical Evaluation of Traditional and Contemporary Working Practices</w:t>
      </w:r>
      <w:bookmarkEnd w:id="1"/>
    </w:p>
    <w:p w14:paraId="5CDD3827">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The characteristics of traditional work design are hierarchical organization, centralised decision making, specialization of work roles, and strong managerial control. According to Meylani (2024), these methods encourage uniformity, responsibility and productivity but can restrict innovation in knowledge-based sectors. Work System (HPWS) that integrates selection processes, training, performance management and rewards systems to the organisational objectives. Strategic investments in human capital can help boost productivity and employee ability and innovation, as well as help prevent HPWS. Similarly, High-Involvement Work Systems (HIWS) promote the involvement of employees in decision making and problem solving. Empowerment can be used to improve an employee's motivation, commitment and innovation. </w:t>
      </w:r>
    </w:p>
    <w:p w14:paraId="3C46D526">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Agile Working is another significant response that's been developed to business environments that change. As described by Raja Santhi and Muthuswamy (2022), agile techniques are agile, cooperative, flexible and iterative. With the traditional system, the organisation may not be able to adjust quickly enough to the changing needs of their customers and market conditions. A current trend is Hybrid working – this is a blend of working from home and in the office. Hybrid models open up new possibilities, boost work-life balance and provide access to geographically spread talent. They are also likely to hinder the communication, collaboration and organisational culture if digital systems and management are not adequate. As experienced by </w:t>
      </w:r>
      <w:r>
        <w:rPr>
          <w:rFonts w:ascii="Times New Roman" w:cs="Times New Roman" w:hAnsi="Times New Roman"/>
          <w:lang w:val="en-GB"/>
        </w:rPr>
        <w:t>Pavliv</w:t>
      </w:r>
      <w:r>
        <w:rPr>
          <w:rFonts w:ascii="Times New Roman" w:cs="Times New Roman" w:hAnsi="Times New Roman"/>
          <w:lang w:val="en-GB"/>
        </w:rPr>
        <w:t xml:space="preserve"> </w:t>
      </w:r>
      <w:r>
        <w:rPr>
          <w:rFonts w:ascii="Times New Roman" w:cs="Times New Roman" w:hAnsi="Times New Roman"/>
          <w:i/>
          <w:iCs/>
          <w:lang w:val="en-GB"/>
        </w:rPr>
        <w:t>et al.</w:t>
      </w:r>
      <w:r>
        <w:rPr>
          <w:rFonts w:ascii="Times New Roman" w:cs="Times New Roman" w:hAnsi="Times New Roman"/>
          <w:lang w:val="en-GB"/>
        </w:rPr>
        <w:t xml:space="preserve"> (2024), further good practice to support employees' wellbeing is provided through the implementation of Flexible Working Practices, which enable employees to have more flexibility over working times and the way they complete work. </w:t>
      </w:r>
    </w:p>
    <w:p w14:paraId="046BDEF0">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The theory holds that technology investments are not enough without support of effective social systems. Taken as a whole, modern strategies encourage the idea that innovation results from more than just technology; rather, it stems from employee empowerment, collaboration and learning. </w:t>
      </w:r>
      <w:r>
        <w:rPr>
          <w:rFonts w:ascii="Times New Roman" w:cs="Times New Roman" w:hAnsi="Times New Roman"/>
          <w:lang w:val="en-GB"/>
        </w:rPr>
        <w:t>NexSpace</w:t>
      </w:r>
      <w:r>
        <w:rPr>
          <w:rFonts w:ascii="Times New Roman" w:cs="Times New Roman" w:hAnsi="Times New Roman"/>
          <w:lang w:val="en-GB"/>
        </w:rPr>
        <w:t xml:space="preserve"> Health Systems should therefore step away from the hierarchical approach and embrace integrated working – the merging of concepts from both HPWS and HIWS, Agile Working, Hybrid Working and Sociotechnical Systems Theory, which will provide greater agility, innovation and long-term performance for the organisation.</w:t>
      </w:r>
    </w:p>
    <w:bookmarkStart w:id="2" w:name="_Toc242788495"/>
    <w:p w14:paraId="39543F48">
      <w:pPr>
        <w:pStyle w:val="style2"/>
        <w:numPr>
          <w:ilvl w:val="0"/>
          <w:numId w:val="9"/>
        </w:numPr>
        <w:spacing w:before="0" w:after="120"/>
        <w:rPr>
          <w:lang w:val="en-GB"/>
        </w:rPr>
      </w:pPr>
      <w:r>
        <w:rPr>
          <w:lang w:val="en-GB"/>
        </w:rPr>
        <w:t xml:space="preserve">An Integrated Framework for Innovative Working Practices at </w:t>
      </w:r>
      <w:r>
        <w:rPr>
          <w:lang w:val="en-GB"/>
        </w:rPr>
        <w:t>NexSpace</w:t>
      </w:r>
      <w:r>
        <w:rPr>
          <w:lang w:val="en-GB"/>
        </w:rPr>
        <w:t xml:space="preserve"> Health Systems</w:t>
      </w:r>
      <w:bookmarkEnd w:id="2"/>
    </w:p>
    <w:p w14:paraId="30BA007D">
      <w:pPr>
        <w:pStyle w:val="style0"/>
        <w:spacing w:after="120" w:lineRule="auto" w:line="360"/>
        <w:jc w:val="both"/>
        <w:rPr>
          <w:rFonts w:ascii="Times New Roman" w:cs="Times New Roman" w:hAnsi="Times New Roman"/>
          <w:color w:val="ee0000"/>
          <w:lang w:val="en-GB"/>
        </w:rPr>
      </w:pPr>
      <w:r>
        <w:rPr>
          <w:rFonts w:ascii="Times New Roman" w:cs="Times New Roman" w:hAnsi="Times New Roman"/>
          <w:lang w:val="en-GB"/>
        </w:rPr>
        <w:t>NexSpace</w:t>
      </w:r>
      <w:r>
        <w:rPr>
          <w:rFonts w:ascii="Times New Roman" w:cs="Times New Roman" w:hAnsi="Times New Roman"/>
          <w:lang w:val="en-GB"/>
        </w:rPr>
        <w:t xml:space="preserve"> Health Systems has a few challenges with its workforce and should have a comprehensive innovative working framework comprising five interconnected components.</w:t>
      </w:r>
      <w:r>
        <w:rPr>
          <w:rFonts w:ascii="Times New Roman" w:cs="Times New Roman" w:hAnsi="Times New Roman"/>
          <w:lang w:val="en-GB"/>
        </w:rPr>
        <w:t xml:space="preserve"> </w:t>
      </w:r>
      <w:r>
        <w:rPr>
          <w:rFonts w:ascii="Times New Roman" w:cs="Times New Roman" w:hAnsi="Times New Roman"/>
          <w:color w:val="ee0000"/>
          <w:lang w:val="en-GB"/>
        </w:rPr>
        <w:t xml:space="preserve">Three interrelated issues in the work environment at </w:t>
      </w:r>
      <w:r>
        <w:rPr>
          <w:rFonts w:ascii="Times New Roman" w:cs="Times New Roman" w:hAnsi="Times New Roman"/>
          <w:color w:val="ee0000"/>
          <w:lang w:val="en-GB"/>
        </w:rPr>
        <w:t>NexSpace</w:t>
      </w:r>
      <w:r>
        <w:rPr>
          <w:rFonts w:ascii="Times New Roman" w:cs="Times New Roman" w:hAnsi="Times New Roman"/>
          <w:color w:val="ee0000"/>
          <w:lang w:val="en-GB"/>
        </w:rPr>
        <w:t xml:space="preserve"> Health Systems include:</w:t>
      </w:r>
    </w:p>
    <w:p w14:paraId="6AB190AD">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Issue 1: Departmental silos limiting collaboration and innovation.</w:t>
      </w:r>
    </w:p>
    <w:p w14:paraId="390831D0">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Issue 2: Hierarchical approaches to decision-making reducing speed and innovation.</w:t>
      </w:r>
    </w:p>
    <w:p w14:paraId="0A6BC0CC">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Issue 3: Challenges with hybrid work environments and keeping employees engaged, collaborative and healthy.</w:t>
      </w:r>
    </w:p>
    <w:p w14:paraId="700C796E">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An innovative work approach including five interrelated elements needs to be implemented in order to overcome these obstacles.</w:t>
      </w:r>
    </w:p>
    <w:p w14:paraId="1412A5E1">
      <w:pPr>
        <w:pStyle w:val="style0"/>
        <w:spacing w:after="120" w:lineRule="auto" w:line="360"/>
        <w:jc w:val="center"/>
        <w:rPr>
          <w:rFonts w:ascii="Times New Roman" w:cs="Times New Roman" w:hAnsi="Times New Roman"/>
          <w:lang w:val="en-GB"/>
        </w:rPr>
      </w:pPr>
      <w:r>
        <w:rPr>
          <w:rFonts w:ascii="Times New Roman" w:cs="Times New Roman" w:hAnsi="Times New Roman"/>
          <w:noProof/>
          <w:lang w:val="en-GB"/>
        </w:rPr>
        <w:drawing>
          <wp:inline distL="0" distT="0" distB="0" distR="0">
            <wp:extent cx="5486400" cy="3200400"/>
            <wp:effectExtent l="0" t="57150" r="0" b="57150"/>
            <wp:docPr id="1026" name="Diagram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 r:lo="rId4" r:qs="rId5" r:cs="rId6"/>
              </a:graphicData>
            </a:graphic>
          </wp:inline>
        </w:drawing>
      </w:r>
    </w:p>
    <w:p w14:paraId="388BCB02">
      <w:pPr>
        <w:pStyle w:val="style0"/>
        <w:spacing w:after="120" w:lineRule="auto" w:line="360"/>
        <w:jc w:val="center"/>
        <w:rPr>
          <w:rFonts w:ascii="Times New Roman" w:cs="Times New Roman" w:hAnsi="Times New Roman"/>
          <w:b/>
          <w:bCs/>
          <w:lang w:val="en-GB"/>
        </w:rPr>
      </w:pPr>
      <w:r>
        <w:rPr>
          <w:rFonts w:ascii="Times New Roman" w:cs="Times New Roman" w:hAnsi="Times New Roman"/>
          <w:b/>
          <w:bCs/>
          <w:lang w:val="en-GB"/>
        </w:rPr>
        <w:t>Figure 1: Innovative Working Framework</w:t>
      </w:r>
    </w:p>
    <w:p w14:paraId="652DBB3C">
      <w:pPr>
        <w:pStyle w:val="style0"/>
        <w:spacing w:after="120" w:lineRule="auto" w:line="360"/>
        <w:jc w:val="center"/>
        <w:rPr>
          <w:rFonts w:ascii="Times New Roman" w:cs="Times New Roman" w:hAnsi="Times New Roman"/>
          <w:lang w:val="en-GB"/>
        </w:rPr>
      </w:pPr>
      <w:r>
        <w:rPr>
          <w:rFonts w:ascii="Times New Roman" w:cs="Times New Roman" w:hAnsi="Times New Roman"/>
          <w:lang w:val="en-GB"/>
        </w:rPr>
        <w:t>(Source: Self-developed)</w:t>
      </w:r>
    </w:p>
    <w:p w14:paraId="299B6DB8">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Cross-Functional Innovation Squads</w:t>
      </w:r>
    </w:p>
    <w:p w14:paraId="4ACCEFF4">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Addresses Problem 1: Departmental silos and limited cross-functional collaboration</w:t>
      </w:r>
      <w:r>
        <w:rPr>
          <w:rFonts w:ascii="Times New Roman" w:cs="Times New Roman" w:hAnsi="Times New Roman"/>
          <w:color w:val="ee0000"/>
          <w:lang w:val="en-GB"/>
        </w:rPr>
        <w:t xml:space="preserve"> </w:t>
      </w:r>
      <w:r>
        <w:rPr>
          <w:rFonts w:ascii="Times New Roman" w:cs="Times New Roman" w:hAnsi="Times New Roman"/>
          <w:lang w:val="en-GB"/>
        </w:rPr>
        <w:t xml:space="preserve">The organisation needs to break down the silos in its departments and adopt cross-functional innovation teams, with members from technology, clinical, data analytics, operations and customer support (Ungar-Sargon, 2025). These teams would be involved in projects and issues of the organisation in a joint effort. Cross functional cooperation is instrumental in knowledge </w:t>
      </w:r>
      <w:r>
        <w:rPr>
          <w:rFonts w:ascii="Times New Roman" w:cs="Times New Roman" w:hAnsi="Times New Roman"/>
          <w:lang w:val="en-GB"/>
        </w:rPr>
        <w:t>sharing, in getting rid of communication barriers and in producing a wide range of angles that can spark creativity. </w:t>
      </w:r>
    </w:p>
    <w:p w14:paraId="331E41C0">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Agile Project Teams</w:t>
      </w:r>
    </w:p>
    <w:p w14:paraId="2ACD41FC">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Addresses Problem 2: Slow hierarchical decision-making.</w:t>
      </w:r>
      <w:r>
        <w:rPr>
          <w:rFonts w:ascii="Times New Roman" w:cs="Times New Roman" w:hAnsi="Times New Roman"/>
          <w:color w:val="ee0000"/>
          <w:lang w:val="en-GB"/>
        </w:rPr>
        <w:t xml:space="preserve"> </w:t>
      </w:r>
      <w:r>
        <w:rPr>
          <w:rFonts w:ascii="Times New Roman" w:cs="Times New Roman" w:hAnsi="Times New Roman"/>
          <w:lang w:val="en-GB"/>
        </w:rPr>
        <w:t>The use of agile methodologies should be the project management of choice throughout the organisation. Frequent feedback cycles and continuous improvement processes would help teams adapt to new customer needs and technological advancements (</w:t>
      </w:r>
      <w:r>
        <w:rPr>
          <w:rFonts w:ascii="Times New Roman" w:cs="Times New Roman" w:hAnsi="Times New Roman"/>
          <w:lang w:val="en-GB"/>
        </w:rPr>
        <w:t>Alalawi</w:t>
      </w:r>
      <w:r>
        <w:rPr>
          <w:rFonts w:ascii="Times New Roman" w:cs="Times New Roman" w:hAnsi="Times New Roman"/>
          <w:lang w:val="en-GB"/>
        </w:rPr>
        <w:t xml:space="preserve"> and </w:t>
      </w:r>
      <w:r>
        <w:rPr>
          <w:rFonts w:ascii="Times New Roman" w:cs="Times New Roman" w:hAnsi="Times New Roman"/>
          <w:lang w:val="en-GB"/>
        </w:rPr>
        <w:t>Elghonaimy</w:t>
      </w:r>
      <w:r>
        <w:rPr>
          <w:rFonts w:ascii="Times New Roman" w:cs="Times New Roman" w:hAnsi="Times New Roman"/>
          <w:lang w:val="en-GB"/>
        </w:rPr>
        <w:t>, 2024). Running an agile team would also help to make the decision-making process more decentralised, minimising the time required for hierarchical decision making. </w:t>
      </w:r>
    </w:p>
    <w:p w14:paraId="1F693538">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Healthy and Flex Working Strategy</w:t>
      </w:r>
    </w:p>
    <w:p w14:paraId="222B6290">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Addresses Problem 3: Challenges associated with hybrid working and employee wellbeing.</w:t>
      </w:r>
      <w:r>
        <w:rPr>
          <w:rFonts w:ascii="Times New Roman" w:cs="Times New Roman" w:hAnsi="Times New Roman"/>
          <w:color w:val="ee0000"/>
          <w:lang w:val="en-GB"/>
        </w:rPr>
        <w:t xml:space="preserve"> </w:t>
      </w:r>
      <w:r>
        <w:rPr>
          <w:rFonts w:ascii="Times New Roman" w:cs="Times New Roman" w:hAnsi="Times New Roman"/>
          <w:lang w:val="en-GB"/>
        </w:rPr>
        <w:t>NexSpace</w:t>
      </w:r>
      <w:r>
        <w:rPr>
          <w:rFonts w:ascii="Times New Roman" w:cs="Times New Roman" w:hAnsi="Times New Roman"/>
          <w:lang w:val="en-GB"/>
        </w:rPr>
        <w:t xml:space="preserve"> needs to create a scheme to enable employees to balance home and office working as per business needs. Managers should pay attention to the outcomes and delivery of performance, not to attendance. Flexible working should also be put in place, where appropriate, for employees to work around personal commitments (</w:t>
      </w:r>
      <w:r>
        <w:rPr>
          <w:rFonts w:ascii="Times New Roman" w:cs="Times New Roman" w:hAnsi="Times New Roman"/>
          <w:lang w:val="en-GB"/>
        </w:rPr>
        <w:t>Elendu</w:t>
      </w:r>
      <w:r>
        <w:rPr>
          <w:rFonts w:ascii="Times New Roman" w:cs="Times New Roman" w:hAnsi="Times New Roman"/>
          <w:lang w:val="en-GB"/>
        </w:rPr>
        <w:t>, 2024). This will most likely enhance employee health, satisfaction and retention, and help to sustain productivity.</w:t>
      </w:r>
      <w:r>
        <w:rPr>
          <w:rFonts w:ascii="Times New Roman" w:cs="Times New Roman" w:hAnsi="Times New Roman"/>
          <w:lang w:val="en-GB"/>
        </w:rPr>
        <w:t xml:space="preserve"> </w:t>
      </w:r>
      <w:r>
        <w:rPr>
          <w:rFonts w:ascii="Times New Roman" w:cs="Times New Roman" w:hAnsi="Times New Roman"/>
          <w:color w:val="ee0000"/>
          <w:lang w:val="en-GB"/>
        </w:rPr>
        <w:t>With the emphasis on outcome as opposed to presence in the office, the organization can achieve efficiency without compromising the health of its employees.</w:t>
      </w:r>
    </w:p>
    <w:p w14:paraId="7570F125">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Empowerment of employees and autonomy of their actions</w:t>
      </w:r>
    </w:p>
    <w:p w14:paraId="08E0198C">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Addresses Problem 2: Hierarchical decision-making and limited employee involvement.</w:t>
      </w:r>
      <w:r>
        <w:rPr>
          <w:rFonts w:ascii="Times New Roman" w:cs="Times New Roman" w:hAnsi="Times New Roman"/>
          <w:color w:val="ee0000"/>
          <w:lang w:val="en-GB"/>
        </w:rPr>
        <w:t xml:space="preserve"> </w:t>
      </w:r>
      <w:r>
        <w:rPr>
          <w:rFonts w:ascii="Times New Roman" w:cs="Times New Roman" w:hAnsi="Times New Roman"/>
          <w:lang w:val="en-GB"/>
        </w:rPr>
        <w:t>The autonomy of employees should be a core element of the organisation culture. Managers need to shift from command and control leadership approaches to coaching leadership approaches. Staff should be encouraged to get involved in decision making processes, to suggest innovative solutions and to try new approaches (Nweke, 2023). This would be supported by introducing innovation forums, idea sharing platforms and employee-led improvement initiatives. </w:t>
      </w:r>
    </w:p>
    <w:p w14:paraId="1840C224">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Advanced Digital Collaboration Technologies</w:t>
      </w:r>
    </w:p>
    <w:p w14:paraId="73FEB41B">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Supports Problems 1, 2 and 3 by enabling communication, collaboration and knowledge sharing across locations.</w:t>
      </w:r>
      <w:r>
        <w:rPr>
          <w:rFonts w:ascii="Times New Roman" w:cs="Times New Roman" w:hAnsi="Times New Roman"/>
          <w:color w:val="ee0000"/>
          <w:lang w:val="en-GB"/>
        </w:rPr>
        <w:t xml:space="preserve"> </w:t>
      </w:r>
      <w:r>
        <w:rPr>
          <w:rFonts w:ascii="Times New Roman" w:cs="Times New Roman" w:hAnsi="Times New Roman"/>
          <w:lang w:val="en-GB"/>
        </w:rPr>
        <w:t>With an international staff of workers, it is important to invest in digital collaboration technologies. Integrated platforms should enable virtual meetings, knowledge management, collaborative project and document coordination (</w:t>
      </w:r>
      <w:r>
        <w:rPr>
          <w:rFonts w:ascii="Times New Roman" w:cs="Times New Roman" w:hAnsi="Times New Roman"/>
          <w:lang w:val="en-GB"/>
        </w:rPr>
        <w:t>Kalatiku</w:t>
      </w:r>
      <w:r>
        <w:rPr>
          <w:rFonts w:ascii="Times New Roman" w:cs="Times New Roman" w:hAnsi="Times New Roman"/>
          <w:lang w:val="en-GB"/>
        </w:rPr>
        <w:t xml:space="preserve">, 2025). AI-powered collaboration tools might also improve the efficiency of communication by </w:t>
      </w:r>
      <w:r>
        <w:rPr>
          <w:rFonts w:ascii="Times New Roman" w:cs="Times New Roman" w:hAnsi="Times New Roman"/>
          <w:lang w:val="en-GB"/>
        </w:rPr>
        <w:t>automating repetitive administrative tasks, summarising conversations and streamlining geographical communication. These technologies would enable effective hybrid working and minimise the challenge of collaboration.</w:t>
      </w:r>
      <w:r>
        <w:rPr>
          <w:rFonts w:ascii="Times New Roman" w:cs="Times New Roman" w:hAnsi="Times New Roman"/>
          <w:lang w:val="en-GB"/>
        </w:rPr>
        <w:t xml:space="preserve"> </w:t>
      </w:r>
      <w:r>
        <w:rPr>
          <w:rFonts w:ascii="Times New Roman" w:cs="Times New Roman" w:hAnsi="Times New Roman"/>
          <w:color w:val="ee0000"/>
          <w:lang w:val="en-GB"/>
        </w:rPr>
        <w:t>The technologies improve teamwork within different functions (Problem 1), speed up decision making (Problem 2) and facilitate hybrid work environment (Problem 3).</w:t>
      </w:r>
    </w:p>
    <w:p w14:paraId="37A7CB26">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Organisational Performance Benefits</w:t>
      </w:r>
    </w:p>
    <w:p w14:paraId="3B293909">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A new structure would be very beneficial for the organisation. First, the ability to collaborate across functions and the agile process would speed up innovation and help adapt to market change. Second, greater autonomy among employees would contribute to increased creativity, engagement and commitment. Third, flexible and hybrid working would support the wellbeing and retention of employees, helping to minimise talent loss (</w:t>
      </w:r>
      <w:r>
        <w:rPr>
          <w:rFonts w:ascii="Times New Roman" w:cs="Times New Roman" w:hAnsi="Times New Roman"/>
          <w:lang w:val="en-GB"/>
        </w:rPr>
        <w:t>Vizjak</w:t>
      </w:r>
      <w:r>
        <w:rPr>
          <w:rFonts w:ascii="Times New Roman" w:cs="Times New Roman" w:hAnsi="Times New Roman"/>
          <w:lang w:val="en-GB"/>
        </w:rPr>
        <w:t xml:space="preserve"> </w:t>
      </w:r>
      <w:r>
        <w:rPr>
          <w:rFonts w:ascii="Times New Roman" w:cs="Times New Roman" w:hAnsi="Times New Roman"/>
          <w:i/>
          <w:iCs/>
          <w:lang w:val="en-GB"/>
        </w:rPr>
        <w:t>et al.</w:t>
      </w:r>
      <w:r>
        <w:rPr>
          <w:rFonts w:ascii="Times New Roman" w:cs="Times New Roman" w:hAnsi="Times New Roman"/>
          <w:lang w:val="en-GB"/>
        </w:rPr>
        <w:t xml:space="preserve">, 2024). The fourth is that digital collaboration technologies would facilitate communication and knowledge sharing between international teams. Lastly, the integrated solution would enhance organisational agility, allowing </w:t>
      </w:r>
      <w:r>
        <w:rPr>
          <w:rFonts w:ascii="Times New Roman" w:cs="Times New Roman" w:hAnsi="Times New Roman"/>
          <w:lang w:val="en-GB"/>
        </w:rPr>
        <w:t>NexSpace</w:t>
      </w:r>
      <w:r>
        <w:rPr>
          <w:rFonts w:ascii="Times New Roman" w:cs="Times New Roman" w:hAnsi="Times New Roman"/>
          <w:lang w:val="en-GB"/>
        </w:rPr>
        <w:t xml:space="preserve"> Health Systems to thrive in the fast-changing healthcare technology landscape.</w:t>
      </w:r>
    </w:p>
    <w:bookmarkStart w:id="3" w:name="_Toc242788496"/>
    <w:p w14:paraId="74D3C51E">
      <w:pPr>
        <w:pStyle w:val="style1"/>
        <w:spacing w:before="0" w:after="120"/>
        <w:rPr>
          <w:lang w:val="en-GB"/>
        </w:rPr>
      </w:pPr>
      <w:r>
        <w:rPr>
          <w:lang w:val="en-GB"/>
        </w:rPr>
        <w:t>Task B: Breeding an Environment Where Talent May Grow</w:t>
      </w:r>
      <w:bookmarkEnd w:id="3"/>
    </w:p>
    <w:bookmarkStart w:id="4" w:name="_Toc242788497"/>
    <w:p w14:paraId="7B3DF92B">
      <w:pPr>
        <w:pStyle w:val="style2"/>
        <w:numPr>
          <w:ilvl w:val="0"/>
          <w:numId w:val="7"/>
        </w:numPr>
        <w:spacing w:before="0" w:after="120"/>
        <w:rPr>
          <w:lang w:val="en-GB"/>
        </w:rPr>
      </w:pPr>
      <w:r>
        <w:rPr>
          <w:lang w:val="en-GB"/>
        </w:rPr>
        <w:t>Critical Evaluation of How Organisations Create Environments Where Talent Flourishes</w:t>
      </w:r>
      <w:bookmarkEnd w:id="4"/>
    </w:p>
    <w:p w14:paraId="138CEEC5">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In today's knowledge-driven organisations, talent is a key component of a company's competitive edge. The ability to attract talent is essential, but the ability to provide a place where employees can continue to learn, grow, innovate and contribute is becoming more and more becoming the key to success. According to </w:t>
      </w:r>
      <w:r>
        <w:rPr>
          <w:rFonts w:ascii="Times New Roman" w:cs="Times New Roman" w:hAnsi="Times New Roman"/>
          <w:lang w:val="en-GB"/>
        </w:rPr>
        <w:t>Kalatiku</w:t>
      </w:r>
      <w:r>
        <w:rPr>
          <w:rFonts w:ascii="Times New Roman" w:cs="Times New Roman" w:hAnsi="Times New Roman"/>
          <w:lang w:val="en-GB"/>
        </w:rPr>
        <w:t xml:space="preserve"> (2024), knowledge is shared and reflection and experimentation are integral to learning and daily tasks. </w:t>
      </w:r>
    </w:p>
    <w:p w14:paraId="20B0B0B1">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However, creating a learning culture takes a long-term commitment and investment from the management and some organisations may find it difficult to focus on learning when they are under operational pressure. The Growth Mindset Theory, developed by Dweck, is another significant concept, as individuals with a growth mindset are more inclined to take on new challenges and persevere when things get tough (</w:t>
      </w:r>
      <w:r>
        <w:rPr>
          <w:rFonts w:ascii="Times New Roman" w:cs="Times New Roman" w:hAnsi="Times New Roman"/>
          <w:lang w:val="en-GB"/>
        </w:rPr>
        <w:t>Leesakul</w:t>
      </w:r>
      <w:r>
        <w:rPr>
          <w:rFonts w:ascii="Times New Roman" w:cs="Times New Roman" w:hAnsi="Times New Roman"/>
          <w:lang w:val="en-GB"/>
        </w:rPr>
        <w:t xml:space="preserve"> </w:t>
      </w:r>
      <w:r>
        <w:rPr>
          <w:rFonts w:ascii="Times New Roman" w:cs="Times New Roman" w:hAnsi="Times New Roman"/>
          <w:i/>
          <w:iCs/>
          <w:lang w:val="en-GB"/>
        </w:rPr>
        <w:t>et al.</w:t>
      </w:r>
      <w:r>
        <w:rPr>
          <w:rFonts w:ascii="Times New Roman" w:cs="Times New Roman" w:hAnsi="Times New Roman"/>
          <w:lang w:val="en-GB"/>
        </w:rPr>
        <w:t xml:space="preserve">, 2022). </w:t>
      </w:r>
    </w:p>
    <w:p w14:paraId="357747D3">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Another key component of talent environments, as described by Edmondson, is Psychological Safety. As inspected by Vallo Hult and Byström (2022) psychological safety is when employees feel they can share ideas, ask questions and discuss the mistakes they make without facing </w:t>
      </w:r>
      <w:r>
        <w:rPr>
          <w:rFonts w:ascii="Times New Roman" w:cs="Times New Roman" w:hAnsi="Times New Roman"/>
          <w:lang w:val="en-GB"/>
        </w:rPr>
        <w:t>negative repercussions. Yet, there is a need to balance psychological safety with accountability so as to ensure a high-performance standard exists. </w:t>
      </w:r>
    </w:p>
    <w:p w14:paraId="3C0B351B">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Talent Management Frameworks are based on the themes of recruitment, development, succession planning and retention and offer a strategic view. Current strategies focus on building capability throughout the workforce and not just a select few. The Job Crafting Theory also provides a contribution towards talent development by proposing that employees have the potential to actively engage in altering certain components of their jobs to fit their talents, interests and career aspirations (Donald </w:t>
      </w:r>
      <w:r>
        <w:rPr>
          <w:rFonts w:ascii="Times New Roman" w:cs="Times New Roman" w:hAnsi="Times New Roman"/>
          <w:i/>
          <w:iCs/>
          <w:lang w:val="en-GB"/>
        </w:rPr>
        <w:t>et al.</w:t>
      </w:r>
      <w:r>
        <w:rPr>
          <w:rFonts w:ascii="Times New Roman" w:cs="Times New Roman" w:hAnsi="Times New Roman"/>
          <w:lang w:val="en-GB"/>
        </w:rPr>
        <w:t xml:space="preserve">, 2023). </w:t>
      </w:r>
    </w:p>
    <w:p w14:paraId="5EBDD621">
      <w:pPr>
        <w:pStyle w:val="style0"/>
        <w:spacing w:after="120" w:lineRule="auto" w:line="360"/>
        <w:jc w:val="both"/>
        <w:rPr>
          <w:rFonts w:ascii="Times New Roman" w:cs="Times New Roman" w:hAnsi="Times New Roman"/>
          <w:b/>
          <w:bCs/>
          <w:i/>
          <w:iCs/>
          <w:lang w:val="en-GB"/>
        </w:rPr>
      </w:pPr>
      <w:r>
        <w:rPr>
          <w:rFonts w:ascii="Times New Roman" w:cs="Times New Roman" w:hAnsi="Times New Roman"/>
          <w:lang w:val="en-GB"/>
        </w:rPr>
        <w:t xml:space="preserve">The same applies to the Self-Determination Theory (SDT) which emphasizes the need for autonomy, competence and relatedness to further motivate employees. Meeting these needs, however, can be difficult when staff members work throughout the world. Lastly, the Employee Experience (EX) Approach takes a holistic view of employee journey from recruitment to onboarding, leadership interaction, career growth and wellbeing support (Hauser </w:t>
      </w:r>
      <w:r>
        <w:rPr>
          <w:rFonts w:ascii="Times New Roman" w:cs="Times New Roman" w:hAnsi="Times New Roman"/>
          <w:i/>
          <w:iCs/>
          <w:lang w:val="en-GB"/>
        </w:rPr>
        <w:t>et al.</w:t>
      </w:r>
      <w:r>
        <w:rPr>
          <w:rFonts w:ascii="Times New Roman" w:cs="Times New Roman" w:hAnsi="Times New Roman"/>
          <w:lang w:val="en-GB"/>
        </w:rPr>
        <w:t xml:space="preserve">, 2024). </w:t>
      </w:r>
      <w:bookmarkStart w:id="5" w:name="_Toc242788498"/>
      <w:r>
        <w:rPr>
          <w:rFonts w:ascii="Times New Roman" w:cs="Times New Roman" w:hAnsi="Times New Roman"/>
          <w:b/>
          <w:bCs/>
          <w:i/>
          <w:iCs/>
          <w:lang w:val="en-GB"/>
        </w:rPr>
        <w:t xml:space="preserve">Strategic Talent Ecosystem for </w:t>
      </w:r>
      <w:r>
        <w:rPr>
          <w:rFonts w:ascii="Times New Roman" w:cs="Times New Roman" w:hAnsi="Times New Roman"/>
          <w:b/>
          <w:bCs/>
          <w:i/>
          <w:iCs/>
          <w:lang w:val="en-GB"/>
        </w:rPr>
        <w:t>NexSpace</w:t>
      </w:r>
      <w:r>
        <w:rPr>
          <w:rFonts w:ascii="Times New Roman" w:cs="Times New Roman" w:hAnsi="Times New Roman"/>
          <w:b/>
          <w:bCs/>
          <w:i/>
          <w:iCs/>
          <w:lang w:val="en-GB"/>
        </w:rPr>
        <w:t xml:space="preserve"> Health Systems</w:t>
      </w:r>
      <w:bookmarkEnd w:id="5"/>
    </w:p>
    <w:p w14:paraId="68C28BD4">
      <w:pPr>
        <w:pStyle w:val="style0"/>
        <w:spacing w:after="120" w:lineRule="auto" w:line="360"/>
        <w:jc w:val="both"/>
        <w:rPr>
          <w:rFonts w:ascii="Times New Roman" w:cs="Times New Roman" w:hAnsi="Times New Roman"/>
          <w:color w:val="ee0000"/>
          <w:lang w:val="en-GB"/>
        </w:rPr>
      </w:pPr>
      <w:r>
        <w:rPr>
          <w:rFonts w:ascii="Times New Roman" w:cs="Times New Roman" w:hAnsi="Times New Roman"/>
          <w:lang w:val="en-GB"/>
        </w:rPr>
        <w:t>NexSpace</w:t>
      </w:r>
      <w:r>
        <w:rPr>
          <w:rFonts w:ascii="Times New Roman" w:cs="Times New Roman" w:hAnsi="Times New Roman"/>
          <w:lang w:val="en-GB"/>
        </w:rPr>
        <w:t xml:space="preserve"> Health Systems should build a talent ecosystem, a collection of various mutually connected initiatives that would help employees grow, join and stay.</w:t>
      </w:r>
      <w:r>
        <w:rPr>
          <w:rFonts w:ascii="Times New Roman" w:cs="Times New Roman" w:hAnsi="Times New Roman"/>
          <w:lang w:val="en-GB"/>
        </w:rPr>
        <w:t xml:space="preserve"> </w:t>
      </w:r>
      <w:r>
        <w:rPr>
          <w:rFonts w:ascii="Times New Roman" w:cs="Times New Roman" w:hAnsi="Times New Roman"/>
          <w:color w:val="ee0000"/>
          <w:lang w:val="en-GB"/>
        </w:rPr>
        <w:t>The case outlines four main issues in talent management:</w:t>
      </w:r>
    </w:p>
    <w:p w14:paraId="0A7B3DC7">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Challenge 1: Lack of learning and development opportunities.</w:t>
      </w:r>
    </w:p>
    <w:p w14:paraId="34FDB523">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Challenge 2: Unclear career progression paths.</w:t>
      </w:r>
    </w:p>
    <w:p w14:paraId="041AE240">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Challenge 3: Lack of proper employee wellbeing support.</w:t>
      </w:r>
    </w:p>
    <w:p w14:paraId="16665F42">
      <w:pPr>
        <w:pStyle w:val="style0"/>
        <w:spacing w:after="120" w:lineRule="auto" w:line="360"/>
        <w:jc w:val="both"/>
        <w:rPr>
          <w:rFonts w:ascii="Times New Roman" w:cs="Times New Roman" w:hAnsi="Times New Roman"/>
          <w:color w:val="ee0000"/>
          <w:lang w:val="en-GB"/>
        </w:rPr>
      </w:pPr>
      <w:r>
        <w:rPr>
          <w:rFonts w:ascii="Times New Roman" w:cs="Times New Roman" w:hAnsi="Times New Roman"/>
          <w:color w:val="ee0000"/>
          <w:lang w:val="en-GB"/>
        </w:rPr>
        <w:t>Challenge 4: Unrealistically high performance standards which might lead to stress and burnout.</w:t>
      </w:r>
    </w:p>
    <w:p w14:paraId="33CC93B8">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So, I would recommend creating a strategic talent ecosystem that would solve all those challenges.</w:t>
      </w:r>
    </w:p>
    <w:p w14:paraId="6ACA66E2">
      <w:pPr>
        <w:pStyle w:val="style0"/>
        <w:spacing w:after="120" w:lineRule="auto" w:line="360"/>
        <w:jc w:val="center"/>
        <w:rPr>
          <w:rFonts w:ascii="Times New Roman" w:cs="Times New Roman" w:hAnsi="Times New Roman"/>
          <w:lang w:val="en-GB"/>
        </w:rPr>
      </w:pPr>
      <w:r>
        <w:rPr>
          <w:rFonts w:ascii="Times New Roman" w:cs="Times New Roman" w:hAnsi="Times New Roman"/>
          <w:noProof/>
          <w:lang w:val="en-GB"/>
        </w:rPr>
        <w:drawing>
          <wp:inline distL="0" distT="0" distB="0" distR="0">
            <wp:extent cx="5486400" cy="3200400"/>
            <wp:effectExtent l="0" t="57150" r="0" b="57150"/>
            <wp:docPr id="1027" name="Diagram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B1859E3">
      <w:pPr>
        <w:pStyle w:val="style0"/>
        <w:spacing w:after="120" w:lineRule="auto" w:line="360"/>
        <w:jc w:val="center"/>
        <w:rPr>
          <w:rFonts w:ascii="Times New Roman" w:cs="Times New Roman" w:hAnsi="Times New Roman"/>
          <w:b/>
          <w:bCs/>
          <w:lang w:val="en-GB"/>
        </w:rPr>
      </w:pPr>
      <w:r>
        <w:rPr>
          <w:rFonts w:ascii="Times New Roman" w:cs="Times New Roman" w:hAnsi="Times New Roman"/>
          <w:b/>
          <w:bCs/>
          <w:lang w:val="en-GB"/>
        </w:rPr>
        <w:t>Figure 2: Strategic Talent Ecosystem</w:t>
      </w:r>
    </w:p>
    <w:p w14:paraId="0658C881">
      <w:pPr>
        <w:pStyle w:val="style0"/>
        <w:spacing w:after="120" w:lineRule="auto" w:line="360"/>
        <w:jc w:val="center"/>
        <w:rPr>
          <w:rFonts w:ascii="Times New Roman" w:cs="Times New Roman" w:hAnsi="Times New Roman"/>
          <w:lang w:val="en-GB"/>
        </w:rPr>
      </w:pPr>
      <w:r>
        <w:rPr>
          <w:rFonts w:ascii="Times New Roman" w:cs="Times New Roman" w:hAnsi="Times New Roman"/>
          <w:lang w:val="en-GB"/>
        </w:rPr>
        <w:t>(Source: Self-developed)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22"/>
        <w:gridCol w:w="2976"/>
        <w:gridCol w:w="3225"/>
      </w:tblGrid>
      <w:tr w14:paraId="217BE5F5">
        <w:trPr>
          <w:tblCellSpacing w:w="15" w:type="dxa"/>
        </w:trPr>
        <w:tc>
          <w:tcPr>
            <w:tcW w:w="0" w:type="auto"/>
            <w:tcBorders/>
            <w:shd w:val="clear" w:color="auto" w:fill="f5f5f5"/>
            <w:vAlign w:val="center"/>
            <w:hideMark/>
          </w:tcPr>
          <w:p w14:paraId="6B402807">
            <w:pPr>
              <w:pStyle w:val="style0"/>
              <w:spacing w:after="120" w:lineRule="auto" w:line="360"/>
              <w:jc w:val="both"/>
              <w:rPr>
                <w:rFonts w:ascii="Times New Roman" w:cs="Times New Roman" w:hAnsi="Times New Roman"/>
                <w:b/>
                <w:bCs/>
                <w:color w:val="ee0000"/>
              </w:rPr>
            </w:pPr>
            <w:r>
              <w:rPr>
                <w:rFonts w:ascii="Times New Roman" w:cs="Times New Roman" w:hAnsi="Times New Roman"/>
                <w:b/>
                <w:bCs/>
                <w:color w:val="ee0000"/>
              </w:rPr>
              <w:t>Case Problem</w:t>
            </w:r>
          </w:p>
        </w:tc>
        <w:tc>
          <w:tcPr>
            <w:tcW w:w="0" w:type="auto"/>
            <w:tcBorders/>
            <w:shd w:val="clear" w:color="auto" w:fill="f5f5f5"/>
            <w:vAlign w:val="center"/>
            <w:hideMark/>
          </w:tcPr>
          <w:p w14:paraId="174C8C5B">
            <w:pPr>
              <w:pStyle w:val="style0"/>
              <w:spacing w:after="120" w:lineRule="auto" w:line="360"/>
              <w:jc w:val="both"/>
              <w:rPr>
                <w:rFonts w:ascii="Times New Roman" w:cs="Times New Roman" w:hAnsi="Times New Roman"/>
                <w:b/>
                <w:bCs/>
                <w:color w:val="ee0000"/>
              </w:rPr>
            </w:pPr>
            <w:r>
              <w:rPr>
                <w:rFonts w:ascii="Times New Roman" w:cs="Times New Roman" w:hAnsi="Times New Roman"/>
                <w:b/>
                <w:bCs/>
                <w:color w:val="ee0000"/>
              </w:rPr>
              <w:t>Framework Component</w:t>
            </w:r>
          </w:p>
        </w:tc>
        <w:tc>
          <w:tcPr>
            <w:tcW w:w="0" w:type="auto"/>
            <w:tcBorders/>
            <w:shd w:val="clear" w:color="auto" w:fill="f5f5f5"/>
            <w:vAlign w:val="center"/>
            <w:hideMark/>
          </w:tcPr>
          <w:p w14:paraId="6EB1439E">
            <w:pPr>
              <w:pStyle w:val="style0"/>
              <w:spacing w:after="120" w:lineRule="auto" w:line="360"/>
              <w:jc w:val="both"/>
              <w:rPr>
                <w:rFonts w:ascii="Times New Roman" w:cs="Times New Roman" w:hAnsi="Times New Roman"/>
                <w:b/>
                <w:bCs/>
                <w:color w:val="ee0000"/>
              </w:rPr>
            </w:pPr>
            <w:r>
              <w:rPr>
                <w:rFonts w:ascii="Times New Roman" w:cs="Times New Roman" w:hAnsi="Times New Roman"/>
                <w:b/>
                <w:bCs/>
                <w:color w:val="ee0000"/>
              </w:rPr>
              <w:t>Solution</w:t>
            </w:r>
          </w:p>
        </w:tc>
      </w:tr>
      <w:tr w14:paraId="1C4E90FD">
        <w:tblPrEx/>
        <w:trPr>
          <w:tblCellSpacing w:w="15" w:type="dxa"/>
        </w:trPr>
        <w:tc>
          <w:tcPr>
            <w:tcW w:w="0" w:type="auto"/>
            <w:tcBorders/>
            <w:vAlign w:val="center"/>
            <w:hideMark/>
          </w:tcPr>
          <w:p w14:paraId="2931AEAA">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Problem 1: Departmental silos</w:t>
            </w:r>
          </w:p>
        </w:tc>
        <w:tc>
          <w:tcPr>
            <w:tcW w:w="0" w:type="auto"/>
            <w:tcBorders/>
            <w:vAlign w:val="center"/>
            <w:hideMark/>
          </w:tcPr>
          <w:p w14:paraId="72066E3F">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Cross-Functional Innovation Squads</w:t>
            </w:r>
          </w:p>
        </w:tc>
        <w:tc>
          <w:tcPr>
            <w:tcW w:w="0" w:type="auto"/>
            <w:tcBorders/>
            <w:vAlign w:val="center"/>
            <w:hideMark/>
          </w:tcPr>
          <w:p w14:paraId="7BC05374">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Improves collaboration and knowledge sharing</w:t>
            </w:r>
          </w:p>
        </w:tc>
      </w:tr>
      <w:tr w14:paraId="1416F763">
        <w:tblPrEx/>
        <w:trPr>
          <w:tblCellSpacing w:w="15" w:type="dxa"/>
        </w:trPr>
        <w:tc>
          <w:tcPr>
            <w:tcW w:w="0" w:type="auto"/>
            <w:tcBorders/>
            <w:vAlign w:val="center"/>
            <w:hideMark/>
          </w:tcPr>
          <w:p w14:paraId="0D1CF987">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Problem 2: Hierarchical decision-making</w:t>
            </w:r>
          </w:p>
        </w:tc>
        <w:tc>
          <w:tcPr>
            <w:tcW w:w="0" w:type="auto"/>
            <w:tcBorders/>
            <w:vAlign w:val="center"/>
            <w:hideMark/>
          </w:tcPr>
          <w:p w14:paraId="2B9D6BB0">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Agile Teams and Employee Empowerment</w:t>
            </w:r>
          </w:p>
        </w:tc>
        <w:tc>
          <w:tcPr>
            <w:tcW w:w="0" w:type="auto"/>
            <w:tcBorders/>
            <w:vAlign w:val="center"/>
            <w:hideMark/>
          </w:tcPr>
          <w:p w14:paraId="513908E4">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Faster and decentralised decision-making</w:t>
            </w:r>
          </w:p>
        </w:tc>
      </w:tr>
      <w:tr w14:paraId="66FCA111">
        <w:tblPrEx/>
        <w:trPr>
          <w:tblCellSpacing w:w="15" w:type="dxa"/>
        </w:trPr>
        <w:tc>
          <w:tcPr>
            <w:tcW w:w="0" w:type="auto"/>
            <w:tcBorders/>
            <w:vAlign w:val="center"/>
            <w:hideMark/>
          </w:tcPr>
          <w:p w14:paraId="501D3B4C">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Problem 3: Hybrid-working challenges</w:t>
            </w:r>
          </w:p>
        </w:tc>
        <w:tc>
          <w:tcPr>
            <w:tcW w:w="0" w:type="auto"/>
            <w:tcBorders/>
            <w:vAlign w:val="center"/>
            <w:hideMark/>
          </w:tcPr>
          <w:p w14:paraId="0C78C481">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Healthy and Flex Working Strategy</w:t>
            </w:r>
          </w:p>
        </w:tc>
        <w:tc>
          <w:tcPr>
            <w:tcW w:w="0" w:type="auto"/>
            <w:tcBorders/>
            <w:vAlign w:val="center"/>
            <w:hideMark/>
          </w:tcPr>
          <w:p w14:paraId="10173FF0">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Better work-life balance and productivity</w:t>
            </w:r>
          </w:p>
        </w:tc>
      </w:tr>
      <w:tr w14:paraId="007D4110">
        <w:tblPrEx/>
        <w:trPr>
          <w:tblCellSpacing w:w="15" w:type="dxa"/>
        </w:trPr>
        <w:tc>
          <w:tcPr>
            <w:tcW w:w="0" w:type="auto"/>
            <w:tcBorders/>
            <w:vAlign w:val="center"/>
            <w:hideMark/>
          </w:tcPr>
          <w:p w14:paraId="04BC02F0">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All Problems</w:t>
            </w:r>
          </w:p>
        </w:tc>
        <w:tc>
          <w:tcPr>
            <w:tcW w:w="0" w:type="auto"/>
            <w:tcBorders/>
            <w:vAlign w:val="center"/>
            <w:hideMark/>
          </w:tcPr>
          <w:p w14:paraId="3BC96B08">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Digital Collaboration Technologies</w:t>
            </w:r>
          </w:p>
        </w:tc>
        <w:tc>
          <w:tcPr>
            <w:tcW w:w="0" w:type="auto"/>
            <w:tcBorders/>
            <w:vAlign w:val="center"/>
            <w:hideMark/>
          </w:tcPr>
          <w:p w14:paraId="391BF470">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Enables communication and coordination</w:t>
            </w:r>
          </w:p>
        </w:tc>
      </w:tr>
    </w:tbl>
    <w:p w14:paraId="05B59FAA">
      <w:pPr>
        <w:pStyle w:val="style0"/>
        <w:spacing w:after="120" w:lineRule="auto" w:line="360"/>
        <w:jc w:val="center"/>
        <w:rPr>
          <w:rFonts w:ascii="Times New Roman" w:cs="Times New Roman" w:hAnsi="Times New Roman"/>
          <w:b/>
          <w:bCs/>
          <w:color w:val="ee0000"/>
          <w:lang w:val="en-GB"/>
        </w:rPr>
      </w:pPr>
      <w:r>
        <w:rPr>
          <w:rFonts w:ascii="Times New Roman" w:cs="Times New Roman" w:hAnsi="Times New Roman"/>
          <w:b/>
          <w:bCs/>
          <w:color w:val="ee0000"/>
          <w:lang w:val="en-GB"/>
        </w:rPr>
        <w:t>Table 1: Case problem explanation</w:t>
      </w:r>
    </w:p>
    <w:p w14:paraId="473DE455">
      <w:pPr>
        <w:pStyle w:val="style0"/>
        <w:spacing w:after="120" w:lineRule="auto" w:line="360"/>
        <w:jc w:val="center"/>
        <w:rPr>
          <w:rFonts w:ascii="Times New Roman" w:cs="Times New Roman" w:hAnsi="Times New Roman"/>
          <w:color w:val="ee0000"/>
          <w:lang w:val="en-GB"/>
        </w:rPr>
      </w:pPr>
      <w:r>
        <w:rPr>
          <w:rFonts w:ascii="Times New Roman" w:cs="Times New Roman" w:hAnsi="Times New Roman"/>
          <w:color w:val="ee0000"/>
          <w:lang w:val="en-GB"/>
        </w:rPr>
        <w:t>(Source: Seld=-developed)</w:t>
      </w:r>
    </w:p>
    <w:p w14:paraId="4A4BCA9E">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The development of architecture for Continuous Learning and Development</w:t>
      </w:r>
    </w:p>
    <w:p w14:paraId="58A8E1E5">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Addresses Problem 1: Limited learning opportunities.</w:t>
      </w:r>
      <w:r>
        <w:rPr>
          <w:rFonts w:ascii="Times New Roman" w:cs="Times New Roman" w:hAnsi="Times New Roman"/>
          <w:color w:val="ee0000"/>
          <w:lang w:val="en-GB"/>
        </w:rPr>
        <w:t xml:space="preserve"> </w:t>
      </w:r>
      <w:r>
        <w:rPr>
          <w:rFonts w:ascii="Times New Roman" w:cs="Times New Roman" w:hAnsi="Times New Roman"/>
          <w:lang w:val="en-GB"/>
        </w:rPr>
        <w:t xml:space="preserve">The organisation should create a structured learning environment that provides technical, leadership and professional development opportunities. </w:t>
      </w:r>
    </w:p>
    <w:p w14:paraId="61EEE781">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Global Mentoring and Coaching Programme</w:t>
      </w:r>
    </w:p>
    <w:p w14:paraId="25342D7C">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Supports Problem 1 by transferring knowledge, building capability and accelerating learning.</w:t>
      </w:r>
      <w:r>
        <w:rPr>
          <w:rFonts w:ascii="Times New Roman" w:cs="Times New Roman" w:hAnsi="Times New Roman"/>
          <w:color w:val="ee0000"/>
          <w:lang w:val="en-GB"/>
        </w:rPr>
        <w:t xml:space="preserve"> </w:t>
      </w:r>
      <w:r>
        <w:rPr>
          <w:rFonts w:ascii="Times New Roman" w:cs="Times New Roman" w:hAnsi="Times New Roman"/>
          <w:lang w:val="en-GB"/>
        </w:rPr>
        <w:t xml:space="preserve">These relationships would promote collaboration and knowledge exchange, cultural understanding, and professional growth (Corrigan </w:t>
      </w:r>
      <w:r>
        <w:rPr>
          <w:rFonts w:ascii="Times New Roman" w:cs="Times New Roman" w:hAnsi="Times New Roman"/>
          <w:i/>
          <w:iCs/>
          <w:lang w:val="en-GB"/>
        </w:rPr>
        <w:t>et al.</w:t>
      </w:r>
      <w:r>
        <w:rPr>
          <w:rFonts w:ascii="Times New Roman" w:cs="Times New Roman" w:hAnsi="Times New Roman"/>
          <w:lang w:val="en-GB"/>
        </w:rPr>
        <w:t>, 2025). </w:t>
      </w:r>
    </w:p>
    <w:p w14:paraId="5DC1BDEB">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Psychological Safety and Inclusive Leadership</w:t>
      </w:r>
    </w:p>
    <w:p w14:paraId="6C9FD256">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Managers need to be trained on inclusive leadership practices that foster open communication, constructive feedback and employee participation. Leaders should ensure the culture in their schools is one in which staff members can feel valued and at ease to voice opinions without fear of criticism (Rožman </w:t>
      </w:r>
      <w:r>
        <w:rPr>
          <w:rFonts w:ascii="Times New Roman" w:cs="Times New Roman" w:hAnsi="Times New Roman"/>
          <w:i/>
          <w:iCs/>
          <w:lang w:val="en-GB"/>
        </w:rPr>
        <w:t>et al.</w:t>
      </w:r>
      <w:r>
        <w:rPr>
          <w:rFonts w:ascii="Times New Roman" w:cs="Times New Roman" w:hAnsi="Times New Roman"/>
          <w:lang w:val="en-GB"/>
        </w:rPr>
        <w:t>, 2023). </w:t>
      </w:r>
    </w:p>
    <w:p w14:paraId="4A5511A5">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Increased opportunities for internal mobility within the career development framework</w:t>
      </w:r>
    </w:p>
    <w:p w14:paraId="3C92D011">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Addresses Problem 2: Lack of career growth opportunities.</w:t>
      </w:r>
      <w:r>
        <w:rPr>
          <w:rFonts w:ascii="Times New Roman" w:cs="Times New Roman" w:hAnsi="Times New Roman"/>
          <w:color w:val="ee0000"/>
          <w:lang w:val="en-GB"/>
        </w:rPr>
        <w:t xml:space="preserve"> </w:t>
      </w:r>
      <w:r>
        <w:rPr>
          <w:rFonts w:ascii="Times New Roman" w:cs="Times New Roman" w:hAnsi="Times New Roman"/>
          <w:lang w:val="en-GB"/>
        </w:rPr>
        <w:t xml:space="preserve">The organisation needs to implement clear career progression opportunities, including recognising the skills and experiences needed to move to the next level, to overcome concerns about limited career progression. Enabling stretch assignments and project opportunities or experiences across functions through an internal talent marketplace can also be helpful to employees (Lin </w:t>
      </w:r>
      <w:r>
        <w:rPr>
          <w:rFonts w:ascii="Times New Roman" w:cs="Times New Roman" w:hAnsi="Times New Roman"/>
          <w:i/>
          <w:iCs/>
          <w:lang w:val="en-GB"/>
        </w:rPr>
        <w:t>et al.</w:t>
      </w:r>
      <w:r>
        <w:rPr>
          <w:rFonts w:ascii="Times New Roman" w:cs="Times New Roman" w:hAnsi="Times New Roman"/>
          <w:lang w:val="en-GB"/>
        </w:rPr>
        <w:t>, 2024). Wellbeing of employees should be part of the organisational strategy. The organisation should provide mental health assistance, flexibility, workload management initiatives and wellbeing resources. </w:t>
      </w:r>
    </w:p>
    <w:p w14:paraId="5029D2A0">
      <w:pPr>
        <w:pStyle w:val="style0"/>
        <w:spacing w:after="120" w:lineRule="auto" w:line="360"/>
        <w:jc w:val="both"/>
        <w:rPr>
          <w:rFonts w:ascii="Times New Roman" w:cs="Times New Roman" w:hAnsi="Times New Roman"/>
          <w:b/>
          <w:bCs/>
          <w:i/>
          <w:iCs/>
          <w:color w:val="ee0000"/>
        </w:rPr>
      </w:pPr>
      <w:r>
        <w:rPr>
          <w:rFonts w:ascii="Times New Roman" w:cs="Times New Roman" w:hAnsi="Times New Roman"/>
          <w:b/>
          <w:bCs/>
          <w:i/>
          <w:iCs/>
          <w:color w:val="ee0000"/>
        </w:rPr>
        <w:t>Wellbeing and Employee Support</w:t>
      </w:r>
    </w:p>
    <w:p w14:paraId="52B582E5">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Addresses Problem 3: Employee wellbeing concerns.</w:t>
      </w:r>
      <w:r>
        <w:rPr>
          <w:rFonts w:ascii="Times New Roman" w:cs="Times New Roman" w:hAnsi="Times New Roman"/>
          <w:color w:val="ee0000"/>
        </w:rPr>
        <w:t xml:space="preserve"> </w:t>
      </w:r>
      <w:r>
        <w:rPr>
          <w:rFonts w:ascii="Times New Roman" w:cs="Times New Roman" w:hAnsi="Times New Roman"/>
          <w:color w:val="ee0000"/>
        </w:rPr>
        <w:t xml:space="preserve">It is recommended that </w:t>
      </w:r>
      <w:r>
        <w:rPr>
          <w:rFonts w:ascii="Times New Roman" w:cs="Times New Roman" w:hAnsi="Times New Roman"/>
          <w:color w:val="ee0000"/>
        </w:rPr>
        <w:t>NexSpace</w:t>
      </w:r>
      <w:r>
        <w:rPr>
          <w:rFonts w:ascii="Times New Roman" w:cs="Times New Roman" w:hAnsi="Times New Roman"/>
          <w:color w:val="ee0000"/>
        </w:rPr>
        <w:t xml:space="preserve"> Health Systems implements a full health and well-being program that will encompass such aspects as mental health assistance programs, flexibility of work, workload management programs, and employee assistance programs. Such programs will assist in reducing stress, engagement and retention, particularly in international offices.</w:t>
      </w:r>
    </w:p>
    <w:p w14:paraId="0CEB143C">
      <w:pPr>
        <w:pStyle w:val="style0"/>
        <w:spacing w:after="120" w:lineRule="auto" w:line="360"/>
        <w:jc w:val="both"/>
        <w:rPr>
          <w:rFonts w:ascii="Times New Roman" w:cs="Times New Roman" w:hAnsi="Times New Roman"/>
          <w:b/>
          <w:bCs/>
          <w:i/>
          <w:iCs/>
          <w:color w:val="ee0000"/>
        </w:rPr>
      </w:pPr>
      <w:r>
        <w:rPr>
          <w:rFonts w:ascii="Times New Roman" w:cs="Times New Roman" w:hAnsi="Times New Roman"/>
          <w:b/>
          <w:bCs/>
          <w:i/>
          <w:iCs/>
          <w:color w:val="ee0000"/>
        </w:rPr>
        <w:t>High Performance Culture Based on Self-Determination Theory</w:t>
      </w:r>
    </w:p>
    <w:p w14:paraId="44DCF7D6">
      <w:pPr>
        <w:pStyle w:val="style0"/>
        <w:spacing w:after="120" w:lineRule="auto" w:line="360"/>
        <w:jc w:val="both"/>
        <w:rPr>
          <w:rFonts w:ascii="Times New Roman" w:cs="Times New Roman" w:hAnsi="Times New Roman"/>
          <w:color w:val="ee0000"/>
        </w:rPr>
      </w:pPr>
      <w:r>
        <w:rPr>
          <w:rFonts w:ascii="Times New Roman" w:cs="Times New Roman" w:hAnsi="Times New Roman"/>
          <w:color w:val="ee0000"/>
        </w:rPr>
        <w:t>Addresses Problem 4: High performance expectations.</w:t>
      </w:r>
      <w:r>
        <w:rPr>
          <w:rFonts w:ascii="Times New Roman" w:cs="Times New Roman" w:hAnsi="Times New Roman"/>
          <w:color w:val="ee0000"/>
        </w:rPr>
        <w:t xml:space="preserve"> </w:t>
      </w:r>
      <w:r>
        <w:rPr>
          <w:rFonts w:ascii="Times New Roman" w:cs="Times New Roman" w:hAnsi="Times New Roman"/>
          <w:color w:val="ee0000"/>
        </w:rPr>
        <w:t xml:space="preserve">Self Determination Theory (SDT) indicates that employees will do well in terms of performance where their needs for autonomy, competence, and relatedness have been met. In this case, </w:t>
      </w:r>
      <w:r>
        <w:rPr>
          <w:rFonts w:ascii="Times New Roman" w:cs="Times New Roman" w:hAnsi="Times New Roman"/>
          <w:color w:val="ee0000"/>
        </w:rPr>
        <w:t>NexSpace</w:t>
      </w:r>
      <w:r>
        <w:rPr>
          <w:rFonts w:ascii="Times New Roman" w:cs="Times New Roman" w:hAnsi="Times New Roman"/>
          <w:color w:val="ee0000"/>
        </w:rPr>
        <w:t xml:space="preserve"> Health Systems ought to </w:t>
      </w:r>
      <w:r>
        <w:rPr>
          <w:rFonts w:ascii="Times New Roman" w:cs="Times New Roman" w:hAnsi="Times New Roman"/>
          <w:color w:val="ee0000"/>
        </w:rPr>
        <w:t>set realistic performance expectations, which would be backed by coaching, feedback, skills training, and collaboration. This way, employees would be able to attain high performance without burning out.</w:t>
      </w:r>
    </w:p>
    <w:p w14:paraId="6744EFF2">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Recognizing culture and growing a growth mindset</w:t>
      </w:r>
    </w:p>
    <w:p w14:paraId="5AB5F399">
      <w:pPr>
        <w:pStyle w:val="style0"/>
        <w:spacing w:after="120" w:lineRule="auto" w:line="360"/>
        <w:jc w:val="both"/>
        <w:rPr>
          <w:rFonts w:ascii="Times New Roman" w:cs="Times New Roman" w:hAnsi="Times New Roman"/>
          <w:lang w:val="en-GB"/>
        </w:rPr>
      </w:pPr>
      <w:r>
        <w:rPr>
          <w:rFonts w:ascii="Times New Roman" w:cs="Times New Roman" w:hAnsi="Times New Roman"/>
          <w:color w:val="ee0000"/>
          <w:lang w:val="en-GB"/>
        </w:rPr>
        <w:t>Supports Problems 1, 2 and 4 by encouraging continuous development, achievement and innovation.</w:t>
      </w:r>
      <w:r>
        <w:rPr>
          <w:rFonts w:ascii="Times New Roman" w:cs="Times New Roman" w:hAnsi="Times New Roman"/>
          <w:color w:val="ee0000"/>
          <w:lang w:val="en-GB"/>
        </w:rPr>
        <w:t xml:space="preserve"> </w:t>
      </w:r>
      <w:r>
        <w:rPr>
          <w:rFonts w:ascii="Times New Roman" w:cs="Times New Roman" w:hAnsi="Times New Roman"/>
          <w:lang w:val="en-GB"/>
        </w:rPr>
        <w:t>NexSpace</w:t>
      </w:r>
      <w:r>
        <w:rPr>
          <w:rFonts w:ascii="Times New Roman" w:cs="Times New Roman" w:hAnsi="Times New Roman"/>
          <w:lang w:val="en-GB"/>
        </w:rPr>
        <w:t xml:space="preserve"> Health Systems should promote a culture that values learning, experimentation and continuous improvement. Innovation, collaboration and professional development should be rewarded as well as traditional performance outcomes in recognition systems. Having a growth mindset would enable employees to engage in the learning process, and to be more effective in supporting the success of the organisation (Song </w:t>
      </w:r>
      <w:r>
        <w:rPr>
          <w:rFonts w:ascii="Times New Roman" w:cs="Times New Roman" w:hAnsi="Times New Roman"/>
          <w:i/>
          <w:iCs/>
          <w:lang w:val="en-GB"/>
        </w:rPr>
        <w:t>et al.</w:t>
      </w:r>
      <w:r>
        <w:rPr>
          <w:rFonts w:ascii="Times New Roman" w:cs="Times New Roman" w:hAnsi="Times New Roman"/>
          <w:lang w:val="en-GB"/>
        </w:rPr>
        <w:t>, 2025).</w:t>
      </w:r>
    </w:p>
    <w:p w14:paraId="114F28E0">
      <w:pPr>
        <w:pStyle w:val="style0"/>
        <w:spacing w:after="120" w:lineRule="auto" w:line="360"/>
        <w:jc w:val="both"/>
        <w:rPr>
          <w:rFonts w:ascii="Times New Roman" w:cs="Times New Roman" w:hAnsi="Times New Roman"/>
          <w:lang w:val="en-GB"/>
        </w:rPr>
      </w:pPr>
      <w:r>
        <w:rPr>
          <w:rFonts w:ascii="Times New Roman" w:cs="Times New Roman" w:hAnsi="Times New Roman"/>
          <w:b/>
          <w:bCs/>
          <w:i/>
          <w:iCs/>
          <w:lang w:val="en-GB"/>
        </w:rPr>
        <w:t xml:space="preserve">Strategic Benefits for </w:t>
      </w:r>
      <w:r>
        <w:rPr>
          <w:rFonts w:ascii="Times New Roman" w:cs="Times New Roman" w:hAnsi="Times New Roman"/>
          <w:b/>
          <w:bCs/>
          <w:i/>
          <w:iCs/>
          <w:lang w:val="en-GB"/>
        </w:rPr>
        <w:t>NexSpace</w:t>
      </w:r>
      <w:r>
        <w:rPr>
          <w:rFonts w:ascii="Times New Roman" w:cs="Times New Roman" w:hAnsi="Times New Roman"/>
          <w:b/>
          <w:bCs/>
          <w:i/>
          <w:iCs/>
          <w:lang w:val="en-GB"/>
        </w:rPr>
        <w:t xml:space="preserve"> Health Systems</w:t>
      </w:r>
    </w:p>
    <w:p w14:paraId="24DFC942">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The proposed talent ecosystem would bring several benefits in the long run. According to Huang, Li and Li (2023), international teams would benefit from psychological safety and inclusive leadership for better collaboration and knowledge sharing. The synergy created through a focus on learning, development, wellbeing and career progression within one strategic framework allows </w:t>
      </w:r>
      <w:r>
        <w:rPr>
          <w:rFonts w:ascii="Times New Roman" w:cs="Times New Roman" w:hAnsi="Times New Roman"/>
          <w:lang w:val="en-GB"/>
        </w:rPr>
        <w:t>NexSpace</w:t>
      </w:r>
      <w:r>
        <w:rPr>
          <w:rFonts w:ascii="Times New Roman" w:cs="Times New Roman" w:hAnsi="Times New Roman"/>
          <w:lang w:val="en-GB"/>
        </w:rPr>
        <w:t xml:space="preserve"> Health Systems to provide a space for talent to thrive. Such a strategy would enable the organisation to enjoy sustainable innovation, enhance its organisational performance and maintain a long-term competitive edge while dealing with workforce issues that the organisation is currently encountering. </w:t>
      </w:r>
    </w:p>
    <w:bookmarkStart w:id="6" w:name="_Toc242788499"/>
    <w:p w14:paraId="38389F13">
      <w:pPr>
        <w:pStyle w:val="style1"/>
        <w:spacing w:before="0" w:after="120"/>
        <w:rPr>
          <w:lang w:val="en-GB"/>
        </w:rPr>
      </w:pPr>
      <w:r>
        <w:rPr>
          <w:lang w:val="en-GB"/>
        </w:rPr>
        <w:t>Task C: Reflective Report</w:t>
      </w:r>
      <w:bookmarkEnd w:id="6"/>
    </w:p>
    <w:bookmarkStart w:id="7" w:name="_Toc242788500"/>
    <w:p w14:paraId="6F3B7B49">
      <w:pPr>
        <w:pStyle w:val="style2"/>
        <w:numPr>
          <w:ilvl w:val="0"/>
          <w:numId w:val="8"/>
        </w:numPr>
        <w:spacing w:before="0" w:after="120"/>
        <w:rPr>
          <w:lang w:val="en-GB"/>
        </w:rPr>
      </w:pPr>
      <w:r>
        <w:rPr>
          <w:lang w:val="en-GB"/>
        </w:rPr>
        <w:t>Artificial Intelligence as a Strategic Decision-Support Tool in Human Resource Management</w:t>
      </w:r>
      <w:bookmarkEnd w:id="7"/>
    </w:p>
    <w:p w14:paraId="57F58220">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Artificial intelligence (AI) is making a big splash in the Human Resource Management (HRM) landscape, lending a greater speed, accuracy and efficacy to HR decision making. HR professionals can leverage AI to aid in recruitment, workforce planning, analysing employee engagement, performance management and learning and development. AI uses data analytics and predictive modelling to detect trends and make decisions based on facts and data to increase the performance of the organisation. However, despite these advantages, AI can be considered a decision support tool, not a decision maker. HR barring cannot be relieved of the obligation to ensure fairness, ethical judgment and employee well-being. Algorithmic biases can exist within AI systems, and they can raise privacy issues, possibly missing contextual factors that affect human </w:t>
      </w:r>
      <w:r>
        <w:rPr>
          <w:rFonts w:ascii="Times New Roman" w:cs="Times New Roman" w:hAnsi="Times New Roman"/>
          <w:lang w:val="en-GB"/>
        </w:rPr>
        <w:t>behaviour</w:t>
      </w:r>
      <w:r>
        <w:rPr>
          <w:rFonts w:ascii="Times New Roman" w:cs="Times New Roman" w:hAnsi="Times New Roman"/>
          <w:lang w:val="en-GB"/>
        </w:rPr>
        <w:t>. </w:t>
      </w:r>
    </w:p>
    <w:bookmarkStart w:id="8" w:name="_Toc242788501"/>
    <w:p w14:paraId="008DE0F7">
      <w:pPr>
        <w:pStyle w:val="style2"/>
        <w:spacing w:before="0" w:after="120"/>
        <w:rPr>
          <w:lang w:val="en-GB"/>
        </w:rPr>
      </w:pPr>
      <w:r>
        <w:rPr>
          <w:lang w:val="en-GB"/>
        </w:rPr>
        <w:t>Reflective Analysis of My Use of Artificial Intelligence</w:t>
      </w:r>
      <w:bookmarkEnd w:id="8"/>
    </w:p>
    <w:p w14:paraId="5DFC2750">
      <w:pPr>
        <w:pStyle w:val="style0"/>
        <w:spacing w:after="120" w:lineRule="auto" w:line="360"/>
        <w:jc w:val="both"/>
        <w:rPr>
          <w:rFonts w:ascii="Times New Roman" w:cs="Times New Roman" w:hAnsi="Times New Roman"/>
          <w:lang w:val="en-GB"/>
        </w:rPr>
      </w:pPr>
      <w:r>
        <w:rPr>
          <w:rFonts w:ascii="Times New Roman" w:cs="Times New Roman" w:hAnsi="Times New Roman"/>
          <w:b/>
          <w:bCs/>
          <w:lang w:val="en-GB"/>
        </w:rPr>
        <w:t>Example 1: Assignment Planning and Structuring</w:t>
      </w:r>
    </w:p>
    <w:p w14:paraId="2D7D2220">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The AI tool has been used by me in organising the content of my assignments and creating a structure for academic reports. With the help of the AI, I understood the relationship between various concepts and was able to create strong arguments. Even though this has helped me in improving my organisation, I have found out that over-reliance on AI could affect my creative ability. Thus, I have learnt to use AI not only as an aide but also as a tool to enhance my analytical and evaluative skills.</w:t>
      </w:r>
    </w:p>
    <w:p w14:paraId="3492E072">
      <w:pPr>
        <w:pStyle w:val="style0"/>
        <w:spacing w:after="120" w:lineRule="auto" w:line="360"/>
        <w:jc w:val="both"/>
        <w:rPr>
          <w:rFonts w:ascii="Times New Roman" w:cs="Times New Roman" w:hAnsi="Times New Roman"/>
          <w:lang w:val="en-GB"/>
        </w:rPr>
      </w:pPr>
      <w:r>
        <w:rPr>
          <w:rFonts w:ascii="Times New Roman" w:cs="Times New Roman" w:hAnsi="Times New Roman"/>
          <w:b/>
          <w:bCs/>
          <w:lang w:val="en-GB"/>
        </w:rPr>
        <w:t>Example 2: Proofreading and Academic Writing Support</w:t>
      </w:r>
    </w:p>
    <w:p w14:paraId="01B93F73">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A vital application of AI was that of proofreading academic writing. Through the aid of AI tools, grammatical mistakes were detected and sentences were restructured for better readability. This resulted in improving my academic writing skills as well as making my work more professional. However, the proposed changes in the draft often changed the essence of the argument. In this way, I understood that the suggestions of AI should not be accepted blindly. Review is required to make sure that the end result truly represents my thoughts.</w:t>
      </w:r>
    </w:p>
    <w:bookmarkStart w:id="9" w:name="_Toc242788502"/>
    <w:p w14:paraId="024C7CFC">
      <w:pPr>
        <w:pStyle w:val="style2"/>
        <w:spacing w:before="0" w:after="120"/>
        <w:rPr>
          <w:lang w:val="en-GB"/>
        </w:rPr>
      </w:pPr>
      <w:r>
        <w:rPr>
          <w:lang w:val="en-GB"/>
        </w:rPr>
        <w:t>Personal Capability Development Plan</w:t>
      </w:r>
      <w:bookmarkEnd w:id="9"/>
    </w:p>
    <w:tbl>
      <w:tblPr>
        <w:tblStyle w:val="style4112"/>
        <w:tblW w:w="0" w:type="auto"/>
        <w:tblLook w:val="04A0" w:firstRow="1" w:lastRow="0" w:firstColumn="1" w:lastColumn="0" w:noHBand="0" w:noVBand="1"/>
      </w:tblPr>
      <w:tblGrid>
        <w:gridCol w:w="2035"/>
        <w:gridCol w:w="2025"/>
        <w:gridCol w:w="1796"/>
        <w:gridCol w:w="1374"/>
        <w:gridCol w:w="1791"/>
      </w:tblGrid>
      <w:tr w14:paraId="7DA2777C">
        <w:trPr>
          <w:trHeight w:val="890" w:hRule="atLeast"/>
        </w:trPr>
        <w:tc>
          <w:tcPr>
            <w:tcW w:w="0" w:type="auto"/>
            <w:tcBorders/>
            <w:hideMark/>
          </w:tcPr>
          <w:p w14:paraId="4B638C17">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Development Area</w:t>
            </w:r>
          </w:p>
        </w:tc>
        <w:tc>
          <w:tcPr>
            <w:tcW w:w="0" w:type="auto"/>
            <w:tcBorders/>
            <w:hideMark/>
          </w:tcPr>
          <w:p w14:paraId="45021F35">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Current Position</w:t>
            </w:r>
          </w:p>
        </w:tc>
        <w:tc>
          <w:tcPr>
            <w:tcW w:w="0" w:type="auto"/>
            <w:tcBorders/>
            <w:hideMark/>
          </w:tcPr>
          <w:p w14:paraId="7D73FE5B">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Development Action</w:t>
            </w:r>
          </w:p>
        </w:tc>
        <w:tc>
          <w:tcPr>
            <w:tcW w:w="0" w:type="auto"/>
            <w:tcBorders/>
            <w:hideMark/>
          </w:tcPr>
          <w:p w14:paraId="65F1DB8C">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Timescale</w:t>
            </w:r>
          </w:p>
        </w:tc>
        <w:tc>
          <w:tcPr>
            <w:tcW w:w="0" w:type="auto"/>
            <w:tcBorders/>
            <w:hideMark/>
          </w:tcPr>
          <w:p w14:paraId="0A8078AF">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Expected Outcome</w:t>
            </w:r>
          </w:p>
        </w:tc>
      </w:tr>
      <w:tr w14:paraId="798291ED">
        <w:tblPrEx/>
        <w:trPr>
          <w:trHeight w:val="2165" w:hRule="atLeast"/>
        </w:trPr>
        <w:tc>
          <w:tcPr>
            <w:tcW w:w="0" w:type="auto"/>
            <w:tcBorders/>
            <w:hideMark/>
          </w:tcPr>
          <w:p w14:paraId="5CCECCCD">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HR Analytics and Data Interpretation</w:t>
            </w:r>
          </w:p>
        </w:tc>
        <w:tc>
          <w:tcPr>
            <w:tcW w:w="0" w:type="auto"/>
            <w:tcBorders/>
            <w:hideMark/>
          </w:tcPr>
          <w:p w14:paraId="0493BEF3">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Basic understanding of workforce data analysis</w:t>
            </w:r>
          </w:p>
        </w:tc>
        <w:tc>
          <w:tcPr>
            <w:tcW w:w="0" w:type="auto"/>
            <w:tcBorders/>
            <w:hideMark/>
          </w:tcPr>
          <w:p w14:paraId="33112806">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Complete an HR Analytics certification and practise using workforce analytics tools</w:t>
            </w:r>
          </w:p>
        </w:tc>
        <w:tc>
          <w:tcPr>
            <w:tcW w:w="0" w:type="auto"/>
            <w:tcBorders/>
            <w:hideMark/>
          </w:tcPr>
          <w:p w14:paraId="34394D6A">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Within 12 months</w:t>
            </w:r>
          </w:p>
        </w:tc>
        <w:tc>
          <w:tcPr>
            <w:tcW w:w="0" w:type="auto"/>
            <w:tcBorders/>
            <w:hideMark/>
          </w:tcPr>
          <w:p w14:paraId="155BB02E">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Improved ability to make evidence-based HR decisions</w:t>
            </w:r>
          </w:p>
        </w:tc>
      </w:tr>
      <w:tr w14:paraId="19B2E904">
        <w:tblPrEx/>
        <w:trPr>
          <w:trHeight w:val="2165" w:hRule="atLeast"/>
        </w:trPr>
        <w:tc>
          <w:tcPr>
            <w:tcW w:w="0" w:type="auto"/>
            <w:tcBorders/>
            <w:hideMark/>
          </w:tcPr>
          <w:p w14:paraId="21251A4D">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AI Ethics and Governance</w:t>
            </w:r>
          </w:p>
        </w:tc>
        <w:tc>
          <w:tcPr>
            <w:tcW w:w="0" w:type="auto"/>
            <w:tcBorders/>
            <w:hideMark/>
          </w:tcPr>
          <w:p w14:paraId="276EB059">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Limited practical knowledge of AI regulation and ethical concerns</w:t>
            </w:r>
          </w:p>
        </w:tc>
        <w:tc>
          <w:tcPr>
            <w:tcW w:w="0" w:type="auto"/>
            <w:tcBorders/>
            <w:hideMark/>
          </w:tcPr>
          <w:p w14:paraId="5C701EE5">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 xml:space="preserve">Attend professional training on AI ethics, data protection and </w:t>
            </w:r>
            <w:r>
              <w:rPr>
                <w:rFonts w:ascii="Times New Roman" w:cs="Times New Roman" w:hAnsi="Times New Roman"/>
                <w:color w:val="auto"/>
                <w:lang w:val="en-GB"/>
              </w:rPr>
              <w:t>responsible AI use</w:t>
            </w:r>
          </w:p>
        </w:tc>
        <w:tc>
          <w:tcPr>
            <w:tcW w:w="0" w:type="auto"/>
            <w:tcBorders/>
            <w:hideMark/>
          </w:tcPr>
          <w:p w14:paraId="545E2BDB">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Within 6 months</w:t>
            </w:r>
          </w:p>
        </w:tc>
        <w:tc>
          <w:tcPr>
            <w:tcW w:w="0" w:type="auto"/>
            <w:tcBorders/>
            <w:hideMark/>
          </w:tcPr>
          <w:p w14:paraId="3BC54348">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Enhanced capability to use AI responsibly within HR functions</w:t>
            </w:r>
          </w:p>
        </w:tc>
      </w:tr>
      <w:tr w14:paraId="548FE648">
        <w:tblPrEx/>
        <w:trPr>
          <w:trHeight w:val="1850" w:hRule="atLeast"/>
        </w:trPr>
        <w:tc>
          <w:tcPr>
            <w:tcW w:w="0" w:type="auto"/>
            <w:tcBorders/>
            <w:hideMark/>
          </w:tcPr>
          <w:p w14:paraId="7FA1F958">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Strategic HRM Knowledge</w:t>
            </w:r>
          </w:p>
        </w:tc>
        <w:tc>
          <w:tcPr>
            <w:tcW w:w="0" w:type="auto"/>
            <w:tcBorders/>
            <w:hideMark/>
          </w:tcPr>
          <w:p w14:paraId="03E79C55">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Developing understanding through MBA studies</w:t>
            </w:r>
          </w:p>
        </w:tc>
        <w:tc>
          <w:tcPr>
            <w:tcW w:w="0" w:type="auto"/>
            <w:tcBorders/>
            <w:hideMark/>
          </w:tcPr>
          <w:p w14:paraId="676529FD">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Engage with current HR research, industry reports and CIPD resources</w:t>
            </w:r>
          </w:p>
        </w:tc>
        <w:tc>
          <w:tcPr>
            <w:tcW w:w="0" w:type="auto"/>
            <w:tcBorders/>
            <w:hideMark/>
          </w:tcPr>
          <w:p w14:paraId="2F08C932">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Ongoing</w:t>
            </w:r>
          </w:p>
        </w:tc>
        <w:tc>
          <w:tcPr>
            <w:tcW w:w="0" w:type="auto"/>
            <w:tcBorders/>
            <w:hideMark/>
          </w:tcPr>
          <w:p w14:paraId="7F1B476C">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Stronger strategic thinking and decision-making skills</w:t>
            </w:r>
          </w:p>
        </w:tc>
      </w:tr>
      <w:tr w14:paraId="018C1973">
        <w:tblPrEx/>
        <w:trPr>
          <w:trHeight w:val="2165" w:hRule="atLeast"/>
        </w:trPr>
        <w:tc>
          <w:tcPr>
            <w:tcW w:w="0" w:type="auto"/>
            <w:tcBorders/>
            <w:hideMark/>
          </w:tcPr>
          <w:p w14:paraId="2F822F4D">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Leadership and Communication Skills</w:t>
            </w:r>
          </w:p>
        </w:tc>
        <w:tc>
          <w:tcPr>
            <w:tcW w:w="0" w:type="auto"/>
            <w:tcBorders/>
            <w:hideMark/>
          </w:tcPr>
          <w:p w14:paraId="305D59F7">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Moderate confidence in professional communication</w:t>
            </w:r>
          </w:p>
        </w:tc>
        <w:tc>
          <w:tcPr>
            <w:tcW w:w="0" w:type="auto"/>
            <w:tcBorders/>
            <w:hideMark/>
          </w:tcPr>
          <w:p w14:paraId="08512D07">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Participate in group projects, networking events and leadership workshops</w:t>
            </w:r>
          </w:p>
        </w:tc>
        <w:tc>
          <w:tcPr>
            <w:tcW w:w="0" w:type="auto"/>
            <w:tcBorders/>
            <w:hideMark/>
          </w:tcPr>
          <w:p w14:paraId="2D392648">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Within 12 months</w:t>
            </w:r>
          </w:p>
        </w:tc>
        <w:tc>
          <w:tcPr>
            <w:tcW w:w="0" w:type="auto"/>
            <w:tcBorders/>
            <w:hideMark/>
          </w:tcPr>
          <w:p w14:paraId="047E6F9A">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Improved stakeholder management and leadership effectiveness</w:t>
            </w:r>
          </w:p>
        </w:tc>
      </w:tr>
      <w:tr w14:paraId="2DEFDA03">
        <w:tblPrEx/>
        <w:trPr>
          <w:trHeight w:val="1850" w:hRule="atLeast"/>
        </w:trPr>
        <w:tc>
          <w:tcPr>
            <w:tcW w:w="0" w:type="auto"/>
            <w:tcBorders/>
            <w:hideMark/>
          </w:tcPr>
          <w:p w14:paraId="76B91496">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Continuous Professional Development</w:t>
            </w:r>
          </w:p>
        </w:tc>
        <w:tc>
          <w:tcPr>
            <w:tcW w:w="0" w:type="auto"/>
            <w:tcBorders/>
            <w:hideMark/>
          </w:tcPr>
          <w:p w14:paraId="3557A718">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Academic learning is the primary source of development</w:t>
            </w:r>
          </w:p>
        </w:tc>
        <w:tc>
          <w:tcPr>
            <w:tcW w:w="0" w:type="auto"/>
            <w:tcBorders/>
            <w:hideMark/>
          </w:tcPr>
          <w:p w14:paraId="7EB2189C">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Attend webinars, professional conferences and HR networking events</w:t>
            </w:r>
          </w:p>
        </w:tc>
        <w:tc>
          <w:tcPr>
            <w:tcW w:w="0" w:type="auto"/>
            <w:tcBorders/>
            <w:hideMark/>
          </w:tcPr>
          <w:p w14:paraId="11671129">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Ongoing</w:t>
            </w:r>
          </w:p>
        </w:tc>
        <w:tc>
          <w:tcPr>
            <w:tcW w:w="0" w:type="auto"/>
            <w:tcBorders/>
            <w:hideMark/>
          </w:tcPr>
          <w:p w14:paraId="3A0A085E">
            <w:pPr>
              <w:pStyle w:val="style0"/>
              <w:spacing w:after="120" w:lineRule="auto" w:line="360"/>
              <w:jc w:val="both"/>
              <w:rPr>
                <w:rFonts w:ascii="Times New Roman" w:cs="Times New Roman" w:hAnsi="Times New Roman"/>
                <w:color w:val="auto"/>
                <w:lang w:val="en-GB"/>
              </w:rPr>
            </w:pPr>
            <w:r>
              <w:rPr>
                <w:rFonts w:ascii="Times New Roman" w:cs="Times New Roman" w:hAnsi="Times New Roman"/>
                <w:color w:val="auto"/>
                <w:lang w:val="en-GB"/>
              </w:rPr>
              <w:t>Increased employability and professional competence</w:t>
            </w:r>
          </w:p>
        </w:tc>
      </w:tr>
    </w:tbl>
    <w:p w14:paraId="55C6BE8A">
      <w:pPr>
        <w:pStyle w:val="style0"/>
        <w:spacing w:after="120" w:lineRule="auto" w:line="360"/>
        <w:jc w:val="center"/>
        <w:rPr>
          <w:rFonts w:ascii="Times New Roman" w:cs="Times New Roman" w:hAnsi="Times New Roman"/>
          <w:b/>
          <w:bCs/>
          <w:lang w:val="en-GB"/>
        </w:rPr>
      </w:pPr>
      <w:r>
        <w:rPr>
          <w:rFonts w:ascii="Times New Roman" w:cs="Times New Roman" w:hAnsi="Times New Roman"/>
          <w:b/>
          <w:bCs/>
          <w:lang w:val="en-GB"/>
        </w:rPr>
        <w:t>Table 1: Personal development plan</w:t>
      </w:r>
    </w:p>
    <w:p w14:paraId="321DED25">
      <w:pPr>
        <w:pStyle w:val="style0"/>
        <w:spacing w:after="120" w:lineRule="auto" w:line="360"/>
        <w:jc w:val="center"/>
        <w:rPr>
          <w:rFonts w:ascii="Times New Roman" w:cs="Times New Roman" w:hAnsi="Times New Roman"/>
          <w:lang w:val="en-GB"/>
        </w:rPr>
      </w:pPr>
      <w:r>
        <w:rPr>
          <w:rFonts w:ascii="Times New Roman" w:cs="Times New Roman" w:hAnsi="Times New Roman"/>
          <w:lang w:val="en-GB"/>
        </w:rPr>
        <w:t>(Source: Self developed)</w:t>
      </w:r>
    </w:p>
    <w:p w14:paraId="658B7317">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The personal capability development plan is designed to improve the competencies needed to successfully practice in the future in Human Resource Management. This will increase my employment opportunities and make me prepared to work on strategic HRM initiatives. </w:t>
      </w:r>
    </w:p>
    <w:p w14:paraId="0FEE5482">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br w:type="page"/>
      </w:r>
    </w:p>
    <w:bookmarkStart w:id="10" w:name="_Toc242788503"/>
    <w:p w14:paraId="27CF256B">
      <w:pPr>
        <w:pStyle w:val="style1"/>
        <w:spacing w:before="0" w:after="120"/>
        <w:rPr>
          <w:lang w:val="en-GB"/>
        </w:rPr>
      </w:pPr>
      <w:r>
        <w:rPr>
          <w:lang w:val="en-GB"/>
        </w:rPr>
        <w:t>References</w:t>
      </w:r>
      <w:bookmarkEnd w:id="10"/>
      <w:r>
        <w:rPr>
          <w:lang w:val="en-GB"/>
        </w:rPr>
        <w:t xml:space="preserve"> </w:t>
      </w:r>
    </w:p>
    <w:p w14:paraId="097AA1D9">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Alalawi</w:t>
      </w:r>
      <w:r>
        <w:rPr>
          <w:rFonts w:ascii="Times New Roman" w:cs="Times New Roman" w:hAnsi="Times New Roman"/>
          <w:lang w:val="en-GB"/>
        </w:rPr>
        <w:t xml:space="preserve">, N.S. and </w:t>
      </w:r>
      <w:r>
        <w:rPr>
          <w:rFonts w:ascii="Times New Roman" w:cs="Times New Roman" w:hAnsi="Times New Roman"/>
          <w:lang w:val="en-GB"/>
        </w:rPr>
        <w:t>Elghonaimy</w:t>
      </w:r>
      <w:r>
        <w:rPr>
          <w:rFonts w:ascii="Times New Roman" w:cs="Times New Roman" w:hAnsi="Times New Roman"/>
          <w:lang w:val="en-GB"/>
        </w:rPr>
        <w:t xml:space="preserve">, I., 2024. Analysing the social impacts of urbanization on traditional and contemporary trading environments: The case of Bahrain. </w:t>
      </w:r>
      <w:r>
        <w:rPr>
          <w:rFonts w:ascii="Times New Roman" w:cs="Times New Roman" w:hAnsi="Times New Roman"/>
          <w:i/>
          <w:iCs/>
          <w:lang w:val="en-GB"/>
        </w:rPr>
        <w:t>Journal of Contemporary Urban Affairs</w:t>
      </w:r>
      <w:r>
        <w:rPr>
          <w:rFonts w:ascii="Times New Roman" w:cs="Times New Roman" w:hAnsi="Times New Roman"/>
          <w:lang w:val="en-GB"/>
        </w:rPr>
        <w:t xml:space="preserve">, </w:t>
      </w:r>
      <w:r>
        <w:rPr>
          <w:rFonts w:ascii="Times New Roman" w:cs="Times New Roman" w:hAnsi="Times New Roman"/>
          <w:i/>
          <w:iCs/>
          <w:lang w:val="en-GB"/>
        </w:rPr>
        <w:t>8</w:t>
      </w:r>
      <w:r>
        <w:rPr>
          <w:rFonts w:ascii="Times New Roman" w:cs="Times New Roman" w:hAnsi="Times New Roman"/>
          <w:lang w:val="en-GB"/>
        </w:rPr>
        <w:t xml:space="preserve">(1), pp.79-101. Available </w:t>
      </w:r>
      <w:r>
        <w:rPr>
          <w:rFonts w:ascii="Times New Roman" w:cs="Times New Roman" w:hAnsi="Times New Roman"/>
          <w:lang w:val="en-GB"/>
        </w:rPr>
        <w:t>at:</w:t>
      </w:r>
      <w:r>
        <w:rPr/>
        <w:fldChar w:fldCharType="begin"/>
      </w:r>
      <w:r>
        <w:instrText xml:space="preserve"> HYPERLINK "https://www.ijcua.com/ijcua/article/download/400/573" </w:instrText>
      </w:r>
      <w:r>
        <w:rPr/>
        <w:fldChar w:fldCharType="separate"/>
      </w:r>
      <w:r>
        <w:rPr>
          <w:rStyle w:val="style85"/>
          <w:rFonts w:ascii="Times New Roman" w:cs="Times New Roman" w:hAnsi="Times New Roman"/>
          <w:lang w:val="en-GB"/>
        </w:rPr>
        <w:t>https</w:t>
      </w:r>
      <w:r>
        <w:rPr>
          <w:rStyle w:val="style85"/>
          <w:rFonts w:ascii="Times New Roman" w:cs="Times New Roman" w:hAnsi="Times New Roman"/>
          <w:lang w:val="en-GB"/>
        </w:rPr>
        <w:t>://www.ijcua.com/ijcua/article/download/400/573</w:t>
      </w:r>
      <w:r>
        <w:rPr/>
        <w:fldChar w:fldCharType="end"/>
      </w:r>
      <w:r>
        <w:rPr>
          <w:rFonts w:ascii="Times New Roman" w:cs="Times New Roman" w:hAnsi="Times New Roman"/>
          <w:lang w:val="en-GB"/>
        </w:rPr>
        <w:t xml:space="preserve"> </w:t>
      </w:r>
    </w:p>
    <w:p w14:paraId="409FA6EC">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Corrigan, V.K., Newman, R.L., Richmond, P., Strand, E.B. and Vaisman, J.M., 2025. The future of flourishing in veterinary medicine: a systems-informed positive psychology approach in veterinary education. </w:t>
      </w:r>
      <w:r>
        <w:rPr>
          <w:rFonts w:ascii="Times New Roman" w:cs="Times New Roman" w:hAnsi="Times New Roman"/>
          <w:i/>
          <w:iCs/>
          <w:lang w:val="en-GB"/>
        </w:rPr>
        <w:t>Frontiers in Veterinary Science</w:t>
      </w:r>
      <w:r>
        <w:rPr>
          <w:rFonts w:ascii="Times New Roman" w:cs="Times New Roman" w:hAnsi="Times New Roman"/>
          <w:lang w:val="en-GB"/>
        </w:rPr>
        <w:t xml:space="preserve">, </w:t>
      </w:r>
      <w:r>
        <w:rPr>
          <w:rFonts w:ascii="Times New Roman" w:cs="Times New Roman" w:hAnsi="Times New Roman"/>
          <w:i/>
          <w:iCs/>
          <w:lang w:val="en-GB"/>
        </w:rPr>
        <w:t>11</w:t>
      </w:r>
      <w:r>
        <w:rPr>
          <w:rFonts w:ascii="Times New Roman" w:cs="Times New Roman" w:hAnsi="Times New Roman"/>
          <w:lang w:val="en-GB"/>
        </w:rPr>
        <w:t xml:space="preserve">, p.1484412.  Available at: </w:t>
      </w:r>
      <w:r>
        <w:rPr/>
        <w:fldChar w:fldCharType="begin"/>
      </w:r>
      <w:r>
        <w:instrText xml:space="preserve"> HYPERLINK "https://research-portal.uu.nl/ws/files/205658236/1-s2.0-S0020748923001323-main.pdf" </w:instrText>
      </w:r>
      <w:r>
        <w:rPr/>
        <w:fldChar w:fldCharType="separate"/>
      </w:r>
      <w:r>
        <w:rPr>
          <w:rStyle w:val="style85"/>
          <w:rFonts w:ascii="Times New Roman" w:cs="Times New Roman" w:hAnsi="Times New Roman"/>
          <w:lang w:val="en-GB"/>
        </w:rPr>
        <w:t>https://research-portal.uu.nl/ws/files/205658236/1-s2.0-S0020748923001323-main.pdf</w:t>
      </w:r>
      <w:r>
        <w:rPr/>
        <w:fldChar w:fldCharType="end"/>
      </w:r>
      <w:r>
        <w:rPr>
          <w:rFonts w:ascii="Times New Roman" w:cs="Times New Roman" w:hAnsi="Times New Roman"/>
          <w:lang w:val="en-GB"/>
        </w:rPr>
        <w:t xml:space="preserve"> </w:t>
      </w:r>
    </w:p>
    <w:p w14:paraId="47D38234">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Donald, W.E., 2023. Sustainable talent pipelines and person-organisation fit: strategic insights from UK graduates. </w:t>
      </w:r>
      <w:r>
        <w:rPr>
          <w:rFonts w:ascii="Times New Roman" w:cs="Times New Roman" w:hAnsi="Times New Roman"/>
          <w:i/>
          <w:iCs/>
          <w:lang w:val="en-GB"/>
        </w:rPr>
        <w:t>Career Development International</w:t>
      </w:r>
      <w:r>
        <w:rPr>
          <w:rFonts w:ascii="Times New Roman" w:cs="Times New Roman" w:hAnsi="Times New Roman"/>
          <w:lang w:val="en-GB"/>
        </w:rPr>
        <w:t xml:space="preserve">, </w:t>
      </w:r>
      <w:r>
        <w:rPr>
          <w:rFonts w:ascii="Times New Roman" w:cs="Times New Roman" w:hAnsi="Times New Roman"/>
          <w:i/>
          <w:iCs/>
          <w:lang w:val="en-GB"/>
        </w:rPr>
        <w:t>28</w:t>
      </w:r>
      <w:r>
        <w:rPr>
          <w:rFonts w:ascii="Times New Roman" w:cs="Times New Roman" w:hAnsi="Times New Roman"/>
          <w:lang w:val="en-GB"/>
        </w:rPr>
        <w:t xml:space="preserve">(2), pp.234-249.  Available at: </w:t>
      </w:r>
      <w:r>
        <w:rPr/>
        <w:fldChar w:fldCharType="begin"/>
      </w:r>
      <w:r>
        <w:instrText xml:space="preserve"> HYPERLINK "https://eprints.soton.ac.uk/482748/1/Accepted_Version.pdf" </w:instrText>
      </w:r>
      <w:r>
        <w:rPr/>
        <w:fldChar w:fldCharType="separate"/>
      </w:r>
      <w:r>
        <w:rPr>
          <w:rStyle w:val="style85"/>
          <w:rFonts w:ascii="Times New Roman" w:cs="Times New Roman" w:hAnsi="Times New Roman"/>
          <w:lang w:val="en-GB"/>
        </w:rPr>
        <w:t>https://eprints.soton.ac.uk/482748/1/Accepted_Version.pdf</w:t>
      </w:r>
      <w:r>
        <w:rPr/>
        <w:fldChar w:fldCharType="end"/>
      </w:r>
      <w:r>
        <w:rPr>
          <w:rFonts w:ascii="Times New Roman" w:cs="Times New Roman" w:hAnsi="Times New Roman"/>
          <w:lang w:val="en-GB"/>
        </w:rPr>
        <w:t xml:space="preserve"> </w:t>
      </w:r>
    </w:p>
    <w:p w14:paraId="1836CFE6">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Elendu</w:t>
      </w:r>
      <w:r>
        <w:rPr>
          <w:rFonts w:ascii="Times New Roman" w:cs="Times New Roman" w:hAnsi="Times New Roman"/>
          <w:lang w:val="en-GB"/>
        </w:rPr>
        <w:t xml:space="preserve">, C., 2024. The evolution of ancient healing practices: From shamanism to Hippocratic medicine: A review. </w:t>
      </w:r>
      <w:r>
        <w:rPr>
          <w:rFonts w:ascii="Times New Roman" w:cs="Times New Roman" w:hAnsi="Times New Roman"/>
          <w:i/>
          <w:iCs/>
          <w:lang w:val="en-GB"/>
        </w:rPr>
        <w:t>Medicine</w:t>
      </w:r>
      <w:r>
        <w:rPr>
          <w:rFonts w:ascii="Times New Roman" w:cs="Times New Roman" w:hAnsi="Times New Roman"/>
          <w:lang w:val="en-GB"/>
        </w:rPr>
        <w:t xml:space="preserve">, </w:t>
      </w:r>
      <w:r>
        <w:rPr>
          <w:rFonts w:ascii="Times New Roman" w:cs="Times New Roman" w:hAnsi="Times New Roman"/>
          <w:i/>
          <w:iCs/>
          <w:lang w:val="en-GB"/>
        </w:rPr>
        <w:t>103</w:t>
      </w:r>
      <w:r>
        <w:rPr>
          <w:rFonts w:ascii="Times New Roman" w:cs="Times New Roman" w:hAnsi="Times New Roman"/>
          <w:lang w:val="en-GB"/>
        </w:rPr>
        <w:t xml:space="preserve">(28), p.e39005.  Available at: </w:t>
      </w:r>
      <w:r>
        <w:rPr/>
        <w:fldChar w:fldCharType="begin"/>
      </w:r>
      <w:r>
        <w:instrText xml:space="preserve"> HYPERLINK "https://pmc.ncbi.nlm.nih.gov/articles/PMC11245246/pdf/medi-103-e39005.pdf" </w:instrText>
      </w:r>
      <w:r>
        <w:rPr/>
        <w:fldChar w:fldCharType="separate"/>
      </w:r>
      <w:r>
        <w:rPr>
          <w:rStyle w:val="style85"/>
          <w:rFonts w:ascii="Times New Roman" w:cs="Times New Roman" w:hAnsi="Times New Roman"/>
          <w:lang w:val="en-GB"/>
        </w:rPr>
        <w:t>https://pmc.ncbi.nlm.nih.gov/articles/PMC11245246/pdf/medi-103-e39005.pdf</w:t>
      </w:r>
      <w:r>
        <w:rPr/>
        <w:fldChar w:fldCharType="end"/>
      </w:r>
      <w:r>
        <w:rPr>
          <w:rFonts w:ascii="Times New Roman" w:cs="Times New Roman" w:hAnsi="Times New Roman"/>
          <w:lang w:val="en-GB"/>
        </w:rPr>
        <w:t xml:space="preserve"> </w:t>
      </w:r>
    </w:p>
    <w:p w14:paraId="09D25737">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Hauser, L.L., Harwood, C.G., </w:t>
      </w:r>
      <w:r>
        <w:rPr>
          <w:rFonts w:ascii="Times New Roman" w:cs="Times New Roman" w:hAnsi="Times New Roman"/>
          <w:lang w:val="en-GB"/>
        </w:rPr>
        <w:t>Höner</w:t>
      </w:r>
      <w:r>
        <w:rPr>
          <w:rFonts w:ascii="Times New Roman" w:cs="Times New Roman" w:hAnsi="Times New Roman"/>
          <w:lang w:val="en-GB"/>
        </w:rPr>
        <w:t xml:space="preserve">, O., O’Connor, D. and Wachsmuth, S., 2024. Talent development environments within sports: A scoping review examining functional and dysfunctional environmental features. </w:t>
      </w:r>
      <w:r>
        <w:rPr>
          <w:rFonts w:ascii="Times New Roman" w:cs="Times New Roman" w:hAnsi="Times New Roman"/>
          <w:i/>
          <w:iCs/>
          <w:lang w:val="en-GB"/>
        </w:rPr>
        <w:t>International Review of Sport and Exercise Psychology</w:t>
      </w:r>
      <w:r>
        <w:rPr>
          <w:rFonts w:ascii="Times New Roman" w:cs="Times New Roman" w:hAnsi="Times New Roman"/>
          <w:lang w:val="en-GB"/>
        </w:rPr>
        <w:t xml:space="preserve">, </w:t>
      </w:r>
      <w:r>
        <w:rPr>
          <w:rFonts w:ascii="Times New Roman" w:cs="Times New Roman" w:hAnsi="Times New Roman"/>
          <w:i/>
          <w:iCs/>
          <w:lang w:val="en-GB"/>
        </w:rPr>
        <w:t>17</w:t>
      </w:r>
      <w:r>
        <w:rPr>
          <w:rFonts w:ascii="Times New Roman" w:cs="Times New Roman" w:hAnsi="Times New Roman"/>
          <w:lang w:val="en-GB"/>
        </w:rPr>
        <w:t xml:space="preserve">(2), pp.1105-1131.  Available at: </w:t>
      </w:r>
      <w:r>
        <w:rPr/>
        <w:fldChar w:fldCharType="begin"/>
      </w:r>
      <w:r>
        <w:instrText xml:space="preserve"> HYPERLINK "https://repository.lboro.ac.uk/articles/journal_contribution/Talent_development_environments_within_sports_a_scoping_review_examining_functional_and_dysfunctional_environmental_features/21393786/1/files/37982034.pdf" </w:instrText>
      </w:r>
      <w:r>
        <w:rPr/>
        <w:fldChar w:fldCharType="separate"/>
      </w:r>
      <w:r>
        <w:rPr>
          <w:rStyle w:val="style85"/>
          <w:rFonts w:ascii="Times New Roman" w:cs="Times New Roman" w:hAnsi="Times New Roman"/>
          <w:lang w:val="en-GB"/>
        </w:rPr>
        <w:t>https://repository.lboro.ac.uk/articles/journal_contribution/Talent_development_environments_within_sports_a_scoping_review_examining_functional_and_dysfunctional_environmental_features/21393786/1/files/37982034.pdf</w:t>
      </w:r>
      <w:r>
        <w:rPr/>
        <w:fldChar w:fldCharType="end"/>
      </w:r>
      <w:r>
        <w:rPr>
          <w:rFonts w:ascii="Times New Roman" w:cs="Times New Roman" w:hAnsi="Times New Roman"/>
          <w:lang w:val="en-GB"/>
        </w:rPr>
        <w:t xml:space="preserve"> </w:t>
      </w:r>
    </w:p>
    <w:p w14:paraId="65689658">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Huang, Y., Li, K. and Li, P., 2023. Innovation ecosystems and national talent competitiveness: A country-based comparison using </w:t>
      </w:r>
      <w:r>
        <w:rPr>
          <w:rFonts w:ascii="Times New Roman" w:cs="Times New Roman" w:hAnsi="Times New Roman"/>
          <w:lang w:val="en-GB"/>
        </w:rPr>
        <w:t>fsQCA</w:t>
      </w:r>
      <w:r>
        <w:rPr>
          <w:rFonts w:ascii="Times New Roman" w:cs="Times New Roman" w:hAnsi="Times New Roman"/>
          <w:lang w:val="en-GB"/>
        </w:rPr>
        <w:t xml:space="preserve">. </w:t>
      </w:r>
      <w:r>
        <w:rPr>
          <w:rFonts w:ascii="Times New Roman" w:cs="Times New Roman" w:hAnsi="Times New Roman"/>
          <w:i/>
          <w:iCs/>
          <w:lang w:val="en-GB"/>
        </w:rPr>
        <w:t>Technological Forecasting and Social Change</w:t>
      </w:r>
      <w:r>
        <w:rPr>
          <w:rFonts w:ascii="Times New Roman" w:cs="Times New Roman" w:hAnsi="Times New Roman"/>
          <w:lang w:val="en-GB"/>
        </w:rPr>
        <w:t xml:space="preserve">, </w:t>
      </w:r>
      <w:r>
        <w:rPr>
          <w:rFonts w:ascii="Times New Roman" w:cs="Times New Roman" w:hAnsi="Times New Roman"/>
          <w:i/>
          <w:iCs/>
          <w:lang w:val="en-GB"/>
        </w:rPr>
        <w:t>194</w:t>
      </w:r>
      <w:r>
        <w:rPr>
          <w:rFonts w:ascii="Times New Roman" w:cs="Times New Roman" w:hAnsi="Times New Roman"/>
          <w:lang w:val="en-GB"/>
        </w:rPr>
        <w:t xml:space="preserve">, p.122733.  Available at: </w:t>
      </w:r>
      <w:r>
        <w:rPr/>
        <w:fldChar w:fldCharType="begin"/>
      </w:r>
      <w:r>
        <w:instrText xml:space="preserve"> HYPERLINK "https://onlinelibrary.wiley.com/doi/pdf/10.1002/hrm.22115" </w:instrText>
      </w:r>
      <w:r>
        <w:rPr/>
        <w:fldChar w:fldCharType="separate"/>
      </w:r>
      <w:r>
        <w:rPr>
          <w:rStyle w:val="style85"/>
          <w:rFonts w:ascii="Times New Roman" w:cs="Times New Roman" w:hAnsi="Times New Roman"/>
          <w:lang w:val="en-GB"/>
        </w:rPr>
        <w:t>https://onlinelibrary.wiley.com/doi/pdf/10.1002/hrm.22115</w:t>
      </w:r>
      <w:r>
        <w:rPr/>
        <w:fldChar w:fldCharType="end"/>
      </w:r>
      <w:r>
        <w:rPr>
          <w:rFonts w:ascii="Times New Roman" w:cs="Times New Roman" w:hAnsi="Times New Roman"/>
          <w:lang w:val="en-GB"/>
        </w:rPr>
        <w:t xml:space="preserve"> </w:t>
      </w:r>
    </w:p>
    <w:p w14:paraId="785CA51A">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Kalatiku</w:t>
      </w:r>
      <w:r>
        <w:rPr>
          <w:rFonts w:ascii="Times New Roman" w:cs="Times New Roman" w:hAnsi="Times New Roman"/>
          <w:lang w:val="en-GB"/>
        </w:rPr>
        <w:t xml:space="preserve">, M., 2024. In the Digital Age, Collaboration is the First Step Toward Unlocking Innovation in the Workplace. </w:t>
      </w:r>
      <w:r>
        <w:rPr>
          <w:rFonts w:ascii="Times New Roman" w:cs="Times New Roman" w:hAnsi="Times New Roman"/>
          <w:i/>
          <w:iCs/>
          <w:lang w:val="en-GB"/>
        </w:rPr>
        <w:t>Praksis</w:t>
      </w:r>
      <w:r>
        <w:rPr>
          <w:rFonts w:ascii="Times New Roman" w:cs="Times New Roman" w:hAnsi="Times New Roman"/>
          <w:i/>
          <w:iCs/>
          <w:lang w:val="en-GB"/>
        </w:rPr>
        <w:t xml:space="preserve">: </w:t>
      </w:r>
      <w:r>
        <w:rPr>
          <w:rFonts w:ascii="Times New Roman" w:cs="Times New Roman" w:hAnsi="Times New Roman"/>
          <w:i/>
          <w:iCs/>
          <w:lang w:val="en-GB"/>
        </w:rPr>
        <w:t>Jurnal</w:t>
      </w:r>
      <w:r>
        <w:rPr>
          <w:rFonts w:ascii="Times New Roman" w:cs="Times New Roman" w:hAnsi="Times New Roman"/>
          <w:i/>
          <w:iCs/>
          <w:lang w:val="en-GB"/>
        </w:rPr>
        <w:t xml:space="preserve"> Pendidikan, </w:t>
      </w:r>
      <w:r>
        <w:rPr>
          <w:rFonts w:ascii="Times New Roman" w:cs="Times New Roman" w:hAnsi="Times New Roman"/>
          <w:i/>
          <w:iCs/>
          <w:lang w:val="en-GB"/>
        </w:rPr>
        <w:t>Budaya</w:t>
      </w:r>
      <w:r>
        <w:rPr>
          <w:rFonts w:ascii="Times New Roman" w:cs="Times New Roman" w:hAnsi="Times New Roman"/>
          <w:i/>
          <w:iCs/>
          <w:lang w:val="en-GB"/>
        </w:rPr>
        <w:t xml:space="preserve">, dan </w:t>
      </w:r>
      <w:r>
        <w:rPr>
          <w:rFonts w:ascii="Times New Roman" w:cs="Times New Roman" w:hAnsi="Times New Roman"/>
          <w:i/>
          <w:iCs/>
          <w:lang w:val="en-GB"/>
        </w:rPr>
        <w:t>Literasi</w:t>
      </w:r>
      <w:r>
        <w:rPr>
          <w:rFonts w:ascii="Times New Roman" w:cs="Times New Roman" w:hAnsi="Times New Roman"/>
          <w:lang w:val="en-GB"/>
        </w:rPr>
        <w:t xml:space="preserve">, </w:t>
      </w:r>
      <w:r>
        <w:rPr>
          <w:rFonts w:ascii="Times New Roman" w:cs="Times New Roman" w:hAnsi="Times New Roman"/>
          <w:i/>
          <w:iCs/>
          <w:lang w:val="en-GB"/>
        </w:rPr>
        <w:t>1</w:t>
      </w:r>
      <w:r>
        <w:rPr>
          <w:rFonts w:ascii="Times New Roman" w:cs="Times New Roman" w:hAnsi="Times New Roman"/>
          <w:lang w:val="en-GB"/>
        </w:rPr>
        <w:t xml:space="preserve">(2), pp.16-25.  Available at: </w:t>
      </w:r>
      <w:r>
        <w:rPr/>
        <w:fldChar w:fldCharType="begin"/>
      </w:r>
      <w:r>
        <w:instrText xml:space="preserve"> HYPERLINK "https://jurnalpraksis.com/index.php/jpal/article/download/40/20" </w:instrText>
      </w:r>
      <w:r>
        <w:rPr/>
        <w:fldChar w:fldCharType="separate"/>
      </w:r>
      <w:r>
        <w:rPr>
          <w:rStyle w:val="style85"/>
          <w:rFonts w:ascii="Times New Roman" w:cs="Times New Roman" w:hAnsi="Times New Roman"/>
          <w:lang w:val="en-GB"/>
        </w:rPr>
        <w:t>https://jurnalpraksis.com/index.php/jpal/article/download/40/20</w:t>
      </w:r>
      <w:r>
        <w:rPr/>
        <w:fldChar w:fldCharType="end"/>
      </w:r>
      <w:r>
        <w:rPr>
          <w:rFonts w:ascii="Times New Roman" w:cs="Times New Roman" w:hAnsi="Times New Roman"/>
          <w:lang w:val="en-GB"/>
        </w:rPr>
        <w:t xml:space="preserve"> </w:t>
      </w:r>
    </w:p>
    <w:p w14:paraId="1536CF4F">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Kalatiku</w:t>
      </w:r>
      <w:r>
        <w:rPr>
          <w:rFonts w:ascii="Times New Roman" w:cs="Times New Roman" w:hAnsi="Times New Roman"/>
          <w:lang w:val="en-GB"/>
        </w:rPr>
        <w:t xml:space="preserve">, M., 2025. In the Digital Age, Collaboration is the First Step Toward Unlocking Innovation in the Workplace. </w:t>
      </w:r>
      <w:r>
        <w:rPr>
          <w:rFonts w:ascii="Times New Roman" w:cs="Times New Roman" w:hAnsi="Times New Roman"/>
          <w:i/>
          <w:iCs/>
          <w:lang w:val="en-GB"/>
        </w:rPr>
        <w:t xml:space="preserve">International Journal of Christian Education and Philosophical </w:t>
      </w:r>
      <w:r>
        <w:rPr>
          <w:rFonts w:ascii="Times New Roman" w:cs="Times New Roman" w:hAnsi="Times New Roman"/>
          <w:i/>
          <w:iCs/>
          <w:lang w:val="en-GB"/>
        </w:rPr>
        <w:t>Inquiry</w:t>
      </w:r>
      <w:r>
        <w:rPr>
          <w:rFonts w:ascii="Times New Roman" w:cs="Times New Roman" w:hAnsi="Times New Roman"/>
          <w:lang w:val="en-GB"/>
        </w:rPr>
        <w:t xml:space="preserve">, </w:t>
      </w:r>
      <w:r>
        <w:rPr>
          <w:rFonts w:ascii="Times New Roman" w:cs="Times New Roman" w:hAnsi="Times New Roman"/>
          <w:i/>
          <w:iCs/>
          <w:lang w:val="en-GB"/>
        </w:rPr>
        <w:t>2</w:t>
      </w:r>
      <w:r>
        <w:rPr>
          <w:rFonts w:ascii="Times New Roman" w:cs="Times New Roman" w:hAnsi="Times New Roman"/>
          <w:lang w:val="en-GB"/>
        </w:rPr>
        <w:t xml:space="preserve">(1), pp.35-45.  Available at: </w:t>
      </w:r>
      <w:r>
        <w:rPr/>
        <w:fldChar w:fldCharType="begin"/>
      </w:r>
      <w:r>
        <w:instrText xml:space="preserve"> HYPERLINK "http://opus.uni-hohenheim.de/frontdoor.php?source_opus=2047&amp;la=de" </w:instrText>
      </w:r>
      <w:r>
        <w:rPr/>
        <w:fldChar w:fldCharType="separate"/>
      </w:r>
      <w:r>
        <w:rPr>
          <w:rStyle w:val="style85"/>
          <w:rFonts w:ascii="Times New Roman" w:cs="Times New Roman" w:hAnsi="Times New Roman"/>
          <w:lang w:val="en-GB"/>
        </w:rPr>
        <w:t>http://opus.uni-hohenheim.de/frontdoor.php?source_opus=2047&amp;la=de</w:t>
      </w:r>
      <w:r>
        <w:rPr/>
        <w:fldChar w:fldCharType="end"/>
      </w:r>
      <w:r>
        <w:rPr>
          <w:rFonts w:ascii="Times New Roman" w:cs="Times New Roman" w:hAnsi="Times New Roman"/>
          <w:lang w:val="en-GB"/>
        </w:rPr>
        <w:t xml:space="preserve"> </w:t>
      </w:r>
    </w:p>
    <w:p w14:paraId="72BBBCB9">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Leesakul</w:t>
      </w:r>
      <w:r>
        <w:rPr>
          <w:rFonts w:ascii="Times New Roman" w:cs="Times New Roman" w:hAnsi="Times New Roman"/>
          <w:lang w:val="en-GB"/>
        </w:rPr>
        <w:t xml:space="preserve">, N., Oostveen, A.M., </w:t>
      </w:r>
      <w:r>
        <w:rPr>
          <w:rFonts w:ascii="Times New Roman" w:cs="Times New Roman" w:hAnsi="Times New Roman"/>
          <w:lang w:val="en-GB"/>
        </w:rPr>
        <w:t>Eimontaite</w:t>
      </w:r>
      <w:r>
        <w:rPr>
          <w:rFonts w:ascii="Times New Roman" w:cs="Times New Roman" w:hAnsi="Times New Roman"/>
          <w:lang w:val="en-GB"/>
        </w:rPr>
        <w:t xml:space="preserve">, I., Wilson, M.L. and Hyde, R., 2022. Workplace 4.0: Exploring the implications of technology adoption in digital manufacturing on a sustainable workforce. </w:t>
      </w:r>
      <w:r>
        <w:rPr>
          <w:rFonts w:ascii="Times New Roman" w:cs="Times New Roman" w:hAnsi="Times New Roman"/>
          <w:i/>
          <w:iCs/>
          <w:lang w:val="en-GB"/>
        </w:rPr>
        <w:t>Sustainability</w:t>
      </w:r>
      <w:r>
        <w:rPr>
          <w:rFonts w:ascii="Times New Roman" w:cs="Times New Roman" w:hAnsi="Times New Roman"/>
          <w:lang w:val="en-GB"/>
        </w:rPr>
        <w:t xml:space="preserve">, </w:t>
      </w:r>
      <w:r>
        <w:rPr>
          <w:rFonts w:ascii="Times New Roman" w:cs="Times New Roman" w:hAnsi="Times New Roman"/>
          <w:i/>
          <w:iCs/>
          <w:lang w:val="en-GB"/>
        </w:rPr>
        <w:t>14</w:t>
      </w:r>
      <w:r>
        <w:rPr>
          <w:rFonts w:ascii="Times New Roman" w:cs="Times New Roman" w:hAnsi="Times New Roman"/>
          <w:lang w:val="en-GB"/>
        </w:rPr>
        <w:t xml:space="preserve">(6), p.3311.  Available at: </w:t>
      </w:r>
      <w:r>
        <w:rPr/>
        <w:fldChar w:fldCharType="begin"/>
      </w:r>
      <w:r>
        <w:instrText xml:space="preserve"> HYPERLINK "https://www.mdpi.com/2071-1050/14/6/3311" </w:instrText>
      </w:r>
      <w:r>
        <w:rPr/>
        <w:fldChar w:fldCharType="separate"/>
      </w:r>
      <w:r>
        <w:rPr>
          <w:rStyle w:val="style85"/>
          <w:rFonts w:ascii="Times New Roman" w:cs="Times New Roman" w:hAnsi="Times New Roman"/>
          <w:lang w:val="en-GB"/>
        </w:rPr>
        <w:t>https://www.mdpi.com/2071-1050/14/6/3311</w:t>
      </w:r>
      <w:r>
        <w:rPr/>
        <w:fldChar w:fldCharType="end"/>
      </w:r>
      <w:r>
        <w:rPr>
          <w:rFonts w:ascii="Times New Roman" w:cs="Times New Roman" w:hAnsi="Times New Roman"/>
          <w:lang w:val="en-GB"/>
        </w:rPr>
        <w:t xml:space="preserve"> </w:t>
      </w:r>
    </w:p>
    <w:p w14:paraId="2743F9CC">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Lin, L., Wei, X. and Chen, Y., 2024. Evolution of policy-driven ecosystem of original innovation talents. </w:t>
      </w:r>
      <w:r>
        <w:rPr>
          <w:rFonts w:ascii="Times New Roman" w:cs="Times New Roman" w:hAnsi="Times New Roman"/>
          <w:i/>
          <w:iCs/>
          <w:lang w:val="en-GB"/>
        </w:rPr>
        <w:t>International Journal of Innovation Studies</w:t>
      </w:r>
      <w:r>
        <w:rPr>
          <w:rFonts w:ascii="Times New Roman" w:cs="Times New Roman" w:hAnsi="Times New Roman"/>
          <w:lang w:val="en-GB"/>
        </w:rPr>
        <w:t xml:space="preserve">, </w:t>
      </w:r>
      <w:r>
        <w:rPr>
          <w:rFonts w:ascii="Times New Roman" w:cs="Times New Roman" w:hAnsi="Times New Roman"/>
          <w:i/>
          <w:iCs/>
          <w:lang w:val="en-GB"/>
        </w:rPr>
        <w:t>8</w:t>
      </w:r>
      <w:r>
        <w:rPr>
          <w:rFonts w:ascii="Times New Roman" w:cs="Times New Roman" w:hAnsi="Times New Roman"/>
          <w:lang w:val="en-GB"/>
        </w:rPr>
        <w:t xml:space="preserve">(4), pp.393-405.  Available at: </w:t>
      </w:r>
      <w:r>
        <w:rPr/>
        <w:fldChar w:fldCharType="begin"/>
      </w:r>
      <w:r>
        <w:instrText xml:space="preserve"> HYPERLINK "https://journals.sagepub.com/doi/pdf/10.3233/FAIA250704" </w:instrText>
      </w:r>
      <w:r>
        <w:rPr/>
        <w:fldChar w:fldCharType="separate"/>
      </w:r>
      <w:r>
        <w:rPr>
          <w:rStyle w:val="style85"/>
          <w:rFonts w:ascii="Times New Roman" w:cs="Times New Roman" w:hAnsi="Times New Roman"/>
          <w:lang w:val="en-GB"/>
        </w:rPr>
        <w:t>https://journals.sagepub.com/doi/pdf/10.3233/FAIA250704</w:t>
      </w:r>
      <w:r>
        <w:rPr/>
        <w:fldChar w:fldCharType="end"/>
      </w:r>
      <w:r>
        <w:rPr>
          <w:rFonts w:ascii="Times New Roman" w:cs="Times New Roman" w:hAnsi="Times New Roman"/>
          <w:lang w:val="en-GB"/>
        </w:rPr>
        <w:t xml:space="preserve"> </w:t>
      </w:r>
    </w:p>
    <w:p w14:paraId="75D2D2DC">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Meylani, R., 2024. A comparative analysis of traditional and modern approaches to assessment and evaluation in education. </w:t>
      </w:r>
      <w:r>
        <w:rPr>
          <w:rFonts w:ascii="Times New Roman" w:cs="Times New Roman" w:hAnsi="Times New Roman"/>
          <w:i/>
          <w:iCs/>
          <w:lang w:val="en-GB"/>
        </w:rPr>
        <w:t>Batı</w:t>
      </w:r>
      <w:r>
        <w:rPr>
          <w:rFonts w:ascii="Times New Roman" w:cs="Times New Roman" w:hAnsi="Times New Roman"/>
          <w:i/>
          <w:iCs/>
          <w:lang w:val="en-GB"/>
        </w:rPr>
        <w:t xml:space="preserve"> </w:t>
      </w:r>
      <w:r>
        <w:rPr>
          <w:rFonts w:ascii="Times New Roman" w:cs="Times New Roman" w:hAnsi="Times New Roman"/>
          <w:i/>
          <w:iCs/>
          <w:lang w:val="en-GB"/>
        </w:rPr>
        <w:t>anadolu</w:t>
      </w:r>
      <w:r>
        <w:rPr>
          <w:rFonts w:ascii="Times New Roman" w:cs="Times New Roman" w:hAnsi="Times New Roman"/>
          <w:i/>
          <w:iCs/>
          <w:lang w:val="en-GB"/>
        </w:rPr>
        <w:t xml:space="preserve"> </w:t>
      </w:r>
      <w:r>
        <w:rPr>
          <w:rFonts w:ascii="Times New Roman" w:cs="Times New Roman" w:hAnsi="Times New Roman"/>
          <w:i/>
          <w:iCs/>
          <w:lang w:val="en-GB"/>
        </w:rPr>
        <w:t>eğitim</w:t>
      </w:r>
      <w:r>
        <w:rPr>
          <w:rFonts w:ascii="Times New Roman" w:cs="Times New Roman" w:hAnsi="Times New Roman"/>
          <w:i/>
          <w:iCs/>
          <w:lang w:val="en-GB"/>
        </w:rPr>
        <w:t xml:space="preserve"> </w:t>
      </w:r>
      <w:r>
        <w:rPr>
          <w:rFonts w:ascii="Times New Roman" w:cs="Times New Roman" w:hAnsi="Times New Roman"/>
          <w:i/>
          <w:iCs/>
          <w:lang w:val="en-GB"/>
        </w:rPr>
        <w:t>bilimleri</w:t>
      </w:r>
      <w:r>
        <w:rPr>
          <w:rFonts w:ascii="Times New Roman" w:cs="Times New Roman" w:hAnsi="Times New Roman"/>
          <w:i/>
          <w:iCs/>
          <w:lang w:val="en-GB"/>
        </w:rPr>
        <w:t xml:space="preserve"> </w:t>
      </w:r>
      <w:r>
        <w:rPr>
          <w:rFonts w:ascii="Times New Roman" w:cs="Times New Roman" w:hAnsi="Times New Roman"/>
          <w:i/>
          <w:iCs/>
          <w:lang w:val="en-GB"/>
        </w:rPr>
        <w:t>dergisi</w:t>
      </w:r>
      <w:r>
        <w:rPr>
          <w:rFonts w:ascii="Times New Roman" w:cs="Times New Roman" w:hAnsi="Times New Roman"/>
          <w:lang w:val="en-GB"/>
        </w:rPr>
        <w:t xml:space="preserve">, </w:t>
      </w:r>
      <w:r>
        <w:rPr>
          <w:rFonts w:ascii="Times New Roman" w:cs="Times New Roman" w:hAnsi="Times New Roman"/>
          <w:i/>
          <w:iCs/>
          <w:lang w:val="en-GB"/>
        </w:rPr>
        <w:t>15</w:t>
      </w:r>
      <w:r>
        <w:rPr>
          <w:rFonts w:ascii="Times New Roman" w:cs="Times New Roman" w:hAnsi="Times New Roman"/>
          <w:lang w:val="en-GB"/>
        </w:rPr>
        <w:t xml:space="preserve">(1), pp.520-555. Available at: </w:t>
      </w:r>
      <w:r>
        <w:rPr/>
        <w:fldChar w:fldCharType="begin"/>
      </w:r>
      <w:r>
        <w:instrText xml:space="preserve"> HYPERLINK "https://dergipark.org.tr/en/download/article-file/3519788" </w:instrText>
      </w:r>
      <w:r>
        <w:rPr/>
        <w:fldChar w:fldCharType="separate"/>
      </w:r>
      <w:r>
        <w:rPr>
          <w:rStyle w:val="style85"/>
          <w:rFonts w:ascii="Times New Roman" w:cs="Times New Roman" w:hAnsi="Times New Roman"/>
          <w:lang w:val="en-GB"/>
        </w:rPr>
        <w:t>https://dergipark.org.tr/en/download/article-file/3519788</w:t>
      </w:r>
      <w:r>
        <w:rPr/>
        <w:fldChar w:fldCharType="end"/>
      </w:r>
      <w:r>
        <w:rPr>
          <w:rFonts w:ascii="Times New Roman" w:cs="Times New Roman" w:hAnsi="Times New Roman"/>
          <w:lang w:val="en-GB"/>
        </w:rPr>
        <w:t xml:space="preserve"> </w:t>
      </w:r>
    </w:p>
    <w:p w14:paraId="33F03443">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Nweke, I.O., 2023. Charms and magic in our contemporary society in relation to its original understanding in African traditional religion: A comparative analysis. </w:t>
      </w:r>
      <w:r>
        <w:rPr>
          <w:rFonts w:ascii="Times New Roman" w:cs="Times New Roman" w:hAnsi="Times New Roman"/>
          <w:i/>
          <w:iCs/>
          <w:lang w:val="en-GB"/>
        </w:rPr>
        <w:t>JASSD-Journal of African Studies and Sustainable Development</w:t>
      </w:r>
      <w:r>
        <w:rPr>
          <w:rFonts w:ascii="Times New Roman" w:cs="Times New Roman" w:hAnsi="Times New Roman"/>
          <w:lang w:val="en-GB"/>
        </w:rPr>
        <w:t xml:space="preserve">, </w:t>
      </w:r>
      <w:r>
        <w:rPr>
          <w:rFonts w:ascii="Times New Roman" w:cs="Times New Roman" w:hAnsi="Times New Roman"/>
          <w:i/>
          <w:iCs/>
          <w:lang w:val="en-GB"/>
        </w:rPr>
        <w:t>4</w:t>
      </w:r>
      <w:r>
        <w:rPr>
          <w:rFonts w:ascii="Times New Roman" w:cs="Times New Roman" w:hAnsi="Times New Roman"/>
          <w:lang w:val="en-GB"/>
        </w:rPr>
        <w:t xml:space="preserve">(3).  Available at: </w:t>
      </w:r>
      <w:r>
        <w:rPr/>
        <w:fldChar w:fldCharType="begin"/>
      </w:r>
      <w:r>
        <w:instrText xml:space="preserve"> HYPERLINK "https://www.academia.edu/download/116221638/DevenishHopeMcAuliffe_Contemporary_Musical_Virtuosities_AuthorDraft.pdf" </w:instrText>
      </w:r>
      <w:r>
        <w:rPr/>
        <w:fldChar w:fldCharType="separate"/>
      </w:r>
      <w:r>
        <w:rPr>
          <w:rStyle w:val="style85"/>
          <w:rFonts w:ascii="Times New Roman" w:cs="Times New Roman" w:hAnsi="Times New Roman"/>
          <w:lang w:val="en-GB"/>
        </w:rPr>
        <w:t>https://www.academia.edu/download/116221638/DevenishHopeMcAuliffe_Contemporary_Musical_Virtuosities_AuthorDraft.pdf</w:t>
      </w:r>
      <w:r>
        <w:rPr/>
        <w:fldChar w:fldCharType="end"/>
      </w:r>
      <w:r>
        <w:rPr>
          <w:rFonts w:ascii="Times New Roman" w:cs="Times New Roman" w:hAnsi="Times New Roman"/>
          <w:lang w:val="en-GB"/>
        </w:rPr>
        <w:t xml:space="preserve"> </w:t>
      </w:r>
    </w:p>
    <w:p w14:paraId="2111CF60">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Pavliv</w:t>
      </w:r>
      <w:r>
        <w:rPr>
          <w:rFonts w:ascii="Times New Roman" w:cs="Times New Roman" w:hAnsi="Times New Roman"/>
          <w:lang w:val="en-GB"/>
        </w:rPr>
        <w:t xml:space="preserve">, A., </w:t>
      </w:r>
      <w:r>
        <w:rPr>
          <w:rFonts w:ascii="Times New Roman" w:cs="Times New Roman" w:hAnsi="Times New Roman"/>
          <w:lang w:val="en-GB"/>
        </w:rPr>
        <w:t>Mosendz</w:t>
      </w:r>
      <w:r>
        <w:rPr>
          <w:rFonts w:ascii="Times New Roman" w:cs="Times New Roman" w:hAnsi="Times New Roman"/>
          <w:lang w:val="en-GB"/>
        </w:rPr>
        <w:t xml:space="preserve">, O., Rybchenko, O., Avula, A. and Fryz, P., 2024. Interplay of tradition and modernity in contemporary art practices. </w:t>
      </w:r>
      <w:r>
        <w:rPr>
          <w:rFonts w:ascii="Times New Roman" w:cs="Times New Roman" w:hAnsi="Times New Roman"/>
          <w:i/>
          <w:iCs/>
          <w:lang w:val="en-GB"/>
        </w:rPr>
        <w:t xml:space="preserve">Revista Amazonia </w:t>
      </w:r>
      <w:r>
        <w:rPr>
          <w:rFonts w:ascii="Times New Roman" w:cs="Times New Roman" w:hAnsi="Times New Roman"/>
          <w:i/>
          <w:iCs/>
          <w:lang w:val="en-GB"/>
        </w:rPr>
        <w:t>Investiga</w:t>
      </w:r>
      <w:r>
        <w:rPr>
          <w:rFonts w:ascii="Times New Roman" w:cs="Times New Roman" w:hAnsi="Times New Roman"/>
          <w:lang w:val="en-GB"/>
        </w:rPr>
        <w:t xml:space="preserve">, </w:t>
      </w:r>
      <w:r>
        <w:rPr>
          <w:rFonts w:ascii="Times New Roman" w:cs="Times New Roman" w:hAnsi="Times New Roman"/>
          <w:i/>
          <w:iCs/>
          <w:lang w:val="en-GB"/>
        </w:rPr>
        <w:t>13</w:t>
      </w:r>
      <w:r>
        <w:rPr>
          <w:rFonts w:ascii="Times New Roman" w:cs="Times New Roman" w:hAnsi="Times New Roman"/>
          <w:lang w:val="en-GB"/>
        </w:rPr>
        <w:t xml:space="preserve">(75), pp.331-342. Available at: </w:t>
      </w:r>
      <w:r>
        <w:rPr/>
        <w:fldChar w:fldCharType="begin"/>
      </w:r>
      <w:r>
        <w:instrText xml:space="preserve"> HYPERLINK "https://dialnet.unirioja.es/descarga/articulo/9583579.pdf" </w:instrText>
      </w:r>
      <w:r>
        <w:rPr/>
        <w:fldChar w:fldCharType="separate"/>
      </w:r>
      <w:r>
        <w:rPr>
          <w:rStyle w:val="style85"/>
          <w:rFonts w:ascii="Times New Roman" w:cs="Times New Roman" w:hAnsi="Times New Roman"/>
          <w:lang w:val="en-GB"/>
        </w:rPr>
        <w:t>https://dialnet.unirioja.es/descarga/articulo/9583579.pdf</w:t>
      </w:r>
      <w:r>
        <w:rPr/>
        <w:fldChar w:fldCharType="end"/>
      </w:r>
      <w:r>
        <w:rPr>
          <w:rFonts w:ascii="Times New Roman" w:cs="Times New Roman" w:hAnsi="Times New Roman"/>
          <w:lang w:val="en-GB"/>
        </w:rPr>
        <w:t xml:space="preserve"> </w:t>
      </w:r>
    </w:p>
    <w:p w14:paraId="434D51F8">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Raja Santhi, A. and Muthuswamy, P., 2022. Pandemic, war, natural calamities, and sustainability: Industry 4.0 technologies to overcome traditional and contemporary supply chain challenges. </w:t>
      </w:r>
      <w:r>
        <w:rPr>
          <w:rFonts w:ascii="Times New Roman" w:cs="Times New Roman" w:hAnsi="Times New Roman"/>
          <w:i/>
          <w:iCs/>
          <w:lang w:val="en-GB"/>
        </w:rPr>
        <w:t>Logistics</w:t>
      </w:r>
      <w:r>
        <w:rPr>
          <w:rFonts w:ascii="Times New Roman" w:cs="Times New Roman" w:hAnsi="Times New Roman"/>
          <w:lang w:val="en-GB"/>
        </w:rPr>
        <w:t xml:space="preserve">, </w:t>
      </w:r>
      <w:r>
        <w:rPr>
          <w:rFonts w:ascii="Times New Roman" w:cs="Times New Roman" w:hAnsi="Times New Roman"/>
          <w:i/>
          <w:iCs/>
          <w:lang w:val="en-GB"/>
        </w:rPr>
        <w:t>6</w:t>
      </w:r>
      <w:r>
        <w:rPr>
          <w:rFonts w:ascii="Times New Roman" w:cs="Times New Roman" w:hAnsi="Times New Roman"/>
          <w:lang w:val="en-GB"/>
        </w:rPr>
        <w:t xml:space="preserve">(4), p.81. Available at: </w:t>
      </w:r>
      <w:r>
        <w:rPr/>
        <w:fldChar w:fldCharType="begin"/>
      </w:r>
      <w:r>
        <w:instrText xml:space="preserve"> HYPERLINK "https://www.mdpi.com/2305-6290/6/4/81" </w:instrText>
      </w:r>
      <w:r>
        <w:rPr/>
        <w:fldChar w:fldCharType="separate"/>
      </w:r>
      <w:r>
        <w:rPr>
          <w:rStyle w:val="style85"/>
          <w:rFonts w:ascii="Times New Roman" w:cs="Times New Roman" w:hAnsi="Times New Roman"/>
          <w:lang w:val="en-GB"/>
        </w:rPr>
        <w:t>https://www.mdpi.com/2305-6290/6/4/81</w:t>
      </w:r>
      <w:r>
        <w:rPr/>
        <w:fldChar w:fldCharType="end"/>
      </w:r>
      <w:r>
        <w:rPr>
          <w:rFonts w:ascii="Times New Roman" w:cs="Times New Roman" w:hAnsi="Times New Roman"/>
          <w:lang w:val="en-GB"/>
        </w:rPr>
        <w:t xml:space="preserve"> </w:t>
      </w:r>
    </w:p>
    <w:p w14:paraId="084E6480">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Rožman, M., </w:t>
      </w:r>
      <w:r>
        <w:rPr>
          <w:rFonts w:ascii="Times New Roman" w:cs="Times New Roman" w:hAnsi="Times New Roman"/>
          <w:lang w:val="en-GB"/>
        </w:rPr>
        <w:t>Tominc</w:t>
      </w:r>
      <w:r>
        <w:rPr>
          <w:rFonts w:ascii="Times New Roman" w:cs="Times New Roman" w:hAnsi="Times New Roman"/>
          <w:lang w:val="en-GB"/>
        </w:rPr>
        <w:t xml:space="preserve">, P. and Štrukelj, T., 2023. Competitiveness through development of strategic talent management and agile management ecosystems. </w:t>
      </w:r>
      <w:r>
        <w:rPr>
          <w:rFonts w:ascii="Times New Roman" w:cs="Times New Roman" w:hAnsi="Times New Roman"/>
          <w:i/>
          <w:iCs/>
          <w:lang w:val="en-GB"/>
        </w:rPr>
        <w:t>Global Journal of Flexible Systems Management</w:t>
      </w:r>
      <w:r>
        <w:rPr>
          <w:rFonts w:ascii="Times New Roman" w:cs="Times New Roman" w:hAnsi="Times New Roman"/>
          <w:lang w:val="en-GB"/>
        </w:rPr>
        <w:t xml:space="preserve">, </w:t>
      </w:r>
      <w:r>
        <w:rPr>
          <w:rFonts w:ascii="Times New Roman" w:cs="Times New Roman" w:hAnsi="Times New Roman"/>
          <w:i/>
          <w:iCs/>
          <w:lang w:val="en-GB"/>
        </w:rPr>
        <w:t>24</w:t>
      </w:r>
      <w:r>
        <w:rPr>
          <w:rFonts w:ascii="Times New Roman" w:cs="Times New Roman" w:hAnsi="Times New Roman"/>
          <w:lang w:val="en-GB"/>
        </w:rPr>
        <w:t xml:space="preserve">(3), pp.373-393.  Available at: </w:t>
      </w:r>
      <w:r>
        <w:rPr/>
        <w:fldChar w:fldCharType="begin"/>
      </w:r>
      <w:r>
        <w:instrText xml:space="preserve"> HYPERLINK "https://link.springer.com/content/pdf/10.1007/s40171-023-00344-1.pdf" </w:instrText>
      </w:r>
      <w:r>
        <w:rPr/>
        <w:fldChar w:fldCharType="separate"/>
      </w:r>
      <w:r>
        <w:rPr>
          <w:rStyle w:val="style85"/>
          <w:rFonts w:ascii="Times New Roman" w:cs="Times New Roman" w:hAnsi="Times New Roman"/>
          <w:lang w:val="en-GB"/>
        </w:rPr>
        <w:t>https://link.springer.com/content/pdf/10.1007/s40171-023-00344-1.pdf</w:t>
      </w:r>
      <w:r>
        <w:rPr/>
        <w:fldChar w:fldCharType="end"/>
      </w:r>
      <w:r>
        <w:rPr>
          <w:rFonts w:ascii="Times New Roman" w:cs="Times New Roman" w:hAnsi="Times New Roman"/>
          <w:lang w:val="en-GB"/>
        </w:rPr>
        <w:t xml:space="preserve"> </w:t>
      </w:r>
    </w:p>
    <w:p w14:paraId="427227F7">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Song, Y., Wang, L. and Xie, J., 2025. Promote the Formation and Development of the Talent Ecosystem of Enterprises Based on the Recruitment Process. In </w:t>
      </w:r>
      <w:r>
        <w:rPr>
          <w:rFonts w:ascii="Times New Roman" w:cs="Times New Roman" w:hAnsi="Times New Roman"/>
          <w:i/>
          <w:iCs/>
          <w:lang w:val="en-GB"/>
        </w:rPr>
        <w:t>Digitalization and Management Innovation IV: Proceedings of DMI 2025, Hong Kong, 7-9 July 2025</w:t>
      </w:r>
      <w:r>
        <w:rPr>
          <w:rFonts w:ascii="Times New Roman" w:cs="Times New Roman" w:hAnsi="Times New Roman"/>
          <w:lang w:val="en-GB"/>
        </w:rPr>
        <w:t xml:space="preserve"> (pp. 54-62). 1 Oliver's Yard, 55 City Road, London, EC1Y 1SP: SAGE Publications.  Available at: </w:t>
      </w:r>
      <w:r>
        <w:rPr/>
        <w:fldChar w:fldCharType="begin"/>
      </w:r>
      <w:r>
        <w:instrText xml:space="preserve"> HYPERLINK "https://scholar.google.com/scholar?hl=en&amp;as_sdt=0%2C5&amp;as_ylo=2022&amp;q=Strategic+Talent+Ecosystem&amp;btnG=" \l "d=gs_md_aa-d&amp;u=/scholar%3Fq%3Dinfo:sVLqHnOzcJ4J:scholar.google.com/%26scioq%3DStrategic%2BTalent%2BEcosystem%26dv%3D0%26output%3Daa%26ei%3D8MDIapG-NoGu6rQPrP3H-AE%26scirp%3D4%26hl%3Den" </w:instrText>
      </w:r>
      <w:r>
        <w:rPr/>
        <w:fldChar w:fldCharType="separate"/>
      </w:r>
      <w:r>
        <w:rPr>
          <w:rStyle w:val="style85"/>
          <w:rFonts w:ascii="Times New Roman" w:cs="Times New Roman" w:hAnsi="Times New Roman"/>
          <w:lang w:val="en-GB"/>
        </w:rPr>
        <w:t>https://scholar.google.com/scholar?hl=en&amp;as_sdt=0%2C5&amp;as_ylo=2022&amp;q=Strategic+Talent+Ecosystem&amp;btnG=#d=gs_md_aa-d&amp;u=/scholar%3Fq%3Dinfo:sVLqHnOzcJ4J:scholar.google.com/%26scioq%3DStrategic%2BTalent%2BEcosystem%26dv%3D0%26output%3Daa%26ei%3D8MDIapG-NoGu6rQPrP3H-AE%26scirp%3D4%26hl%3Den</w:t>
      </w:r>
      <w:r>
        <w:rPr/>
        <w:fldChar w:fldCharType="end"/>
      </w:r>
      <w:r>
        <w:rPr>
          <w:rFonts w:ascii="Times New Roman" w:cs="Times New Roman" w:hAnsi="Times New Roman"/>
          <w:lang w:val="en-GB"/>
        </w:rPr>
        <w:t xml:space="preserve"> </w:t>
      </w:r>
    </w:p>
    <w:p w14:paraId="307401AD">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Ungar-Sargon, J., 2025. The parabolic world: integrating Kabbalistic wisdom with clinical hermeneutics in contemporary medical practice. </w:t>
      </w:r>
      <w:r>
        <w:rPr>
          <w:rFonts w:ascii="Times New Roman" w:cs="Times New Roman" w:hAnsi="Times New Roman"/>
          <w:i/>
          <w:iCs/>
          <w:lang w:val="en-GB"/>
        </w:rPr>
        <w:t>J Psychiatry Res Rep</w:t>
      </w:r>
      <w:r>
        <w:rPr>
          <w:rFonts w:ascii="Times New Roman" w:cs="Times New Roman" w:hAnsi="Times New Roman"/>
          <w:lang w:val="en-GB"/>
        </w:rPr>
        <w:t xml:space="preserve">, </w:t>
      </w:r>
      <w:r>
        <w:rPr>
          <w:rFonts w:ascii="Times New Roman" w:cs="Times New Roman" w:hAnsi="Times New Roman"/>
          <w:i/>
          <w:iCs/>
          <w:lang w:val="en-GB"/>
        </w:rPr>
        <w:t>2</w:t>
      </w:r>
      <w:r>
        <w:rPr>
          <w:rFonts w:ascii="Times New Roman" w:cs="Times New Roman" w:hAnsi="Times New Roman"/>
          <w:lang w:val="en-GB"/>
        </w:rPr>
        <w:t xml:space="preserve">(2), pp.1-9. Available at: </w:t>
      </w:r>
      <w:r>
        <w:rPr/>
        <w:fldChar w:fldCharType="begin"/>
      </w:r>
      <w:r>
        <w:instrText xml:space="preserve"> HYPERLINK "http://asrjs.com/pdfs/the-parabolic-world-integrating-kabbalistic-wisdom-with-clinical-hermeneutics-in-contemporary-medical-practice-198.pdf" </w:instrText>
      </w:r>
      <w:r>
        <w:rPr/>
        <w:fldChar w:fldCharType="separate"/>
      </w:r>
      <w:r>
        <w:rPr>
          <w:rStyle w:val="style85"/>
          <w:rFonts w:ascii="Times New Roman" w:cs="Times New Roman" w:hAnsi="Times New Roman"/>
          <w:lang w:val="en-GB"/>
        </w:rPr>
        <w:t>http://asrjs.com/pdfs/the-parabolic-world-integrating-kabbalistic-wisdom-with-clinical-hermeneutics-in-contemporary-medical-practice-198.pdf</w:t>
      </w:r>
      <w:r>
        <w:rPr/>
        <w:fldChar w:fldCharType="end"/>
      </w:r>
      <w:r>
        <w:rPr>
          <w:rFonts w:ascii="Times New Roman" w:cs="Times New Roman" w:hAnsi="Times New Roman"/>
          <w:lang w:val="en-GB"/>
        </w:rPr>
        <w:t xml:space="preserve"> </w:t>
      </w:r>
    </w:p>
    <w:p w14:paraId="6D71269B">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 xml:space="preserve">Vallo Hult, H. and Byström, K., 2022. Challenges to learning and leading the digital workplace. </w:t>
      </w:r>
      <w:r>
        <w:rPr>
          <w:rFonts w:ascii="Times New Roman" w:cs="Times New Roman" w:hAnsi="Times New Roman"/>
          <w:i/>
          <w:iCs/>
          <w:lang w:val="en-GB"/>
        </w:rPr>
        <w:t>Studies in Continuing Education</w:t>
      </w:r>
      <w:r>
        <w:rPr>
          <w:rFonts w:ascii="Times New Roman" w:cs="Times New Roman" w:hAnsi="Times New Roman"/>
          <w:lang w:val="en-GB"/>
        </w:rPr>
        <w:t xml:space="preserve">, </w:t>
      </w:r>
      <w:r>
        <w:rPr>
          <w:rFonts w:ascii="Times New Roman" w:cs="Times New Roman" w:hAnsi="Times New Roman"/>
          <w:i/>
          <w:iCs/>
          <w:lang w:val="en-GB"/>
        </w:rPr>
        <w:t>44</w:t>
      </w:r>
      <w:r>
        <w:rPr>
          <w:rFonts w:ascii="Times New Roman" w:cs="Times New Roman" w:hAnsi="Times New Roman"/>
          <w:lang w:val="en-GB"/>
        </w:rPr>
        <w:t xml:space="preserve">(3), pp.460-474.  Available at: </w:t>
      </w:r>
      <w:r>
        <w:rPr/>
        <w:fldChar w:fldCharType="begin"/>
      </w:r>
      <w:r>
        <w:instrText xml:space="preserve"> HYPERLINK "https://www.tandfonline.com/doi/pdf/10.1080/0158037X.2021.1879038" </w:instrText>
      </w:r>
      <w:r>
        <w:rPr/>
        <w:fldChar w:fldCharType="separate"/>
      </w:r>
      <w:r>
        <w:rPr>
          <w:rStyle w:val="style85"/>
          <w:rFonts w:ascii="Times New Roman" w:cs="Times New Roman" w:hAnsi="Times New Roman"/>
          <w:lang w:val="en-GB"/>
        </w:rPr>
        <w:t>https://www.tandfonline.com/doi/pdf/10.1080/0158037X.2021.1879038</w:t>
      </w:r>
      <w:r>
        <w:rPr/>
        <w:fldChar w:fldCharType="end"/>
      </w:r>
      <w:r>
        <w:rPr>
          <w:rFonts w:ascii="Times New Roman" w:cs="Times New Roman" w:hAnsi="Times New Roman"/>
          <w:lang w:val="en-GB"/>
        </w:rPr>
        <w:t xml:space="preserve"> </w:t>
      </w:r>
    </w:p>
    <w:p w14:paraId="28E30391">
      <w:pPr>
        <w:pStyle w:val="style0"/>
        <w:spacing w:after="120" w:lineRule="auto" w:line="360"/>
        <w:jc w:val="both"/>
        <w:rPr>
          <w:rFonts w:ascii="Times New Roman" w:cs="Times New Roman" w:hAnsi="Times New Roman"/>
          <w:lang w:val="en-GB"/>
        </w:rPr>
      </w:pPr>
      <w:r>
        <w:rPr>
          <w:rFonts w:ascii="Times New Roman" w:cs="Times New Roman" w:hAnsi="Times New Roman"/>
          <w:lang w:val="en-GB"/>
        </w:rPr>
        <w:t>Vizjak</w:t>
      </w:r>
      <w:r>
        <w:rPr>
          <w:rFonts w:ascii="Times New Roman" w:cs="Times New Roman" w:hAnsi="Times New Roman"/>
          <w:lang w:val="en-GB"/>
        </w:rPr>
        <w:t xml:space="preserve">, M., Paulišić, M. and </w:t>
      </w:r>
      <w:r>
        <w:rPr>
          <w:rFonts w:ascii="Times New Roman" w:cs="Times New Roman" w:hAnsi="Times New Roman"/>
          <w:lang w:val="en-GB"/>
        </w:rPr>
        <w:t>Mišević</w:t>
      </w:r>
      <w:r>
        <w:rPr>
          <w:rFonts w:ascii="Times New Roman" w:cs="Times New Roman" w:hAnsi="Times New Roman"/>
          <w:lang w:val="en-GB"/>
        </w:rPr>
        <w:t xml:space="preserve">, P., 2024. Adapting to the digital shift: skills development and workplace transformation in the era of human-technology collaboration. </w:t>
      </w:r>
      <w:r>
        <w:rPr>
          <w:rFonts w:ascii="Times New Roman" w:cs="Times New Roman" w:hAnsi="Times New Roman"/>
          <w:i/>
          <w:iCs/>
          <w:lang w:val="en-GB"/>
        </w:rPr>
        <w:t>Croatian regional development journal</w:t>
      </w:r>
      <w:r>
        <w:rPr>
          <w:rFonts w:ascii="Times New Roman" w:cs="Times New Roman" w:hAnsi="Times New Roman"/>
          <w:lang w:val="en-GB"/>
        </w:rPr>
        <w:t xml:space="preserve">, </w:t>
      </w:r>
      <w:r>
        <w:rPr>
          <w:rFonts w:ascii="Times New Roman" w:cs="Times New Roman" w:hAnsi="Times New Roman"/>
          <w:i/>
          <w:iCs/>
          <w:lang w:val="en-GB"/>
        </w:rPr>
        <w:t>5</w:t>
      </w:r>
      <w:r>
        <w:rPr>
          <w:rFonts w:ascii="Times New Roman" w:cs="Times New Roman" w:hAnsi="Times New Roman"/>
          <w:lang w:val="en-GB"/>
        </w:rPr>
        <w:t xml:space="preserve">(2), pp.92-110.  Available at: </w:t>
      </w:r>
      <w:r>
        <w:rPr/>
        <w:fldChar w:fldCharType="begin"/>
      </w:r>
      <w:r>
        <w:instrText xml:space="preserve"> HYPERLINK "https://hrcak.srce.hr/file/466145" </w:instrText>
      </w:r>
      <w:r>
        <w:rPr/>
        <w:fldChar w:fldCharType="separate"/>
      </w:r>
      <w:r>
        <w:rPr>
          <w:rStyle w:val="style85"/>
          <w:rFonts w:ascii="Times New Roman" w:cs="Times New Roman" w:hAnsi="Times New Roman"/>
          <w:lang w:val="en-GB"/>
        </w:rPr>
        <w:t>https://hrcak.srce.hr/file/466145</w:t>
      </w:r>
      <w:r>
        <w:rPr/>
        <w:fldChar w:fldCharType="end"/>
      </w:r>
      <w:r>
        <w:rPr>
          <w:rFonts w:ascii="Times New Roman" w:cs="Times New Roman" w:hAnsi="Times New Roman"/>
          <w:lang w:val="en-GB"/>
        </w:rPr>
        <w:t xml:space="preserve"> </w:t>
      </w:r>
    </w:p>
    <w:p w14:paraId="702DF250">
      <w:pPr>
        <w:pStyle w:val="style0"/>
        <w:spacing w:after="120" w:lineRule="auto" w:line="360"/>
        <w:jc w:val="both"/>
        <w:rPr>
          <w:rFonts w:ascii="Times New Roman" w:cs="Times New Roman" w:hAnsi="Times New Roman"/>
          <w:lang w:val="en-GB"/>
        </w:rPr>
      </w:pPr>
    </w:p>
    <w:p w14:paraId="44A332F3">
      <w:pPr>
        <w:pStyle w:val="style0"/>
        <w:spacing w:after="120" w:lineRule="auto" w:line="360"/>
        <w:jc w:val="both"/>
        <w:rPr>
          <w:rFonts w:ascii="Times New Roman" w:cs="Times New Roman" w:hAnsi="Times New Roman"/>
          <w:lang w:val="en-GB"/>
        </w:rPr>
      </w:pPr>
    </w:p>
    <w:sectPr>
      <w:headerReference w:type="default" r:id="rId13"/>
      <w:footerReference w:type="default" r:id="rId14"/>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ptos">
    <w:altName w:val="Aptos"/>
    <w:panose1 w:val="00000000000000000000"/>
    <w:charset w:val="00"/>
    <w:family w:val="swiss"/>
    <w:pitch w:val="variable"/>
    <w:sig w:usb0="20000287" w:usb1="00000003" w:usb2="00000000" w:usb3="00000000" w:csb0="0000019F" w:csb1="00000000"/>
  </w:font>
  <w:font w:name="DengXian Light">
    <w:altName w:val="DengXian Light"/>
    <w:panose1 w:val="00000000000000000000"/>
    <w:charset w:val="86"/>
    <w:family w:val="auto"/>
    <w:pitch w:val="variable"/>
    <w:sig w:usb0="A00002BF" w:usb1="38CF7CFA" w:usb2="00000016" w:usb3="00000000" w:csb0="0004000F" w:csb1="00000000"/>
  </w:font>
  <w:font w:name="Aptos Display">
    <w:altName w:val="Aptos Display"/>
    <w:panose1 w:val="00000000000000000000"/>
    <w:charset w:val="00"/>
    <w:family w:val="swiss"/>
    <w:pitch w:val="variable"/>
    <w:sig w:usb0="20000287" w:usb1="00000003" w:usb2="00000000" w:usb3="00000000" w:csb0="0000019F" w:csb1="00000000"/>
  </w:font>
  <w:font w:name="DengXian">
    <w:altName w:val="DengXian"/>
    <w:panose1 w:val="02010600030001010101"/>
    <w:charset w:val="86"/>
    <w:family w:val="auto"/>
    <w:pitch w:val="variable"/>
    <w:sig w:usb0="A00002BF" w:usb1="38CF7CFA" w:usb2="00000016" w:usb3="00000000" w:csb0="0004000F" w:csb1="00000000"/>
  </w:font>
  <w:font w:name="Arial">
    <w:altName w:val="Arial"/>
    <w:panose1 w:val="020b0604020002020204"/>
    <w:charset w:val="00"/>
    <w:family w:val="swiss"/>
    <w:pitch w:val="variable"/>
    <w:sig w:usb0="E0002EFF" w:usb1="C000785B" w:usb2="00000009" w:usb3="00000000" w:csb0="000001FF" w:csb1="00000000"/>
  </w:font>
  <w:font w:name="等线 Light">
    <w:altName w:val=""/>
    <w:panose1 w:val="00000000000000000000"/>
    <w:charset w:val="00"/>
    <w:family w:val="auto"/>
    <w:pitch w:val="default"/>
    <w:sig w:usb0="E0002AFF" w:usb1="C0007841" w:usb2="00000009" w:usb3="00000000" w:csb0="000001FF" w:csb1="00000000"/>
  </w:font>
  <w:font w:name="等线">
    <w:altName w:val=""/>
    <w:panose1 w:val="00000000000000000000"/>
    <w:charset w:val="00"/>
    <w:family w:val="auto"/>
    <w:pitch w:val="default"/>
    <w:sig w:usb0="E0002AFF" w:usb1="C0007841" w:usb2="00000009"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A01B5CF">
    <w:pPr>
      <w:pStyle w:val="style32"/>
      <w:jc w:val="right"/>
      <w:rPr>
        <w:rFonts w:ascii="Times New Roman" w:cs="Times New Roman" w:hAnsi="Times New Roman"/>
        <w:sz w:val="20"/>
        <w:szCs w:val="20"/>
      </w:rPr>
    </w:pPr>
    <w:r>
      <w:rPr>
        <w:rFonts w:ascii="Times New Roman" w:cs="Times New Roman" w:hAnsi="Times New Roman"/>
        <w:sz w:val="20"/>
        <w:szCs w:val="20"/>
      </w:rPr>
      <w:fldChar w:fldCharType="begin"/>
    </w:r>
    <w:r>
      <w:rPr>
        <w:rFonts w:ascii="Times New Roman" w:cs="Times New Roman" w:hAnsi="Times New Roman"/>
        <w:sz w:val="20"/>
        <w:szCs w:val="20"/>
      </w:rPr>
      <w:instrText xml:space="preserve"> PAGE   \* MERGEFORMAT </w:instrText>
    </w:r>
    <w:r>
      <w:rPr>
        <w:rFonts w:ascii="Times New Roman" w:cs="Times New Roman" w:hAnsi="Times New Roman"/>
        <w:sz w:val="20"/>
        <w:szCs w:val="20"/>
      </w:rPr>
      <w:fldChar w:fldCharType="separate"/>
    </w:r>
    <w:r>
      <w:rPr>
        <w:rFonts w:ascii="Times New Roman" w:cs="Times New Roman" w:hAnsi="Times New Roman"/>
        <w:noProof/>
        <w:sz w:val="20"/>
        <w:szCs w:val="20"/>
      </w:rPr>
      <w:t>2</w:t>
    </w:r>
    <w:r>
      <w:rPr>
        <w:rFonts w:ascii="Times New Roman" w:cs="Times New Roman" w:hAnsi="Times New Roman"/>
        <w:noProof/>
        <w:sz w:val="20"/>
        <w:szCs w:val="20"/>
      </w:rPr>
      <w:fldChar w:fldCharType="end"/>
    </w:r>
  </w:p>
  <w:p w14:paraId="03E4866D">
    <w:pPr>
      <w:pStyle w:val="style32"/>
      <w:rPr>
        <w:rFonts w:ascii="Times New Roman" w:cs="Times New Roman" w:hAnsi="Times New Roman"/>
        <w:sz w:val="20"/>
        <w:szCs w:val="20"/>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42EA26B7">
    <w:pPr>
      <w:pStyle w:val="style31"/>
      <w:rPr/>
    </w:pPr>
    <w:r>
      <w:rPr>
        <w:rFonts w:ascii="Arial" w:cs="Arial" w:hAnsi="Arial"/>
        <w:noProof/>
      </w:rPr>
      <w:drawing>
        <wp:anchor distT="0" distB="0" distL="114300" distR="114300" simplePos="false" relativeHeight="2" behindDoc="false" locked="false" layoutInCell="true" allowOverlap="true">
          <wp:simplePos x="0" y="0"/>
          <wp:positionH relativeFrom="margin">
            <wp:align>left</wp:align>
          </wp:positionH>
          <wp:positionV relativeFrom="paragraph">
            <wp:posOffset>-30480</wp:posOffset>
          </wp:positionV>
          <wp:extent cx="1313180" cy="436880"/>
          <wp:effectExtent l="0" t="0" r="1270" b="1270"/>
          <wp:wrapSquare wrapText="bothSides"/>
          <wp:docPr id="4097" name="Picture 1"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cstate="print"/>
                  <a:srcRect l="0" t="0" r="0" b="0"/>
                  <a:stretch/>
                </pic:blipFill>
                <pic:spPr>
                  <a:xfrm rot="0">
                    <a:off x="0" y="0"/>
                    <a:ext cx="1313180" cy="436880"/>
                  </a:xfrm>
                  <a:prstGeom prst="rect"/>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D6F02C9E"/>
    <w:lvl w:ilvl="0">
      <w:start w:val="2"/>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
    <w:nsid w:val="00000001"/>
    <w:multiLevelType w:val="multilevel"/>
    <w:tmpl w:val="5CBE3D40"/>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2">
    <w:nsid w:val="00000002"/>
    <w:multiLevelType w:val="hybridMultilevel"/>
    <w:tmpl w:val="2106234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00000003"/>
    <w:multiLevelType w:val="multilevel"/>
    <w:tmpl w:val="09C65F8C"/>
    <w:lvl w:ilvl="0">
      <w:start w:val="2"/>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
    <w:nsid w:val="00000004"/>
    <w:multiLevelType w:val="multilevel"/>
    <w:tmpl w:val="B7C2FD02"/>
    <w:lvl w:ilvl="0">
      <w:start w:val="3"/>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5">
    <w:nsid w:val="00000005"/>
    <w:multiLevelType w:val="multilevel"/>
    <w:tmpl w:val="AA3A0B12"/>
    <w:lvl w:ilvl="0">
      <w:start w:val="1"/>
      <w:numFmt w:val="decimal"/>
      <w:pStyle w:val="style2"/>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6">
    <w:nsid w:val="00000006"/>
    <w:multiLevelType w:val="multilevel"/>
    <w:tmpl w:val="805E1FF4"/>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num w:numId="1">
    <w:abstractNumId w:val="5"/>
  </w:num>
  <w:num w:numId="2">
    <w:abstractNumId w:val="3"/>
    <w:lvlOverride w:ilvl="0">
      <w:lvl w:ilvl="0">
        <w:start w:val="1"/>
        <w:numFmt w:val="decimal"/>
        <w:lvlText w:val="%1."/>
        <w:lvlJc w:val="left"/>
        <w:pPr/>
      </w:lvl>
    </w:lvlOverride>
  </w:num>
  <w:num w:numId="3">
    <w:abstractNumId w:val="1"/>
  </w:num>
  <w:num w:numId="4">
    <w:abstractNumId w:val="6"/>
  </w:num>
  <w:num w:numId="5">
    <w:abstractNumId w:val="0"/>
    <w:lvlOverride w:ilvl="0">
      <w:lvl w:ilvl="0">
        <w:start w:val="1"/>
        <w:numFmt w:val="decimal"/>
        <w:lvlText w:val="%1."/>
        <w:lvlJc w:val="left"/>
        <w:pPr/>
      </w:lvl>
    </w:lvlOverride>
  </w:num>
  <w:num w:numId="6">
    <w:abstractNumId w:val="4"/>
    <w:lvlOverride w:ilvl="0">
      <w:lvl w:ilvl="0">
        <w:start w:val="1"/>
        <w:numFmt w:val="decimal"/>
        <w:lvlText w:val="%1."/>
        <w:lvlJc w:val="left"/>
        <w:pPr/>
      </w:lvl>
    </w:lvlOverride>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3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4"/>
        <w:szCs w:val="24"/>
        <w:lang w:val="en-IN"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spacing w:before="240" w:lineRule="auto" w:line="360"/>
      <w:outlineLvl w:val="0"/>
    </w:pPr>
    <w:rPr>
      <w:rFonts w:ascii="Times New Roman" w:cs="Times New Roman" w:hAnsi="Times New Roman"/>
      <w:b/>
      <w:bCs/>
    </w:rPr>
  </w:style>
  <w:style w:type="paragraph" w:styleId="style2">
    <w:name w:val="heading 2"/>
    <w:basedOn w:val="style0"/>
    <w:next w:val="style0"/>
    <w:link w:val="style4098"/>
    <w:qFormat/>
    <w:uiPriority w:val="9"/>
    <w:pPr>
      <w:numPr>
        <w:ilvl w:val="0"/>
        <w:numId w:val="1"/>
      </w:numPr>
      <w:spacing w:before="240" w:lineRule="auto" w:line="360"/>
      <w:jc w:val="both"/>
      <w:outlineLvl w:val="1"/>
    </w:pPr>
    <w:rPr>
      <w:rFonts w:ascii="Times New Roman" w:cs="Times New Roman" w:hAnsi="Times New Roman"/>
      <w:b/>
      <w:bCs/>
    </w:rPr>
  </w:style>
  <w:style w:type="paragraph" w:styleId="style3">
    <w:name w:val="heading 3"/>
    <w:basedOn w:val="style0"/>
    <w:next w:val="style0"/>
    <w:link w:val="style4099"/>
    <w:qFormat/>
    <w:uiPriority w:val="9"/>
    <w:pPr>
      <w:keepNext/>
      <w:keepLines/>
      <w:spacing w:before="160" w:after="80"/>
      <w:outlineLvl w:val="2"/>
    </w:pPr>
    <w:rPr>
      <w:rFonts w:cs="宋体" w:eastAsia="等线 Light"/>
      <w:color w:val="0f4761"/>
      <w:sz w:val="28"/>
      <w:szCs w:val="28"/>
    </w:rPr>
  </w:style>
  <w:style w:type="paragraph" w:styleId="style4">
    <w:name w:val="heading 4"/>
    <w:basedOn w:val="style0"/>
    <w:next w:val="style0"/>
    <w:link w:val="style4100"/>
    <w:qFormat/>
    <w:uiPriority w:val="9"/>
    <w:pPr>
      <w:keepNext/>
      <w:keepLines/>
      <w:spacing w:before="80" w:after="40"/>
      <w:outlineLvl w:val="3"/>
    </w:pPr>
    <w:rPr>
      <w:rFonts w:cs="宋体" w:eastAsia="等线 Light"/>
      <w:i/>
      <w:iCs/>
      <w:color w:val="0f4761"/>
    </w:rPr>
  </w:style>
  <w:style w:type="paragraph" w:styleId="style5">
    <w:name w:val="heading 5"/>
    <w:basedOn w:val="style0"/>
    <w:next w:val="style0"/>
    <w:link w:val="style4101"/>
    <w:qFormat/>
    <w:uiPriority w:val="9"/>
    <w:pPr>
      <w:keepNext/>
      <w:keepLines/>
      <w:spacing w:before="80" w:after="40"/>
      <w:outlineLvl w:val="4"/>
    </w:pPr>
    <w:rPr>
      <w:rFonts w:cs="宋体" w:eastAsia="等线 Light"/>
      <w:color w:val="0f4761"/>
    </w:rPr>
  </w:style>
  <w:style w:type="paragraph" w:styleId="style6">
    <w:name w:val="heading 6"/>
    <w:basedOn w:val="style0"/>
    <w:next w:val="style0"/>
    <w:link w:val="style4102"/>
    <w:qFormat/>
    <w:uiPriority w:val="9"/>
    <w:pPr>
      <w:keepNext/>
      <w:keepLines/>
      <w:spacing w:before="40" w:after="0"/>
      <w:outlineLvl w:val="5"/>
    </w:pPr>
    <w:rPr>
      <w:rFonts w:cs="宋体" w:eastAsia="等线 Light"/>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等线 Light"/>
      <w:color w:val="595959"/>
    </w:rPr>
  </w:style>
  <w:style w:type="paragraph" w:styleId="style8">
    <w:name w:val="heading 8"/>
    <w:basedOn w:val="style0"/>
    <w:next w:val="style0"/>
    <w:link w:val="style4104"/>
    <w:qFormat/>
    <w:uiPriority w:val="9"/>
    <w:pPr>
      <w:keepNext/>
      <w:keepLines/>
      <w:spacing w:after="0"/>
      <w:outlineLvl w:val="7"/>
    </w:pPr>
    <w:rPr>
      <w:rFonts w:cs="宋体" w:eastAsia="等线 Light"/>
      <w:i/>
      <w:iCs/>
      <w:color w:val="272727"/>
    </w:rPr>
  </w:style>
  <w:style w:type="paragraph" w:styleId="style9">
    <w:name w:val="heading 9"/>
    <w:basedOn w:val="style0"/>
    <w:next w:val="style0"/>
    <w:link w:val="style4105"/>
    <w:qFormat/>
    <w:uiPriority w:val="9"/>
    <w:pPr>
      <w:keepNext/>
      <w:keepLines/>
      <w:spacing w:after="0"/>
      <w:outlineLvl w:val="8"/>
    </w:pPr>
    <w:rPr>
      <w:rFonts w:cs="宋体" w:eastAsia="等线 Light"/>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43c0fc4-2a9f-4b56-8b65-3c9f1e8dcea9"/>
    <w:basedOn w:val="style65"/>
    <w:next w:val="style4097"/>
    <w:link w:val="style1"/>
    <w:uiPriority w:val="9"/>
    <w:rPr>
      <w:rFonts w:ascii="Times New Roman" w:cs="Times New Roman" w:hAnsi="Times New Roman"/>
      <w:b/>
      <w:bCs/>
    </w:rPr>
  </w:style>
  <w:style w:type="character" w:customStyle="1" w:styleId="style4098">
    <w:name w:val="Heading 2 Char_55d0e8ad-a628-4107-b714-617d01388e0f"/>
    <w:basedOn w:val="style65"/>
    <w:next w:val="style4098"/>
    <w:link w:val="style2"/>
    <w:uiPriority w:val="9"/>
    <w:rPr>
      <w:rFonts w:ascii="Times New Roman" w:cs="Times New Roman" w:hAnsi="Times New Roman"/>
      <w:b/>
      <w:bCs/>
    </w:rPr>
  </w:style>
  <w:style w:type="character" w:customStyle="1" w:styleId="style4099">
    <w:name w:val="Heading 3 Char_b280c4bf-a90d-463c-bbf1-11c8ee8ba31d"/>
    <w:basedOn w:val="style65"/>
    <w:next w:val="style4099"/>
    <w:link w:val="style3"/>
    <w:uiPriority w:val="9"/>
    <w:rPr>
      <w:rFonts w:cs="宋体" w:eastAsia="等线 Light"/>
      <w:color w:val="0f4761"/>
      <w:sz w:val="28"/>
      <w:szCs w:val="28"/>
    </w:rPr>
  </w:style>
  <w:style w:type="character" w:customStyle="1" w:styleId="style4100">
    <w:name w:val="Heading 4 Char_29874d50-1408-4165-b525-f480721ddd17"/>
    <w:basedOn w:val="style65"/>
    <w:next w:val="style4100"/>
    <w:link w:val="style4"/>
    <w:uiPriority w:val="9"/>
    <w:rPr>
      <w:rFonts w:cs="宋体" w:eastAsia="等线 Light"/>
      <w:i/>
      <w:iCs/>
      <w:color w:val="0f4761"/>
    </w:rPr>
  </w:style>
  <w:style w:type="character" w:customStyle="1" w:styleId="style4101">
    <w:name w:val="Heading 5 Char_15b27c22-3499-4d94-8177-28303a915e27"/>
    <w:basedOn w:val="style65"/>
    <w:next w:val="style4101"/>
    <w:link w:val="style5"/>
    <w:uiPriority w:val="9"/>
    <w:rPr>
      <w:rFonts w:cs="宋体" w:eastAsia="等线 Light"/>
      <w:color w:val="0f4761"/>
    </w:rPr>
  </w:style>
  <w:style w:type="character" w:customStyle="1" w:styleId="style4102">
    <w:name w:val="Heading 6 Char_a016a746-a9d8-46c2-87a2-488c8a65f526"/>
    <w:basedOn w:val="style65"/>
    <w:next w:val="style4102"/>
    <w:link w:val="style6"/>
    <w:uiPriority w:val="9"/>
    <w:rPr>
      <w:rFonts w:cs="宋体" w:eastAsia="等线 Light"/>
      <w:i/>
      <w:iCs/>
      <w:color w:val="595959"/>
    </w:rPr>
  </w:style>
  <w:style w:type="character" w:customStyle="1" w:styleId="style4103">
    <w:name w:val="Heading 7 Char_cfd8d884-9884-42a8-b9de-93b7a5132c4a"/>
    <w:basedOn w:val="style65"/>
    <w:next w:val="style4103"/>
    <w:link w:val="style7"/>
    <w:uiPriority w:val="9"/>
    <w:rPr>
      <w:rFonts w:cs="宋体" w:eastAsia="等线 Light"/>
      <w:color w:val="595959"/>
    </w:rPr>
  </w:style>
  <w:style w:type="character" w:customStyle="1" w:styleId="style4104">
    <w:name w:val="Heading 8 Char_077b1199-a458-469e-b833-56a625468cff"/>
    <w:basedOn w:val="style65"/>
    <w:next w:val="style4104"/>
    <w:link w:val="style8"/>
    <w:uiPriority w:val="9"/>
    <w:rPr>
      <w:rFonts w:cs="宋体" w:eastAsia="等线 Light"/>
      <w:i/>
      <w:iCs/>
      <w:color w:val="272727"/>
    </w:rPr>
  </w:style>
  <w:style w:type="character" w:customStyle="1" w:styleId="style4105">
    <w:name w:val="Heading 9 Char_955e4f88-7af2-433e-a530-dd885cac7bcd"/>
    <w:basedOn w:val="style65"/>
    <w:next w:val="style4105"/>
    <w:link w:val="style9"/>
    <w:uiPriority w:val="9"/>
    <w:rPr>
      <w:rFonts w:cs="宋体" w:eastAsia="等线 Light"/>
      <w:color w:val="272727"/>
    </w:rPr>
  </w:style>
  <w:style w:type="paragraph" w:styleId="style62">
    <w:name w:val="Title"/>
    <w:basedOn w:val="style0"/>
    <w:next w:val="style0"/>
    <w:link w:val="style4106"/>
    <w:qFormat/>
    <w:uiPriority w:val="10"/>
    <w:pPr>
      <w:spacing w:after="80" w:lineRule="auto" w:line="240"/>
      <w:contextualSpacing/>
    </w:pPr>
    <w:rPr>
      <w:rFonts w:ascii="Aptos Display" w:cs="宋体" w:eastAsia="等线 Light" w:hAnsi="Aptos Display"/>
      <w:spacing w:val="-10"/>
      <w:kern w:val="28"/>
      <w:sz w:val="56"/>
      <w:szCs w:val="56"/>
    </w:rPr>
  </w:style>
  <w:style w:type="character" w:customStyle="1" w:styleId="style4106">
    <w:name w:val="Title Char_fbfe187c-8c60-4e40-a472-e0d655198aa4"/>
    <w:basedOn w:val="style65"/>
    <w:next w:val="style4106"/>
    <w:link w:val="style62"/>
    <w:uiPriority w:val="10"/>
    <w:rPr>
      <w:rFonts w:ascii="Aptos Display" w:cs="宋体" w:eastAsia="等线 Light"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等线 Light"/>
      <w:color w:val="595959"/>
      <w:spacing w:val="15"/>
      <w:sz w:val="28"/>
      <w:szCs w:val="28"/>
    </w:rPr>
  </w:style>
  <w:style w:type="character" w:customStyle="1" w:styleId="style4107">
    <w:name w:val="Subtitle Char"/>
    <w:basedOn w:val="style65"/>
    <w:next w:val="style4107"/>
    <w:link w:val="style74"/>
    <w:uiPriority w:val="11"/>
    <w:rPr>
      <w:rFonts w:cs="宋体" w:eastAsia="等线 Light"/>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16e2c237-0595-4348-abab-a680ffa6d7cc"/>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e4f75c36-2204-4ab5-9692-1504ca795087"/>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 w:type="character" w:styleId="style85">
    <w:name w:val="Hyperlink"/>
    <w:basedOn w:val="style65"/>
    <w:next w:val="style85"/>
    <w:uiPriority w:val="99"/>
    <w:rPr>
      <w:color w:val="467886"/>
      <w:u w:val="single"/>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cfd4479d-7dfd-45ee-9ab9-28517b7b0e5d"/>
    <w:basedOn w:val="style65"/>
    <w:next w:val="style4110"/>
    <w:link w:val="style31"/>
    <w:uiPriority w:val="99"/>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31df98ed-b956-4cfd-b33d-87412a52471e"/>
    <w:basedOn w:val="style65"/>
    <w:next w:val="style4111"/>
    <w:link w:val="style32"/>
    <w:uiPriority w:val="99"/>
  </w:style>
  <w:style w:type="table" w:customStyle="1" w:styleId="style4112">
    <w:name w:val="Grid Table 6 Colorful Accent 4"/>
    <w:basedOn w:val="style105"/>
    <w:next w:val="style4112"/>
    <w:uiPriority w:val="51"/>
    <w:pPr>
      <w:spacing w:after="0" w:lineRule="auto" w:line="240"/>
    </w:pPr>
    <w:rPr>
      <w:color w:val="0b769f"/>
    </w:rPr>
    <w:tblPr>
      <w:tblStyleRowBandSize w:val="1"/>
      <w:tblStyleColBandSize w:val="1"/>
      <w:tblBorders>
        <w:top w:val="single" w:sz="4" w:space="0" w:color="60caf3"/>
        <w:left w:val="single" w:sz="4" w:space="0" w:color="60caf3"/>
        <w:bottom w:val="single" w:sz="4" w:space="0" w:color="60caf3"/>
        <w:right w:val="single" w:sz="4" w:space="0" w:color="60caf3"/>
        <w:insideH w:val="single" w:sz="4" w:space="0" w:color="60caf3"/>
        <w:insideV w:val="single" w:sz="4" w:space="0" w:color="60caf3"/>
      </w:tblBorders>
    </w:tblPr>
    <w:tblStylePr w:type="firstRow">
      <w:pPr/>
      <w:rPr>
        <w:b/>
        <w:bCs/>
      </w:rPr>
      <w:tblPr/>
      <w:tcPr>
        <w:tcBorders>
          <w:bottom w:val="single" w:sz="12" w:space="0" w:color="60caf3"/>
        </w:tcBorders>
      </w:tcPr>
    </w:tblStylePr>
    <w:tblStylePr w:type="lastRow">
      <w:pPr/>
      <w:rPr>
        <w:b/>
        <w:bCs/>
      </w:rPr>
      <w:tblPr/>
      <w:tcPr>
        <w:tcBorders>
          <w:top w:val="double" w:sz="4" w:space="0" w:color="60caf3"/>
        </w:tcBorders>
      </w:tcPr>
    </w:tblStylePr>
    <w:tblStylePr w:type="band1Horz">
      <w:pPr/>
      <w:tblPr/>
      <w:tcPr>
        <w:tcBorders/>
        <w:shd w:val="clear" w:color="auto" w:fill="caedfb"/>
      </w:tcPr>
    </w:tblStylePr>
    <w:tblStylePr w:type="firstCol">
      <w:pPr/>
      <w:rPr>
        <w:b/>
        <w:bCs/>
      </w:rPr>
      <w:tcPr>
        <w:tcBorders/>
      </w:tcPr>
    </w:tblStylePr>
    <w:tblStylePr w:type="lastCol">
      <w:pPr/>
      <w:rPr>
        <w:b/>
        <w:bCs/>
      </w:rPr>
      <w:tcPr>
        <w:tcBorders/>
      </w:tcPr>
    </w:tblStylePr>
    <w:tblStylePr w:type="band1Vert">
      <w:pPr/>
      <w:tblPr/>
      <w:tcPr>
        <w:tcBorders/>
        <w:shd w:val="clear" w:color="auto" w:fill="caedfb"/>
      </w:tcPr>
    </w:tblStylePr>
    <w:tcPr>
      <w:tcBorders/>
    </w:tcPr>
  </w:style>
  <w:style w:type="paragraph" w:styleId="style266">
    <w:name w:val="TOC Heading"/>
    <w:basedOn w:val="style1"/>
    <w:next w:val="style0"/>
    <w:qFormat/>
    <w:uiPriority w:val="39"/>
    <w:pPr>
      <w:keepNext/>
      <w:keepLines/>
      <w:spacing w:after="0" w:lineRule="auto" w:line="259"/>
      <w:outlineLvl w:val="9"/>
    </w:pPr>
    <w:rPr>
      <w:rFonts w:ascii="Aptos Display" w:cs="宋体" w:eastAsia="等线 Light" w:hAnsi="Aptos Display"/>
      <w:b w:val="false"/>
      <w:bCs w:val="false"/>
      <w:color w:val="0f4761"/>
      <w:kern w:val="0"/>
      <w:sz w:val="32"/>
      <w:szCs w:val="32"/>
      <w:lang w:val="en-US"/>
      <w14:ligatures xmlns:w14="http://schemas.microsoft.com/office/word/2010/wordml" w14:val="none"/>
    </w:rPr>
  </w:style>
  <w:style w:type="paragraph" w:styleId="style20">
    <w:name w:val="toc 2"/>
    <w:basedOn w:val="style0"/>
    <w:next w:val="style0"/>
    <w:uiPriority w:val="39"/>
    <w:pPr>
      <w:spacing w:after="100"/>
      <w:ind w:left="240"/>
    </w:pPr>
    <w:rPr/>
  </w:style>
  <w:style w:type="paragraph" w:styleId="style19">
    <w:name w:val="toc 1"/>
    <w:basedOn w:val="style0"/>
    <w:next w:val="style0"/>
    <w:uiPriority w:val="39"/>
    <w:pPr>
      <w:spacing w:after="100"/>
    </w:pPr>
    <w:rPr/>
  </w:style>
  <w:style w:type="paragraph" w:styleId="style94">
    <w:name w:val="Normal (Web)"/>
    <w:basedOn w:val="style0"/>
    <w:next w:val="style94"/>
    <w:uiPriority w:val="99"/>
    <w:pPr/>
    <w:rPr>
      <w:rFonts w:ascii="Times New Roman" w:cs="Times New Roman" w:hAnsi="Times New Roman"/>
    </w:rPr>
  </w:style>
</w:styles>
</file>

<file path=word/_rels/document.xml.rels><?xml version="1.0" encoding="UTF-8"?>
<Relationships xmlns="http://schemas.openxmlformats.org/package/2006/relationships"><Relationship Id="rId20" Type="http://schemas.openxmlformats.org/officeDocument/2006/relationships/customXml" Target="../customXml/item1.xml"/><Relationship Id="rId11" Type="http://schemas.openxmlformats.org/officeDocument/2006/relationships/diagramColors" Target="diagrams/colors2.xml"/><Relationship Id="rId10" Type="http://schemas.openxmlformats.org/officeDocument/2006/relationships/diagramQuickStyle" Target="diagrams/quickStyle2.xml"/><Relationship Id="rId13" Type="http://schemas.openxmlformats.org/officeDocument/2006/relationships/header" Target="header1.xml"/><Relationship Id="rId12" Type="http://schemas.microsoft.com/office/2007/relationships/diagramDrawing" Target="diagrams/drawing1.xml"/><Relationship Id="rId1" Type="http://schemas.openxmlformats.org/officeDocument/2006/relationships/numbering" Target="numbering.xml"/><Relationship Id="rId3" Type="http://schemas.openxmlformats.org/officeDocument/2006/relationships/diagramData" Target="diagrams/data1.xml"/><Relationship Id="rId4" Type="http://schemas.openxmlformats.org/officeDocument/2006/relationships/diagramLayout" Target="diagrams/layout1.xml"/><Relationship Id="rId9" Type="http://schemas.openxmlformats.org/officeDocument/2006/relationships/diagramLayout" Target="diagrams/layout2.xml"/><Relationship Id="rId15" Type="http://schemas.openxmlformats.org/officeDocument/2006/relationships/styles" Target="styles.xml"/><Relationship Id="rId14" Type="http://schemas.openxmlformats.org/officeDocument/2006/relationships/footer" Target="footer2.xml"/><Relationship Id="rId17" Type="http://schemas.microsoft.com/office/2007/relationships/diagramDrawing" Target="diagrams/drawing2.xml"/><Relationship Id="rId16" Type="http://schemas.openxmlformats.org/officeDocument/2006/relationships/fontTable" Target="fontTable.xml"/><Relationship Id="rId5" Type="http://schemas.openxmlformats.org/officeDocument/2006/relationships/diagramQuickStyle" Target="diagrams/quickStyle1.xml"/><Relationship Id="rId19" Type="http://schemas.openxmlformats.org/officeDocument/2006/relationships/theme" Target="theme/theme1.xml"/><Relationship Id="rId6" Type="http://schemas.openxmlformats.org/officeDocument/2006/relationships/diagramColors" Target="diagrams/colors1.xml"/><Relationship Id="rId18" Type="http://schemas.openxmlformats.org/officeDocument/2006/relationships/settings" Target="settings.xml"/><Relationship Id="rId8" Type="http://schemas.openxmlformats.org/officeDocument/2006/relationships/diagramData" Target="diagrams/data2.xml"/></Relationships>
</file>

<file path=word/_rels/header1.xml.rels><?xml version="1.0" encoding="UTF-8"?>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5B591A-DE55-4594-A4B0-BF6732A68F89}" type="doc">
      <dgm:prSet loTypeId="urn:microsoft.com/office/officeart/2005/8/layout/radial5" loCatId="cycle" qsTypeId="urn:microsoft.com/office/officeart/2005/8/quickstyle/3d3" qsCatId="3D" csTypeId="urn:microsoft.com/office/officeart/2005/8/colors/colorful3" csCatId="colorful" phldr="1"/>
      <dgm:spPr/>
      <dgm:t>
        <a:bodyPr/>
        <a:lstStyle/>
        <a:p>
          <a:endParaRPr lang="en-IN"/>
        </a:p>
      </dgm:t>
    </dgm:pt>
    <dgm:pt modelId="{72C7BF6E-BD45-4E7E-9FA1-DF674C6C26D5}">
      <dgm:prSet phldrT="[Text]"/>
      <dgm:spPr/>
      <dgm:t>
        <a:bodyPr/>
        <a:lstStyle/>
        <a:p>
          <a:pPr>
            <a:buNone/>
          </a:pPr>
          <a:r>
            <a:rPr lang="en-IN" b="1" i="0">
              <a:solidFill>
                <a:sysClr val="windowText" lastClr="000000"/>
              </a:solidFill>
              <a:latin typeface="Times New Roman" panose="02020603050405020304" pitchFamily="18" charset="0"/>
              <a:cs typeface="Times New Roman" panose="02020603050405020304" pitchFamily="18" charset="0"/>
            </a:rPr>
            <a:t>Innovative Working Framework</a:t>
          </a:r>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0D82F6A2-FBFE-4934-9290-A90A5778C49B}" type="parTrans" cxnId="{737E9A56-9098-43FB-94B1-45CEF663B9B2}">
      <dgm:prSet/>
      <dgm:spPr/>
      <dgm:t>
        <a:bodyPr/>
        <a:lstStyle/>
        <a:p>
          <a:endParaRPr lang="en-IN">
            <a:solidFill>
              <a:sysClr val="windowText" lastClr="000000"/>
            </a:solidFill>
          </a:endParaRPr>
        </a:p>
      </dgm:t>
    </dgm:pt>
    <dgm:pt modelId="{EC3B45FE-ACA3-41B3-A582-EC5A691538DE}" type="sibTrans" cxnId="{737E9A56-9098-43FB-94B1-45CEF663B9B2}">
      <dgm:prSet/>
      <dgm:spPr/>
      <dgm:t>
        <a:bodyPr/>
        <a:lstStyle/>
        <a:p>
          <a:endParaRPr lang="en-IN">
            <a:solidFill>
              <a:sysClr val="windowText" lastClr="000000"/>
            </a:solidFill>
          </a:endParaRPr>
        </a:p>
      </dgm:t>
    </dgm:pt>
    <dgm:pt modelId="{055EA8FE-6D6C-4152-9E65-46A8551BB568}">
      <dgm:prSet phldrT="[Text]"/>
      <dgm:spPr>
        <a:solidFill>
          <a:schemeClr val="accent6">
            <a:lumMod val="60000"/>
            <a:lumOff val="40000"/>
          </a:schemeClr>
        </a:solidFill>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Cross-Functional Innovation Squads</a:t>
          </a:r>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D1D9E8E5-48BC-4CD8-AEBF-5354D8205408}" type="parTrans" cxnId="{CF796661-B58D-4125-8A4F-8CF74193657A}">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99D5EF16-58F5-4D14-BD65-8A29CE36079A}" type="sibTrans" cxnId="{CF796661-B58D-4125-8A4F-8CF74193657A}">
      <dgm:prSet/>
      <dgm:spPr/>
      <dgm:t>
        <a:bodyPr/>
        <a:lstStyle/>
        <a:p>
          <a:endParaRPr lang="en-IN">
            <a:solidFill>
              <a:sysClr val="windowText" lastClr="000000"/>
            </a:solidFill>
          </a:endParaRPr>
        </a:p>
      </dgm:t>
    </dgm:pt>
    <dgm:pt modelId="{A3C17C8B-E126-4ED9-A686-04E9C67609A4}">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Agile Project Teams</a:t>
          </a:r>
        </a:p>
      </dgm:t>
    </dgm:pt>
    <dgm:pt modelId="{0F69C535-5924-4F3F-9F17-250ACA140A2E}" type="parTrans" cxnId="{310CFDE1-E2C0-423F-8EAF-29FBCDA73C72}">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6CFA817F-F0F8-40B3-A803-85ACA6324D8C}" type="sibTrans" cxnId="{310CFDE1-E2C0-423F-8EAF-29FBCDA73C72}">
      <dgm:prSet/>
      <dgm:spPr/>
      <dgm:t>
        <a:bodyPr/>
        <a:lstStyle/>
        <a:p>
          <a:endParaRPr lang="en-IN">
            <a:solidFill>
              <a:sysClr val="windowText" lastClr="000000"/>
            </a:solidFill>
          </a:endParaRPr>
        </a:p>
      </dgm:t>
    </dgm:pt>
    <dgm:pt modelId="{D821FF9A-543A-4DDD-A609-28CAD517A148}">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Healthy and Flex Working Strategy</a:t>
          </a:r>
        </a:p>
      </dgm:t>
    </dgm:pt>
    <dgm:pt modelId="{081F997C-1125-4DBD-B0B7-EC00516ACBE9}" type="parTrans" cxnId="{188E4E39-8962-4446-B215-B249D04EB065}">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F2D2D3C5-8988-4242-BF47-61D41D90AFA2}" type="sibTrans" cxnId="{188E4E39-8962-4446-B215-B249D04EB065}">
      <dgm:prSet/>
      <dgm:spPr/>
      <dgm:t>
        <a:bodyPr/>
        <a:lstStyle/>
        <a:p>
          <a:endParaRPr lang="en-IN">
            <a:solidFill>
              <a:sysClr val="windowText" lastClr="000000"/>
            </a:solidFill>
          </a:endParaRPr>
        </a:p>
      </dgm:t>
    </dgm:pt>
    <dgm:pt modelId="{19B5A348-86CB-460C-B4B8-134D0879E6B7}">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Employee Empowerment &amp; Autonomy</a:t>
          </a:r>
        </a:p>
      </dgm:t>
    </dgm:pt>
    <dgm:pt modelId="{7F8D4425-FCC9-45A4-8860-1DA3FAD2185A}" type="parTrans" cxnId="{5E17629C-DF4D-412A-8057-3360847CFA23}">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63CDD553-E2A9-47D5-84F8-B4F8CA4193D0}" type="sibTrans" cxnId="{5E17629C-DF4D-412A-8057-3360847CFA23}">
      <dgm:prSet/>
      <dgm:spPr/>
      <dgm:t>
        <a:bodyPr/>
        <a:lstStyle/>
        <a:p>
          <a:endParaRPr lang="en-IN">
            <a:solidFill>
              <a:sysClr val="windowText" lastClr="000000"/>
            </a:solidFill>
          </a:endParaRPr>
        </a:p>
      </dgm:t>
    </dgm:pt>
    <dgm:pt modelId="{79F7A37B-81A8-41B0-B83C-F24FDBA98ECA}">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Advanced Digital Collaboration Technologies</a:t>
          </a:r>
        </a:p>
      </dgm:t>
    </dgm:pt>
    <dgm:pt modelId="{D59D9EF2-BE1D-4CA6-90B2-5DF34185EF58}" type="parTrans" cxnId="{B1F355C3-3ACD-42CB-A628-7D6AA0DED359}">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4BAA0398-B0A1-4F64-B5EC-0777FAECC7BA}" type="sibTrans" cxnId="{B1F355C3-3ACD-42CB-A628-7D6AA0DED359}">
      <dgm:prSet/>
      <dgm:spPr/>
      <dgm:t>
        <a:bodyPr/>
        <a:lstStyle/>
        <a:p>
          <a:endParaRPr lang="en-IN">
            <a:solidFill>
              <a:sysClr val="windowText" lastClr="000000"/>
            </a:solidFill>
          </a:endParaRPr>
        </a:p>
      </dgm:t>
    </dgm:pt>
    <dgm:pt modelId="{530EC3FD-BC5D-424F-BD2F-DE92A29B8996}" type="pres">
      <dgm:prSet presAssocID="{735B591A-DE55-4594-A4B0-BF6732A68F89}" presName="Name0" presStyleCnt="0">
        <dgm:presLayoutVars>
          <dgm:chMax val="1"/>
          <dgm:dir/>
          <dgm:animLvl val="ctr"/>
          <dgm:resizeHandles val="exact"/>
        </dgm:presLayoutVars>
      </dgm:prSet>
      <dgm:spPr/>
    </dgm:pt>
    <dgm:pt modelId="{E8F426EA-BCB4-4407-8668-5A21FA29E632}" type="pres">
      <dgm:prSet presAssocID="{72C7BF6E-BD45-4E7E-9FA1-DF674C6C26D5}" presName="centerShape" presStyleLbl="node0" presStyleIdx="0" presStyleCnt="1"/>
      <dgm:spPr/>
    </dgm:pt>
    <dgm:pt modelId="{3D94F41B-B479-44D2-9D54-6DDB5D09E613}" type="pres">
      <dgm:prSet presAssocID="{D1D9E8E5-48BC-4CD8-AEBF-5354D8205408}" presName="parTrans" presStyleLbl="sibTrans2D1" presStyleIdx="0" presStyleCnt="5"/>
      <dgm:spPr/>
    </dgm:pt>
    <dgm:pt modelId="{9C531EBA-03BF-4471-842F-FC90609F1AC7}" type="pres">
      <dgm:prSet presAssocID="{D1D9E8E5-48BC-4CD8-AEBF-5354D8205408}" presName="connectorText" presStyleLbl="sibTrans2D1" presStyleIdx="0" presStyleCnt="5"/>
      <dgm:spPr/>
    </dgm:pt>
    <dgm:pt modelId="{47E82161-77B8-4458-AC35-477AD8EC7279}" type="pres">
      <dgm:prSet presAssocID="{055EA8FE-6D6C-4152-9E65-46A8551BB568}" presName="node" presStyleLbl="node1" presStyleIdx="0" presStyleCnt="5">
        <dgm:presLayoutVars>
          <dgm:bulletEnabled val="1"/>
        </dgm:presLayoutVars>
      </dgm:prSet>
      <dgm:spPr/>
    </dgm:pt>
    <dgm:pt modelId="{673E1CB2-8540-4E88-A7E9-6F031530A4C9}" type="pres">
      <dgm:prSet presAssocID="{0F69C535-5924-4F3F-9F17-250ACA140A2E}" presName="parTrans" presStyleLbl="sibTrans2D1" presStyleIdx="1" presStyleCnt="5"/>
      <dgm:spPr/>
    </dgm:pt>
    <dgm:pt modelId="{0630A3BB-EA42-4912-A22B-85E65D307303}" type="pres">
      <dgm:prSet presAssocID="{0F69C535-5924-4F3F-9F17-250ACA140A2E}" presName="connectorText" presStyleLbl="sibTrans2D1" presStyleIdx="1" presStyleCnt="5"/>
      <dgm:spPr/>
    </dgm:pt>
    <dgm:pt modelId="{7B598C28-08BF-4670-A6E4-3507AABAF858}" type="pres">
      <dgm:prSet presAssocID="{A3C17C8B-E126-4ED9-A686-04E9C67609A4}" presName="node" presStyleLbl="node1" presStyleIdx="1" presStyleCnt="5">
        <dgm:presLayoutVars>
          <dgm:bulletEnabled val="1"/>
        </dgm:presLayoutVars>
      </dgm:prSet>
      <dgm:spPr/>
    </dgm:pt>
    <dgm:pt modelId="{FBDDE9AF-8988-4FD9-BD3A-CA0E3C0D216A}" type="pres">
      <dgm:prSet presAssocID="{081F997C-1125-4DBD-B0B7-EC00516ACBE9}" presName="parTrans" presStyleLbl="sibTrans2D1" presStyleIdx="2" presStyleCnt="5"/>
      <dgm:spPr/>
    </dgm:pt>
    <dgm:pt modelId="{916BD4B4-9522-4B9E-97AE-80B0A716E37A}" type="pres">
      <dgm:prSet presAssocID="{081F997C-1125-4DBD-B0B7-EC00516ACBE9}" presName="connectorText" presStyleLbl="sibTrans2D1" presStyleIdx="2" presStyleCnt="5"/>
      <dgm:spPr/>
    </dgm:pt>
    <dgm:pt modelId="{0ED26BA0-60C8-444B-8950-0990158C48AC}" type="pres">
      <dgm:prSet presAssocID="{D821FF9A-543A-4DDD-A609-28CAD517A148}" presName="node" presStyleLbl="node1" presStyleIdx="2" presStyleCnt="5">
        <dgm:presLayoutVars>
          <dgm:bulletEnabled val="1"/>
        </dgm:presLayoutVars>
      </dgm:prSet>
      <dgm:spPr/>
    </dgm:pt>
    <dgm:pt modelId="{71EF1EA6-61A1-4F4F-9DBC-656F3DE22DF5}" type="pres">
      <dgm:prSet presAssocID="{7F8D4425-FCC9-45A4-8860-1DA3FAD2185A}" presName="parTrans" presStyleLbl="sibTrans2D1" presStyleIdx="3" presStyleCnt="5"/>
      <dgm:spPr/>
    </dgm:pt>
    <dgm:pt modelId="{194416DD-5A2C-4653-BF47-114BEB24E72B}" type="pres">
      <dgm:prSet presAssocID="{7F8D4425-FCC9-45A4-8860-1DA3FAD2185A}" presName="connectorText" presStyleLbl="sibTrans2D1" presStyleIdx="3" presStyleCnt="5"/>
      <dgm:spPr/>
    </dgm:pt>
    <dgm:pt modelId="{A5BB76C6-2911-4612-8D50-9A99AFC71AFC}" type="pres">
      <dgm:prSet presAssocID="{19B5A348-86CB-460C-B4B8-134D0879E6B7}" presName="node" presStyleLbl="node1" presStyleIdx="3" presStyleCnt="5">
        <dgm:presLayoutVars>
          <dgm:bulletEnabled val="1"/>
        </dgm:presLayoutVars>
      </dgm:prSet>
      <dgm:spPr/>
    </dgm:pt>
    <dgm:pt modelId="{978DC92F-66E9-4FDF-9AF9-53264AF635C0}" type="pres">
      <dgm:prSet presAssocID="{D59D9EF2-BE1D-4CA6-90B2-5DF34185EF58}" presName="parTrans" presStyleLbl="sibTrans2D1" presStyleIdx="4" presStyleCnt="5"/>
      <dgm:spPr/>
    </dgm:pt>
    <dgm:pt modelId="{D03D12D1-14A0-4D14-A178-3DD760E1D94F}" type="pres">
      <dgm:prSet presAssocID="{D59D9EF2-BE1D-4CA6-90B2-5DF34185EF58}" presName="connectorText" presStyleLbl="sibTrans2D1" presStyleIdx="4" presStyleCnt="5"/>
      <dgm:spPr/>
    </dgm:pt>
    <dgm:pt modelId="{401120AE-715B-4E04-84F3-E83255013EAE}" type="pres">
      <dgm:prSet presAssocID="{79F7A37B-81A8-41B0-B83C-F24FDBA98ECA}" presName="node" presStyleLbl="node1" presStyleIdx="4" presStyleCnt="5">
        <dgm:presLayoutVars>
          <dgm:bulletEnabled val="1"/>
        </dgm:presLayoutVars>
      </dgm:prSet>
      <dgm:spPr/>
    </dgm:pt>
  </dgm:ptLst>
  <dgm:cxnLst>
    <dgm:cxn modelId="{CD391516-A366-46D4-AFFA-B97F5A28D8E5}" type="presOf" srcId="{D1D9E8E5-48BC-4CD8-AEBF-5354D8205408}" destId="{9C531EBA-03BF-4471-842F-FC90609F1AC7}" srcOrd="1" destOrd="0" presId="urn:microsoft.com/office/officeart/2005/8/layout/radial5"/>
    <dgm:cxn modelId="{3CF8E438-E448-41BA-887A-2306233738E8}" type="presOf" srcId="{A3C17C8B-E126-4ED9-A686-04E9C67609A4}" destId="{7B598C28-08BF-4670-A6E4-3507AABAF858}" srcOrd="0" destOrd="0" presId="urn:microsoft.com/office/officeart/2005/8/layout/radial5"/>
    <dgm:cxn modelId="{188E4E39-8962-4446-B215-B249D04EB065}" srcId="{72C7BF6E-BD45-4E7E-9FA1-DF674C6C26D5}" destId="{D821FF9A-543A-4DDD-A609-28CAD517A148}" srcOrd="2" destOrd="0" parTransId="{081F997C-1125-4DBD-B0B7-EC00516ACBE9}" sibTransId="{F2D2D3C5-8988-4242-BF47-61D41D90AFA2}"/>
    <dgm:cxn modelId="{6373D93B-3CFB-4778-9DC7-3E4BEB146E38}" type="presOf" srcId="{19B5A348-86CB-460C-B4B8-134D0879E6B7}" destId="{A5BB76C6-2911-4612-8D50-9A99AFC71AFC}" srcOrd="0" destOrd="0" presId="urn:microsoft.com/office/officeart/2005/8/layout/radial5"/>
    <dgm:cxn modelId="{DDAAFC5F-0641-4A6B-8332-43460C5D92B0}" type="presOf" srcId="{055EA8FE-6D6C-4152-9E65-46A8551BB568}" destId="{47E82161-77B8-4458-AC35-477AD8EC7279}" srcOrd="0" destOrd="0" presId="urn:microsoft.com/office/officeart/2005/8/layout/radial5"/>
    <dgm:cxn modelId="{CF796661-B58D-4125-8A4F-8CF74193657A}" srcId="{72C7BF6E-BD45-4E7E-9FA1-DF674C6C26D5}" destId="{055EA8FE-6D6C-4152-9E65-46A8551BB568}" srcOrd="0" destOrd="0" parTransId="{D1D9E8E5-48BC-4CD8-AEBF-5354D8205408}" sibTransId="{99D5EF16-58F5-4D14-BD65-8A29CE36079A}"/>
    <dgm:cxn modelId="{EADC7141-34A6-45F4-A98A-4F4295E35C19}" type="presOf" srcId="{0F69C535-5924-4F3F-9F17-250ACA140A2E}" destId="{673E1CB2-8540-4E88-A7E9-6F031530A4C9}" srcOrd="0" destOrd="0" presId="urn:microsoft.com/office/officeart/2005/8/layout/radial5"/>
    <dgm:cxn modelId="{8746BF62-99DE-4D80-A356-DBAA762BEFAC}" type="presOf" srcId="{D821FF9A-543A-4DDD-A609-28CAD517A148}" destId="{0ED26BA0-60C8-444B-8950-0990158C48AC}" srcOrd="0" destOrd="0" presId="urn:microsoft.com/office/officeart/2005/8/layout/radial5"/>
    <dgm:cxn modelId="{CC0BB268-5426-4AEC-BBEE-EEFBE60135E1}" type="presOf" srcId="{735B591A-DE55-4594-A4B0-BF6732A68F89}" destId="{530EC3FD-BC5D-424F-BD2F-DE92A29B8996}" srcOrd="0" destOrd="0" presId="urn:microsoft.com/office/officeart/2005/8/layout/radial5"/>
    <dgm:cxn modelId="{B097F469-3C18-4599-9E9D-826C73F1334E}" type="presOf" srcId="{D1D9E8E5-48BC-4CD8-AEBF-5354D8205408}" destId="{3D94F41B-B479-44D2-9D54-6DDB5D09E613}" srcOrd="0" destOrd="0" presId="urn:microsoft.com/office/officeart/2005/8/layout/radial5"/>
    <dgm:cxn modelId="{737E9A56-9098-43FB-94B1-45CEF663B9B2}" srcId="{735B591A-DE55-4594-A4B0-BF6732A68F89}" destId="{72C7BF6E-BD45-4E7E-9FA1-DF674C6C26D5}" srcOrd="0" destOrd="0" parTransId="{0D82F6A2-FBFE-4934-9290-A90A5778C49B}" sibTransId="{EC3B45FE-ACA3-41B3-A582-EC5A691538DE}"/>
    <dgm:cxn modelId="{23FBAF8B-4953-4860-9E27-E69AFD396001}" type="presOf" srcId="{79F7A37B-81A8-41B0-B83C-F24FDBA98ECA}" destId="{401120AE-715B-4E04-84F3-E83255013EAE}" srcOrd="0" destOrd="0" presId="urn:microsoft.com/office/officeart/2005/8/layout/radial5"/>
    <dgm:cxn modelId="{6CA9508E-7663-4473-A820-37273EF8C125}" type="presOf" srcId="{7F8D4425-FCC9-45A4-8860-1DA3FAD2185A}" destId="{71EF1EA6-61A1-4F4F-9DBC-656F3DE22DF5}" srcOrd="0" destOrd="0" presId="urn:microsoft.com/office/officeart/2005/8/layout/radial5"/>
    <dgm:cxn modelId="{8A99F38E-72D0-4A3C-B73E-167FE89BBF84}" type="presOf" srcId="{0F69C535-5924-4F3F-9F17-250ACA140A2E}" destId="{0630A3BB-EA42-4912-A22B-85E65D307303}" srcOrd="1" destOrd="0" presId="urn:microsoft.com/office/officeart/2005/8/layout/radial5"/>
    <dgm:cxn modelId="{5E17629C-DF4D-412A-8057-3360847CFA23}" srcId="{72C7BF6E-BD45-4E7E-9FA1-DF674C6C26D5}" destId="{19B5A348-86CB-460C-B4B8-134D0879E6B7}" srcOrd="3" destOrd="0" parTransId="{7F8D4425-FCC9-45A4-8860-1DA3FAD2185A}" sibTransId="{63CDD553-E2A9-47D5-84F8-B4F8CA4193D0}"/>
    <dgm:cxn modelId="{30992FA4-BED4-4FD1-BB90-3AFA3C6901E9}" type="presOf" srcId="{72C7BF6E-BD45-4E7E-9FA1-DF674C6C26D5}" destId="{E8F426EA-BCB4-4407-8668-5A21FA29E632}" srcOrd="0" destOrd="0" presId="urn:microsoft.com/office/officeart/2005/8/layout/radial5"/>
    <dgm:cxn modelId="{6BB4F5A8-25A8-440F-8105-614AA6F5BA76}" type="presOf" srcId="{7F8D4425-FCC9-45A4-8860-1DA3FAD2185A}" destId="{194416DD-5A2C-4653-BF47-114BEB24E72B}" srcOrd="1" destOrd="0" presId="urn:microsoft.com/office/officeart/2005/8/layout/radial5"/>
    <dgm:cxn modelId="{033A26AB-FDB2-40E1-AFD8-ADC1AD03A7EC}" type="presOf" srcId="{081F997C-1125-4DBD-B0B7-EC00516ACBE9}" destId="{916BD4B4-9522-4B9E-97AE-80B0A716E37A}" srcOrd="1" destOrd="0" presId="urn:microsoft.com/office/officeart/2005/8/layout/radial5"/>
    <dgm:cxn modelId="{5D703CAE-5671-49B4-A71B-F72446EED306}" type="presOf" srcId="{081F997C-1125-4DBD-B0B7-EC00516ACBE9}" destId="{FBDDE9AF-8988-4FD9-BD3A-CA0E3C0D216A}" srcOrd="0" destOrd="0" presId="urn:microsoft.com/office/officeart/2005/8/layout/radial5"/>
    <dgm:cxn modelId="{B1F355C3-3ACD-42CB-A628-7D6AA0DED359}" srcId="{72C7BF6E-BD45-4E7E-9FA1-DF674C6C26D5}" destId="{79F7A37B-81A8-41B0-B83C-F24FDBA98ECA}" srcOrd="4" destOrd="0" parTransId="{D59D9EF2-BE1D-4CA6-90B2-5DF34185EF58}" sibTransId="{4BAA0398-B0A1-4F64-B5EC-0777FAECC7BA}"/>
    <dgm:cxn modelId="{2FE49BC4-A319-4C00-87B9-0553065F4C22}" type="presOf" srcId="{D59D9EF2-BE1D-4CA6-90B2-5DF34185EF58}" destId="{978DC92F-66E9-4FDF-9AF9-53264AF635C0}" srcOrd="0" destOrd="0" presId="urn:microsoft.com/office/officeart/2005/8/layout/radial5"/>
    <dgm:cxn modelId="{310CFDE1-E2C0-423F-8EAF-29FBCDA73C72}" srcId="{72C7BF6E-BD45-4E7E-9FA1-DF674C6C26D5}" destId="{A3C17C8B-E126-4ED9-A686-04E9C67609A4}" srcOrd="1" destOrd="0" parTransId="{0F69C535-5924-4F3F-9F17-250ACA140A2E}" sibTransId="{6CFA817F-F0F8-40B3-A803-85ACA6324D8C}"/>
    <dgm:cxn modelId="{F84DF4EA-82C3-474C-AC09-D4672B2F23A7}" type="presOf" srcId="{D59D9EF2-BE1D-4CA6-90B2-5DF34185EF58}" destId="{D03D12D1-14A0-4D14-A178-3DD760E1D94F}" srcOrd="1" destOrd="0" presId="urn:microsoft.com/office/officeart/2005/8/layout/radial5"/>
    <dgm:cxn modelId="{46DEDDC7-9437-4870-A37A-135850263CBA}" type="presParOf" srcId="{530EC3FD-BC5D-424F-BD2F-DE92A29B8996}" destId="{E8F426EA-BCB4-4407-8668-5A21FA29E632}" srcOrd="0" destOrd="0" presId="urn:microsoft.com/office/officeart/2005/8/layout/radial5"/>
    <dgm:cxn modelId="{C640B9F8-437F-49BD-A05A-0F7CF8DE9651}" type="presParOf" srcId="{530EC3FD-BC5D-424F-BD2F-DE92A29B8996}" destId="{3D94F41B-B479-44D2-9D54-6DDB5D09E613}" srcOrd="1" destOrd="0" presId="urn:microsoft.com/office/officeart/2005/8/layout/radial5"/>
    <dgm:cxn modelId="{B74BA411-3FD3-4080-B7E7-5A69E256BD68}" type="presParOf" srcId="{3D94F41B-B479-44D2-9D54-6DDB5D09E613}" destId="{9C531EBA-03BF-4471-842F-FC90609F1AC7}" srcOrd="0" destOrd="0" presId="urn:microsoft.com/office/officeart/2005/8/layout/radial5"/>
    <dgm:cxn modelId="{D48DD7B5-D2C1-49A6-B611-6B39CB0DC325}" type="presParOf" srcId="{530EC3FD-BC5D-424F-BD2F-DE92A29B8996}" destId="{47E82161-77B8-4458-AC35-477AD8EC7279}" srcOrd="2" destOrd="0" presId="urn:microsoft.com/office/officeart/2005/8/layout/radial5"/>
    <dgm:cxn modelId="{ACC49E10-60F2-4DFC-A258-4B1E01A20961}" type="presParOf" srcId="{530EC3FD-BC5D-424F-BD2F-DE92A29B8996}" destId="{673E1CB2-8540-4E88-A7E9-6F031530A4C9}" srcOrd="3" destOrd="0" presId="urn:microsoft.com/office/officeart/2005/8/layout/radial5"/>
    <dgm:cxn modelId="{EBE249D1-AA9E-46F2-9085-31D45F6961AF}" type="presParOf" srcId="{673E1CB2-8540-4E88-A7E9-6F031530A4C9}" destId="{0630A3BB-EA42-4912-A22B-85E65D307303}" srcOrd="0" destOrd="0" presId="urn:microsoft.com/office/officeart/2005/8/layout/radial5"/>
    <dgm:cxn modelId="{F6FD4719-7164-4B00-9512-AE446F14EB93}" type="presParOf" srcId="{530EC3FD-BC5D-424F-BD2F-DE92A29B8996}" destId="{7B598C28-08BF-4670-A6E4-3507AABAF858}" srcOrd="4" destOrd="0" presId="urn:microsoft.com/office/officeart/2005/8/layout/radial5"/>
    <dgm:cxn modelId="{E5918C78-FD63-49DE-8ABC-598F1E18ED3A}" type="presParOf" srcId="{530EC3FD-BC5D-424F-BD2F-DE92A29B8996}" destId="{FBDDE9AF-8988-4FD9-BD3A-CA0E3C0D216A}" srcOrd="5" destOrd="0" presId="urn:microsoft.com/office/officeart/2005/8/layout/radial5"/>
    <dgm:cxn modelId="{55205818-E3A1-44C8-B86C-8F2A8EF35BB4}" type="presParOf" srcId="{FBDDE9AF-8988-4FD9-BD3A-CA0E3C0D216A}" destId="{916BD4B4-9522-4B9E-97AE-80B0A716E37A}" srcOrd="0" destOrd="0" presId="urn:microsoft.com/office/officeart/2005/8/layout/radial5"/>
    <dgm:cxn modelId="{1C3848D9-9C4D-4968-B315-100F2C5D4622}" type="presParOf" srcId="{530EC3FD-BC5D-424F-BD2F-DE92A29B8996}" destId="{0ED26BA0-60C8-444B-8950-0990158C48AC}" srcOrd="6" destOrd="0" presId="urn:microsoft.com/office/officeart/2005/8/layout/radial5"/>
    <dgm:cxn modelId="{C6850541-020D-4698-8C45-9DE45F8FAA15}" type="presParOf" srcId="{530EC3FD-BC5D-424F-BD2F-DE92A29B8996}" destId="{71EF1EA6-61A1-4F4F-9DBC-656F3DE22DF5}" srcOrd="7" destOrd="0" presId="urn:microsoft.com/office/officeart/2005/8/layout/radial5"/>
    <dgm:cxn modelId="{5143F89B-B06D-429A-83F1-EED5A0F14622}" type="presParOf" srcId="{71EF1EA6-61A1-4F4F-9DBC-656F3DE22DF5}" destId="{194416DD-5A2C-4653-BF47-114BEB24E72B}" srcOrd="0" destOrd="0" presId="urn:microsoft.com/office/officeart/2005/8/layout/radial5"/>
    <dgm:cxn modelId="{05C4ABA9-8F12-4B54-8612-BA2BDDEA5091}" type="presParOf" srcId="{530EC3FD-BC5D-424F-BD2F-DE92A29B8996}" destId="{A5BB76C6-2911-4612-8D50-9A99AFC71AFC}" srcOrd="8" destOrd="0" presId="urn:microsoft.com/office/officeart/2005/8/layout/radial5"/>
    <dgm:cxn modelId="{50153E6D-1BF5-4206-BAB1-D54E7B2D33F8}" type="presParOf" srcId="{530EC3FD-BC5D-424F-BD2F-DE92A29B8996}" destId="{978DC92F-66E9-4FDF-9AF9-53264AF635C0}" srcOrd="9" destOrd="0" presId="urn:microsoft.com/office/officeart/2005/8/layout/radial5"/>
    <dgm:cxn modelId="{45B93921-EC7B-402D-9941-5974F05C623A}" type="presParOf" srcId="{978DC92F-66E9-4FDF-9AF9-53264AF635C0}" destId="{D03D12D1-14A0-4D14-A178-3DD760E1D94F}" srcOrd="0" destOrd="0" presId="urn:microsoft.com/office/officeart/2005/8/layout/radial5"/>
    <dgm:cxn modelId="{E100D86E-4DC6-4E4A-BAD9-35791EBEA213}" type="presParOf" srcId="{530EC3FD-BC5D-424F-BD2F-DE92A29B8996}" destId="{401120AE-715B-4E04-84F3-E83255013EAE}" srcOrd="10"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7524716-EE87-46A5-B1CA-68D5314F0C01}" type="doc">
      <dgm:prSet loTypeId="urn:microsoft.com/office/officeart/2005/8/layout/cycle5" loCatId="cycle" qsTypeId="urn:microsoft.com/office/officeart/2005/8/quickstyle/3d3" qsCatId="3D" csTypeId="urn:microsoft.com/office/officeart/2005/8/colors/colorful4" csCatId="colorful" phldr="1"/>
      <dgm:spPr/>
      <dgm:t>
        <a:bodyPr/>
        <a:lstStyle/>
        <a:p>
          <a:endParaRPr lang="en-IN"/>
        </a:p>
      </dgm:t>
    </dgm:pt>
    <dgm:pt modelId="{2770E4D7-C5F6-48C2-A87E-676FFB588F9E}">
      <dgm:prSet phldrT="[Text]"/>
      <dgm:spPr/>
      <dgm:t>
        <a:bodyPr/>
        <a:lstStyle/>
        <a:p>
          <a:pPr>
            <a:buFont typeface="Arial" panose="020B0604020202020204" pitchFamily="34" charset="0"/>
            <a:buChar char="•"/>
          </a:pPr>
          <a:r>
            <a:rPr lang="en-IN" b="0" i="0"/>
            <a:t>Learning &amp; Development</a:t>
          </a:r>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AB9AB3BE-0EBF-4782-8D2A-E7BBBE0AAFB6}" type="parTrans" cxnId="{9FD529EB-5692-4A02-A258-576BB7F15D87}">
      <dgm:prSet/>
      <dgm:spPr/>
      <dgm:t>
        <a:bodyPr/>
        <a:lstStyle/>
        <a:p>
          <a:endParaRPr lang="en-IN"/>
        </a:p>
      </dgm:t>
    </dgm:pt>
    <dgm:pt modelId="{A5DE6A54-198F-4AAC-B33D-C5ED5A08390C}" type="sibTrans" cxnId="{9FD529EB-5692-4A02-A258-576BB7F15D87}">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FF7B33D3-CE45-450B-9FCF-FEEE5BC03387}">
      <dgm:prSet/>
      <dgm:spPr/>
      <dgm:t>
        <a:bodyPr/>
        <a:lstStyle/>
        <a:p>
          <a:pPr>
            <a:buFont typeface="Arial" panose="020B0604020202020204" pitchFamily="34" charset="0"/>
            <a:buChar char="•"/>
          </a:pPr>
          <a:r>
            <a:rPr lang="en-IN" b="0" i="0"/>
            <a:t>Global Mentoring &amp; Coaching</a:t>
          </a:r>
        </a:p>
      </dgm:t>
    </dgm:pt>
    <dgm:pt modelId="{B4523667-82B1-4035-9FE0-476F7C0208A9}" type="parTrans" cxnId="{9BDB9D5F-EEA3-464F-B30E-8CE01B0CD998}">
      <dgm:prSet/>
      <dgm:spPr/>
      <dgm:t>
        <a:bodyPr/>
        <a:lstStyle/>
        <a:p>
          <a:endParaRPr lang="en-IN"/>
        </a:p>
      </dgm:t>
    </dgm:pt>
    <dgm:pt modelId="{0C2A4708-1485-4EE3-BB3C-FF668F61C0E0}" type="sibTrans" cxnId="{9BDB9D5F-EEA3-464F-B30E-8CE01B0CD998}">
      <dgm:prSet/>
      <dgm:spPr/>
      <dgm:t>
        <a:bodyPr/>
        <a:lstStyle/>
        <a:p>
          <a:endParaRPr lang="en-IN"/>
        </a:p>
      </dgm:t>
    </dgm:pt>
    <dgm:pt modelId="{ED57643A-C30E-466C-9332-F3F460EFE1E3}">
      <dgm:prSet/>
      <dgm:spPr/>
      <dgm:t>
        <a:bodyPr/>
        <a:lstStyle/>
        <a:p>
          <a:pPr>
            <a:buFont typeface="Arial" panose="020B0604020202020204" pitchFamily="34" charset="0"/>
            <a:buChar char="•"/>
          </a:pPr>
          <a:r>
            <a:rPr lang="en-IN" b="0" i="0"/>
            <a:t>Career Progression &amp; Internal Mobility</a:t>
          </a:r>
        </a:p>
      </dgm:t>
    </dgm:pt>
    <dgm:pt modelId="{B73BD48F-7180-47D6-AF35-B474283DAC01}" type="parTrans" cxnId="{9AE636DB-A92B-425F-ACDE-41727C72637A}">
      <dgm:prSet/>
      <dgm:spPr/>
      <dgm:t>
        <a:bodyPr/>
        <a:lstStyle/>
        <a:p>
          <a:endParaRPr lang="en-IN"/>
        </a:p>
      </dgm:t>
    </dgm:pt>
    <dgm:pt modelId="{D5721C9A-AC47-4EE5-95F1-ED14F8AC139C}" type="sibTrans" cxnId="{9AE636DB-A92B-425F-ACDE-41727C72637A}">
      <dgm:prSet/>
      <dgm:spPr/>
      <dgm:t>
        <a:bodyPr/>
        <a:lstStyle/>
        <a:p>
          <a:endParaRPr lang="en-IN"/>
        </a:p>
      </dgm:t>
    </dgm:pt>
    <dgm:pt modelId="{B5BB4B89-4216-4505-9249-901C15A51399}">
      <dgm:prSet/>
      <dgm:spPr/>
      <dgm:t>
        <a:bodyPr/>
        <a:lstStyle/>
        <a:p>
          <a:pPr>
            <a:buFont typeface="Arial" panose="020B0604020202020204" pitchFamily="34" charset="0"/>
            <a:buChar char="•"/>
          </a:pPr>
          <a:r>
            <a:rPr lang="en-IN" b="0" i="0"/>
            <a:t>Wellbeing &amp; Employee Support</a:t>
          </a:r>
        </a:p>
      </dgm:t>
    </dgm:pt>
    <dgm:pt modelId="{52F6AA06-39AA-4E3E-8799-48FC5484EE63}" type="parTrans" cxnId="{95EC9A8D-05BA-4745-B289-F536DE3FDE27}">
      <dgm:prSet/>
      <dgm:spPr/>
      <dgm:t>
        <a:bodyPr/>
        <a:lstStyle/>
        <a:p>
          <a:endParaRPr lang="en-IN"/>
        </a:p>
      </dgm:t>
    </dgm:pt>
    <dgm:pt modelId="{FEB90848-3733-4D26-8250-0EC9FF3C9C3D}" type="sibTrans" cxnId="{95EC9A8D-05BA-4745-B289-F536DE3FDE27}">
      <dgm:prSet/>
      <dgm:spPr/>
      <dgm:t>
        <a:bodyPr/>
        <a:lstStyle/>
        <a:p>
          <a:endParaRPr lang="en-IN"/>
        </a:p>
      </dgm:t>
    </dgm:pt>
    <dgm:pt modelId="{712CE29A-4935-467D-ACD0-9162727105AE}">
      <dgm:prSet/>
      <dgm:spPr/>
      <dgm:t>
        <a:bodyPr/>
        <a:lstStyle/>
        <a:p>
          <a:pPr>
            <a:buFont typeface="Arial" panose="020B0604020202020204" pitchFamily="34" charset="0"/>
            <a:buChar char="•"/>
          </a:pPr>
          <a:r>
            <a:rPr lang="en-IN" b="0" i="0"/>
            <a:t>High Performance Culture (SDT)</a:t>
          </a:r>
        </a:p>
      </dgm:t>
    </dgm:pt>
    <dgm:pt modelId="{CA4A366E-2C17-4A61-A668-641F61979A5D}" type="parTrans" cxnId="{2D9A97DF-C9AA-475F-BFCC-E59ADF133FAC}">
      <dgm:prSet/>
      <dgm:spPr/>
      <dgm:t>
        <a:bodyPr/>
        <a:lstStyle/>
        <a:p>
          <a:endParaRPr lang="en-IN"/>
        </a:p>
      </dgm:t>
    </dgm:pt>
    <dgm:pt modelId="{15CA00E0-07CC-45C9-A8D3-2C634F6A2169}" type="sibTrans" cxnId="{2D9A97DF-C9AA-475F-BFCC-E59ADF133FAC}">
      <dgm:prSet/>
      <dgm:spPr/>
      <dgm:t>
        <a:bodyPr/>
        <a:lstStyle/>
        <a:p>
          <a:endParaRPr lang="en-IN"/>
        </a:p>
      </dgm:t>
    </dgm:pt>
    <dgm:pt modelId="{AB3F16A4-E585-4E93-9541-A26E89878C10}">
      <dgm:prSet/>
      <dgm:spPr/>
      <dgm:t>
        <a:bodyPr/>
        <a:lstStyle/>
        <a:p>
          <a:pPr>
            <a:buFont typeface="Arial" panose="020B0604020202020204" pitchFamily="34" charset="0"/>
            <a:buChar char="•"/>
          </a:pPr>
          <a:r>
            <a:rPr lang="en-IN" b="0" i="0"/>
            <a:t>Recognition &amp; Growth Mindset</a:t>
          </a:r>
        </a:p>
      </dgm:t>
    </dgm:pt>
    <dgm:pt modelId="{052320F9-4B03-4B8A-9F60-D180E2C1DCCF}" type="parTrans" cxnId="{5D36199F-8E7A-4270-9EF8-55AFF772855E}">
      <dgm:prSet/>
      <dgm:spPr/>
      <dgm:t>
        <a:bodyPr/>
        <a:lstStyle/>
        <a:p>
          <a:endParaRPr lang="en-IN"/>
        </a:p>
      </dgm:t>
    </dgm:pt>
    <dgm:pt modelId="{6C920E9E-4CC8-4AB9-9D33-D0ED1838F292}" type="sibTrans" cxnId="{5D36199F-8E7A-4270-9EF8-55AFF772855E}">
      <dgm:prSet/>
      <dgm:spPr/>
      <dgm:t>
        <a:bodyPr/>
        <a:lstStyle/>
        <a:p>
          <a:endParaRPr lang="en-IN"/>
        </a:p>
      </dgm:t>
    </dgm:pt>
    <dgm:pt modelId="{2E60DF56-6882-4AE0-9C20-3043E099C7C1}" type="pres">
      <dgm:prSet presAssocID="{37524716-EE87-46A5-B1CA-68D5314F0C01}" presName="cycle" presStyleCnt="0">
        <dgm:presLayoutVars>
          <dgm:dir/>
          <dgm:resizeHandles val="exact"/>
        </dgm:presLayoutVars>
      </dgm:prSet>
      <dgm:spPr/>
    </dgm:pt>
    <dgm:pt modelId="{EB716985-94F4-49DD-A3A9-D8668A2D9737}" type="pres">
      <dgm:prSet presAssocID="{2770E4D7-C5F6-48C2-A87E-676FFB588F9E}" presName="node" presStyleLbl="node1" presStyleIdx="0" presStyleCnt="6">
        <dgm:presLayoutVars>
          <dgm:bulletEnabled val="1"/>
        </dgm:presLayoutVars>
      </dgm:prSet>
      <dgm:spPr/>
    </dgm:pt>
    <dgm:pt modelId="{BC457C4E-24E5-4663-873E-5BDC4422AE6A}" type="pres">
      <dgm:prSet presAssocID="{2770E4D7-C5F6-48C2-A87E-676FFB588F9E}" presName="spNode" presStyleCnt="0"/>
      <dgm:spPr/>
    </dgm:pt>
    <dgm:pt modelId="{AFEDD913-9327-4ABB-8C64-A24A55055143}" type="pres">
      <dgm:prSet presAssocID="{A5DE6A54-198F-4AAC-B33D-C5ED5A08390C}" presName="sibTrans" presStyleLbl="sibTrans1D1" presStyleIdx="0" presStyleCnt="6"/>
      <dgm:spPr/>
    </dgm:pt>
    <dgm:pt modelId="{AE215B31-7B62-4269-ADC0-20070EE25D92}" type="pres">
      <dgm:prSet presAssocID="{FF7B33D3-CE45-450B-9FCF-FEEE5BC03387}" presName="node" presStyleLbl="node1" presStyleIdx="1" presStyleCnt="6">
        <dgm:presLayoutVars>
          <dgm:bulletEnabled val="1"/>
        </dgm:presLayoutVars>
      </dgm:prSet>
      <dgm:spPr/>
    </dgm:pt>
    <dgm:pt modelId="{C7EC3203-5C34-4B6C-BDB3-3C6021B6A7C2}" type="pres">
      <dgm:prSet presAssocID="{FF7B33D3-CE45-450B-9FCF-FEEE5BC03387}" presName="spNode" presStyleCnt="0"/>
      <dgm:spPr/>
    </dgm:pt>
    <dgm:pt modelId="{BDFFF638-0D10-4587-B2CD-4C36D41913FF}" type="pres">
      <dgm:prSet presAssocID="{0C2A4708-1485-4EE3-BB3C-FF668F61C0E0}" presName="sibTrans" presStyleLbl="sibTrans1D1" presStyleIdx="1" presStyleCnt="6"/>
      <dgm:spPr/>
    </dgm:pt>
    <dgm:pt modelId="{4F05AF24-9587-4B26-BB0C-FF6E2822834A}" type="pres">
      <dgm:prSet presAssocID="{ED57643A-C30E-466C-9332-F3F460EFE1E3}" presName="node" presStyleLbl="node1" presStyleIdx="2" presStyleCnt="6">
        <dgm:presLayoutVars>
          <dgm:bulletEnabled val="1"/>
        </dgm:presLayoutVars>
      </dgm:prSet>
      <dgm:spPr/>
    </dgm:pt>
    <dgm:pt modelId="{92C7FA35-133E-4C24-8A66-405CF807F555}" type="pres">
      <dgm:prSet presAssocID="{ED57643A-C30E-466C-9332-F3F460EFE1E3}" presName="spNode" presStyleCnt="0"/>
      <dgm:spPr/>
    </dgm:pt>
    <dgm:pt modelId="{9A22C549-885D-44EA-A01E-8629217FC5EC}" type="pres">
      <dgm:prSet presAssocID="{D5721C9A-AC47-4EE5-95F1-ED14F8AC139C}" presName="sibTrans" presStyleLbl="sibTrans1D1" presStyleIdx="2" presStyleCnt="6"/>
      <dgm:spPr/>
    </dgm:pt>
    <dgm:pt modelId="{C1A6E937-18B5-4C89-8AF6-653508628376}" type="pres">
      <dgm:prSet presAssocID="{B5BB4B89-4216-4505-9249-901C15A51399}" presName="node" presStyleLbl="node1" presStyleIdx="3" presStyleCnt="6">
        <dgm:presLayoutVars>
          <dgm:bulletEnabled val="1"/>
        </dgm:presLayoutVars>
      </dgm:prSet>
      <dgm:spPr/>
    </dgm:pt>
    <dgm:pt modelId="{6B35280D-B759-4F64-B74F-60286D7D8BEA}" type="pres">
      <dgm:prSet presAssocID="{B5BB4B89-4216-4505-9249-901C15A51399}" presName="spNode" presStyleCnt="0"/>
      <dgm:spPr/>
    </dgm:pt>
    <dgm:pt modelId="{CD4850E5-6155-489B-A704-418DF0B01AE2}" type="pres">
      <dgm:prSet presAssocID="{FEB90848-3733-4D26-8250-0EC9FF3C9C3D}" presName="sibTrans" presStyleLbl="sibTrans1D1" presStyleIdx="3" presStyleCnt="6"/>
      <dgm:spPr/>
    </dgm:pt>
    <dgm:pt modelId="{3DD67163-9B80-4073-9EDF-CCB725D2382F}" type="pres">
      <dgm:prSet presAssocID="{712CE29A-4935-467D-ACD0-9162727105AE}" presName="node" presStyleLbl="node1" presStyleIdx="4" presStyleCnt="6">
        <dgm:presLayoutVars>
          <dgm:bulletEnabled val="1"/>
        </dgm:presLayoutVars>
      </dgm:prSet>
      <dgm:spPr/>
    </dgm:pt>
    <dgm:pt modelId="{586E2A07-D111-423B-9F58-9034BD7C8456}" type="pres">
      <dgm:prSet presAssocID="{712CE29A-4935-467D-ACD0-9162727105AE}" presName="spNode" presStyleCnt="0"/>
      <dgm:spPr/>
    </dgm:pt>
    <dgm:pt modelId="{6F2B9BD4-7E3F-45C3-B18C-D8442453036A}" type="pres">
      <dgm:prSet presAssocID="{15CA00E0-07CC-45C9-A8D3-2C634F6A2169}" presName="sibTrans" presStyleLbl="sibTrans1D1" presStyleIdx="4" presStyleCnt="6"/>
      <dgm:spPr/>
    </dgm:pt>
    <dgm:pt modelId="{6A44FE36-FEE6-411C-8BB6-789CF529621D}" type="pres">
      <dgm:prSet presAssocID="{AB3F16A4-E585-4E93-9541-A26E89878C10}" presName="node" presStyleLbl="node1" presStyleIdx="5" presStyleCnt="6">
        <dgm:presLayoutVars>
          <dgm:bulletEnabled val="1"/>
        </dgm:presLayoutVars>
      </dgm:prSet>
      <dgm:spPr/>
    </dgm:pt>
    <dgm:pt modelId="{0D264B41-A74C-4846-8A2D-AA2CB6805CFA}" type="pres">
      <dgm:prSet presAssocID="{AB3F16A4-E585-4E93-9541-A26E89878C10}" presName="spNode" presStyleCnt="0"/>
      <dgm:spPr/>
    </dgm:pt>
    <dgm:pt modelId="{FA23F22D-AFC8-46BB-9701-80BDBC526ECB}" type="pres">
      <dgm:prSet presAssocID="{6C920E9E-4CC8-4AB9-9D33-D0ED1838F292}" presName="sibTrans" presStyleLbl="sibTrans1D1" presStyleIdx="5" presStyleCnt="6"/>
      <dgm:spPr/>
    </dgm:pt>
  </dgm:ptLst>
  <dgm:cxnLst>
    <dgm:cxn modelId="{E5AD330D-F207-49D7-BE14-183A66C8583D}" type="presOf" srcId="{FEB90848-3733-4D26-8250-0EC9FF3C9C3D}" destId="{CD4850E5-6155-489B-A704-418DF0B01AE2}" srcOrd="0" destOrd="0" presId="urn:microsoft.com/office/officeart/2005/8/layout/cycle5"/>
    <dgm:cxn modelId="{C3298F2A-3BAA-4480-99F8-67E1E9ABDFF9}" type="presOf" srcId="{FF7B33D3-CE45-450B-9FCF-FEEE5BC03387}" destId="{AE215B31-7B62-4269-ADC0-20070EE25D92}" srcOrd="0" destOrd="0" presId="urn:microsoft.com/office/officeart/2005/8/layout/cycle5"/>
    <dgm:cxn modelId="{76F42F3C-A649-4E98-97DC-9741D861844F}" type="presOf" srcId="{37524716-EE87-46A5-B1CA-68D5314F0C01}" destId="{2E60DF56-6882-4AE0-9C20-3043E099C7C1}" srcOrd="0" destOrd="0" presId="urn:microsoft.com/office/officeart/2005/8/layout/cycle5"/>
    <dgm:cxn modelId="{9BDB9D5F-EEA3-464F-B30E-8CE01B0CD998}" srcId="{37524716-EE87-46A5-B1CA-68D5314F0C01}" destId="{FF7B33D3-CE45-450B-9FCF-FEEE5BC03387}" srcOrd="1" destOrd="0" parTransId="{B4523667-82B1-4035-9FE0-476F7C0208A9}" sibTransId="{0C2A4708-1485-4EE3-BB3C-FF668F61C0E0}"/>
    <dgm:cxn modelId="{60BE1266-B2A0-4483-AC29-B920CC577CF4}" type="presOf" srcId="{B5BB4B89-4216-4505-9249-901C15A51399}" destId="{C1A6E937-18B5-4C89-8AF6-653508628376}" srcOrd="0" destOrd="0" presId="urn:microsoft.com/office/officeart/2005/8/layout/cycle5"/>
    <dgm:cxn modelId="{7ACDF14E-766F-4E30-A41D-83FF06C54673}" type="presOf" srcId="{6C920E9E-4CC8-4AB9-9D33-D0ED1838F292}" destId="{FA23F22D-AFC8-46BB-9701-80BDBC526ECB}" srcOrd="0" destOrd="0" presId="urn:microsoft.com/office/officeart/2005/8/layout/cycle5"/>
    <dgm:cxn modelId="{B4B8894F-5B37-4128-B70A-B1DFD627F37D}" type="presOf" srcId="{A5DE6A54-198F-4AAC-B33D-C5ED5A08390C}" destId="{AFEDD913-9327-4ABB-8C64-A24A55055143}" srcOrd="0" destOrd="0" presId="urn:microsoft.com/office/officeart/2005/8/layout/cycle5"/>
    <dgm:cxn modelId="{B633D16F-093D-48CE-8D8D-845B0D2C6220}" type="presOf" srcId="{AB3F16A4-E585-4E93-9541-A26E89878C10}" destId="{6A44FE36-FEE6-411C-8BB6-789CF529621D}" srcOrd="0" destOrd="0" presId="urn:microsoft.com/office/officeart/2005/8/layout/cycle5"/>
    <dgm:cxn modelId="{95EC9A8D-05BA-4745-B289-F536DE3FDE27}" srcId="{37524716-EE87-46A5-B1CA-68D5314F0C01}" destId="{B5BB4B89-4216-4505-9249-901C15A51399}" srcOrd="3" destOrd="0" parTransId="{52F6AA06-39AA-4E3E-8799-48FC5484EE63}" sibTransId="{FEB90848-3733-4D26-8250-0EC9FF3C9C3D}"/>
    <dgm:cxn modelId="{CA6A6292-20A8-44C6-BC37-BE2EC2363DBC}" type="presOf" srcId="{2770E4D7-C5F6-48C2-A87E-676FFB588F9E}" destId="{EB716985-94F4-49DD-A3A9-D8668A2D9737}" srcOrd="0" destOrd="0" presId="urn:microsoft.com/office/officeart/2005/8/layout/cycle5"/>
    <dgm:cxn modelId="{5D36199F-8E7A-4270-9EF8-55AFF772855E}" srcId="{37524716-EE87-46A5-B1CA-68D5314F0C01}" destId="{AB3F16A4-E585-4E93-9541-A26E89878C10}" srcOrd="5" destOrd="0" parTransId="{052320F9-4B03-4B8A-9F60-D180E2C1DCCF}" sibTransId="{6C920E9E-4CC8-4AB9-9D33-D0ED1838F292}"/>
    <dgm:cxn modelId="{9811D6AC-7EB1-44D2-BFCF-514283CE59B1}" type="presOf" srcId="{D5721C9A-AC47-4EE5-95F1-ED14F8AC139C}" destId="{9A22C549-885D-44EA-A01E-8629217FC5EC}" srcOrd="0" destOrd="0" presId="urn:microsoft.com/office/officeart/2005/8/layout/cycle5"/>
    <dgm:cxn modelId="{9AE636DB-A92B-425F-ACDE-41727C72637A}" srcId="{37524716-EE87-46A5-B1CA-68D5314F0C01}" destId="{ED57643A-C30E-466C-9332-F3F460EFE1E3}" srcOrd="2" destOrd="0" parTransId="{B73BD48F-7180-47D6-AF35-B474283DAC01}" sibTransId="{D5721C9A-AC47-4EE5-95F1-ED14F8AC139C}"/>
    <dgm:cxn modelId="{2D9A97DF-C9AA-475F-BFCC-E59ADF133FAC}" srcId="{37524716-EE87-46A5-B1CA-68D5314F0C01}" destId="{712CE29A-4935-467D-ACD0-9162727105AE}" srcOrd="4" destOrd="0" parTransId="{CA4A366E-2C17-4A61-A668-641F61979A5D}" sibTransId="{15CA00E0-07CC-45C9-A8D3-2C634F6A2169}"/>
    <dgm:cxn modelId="{A6CB4FE0-A8C3-4042-8E98-102AECD45130}" type="presOf" srcId="{712CE29A-4935-467D-ACD0-9162727105AE}" destId="{3DD67163-9B80-4073-9EDF-CCB725D2382F}" srcOrd="0" destOrd="0" presId="urn:microsoft.com/office/officeart/2005/8/layout/cycle5"/>
    <dgm:cxn modelId="{B4559EE5-A532-42E6-90D9-23FF381DCC0C}" type="presOf" srcId="{ED57643A-C30E-466C-9332-F3F460EFE1E3}" destId="{4F05AF24-9587-4B26-BB0C-FF6E2822834A}" srcOrd="0" destOrd="0" presId="urn:microsoft.com/office/officeart/2005/8/layout/cycle5"/>
    <dgm:cxn modelId="{06BB1BE7-BA96-4465-911E-09987AEF03FC}" type="presOf" srcId="{0C2A4708-1485-4EE3-BB3C-FF668F61C0E0}" destId="{BDFFF638-0D10-4587-B2CD-4C36D41913FF}" srcOrd="0" destOrd="0" presId="urn:microsoft.com/office/officeart/2005/8/layout/cycle5"/>
    <dgm:cxn modelId="{9FD529EB-5692-4A02-A258-576BB7F15D87}" srcId="{37524716-EE87-46A5-B1CA-68D5314F0C01}" destId="{2770E4D7-C5F6-48C2-A87E-676FFB588F9E}" srcOrd="0" destOrd="0" parTransId="{AB9AB3BE-0EBF-4782-8D2A-E7BBBE0AAFB6}" sibTransId="{A5DE6A54-198F-4AAC-B33D-C5ED5A08390C}"/>
    <dgm:cxn modelId="{5EF87DEC-1381-4667-A57C-6D8181BE167A}" type="presOf" srcId="{15CA00E0-07CC-45C9-A8D3-2C634F6A2169}" destId="{6F2B9BD4-7E3F-45C3-B18C-D8442453036A}" srcOrd="0" destOrd="0" presId="urn:microsoft.com/office/officeart/2005/8/layout/cycle5"/>
    <dgm:cxn modelId="{0E0DD9CE-BF68-451D-AAA2-E42D4F8FFD95}" type="presParOf" srcId="{2E60DF56-6882-4AE0-9C20-3043E099C7C1}" destId="{EB716985-94F4-49DD-A3A9-D8668A2D9737}" srcOrd="0" destOrd="0" presId="urn:microsoft.com/office/officeart/2005/8/layout/cycle5"/>
    <dgm:cxn modelId="{D3EBE35C-9DDF-4C5E-BB0A-D67290B666C8}" type="presParOf" srcId="{2E60DF56-6882-4AE0-9C20-3043E099C7C1}" destId="{BC457C4E-24E5-4663-873E-5BDC4422AE6A}" srcOrd="1" destOrd="0" presId="urn:microsoft.com/office/officeart/2005/8/layout/cycle5"/>
    <dgm:cxn modelId="{0534BAEC-6AF0-4464-8325-82E03ACE6E0C}" type="presParOf" srcId="{2E60DF56-6882-4AE0-9C20-3043E099C7C1}" destId="{AFEDD913-9327-4ABB-8C64-A24A55055143}" srcOrd="2" destOrd="0" presId="urn:microsoft.com/office/officeart/2005/8/layout/cycle5"/>
    <dgm:cxn modelId="{69F29AD3-430E-4CE5-B124-96FF65747D63}" type="presParOf" srcId="{2E60DF56-6882-4AE0-9C20-3043E099C7C1}" destId="{AE215B31-7B62-4269-ADC0-20070EE25D92}" srcOrd="3" destOrd="0" presId="urn:microsoft.com/office/officeart/2005/8/layout/cycle5"/>
    <dgm:cxn modelId="{B88FFAC5-DABB-4EB1-A7B4-36C056452F1A}" type="presParOf" srcId="{2E60DF56-6882-4AE0-9C20-3043E099C7C1}" destId="{C7EC3203-5C34-4B6C-BDB3-3C6021B6A7C2}" srcOrd="4" destOrd="0" presId="urn:microsoft.com/office/officeart/2005/8/layout/cycle5"/>
    <dgm:cxn modelId="{A9CE8342-CF04-48C9-855C-6E4257EDD181}" type="presParOf" srcId="{2E60DF56-6882-4AE0-9C20-3043E099C7C1}" destId="{BDFFF638-0D10-4587-B2CD-4C36D41913FF}" srcOrd="5" destOrd="0" presId="urn:microsoft.com/office/officeart/2005/8/layout/cycle5"/>
    <dgm:cxn modelId="{C87B7AE8-4FE8-4147-A587-7B771A617B13}" type="presParOf" srcId="{2E60DF56-6882-4AE0-9C20-3043E099C7C1}" destId="{4F05AF24-9587-4B26-BB0C-FF6E2822834A}" srcOrd="6" destOrd="0" presId="urn:microsoft.com/office/officeart/2005/8/layout/cycle5"/>
    <dgm:cxn modelId="{0EA6D862-3954-4C4D-9EC3-1B30DF51B6BA}" type="presParOf" srcId="{2E60DF56-6882-4AE0-9C20-3043E099C7C1}" destId="{92C7FA35-133E-4C24-8A66-405CF807F555}" srcOrd="7" destOrd="0" presId="urn:microsoft.com/office/officeart/2005/8/layout/cycle5"/>
    <dgm:cxn modelId="{89F3970C-8DEC-4E4D-A45F-455AD46BAA32}" type="presParOf" srcId="{2E60DF56-6882-4AE0-9C20-3043E099C7C1}" destId="{9A22C549-885D-44EA-A01E-8629217FC5EC}" srcOrd="8" destOrd="0" presId="urn:microsoft.com/office/officeart/2005/8/layout/cycle5"/>
    <dgm:cxn modelId="{547BB8C9-6E5A-4870-A470-5B3A38288AE4}" type="presParOf" srcId="{2E60DF56-6882-4AE0-9C20-3043E099C7C1}" destId="{C1A6E937-18B5-4C89-8AF6-653508628376}" srcOrd="9" destOrd="0" presId="urn:microsoft.com/office/officeart/2005/8/layout/cycle5"/>
    <dgm:cxn modelId="{F698F786-2B0E-4393-9B74-2C6353519665}" type="presParOf" srcId="{2E60DF56-6882-4AE0-9C20-3043E099C7C1}" destId="{6B35280D-B759-4F64-B74F-60286D7D8BEA}" srcOrd="10" destOrd="0" presId="urn:microsoft.com/office/officeart/2005/8/layout/cycle5"/>
    <dgm:cxn modelId="{51CDCCED-7401-42DB-B4E5-018CA0FF4E5F}" type="presParOf" srcId="{2E60DF56-6882-4AE0-9C20-3043E099C7C1}" destId="{CD4850E5-6155-489B-A704-418DF0B01AE2}" srcOrd="11" destOrd="0" presId="urn:microsoft.com/office/officeart/2005/8/layout/cycle5"/>
    <dgm:cxn modelId="{4ECE3765-8B6B-4898-88DD-2F3D9359F49C}" type="presParOf" srcId="{2E60DF56-6882-4AE0-9C20-3043E099C7C1}" destId="{3DD67163-9B80-4073-9EDF-CCB725D2382F}" srcOrd="12" destOrd="0" presId="urn:microsoft.com/office/officeart/2005/8/layout/cycle5"/>
    <dgm:cxn modelId="{DDD72CD4-7BEE-4B78-84DC-55C7F97DB8C8}" type="presParOf" srcId="{2E60DF56-6882-4AE0-9C20-3043E099C7C1}" destId="{586E2A07-D111-423B-9F58-9034BD7C8456}" srcOrd="13" destOrd="0" presId="urn:microsoft.com/office/officeart/2005/8/layout/cycle5"/>
    <dgm:cxn modelId="{217D07E5-EF57-4827-82E4-E4ABC6E37E97}" type="presParOf" srcId="{2E60DF56-6882-4AE0-9C20-3043E099C7C1}" destId="{6F2B9BD4-7E3F-45C3-B18C-D8442453036A}" srcOrd="14" destOrd="0" presId="urn:microsoft.com/office/officeart/2005/8/layout/cycle5"/>
    <dgm:cxn modelId="{DE39BFC4-844D-4140-88F7-E84BCED82F89}" type="presParOf" srcId="{2E60DF56-6882-4AE0-9C20-3043E099C7C1}" destId="{6A44FE36-FEE6-411C-8BB6-789CF529621D}" srcOrd="15" destOrd="0" presId="urn:microsoft.com/office/officeart/2005/8/layout/cycle5"/>
    <dgm:cxn modelId="{DDF992EF-40BD-44FB-AD94-01E73C75135E}" type="presParOf" srcId="{2E60DF56-6882-4AE0-9C20-3043E099C7C1}" destId="{0D264B41-A74C-4846-8A2D-AA2CB6805CFA}" srcOrd="16" destOrd="0" presId="urn:microsoft.com/office/officeart/2005/8/layout/cycle5"/>
    <dgm:cxn modelId="{5F6D4F21-ADDF-4FAD-8D16-56020F5BFD8D}" type="presParOf" srcId="{2E60DF56-6882-4AE0-9C20-3043E099C7C1}" destId="{FA23F22D-AFC8-46BB-9701-80BDBC526ECB}" srcOrd="17" destOrd="0" presId="urn:microsoft.com/office/officeart/2005/8/layout/cycle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F426EA-BCB4-4407-8668-5A21FA29E632}">
      <dsp:nvSpPr>
        <dsp:cNvPr id="0" name=""/>
        <dsp:cNvSpPr/>
      </dsp:nvSpPr>
      <dsp:spPr>
        <a:xfrm>
          <a:off x="2344712" y="1317880"/>
          <a:ext cx="796974" cy="796974"/>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solidFill>
                <a:sysClr val="windowText" lastClr="000000"/>
              </a:solidFill>
              <a:latin typeface="Times New Roman" panose="02020603050405020304" pitchFamily="18" charset="0"/>
              <a:cs typeface="Times New Roman" panose="02020603050405020304" pitchFamily="18" charset="0"/>
            </a:rPr>
            <a:t>Innovative Working Framework</a:t>
          </a:r>
          <a:endParaRPr lang="en-IN" sz="800" b="1" kern="1200">
            <a:solidFill>
              <a:sysClr val="windowText" lastClr="000000"/>
            </a:solidFill>
            <a:latin typeface="Times New Roman" panose="02020603050405020304" pitchFamily="18" charset="0"/>
            <a:cs typeface="Times New Roman" panose="02020603050405020304" pitchFamily="18" charset="0"/>
          </a:endParaRPr>
        </a:p>
      </dsp:txBody>
      <dsp:txXfrm>
        <a:off x="2461426" y="1434594"/>
        <a:ext cx="563546" cy="563546"/>
      </dsp:txXfrm>
    </dsp:sp>
    <dsp:sp modelId="{3D94F41B-B479-44D2-9D54-6DDB5D09E613}">
      <dsp:nvSpPr>
        <dsp:cNvPr id="0" name=""/>
        <dsp:cNvSpPr/>
      </dsp:nvSpPr>
      <dsp:spPr>
        <a:xfrm rot="16200000">
          <a:off x="2658418" y="1027228"/>
          <a:ext cx="169563" cy="270971"/>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a:off x="2683853" y="1106857"/>
        <a:ext cx="118694" cy="162583"/>
      </dsp:txXfrm>
    </dsp:sp>
    <dsp:sp modelId="{47E82161-77B8-4458-AC35-477AD8EC7279}">
      <dsp:nvSpPr>
        <dsp:cNvPr id="0" name=""/>
        <dsp:cNvSpPr/>
      </dsp:nvSpPr>
      <dsp:spPr>
        <a:xfrm>
          <a:off x="2245090" y="1731"/>
          <a:ext cx="996218" cy="996218"/>
        </a:xfrm>
        <a:prstGeom prst="ellipse">
          <a:avLst/>
        </a:prstGeom>
        <a:solidFill>
          <a:schemeClr val="accent6">
            <a:lumMod val="60000"/>
            <a:lumOff val="40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Cross-Functional Innovation Squads</a:t>
          </a:r>
          <a:endParaRPr lang="en-IN" sz="800" b="1" kern="1200">
            <a:solidFill>
              <a:sysClr val="windowText" lastClr="000000"/>
            </a:solidFill>
            <a:latin typeface="Times New Roman" panose="02020603050405020304" pitchFamily="18" charset="0"/>
            <a:cs typeface="Times New Roman" panose="02020603050405020304" pitchFamily="18" charset="0"/>
          </a:endParaRPr>
        </a:p>
      </dsp:txBody>
      <dsp:txXfrm>
        <a:off x="2390983" y="147624"/>
        <a:ext cx="704432" cy="704432"/>
      </dsp:txXfrm>
    </dsp:sp>
    <dsp:sp modelId="{673E1CB2-8540-4E88-A7E9-6F031530A4C9}">
      <dsp:nvSpPr>
        <dsp:cNvPr id="0" name=""/>
        <dsp:cNvSpPr/>
      </dsp:nvSpPr>
      <dsp:spPr>
        <a:xfrm rot="20520000">
          <a:off x="3184974" y="1409793"/>
          <a:ext cx="169563" cy="270971"/>
        </a:xfrm>
        <a:prstGeom prst="rightArrow">
          <a:avLst>
            <a:gd name="adj1" fmla="val 60000"/>
            <a:gd name="adj2" fmla="val 50000"/>
          </a:avLst>
        </a:prstGeom>
        <a:solidFill>
          <a:schemeClr val="accent3">
            <a:hueOff val="1029291"/>
            <a:satOff val="6178"/>
            <a:lumOff val="470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a:off x="3186219" y="1471847"/>
        <a:ext cx="118694" cy="162583"/>
      </dsp:txXfrm>
    </dsp:sp>
    <dsp:sp modelId="{7B598C28-08BF-4670-A6E4-3507AABAF858}">
      <dsp:nvSpPr>
        <dsp:cNvPr id="0" name=""/>
        <dsp:cNvSpPr/>
      </dsp:nvSpPr>
      <dsp:spPr>
        <a:xfrm>
          <a:off x="3402076" y="842331"/>
          <a:ext cx="996218" cy="996218"/>
        </a:xfrm>
        <a:prstGeom prst="ellipse">
          <a:avLst/>
        </a:prstGeom>
        <a:solidFill>
          <a:schemeClr val="accent3">
            <a:hueOff val="1029291"/>
            <a:satOff val="6178"/>
            <a:lumOff val="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Agile Project Teams</a:t>
          </a:r>
        </a:p>
      </dsp:txBody>
      <dsp:txXfrm>
        <a:off x="3547969" y="988224"/>
        <a:ext cx="704432" cy="704432"/>
      </dsp:txXfrm>
    </dsp:sp>
    <dsp:sp modelId="{FBDDE9AF-8988-4FD9-BD3A-CA0E3C0D216A}">
      <dsp:nvSpPr>
        <dsp:cNvPr id="0" name=""/>
        <dsp:cNvSpPr/>
      </dsp:nvSpPr>
      <dsp:spPr>
        <a:xfrm rot="3240000">
          <a:off x="2983847" y="2028797"/>
          <a:ext cx="169563" cy="270971"/>
        </a:xfrm>
        <a:prstGeom prst="rightArrow">
          <a:avLst>
            <a:gd name="adj1" fmla="val 60000"/>
            <a:gd name="adj2" fmla="val 50000"/>
          </a:avLst>
        </a:prstGeom>
        <a:solidFill>
          <a:schemeClr val="accent3">
            <a:hueOff val="2058582"/>
            <a:satOff val="12356"/>
            <a:lumOff val="9413"/>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a:off x="2994331" y="2062414"/>
        <a:ext cx="118694" cy="162583"/>
      </dsp:txXfrm>
    </dsp:sp>
    <dsp:sp modelId="{0ED26BA0-60C8-444B-8950-0990158C48AC}">
      <dsp:nvSpPr>
        <dsp:cNvPr id="0" name=""/>
        <dsp:cNvSpPr/>
      </dsp:nvSpPr>
      <dsp:spPr>
        <a:xfrm>
          <a:off x="2960147" y="2202449"/>
          <a:ext cx="996218" cy="996218"/>
        </a:xfrm>
        <a:prstGeom prst="ellipse">
          <a:avLst/>
        </a:prstGeom>
        <a:solidFill>
          <a:schemeClr val="accent3">
            <a:hueOff val="2058582"/>
            <a:satOff val="12356"/>
            <a:lumOff val="941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Healthy and Flex Working Strategy</a:t>
          </a:r>
        </a:p>
      </dsp:txBody>
      <dsp:txXfrm>
        <a:off x="3106040" y="2348342"/>
        <a:ext cx="704432" cy="704432"/>
      </dsp:txXfrm>
    </dsp:sp>
    <dsp:sp modelId="{71EF1EA6-61A1-4F4F-9DBC-656F3DE22DF5}">
      <dsp:nvSpPr>
        <dsp:cNvPr id="0" name=""/>
        <dsp:cNvSpPr/>
      </dsp:nvSpPr>
      <dsp:spPr>
        <a:xfrm rot="7560000">
          <a:off x="2332988" y="2028797"/>
          <a:ext cx="169563" cy="270971"/>
        </a:xfrm>
        <a:prstGeom prst="rightArrow">
          <a:avLst>
            <a:gd name="adj1" fmla="val 60000"/>
            <a:gd name="adj2" fmla="val 50000"/>
          </a:avLst>
        </a:prstGeom>
        <a:solidFill>
          <a:schemeClr val="accent3">
            <a:hueOff val="3087872"/>
            <a:satOff val="18534"/>
            <a:lumOff val="14119"/>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373373" y="2062414"/>
        <a:ext cx="118694" cy="162583"/>
      </dsp:txXfrm>
    </dsp:sp>
    <dsp:sp modelId="{A5BB76C6-2911-4612-8D50-9A99AFC71AFC}">
      <dsp:nvSpPr>
        <dsp:cNvPr id="0" name=""/>
        <dsp:cNvSpPr/>
      </dsp:nvSpPr>
      <dsp:spPr>
        <a:xfrm>
          <a:off x="1530034" y="2202449"/>
          <a:ext cx="996218" cy="996218"/>
        </a:xfrm>
        <a:prstGeom prst="ellipse">
          <a:avLst/>
        </a:prstGeom>
        <a:solidFill>
          <a:schemeClr val="accent3">
            <a:hueOff val="3087872"/>
            <a:satOff val="18534"/>
            <a:lumOff val="1411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Employee Empowerment &amp; Autonomy</a:t>
          </a:r>
        </a:p>
      </dsp:txBody>
      <dsp:txXfrm>
        <a:off x="1675927" y="2348342"/>
        <a:ext cx="704432" cy="704432"/>
      </dsp:txXfrm>
    </dsp:sp>
    <dsp:sp modelId="{978DC92F-66E9-4FDF-9AF9-53264AF635C0}">
      <dsp:nvSpPr>
        <dsp:cNvPr id="0" name=""/>
        <dsp:cNvSpPr/>
      </dsp:nvSpPr>
      <dsp:spPr>
        <a:xfrm rot="11880000">
          <a:off x="2131862" y="1409793"/>
          <a:ext cx="169563" cy="270971"/>
        </a:xfrm>
        <a:prstGeom prst="rightArrow">
          <a:avLst>
            <a:gd name="adj1" fmla="val 60000"/>
            <a:gd name="adj2" fmla="val 50000"/>
          </a:avLst>
        </a:prstGeom>
        <a:solidFill>
          <a:schemeClr val="accent3">
            <a:hueOff val="4117163"/>
            <a:satOff val="24712"/>
            <a:lumOff val="1882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181486" y="1471847"/>
        <a:ext cx="118694" cy="162583"/>
      </dsp:txXfrm>
    </dsp:sp>
    <dsp:sp modelId="{401120AE-715B-4E04-84F3-E83255013EAE}">
      <dsp:nvSpPr>
        <dsp:cNvPr id="0" name=""/>
        <dsp:cNvSpPr/>
      </dsp:nvSpPr>
      <dsp:spPr>
        <a:xfrm>
          <a:off x="1088104" y="842331"/>
          <a:ext cx="996218" cy="996218"/>
        </a:xfrm>
        <a:prstGeom prst="ellipse">
          <a:avLst/>
        </a:prstGeom>
        <a:solidFill>
          <a:schemeClr val="accent3">
            <a:hueOff val="4117163"/>
            <a:satOff val="24712"/>
            <a:lumOff val="1882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Advanced Digital Collaboration Technologies</a:t>
          </a:r>
        </a:p>
      </dsp:txBody>
      <dsp:txXfrm>
        <a:off x="1233997" y="988224"/>
        <a:ext cx="704432" cy="7044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716985-94F4-49DD-A3A9-D8668A2D9737}">
      <dsp:nvSpPr>
        <dsp:cNvPr id="0" name=""/>
        <dsp:cNvSpPr/>
      </dsp:nvSpPr>
      <dsp:spPr>
        <a:xfrm>
          <a:off x="2312565" y="2598"/>
          <a:ext cx="861268" cy="559824"/>
        </a:xfrm>
        <a:prstGeom prst="round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Learning &amp; Development</a:t>
          </a:r>
          <a:endParaRPr lang="en-IN" sz="800" b="1" kern="1200">
            <a:solidFill>
              <a:sysClr val="windowText" lastClr="000000"/>
            </a:solidFill>
            <a:latin typeface="Times New Roman" panose="02020603050405020304" pitchFamily="18" charset="0"/>
            <a:cs typeface="Times New Roman" panose="02020603050405020304" pitchFamily="18" charset="0"/>
          </a:endParaRPr>
        </a:p>
      </dsp:txBody>
      <dsp:txXfrm>
        <a:off x="2339893" y="29926"/>
        <a:ext cx="806612" cy="505168"/>
      </dsp:txXfrm>
    </dsp:sp>
    <dsp:sp modelId="{AFEDD913-9327-4ABB-8C64-A24A55055143}">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12700" cap="flat" cmpd="sng" algn="ctr">
          <a:solidFill>
            <a:schemeClr val="accent4">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AE215B31-7B62-4269-ADC0-20070EE25D92}">
      <dsp:nvSpPr>
        <dsp:cNvPr id="0" name=""/>
        <dsp:cNvSpPr/>
      </dsp:nvSpPr>
      <dsp:spPr>
        <a:xfrm>
          <a:off x="3453718" y="661443"/>
          <a:ext cx="861268" cy="559824"/>
        </a:xfrm>
        <a:prstGeom prst="roundRect">
          <a:avLst/>
        </a:prstGeom>
        <a:solidFill>
          <a:schemeClr val="accent4">
            <a:hueOff val="1319987"/>
            <a:satOff val="-5840"/>
            <a:lumOff val="-98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Global Mentoring &amp; Coaching</a:t>
          </a:r>
        </a:p>
      </dsp:txBody>
      <dsp:txXfrm>
        <a:off x="3481046" y="688771"/>
        <a:ext cx="806612" cy="505168"/>
      </dsp:txXfrm>
    </dsp:sp>
    <dsp:sp modelId="{BDFFF638-0D10-4587-B2CD-4C36D41913FF}">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12700" cap="flat" cmpd="sng" algn="ctr">
          <a:solidFill>
            <a:schemeClr val="accent4">
              <a:hueOff val="1319987"/>
              <a:satOff val="-5840"/>
              <a:lumOff val="-981"/>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4F05AF24-9587-4B26-BB0C-FF6E2822834A}">
      <dsp:nvSpPr>
        <dsp:cNvPr id="0" name=""/>
        <dsp:cNvSpPr/>
      </dsp:nvSpPr>
      <dsp:spPr>
        <a:xfrm>
          <a:off x="3453718" y="1979132"/>
          <a:ext cx="861268" cy="559824"/>
        </a:xfrm>
        <a:prstGeom prst="roundRect">
          <a:avLst/>
        </a:prstGeom>
        <a:solidFill>
          <a:schemeClr val="accent4">
            <a:hueOff val="2639975"/>
            <a:satOff val="-11681"/>
            <a:lumOff val="-196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Career Progression &amp; Internal Mobility</a:t>
          </a:r>
        </a:p>
      </dsp:txBody>
      <dsp:txXfrm>
        <a:off x="3481046" y="2006460"/>
        <a:ext cx="806612" cy="505168"/>
      </dsp:txXfrm>
    </dsp:sp>
    <dsp:sp modelId="{9A22C549-885D-44EA-A01E-8629217FC5EC}">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12700" cap="flat" cmpd="sng" algn="ctr">
          <a:solidFill>
            <a:schemeClr val="accent4">
              <a:hueOff val="2639975"/>
              <a:satOff val="-11681"/>
              <a:lumOff val="-1961"/>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C1A6E937-18B5-4C89-8AF6-653508628376}">
      <dsp:nvSpPr>
        <dsp:cNvPr id="0" name=""/>
        <dsp:cNvSpPr/>
      </dsp:nvSpPr>
      <dsp:spPr>
        <a:xfrm>
          <a:off x="2312565" y="2637977"/>
          <a:ext cx="861268" cy="559824"/>
        </a:xfrm>
        <a:prstGeom prst="roundRect">
          <a:avLst/>
        </a:prstGeom>
        <a:solidFill>
          <a:schemeClr val="accent4">
            <a:hueOff val="3959962"/>
            <a:satOff val="-17521"/>
            <a:lumOff val="-294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Wellbeing &amp; Employee Support</a:t>
          </a:r>
        </a:p>
      </dsp:txBody>
      <dsp:txXfrm>
        <a:off x="2339893" y="2665305"/>
        <a:ext cx="806612" cy="505168"/>
      </dsp:txXfrm>
    </dsp:sp>
    <dsp:sp modelId="{CD4850E5-6155-489B-A704-418DF0B01AE2}">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12700" cap="flat" cmpd="sng" algn="ctr">
          <a:solidFill>
            <a:schemeClr val="accent4">
              <a:hueOff val="3959962"/>
              <a:satOff val="-17521"/>
              <a:lumOff val="-2942"/>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3DD67163-9B80-4073-9EDF-CCB725D2382F}">
      <dsp:nvSpPr>
        <dsp:cNvPr id="0" name=""/>
        <dsp:cNvSpPr/>
      </dsp:nvSpPr>
      <dsp:spPr>
        <a:xfrm>
          <a:off x="1171413" y="1979132"/>
          <a:ext cx="861268" cy="559824"/>
        </a:xfrm>
        <a:prstGeom prst="roundRect">
          <a:avLst/>
        </a:prstGeom>
        <a:solidFill>
          <a:schemeClr val="accent4">
            <a:hueOff val="5279950"/>
            <a:satOff val="-23362"/>
            <a:lumOff val="-392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High Performance Culture (SDT)</a:t>
          </a:r>
        </a:p>
      </dsp:txBody>
      <dsp:txXfrm>
        <a:off x="1198741" y="2006460"/>
        <a:ext cx="806612" cy="505168"/>
      </dsp:txXfrm>
    </dsp:sp>
    <dsp:sp modelId="{6F2B9BD4-7E3F-45C3-B18C-D8442453036A}">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12700" cap="flat" cmpd="sng" algn="ctr">
          <a:solidFill>
            <a:schemeClr val="accent4">
              <a:hueOff val="5279950"/>
              <a:satOff val="-23362"/>
              <a:lumOff val="-3922"/>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6A44FE36-FEE6-411C-8BB6-789CF529621D}">
      <dsp:nvSpPr>
        <dsp:cNvPr id="0" name=""/>
        <dsp:cNvSpPr/>
      </dsp:nvSpPr>
      <dsp:spPr>
        <a:xfrm>
          <a:off x="1171413" y="661443"/>
          <a:ext cx="861268" cy="559824"/>
        </a:xfrm>
        <a:prstGeom prst="roundRect">
          <a:avLst/>
        </a:prstGeom>
        <a:solidFill>
          <a:schemeClr val="accent4">
            <a:hueOff val="6599937"/>
            <a:satOff val="-29202"/>
            <a:lumOff val="-490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Recognition &amp; Growth Mindset</a:t>
          </a:r>
        </a:p>
      </dsp:txBody>
      <dsp:txXfrm>
        <a:off x="1198741" y="688771"/>
        <a:ext cx="806612" cy="505168"/>
      </dsp:txXfrm>
    </dsp:sp>
    <dsp:sp modelId="{FA23F22D-AFC8-46BB-9701-80BDBC526ECB}">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12700" cap="flat" cmpd="sng" algn="ctr">
          <a:solidFill>
            <a:schemeClr val="accent4">
              <a:hueOff val="6599937"/>
              <a:satOff val="-29202"/>
              <a:lumOff val="-4903"/>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BB0D3-EA52-43D5-87C2-B519F216D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Words>3320</Words>
  <Pages>15</Pages>
  <Characters>22343</Characters>
  <Application>WPS Office</Application>
  <DocSecurity>0</DocSecurity>
  <Paragraphs>202</Paragraphs>
  <ScaleCrop>false</ScaleCrop>
  <LinksUpToDate>false</LinksUpToDate>
  <CharactersWithSpaces>25546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2026-10-09T10:33:00Z</dcterms:created>
  <dc:creator>WPS Office</dc:creator>
  <lastModifiedBy>V2222</lastModifiedBy>
  <dcterms:modified xsi:type="dcterms:W3CDTF">2026-10-14T05:16:57Z</dcterms:modified>
  <revision>57</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306cceb549694a49be1ac9ee2747b00c_23</vt:lpwstr>
  </property>
</Properties>
</file>