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8526BB4" w14:paraId="2F3EDA3C" wp14:textId="4EF93C18">
      <w:pPr>
        <w:spacing w:after="3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526BB4" w:rsidR="38526BB4">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Name: </w:t>
      </w:r>
      <w:r w:rsidRPr="38526BB4" w:rsidR="38526BB4">
        <w:rPr>
          <w:rFonts w:ascii="Arial" w:hAnsi="Arial" w:eastAsia="Arial" w:cs="Arial"/>
          <w:b w:val="0"/>
          <w:bCs w:val="0"/>
          <w:i w:val="0"/>
          <w:iCs w:val="0"/>
          <w:caps w:val="0"/>
          <w:smallCaps w:val="0"/>
          <w:noProof w:val="0"/>
          <w:color w:val="000000" w:themeColor="text1" w:themeTint="FF" w:themeShade="FF"/>
          <w:sz w:val="22"/>
          <w:szCs w:val="22"/>
          <w:lang w:val="en-GB"/>
        </w:rPr>
        <w:t>Chantelle Simmonds</w:t>
      </w:r>
    </w:p>
    <w:p xmlns:wp14="http://schemas.microsoft.com/office/word/2010/wordml" w:rsidP="38526BB4" w14:paraId="22BFDA9B" wp14:textId="1F745195">
      <w:pPr>
        <w:spacing w:after="3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526BB4" w:rsidR="38526BB4">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Number: </w:t>
      </w:r>
      <w:r w:rsidRPr="38526BB4" w:rsidR="38526BB4">
        <w:rPr>
          <w:rFonts w:ascii="Arial" w:hAnsi="Arial" w:eastAsia="Arial" w:cs="Arial"/>
          <w:b w:val="0"/>
          <w:bCs w:val="0"/>
          <w:i w:val="0"/>
          <w:iCs w:val="0"/>
          <w:caps w:val="0"/>
          <w:smallCaps w:val="0"/>
          <w:noProof w:val="0"/>
          <w:color w:val="000000" w:themeColor="text1" w:themeTint="FF" w:themeShade="FF"/>
          <w:sz w:val="22"/>
          <w:szCs w:val="22"/>
          <w:lang w:val="en-GB"/>
        </w:rPr>
        <w:t>1914402</w:t>
      </w:r>
    </w:p>
    <w:p xmlns:wp14="http://schemas.microsoft.com/office/word/2010/wordml" w:rsidP="38526BB4" w14:paraId="0AA56287" wp14:textId="1AFCE6E2">
      <w:pPr>
        <w:spacing w:after="3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526BB4" w:rsidR="38526BB4">
        <w:rPr>
          <w:rFonts w:ascii="Arial" w:hAnsi="Arial" w:eastAsia="Arial" w:cs="Arial"/>
          <w:b w:val="1"/>
          <w:bCs w:val="1"/>
          <w:i w:val="0"/>
          <w:iCs w:val="0"/>
          <w:caps w:val="0"/>
          <w:smallCaps w:val="0"/>
          <w:noProof w:val="0"/>
          <w:color w:val="000000" w:themeColor="text1" w:themeTint="FF" w:themeShade="FF"/>
          <w:sz w:val="22"/>
          <w:szCs w:val="22"/>
          <w:lang w:val="en-GB"/>
        </w:rPr>
        <w:t xml:space="preserve">Module Code: </w:t>
      </w:r>
      <w:r w:rsidRPr="38526BB4" w:rsidR="38526BB4">
        <w:rPr>
          <w:rFonts w:ascii="Arial" w:hAnsi="Arial" w:eastAsia="Arial" w:cs="Arial"/>
          <w:b w:val="0"/>
          <w:bCs w:val="0"/>
          <w:i w:val="0"/>
          <w:iCs w:val="0"/>
          <w:caps w:val="0"/>
          <w:smallCaps w:val="0"/>
          <w:noProof w:val="0"/>
          <w:color w:val="000000" w:themeColor="text1" w:themeTint="FF" w:themeShade="FF"/>
          <w:sz w:val="22"/>
          <w:szCs w:val="22"/>
          <w:lang w:val="en-GB"/>
        </w:rPr>
        <w:t>BMHP6006_BIRM</w:t>
      </w:r>
    </w:p>
    <w:p xmlns:wp14="http://schemas.microsoft.com/office/word/2010/wordml" w:rsidP="38526BB4" w14:paraId="73D6378D" wp14:textId="2B289974">
      <w:pPr>
        <w:spacing w:after="3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526BB4" w:rsidR="38526BB4">
        <w:rPr>
          <w:rFonts w:ascii="Arial" w:hAnsi="Arial" w:eastAsia="Arial" w:cs="Arial"/>
          <w:b w:val="1"/>
          <w:bCs w:val="1"/>
          <w:i w:val="0"/>
          <w:iCs w:val="0"/>
          <w:caps w:val="0"/>
          <w:smallCaps w:val="0"/>
          <w:noProof w:val="0"/>
          <w:color w:val="000000" w:themeColor="text1" w:themeTint="FF" w:themeShade="FF"/>
          <w:sz w:val="22"/>
          <w:szCs w:val="22"/>
          <w:lang w:val="en-GB"/>
        </w:rPr>
        <w:t xml:space="preserve">Module Title: </w:t>
      </w:r>
      <w:r w:rsidRPr="38526BB4" w:rsidR="38526BB4">
        <w:rPr>
          <w:rFonts w:ascii="Arial" w:hAnsi="Arial" w:eastAsia="Arial" w:cs="Arial"/>
          <w:b w:val="0"/>
          <w:bCs w:val="0"/>
          <w:i w:val="0"/>
          <w:iCs w:val="0"/>
          <w:caps w:val="0"/>
          <w:smallCaps w:val="0"/>
          <w:noProof w:val="0"/>
          <w:color w:val="000000" w:themeColor="text1" w:themeTint="FF" w:themeShade="FF"/>
          <w:sz w:val="22"/>
          <w:szCs w:val="22"/>
          <w:lang w:val="en-GB"/>
        </w:rPr>
        <w:t>Mental disorders and Psychopathy</w:t>
      </w:r>
    </w:p>
    <w:p xmlns:wp14="http://schemas.microsoft.com/office/word/2010/wordml" w:rsidP="12A2B161" w14:paraId="0B4EEF4F" wp14:textId="5EB0D21E">
      <w:pPr>
        <w:spacing w:after="3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2A2B161" w:rsidR="38526BB4">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12A2B161" w:rsidR="38526BB4">
        <w:rPr>
          <w:rFonts w:ascii="Arial" w:hAnsi="Arial" w:eastAsia="Arial" w:cs="Arial"/>
          <w:b w:val="0"/>
          <w:bCs w:val="0"/>
          <w:i w:val="0"/>
          <w:iCs w:val="0"/>
          <w:caps w:val="0"/>
          <w:smallCaps w:val="0"/>
          <w:noProof w:val="0"/>
          <w:color w:val="000000" w:themeColor="text1" w:themeTint="FF" w:themeShade="FF"/>
          <w:sz w:val="22"/>
          <w:szCs w:val="22"/>
          <w:lang w:val="en-GB"/>
        </w:rPr>
        <w:t>Task 1</w:t>
      </w:r>
      <w:r w:rsidRPr="12A2B161" w:rsidR="38526BB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2A2B161" w:rsidR="38526BB4">
        <w:rPr>
          <w:rFonts w:ascii="Arial" w:hAnsi="Arial" w:eastAsia="Arial" w:cs="Arial"/>
          <w:b w:val="0"/>
          <w:bCs w:val="0"/>
          <w:i w:val="0"/>
          <w:iCs w:val="0"/>
          <w:caps w:val="0"/>
          <w:smallCaps w:val="0"/>
          <w:noProof w:val="0"/>
          <w:color w:val="000000" w:themeColor="text1" w:themeTint="FF" w:themeShade="FF"/>
          <w:sz w:val="22"/>
          <w:szCs w:val="22"/>
          <w:lang w:val="en-GB"/>
        </w:rPr>
        <w:t>Written Report</w:t>
      </w:r>
    </w:p>
    <w:p xmlns:wp14="http://schemas.microsoft.com/office/word/2010/wordml" w:rsidP="38526BB4" w14:paraId="57013FE4" wp14:textId="1BCFBCC2">
      <w:pPr>
        <w:spacing w:after="3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526BB4" w:rsidR="38526BB4">
        <w:rPr>
          <w:rFonts w:ascii="Arial" w:hAnsi="Arial" w:eastAsia="Arial" w:cs="Arial"/>
          <w:b w:val="1"/>
          <w:bCs w:val="1"/>
          <w:i w:val="0"/>
          <w:iCs w:val="0"/>
          <w:caps w:val="0"/>
          <w:smallCaps w:val="0"/>
          <w:noProof w:val="0"/>
          <w:color w:val="000000" w:themeColor="text1" w:themeTint="FF" w:themeShade="FF"/>
          <w:sz w:val="22"/>
          <w:szCs w:val="22"/>
          <w:lang w:val="en-GB"/>
        </w:rPr>
        <w:t>Lecturer:</w:t>
      </w:r>
      <w:r w:rsidRPr="38526BB4" w:rsidR="38526BB4">
        <w:rPr>
          <w:rFonts w:ascii="Arial" w:hAnsi="Arial" w:eastAsia="Arial" w:cs="Arial"/>
          <w:b w:val="0"/>
          <w:bCs w:val="0"/>
          <w:i w:val="0"/>
          <w:iCs w:val="0"/>
          <w:caps w:val="0"/>
          <w:smallCaps w:val="0"/>
          <w:noProof w:val="0"/>
          <w:color w:val="000000" w:themeColor="text1" w:themeTint="FF" w:themeShade="FF"/>
          <w:sz w:val="22"/>
          <w:szCs w:val="22"/>
          <w:lang w:val="en-GB"/>
        </w:rPr>
        <w:t xml:space="preserve"> Chloe Harris</w:t>
      </w:r>
    </w:p>
    <w:p xmlns:wp14="http://schemas.microsoft.com/office/word/2010/wordml" w:rsidP="38526BB4" w14:paraId="3EB76B65" wp14:textId="75966CD1">
      <w:pPr>
        <w:rPr>
          <w:rFonts w:ascii="Arial" w:hAnsi="Arial" w:eastAsia="Arial" w:cs="Arial"/>
          <w:sz w:val="22"/>
          <w:szCs w:val="22"/>
        </w:rPr>
      </w:pPr>
      <w:r w:rsidRPr="38526BB4">
        <w:rPr>
          <w:rFonts w:ascii="Arial" w:hAnsi="Arial" w:eastAsia="Arial" w:cs="Arial"/>
          <w:sz w:val="22"/>
          <w:szCs w:val="22"/>
        </w:rPr>
        <w:br w:type="page"/>
      </w:r>
    </w:p>
    <w:p xmlns:wp14="http://schemas.microsoft.com/office/word/2010/wordml" w:rsidP="38526BB4" w14:paraId="2F22F689" wp14:textId="08DC0ACC">
      <w:pPr>
        <w:pStyle w:val="Normal"/>
        <w:spacing w:after="3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38526BB4" w:rsidR="38526BB4">
        <w:rPr>
          <w:rFonts w:ascii="Arial" w:hAnsi="Arial" w:eastAsia="Arial" w:cs="Arial"/>
          <w:b w:val="1"/>
          <w:bCs w:val="1"/>
          <w:i w:val="0"/>
          <w:iCs w:val="0"/>
          <w:caps w:val="0"/>
          <w:smallCaps w:val="0"/>
          <w:noProof w:val="0"/>
          <w:color w:val="000000" w:themeColor="text1" w:themeTint="FF" w:themeShade="FF"/>
          <w:sz w:val="22"/>
          <w:szCs w:val="22"/>
          <w:lang w:val="en-GB"/>
        </w:rPr>
        <w:t xml:space="preserve">Contents </w:t>
      </w:r>
    </w:p>
    <w:p xmlns:wp14="http://schemas.microsoft.com/office/word/2010/wordml" w:rsidP="38526BB4" w14:paraId="2EDF81FF" wp14:textId="2C75A18A">
      <w:pPr>
        <w:pStyle w:val="ListParagraph"/>
        <w:numPr>
          <w:ilvl w:val="0"/>
          <w:numId w:val="2"/>
        </w:numPr>
        <w:spacing w:after="3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8526BB4" w:rsidR="38526BB4">
        <w:rPr>
          <w:rFonts w:ascii="Arial" w:hAnsi="Arial" w:eastAsia="Arial" w:cs="Arial"/>
          <w:b w:val="0"/>
          <w:bCs w:val="0"/>
          <w:i w:val="0"/>
          <w:iCs w:val="0"/>
          <w:caps w:val="0"/>
          <w:smallCaps w:val="0"/>
          <w:noProof w:val="0"/>
          <w:color w:val="000000" w:themeColor="text1" w:themeTint="FF" w:themeShade="FF"/>
          <w:sz w:val="22"/>
          <w:szCs w:val="22"/>
          <w:lang w:val="en-GB"/>
        </w:rPr>
        <w:t>Introduction</w:t>
      </w:r>
    </w:p>
    <w:p w:rsidR="7F5E0A94" w:rsidP="7F5E0A94" w:rsidRDefault="7F5E0A94" w14:paraId="518C574B" w14:textId="5418AF8B">
      <w:pPr>
        <w:pStyle w:val="ListParagraph"/>
        <w:numPr>
          <w:ilvl w:val="0"/>
          <w:numId w:val="2"/>
        </w:numPr>
        <w:spacing w:after="30" w:line="360" w:lineRule="auto"/>
        <w:jc w:val="left"/>
        <w:rPr>
          <w:b w:val="0"/>
          <w:bCs w:val="0"/>
          <w:i w:val="0"/>
          <w:iCs w:val="0"/>
          <w:caps w:val="0"/>
          <w:smallCaps w:val="0"/>
          <w:noProof w:val="0"/>
          <w:color w:val="000000" w:themeColor="text1" w:themeTint="FF" w:themeShade="FF"/>
          <w:sz w:val="22"/>
          <w:szCs w:val="22"/>
          <w:lang w:val="en-GB"/>
        </w:rPr>
      </w:pPr>
      <w:r w:rsidRPr="7F5E0A94" w:rsidR="7F5E0A94">
        <w:rPr>
          <w:rFonts w:ascii="Arial" w:hAnsi="Arial" w:eastAsia="Arial" w:cs="Arial"/>
          <w:b w:val="0"/>
          <w:bCs w:val="0"/>
          <w:i w:val="0"/>
          <w:iCs w:val="0"/>
          <w:caps w:val="0"/>
          <w:smallCaps w:val="0"/>
          <w:noProof w:val="0"/>
          <w:color w:val="000000" w:themeColor="text1" w:themeTint="FF" w:themeShade="FF"/>
          <w:sz w:val="22"/>
          <w:szCs w:val="22"/>
          <w:lang w:val="en-GB"/>
        </w:rPr>
        <w:t>Definition and Classification</w:t>
      </w:r>
    </w:p>
    <w:p xmlns:wp14="http://schemas.microsoft.com/office/word/2010/wordml" w:rsidP="7F4CBF17" w14:paraId="224B0E45" wp14:textId="6D9F6113">
      <w:pPr>
        <w:pStyle w:val="ListParagraph"/>
        <w:numPr>
          <w:ilvl w:val="0"/>
          <w:numId w:val="2"/>
        </w:numPr>
        <w:spacing w:after="3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4CBF17" w:rsidR="7F5E0A94">
        <w:rPr>
          <w:rFonts w:ascii="Arial" w:hAnsi="Arial" w:eastAsia="Arial" w:cs="Arial"/>
          <w:b w:val="0"/>
          <w:bCs w:val="0"/>
          <w:i w:val="0"/>
          <w:iCs w:val="0"/>
          <w:caps w:val="0"/>
          <w:smallCaps w:val="0"/>
          <w:noProof w:val="0"/>
          <w:color w:val="000000" w:themeColor="text1" w:themeTint="FF" w:themeShade="FF"/>
          <w:sz w:val="22"/>
          <w:szCs w:val="22"/>
          <w:lang w:val="en-GB"/>
        </w:rPr>
        <w:t>Diagnosis</w:t>
      </w:r>
    </w:p>
    <w:p w:rsidR="7F5E0A94" w:rsidP="7F4CBF17" w:rsidRDefault="7F5E0A94" w14:paraId="2A329DF7" w14:textId="7B18B684">
      <w:pPr>
        <w:pStyle w:val="ListParagraph"/>
        <w:numPr>
          <w:ilvl w:val="0"/>
          <w:numId w:val="2"/>
        </w:numPr>
        <w:spacing w:after="3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4CBF17" w:rsidR="7F5E0A94">
        <w:rPr>
          <w:rFonts w:ascii="Arial" w:hAnsi="Arial" w:eastAsia="Arial" w:cs="Arial"/>
          <w:b w:val="0"/>
          <w:bCs w:val="0"/>
          <w:i w:val="0"/>
          <w:iCs w:val="0"/>
          <w:caps w:val="0"/>
          <w:smallCaps w:val="0"/>
          <w:noProof w:val="0"/>
          <w:color w:val="000000" w:themeColor="text1" w:themeTint="FF" w:themeShade="FF"/>
          <w:sz w:val="22"/>
          <w:szCs w:val="22"/>
          <w:lang w:val="en-GB"/>
        </w:rPr>
        <w:t>Treatment</w:t>
      </w:r>
    </w:p>
    <w:p w:rsidR="7F4CBF17" w:rsidP="7F4CBF17" w:rsidRDefault="7F4CBF17" w14:paraId="148E3110" w14:textId="688457F0">
      <w:pPr>
        <w:pStyle w:val="ListParagraph"/>
        <w:numPr>
          <w:ilvl w:val="0"/>
          <w:numId w:val="3"/>
        </w:numPr>
        <w:spacing w:after="3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4CBF17" w:rsidR="7F4CBF17">
        <w:rPr>
          <w:rFonts w:ascii="Arial" w:hAnsi="Arial" w:eastAsia="Arial" w:cs="Arial"/>
          <w:b w:val="0"/>
          <w:bCs w:val="0"/>
          <w:i w:val="0"/>
          <w:iCs w:val="0"/>
          <w:caps w:val="0"/>
          <w:smallCaps w:val="0"/>
          <w:noProof w:val="0"/>
          <w:color w:val="000000" w:themeColor="text1" w:themeTint="FF" w:themeShade="FF"/>
          <w:sz w:val="22"/>
          <w:szCs w:val="22"/>
          <w:lang w:val="en-GB"/>
        </w:rPr>
        <w:t>Drug Treatments</w:t>
      </w:r>
    </w:p>
    <w:p w:rsidR="7F4CBF17" w:rsidP="7F4CBF17" w:rsidRDefault="7F4CBF17" w14:paraId="7EEDCDB1" w14:textId="71C058C5">
      <w:pPr>
        <w:pStyle w:val="ListParagraph"/>
        <w:numPr>
          <w:ilvl w:val="0"/>
          <w:numId w:val="3"/>
        </w:numPr>
        <w:spacing w:after="30" w:line="360" w:lineRule="auto"/>
        <w:jc w:val="left"/>
        <w:rPr>
          <w:b w:val="0"/>
          <w:bCs w:val="0"/>
          <w:i w:val="0"/>
          <w:iCs w:val="0"/>
          <w:caps w:val="0"/>
          <w:smallCaps w:val="0"/>
          <w:noProof w:val="0"/>
          <w:color w:val="000000" w:themeColor="text1" w:themeTint="FF" w:themeShade="FF"/>
          <w:sz w:val="22"/>
          <w:szCs w:val="22"/>
          <w:lang w:val="en-GB"/>
        </w:rPr>
      </w:pPr>
      <w:r w:rsidRPr="7F4CBF17" w:rsidR="7F4CBF17">
        <w:rPr>
          <w:rFonts w:ascii="Arial" w:hAnsi="Arial" w:eastAsia="Arial" w:cs="Arial"/>
          <w:b w:val="0"/>
          <w:bCs w:val="0"/>
          <w:i w:val="0"/>
          <w:iCs w:val="0"/>
          <w:caps w:val="0"/>
          <w:smallCaps w:val="0"/>
          <w:noProof w:val="0"/>
          <w:color w:val="000000" w:themeColor="text1" w:themeTint="FF" w:themeShade="FF"/>
          <w:sz w:val="22"/>
          <w:szCs w:val="22"/>
          <w:lang w:val="en-GB"/>
        </w:rPr>
        <w:t>Non-Drug Treatments</w:t>
      </w:r>
    </w:p>
    <w:p w:rsidR="7F5E0A94" w:rsidP="7F4CBF17" w:rsidRDefault="7F5E0A94" w14:paraId="32D2C32F" w14:textId="76792B67">
      <w:pPr>
        <w:pStyle w:val="ListParagraph"/>
        <w:numPr>
          <w:ilvl w:val="0"/>
          <w:numId w:val="2"/>
        </w:numPr>
        <w:spacing w:after="3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4CBF17" w:rsidR="7F5E0A94">
        <w:rPr>
          <w:rFonts w:ascii="Arial" w:hAnsi="Arial" w:eastAsia="Arial" w:cs="Arial"/>
          <w:b w:val="0"/>
          <w:bCs w:val="0"/>
          <w:i w:val="0"/>
          <w:iCs w:val="0"/>
          <w:caps w:val="0"/>
          <w:smallCaps w:val="0"/>
          <w:noProof w:val="0"/>
          <w:color w:val="000000" w:themeColor="text1" w:themeTint="FF" w:themeShade="FF"/>
          <w:sz w:val="22"/>
          <w:szCs w:val="22"/>
          <w:lang w:val="en-GB"/>
        </w:rPr>
        <w:t>Measurement of Rehabilitation</w:t>
      </w:r>
    </w:p>
    <w:p w:rsidR="7F5E0A94" w:rsidP="7F4CBF17" w:rsidRDefault="7F5E0A94" w14:paraId="32AEE490" w14:textId="0D29AA37">
      <w:pPr>
        <w:pStyle w:val="ListParagraph"/>
        <w:numPr>
          <w:ilvl w:val="0"/>
          <w:numId w:val="2"/>
        </w:numPr>
        <w:spacing w:after="3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4CBF17" w:rsidR="7F5E0A94">
        <w:rPr>
          <w:rFonts w:ascii="Arial" w:hAnsi="Arial" w:eastAsia="Arial" w:cs="Arial"/>
          <w:b w:val="0"/>
          <w:bCs w:val="0"/>
          <w:i w:val="0"/>
          <w:iCs w:val="0"/>
          <w:caps w:val="0"/>
          <w:smallCaps w:val="0"/>
          <w:noProof w:val="0"/>
          <w:color w:val="000000" w:themeColor="text1" w:themeTint="FF" w:themeShade="FF"/>
          <w:sz w:val="22"/>
          <w:szCs w:val="22"/>
          <w:lang w:val="en-GB"/>
        </w:rPr>
        <w:t>Recommendations</w:t>
      </w:r>
    </w:p>
    <w:p w:rsidR="7F5E0A94" w:rsidP="7F4CBF17" w:rsidRDefault="7F5E0A94" w14:paraId="19C68F22" w14:textId="72A45920">
      <w:pPr>
        <w:pStyle w:val="ListParagraph"/>
        <w:numPr>
          <w:ilvl w:val="0"/>
          <w:numId w:val="2"/>
        </w:numPr>
        <w:spacing w:after="3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4CBF17" w:rsidR="7F5E0A94">
        <w:rPr>
          <w:rFonts w:ascii="Arial" w:hAnsi="Arial" w:eastAsia="Arial" w:cs="Arial"/>
          <w:b w:val="0"/>
          <w:bCs w:val="0"/>
          <w:i w:val="0"/>
          <w:iCs w:val="0"/>
          <w:caps w:val="0"/>
          <w:smallCaps w:val="0"/>
          <w:noProof w:val="0"/>
          <w:color w:val="000000" w:themeColor="text1" w:themeTint="FF" w:themeShade="FF"/>
          <w:sz w:val="22"/>
          <w:szCs w:val="22"/>
          <w:lang w:val="en-GB"/>
        </w:rPr>
        <w:t>Conclusion</w:t>
      </w:r>
    </w:p>
    <w:p w:rsidR="7F4CBF17" w:rsidP="7F4CBF17" w:rsidRDefault="7F4CBF17" w14:paraId="6283D486" w14:textId="411F285F">
      <w:pPr>
        <w:pStyle w:val="ListParagraph"/>
        <w:numPr>
          <w:ilvl w:val="0"/>
          <w:numId w:val="2"/>
        </w:numPr>
        <w:spacing w:after="30" w:line="360" w:lineRule="auto"/>
        <w:jc w:val="left"/>
        <w:rPr>
          <w:b w:val="0"/>
          <w:bCs w:val="0"/>
          <w:i w:val="0"/>
          <w:iCs w:val="0"/>
          <w:caps w:val="0"/>
          <w:smallCaps w:val="0"/>
          <w:noProof w:val="0"/>
          <w:color w:val="000000" w:themeColor="text1" w:themeTint="FF" w:themeShade="FF"/>
          <w:sz w:val="22"/>
          <w:szCs w:val="22"/>
          <w:lang w:val="en-GB"/>
        </w:rPr>
      </w:pPr>
      <w:r w:rsidRPr="7F4CBF17" w:rsidR="7F4CBF17">
        <w:rPr>
          <w:rFonts w:ascii="Arial" w:hAnsi="Arial" w:eastAsia="Arial" w:cs="Arial"/>
          <w:b w:val="0"/>
          <w:bCs w:val="0"/>
          <w:i w:val="0"/>
          <w:iCs w:val="0"/>
          <w:caps w:val="0"/>
          <w:smallCaps w:val="0"/>
          <w:noProof w:val="0"/>
          <w:color w:val="000000" w:themeColor="text1" w:themeTint="FF" w:themeShade="FF"/>
          <w:sz w:val="22"/>
          <w:szCs w:val="22"/>
          <w:lang w:val="en-GB"/>
        </w:rPr>
        <w:t>References</w:t>
      </w:r>
    </w:p>
    <w:p xmlns:wp14="http://schemas.microsoft.com/office/word/2010/wordml" w14:paraId="0ACAC648" wp14:textId="3E158629">
      <w:r>
        <w:br w:type="page"/>
      </w:r>
    </w:p>
    <w:p xmlns:wp14="http://schemas.microsoft.com/office/word/2010/wordml" w:rsidP="38526BB4" w14:paraId="34152C9D" wp14:textId="1D0544D3">
      <w:pPr>
        <w:pStyle w:val="Normal"/>
        <w:spacing w:after="3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4E7A5C02" w14:paraId="3055FD28" wp14:textId="119916CB">
      <w:pPr>
        <w:pStyle w:val="ListParagraph"/>
        <w:numPr>
          <w:ilvl w:val="0"/>
          <w:numId w:val="1"/>
        </w:numPr>
        <w:spacing w:before="30" w:beforeAutospacing="off" w:after="3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6"/>
          <w:szCs w:val="26"/>
          <w:lang w:val="en-GB"/>
        </w:rPr>
      </w:pPr>
      <w:r w:rsidRPr="4E7A5C02" w:rsidR="38526BB4">
        <w:rPr>
          <w:rFonts w:ascii="Arial" w:hAnsi="Arial" w:eastAsia="Arial" w:cs="Arial"/>
          <w:b w:val="0"/>
          <w:bCs w:val="0"/>
          <w:i w:val="0"/>
          <w:iCs w:val="0"/>
          <w:caps w:val="0"/>
          <w:smallCaps w:val="0"/>
          <w:noProof w:val="0"/>
          <w:color w:val="000000" w:themeColor="text1" w:themeTint="FF" w:themeShade="FF"/>
          <w:sz w:val="26"/>
          <w:szCs w:val="26"/>
          <w:lang w:val="en-GB"/>
        </w:rPr>
        <w:t>Introduction</w:t>
      </w:r>
    </w:p>
    <w:p xmlns:wp14="http://schemas.microsoft.com/office/word/2010/wordml" w:rsidP="4E7A5C02" w14:paraId="5E5787A5" wp14:textId="12130FA4">
      <w:pPr>
        <w:pStyle w:val="Normal"/>
        <w:spacing w:before="30" w:beforeAutospacing="off" w:after="30" w:afterAutospacing="off" w:line="360" w:lineRule="auto"/>
        <w:ind w:left="0"/>
        <w:jc w:val="both"/>
        <w:rPr>
          <w:rFonts w:ascii="Arial" w:hAnsi="Arial" w:eastAsia="Arial" w:cs="Arial"/>
          <w:noProof w:val="0"/>
          <w:lang w:val="en-GB"/>
        </w:rPr>
      </w:pPr>
      <w:r w:rsidRPr="4E7A5C02" w:rsidR="38526BB4">
        <w:rPr>
          <w:rFonts w:ascii="Arial" w:hAnsi="Arial" w:eastAsia="Arial" w:cs="Arial"/>
        </w:rPr>
        <w:t xml:space="preserve">This written report will evaluate the historical and contemporary support and provision for people living with dementia, </w:t>
      </w:r>
      <w:r w:rsidRPr="4E7A5C02" w:rsidR="38526BB4">
        <w:rPr>
          <w:rFonts w:ascii="Arial" w:hAnsi="Arial" w:eastAsia="Arial" w:cs="Arial"/>
        </w:rPr>
        <w:t>by critically examining the classification, w</w:t>
      </w:r>
      <w:r w:rsidRPr="4E7A5C02" w:rsidR="38526BB4">
        <w:rPr>
          <w:rFonts w:ascii="Arial" w:hAnsi="Arial" w:eastAsia="Arial" w:cs="Arial"/>
        </w:rPr>
        <w:t>hich is specified in the World Health Organisation's International classification of diseases, tenth addition (ICD10) (2010) making comparison to the</w:t>
      </w:r>
      <w:r w:rsidRPr="4E7A5C02" w:rsidR="38526BB4">
        <w:rPr>
          <w:rFonts w:ascii="Arial" w:hAnsi="Arial" w:eastAsia="Arial" w:cs="Arial"/>
          <w:sz w:val="22"/>
          <w:szCs w:val="22"/>
        </w:rPr>
        <w:t xml:space="preserve"> Diagnostic and statistical manual (DSM-5)</w:t>
      </w:r>
      <w:r w:rsidRPr="4E7A5C02" w:rsidR="38526BB4">
        <w:rPr>
          <w:rFonts w:ascii="Arial" w:hAnsi="Arial" w:eastAsia="Arial" w:cs="Arial"/>
        </w:rPr>
        <w:t xml:space="preserve">. It will also evaluate the process and who is involved in diagnosing a patient. The report will also assess the current treatments used in practice whilst looking at some of the </w:t>
      </w:r>
      <w:r w:rsidRPr="4E7A5C02" w:rsidR="38526BB4">
        <w:rPr>
          <w:rFonts w:ascii="Arial" w:hAnsi="Arial" w:eastAsia="Arial" w:cs="Arial"/>
        </w:rPr>
        <w:t>unsuccessful treatments, rehabilitation measurements of dementia and r</w:t>
      </w:r>
      <w:r w:rsidRPr="4E7A5C02" w:rsidR="38526BB4">
        <w:rPr>
          <w:rFonts w:ascii="Arial" w:hAnsi="Arial" w:eastAsia="Arial" w:cs="Arial"/>
        </w:rPr>
        <w:t xml:space="preserve">ecommendations on the future practices will be </w:t>
      </w:r>
      <w:r w:rsidRPr="4E7A5C02" w:rsidR="38526BB4">
        <w:rPr>
          <w:rFonts w:ascii="Arial" w:hAnsi="Arial" w:eastAsia="Arial" w:cs="Arial"/>
        </w:rPr>
        <w:t>Made on how improvements can be made for the quality of life of someone diagnosed with dementia.</w:t>
      </w:r>
    </w:p>
    <w:p w:rsidR="38526BB4" w:rsidP="4E7A5C02" w:rsidRDefault="38526BB4" w14:paraId="5E08DEEA" w14:textId="4B6550A9">
      <w:pPr>
        <w:pStyle w:val="Normal"/>
        <w:spacing w:before="30" w:beforeAutospacing="off" w:after="30" w:afterAutospacing="off"/>
        <w:jc w:val="both"/>
        <w:rPr>
          <w:rFonts w:ascii="Arial" w:hAnsi="Arial" w:eastAsia="Arial" w:cs="Arial"/>
        </w:rPr>
      </w:pPr>
    </w:p>
    <w:p w:rsidR="38526BB4" w:rsidP="4E7A5C02" w:rsidRDefault="38526BB4" w14:paraId="0F0E749D" w14:textId="49C97913">
      <w:pPr>
        <w:pStyle w:val="ListParagraph"/>
        <w:numPr>
          <w:ilvl w:val="0"/>
          <w:numId w:val="1"/>
        </w:numPr>
        <w:spacing w:before="30" w:beforeAutospacing="off" w:line="360" w:lineRule="auto"/>
        <w:jc w:val="both"/>
        <w:rPr>
          <w:rFonts w:ascii="Arial" w:hAnsi="Arial" w:eastAsia="Arial" w:cs="Arial"/>
          <w:sz w:val="26"/>
          <w:szCs w:val="26"/>
        </w:rPr>
      </w:pPr>
      <w:r w:rsidRPr="4E7A5C02" w:rsidR="38526BB4">
        <w:rPr>
          <w:rFonts w:ascii="Arial" w:hAnsi="Arial" w:eastAsia="Arial" w:cs="Arial"/>
          <w:sz w:val="26"/>
          <w:szCs w:val="26"/>
        </w:rPr>
        <w:t>Classification</w:t>
      </w:r>
      <w:r w:rsidRPr="4E7A5C02" w:rsidR="38526BB4">
        <w:rPr>
          <w:rFonts w:ascii="Arial" w:hAnsi="Arial" w:eastAsia="Arial" w:cs="Arial"/>
          <w:sz w:val="22"/>
          <w:szCs w:val="22"/>
        </w:rPr>
        <w:t xml:space="preserve"> </w:t>
      </w:r>
    </w:p>
    <w:p w:rsidR="38526BB4" w:rsidP="4E7A5C02" w:rsidRDefault="38526BB4" w14:paraId="3EDFE66B" w14:textId="267C0E6D">
      <w:pPr>
        <w:pStyle w:val="Normal"/>
        <w:spacing w:line="360" w:lineRule="auto"/>
        <w:ind w:left="0"/>
        <w:jc w:val="both"/>
        <w:rPr>
          <w:rFonts w:ascii="Arial" w:hAnsi="Arial" w:eastAsia="Arial" w:cs="Arial"/>
          <w:sz w:val="22"/>
          <w:szCs w:val="22"/>
        </w:rPr>
      </w:pPr>
      <w:r w:rsidRPr="4E7A5C02" w:rsidR="38526BB4">
        <w:rPr>
          <w:rFonts w:ascii="Arial" w:hAnsi="Arial" w:eastAsia="Arial" w:cs="Arial"/>
          <w:sz w:val="22"/>
          <w:szCs w:val="22"/>
        </w:rPr>
        <w:t xml:space="preserve">Dementia is a life limiting condition, an umbrella term for a collection of symptoms that affects the brain, which is a </w:t>
      </w:r>
      <w:r w:rsidRPr="4E7A5C02" w:rsidR="38526BB4">
        <w:rPr>
          <w:rFonts w:ascii="Arial" w:hAnsi="Arial" w:eastAsia="Arial" w:cs="Arial"/>
          <w:sz w:val="22"/>
          <w:szCs w:val="22"/>
        </w:rPr>
        <w:t xml:space="preserve">chronic and </w:t>
      </w:r>
      <w:r w:rsidRPr="4E7A5C02" w:rsidR="38526BB4">
        <w:rPr>
          <w:rFonts w:ascii="Arial" w:hAnsi="Arial" w:eastAsia="Arial" w:cs="Arial"/>
          <w:sz w:val="22"/>
          <w:szCs w:val="22"/>
        </w:rPr>
        <w:t>progressive</w:t>
      </w:r>
      <w:r w:rsidRPr="4E7A5C02" w:rsidR="7F4CBF17">
        <w:rPr>
          <w:rFonts w:ascii="Arial" w:hAnsi="Arial" w:eastAsia="Arial" w:cs="Arial"/>
          <w:sz w:val="22"/>
          <w:szCs w:val="22"/>
        </w:rPr>
        <w:t xml:space="preserve"> disposition of </w:t>
      </w:r>
      <w:r w:rsidRPr="4E7A5C02" w:rsidR="38526BB4">
        <w:rPr>
          <w:rFonts w:ascii="Arial" w:hAnsi="Arial" w:eastAsia="Arial" w:cs="Arial"/>
          <w:sz w:val="22"/>
          <w:szCs w:val="22"/>
        </w:rPr>
        <w:t xml:space="preserve">the deterioration of cognitive function the loss of ability to think, recall or make judgements, interfering with one's memory, ability to reason, communication rational thinking that interferes with daily life and tasks. The most common types of dementia are Alzheimer's, Vascular, Frontotemporal, Mixed </w:t>
      </w:r>
      <w:r w:rsidRPr="4E7A5C02" w:rsidR="38526BB4">
        <w:rPr>
          <w:rFonts w:ascii="Arial" w:hAnsi="Arial" w:eastAsia="Arial" w:cs="Arial"/>
          <w:sz w:val="22"/>
          <w:szCs w:val="22"/>
        </w:rPr>
        <w:t>dementia</w:t>
      </w:r>
      <w:r w:rsidRPr="4E7A5C02" w:rsidR="38526BB4">
        <w:rPr>
          <w:rFonts w:ascii="Arial" w:hAnsi="Arial" w:eastAsia="Arial" w:cs="Arial"/>
          <w:sz w:val="22"/>
          <w:szCs w:val="22"/>
        </w:rPr>
        <w:t xml:space="preserve"> and Lewy's body. Alzheimer's is the most prevalent disease within dementia. The ICD-10 is used </w:t>
      </w:r>
      <w:r w:rsidRPr="4E7A5C02" w:rsidR="38526BB4">
        <w:rPr>
          <w:rFonts w:ascii="Arial" w:hAnsi="Arial" w:eastAsia="Arial" w:cs="Arial"/>
          <w:sz w:val="22"/>
          <w:szCs w:val="22"/>
        </w:rPr>
        <w:t>globally supplying</w:t>
      </w:r>
      <w:r w:rsidRPr="4E7A5C02" w:rsidR="38526BB4">
        <w:rPr>
          <w:rFonts w:ascii="Arial" w:hAnsi="Arial" w:eastAsia="Arial" w:cs="Arial"/>
          <w:sz w:val="22"/>
          <w:szCs w:val="22"/>
        </w:rPr>
        <w:t xml:space="preserve"> critical </w:t>
      </w:r>
      <w:r w:rsidRPr="4E7A5C02" w:rsidR="38526BB4">
        <w:rPr>
          <w:rFonts w:ascii="Arial" w:hAnsi="Arial" w:eastAsia="Arial" w:cs="Arial"/>
          <w:sz w:val="22"/>
          <w:szCs w:val="22"/>
        </w:rPr>
        <w:t>knowledge, the diagnosis</w:t>
      </w:r>
      <w:r w:rsidRPr="4E7A5C02" w:rsidR="38526BB4">
        <w:rPr>
          <w:rFonts w:ascii="Arial" w:hAnsi="Arial" w:eastAsia="Arial" w:cs="Arial"/>
          <w:sz w:val="22"/>
          <w:szCs w:val="22"/>
        </w:rPr>
        <w:t xml:space="preserve"> code for Dementia is F00 – F03 an organic and symptomatic neurological brain disease </w:t>
      </w:r>
      <w:r w:rsidRPr="4E7A5C02" w:rsidR="38526BB4">
        <w:rPr>
          <w:rFonts w:ascii="Arial" w:hAnsi="Arial" w:eastAsia="Arial" w:cs="Arial"/>
          <w:sz w:val="22"/>
          <w:szCs w:val="22"/>
        </w:rPr>
        <w:t>that</w:t>
      </w:r>
      <w:r w:rsidRPr="4E7A5C02" w:rsidR="38526BB4">
        <w:rPr>
          <w:rFonts w:ascii="Arial" w:hAnsi="Arial" w:eastAsia="Arial" w:cs="Arial"/>
          <w:sz w:val="22"/>
          <w:szCs w:val="22"/>
        </w:rPr>
        <w:t xml:space="preserve"> </w:t>
      </w:r>
      <w:r w:rsidRPr="4E7A5C02" w:rsidR="38526BB4">
        <w:rPr>
          <w:rFonts w:ascii="Arial" w:hAnsi="Arial" w:eastAsia="Arial" w:cs="Arial"/>
          <w:sz w:val="22"/>
          <w:szCs w:val="22"/>
        </w:rPr>
        <w:t>disrupts</w:t>
      </w:r>
      <w:r w:rsidRPr="4E7A5C02" w:rsidR="38526BB4">
        <w:rPr>
          <w:rFonts w:ascii="Arial" w:hAnsi="Arial" w:eastAsia="Arial" w:cs="Arial"/>
          <w:sz w:val="22"/>
          <w:szCs w:val="22"/>
        </w:rPr>
        <w:t xml:space="preserve"> the brain functions. F00*- Dementia in Alzheimer's disease (AD) (G30 -+) a degenerative brain disease. F001* Dementia in Alzheimer's (G30.1 -+) late onset </w:t>
      </w:r>
      <w:r w:rsidRPr="4E7A5C02" w:rsidR="38526BB4">
        <w:rPr>
          <w:rFonts w:ascii="Arial" w:hAnsi="Arial" w:eastAsia="Arial" w:cs="Arial"/>
          <w:sz w:val="22"/>
          <w:szCs w:val="22"/>
        </w:rPr>
        <w:t>(World Health Organisation, (WHO) 2010).</w:t>
      </w:r>
      <w:r w:rsidRPr="4E7A5C02" w:rsidR="38526BB4">
        <w:rPr>
          <w:rFonts w:ascii="Arial" w:hAnsi="Arial" w:eastAsia="Arial" w:cs="Arial"/>
          <w:sz w:val="22"/>
          <w:szCs w:val="22"/>
        </w:rPr>
        <w:t xml:space="preserve"> In Comparison to the Diagnostic and statistical manual (DSM-5) dementia is classified as a neurological brain disorder amongst other neurological disorders such as delirium, amnestic and other cognitive disorders, coded 602 which is a sub diagnosis that are either mild or major with or without behavioural disturbances, when using the DSM-5 there is a more </w:t>
      </w:r>
      <w:r w:rsidRPr="4E7A5C02" w:rsidR="38526BB4">
        <w:rPr>
          <w:rFonts w:ascii="Arial" w:hAnsi="Arial" w:eastAsia="Arial" w:cs="Arial"/>
          <w:sz w:val="22"/>
          <w:szCs w:val="22"/>
        </w:rPr>
        <w:t>in-depth</w:t>
      </w:r>
      <w:r w:rsidRPr="4E7A5C02" w:rsidR="38526BB4">
        <w:rPr>
          <w:rFonts w:ascii="Arial" w:hAnsi="Arial" w:eastAsia="Arial" w:cs="Arial"/>
          <w:sz w:val="22"/>
          <w:szCs w:val="22"/>
        </w:rPr>
        <w:t xml:space="preserve"> criteria needed to be followed before diagnosis is </w:t>
      </w:r>
      <w:r w:rsidRPr="4E7A5C02" w:rsidR="38526BB4">
        <w:rPr>
          <w:rFonts w:ascii="Arial" w:hAnsi="Arial" w:eastAsia="Arial" w:cs="Arial"/>
          <w:sz w:val="22"/>
          <w:szCs w:val="22"/>
        </w:rPr>
        <w:t xml:space="preserve">considered. Major cognitive disorder is coded from 291.1 (F02.1) - 331.9 (G31.9) </w:t>
      </w:r>
      <w:r w:rsidRPr="4E7A5C02" w:rsidR="38526BB4">
        <w:rPr>
          <w:rFonts w:ascii="Arial" w:hAnsi="Arial" w:eastAsia="Arial" w:cs="Arial"/>
          <w:sz w:val="22"/>
          <w:szCs w:val="22"/>
        </w:rPr>
        <w:t>(American Psychiatric Association, 2013)</w:t>
      </w:r>
      <w:r w:rsidRPr="4E7A5C02" w:rsidR="38526BB4">
        <w:rPr>
          <w:rFonts w:ascii="Arial" w:hAnsi="Arial" w:eastAsia="Arial" w:cs="Arial"/>
          <w:sz w:val="22"/>
          <w:szCs w:val="22"/>
        </w:rPr>
        <w:t xml:space="preserve">. The ICD-10 is </w:t>
      </w:r>
      <w:r w:rsidRPr="4E7A5C02" w:rsidR="38526BB4">
        <w:rPr>
          <w:rFonts w:ascii="Arial" w:hAnsi="Arial" w:eastAsia="Arial" w:cs="Arial"/>
          <w:sz w:val="22"/>
          <w:szCs w:val="22"/>
        </w:rPr>
        <w:t>an</w:t>
      </w:r>
      <w:r w:rsidRPr="4E7A5C02" w:rsidR="38526BB4">
        <w:rPr>
          <w:rFonts w:ascii="Arial" w:hAnsi="Arial" w:eastAsia="Arial" w:cs="Arial"/>
          <w:sz w:val="22"/>
          <w:szCs w:val="22"/>
        </w:rPr>
        <w:t xml:space="preserve"> easier guide to navigate and diagnose diseases than the Dsm-5 although the DSM-5 has a more Indepth diagnosis.</w:t>
      </w:r>
    </w:p>
    <w:p w:rsidR="38526BB4" w:rsidP="4E7A5C02" w:rsidRDefault="38526BB4" w14:paraId="7F32132C" w14:textId="3B24FDDD">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Dementia is now the world's seventh leading cause of death, as well as one of the most ubiquitous causes of impairment and dependency among the elderly (WHO, 2021). Alzheimer's Research UK estimates that 900,000 people in the UK have dementia, with 65 % of women and 35 % of men (Alzheimer's Research UK 2016b). The most frequent form of dementia is AD</w:t>
      </w:r>
      <w:r w:rsidRPr="4E7A5C02" w:rsidR="6642E286">
        <w:rPr>
          <w:rFonts w:ascii="Arial" w:hAnsi="Arial" w:eastAsia="Arial" w:cs="Arial"/>
          <w:sz w:val="22"/>
          <w:szCs w:val="22"/>
        </w:rPr>
        <w:t xml:space="preserve"> within the UK contributes to two thirds of all cases</w:t>
      </w:r>
      <w:r w:rsidRPr="4E7A5C02" w:rsidR="6642E286">
        <w:rPr>
          <w:rFonts w:ascii="Arial" w:hAnsi="Arial" w:eastAsia="Arial" w:cs="Arial"/>
          <w:sz w:val="22"/>
          <w:szCs w:val="22"/>
        </w:rPr>
        <w:t xml:space="preserve"> </w:t>
      </w:r>
      <w:r w:rsidRPr="4E7A5C02" w:rsidR="6642E286">
        <w:rPr>
          <w:rFonts w:ascii="Arial" w:hAnsi="Arial" w:eastAsia="Arial" w:cs="Arial"/>
          <w:sz w:val="22"/>
          <w:szCs w:val="22"/>
        </w:rPr>
        <w:t>(Alzheimer's Research UK, 2016a).</w:t>
      </w:r>
      <w:r w:rsidRPr="4E7A5C02" w:rsidR="6642E286">
        <w:rPr>
          <w:rFonts w:ascii="Arial" w:hAnsi="Arial" w:eastAsia="Arial" w:cs="Arial"/>
          <w:sz w:val="22"/>
          <w:szCs w:val="22"/>
        </w:rPr>
        <w:t xml:space="preserve"> </w:t>
      </w:r>
      <w:r w:rsidRPr="4E7A5C02" w:rsidR="6642E286">
        <w:rPr>
          <w:rFonts w:ascii="Arial" w:hAnsi="Arial" w:eastAsia="Arial" w:cs="Arial"/>
          <w:sz w:val="22"/>
          <w:szCs w:val="22"/>
        </w:rPr>
        <w:t>Alzheimer's Society (2019)</w:t>
      </w:r>
      <w:r w:rsidRPr="4E7A5C02" w:rsidR="6642E286">
        <w:rPr>
          <w:rFonts w:ascii="Arial" w:hAnsi="Arial" w:eastAsia="Arial" w:cs="Arial"/>
          <w:sz w:val="22"/>
          <w:szCs w:val="22"/>
        </w:rPr>
        <w:t xml:space="preserve"> says that 25,000 are from the Black and Asian Minority ethnic group. </w:t>
      </w:r>
    </w:p>
    <w:p w:rsidR="38526BB4" w:rsidP="4E7A5C02" w:rsidRDefault="38526BB4" w14:paraId="6D8182D0" w14:textId="7A64662A">
      <w:pPr>
        <w:pStyle w:val="ListParagraph"/>
        <w:numPr>
          <w:ilvl w:val="0"/>
          <w:numId w:val="1"/>
        </w:numPr>
        <w:spacing w:line="360" w:lineRule="auto"/>
        <w:ind/>
        <w:jc w:val="both"/>
        <w:rPr>
          <w:rFonts w:ascii="Calibri" w:hAnsi="Calibri" w:eastAsia="Calibri" w:cs="Calibri" w:asciiTheme="minorAscii" w:hAnsiTheme="minorAscii" w:eastAsiaTheme="minorAscii" w:cstheme="minorAscii"/>
          <w:sz w:val="22"/>
          <w:szCs w:val="22"/>
        </w:rPr>
      </w:pPr>
      <w:r w:rsidRPr="4E7A5C02" w:rsidR="7F4CBF17">
        <w:rPr>
          <w:rFonts w:ascii="Arial" w:hAnsi="Arial" w:eastAsia="Arial" w:cs="Arial"/>
          <w:sz w:val="22"/>
          <w:szCs w:val="22"/>
        </w:rPr>
        <w:t>Diagnosis</w:t>
      </w:r>
    </w:p>
    <w:p w:rsidR="38526BB4" w:rsidP="4E7A5C02" w:rsidRDefault="38526BB4" w14:paraId="498077E5" w14:textId="4C7CC74D">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It is always best to receive a diagnosis as soon as possible if a person, a relative or friend, suspects they have dementia so that </w:t>
      </w:r>
      <w:r w:rsidRPr="4E7A5C02" w:rsidR="4E7A5C02">
        <w:rPr>
          <w:rFonts w:ascii="Arial" w:hAnsi="Arial" w:eastAsia="Arial" w:cs="Arial"/>
          <w:sz w:val="22"/>
          <w:szCs w:val="22"/>
        </w:rPr>
        <w:t>it</w:t>
      </w:r>
      <w:r w:rsidRPr="4E7A5C02" w:rsidR="4E7A5C02">
        <w:rPr>
          <w:rFonts w:ascii="Arial" w:hAnsi="Arial" w:eastAsia="Arial" w:cs="Arial"/>
          <w:sz w:val="22"/>
          <w:szCs w:val="22"/>
        </w:rPr>
        <w:t xml:space="preserve"> is possible to plan for future care and treatment. It enables people to make important decisions about their care and support needs, as well as financial and legal issues, while they are still able.</w:t>
      </w:r>
      <w:r w:rsidRPr="4E7A5C02" w:rsidR="4E7A5C02">
        <w:rPr>
          <w:rFonts w:ascii="Arial" w:hAnsi="Arial" w:eastAsia="Arial" w:cs="Arial"/>
          <w:sz w:val="22"/>
          <w:szCs w:val="22"/>
        </w:rPr>
        <w:t xml:space="preserve"> It also allows people with dementia and their families to get practical information, support, and direction as they face a variety of challenges because of this life-altering disease</w:t>
      </w:r>
      <w:r w:rsidRPr="4E7A5C02" w:rsidR="6642E286">
        <w:rPr>
          <w:rFonts w:ascii="Arial" w:hAnsi="Arial" w:eastAsia="Arial" w:cs="Arial"/>
          <w:sz w:val="22"/>
          <w:szCs w:val="22"/>
        </w:rPr>
        <w:t xml:space="preserve"> </w:t>
      </w:r>
      <w:r w:rsidRPr="4E7A5C02" w:rsidR="6642E286">
        <w:rPr>
          <w:rFonts w:ascii="Arial" w:hAnsi="Arial" w:eastAsia="Arial" w:cs="Arial"/>
          <w:sz w:val="22"/>
          <w:szCs w:val="22"/>
        </w:rPr>
        <w:t>(</w:t>
      </w:r>
      <w:r w:rsidRPr="4E7A5C02" w:rsidR="6642E286">
        <w:rPr>
          <w:rFonts w:ascii="Arial" w:hAnsi="Arial" w:eastAsia="Arial" w:cs="Arial"/>
          <w:sz w:val="22"/>
          <w:szCs w:val="22"/>
        </w:rPr>
        <w:t>Social Care Institute for Excellence,</w:t>
      </w:r>
      <w:r w:rsidRPr="4E7A5C02" w:rsidR="4E7A5C02">
        <w:rPr>
          <w:rFonts w:ascii="Arial" w:hAnsi="Arial" w:eastAsia="Arial" w:cs="Arial"/>
          <w:sz w:val="22"/>
          <w:szCs w:val="22"/>
        </w:rPr>
        <w:t xml:space="preserve"> (</w:t>
      </w:r>
      <w:r w:rsidRPr="4E7A5C02" w:rsidR="6642E286">
        <w:rPr>
          <w:rFonts w:ascii="Arial" w:hAnsi="Arial" w:eastAsia="Arial" w:cs="Arial"/>
          <w:sz w:val="22"/>
          <w:szCs w:val="22"/>
        </w:rPr>
        <w:t>SCIE) 2011).</w:t>
      </w:r>
    </w:p>
    <w:p w:rsidR="38526BB4" w:rsidP="4E7A5C02" w:rsidRDefault="38526BB4" w14:paraId="2AB47649" w14:textId="4BC13508">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Many personnel, tests, and examinations will be involved </w:t>
      </w:r>
      <w:r w:rsidRPr="4E7A5C02" w:rsidR="4E7A5C02">
        <w:rPr>
          <w:rFonts w:ascii="Arial" w:hAnsi="Arial" w:eastAsia="Arial" w:cs="Arial"/>
          <w:sz w:val="22"/>
          <w:szCs w:val="22"/>
        </w:rPr>
        <w:t>in diagnosing</w:t>
      </w:r>
      <w:r w:rsidRPr="4E7A5C02" w:rsidR="4E7A5C02">
        <w:rPr>
          <w:rFonts w:ascii="Arial" w:hAnsi="Arial" w:eastAsia="Arial" w:cs="Arial"/>
          <w:sz w:val="22"/>
          <w:szCs w:val="22"/>
        </w:rPr>
        <w:t xml:space="preserve"> a person with dementia. These professionals must give a diagnosis and support for patients who may be suffering from dementia, but the service patient's primary care doctor is the first point of contact when they become aware of a problem. If the doctor suspects dementia, he/she will refer the patient to a dementia specialist, who will arrange more tests. This is because </w:t>
      </w:r>
      <w:r w:rsidRPr="4E7A5C02" w:rsidR="4E7A5C02">
        <w:rPr>
          <w:rFonts w:ascii="Arial" w:hAnsi="Arial" w:eastAsia="Arial" w:cs="Arial"/>
          <w:sz w:val="22"/>
          <w:szCs w:val="22"/>
        </w:rPr>
        <w:t>it's</w:t>
      </w:r>
      <w:r w:rsidRPr="4E7A5C02" w:rsidR="4E7A5C02">
        <w:rPr>
          <w:rFonts w:ascii="Arial" w:hAnsi="Arial" w:eastAsia="Arial" w:cs="Arial"/>
          <w:sz w:val="22"/>
          <w:szCs w:val="22"/>
        </w:rPr>
        <w:t xml:space="preserve"> difficult to prove dementia precisely, and because the symptoms and brain changes associated with multiple dementias can sometimes overlap, a doctor may mistakenly diagnose "dementia" without specifying the type </w:t>
      </w:r>
      <w:r w:rsidRPr="4E7A5C02" w:rsidR="6642E286">
        <w:rPr>
          <w:rFonts w:ascii="Arial" w:hAnsi="Arial" w:eastAsia="Arial" w:cs="Arial"/>
          <w:sz w:val="22"/>
          <w:szCs w:val="22"/>
        </w:rPr>
        <w:t>(</w:t>
      </w:r>
      <w:r w:rsidRPr="4E7A5C02" w:rsidR="6642E286">
        <w:rPr>
          <w:rFonts w:ascii="Arial" w:hAnsi="Arial" w:eastAsia="Arial" w:cs="Arial"/>
          <w:sz w:val="22"/>
          <w:szCs w:val="22"/>
        </w:rPr>
        <w:t>Clare, et.al 2000)</w:t>
      </w:r>
      <w:r w:rsidRPr="4E7A5C02" w:rsidR="6642E286">
        <w:rPr>
          <w:rFonts w:ascii="Arial" w:hAnsi="Arial" w:eastAsia="Arial" w:cs="Arial"/>
          <w:sz w:val="22"/>
          <w:szCs w:val="22"/>
        </w:rPr>
        <w:t>.</w:t>
      </w:r>
    </w:p>
    <w:p w:rsidR="38526BB4" w:rsidP="4E7A5C02" w:rsidRDefault="38526BB4" w14:paraId="7F1C618C" w14:textId="2896EAB9">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A neurologist who specialises in the brain and neurological system, examining balance, eye coordination and motions, reflexes, and ensuring that all of one's senses are functioning (Lindsay, Bone and Fuller, 2010). A psychiatrist and/or psychologist, both mental health specialists, will assess the patient, asking questions about their mood and sense of well-being </w:t>
      </w:r>
      <w:r w:rsidRPr="4E7A5C02" w:rsidR="4E7A5C02">
        <w:rPr>
          <w:rFonts w:ascii="Arial" w:hAnsi="Arial" w:eastAsia="Arial" w:cs="Arial"/>
          <w:sz w:val="22"/>
          <w:szCs w:val="22"/>
        </w:rPr>
        <w:t>to</w:t>
      </w:r>
      <w:r w:rsidRPr="4E7A5C02" w:rsidR="4E7A5C02">
        <w:rPr>
          <w:rFonts w:ascii="Arial" w:hAnsi="Arial" w:eastAsia="Arial" w:cs="Arial"/>
          <w:sz w:val="22"/>
          <w:szCs w:val="22"/>
        </w:rPr>
        <w:t xml:space="preserve"> </w:t>
      </w:r>
      <w:r w:rsidRPr="4E7A5C02" w:rsidR="4E7A5C02">
        <w:rPr>
          <w:rFonts w:ascii="Arial" w:hAnsi="Arial" w:eastAsia="Arial" w:cs="Arial"/>
          <w:sz w:val="22"/>
          <w:szCs w:val="22"/>
        </w:rPr>
        <w:t>determine</w:t>
      </w:r>
      <w:r w:rsidRPr="4E7A5C02" w:rsidR="4E7A5C02">
        <w:rPr>
          <w:rFonts w:ascii="Arial" w:hAnsi="Arial" w:eastAsia="Arial" w:cs="Arial"/>
          <w:sz w:val="22"/>
          <w:szCs w:val="22"/>
        </w:rPr>
        <w:t xml:space="preserve"> whether dementia symptoms are caused by depression or another mental health issue. </w:t>
      </w:r>
      <w:r w:rsidRPr="4E7A5C02" w:rsidR="4E7A5C02">
        <w:rPr>
          <w:rFonts w:ascii="Arial" w:hAnsi="Arial" w:eastAsia="Arial" w:cs="Arial"/>
          <w:sz w:val="22"/>
          <w:szCs w:val="22"/>
        </w:rPr>
        <w:t>They'll</w:t>
      </w:r>
      <w:r w:rsidRPr="4E7A5C02" w:rsidR="4E7A5C02">
        <w:rPr>
          <w:rFonts w:ascii="Arial" w:hAnsi="Arial" w:eastAsia="Arial" w:cs="Arial"/>
          <w:sz w:val="22"/>
          <w:szCs w:val="22"/>
        </w:rPr>
        <w:t xml:space="preserve"> </w:t>
      </w:r>
      <w:r w:rsidRPr="4E7A5C02" w:rsidR="4E7A5C02">
        <w:rPr>
          <w:rFonts w:ascii="Arial" w:hAnsi="Arial" w:eastAsia="Arial" w:cs="Arial"/>
          <w:sz w:val="22"/>
          <w:szCs w:val="22"/>
        </w:rPr>
        <w:t>probably also</w:t>
      </w:r>
      <w:r w:rsidRPr="4E7A5C02" w:rsidR="4E7A5C02">
        <w:rPr>
          <w:rFonts w:ascii="Arial" w:hAnsi="Arial" w:eastAsia="Arial" w:cs="Arial"/>
          <w:sz w:val="22"/>
          <w:szCs w:val="22"/>
        </w:rPr>
        <w:t xml:space="preserve"> inquire about any concerning behaviours, such as when they occur and how long they last. A </w:t>
      </w:r>
      <w:r w:rsidRPr="4E7A5C02" w:rsidR="4E7A5C02">
        <w:rPr>
          <w:rFonts w:ascii="Arial" w:hAnsi="Arial" w:eastAsia="Arial" w:cs="Arial"/>
          <w:sz w:val="22"/>
          <w:szCs w:val="22"/>
        </w:rPr>
        <w:t>geriatrician who</w:t>
      </w:r>
      <w:r w:rsidRPr="4E7A5C02" w:rsidR="4E7A5C02">
        <w:rPr>
          <w:rFonts w:ascii="Arial" w:hAnsi="Arial" w:eastAsia="Arial" w:cs="Arial"/>
          <w:sz w:val="22"/>
          <w:szCs w:val="22"/>
        </w:rPr>
        <w:t xml:space="preserve"> specialises in the treatment of physical ailments and disabilities related to old age. If the doctor suspects dementia, the patient will be referred to a dementia consultant, who will conduct more testing </w:t>
      </w:r>
      <w:r w:rsidRPr="4E7A5C02" w:rsidR="6642E286">
        <w:rPr>
          <w:rFonts w:ascii="Arial" w:hAnsi="Arial" w:eastAsia="Arial" w:cs="Arial"/>
          <w:sz w:val="22"/>
          <w:szCs w:val="22"/>
        </w:rPr>
        <w:t>(</w:t>
      </w:r>
      <w:r w:rsidRPr="4E7A5C02" w:rsidR="6642E286">
        <w:rPr>
          <w:rFonts w:ascii="Arial" w:hAnsi="Arial" w:eastAsia="Arial" w:cs="Arial"/>
          <w:sz w:val="22"/>
          <w:szCs w:val="22"/>
        </w:rPr>
        <w:t>NHS</w:t>
      </w:r>
      <w:r w:rsidRPr="4E7A5C02" w:rsidR="6642E286">
        <w:rPr>
          <w:rFonts w:ascii="Arial" w:hAnsi="Arial" w:eastAsia="Arial" w:cs="Arial"/>
          <w:sz w:val="22"/>
          <w:szCs w:val="22"/>
        </w:rPr>
        <w:t xml:space="preserve"> Choices, 2020).</w:t>
      </w:r>
      <w:r w:rsidRPr="4E7A5C02" w:rsidR="6642E286">
        <w:rPr>
          <w:rFonts w:ascii="Arial" w:hAnsi="Arial" w:eastAsia="Arial" w:cs="Arial"/>
          <w:sz w:val="22"/>
          <w:szCs w:val="22"/>
        </w:rPr>
        <w:t xml:space="preserve"> </w:t>
      </w:r>
    </w:p>
    <w:p w:rsidR="38526BB4" w:rsidP="4E7A5C02" w:rsidRDefault="38526BB4" w14:paraId="7450B541" w14:textId="471FB25D">
      <w:pPr>
        <w:pStyle w:val="Normal"/>
        <w:spacing w:line="360" w:lineRule="auto"/>
        <w:ind w:left="0"/>
        <w:jc w:val="both"/>
        <w:rPr>
          <w:rFonts w:ascii="Arial" w:hAnsi="Arial" w:eastAsia="Arial" w:cs="Arial"/>
          <w:b w:val="0"/>
          <w:bCs w:val="0"/>
          <w:i w:val="0"/>
          <w:iCs w:val="0"/>
          <w:caps w:val="0"/>
          <w:smallCaps w:val="0"/>
          <w:noProof w:val="0"/>
          <w:color w:val="222222"/>
          <w:sz w:val="22"/>
          <w:szCs w:val="22"/>
          <w:lang w:val="en-GB"/>
        </w:rPr>
      </w:pPr>
      <w:r w:rsidRPr="4E7A5C02" w:rsidR="4E7A5C02">
        <w:rPr>
          <w:rFonts w:ascii="Arial" w:hAnsi="Arial" w:eastAsia="Arial" w:cs="Arial"/>
          <w:sz w:val="22"/>
          <w:szCs w:val="22"/>
        </w:rPr>
        <w:t xml:space="preserve">The doctor will perform a variety of tests, including urine and blood tests to check for vitamins and thyroids, which can alter how the brain functions. One or more brain scans will be used by the doctors to get a closer look at the brain and how it functions </w:t>
      </w:r>
      <w:r w:rsidRPr="4E7A5C02" w:rsidR="4E7A5C02">
        <w:rPr>
          <w:rFonts w:ascii="Arial" w:hAnsi="Arial" w:eastAsia="Arial" w:cs="Arial"/>
          <w:sz w:val="22"/>
          <w:szCs w:val="22"/>
        </w:rPr>
        <w:t>to</w:t>
      </w:r>
      <w:r w:rsidRPr="4E7A5C02" w:rsidR="4E7A5C02">
        <w:rPr>
          <w:rFonts w:ascii="Arial" w:hAnsi="Arial" w:eastAsia="Arial" w:cs="Arial"/>
          <w:sz w:val="22"/>
          <w:szCs w:val="22"/>
        </w:rPr>
        <w:t xml:space="preserve"> rule out other issues that could have occurred, such as bleeding in the brain, stroke, or a brain tumour. A Computed Tomography scan: The doctor will scan a multitude of X-rays to create a more comprehensive picture. Other scans </w:t>
      </w:r>
      <w:r w:rsidRPr="4E7A5C02" w:rsidR="4E7A5C02">
        <w:rPr>
          <w:rFonts w:ascii="Arial" w:hAnsi="Arial" w:eastAsia="Arial" w:cs="Arial"/>
          <w:sz w:val="22"/>
          <w:szCs w:val="22"/>
        </w:rPr>
        <w:t>maybe done</w:t>
      </w:r>
      <w:r w:rsidRPr="4E7A5C02" w:rsidR="4E7A5C02">
        <w:rPr>
          <w:rFonts w:ascii="Arial" w:hAnsi="Arial" w:eastAsia="Arial" w:cs="Arial"/>
          <w:sz w:val="22"/>
          <w:szCs w:val="22"/>
        </w:rPr>
        <w:t xml:space="preserve"> such as, the </w:t>
      </w:r>
      <w:r w:rsidRPr="4E7A5C02" w:rsidR="4E7A5C02">
        <w:rPr>
          <w:rFonts w:ascii="Arial" w:hAnsi="Arial" w:eastAsia="Arial" w:cs="Arial"/>
          <w:sz w:val="22"/>
          <w:szCs w:val="22"/>
        </w:rPr>
        <w:t xml:space="preserve">Magnetic resonance imaging scan which takes high-resolution images of the brain, as well as the tissue and nerves that surround it </w:t>
      </w:r>
      <w:r w:rsidRPr="4E7A5C02" w:rsidR="4E7A5C02">
        <w:rPr>
          <w:rFonts w:ascii="Arial" w:hAnsi="Arial" w:eastAsia="Arial" w:cs="Arial"/>
          <w:sz w:val="22"/>
          <w:szCs w:val="22"/>
        </w:rPr>
        <w:t>(DeNoon, 2003)</w:t>
      </w:r>
    </w:p>
    <w:p w:rsidR="38526BB4" w:rsidP="4E7A5C02" w:rsidRDefault="38526BB4" w14:paraId="0CBC65B7" w14:textId="5EB50318">
      <w:pPr>
        <w:pStyle w:val="Normal"/>
        <w:spacing w:line="360" w:lineRule="auto"/>
        <w:ind w:left="0"/>
        <w:jc w:val="both"/>
        <w:rPr>
          <w:rFonts w:ascii="Arial" w:hAnsi="Arial" w:eastAsia="Arial" w:cs="Arial"/>
          <w:sz w:val="22"/>
          <w:szCs w:val="22"/>
        </w:rPr>
      </w:pPr>
      <w:r w:rsidRPr="4E7A5C02" w:rsidR="6642E286">
        <w:rPr>
          <w:rFonts w:ascii="Arial" w:hAnsi="Arial" w:eastAsia="Arial" w:cs="Arial"/>
          <w:sz w:val="22"/>
          <w:szCs w:val="22"/>
        </w:rPr>
        <w:t xml:space="preserve">Positron Emission Tomography scan: </w:t>
      </w:r>
      <w:r w:rsidRPr="4E7A5C02" w:rsidR="4E7A5C02">
        <w:rPr>
          <w:rFonts w:ascii="Arial" w:hAnsi="Arial" w:eastAsia="Arial" w:cs="Arial"/>
          <w:sz w:val="22"/>
          <w:szCs w:val="22"/>
        </w:rPr>
        <w:t>This image of the brain reveals activity and can be used to look for a specific protein (amyloid protein), which can be a symptom of AD</w:t>
      </w:r>
      <w:r w:rsidRPr="4E7A5C02" w:rsidR="4E7A5C02">
        <w:rPr>
          <w:rFonts w:ascii="Arial" w:hAnsi="Arial" w:eastAsia="Arial" w:cs="Arial"/>
          <w:sz w:val="22"/>
          <w:szCs w:val="22"/>
        </w:rPr>
        <w:t xml:space="preserve">. </w:t>
      </w:r>
      <w:r w:rsidRPr="4E7A5C02" w:rsidR="4E7A5C02">
        <w:rPr>
          <w:rFonts w:ascii="Arial" w:hAnsi="Arial" w:eastAsia="Arial" w:cs="Arial"/>
          <w:sz w:val="22"/>
          <w:szCs w:val="22"/>
        </w:rPr>
        <w:t xml:space="preserve">The amounts of proteins in the blood, such as beta amyloid and Apo E, are examined in a new test known as A precivity AD test </w:t>
      </w:r>
      <w:r w:rsidRPr="4E7A5C02" w:rsidR="4E7A5C02">
        <w:rPr>
          <w:rFonts w:ascii="Arial" w:hAnsi="Arial" w:eastAsia="Arial" w:cs="Arial"/>
          <w:sz w:val="22"/>
          <w:szCs w:val="22"/>
        </w:rPr>
        <w:t xml:space="preserve">(DeNoon, 2003; </w:t>
      </w:r>
      <w:r w:rsidRPr="4E7A5C02" w:rsidR="4E7A5C02">
        <w:rPr>
          <w:rFonts w:ascii="Arial" w:hAnsi="Arial" w:eastAsia="Arial" w:cs="Arial"/>
          <w:sz w:val="22"/>
          <w:szCs w:val="22"/>
        </w:rPr>
        <w:t>MayoClinic</w:t>
      </w:r>
      <w:r w:rsidRPr="4E7A5C02" w:rsidR="4E7A5C02">
        <w:rPr>
          <w:rFonts w:ascii="Arial" w:hAnsi="Arial" w:eastAsia="Arial" w:cs="Arial"/>
          <w:sz w:val="22"/>
          <w:szCs w:val="22"/>
        </w:rPr>
        <w:t>, 2019).</w:t>
      </w:r>
      <w:r w:rsidRPr="4E7A5C02" w:rsidR="4E7A5C02">
        <w:rPr>
          <w:rFonts w:ascii="Arial" w:hAnsi="Arial" w:eastAsia="Arial" w:cs="Arial"/>
          <w:sz w:val="22"/>
          <w:szCs w:val="22"/>
        </w:rPr>
        <w:t xml:space="preserve"> The presence or absence of plaques in the brain increases the likelihood of detecting plaques in the brain during an imaging examination, suggesting a potential Alzheimer's diagnosis</w:t>
      </w:r>
      <w:r w:rsidRPr="4E7A5C02" w:rsidR="6642E286">
        <w:rPr>
          <w:rFonts w:ascii="Arial" w:hAnsi="Arial" w:eastAsia="Arial" w:cs="Arial"/>
          <w:sz w:val="22"/>
          <w:szCs w:val="22"/>
        </w:rPr>
        <w:t xml:space="preserve"> </w:t>
      </w:r>
      <w:r w:rsidRPr="4E7A5C02" w:rsidR="6642E286">
        <w:rPr>
          <w:rFonts w:ascii="Arial" w:hAnsi="Arial" w:eastAsia="Arial" w:cs="Arial"/>
          <w:sz w:val="22"/>
          <w:szCs w:val="22"/>
        </w:rPr>
        <w:t>(</w:t>
      </w:r>
      <w:r w:rsidRPr="4E7A5C02" w:rsidR="6642E286">
        <w:rPr>
          <w:rFonts w:ascii="Arial" w:hAnsi="Arial" w:eastAsia="Arial" w:cs="Arial"/>
          <w:b w:val="0"/>
          <w:bCs w:val="0"/>
          <w:i w:val="0"/>
          <w:iCs w:val="0"/>
          <w:caps w:val="0"/>
          <w:smallCaps w:val="0"/>
          <w:noProof w:val="0"/>
          <w:color w:val="222222"/>
          <w:sz w:val="22"/>
          <w:szCs w:val="22"/>
          <w:lang w:val="en-GB"/>
        </w:rPr>
        <w:t>Shoghi</w:t>
      </w:r>
      <w:r w:rsidRPr="4E7A5C02" w:rsidR="6642E286">
        <w:rPr>
          <w:rFonts w:ascii="Arial" w:hAnsi="Arial" w:eastAsia="Arial" w:cs="Arial"/>
          <w:b w:val="0"/>
          <w:bCs w:val="0"/>
          <w:i w:val="0"/>
          <w:iCs w:val="0"/>
          <w:caps w:val="0"/>
          <w:smallCaps w:val="0"/>
          <w:noProof w:val="0"/>
          <w:color w:val="222222"/>
          <w:sz w:val="22"/>
          <w:szCs w:val="22"/>
          <w:lang w:val="en-GB"/>
        </w:rPr>
        <w:t>-Jadid, et.al 2002).</w:t>
      </w:r>
      <w:r w:rsidRPr="4E7A5C02" w:rsidR="6642E286">
        <w:rPr>
          <w:rFonts w:ascii="Arial" w:hAnsi="Arial" w:eastAsia="Arial" w:cs="Arial"/>
          <w:b w:val="0"/>
          <w:bCs w:val="0"/>
          <w:i w:val="0"/>
          <w:iCs w:val="0"/>
          <w:caps w:val="0"/>
          <w:smallCaps w:val="0"/>
          <w:noProof w:val="0"/>
          <w:color w:val="222222"/>
          <w:sz w:val="22"/>
          <w:szCs w:val="22"/>
          <w:lang w:val="en-GB"/>
        </w:rPr>
        <w:t xml:space="preserve"> </w:t>
      </w:r>
    </w:p>
    <w:p w:rsidR="38526BB4" w:rsidP="4E7A5C02" w:rsidRDefault="38526BB4" w14:paraId="33F8E8FE" w14:textId="2F213C01">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A physical examination should include questions about ones' family history, such as whether anyone in the family has had dementia, when the symptoms </w:t>
      </w:r>
      <w:r w:rsidRPr="4E7A5C02" w:rsidR="4E7A5C02">
        <w:rPr>
          <w:rFonts w:ascii="Arial" w:hAnsi="Arial" w:eastAsia="Arial" w:cs="Arial"/>
          <w:sz w:val="22"/>
          <w:szCs w:val="22"/>
        </w:rPr>
        <w:t>emerged</w:t>
      </w:r>
      <w:r w:rsidRPr="4E7A5C02" w:rsidR="4E7A5C02">
        <w:rPr>
          <w:rFonts w:ascii="Arial" w:hAnsi="Arial" w:eastAsia="Arial" w:cs="Arial"/>
          <w:sz w:val="22"/>
          <w:szCs w:val="22"/>
        </w:rPr>
        <w:t xml:space="preserve">, whether the patient has any other medical problems, taking any medications, and has experienced any personality or behavioural changes. Professionals would also like to speak with any close relatives or friends to see if they have observed any changes, as the person suffering may not be aware, (Nelson, 2020) plus cognitive tests to assess a person's capacity to think, focusing on reasoning, counting, language, and memory skills, </w:t>
      </w:r>
      <w:r w:rsidRPr="4E7A5C02" w:rsidR="4E7A5C02">
        <w:rPr>
          <w:rFonts w:ascii="Arial" w:hAnsi="Arial" w:eastAsia="Arial" w:cs="Arial"/>
          <w:sz w:val="22"/>
          <w:szCs w:val="22"/>
        </w:rPr>
        <w:t>to</w:t>
      </w:r>
      <w:r w:rsidRPr="4E7A5C02" w:rsidR="4E7A5C02">
        <w:rPr>
          <w:rFonts w:ascii="Arial" w:hAnsi="Arial" w:eastAsia="Arial" w:cs="Arial"/>
          <w:sz w:val="22"/>
          <w:szCs w:val="22"/>
        </w:rPr>
        <w:t xml:space="preserve"> rule out other </w:t>
      </w:r>
      <w:r w:rsidRPr="4E7A5C02" w:rsidR="4E7A5C02">
        <w:rPr>
          <w:rFonts w:ascii="Arial" w:hAnsi="Arial" w:eastAsia="Arial" w:cs="Arial"/>
          <w:sz w:val="22"/>
          <w:szCs w:val="22"/>
        </w:rPr>
        <w:t>possible reasons</w:t>
      </w:r>
      <w:r w:rsidRPr="4E7A5C02" w:rsidR="4E7A5C02">
        <w:rPr>
          <w:rFonts w:ascii="Arial" w:hAnsi="Arial" w:eastAsia="Arial" w:cs="Arial"/>
          <w:sz w:val="22"/>
          <w:szCs w:val="22"/>
        </w:rPr>
        <w:t xml:space="preserve"> of memory issues</w:t>
      </w:r>
      <w:r w:rsidRPr="4E7A5C02" w:rsidR="7F4CBF17">
        <w:rPr>
          <w:rFonts w:ascii="Arial" w:hAnsi="Arial" w:eastAsia="Arial" w:cs="Arial"/>
          <w:sz w:val="22"/>
          <w:szCs w:val="22"/>
        </w:rPr>
        <w:t>. As</w:t>
      </w:r>
      <w:r w:rsidRPr="4E7A5C02" w:rsidR="4E7A5C02">
        <w:rPr>
          <w:rFonts w:ascii="Arial" w:hAnsi="Arial" w:eastAsia="Arial" w:cs="Arial"/>
          <w:sz w:val="22"/>
          <w:szCs w:val="22"/>
        </w:rPr>
        <w:t xml:space="preserve"> memory problems do not always </w:t>
      </w:r>
      <w:r w:rsidRPr="4E7A5C02" w:rsidR="4E7A5C02">
        <w:rPr>
          <w:rFonts w:ascii="Arial" w:hAnsi="Arial" w:eastAsia="Arial" w:cs="Arial"/>
          <w:sz w:val="22"/>
          <w:szCs w:val="22"/>
        </w:rPr>
        <w:t>indicate</w:t>
      </w:r>
      <w:r w:rsidRPr="4E7A5C02" w:rsidR="4E7A5C02">
        <w:rPr>
          <w:rFonts w:ascii="Arial" w:hAnsi="Arial" w:eastAsia="Arial" w:cs="Arial"/>
          <w:sz w:val="22"/>
          <w:szCs w:val="22"/>
        </w:rPr>
        <w:t xml:space="preserve"> dementia, a person may be suffering from despair or anxiety. Delirium caused by an infection, as well as side effects from other treatments </w:t>
      </w:r>
      <w:r w:rsidRPr="4E7A5C02" w:rsidR="7F4CBF17">
        <w:rPr>
          <w:rFonts w:ascii="Arial" w:hAnsi="Arial" w:eastAsia="Arial" w:cs="Arial"/>
          <w:sz w:val="22"/>
          <w:szCs w:val="22"/>
        </w:rPr>
        <w:t>(</w:t>
      </w:r>
      <w:r w:rsidRPr="4E7A5C02" w:rsidR="7F4CBF17">
        <w:rPr>
          <w:rFonts w:ascii="Arial" w:hAnsi="Arial" w:eastAsia="Arial" w:cs="Arial"/>
          <w:sz w:val="22"/>
          <w:szCs w:val="22"/>
        </w:rPr>
        <w:t>NH</w:t>
      </w:r>
      <w:r w:rsidRPr="4E7A5C02" w:rsidR="7F4CBF17">
        <w:rPr>
          <w:rFonts w:ascii="Arial" w:hAnsi="Arial" w:eastAsia="Arial" w:cs="Arial"/>
          <w:sz w:val="22"/>
          <w:szCs w:val="22"/>
        </w:rPr>
        <w:t>S</w:t>
      </w:r>
      <w:r w:rsidRPr="4E7A5C02" w:rsidR="7F4CBF17">
        <w:rPr>
          <w:rFonts w:ascii="Arial" w:hAnsi="Arial" w:eastAsia="Arial" w:cs="Arial"/>
          <w:sz w:val="22"/>
          <w:szCs w:val="22"/>
        </w:rPr>
        <w:t xml:space="preserve"> Choices, 2019).</w:t>
      </w:r>
      <w:r w:rsidRPr="4E7A5C02" w:rsidR="7F4CBF17">
        <w:rPr>
          <w:rFonts w:ascii="Arial" w:hAnsi="Arial" w:eastAsia="Arial" w:cs="Arial"/>
          <w:sz w:val="22"/>
          <w:szCs w:val="22"/>
        </w:rPr>
        <w:t xml:space="preserve"> </w:t>
      </w:r>
    </w:p>
    <w:p w:rsidR="7F4CBF17" w:rsidP="4E7A5C02" w:rsidRDefault="7F4CBF17" w14:paraId="0688E9E1" w14:textId="33DA19E6">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During the assessment and testing process, the patient will interact with health and social care professionals such as nurses, occupational therapists, community psychiatric nurses, dieticians, </w:t>
      </w:r>
      <w:r w:rsidRPr="4E7A5C02" w:rsidR="4E7A5C02">
        <w:rPr>
          <w:rFonts w:ascii="Arial" w:hAnsi="Arial" w:eastAsia="Arial" w:cs="Arial"/>
          <w:sz w:val="22"/>
          <w:szCs w:val="22"/>
        </w:rPr>
        <w:t>district</w:t>
      </w:r>
      <w:r w:rsidRPr="4E7A5C02" w:rsidR="4E7A5C02">
        <w:rPr>
          <w:rFonts w:ascii="Arial" w:hAnsi="Arial" w:eastAsia="Arial" w:cs="Arial"/>
          <w:sz w:val="22"/>
          <w:szCs w:val="22"/>
        </w:rPr>
        <w:t xml:space="preserve"> and community nurses. These professionals will collaborate with the team's specialists and consultants to </w:t>
      </w:r>
      <w:r w:rsidRPr="4E7A5C02" w:rsidR="4E7A5C02">
        <w:rPr>
          <w:rFonts w:ascii="Arial" w:hAnsi="Arial" w:eastAsia="Arial" w:cs="Arial"/>
          <w:sz w:val="22"/>
          <w:szCs w:val="22"/>
        </w:rPr>
        <w:t>provide</w:t>
      </w:r>
      <w:r w:rsidRPr="4E7A5C02" w:rsidR="4E7A5C02">
        <w:rPr>
          <w:rFonts w:ascii="Arial" w:hAnsi="Arial" w:eastAsia="Arial" w:cs="Arial"/>
          <w:sz w:val="22"/>
          <w:szCs w:val="22"/>
        </w:rPr>
        <w:t xml:space="preserve"> care, support, and advice</w:t>
      </w:r>
      <w:r w:rsidRPr="4E7A5C02" w:rsidR="6642E286">
        <w:rPr>
          <w:rFonts w:ascii="Arial" w:hAnsi="Arial" w:eastAsia="Arial" w:cs="Arial"/>
          <w:sz w:val="22"/>
          <w:szCs w:val="22"/>
        </w:rPr>
        <w:t xml:space="preserve"> </w:t>
      </w:r>
      <w:r w:rsidRPr="4E7A5C02" w:rsidR="6642E286">
        <w:rPr>
          <w:rFonts w:ascii="Arial" w:hAnsi="Arial" w:eastAsia="Arial" w:cs="Arial"/>
          <w:sz w:val="22"/>
          <w:szCs w:val="22"/>
        </w:rPr>
        <w:t>(SCIE, 2012).</w:t>
      </w:r>
    </w:p>
    <w:p w:rsidR="150920FB" w:rsidP="4E7A5C02" w:rsidRDefault="150920FB" w14:paraId="197F6C6A" w14:textId="3C1476D4">
      <w:pPr>
        <w:pStyle w:val="Normal"/>
        <w:spacing w:line="360" w:lineRule="auto"/>
        <w:ind w:left="0"/>
        <w:jc w:val="both"/>
        <w:rPr>
          <w:rFonts w:ascii="Arial" w:hAnsi="Arial" w:eastAsia="Arial" w:cs="Arial"/>
          <w:sz w:val="22"/>
          <w:szCs w:val="22"/>
        </w:rPr>
      </w:pPr>
      <w:r w:rsidRPr="4E7A5C02" w:rsidR="150920FB">
        <w:rPr>
          <w:rFonts w:ascii="Arial" w:hAnsi="Arial" w:eastAsia="Arial" w:cs="Arial"/>
          <w:sz w:val="22"/>
          <w:szCs w:val="22"/>
        </w:rPr>
        <w:t>As regards to a dementia diagnosis, t</w:t>
      </w:r>
      <w:r w:rsidRPr="4E7A5C02" w:rsidR="4E7A5C02">
        <w:rPr>
          <w:rFonts w:ascii="Arial" w:hAnsi="Arial" w:eastAsia="Arial" w:cs="Arial"/>
          <w:sz w:val="22"/>
          <w:szCs w:val="22"/>
        </w:rPr>
        <w:t>he person with dementia and their family should receive written information about the symptoms and signs of dementia; the course and progression of the condition; forms of treatment; community care and supportive services; sources of legal and financial advice and advocacy; interventional issues, such as driving; and local sources of information from health and social care professionals. Any advice and information should be documented in the notes</w:t>
      </w:r>
      <w:r w:rsidRPr="4E7A5C02" w:rsidR="150920FB">
        <w:rPr>
          <w:rFonts w:ascii="Arial" w:hAnsi="Arial" w:eastAsia="Arial" w:cs="Arial"/>
          <w:sz w:val="22"/>
          <w:szCs w:val="22"/>
        </w:rPr>
        <w:t xml:space="preserve"> </w:t>
      </w:r>
      <w:r w:rsidRPr="4E7A5C02" w:rsidR="150920FB">
        <w:rPr>
          <w:rFonts w:ascii="Arial" w:hAnsi="Arial" w:eastAsia="Arial" w:cs="Arial"/>
          <w:sz w:val="22"/>
          <w:szCs w:val="22"/>
        </w:rPr>
        <w:t xml:space="preserve">(The British Psychological Society and </w:t>
      </w:r>
      <w:r w:rsidRPr="4E7A5C02" w:rsidR="150920FB">
        <w:rPr>
          <w:rFonts w:ascii="Arial" w:hAnsi="Arial" w:eastAsia="Arial" w:cs="Arial"/>
          <w:sz w:val="22"/>
          <w:szCs w:val="22"/>
        </w:rPr>
        <w:t>SCIE</w:t>
      </w:r>
      <w:r w:rsidRPr="4E7A5C02" w:rsidR="150920FB">
        <w:rPr>
          <w:rFonts w:ascii="Arial" w:hAnsi="Arial" w:eastAsia="Arial" w:cs="Arial"/>
          <w:sz w:val="22"/>
          <w:szCs w:val="22"/>
        </w:rPr>
        <w:t>, 2007).</w:t>
      </w:r>
    </w:p>
    <w:p w:rsidR="7F4CBF17" w:rsidP="4E7A5C02" w:rsidRDefault="7F4CBF17" w14:paraId="60C95EB3" w14:textId="7BB3AACD">
      <w:pPr>
        <w:pStyle w:val="ListParagraph"/>
        <w:numPr>
          <w:ilvl w:val="0"/>
          <w:numId w:val="1"/>
        </w:numPr>
        <w:spacing w:line="360" w:lineRule="auto"/>
        <w:jc w:val="both"/>
        <w:rPr>
          <w:rFonts w:ascii="Calibri" w:hAnsi="Calibri" w:eastAsia="Calibri" w:cs="Calibri" w:asciiTheme="minorAscii" w:hAnsiTheme="minorAscii" w:eastAsiaTheme="minorAscii" w:cstheme="minorAscii"/>
          <w:sz w:val="22"/>
          <w:szCs w:val="22"/>
        </w:rPr>
      </w:pPr>
      <w:r w:rsidRPr="4E7A5C02" w:rsidR="7F4CBF17">
        <w:rPr>
          <w:rFonts w:ascii="Arial" w:hAnsi="Arial" w:eastAsia="Arial" w:cs="Arial"/>
          <w:sz w:val="22"/>
          <w:szCs w:val="22"/>
        </w:rPr>
        <w:t>Treatment</w:t>
      </w:r>
    </w:p>
    <w:p w:rsidR="7F4CBF17" w:rsidP="4E7A5C02" w:rsidRDefault="7F4CBF17" w14:paraId="450AFBAF" w14:textId="2DE05F31">
      <w:pPr>
        <w:pStyle w:val="Normal"/>
        <w:spacing w:line="360" w:lineRule="auto"/>
        <w:ind w:left="0"/>
        <w:jc w:val="both"/>
        <w:rPr>
          <w:rFonts w:ascii="Arial" w:hAnsi="Arial" w:eastAsia="Arial" w:cs="Arial"/>
          <w:sz w:val="22"/>
          <w:szCs w:val="22"/>
        </w:rPr>
      </w:pPr>
      <w:r w:rsidRPr="4E7A5C02" w:rsidR="7F4CBF17">
        <w:rPr>
          <w:rFonts w:ascii="Arial" w:hAnsi="Arial" w:eastAsia="Arial" w:cs="Arial"/>
          <w:sz w:val="22"/>
          <w:szCs w:val="22"/>
        </w:rPr>
        <w:t>Depending on the cause of the dementia depends on the treatment taken, the most progressive form of dementia ‘includes Alzheimer's</w:t>
      </w:r>
      <w:r w:rsidRPr="4E7A5C02" w:rsidR="7F4CBF17">
        <w:rPr>
          <w:rFonts w:ascii="Arial" w:hAnsi="Arial" w:eastAsia="Arial" w:cs="Arial"/>
          <w:sz w:val="22"/>
          <w:szCs w:val="22"/>
        </w:rPr>
        <w:t>’.</w:t>
      </w:r>
      <w:r w:rsidRPr="4E7A5C02" w:rsidR="7F4CBF17">
        <w:rPr>
          <w:rFonts w:ascii="Arial" w:hAnsi="Arial" w:eastAsia="Arial" w:cs="Arial"/>
          <w:sz w:val="22"/>
          <w:szCs w:val="22"/>
        </w:rPr>
        <w:t xml:space="preserve"> </w:t>
      </w:r>
      <w:r w:rsidRPr="4E7A5C02" w:rsidR="4E7A5C02">
        <w:rPr>
          <w:rFonts w:ascii="Arial" w:hAnsi="Arial" w:eastAsia="Arial" w:cs="Arial"/>
          <w:sz w:val="22"/>
          <w:szCs w:val="22"/>
        </w:rPr>
        <w:t xml:space="preserve">There is currently no cure for dementia, </w:t>
      </w:r>
      <w:r w:rsidRPr="4E7A5C02" w:rsidR="7F4CBF17">
        <w:rPr>
          <w:rFonts w:ascii="Arial" w:hAnsi="Arial" w:eastAsia="Arial" w:cs="Arial"/>
          <w:sz w:val="22"/>
          <w:szCs w:val="22"/>
        </w:rPr>
        <w:t>but despite that there are</w:t>
      </w:r>
      <w:r w:rsidRPr="4E7A5C02" w:rsidR="4E7A5C02">
        <w:rPr>
          <w:rFonts w:ascii="Arial" w:hAnsi="Arial" w:eastAsia="Arial" w:cs="Arial"/>
          <w:sz w:val="22"/>
          <w:szCs w:val="22"/>
        </w:rPr>
        <w:t xml:space="preserve"> treatments available to,</w:t>
      </w:r>
      <w:r w:rsidRPr="4E7A5C02" w:rsidR="7F4CBF17">
        <w:rPr>
          <w:rFonts w:ascii="Arial" w:hAnsi="Arial" w:eastAsia="Arial" w:cs="Arial"/>
          <w:sz w:val="22"/>
          <w:szCs w:val="22"/>
        </w:rPr>
        <w:t xml:space="preserve"> (firstly) decrease some of the symptoms and in addition to address the personal effect of diagnosis.</w:t>
      </w:r>
      <w:r w:rsidRPr="4E7A5C02" w:rsidR="4E7A5C02">
        <w:rPr>
          <w:rFonts w:ascii="Arial" w:hAnsi="Arial" w:eastAsia="Arial" w:cs="Arial"/>
          <w:sz w:val="22"/>
          <w:szCs w:val="22"/>
        </w:rPr>
        <w:t xml:space="preserve"> There are a variety of drug and non-drug treatments available to </w:t>
      </w:r>
      <w:r w:rsidRPr="4E7A5C02" w:rsidR="4E7A5C02">
        <w:rPr>
          <w:rFonts w:ascii="Arial" w:hAnsi="Arial" w:eastAsia="Arial" w:cs="Arial"/>
          <w:sz w:val="22"/>
          <w:szCs w:val="22"/>
        </w:rPr>
        <w:t>assist</w:t>
      </w:r>
      <w:r w:rsidRPr="4E7A5C02" w:rsidR="4E7A5C02">
        <w:rPr>
          <w:rFonts w:ascii="Arial" w:hAnsi="Arial" w:eastAsia="Arial" w:cs="Arial"/>
          <w:sz w:val="22"/>
          <w:szCs w:val="22"/>
        </w:rPr>
        <w:t xml:space="preserve"> in preventing or slowing the progression of dementia, as well as its symptoms, which (secondly) impact mood or behaviour</w:t>
      </w:r>
      <w:r w:rsidRPr="4E7A5C02" w:rsidR="7F4CBF17">
        <w:rPr>
          <w:rFonts w:ascii="Arial" w:hAnsi="Arial" w:eastAsia="Arial" w:cs="Arial"/>
          <w:sz w:val="22"/>
          <w:szCs w:val="22"/>
        </w:rPr>
        <w:t xml:space="preserve"> </w:t>
      </w:r>
      <w:r w:rsidRPr="4E7A5C02" w:rsidR="7F4CBF17">
        <w:rPr>
          <w:rFonts w:ascii="Arial" w:hAnsi="Arial" w:eastAsia="Arial" w:cs="Arial"/>
          <w:sz w:val="22"/>
          <w:szCs w:val="22"/>
        </w:rPr>
        <w:t>(</w:t>
      </w:r>
      <w:r w:rsidRPr="4E7A5C02" w:rsidR="4E7A5C02">
        <w:rPr>
          <w:rFonts w:ascii="Arial" w:hAnsi="Arial" w:eastAsia="Arial" w:cs="Arial"/>
          <w:sz w:val="22"/>
          <w:szCs w:val="22"/>
        </w:rPr>
        <w:t xml:space="preserve">Cleveland Clinic, 2014; </w:t>
      </w:r>
      <w:r w:rsidRPr="4E7A5C02" w:rsidR="7F4CBF17">
        <w:rPr>
          <w:rFonts w:ascii="Arial" w:hAnsi="Arial" w:eastAsia="Arial" w:cs="Arial"/>
          <w:sz w:val="22"/>
          <w:szCs w:val="22"/>
        </w:rPr>
        <w:t>Age UK, No date).</w:t>
      </w:r>
    </w:p>
    <w:p w:rsidR="7F4CBF17" w:rsidP="4E7A5C02" w:rsidRDefault="7F4CBF17" w14:paraId="2E2BCD0B" w14:textId="33D99392">
      <w:pPr>
        <w:pStyle w:val="ListParagraph"/>
        <w:numPr>
          <w:ilvl w:val="0"/>
          <w:numId w:val="4"/>
        </w:numPr>
        <w:spacing w:line="360" w:lineRule="auto"/>
        <w:jc w:val="both"/>
        <w:rPr>
          <w:rFonts w:ascii="Calibri" w:hAnsi="Calibri" w:eastAsia="Calibri" w:cs="Calibri" w:asciiTheme="minorAscii" w:hAnsiTheme="minorAscii" w:eastAsiaTheme="minorAscii" w:cstheme="minorAscii"/>
          <w:sz w:val="22"/>
          <w:szCs w:val="22"/>
        </w:rPr>
      </w:pPr>
      <w:r w:rsidRPr="4E7A5C02" w:rsidR="7F4CBF17">
        <w:rPr>
          <w:rFonts w:ascii="Arial" w:hAnsi="Arial" w:eastAsia="Arial" w:cs="Arial"/>
          <w:sz w:val="22"/>
          <w:szCs w:val="22"/>
        </w:rPr>
        <w:t>Drug Treatments</w:t>
      </w:r>
    </w:p>
    <w:p w:rsidR="7F4CBF17" w:rsidP="4E7A5C02" w:rsidRDefault="7F4CBF17" w14:paraId="6F20DCA0" w14:textId="52961A79">
      <w:pPr>
        <w:pStyle w:val="Normal"/>
        <w:spacing w:line="360" w:lineRule="auto"/>
        <w:ind w:left="0"/>
        <w:jc w:val="both"/>
        <w:rPr>
          <w:rFonts w:ascii="Arial" w:hAnsi="Arial" w:eastAsia="Arial" w:cs="Arial"/>
          <w:b w:val="0"/>
          <w:bCs w:val="0"/>
          <w:i w:val="0"/>
          <w:iCs w:val="0"/>
          <w:caps w:val="0"/>
          <w:smallCaps w:val="0"/>
          <w:noProof w:val="0"/>
          <w:color w:val="auto"/>
          <w:sz w:val="22"/>
          <w:szCs w:val="22"/>
          <w:lang w:val="en-GB"/>
        </w:rPr>
      </w:pPr>
      <w:r w:rsidRPr="4E7A5C02" w:rsidR="7F4CBF17">
        <w:rPr>
          <w:rFonts w:ascii="Arial" w:hAnsi="Arial" w:eastAsia="Arial" w:cs="Arial"/>
          <w:sz w:val="22"/>
          <w:szCs w:val="22"/>
        </w:rPr>
        <w:t xml:space="preserve">The UK uses four prescribed drug medications </w:t>
      </w:r>
      <w:r w:rsidRPr="4E7A5C02" w:rsidR="7F4CBF17">
        <w:rPr>
          <w:rFonts w:ascii="Arial" w:hAnsi="Arial" w:eastAsia="Arial" w:cs="Arial"/>
          <w:b w:val="0"/>
          <w:bCs w:val="0"/>
          <w:i w:val="0"/>
          <w:iCs w:val="0"/>
          <w:caps w:val="0"/>
          <w:smallCaps w:val="0"/>
          <w:noProof w:val="0"/>
          <w:color w:val="202124"/>
          <w:sz w:val="22"/>
          <w:szCs w:val="22"/>
          <w:lang w:val="en-GB"/>
        </w:rPr>
        <w:t xml:space="preserve">donepezil, rivastigmine, galantamine are acetylcholinesterase inhibitor medicines </w:t>
      </w:r>
      <w:r w:rsidRPr="4E7A5C02" w:rsidR="7F4CBF17">
        <w:rPr>
          <w:rFonts w:ascii="Arial" w:hAnsi="Arial" w:eastAsia="Arial" w:cs="Arial"/>
          <w:b w:val="0"/>
          <w:bCs w:val="0"/>
          <w:i w:val="0"/>
          <w:iCs w:val="0"/>
          <w:caps w:val="0"/>
          <w:smallCaps w:val="0"/>
          <w:noProof w:val="0"/>
          <w:color w:val="202124"/>
          <w:sz w:val="22"/>
          <w:szCs w:val="22"/>
          <w:lang w:val="en-GB"/>
        </w:rPr>
        <w:t>and memantine is for those that cannot take the acetylcholinesterase inhibitors, these are</w:t>
      </w:r>
      <w:r w:rsidRPr="4E7A5C02" w:rsidR="7F4CBF17">
        <w:rPr>
          <w:rFonts w:ascii="Arial" w:hAnsi="Arial" w:eastAsia="Arial" w:cs="Arial"/>
          <w:b w:val="0"/>
          <w:bCs w:val="0"/>
          <w:i w:val="0"/>
          <w:iCs w:val="0"/>
          <w:caps w:val="0"/>
          <w:smallCaps w:val="0"/>
          <w:noProof w:val="0"/>
          <w:color w:val="202124"/>
          <w:sz w:val="24"/>
          <w:szCs w:val="24"/>
          <w:lang w:val="en-GB"/>
        </w:rPr>
        <w:t xml:space="preserve"> </w:t>
      </w:r>
      <w:r w:rsidRPr="4E7A5C02" w:rsidR="7F4CBF17">
        <w:rPr>
          <w:rFonts w:ascii="Arial" w:hAnsi="Arial" w:eastAsia="Arial" w:cs="Arial"/>
          <w:b w:val="0"/>
          <w:bCs w:val="0"/>
          <w:i w:val="0"/>
          <w:iCs w:val="0"/>
          <w:caps w:val="0"/>
          <w:smallCaps w:val="0"/>
          <w:noProof w:val="0"/>
          <w:color w:val="202124"/>
          <w:sz w:val="22"/>
          <w:szCs w:val="22"/>
          <w:lang w:val="en-GB"/>
        </w:rPr>
        <w:t>available as patches</w:t>
      </w:r>
      <w:r w:rsidRPr="4E7A5C02" w:rsidR="4E7A5C02">
        <w:rPr>
          <w:rFonts w:ascii="Arial" w:hAnsi="Arial" w:eastAsia="Arial" w:cs="Arial"/>
          <w:b w:val="0"/>
          <w:bCs w:val="0"/>
          <w:i w:val="0"/>
          <w:iCs w:val="0"/>
          <w:caps w:val="0"/>
          <w:smallCaps w:val="0"/>
          <w:noProof w:val="0"/>
          <w:color w:val="202124"/>
          <w:sz w:val="22"/>
          <w:szCs w:val="22"/>
          <w:lang w:val="en-GB"/>
        </w:rPr>
        <w:t>, liquids, water-soluble tablets, and pills are all available. They are available under an array of trademark names.</w:t>
      </w:r>
      <w:r w:rsidRPr="4E7A5C02" w:rsidR="7F4CBF17">
        <w:rPr>
          <w:rFonts w:ascii="Arial" w:hAnsi="Arial" w:eastAsia="Arial" w:cs="Arial"/>
          <w:b w:val="0"/>
          <w:bCs w:val="0"/>
          <w:i w:val="0"/>
          <w:iCs w:val="0"/>
          <w:caps w:val="0"/>
          <w:smallCaps w:val="0"/>
          <w:noProof w:val="0"/>
          <w:color w:val="202124"/>
          <w:sz w:val="22"/>
          <w:szCs w:val="22"/>
          <w:lang w:val="en-GB"/>
        </w:rPr>
        <w:t xml:space="preserve"> </w:t>
      </w:r>
      <w:r w:rsidRPr="4E7A5C02" w:rsidR="7F4CBF17">
        <w:rPr>
          <w:rFonts w:ascii="Arial" w:hAnsi="Arial" w:eastAsia="Arial" w:cs="Arial"/>
          <w:b w:val="0"/>
          <w:bCs w:val="0"/>
          <w:i w:val="0"/>
          <w:iCs w:val="0"/>
          <w:caps w:val="0"/>
          <w:smallCaps w:val="0"/>
          <w:noProof w:val="0"/>
          <w:color w:val="202124"/>
          <w:sz w:val="22"/>
          <w:szCs w:val="22"/>
          <w:lang w:val="en-GB"/>
        </w:rPr>
        <w:t>Tidy, (2018);</w:t>
      </w:r>
      <w:r w:rsidRPr="4E7A5C02" w:rsidR="7F4CBF17">
        <w:rPr>
          <w:rFonts w:ascii="Arial" w:hAnsi="Arial" w:eastAsia="Arial" w:cs="Arial"/>
          <w:b w:val="0"/>
          <w:bCs w:val="0"/>
          <w:i w:val="0"/>
          <w:iCs w:val="0"/>
          <w:caps w:val="0"/>
          <w:smallCaps w:val="0"/>
          <w:noProof w:val="0"/>
          <w:color w:val="202124"/>
          <w:sz w:val="22"/>
          <w:szCs w:val="22"/>
          <w:lang w:val="en-GB"/>
        </w:rPr>
        <w:t xml:space="preserve"> National Institute for Health and Care </w:t>
      </w:r>
      <w:r w:rsidRPr="4E7A5C02" w:rsidR="7F4CBF17">
        <w:rPr>
          <w:rFonts w:ascii="Arial" w:hAnsi="Arial" w:eastAsia="Arial" w:cs="Arial"/>
          <w:b w:val="0"/>
          <w:bCs w:val="0"/>
          <w:i w:val="0"/>
          <w:iCs w:val="0"/>
          <w:caps w:val="0"/>
          <w:smallCaps w:val="0"/>
          <w:noProof w:val="0"/>
          <w:color w:val="202124"/>
          <w:sz w:val="22"/>
          <w:szCs w:val="22"/>
          <w:lang w:val="en-GB"/>
        </w:rPr>
        <w:t>Excellence,</w:t>
      </w:r>
      <w:r w:rsidRPr="4E7A5C02" w:rsidR="7F4CBF17">
        <w:rPr>
          <w:rFonts w:ascii="Arial" w:hAnsi="Arial" w:eastAsia="Arial" w:cs="Arial"/>
          <w:b w:val="0"/>
          <w:bCs w:val="0"/>
          <w:i w:val="0"/>
          <w:iCs w:val="0"/>
          <w:caps w:val="0"/>
          <w:smallCaps w:val="0"/>
          <w:noProof w:val="0"/>
          <w:color w:val="202124"/>
          <w:sz w:val="22"/>
          <w:szCs w:val="22"/>
          <w:lang w:val="en-GB"/>
        </w:rPr>
        <w:t xml:space="preserve"> (NICE) (2011)</w:t>
      </w:r>
      <w:r w:rsidRPr="4E7A5C02" w:rsidR="7F4CBF17">
        <w:rPr>
          <w:rFonts w:ascii="Arial" w:hAnsi="Arial" w:eastAsia="Arial" w:cs="Arial"/>
          <w:b w:val="0"/>
          <w:bCs w:val="0"/>
          <w:i w:val="0"/>
          <w:iCs w:val="0"/>
          <w:caps w:val="0"/>
          <w:smallCaps w:val="0"/>
          <w:noProof w:val="0"/>
          <w:color w:val="202124"/>
          <w:sz w:val="22"/>
          <w:szCs w:val="22"/>
          <w:lang w:val="en-GB"/>
        </w:rPr>
        <w:t xml:space="preserve"> state that the UK proposes that donepezil, galantamine, and rivastigmine</w:t>
      </w:r>
      <w:r w:rsidRPr="4E7A5C02" w:rsidR="4E7A5C02">
        <w:rPr>
          <w:rFonts w:ascii="Arial" w:hAnsi="Arial" w:eastAsia="Arial" w:cs="Arial"/>
          <w:b w:val="0"/>
          <w:bCs w:val="0"/>
          <w:i w:val="0"/>
          <w:iCs w:val="0"/>
          <w:caps w:val="0"/>
          <w:smallCaps w:val="0"/>
          <w:noProof w:val="0"/>
          <w:color w:val="202124"/>
          <w:sz w:val="22"/>
          <w:szCs w:val="22"/>
          <w:lang w:val="en-GB"/>
        </w:rPr>
        <w:t xml:space="preserve"> should be considered as a treatment option for people suffering from mild to moderate Alzheimer's disease</w:t>
      </w:r>
      <w:r w:rsidRPr="4E7A5C02" w:rsidR="7F4CBF17">
        <w:rPr>
          <w:rFonts w:ascii="Arial" w:hAnsi="Arial" w:eastAsia="Arial" w:cs="Arial"/>
          <w:b w:val="0"/>
          <w:bCs w:val="0"/>
          <w:i w:val="0"/>
          <w:iCs w:val="0"/>
          <w:caps w:val="0"/>
          <w:smallCaps w:val="0"/>
          <w:noProof w:val="0"/>
          <w:color w:val="auto"/>
          <w:sz w:val="22"/>
          <w:szCs w:val="22"/>
          <w:lang w:val="en-GB"/>
        </w:rPr>
        <w:t>, provided that the following conditions are met:</w:t>
      </w:r>
    </w:p>
    <w:p w:rsidR="7F4CBF17" w:rsidP="4E7A5C02" w:rsidRDefault="7F4CBF17" w14:paraId="64A08793" w14:textId="115FCE2C">
      <w:pPr>
        <w:pStyle w:val="ListParagraph"/>
        <w:numPr>
          <w:ilvl w:val="0"/>
          <w:numId w:val="5"/>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E7A5C02" w:rsidR="6642E286">
        <w:rPr>
          <w:rFonts w:ascii="Arial" w:hAnsi="Arial" w:eastAsia="Arial" w:cs="Arial"/>
          <w:b w:val="0"/>
          <w:bCs w:val="0"/>
          <w:i w:val="0"/>
          <w:iCs w:val="0"/>
          <w:caps w:val="0"/>
          <w:smallCaps w:val="0"/>
          <w:noProof w:val="0"/>
          <w:color w:val="auto"/>
          <w:sz w:val="22"/>
          <w:szCs w:val="22"/>
          <w:lang w:val="en-GB"/>
        </w:rPr>
        <w:t xml:space="preserve">A specialist in the care of dementia sufferers </w:t>
      </w:r>
      <w:r w:rsidRPr="4E7A5C02" w:rsidR="6642E286">
        <w:rPr>
          <w:rFonts w:ascii="Arial" w:hAnsi="Arial" w:eastAsia="Arial" w:cs="Arial"/>
          <w:b w:val="0"/>
          <w:bCs w:val="0"/>
          <w:i w:val="0"/>
          <w:iCs w:val="0"/>
          <w:caps w:val="0"/>
          <w:smallCaps w:val="0"/>
          <w:noProof w:val="0"/>
          <w:color w:val="auto"/>
          <w:sz w:val="22"/>
          <w:szCs w:val="22"/>
          <w:lang w:val="en-GB"/>
        </w:rPr>
        <w:t>starts</w:t>
      </w:r>
      <w:r w:rsidRPr="4E7A5C02" w:rsidR="6642E286">
        <w:rPr>
          <w:rFonts w:ascii="Arial" w:hAnsi="Arial" w:eastAsia="Arial" w:cs="Arial"/>
          <w:b w:val="0"/>
          <w:bCs w:val="0"/>
          <w:i w:val="0"/>
          <w:iCs w:val="0"/>
          <w:caps w:val="0"/>
          <w:smallCaps w:val="0"/>
          <w:noProof w:val="0"/>
          <w:color w:val="auto"/>
          <w:sz w:val="22"/>
          <w:szCs w:val="22"/>
          <w:lang w:val="en-GB"/>
        </w:rPr>
        <w:t xml:space="preserve"> the medication.</w:t>
      </w:r>
    </w:p>
    <w:p w:rsidR="7F4CBF17" w:rsidP="4E7A5C02" w:rsidRDefault="7F4CBF17" w14:paraId="4993656B" w14:textId="7DD15454">
      <w:pPr>
        <w:pStyle w:val="ListParagraph"/>
        <w:numPr>
          <w:ilvl w:val="0"/>
          <w:numId w:val="5"/>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E7A5C02" w:rsidR="6642E286">
        <w:rPr>
          <w:rFonts w:ascii="Arial" w:hAnsi="Arial" w:eastAsia="Arial" w:cs="Arial"/>
          <w:b w:val="0"/>
          <w:bCs w:val="0"/>
          <w:i w:val="0"/>
          <w:iCs w:val="0"/>
          <w:caps w:val="0"/>
          <w:smallCaps w:val="0"/>
          <w:noProof w:val="0"/>
          <w:color w:val="auto"/>
          <w:sz w:val="22"/>
          <w:szCs w:val="22"/>
          <w:lang w:val="en-GB"/>
        </w:rPr>
        <w:t xml:space="preserve">A person being treated has their condition reviewed and assessed on a regular basis (by a specialised team). The caregivers' perspectives on the person's condition should be </w:t>
      </w:r>
      <w:r w:rsidRPr="4E7A5C02" w:rsidR="6642E286">
        <w:rPr>
          <w:rFonts w:ascii="Arial" w:hAnsi="Arial" w:eastAsia="Arial" w:cs="Arial"/>
          <w:b w:val="0"/>
          <w:bCs w:val="0"/>
          <w:i w:val="0"/>
          <w:iCs w:val="0"/>
          <w:caps w:val="0"/>
          <w:smallCaps w:val="0"/>
          <w:noProof w:val="0"/>
          <w:color w:val="auto"/>
          <w:sz w:val="22"/>
          <w:szCs w:val="22"/>
          <w:lang w:val="en-GB"/>
        </w:rPr>
        <w:t>asked for</w:t>
      </w:r>
      <w:r w:rsidRPr="4E7A5C02" w:rsidR="6642E286">
        <w:rPr>
          <w:rFonts w:ascii="Arial" w:hAnsi="Arial" w:eastAsia="Arial" w:cs="Arial"/>
          <w:b w:val="0"/>
          <w:bCs w:val="0"/>
          <w:i w:val="0"/>
          <w:iCs w:val="0"/>
          <w:caps w:val="0"/>
          <w:smallCaps w:val="0"/>
          <w:noProof w:val="0"/>
          <w:color w:val="auto"/>
          <w:sz w:val="22"/>
          <w:szCs w:val="22"/>
          <w:lang w:val="en-GB"/>
        </w:rPr>
        <w:t xml:space="preserve"> before the medication is administered and </w:t>
      </w:r>
      <w:r w:rsidRPr="4E7A5C02" w:rsidR="6642E286">
        <w:rPr>
          <w:rFonts w:ascii="Arial" w:hAnsi="Arial" w:eastAsia="Arial" w:cs="Arial"/>
          <w:b w:val="0"/>
          <w:bCs w:val="0"/>
          <w:i w:val="0"/>
          <w:iCs w:val="0"/>
          <w:caps w:val="0"/>
          <w:smallCaps w:val="0"/>
          <w:noProof w:val="0"/>
          <w:color w:val="auto"/>
          <w:sz w:val="22"/>
          <w:szCs w:val="22"/>
          <w:lang w:val="en-GB"/>
        </w:rPr>
        <w:t>considered</w:t>
      </w:r>
      <w:r w:rsidRPr="4E7A5C02" w:rsidR="6642E286">
        <w:rPr>
          <w:rFonts w:ascii="Arial" w:hAnsi="Arial" w:eastAsia="Arial" w:cs="Arial"/>
          <w:b w:val="0"/>
          <w:bCs w:val="0"/>
          <w:i w:val="0"/>
          <w:iCs w:val="0"/>
          <w:caps w:val="0"/>
          <w:smallCaps w:val="0"/>
          <w:noProof w:val="0"/>
          <w:color w:val="auto"/>
          <w:sz w:val="22"/>
          <w:szCs w:val="22"/>
          <w:lang w:val="en-GB"/>
        </w:rPr>
        <w:t xml:space="preserve"> during the reviews.</w:t>
      </w:r>
    </w:p>
    <w:p w:rsidR="7F4CBF17" w:rsidP="4E7A5C02" w:rsidRDefault="7F4CBF17" w14:paraId="375482A4" w14:textId="5CE09C0D">
      <w:pPr>
        <w:pStyle w:val="ListParagraph"/>
        <w:numPr>
          <w:ilvl w:val="0"/>
          <w:numId w:val="5"/>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E7A5C02" w:rsidR="7F4CBF17">
        <w:rPr>
          <w:rFonts w:ascii="Arial" w:hAnsi="Arial" w:eastAsia="Arial" w:cs="Arial"/>
          <w:b w:val="0"/>
          <w:bCs w:val="0"/>
          <w:i w:val="0"/>
          <w:iCs w:val="0"/>
          <w:caps w:val="0"/>
          <w:smallCaps w:val="0"/>
          <w:noProof w:val="0"/>
          <w:color w:val="auto"/>
          <w:sz w:val="22"/>
          <w:szCs w:val="22"/>
          <w:lang w:val="en-GB"/>
        </w:rPr>
        <w:t>The medication is only given for as long as it is beneficial to a person's symptoms.</w:t>
      </w:r>
    </w:p>
    <w:p w:rsidR="4E7A5C02" w:rsidP="4E7A5C02" w:rsidRDefault="4E7A5C02" w14:paraId="1C5F4F08" w14:textId="5A6720B0">
      <w:pPr>
        <w:pStyle w:val="Normal"/>
        <w:spacing w:line="360" w:lineRule="auto"/>
        <w:ind w:left="0"/>
        <w:jc w:val="both"/>
        <w:rPr>
          <w:rFonts w:ascii="Arial" w:hAnsi="Arial" w:eastAsia="Arial" w:cs="Arial"/>
          <w:b w:val="0"/>
          <w:bCs w:val="0"/>
          <w:i w:val="0"/>
          <w:iCs w:val="0"/>
          <w:caps w:val="0"/>
          <w:smallCaps w:val="0"/>
          <w:noProof w:val="0"/>
          <w:color w:val="202124"/>
          <w:sz w:val="22"/>
          <w:szCs w:val="22"/>
          <w:lang w:val="en-GB"/>
        </w:rPr>
      </w:pPr>
      <w:r w:rsidRPr="4E7A5C02" w:rsidR="4E7A5C02">
        <w:rPr>
          <w:rFonts w:ascii="Arial" w:hAnsi="Arial" w:eastAsia="Arial" w:cs="Arial"/>
          <w:b w:val="0"/>
          <w:bCs w:val="0"/>
          <w:i w:val="0"/>
          <w:iCs w:val="0"/>
          <w:caps w:val="0"/>
          <w:smallCaps w:val="0"/>
          <w:noProof w:val="0"/>
          <w:color w:val="202124"/>
          <w:sz w:val="22"/>
          <w:szCs w:val="22"/>
          <w:lang w:val="en-GB"/>
        </w:rPr>
        <w:t>Donepezil, rivastigmine, and galantamine work by intensifying acetylcholine levels in the body. This is a brain chemical that is depleted in Alzheimer's patients. They may help with several of the problematic health thinking and memory issues that affect about half of Alzheimer's sufferers</w:t>
      </w:r>
      <w:r w:rsidRPr="4E7A5C02" w:rsidR="7F4CBF17">
        <w:rPr>
          <w:rFonts w:ascii="Arial" w:hAnsi="Arial" w:eastAsia="Arial" w:cs="Arial"/>
          <w:b w:val="0"/>
          <w:bCs w:val="0"/>
          <w:i w:val="0"/>
          <w:iCs w:val="0"/>
          <w:caps w:val="0"/>
          <w:smallCaps w:val="0"/>
          <w:noProof w:val="0"/>
          <w:color w:val="202124"/>
          <w:sz w:val="22"/>
          <w:szCs w:val="22"/>
          <w:lang w:val="en-GB"/>
        </w:rPr>
        <w:t xml:space="preserve"> </w:t>
      </w:r>
      <w:r w:rsidRPr="4E7A5C02" w:rsidR="7F4CBF17">
        <w:rPr>
          <w:rFonts w:ascii="Arial" w:hAnsi="Arial" w:eastAsia="Arial" w:cs="Arial"/>
          <w:b w:val="0"/>
          <w:bCs w:val="0"/>
          <w:i w:val="0"/>
          <w:iCs w:val="0"/>
          <w:caps w:val="0"/>
          <w:smallCaps w:val="0"/>
          <w:noProof w:val="0"/>
          <w:color w:val="202124"/>
          <w:sz w:val="22"/>
          <w:szCs w:val="22"/>
          <w:lang w:val="en-GB"/>
        </w:rPr>
        <w:t xml:space="preserve">(Zemek, et.al 2014). </w:t>
      </w:r>
      <w:r w:rsidRPr="4E7A5C02" w:rsidR="4E7A5C02">
        <w:rPr>
          <w:rFonts w:ascii="Arial" w:hAnsi="Arial" w:eastAsia="Arial" w:cs="Arial"/>
          <w:b w:val="0"/>
          <w:bCs w:val="0"/>
          <w:i w:val="0"/>
          <w:iCs w:val="0"/>
          <w:caps w:val="0"/>
          <w:smallCaps w:val="0"/>
          <w:noProof w:val="0"/>
          <w:color w:val="202124"/>
          <w:sz w:val="22"/>
          <w:szCs w:val="22"/>
          <w:lang w:val="en-GB"/>
        </w:rPr>
        <w:t xml:space="preserve">Memantine is also approved for the treatment of AD in some situations. It works by lowering the glutamate levels in the brain. This is supposed to slow the neurodegeneration caused by AD. </w:t>
      </w:r>
    </w:p>
    <w:p w:rsidR="4E7A5C02" w:rsidP="4E7A5C02" w:rsidRDefault="4E7A5C02" w14:paraId="4D35E312" w14:textId="243706A2">
      <w:pPr>
        <w:pStyle w:val="Normal"/>
        <w:spacing w:line="360" w:lineRule="auto"/>
        <w:ind w:left="0"/>
        <w:jc w:val="both"/>
        <w:rPr>
          <w:rFonts w:ascii="Arial" w:hAnsi="Arial" w:eastAsia="Arial" w:cs="Arial"/>
          <w:b w:val="0"/>
          <w:bCs w:val="0"/>
          <w:i w:val="0"/>
          <w:iCs w:val="0"/>
          <w:caps w:val="0"/>
          <w:smallCaps w:val="0"/>
          <w:noProof w:val="0"/>
          <w:color w:val="202124"/>
          <w:sz w:val="22"/>
          <w:szCs w:val="22"/>
          <w:lang w:val="en-GB"/>
        </w:rPr>
      </w:pPr>
      <w:r w:rsidRPr="4E7A5C02" w:rsidR="4E7A5C02">
        <w:rPr>
          <w:rFonts w:ascii="Arial" w:hAnsi="Arial" w:eastAsia="Arial" w:cs="Arial"/>
          <w:b w:val="0"/>
          <w:bCs w:val="0"/>
          <w:i w:val="0"/>
          <w:iCs w:val="0"/>
          <w:caps w:val="0"/>
          <w:smallCaps w:val="0"/>
          <w:noProof w:val="0"/>
          <w:color w:val="202124"/>
          <w:sz w:val="22"/>
          <w:szCs w:val="22"/>
          <w:lang w:val="en-GB"/>
        </w:rPr>
        <w:t xml:space="preserve">Rivastigmine is commonly prescribed to those with mild to moderate dementia and Parkinson's disease. As a result, doctors may prescribe this treatment to this group of people. Additionally, for patients with dementia with Lewy bodies (DLB) who </w:t>
      </w:r>
      <w:r w:rsidRPr="4E7A5C02" w:rsidR="4E7A5C02">
        <w:rPr>
          <w:rFonts w:ascii="Arial" w:hAnsi="Arial" w:eastAsia="Arial" w:cs="Arial"/>
          <w:b w:val="0"/>
          <w:bCs w:val="0"/>
          <w:i w:val="0"/>
          <w:iCs w:val="0"/>
          <w:caps w:val="0"/>
          <w:smallCaps w:val="0"/>
          <w:noProof w:val="0"/>
          <w:color w:val="202124"/>
          <w:sz w:val="22"/>
          <w:szCs w:val="22"/>
          <w:lang w:val="en-GB"/>
        </w:rPr>
        <w:t>show</w:t>
      </w:r>
      <w:r w:rsidRPr="4E7A5C02" w:rsidR="4E7A5C02">
        <w:rPr>
          <w:rFonts w:ascii="Arial" w:hAnsi="Arial" w:eastAsia="Arial" w:cs="Arial"/>
          <w:b w:val="0"/>
          <w:bCs w:val="0"/>
          <w:i w:val="0"/>
          <w:iCs w:val="0"/>
          <w:caps w:val="0"/>
          <w:smallCaps w:val="0"/>
          <w:noProof w:val="0"/>
          <w:color w:val="202124"/>
          <w:sz w:val="22"/>
          <w:szCs w:val="22"/>
          <w:lang w:val="en-GB"/>
        </w:rPr>
        <w:t xml:space="preserve"> complex, challenging, or disruptive behaviour (non-cognitive symptoms), an acetylcholinesterase inhibitor prescription may be administered (non-cognitive symptoms) (NICE, 2019).</w:t>
      </w:r>
    </w:p>
    <w:p w:rsidR="7F4CBF17" w:rsidP="4E7A5C02" w:rsidRDefault="7F4CBF17" w14:paraId="706B140C" w14:textId="2E267BDE">
      <w:pPr>
        <w:pStyle w:val="Normal"/>
        <w:spacing w:line="360" w:lineRule="auto"/>
        <w:ind w:left="0"/>
        <w:jc w:val="both"/>
        <w:rPr>
          <w:rFonts w:ascii="Arial" w:hAnsi="Arial" w:eastAsia="Arial" w:cs="Arial"/>
          <w:sz w:val="22"/>
          <w:szCs w:val="22"/>
        </w:rPr>
      </w:pPr>
      <w:r w:rsidRPr="4E7A5C02" w:rsidR="59FB9CB1">
        <w:rPr>
          <w:rFonts w:ascii="Arial" w:hAnsi="Arial" w:eastAsia="Arial" w:cs="Arial"/>
          <w:sz w:val="22"/>
          <w:szCs w:val="22"/>
        </w:rPr>
        <w:t xml:space="preserve">The drugs that are administered only </w:t>
      </w:r>
      <w:r w:rsidRPr="4E7A5C02" w:rsidR="59FB9CB1">
        <w:rPr>
          <w:rFonts w:ascii="Arial" w:hAnsi="Arial" w:eastAsia="Arial" w:cs="Arial"/>
          <w:sz w:val="22"/>
          <w:szCs w:val="22"/>
        </w:rPr>
        <w:t>try</w:t>
      </w:r>
      <w:r w:rsidRPr="4E7A5C02" w:rsidR="59FB9CB1">
        <w:rPr>
          <w:rFonts w:ascii="Arial" w:hAnsi="Arial" w:eastAsia="Arial" w:cs="Arial"/>
          <w:sz w:val="22"/>
          <w:szCs w:val="22"/>
        </w:rPr>
        <w:t xml:space="preserve"> to treat the symptoms of dementia, not cure the person from the disease. Taking these may help with the symptoms, but they can also lead to other medical conditions and aliments. The drugs have small but discernible benefits in treatment, but they are used because they are cost-effective </w:t>
      </w:r>
      <w:r w:rsidRPr="4E7A5C02" w:rsidR="59FB9CB1">
        <w:rPr>
          <w:rFonts w:ascii="Arial" w:hAnsi="Arial" w:eastAsia="Arial" w:cs="Arial"/>
          <w:sz w:val="22"/>
          <w:szCs w:val="22"/>
        </w:rPr>
        <w:t>(NICE, 2011).</w:t>
      </w:r>
      <w:r w:rsidRPr="4E7A5C02" w:rsidR="59FB9CB1">
        <w:rPr>
          <w:rFonts w:ascii="Arial" w:hAnsi="Arial" w:eastAsia="Arial" w:cs="Arial"/>
          <w:sz w:val="22"/>
          <w:szCs w:val="22"/>
        </w:rPr>
        <w:t xml:space="preserve"> </w:t>
      </w:r>
    </w:p>
    <w:p w:rsidR="4E7A5C02" w:rsidP="4E7A5C02" w:rsidRDefault="4E7A5C02" w14:paraId="1D8145B4" w14:textId="3C6D20B5">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There are over a hundred distinct compound drugs in clinical trials around the world, all </w:t>
      </w:r>
      <w:r w:rsidRPr="4E7A5C02" w:rsidR="4E7A5C02">
        <w:rPr>
          <w:rFonts w:ascii="Arial" w:hAnsi="Arial" w:eastAsia="Arial" w:cs="Arial"/>
          <w:sz w:val="22"/>
          <w:szCs w:val="22"/>
        </w:rPr>
        <w:t>trying</w:t>
      </w:r>
      <w:r w:rsidRPr="4E7A5C02" w:rsidR="4E7A5C02">
        <w:rPr>
          <w:rFonts w:ascii="Arial" w:hAnsi="Arial" w:eastAsia="Arial" w:cs="Arial"/>
          <w:sz w:val="22"/>
          <w:szCs w:val="22"/>
        </w:rPr>
        <w:t xml:space="preserve"> to find a treatment for the disease. Some trials, such as solanezumab, have progressed to the third phase, but have not met the necessary criteria for approval. Because they </w:t>
      </w:r>
      <w:r w:rsidRPr="4E7A5C02" w:rsidR="4E7A5C02">
        <w:rPr>
          <w:rFonts w:ascii="Arial" w:hAnsi="Arial" w:eastAsia="Arial" w:cs="Arial"/>
          <w:sz w:val="22"/>
          <w:szCs w:val="22"/>
        </w:rPr>
        <w:t>appear to be</w:t>
      </w:r>
      <w:r w:rsidRPr="4E7A5C02" w:rsidR="4E7A5C02">
        <w:rPr>
          <w:rFonts w:ascii="Arial" w:hAnsi="Arial" w:eastAsia="Arial" w:cs="Arial"/>
          <w:sz w:val="22"/>
          <w:szCs w:val="22"/>
        </w:rPr>
        <w:t xml:space="preserve"> useless in studies. The lack of awareness and participants to </w:t>
      </w:r>
      <w:r w:rsidRPr="4E7A5C02" w:rsidR="4E7A5C02">
        <w:rPr>
          <w:rFonts w:ascii="Arial" w:hAnsi="Arial" w:eastAsia="Arial" w:cs="Arial"/>
          <w:sz w:val="22"/>
          <w:szCs w:val="22"/>
        </w:rPr>
        <w:t>participate</w:t>
      </w:r>
      <w:r w:rsidRPr="4E7A5C02" w:rsidR="4E7A5C02">
        <w:rPr>
          <w:rFonts w:ascii="Arial" w:hAnsi="Arial" w:eastAsia="Arial" w:cs="Arial"/>
          <w:sz w:val="22"/>
          <w:szCs w:val="22"/>
        </w:rPr>
        <w:t xml:space="preserve"> in studies since participants must be diagnosed early to be eligible to </w:t>
      </w:r>
      <w:r w:rsidRPr="4E7A5C02" w:rsidR="4E7A5C02">
        <w:rPr>
          <w:rFonts w:ascii="Arial" w:hAnsi="Arial" w:eastAsia="Arial" w:cs="Arial"/>
          <w:sz w:val="22"/>
          <w:szCs w:val="22"/>
        </w:rPr>
        <w:t>participate</w:t>
      </w:r>
      <w:r w:rsidRPr="4E7A5C02" w:rsidR="4E7A5C02">
        <w:rPr>
          <w:rFonts w:ascii="Arial" w:hAnsi="Arial" w:eastAsia="Arial" w:cs="Arial"/>
          <w:sz w:val="22"/>
          <w:szCs w:val="22"/>
        </w:rPr>
        <w:t xml:space="preserve">, only about 2% of those who are eligible can </w:t>
      </w:r>
      <w:r w:rsidRPr="4E7A5C02" w:rsidR="4E7A5C02">
        <w:rPr>
          <w:rFonts w:ascii="Arial" w:hAnsi="Arial" w:eastAsia="Arial" w:cs="Arial"/>
          <w:sz w:val="22"/>
          <w:szCs w:val="22"/>
        </w:rPr>
        <w:t>participate</w:t>
      </w:r>
      <w:r w:rsidRPr="4E7A5C02" w:rsidR="4E7A5C02">
        <w:rPr>
          <w:rFonts w:ascii="Arial" w:hAnsi="Arial" w:eastAsia="Arial" w:cs="Arial"/>
          <w:sz w:val="22"/>
          <w:szCs w:val="22"/>
        </w:rPr>
        <w:t xml:space="preserve">. This is a concern in the pursuit for a dementia cure, as is limited access, high diagnostic expenses, and a prolonged and complex process for recruiting and trial approval </w:t>
      </w:r>
      <w:r w:rsidRPr="4E7A5C02" w:rsidR="4E7A5C02">
        <w:rPr>
          <w:rFonts w:ascii="Arial" w:hAnsi="Arial" w:eastAsia="Arial" w:cs="Arial"/>
          <w:sz w:val="22"/>
          <w:szCs w:val="22"/>
        </w:rPr>
        <w:t>(Alzheimer’s Research UK, 2015).</w:t>
      </w:r>
    </w:p>
    <w:p w:rsidR="7F4CBF17" w:rsidP="4E7A5C02" w:rsidRDefault="7F4CBF17" w14:paraId="16836B09" w14:textId="2E7D0658">
      <w:pPr>
        <w:pStyle w:val="Normal"/>
        <w:spacing w:line="360" w:lineRule="auto"/>
        <w:ind w:left="0"/>
        <w:jc w:val="both"/>
        <w:rPr>
          <w:rFonts w:ascii="Arial" w:hAnsi="Arial" w:eastAsia="Arial" w:cs="Arial"/>
          <w:sz w:val="22"/>
          <w:szCs w:val="22"/>
        </w:rPr>
      </w:pPr>
      <w:r w:rsidRPr="4E7A5C02" w:rsidR="7F4CBF17">
        <w:rPr>
          <w:rFonts w:ascii="Arial" w:hAnsi="Arial" w:eastAsia="Arial" w:cs="Arial"/>
          <w:sz w:val="22"/>
          <w:szCs w:val="22"/>
        </w:rPr>
        <w:t>The Medical and Healthcare products Regulatory Agency (MHRA) and The European Medicines Agency</w:t>
      </w:r>
      <w:r w:rsidRPr="4E7A5C02" w:rsidR="4E7A5C02">
        <w:rPr>
          <w:rFonts w:ascii="Arial" w:hAnsi="Arial" w:eastAsia="Arial" w:cs="Arial"/>
          <w:sz w:val="22"/>
          <w:szCs w:val="22"/>
        </w:rPr>
        <w:t xml:space="preserve"> (EMA) collaborates closely with national competent authorities in a regulatory network. The Agency also follows policies and procedures to guarantee that it </w:t>
      </w:r>
      <w:r w:rsidRPr="4E7A5C02" w:rsidR="4E7A5C02">
        <w:rPr>
          <w:rFonts w:ascii="Arial" w:hAnsi="Arial" w:eastAsia="Arial" w:cs="Arial"/>
          <w:sz w:val="22"/>
          <w:szCs w:val="22"/>
        </w:rPr>
        <w:t>works</w:t>
      </w:r>
      <w:r w:rsidRPr="4E7A5C02" w:rsidR="4E7A5C02">
        <w:rPr>
          <w:rFonts w:ascii="Arial" w:hAnsi="Arial" w:eastAsia="Arial" w:cs="Arial"/>
          <w:sz w:val="22"/>
          <w:szCs w:val="22"/>
        </w:rPr>
        <w:t xml:space="preserve"> independently, openly, </w:t>
      </w:r>
      <w:r w:rsidRPr="4E7A5C02" w:rsidR="4E7A5C02">
        <w:rPr>
          <w:rFonts w:ascii="Arial" w:hAnsi="Arial" w:eastAsia="Arial" w:cs="Arial"/>
          <w:sz w:val="22"/>
          <w:szCs w:val="22"/>
        </w:rPr>
        <w:t>honestly, that</w:t>
      </w:r>
      <w:r w:rsidRPr="4E7A5C02" w:rsidR="4E7A5C02">
        <w:rPr>
          <w:rFonts w:ascii="Arial" w:hAnsi="Arial" w:eastAsia="Arial" w:cs="Arial"/>
          <w:sz w:val="22"/>
          <w:szCs w:val="22"/>
        </w:rPr>
        <w:t xml:space="preserve"> its scientific conclusions </w:t>
      </w:r>
      <w:r w:rsidRPr="4E7A5C02" w:rsidR="4E7A5C02">
        <w:rPr>
          <w:rFonts w:ascii="Arial" w:hAnsi="Arial" w:eastAsia="Arial" w:cs="Arial"/>
          <w:sz w:val="22"/>
          <w:szCs w:val="22"/>
        </w:rPr>
        <w:t>maintain</w:t>
      </w:r>
      <w:r w:rsidRPr="4E7A5C02" w:rsidR="4E7A5C02">
        <w:rPr>
          <w:rFonts w:ascii="Arial" w:hAnsi="Arial" w:eastAsia="Arial" w:cs="Arial"/>
          <w:sz w:val="22"/>
          <w:szCs w:val="22"/>
        </w:rPr>
        <w:t xml:space="preserve"> the highest standards, is responsible for clinical trials and </w:t>
      </w:r>
      <w:r w:rsidRPr="4E7A5C02" w:rsidR="7F4CBF17">
        <w:rPr>
          <w:rFonts w:ascii="Arial" w:hAnsi="Arial" w:eastAsia="Arial" w:cs="Arial"/>
          <w:sz w:val="22"/>
          <w:szCs w:val="22"/>
        </w:rPr>
        <w:t>oversees</w:t>
      </w:r>
      <w:r w:rsidRPr="4E7A5C02" w:rsidR="4E7A5C02">
        <w:rPr>
          <w:rFonts w:ascii="Arial" w:hAnsi="Arial" w:eastAsia="Arial" w:cs="Arial"/>
          <w:sz w:val="22"/>
          <w:szCs w:val="22"/>
        </w:rPr>
        <w:t xml:space="preserve"> approving new pharmaceuticals in the </w:t>
      </w:r>
      <w:r w:rsidRPr="4E7A5C02" w:rsidR="7F4CBF17">
        <w:rPr>
          <w:rFonts w:ascii="Arial" w:hAnsi="Arial" w:eastAsia="Arial" w:cs="Arial"/>
          <w:sz w:val="22"/>
          <w:szCs w:val="22"/>
        </w:rPr>
        <w:t xml:space="preserve">UK. The MHRA has a confidential commitment with the US Food and Drug Administration (FDA) </w:t>
      </w:r>
      <w:r w:rsidRPr="4E7A5C02" w:rsidR="4E7A5C02">
        <w:rPr>
          <w:rFonts w:ascii="Arial" w:hAnsi="Arial" w:eastAsia="Arial" w:cs="Arial"/>
          <w:sz w:val="22"/>
          <w:szCs w:val="22"/>
        </w:rPr>
        <w:t>(Food and Drug Administration, 2019;</w:t>
      </w:r>
      <w:r w:rsidRPr="4E7A5C02" w:rsidR="4E7A5C02">
        <w:rPr>
          <w:rFonts w:ascii="Arial" w:hAnsi="Arial" w:eastAsia="Arial" w:cs="Arial"/>
          <w:sz w:val="22"/>
          <w:szCs w:val="22"/>
        </w:rPr>
        <w:t xml:space="preserve"> National Institute of Allergy and Infectious Diseases, 2022</w:t>
      </w:r>
      <w:r w:rsidRPr="4E7A5C02" w:rsidR="4E7A5C02">
        <w:rPr>
          <w:rFonts w:ascii="Arial" w:hAnsi="Arial" w:eastAsia="Arial" w:cs="Arial"/>
          <w:sz w:val="22"/>
          <w:szCs w:val="22"/>
        </w:rPr>
        <w:t>).</w:t>
      </w:r>
    </w:p>
    <w:p w:rsidR="7F4CBF17" w:rsidP="4E7A5C02" w:rsidRDefault="7F4CBF17" w14:paraId="7763DFD7" w14:textId="782537CF">
      <w:pPr>
        <w:pStyle w:val="Normal"/>
        <w:spacing w:line="360" w:lineRule="auto"/>
        <w:ind w:left="0"/>
        <w:jc w:val="both"/>
        <w:rPr>
          <w:rFonts w:ascii="Arial" w:hAnsi="Arial" w:eastAsia="Arial" w:cs="Arial"/>
          <w:color w:val="auto"/>
          <w:sz w:val="22"/>
          <w:szCs w:val="22"/>
        </w:rPr>
      </w:pPr>
      <w:r w:rsidRPr="4E7A5C02" w:rsidR="4E7A5C02">
        <w:rPr>
          <w:rFonts w:ascii="Arial" w:hAnsi="Arial" w:eastAsia="Arial" w:cs="Arial"/>
          <w:color w:val="auto"/>
          <w:sz w:val="22"/>
          <w:szCs w:val="22"/>
        </w:rPr>
        <w:t>Acuranumab,is</w:t>
      </w:r>
      <w:r w:rsidRPr="4E7A5C02" w:rsidR="4E7A5C02">
        <w:rPr>
          <w:rFonts w:ascii="Arial" w:hAnsi="Arial" w:eastAsia="Arial" w:cs="Arial"/>
          <w:color w:val="auto"/>
          <w:sz w:val="22"/>
          <w:szCs w:val="22"/>
        </w:rPr>
        <w:t xml:space="preserve">  a medication that removes beta-amyloid, one of the distinguishing markers of AD, from the brain, has a reasonable possibility of halting cognitive and functional loss in those with AD who are in their preliminary stages </w:t>
      </w:r>
      <w:r w:rsidRPr="4E7A5C02" w:rsidR="6642E286">
        <w:rPr>
          <w:rFonts w:ascii="Arial" w:hAnsi="Arial" w:eastAsia="Arial" w:cs="Arial"/>
          <w:color w:val="auto"/>
          <w:sz w:val="22"/>
          <w:szCs w:val="22"/>
        </w:rPr>
        <w:t>(Alzheimer's Association, 2016).</w:t>
      </w:r>
      <w:r w:rsidRPr="4E7A5C02" w:rsidR="6642E286">
        <w:rPr>
          <w:rFonts w:ascii="Arial" w:hAnsi="Arial" w:eastAsia="Arial" w:cs="Arial"/>
          <w:color w:val="auto"/>
          <w:sz w:val="22"/>
          <w:szCs w:val="22"/>
        </w:rPr>
        <w:t xml:space="preserve"> </w:t>
      </w:r>
      <w:r w:rsidRPr="4E7A5C02" w:rsidR="4E7A5C02">
        <w:rPr>
          <w:rFonts w:ascii="Arial" w:hAnsi="Arial" w:eastAsia="Arial" w:cs="Arial"/>
          <w:color w:val="auto"/>
          <w:sz w:val="22"/>
          <w:szCs w:val="22"/>
        </w:rPr>
        <w:t xml:space="preserve">Aducanumab is a medication licenced by the FDA. It is the first FDA-approved healing treatment to examine the biology of AD. The fact that this treatment has been approved emphasises the necessity of early detection and </w:t>
      </w:r>
      <w:r w:rsidRPr="4E7A5C02" w:rsidR="4E7A5C02">
        <w:rPr>
          <w:rFonts w:ascii="Arial" w:hAnsi="Arial" w:eastAsia="Arial" w:cs="Arial"/>
          <w:color w:val="auto"/>
          <w:sz w:val="22"/>
          <w:szCs w:val="22"/>
        </w:rPr>
        <w:t>correct</w:t>
      </w:r>
      <w:r w:rsidRPr="4E7A5C02" w:rsidR="4E7A5C02">
        <w:rPr>
          <w:rFonts w:ascii="Arial" w:hAnsi="Arial" w:eastAsia="Arial" w:cs="Arial"/>
          <w:color w:val="auto"/>
          <w:sz w:val="22"/>
          <w:szCs w:val="22"/>
        </w:rPr>
        <w:t xml:space="preserve"> diagnosis. Aducanumab may </w:t>
      </w:r>
      <w:r w:rsidRPr="4E7A5C02" w:rsidR="4E7A5C02">
        <w:rPr>
          <w:rFonts w:ascii="Arial" w:hAnsi="Arial" w:eastAsia="Arial" w:cs="Arial"/>
          <w:color w:val="auto"/>
          <w:sz w:val="22"/>
          <w:szCs w:val="22"/>
        </w:rPr>
        <w:t>provide</w:t>
      </w:r>
      <w:r w:rsidRPr="4E7A5C02" w:rsidR="4E7A5C02">
        <w:rPr>
          <w:rFonts w:ascii="Arial" w:hAnsi="Arial" w:eastAsia="Arial" w:cs="Arial"/>
          <w:color w:val="auto"/>
          <w:sz w:val="22"/>
          <w:szCs w:val="22"/>
        </w:rPr>
        <w:t xml:space="preserve"> people more time to </w:t>
      </w:r>
      <w:r w:rsidRPr="4E7A5C02" w:rsidR="4E7A5C02">
        <w:rPr>
          <w:rFonts w:ascii="Arial" w:hAnsi="Arial" w:eastAsia="Arial" w:cs="Arial"/>
          <w:color w:val="auto"/>
          <w:sz w:val="22"/>
          <w:szCs w:val="22"/>
        </w:rPr>
        <w:t>participate</w:t>
      </w:r>
      <w:r w:rsidRPr="4E7A5C02" w:rsidR="4E7A5C02">
        <w:rPr>
          <w:rFonts w:ascii="Arial" w:hAnsi="Arial" w:eastAsia="Arial" w:cs="Arial"/>
          <w:color w:val="auto"/>
          <w:sz w:val="22"/>
          <w:szCs w:val="22"/>
        </w:rPr>
        <w:t xml:space="preserve"> actively in daily life, </w:t>
      </w:r>
      <w:r w:rsidRPr="4E7A5C02" w:rsidR="4E7A5C02">
        <w:rPr>
          <w:rFonts w:ascii="Arial" w:hAnsi="Arial" w:eastAsia="Arial" w:cs="Arial"/>
          <w:color w:val="auto"/>
          <w:sz w:val="22"/>
          <w:szCs w:val="22"/>
        </w:rPr>
        <w:t>maintain</w:t>
      </w:r>
      <w:r w:rsidRPr="4E7A5C02" w:rsidR="4E7A5C02">
        <w:rPr>
          <w:rFonts w:ascii="Arial" w:hAnsi="Arial" w:eastAsia="Arial" w:cs="Arial"/>
          <w:color w:val="auto"/>
          <w:sz w:val="22"/>
          <w:szCs w:val="22"/>
        </w:rPr>
        <w:t xml:space="preserve"> their independence, and keep information for longer. In the European Union (E.U), this treatment is not available </w:t>
      </w:r>
      <w:r w:rsidRPr="4E7A5C02" w:rsidR="6642E286">
        <w:rPr>
          <w:rFonts w:ascii="Arial" w:hAnsi="Arial" w:eastAsia="Arial" w:cs="Arial"/>
          <w:color w:val="auto"/>
          <w:sz w:val="22"/>
          <w:szCs w:val="22"/>
        </w:rPr>
        <w:t>(Alzheimer's Association, 2021).</w:t>
      </w:r>
    </w:p>
    <w:p w:rsidR="7F4CBF17" w:rsidP="4E7A5C02" w:rsidRDefault="7F4CBF17" w14:paraId="1642F004" w14:textId="0050EF4B">
      <w:pPr>
        <w:pStyle w:val="Normal"/>
        <w:spacing w:line="360" w:lineRule="auto"/>
        <w:ind w:left="0"/>
        <w:jc w:val="both"/>
        <w:rPr>
          <w:rFonts w:ascii="Arial" w:hAnsi="Arial" w:eastAsia="Arial" w:cs="Arial"/>
          <w:sz w:val="22"/>
          <w:szCs w:val="22"/>
        </w:rPr>
      </w:pPr>
      <w:r w:rsidRPr="4E7A5C02" w:rsidR="6642E286">
        <w:rPr>
          <w:rFonts w:ascii="Arial" w:hAnsi="Arial" w:eastAsia="Arial" w:cs="Arial"/>
          <w:sz w:val="22"/>
          <w:szCs w:val="22"/>
        </w:rPr>
        <w:t>(Roxby, (2021)</w:t>
      </w:r>
      <w:r w:rsidRPr="4E7A5C02" w:rsidR="6642E286">
        <w:rPr>
          <w:rFonts w:ascii="Arial" w:hAnsi="Arial" w:eastAsia="Arial" w:cs="Arial"/>
          <w:sz w:val="22"/>
          <w:szCs w:val="22"/>
        </w:rPr>
        <w:t xml:space="preserve"> reports that the treatment of aducanumab is not approved in the E.U. as it has been in the US since June 2021, which is the first new treatment for 20 years. Scientists suggested that the evidence shows little sign </w:t>
      </w:r>
      <w:r w:rsidRPr="4E7A5C02" w:rsidR="6642E286">
        <w:rPr>
          <w:rFonts w:ascii="Arial" w:hAnsi="Arial" w:eastAsia="Arial" w:cs="Arial"/>
          <w:sz w:val="22"/>
          <w:szCs w:val="22"/>
        </w:rPr>
        <w:t xml:space="preserve">but beneficial regardless of it attacking amyloid. </w:t>
      </w:r>
      <w:r w:rsidRPr="4E7A5C02" w:rsidR="4E7A5C02">
        <w:rPr>
          <w:rFonts w:ascii="Arial" w:hAnsi="Arial" w:eastAsia="Arial" w:cs="Arial"/>
          <w:sz w:val="22"/>
          <w:szCs w:val="22"/>
        </w:rPr>
        <w:t xml:space="preserve">The EMA made a ruling in 2021 defined on two major trials involving over 3,000 individuals with early-stage AD that compared the consequences of a minimum and </w:t>
      </w:r>
      <w:r w:rsidRPr="4E7A5C02" w:rsidR="4E7A5C02">
        <w:rPr>
          <w:rFonts w:ascii="Arial" w:hAnsi="Arial" w:eastAsia="Arial" w:cs="Arial"/>
          <w:sz w:val="22"/>
          <w:szCs w:val="22"/>
        </w:rPr>
        <w:t>maximum</w:t>
      </w:r>
      <w:r w:rsidRPr="4E7A5C02" w:rsidR="4E7A5C02">
        <w:rPr>
          <w:rFonts w:ascii="Arial" w:hAnsi="Arial" w:eastAsia="Arial" w:cs="Arial"/>
          <w:sz w:val="22"/>
          <w:szCs w:val="22"/>
        </w:rPr>
        <w:t xml:space="preserve"> dose of medicine with a fake pill. According to the EMA, "The primary research outcomes were varied, but they were not helpful in treating persons with early-stage AD in general. Images from neuroimaging studies of some individuals revealed malformations with </w:t>
      </w:r>
      <w:r w:rsidRPr="4E7A5C02" w:rsidR="4E7A5C02">
        <w:rPr>
          <w:rFonts w:ascii="Arial" w:hAnsi="Arial" w:eastAsia="Arial" w:cs="Arial"/>
          <w:sz w:val="22"/>
          <w:szCs w:val="22"/>
        </w:rPr>
        <w:t>clear</w:t>
      </w:r>
      <w:r w:rsidRPr="4E7A5C02" w:rsidR="4E7A5C02">
        <w:rPr>
          <w:rFonts w:ascii="Arial" w:hAnsi="Arial" w:eastAsia="Arial" w:cs="Arial"/>
          <w:sz w:val="22"/>
          <w:szCs w:val="22"/>
        </w:rPr>
        <w:t xml:space="preserve"> symptoms of swelling or bleeding, which could bring harm " (Mahase, 2021). The EMA learned that the drug's advantages did not outweigh the hazards, and a marketing authorisation was strongly recommended to be rejected (Alzheimer's Research UK, 2021).</w:t>
      </w:r>
    </w:p>
    <w:p w:rsidR="7F4CBF17" w:rsidP="4E7A5C02" w:rsidRDefault="7F4CBF17" w14:paraId="2B551596" w14:textId="60059231">
      <w:pPr>
        <w:pStyle w:val="ListParagraph"/>
        <w:numPr>
          <w:ilvl w:val="0"/>
          <w:numId w:val="4"/>
        </w:numPr>
        <w:spacing w:line="360" w:lineRule="auto"/>
        <w:jc w:val="both"/>
        <w:rPr>
          <w:sz w:val="22"/>
          <w:szCs w:val="22"/>
        </w:rPr>
      </w:pPr>
      <w:r w:rsidRPr="4E7A5C02" w:rsidR="7F4CBF17">
        <w:rPr>
          <w:rFonts w:ascii="Arial" w:hAnsi="Arial" w:eastAsia="Arial" w:cs="Arial"/>
          <w:sz w:val="22"/>
          <w:szCs w:val="22"/>
        </w:rPr>
        <w:t>Non-Drug Treatments</w:t>
      </w:r>
    </w:p>
    <w:p w:rsidR="7F4CBF17" w:rsidP="4E7A5C02" w:rsidRDefault="7F4CBF17" w14:paraId="3D7D8373" w14:textId="1760CC89">
      <w:pPr>
        <w:pStyle w:val="Normal"/>
        <w:spacing w:line="360" w:lineRule="auto"/>
        <w:ind w:left="0"/>
        <w:jc w:val="both"/>
        <w:rPr>
          <w:rFonts w:ascii="Arial" w:hAnsi="Arial" w:eastAsia="Arial" w:cs="Arial"/>
          <w:sz w:val="22"/>
          <w:szCs w:val="22"/>
          <w:highlight w:val="yellow"/>
        </w:rPr>
      </w:pPr>
      <w:r w:rsidRPr="4E7A5C02" w:rsidR="4E7A5C02">
        <w:rPr>
          <w:rFonts w:ascii="Arial" w:hAnsi="Arial" w:eastAsia="Arial" w:cs="Arial"/>
          <w:sz w:val="22"/>
          <w:szCs w:val="22"/>
        </w:rPr>
        <w:t xml:space="preserve">Cognitive stimulation treatment (CST) is a drug-free psychosocial group intervention for AD patients who have mild to moderate symptoms. CST is based on cognitive stimulation, reality orientation, recollection, and validation therapy and integrates essential aspects of various therapeutic techniques into a managed programme. CST therapy is now the only non-pharmacologic dementia treatment approved by UK government rules. CST </w:t>
      </w:r>
      <w:r w:rsidRPr="4E7A5C02" w:rsidR="4E7A5C02">
        <w:rPr>
          <w:rFonts w:ascii="Arial" w:hAnsi="Arial" w:eastAsia="Arial" w:cs="Arial"/>
          <w:sz w:val="22"/>
          <w:szCs w:val="22"/>
        </w:rPr>
        <w:t>appears to be</w:t>
      </w:r>
      <w:r w:rsidRPr="4E7A5C02" w:rsidR="4E7A5C02">
        <w:rPr>
          <w:rFonts w:ascii="Arial" w:hAnsi="Arial" w:eastAsia="Arial" w:cs="Arial"/>
          <w:sz w:val="22"/>
          <w:szCs w:val="22"/>
        </w:rPr>
        <w:t xml:space="preserve"> a good and cost-effective non-pharmacological dementia intervention in both the community and the nursing home, based on continuous interaction at least twice weekly for 45 minutes</w:t>
      </w:r>
      <w:r w:rsidRPr="4E7A5C02" w:rsidR="59FB9CB1">
        <w:rPr>
          <w:rFonts w:ascii="Arial" w:hAnsi="Arial" w:eastAsia="Arial" w:cs="Arial"/>
          <w:sz w:val="22"/>
          <w:szCs w:val="22"/>
        </w:rPr>
        <w:t xml:space="preserve"> </w:t>
      </w:r>
      <w:r w:rsidRPr="4E7A5C02" w:rsidR="150920FB">
        <w:rPr>
          <w:rFonts w:ascii="Arial" w:hAnsi="Arial" w:eastAsia="Arial" w:cs="Arial"/>
          <w:sz w:val="22"/>
          <w:szCs w:val="22"/>
        </w:rPr>
        <w:t>(Berg-Weger and Stewart, 2017).</w:t>
      </w:r>
    </w:p>
    <w:p w:rsidR="7F4CBF17" w:rsidP="4E7A5C02" w:rsidRDefault="7F4CBF17" w14:paraId="616BC0A8" w14:textId="5E665126">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Physical, emotional, and social stimulation are all stimuli and interventions that can support people with dementia and their families (Chiu, 2013)</w:t>
      </w:r>
      <w:r w:rsidRPr="4E7A5C02" w:rsidR="4E7A5C02">
        <w:rPr>
          <w:rFonts w:ascii="Arial" w:hAnsi="Arial" w:eastAsia="Arial" w:cs="Arial"/>
          <w:sz w:val="22"/>
          <w:szCs w:val="22"/>
        </w:rPr>
        <w:t>.</w:t>
      </w:r>
      <w:r w:rsidRPr="4E7A5C02" w:rsidR="150920FB">
        <w:rPr>
          <w:rFonts w:ascii="Arial" w:hAnsi="Arial" w:eastAsia="Arial" w:cs="Arial"/>
          <w:sz w:val="22"/>
          <w:szCs w:val="22"/>
        </w:rPr>
        <w:t xml:space="preserve"> The research has shown that </w:t>
      </w:r>
      <w:r w:rsidRPr="4E7A5C02" w:rsidR="150920FB">
        <w:rPr>
          <w:rFonts w:ascii="Arial" w:hAnsi="Arial" w:eastAsia="Arial" w:cs="Arial"/>
          <w:sz w:val="22"/>
          <w:szCs w:val="22"/>
        </w:rPr>
        <w:t>social and physical activities provide strength</w:t>
      </w:r>
      <w:r w:rsidRPr="4E7A5C02" w:rsidR="150920FB">
        <w:rPr>
          <w:rFonts w:ascii="Arial" w:hAnsi="Arial" w:eastAsia="Arial" w:cs="Arial"/>
          <w:sz w:val="22"/>
          <w:szCs w:val="22"/>
        </w:rPr>
        <w:t xml:space="preserve">, endurance, and balance, along with art and music, can all improve the lives for people with AD and their families </w:t>
      </w:r>
      <w:r w:rsidRPr="4E7A5C02" w:rsidR="4E7A5C02">
        <w:rPr>
          <w:rFonts w:ascii="Arial" w:hAnsi="Arial" w:eastAsia="Arial" w:cs="Arial"/>
          <w:sz w:val="22"/>
          <w:szCs w:val="22"/>
        </w:rPr>
        <w:t>(Young, Camic and Tischler, 2015).</w:t>
      </w:r>
      <w:r w:rsidRPr="4E7A5C02" w:rsidR="150920FB">
        <w:rPr>
          <w:rFonts w:ascii="Arial" w:hAnsi="Arial" w:eastAsia="Arial" w:cs="Arial"/>
          <w:sz w:val="22"/>
          <w:szCs w:val="22"/>
        </w:rPr>
        <w:t xml:space="preserve"> They can help avoid Alzheimer's-related apathy and</w:t>
      </w:r>
      <w:r w:rsidRPr="4E7A5C02" w:rsidR="4E7A5C02">
        <w:rPr>
          <w:rFonts w:ascii="Arial" w:hAnsi="Arial" w:eastAsia="Arial" w:cs="Arial"/>
          <w:sz w:val="22"/>
          <w:szCs w:val="22"/>
        </w:rPr>
        <w:t xml:space="preserve"> assist in reducing the need for medical </w:t>
      </w:r>
      <w:r w:rsidRPr="4E7A5C02" w:rsidR="4E7A5C02">
        <w:rPr>
          <w:rFonts w:ascii="Arial" w:hAnsi="Arial" w:eastAsia="Arial" w:cs="Arial"/>
          <w:sz w:val="22"/>
          <w:szCs w:val="22"/>
        </w:rPr>
        <w:t>relief</w:t>
      </w:r>
      <w:r w:rsidRPr="4E7A5C02" w:rsidR="4E7A5C02">
        <w:rPr>
          <w:rFonts w:ascii="Arial" w:hAnsi="Arial" w:eastAsia="Arial" w:cs="Arial"/>
          <w:sz w:val="22"/>
          <w:szCs w:val="22"/>
        </w:rPr>
        <w:t>.</w:t>
      </w:r>
      <w:r w:rsidRPr="4E7A5C02" w:rsidR="150920FB">
        <w:rPr>
          <w:rFonts w:ascii="Arial" w:hAnsi="Arial" w:eastAsia="Arial" w:cs="Arial"/>
          <w:sz w:val="22"/>
          <w:szCs w:val="22"/>
        </w:rPr>
        <w:t xml:space="preserve"> </w:t>
      </w:r>
    </w:p>
    <w:p w:rsidR="7F4CBF17" w:rsidP="4E7A5C02" w:rsidRDefault="7F4CBF17" w14:paraId="15A92687" w14:textId="6FFD1C90">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It is vital to keep older people active </w:t>
      </w:r>
      <w:r w:rsidRPr="4E7A5C02" w:rsidR="4E7A5C02">
        <w:rPr>
          <w:rFonts w:ascii="Arial" w:hAnsi="Arial" w:eastAsia="Arial" w:cs="Arial"/>
          <w:sz w:val="22"/>
          <w:szCs w:val="22"/>
        </w:rPr>
        <w:t>to</w:t>
      </w:r>
      <w:r w:rsidRPr="4E7A5C02" w:rsidR="4E7A5C02">
        <w:rPr>
          <w:rFonts w:ascii="Arial" w:hAnsi="Arial" w:eastAsia="Arial" w:cs="Arial"/>
          <w:sz w:val="22"/>
          <w:szCs w:val="22"/>
        </w:rPr>
        <w:t xml:space="preserve"> prevent them from becoming bedridden. Studies have shown that exercise programmes can help people with AD stay active for extended periods of time. Multiple forms of exercise to improve strength, agility, and balance may allow individuals to do everyday tasks independently for longer periods of time. (</w:t>
      </w:r>
      <w:r w:rsidRPr="4E7A5C02" w:rsidR="150920FB">
        <w:rPr>
          <w:rFonts w:ascii="Arial" w:hAnsi="Arial" w:eastAsia="Arial" w:cs="Arial"/>
          <w:sz w:val="22"/>
          <w:szCs w:val="22"/>
        </w:rPr>
        <w:t>National Center for biotechnology information, 2017).</w:t>
      </w:r>
    </w:p>
    <w:p w:rsidR="7F4CBF17" w:rsidP="4E7A5C02" w:rsidRDefault="7F4CBF17" w14:paraId="6765F664" w14:textId="72DF4D1A">
      <w:pPr>
        <w:pStyle w:val="Normal"/>
        <w:spacing w:line="360" w:lineRule="auto"/>
        <w:ind w:left="0"/>
        <w:jc w:val="both"/>
        <w:rPr>
          <w:rFonts w:ascii="Arial" w:hAnsi="Arial" w:eastAsia="Arial" w:cs="Arial"/>
          <w:sz w:val="22"/>
          <w:szCs w:val="22"/>
        </w:rPr>
      </w:pPr>
      <w:r w:rsidRPr="4E7A5C02" w:rsidR="150920FB">
        <w:rPr>
          <w:rFonts w:ascii="Arial" w:hAnsi="Arial" w:eastAsia="Arial" w:cs="Arial"/>
          <w:sz w:val="22"/>
          <w:szCs w:val="22"/>
        </w:rPr>
        <w:t>Emotion-focused treatment focuses on the feelings, values, and experiences of people with dementia. like Reminiscence therapy has been shown to improve mood, mental quality,</w:t>
      </w:r>
      <w:r w:rsidRPr="4E7A5C02" w:rsidR="4E7A5C02">
        <w:rPr>
          <w:rFonts w:ascii="Arial" w:hAnsi="Arial" w:eastAsia="Arial" w:cs="Arial"/>
          <w:sz w:val="22"/>
          <w:szCs w:val="22"/>
        </w:rPr>
        <w:t xml:space="preserve"> mental </w:t>
      </w:r>
      <w:r w:rsidRPr="4E7A5C02" w:rsidR="4E7A5C02">
        <w:rPr>
          <w:rFonts w:ascii="Arial" w:hAnsi="Arial" w:eastAsia="Arial" w:cs="Arial"/>
          <w:sz w:val="22"/>
          <w:szCs w:val="22"/>
        </w:rPr>
        <w:t>capacity</w:t>
      </w:r>
      <w:r w:rsidRPr="4E7A5C02" w:rsidR="4E7A5C02">
        <w:rPr>
          <w:rFonts w:ascii="Arial" w:hAnsi="Arial" w:eastAsia="Arial" w:cs="Arial"/>
          <w:sz w:val="22"/>
          <w:szCs w:val="22"/>
        </w:rPr>
        <w:t xml:space="preserve"> and overall </w:t>
      </w:r>
      <w:r w:rsidRPr="4E7A5C02" w:rsidR="4E7A5C02">
        <w:rPr>
          <w:rFonts w:ascii="Arial" w:hAnsi="Arial" w:eastAsia="Arial" w:cs="Arial"/>
          <w:sz w:val="22"/>
          <w:szCs w:val="22"/>
        </w:rPr>
        <w:t>essence</w:t>
      </w:r>
      <w:r w:rsidRPr="4E7A5C02" w:rsidR="4E7A5C02">
        <w:rPr>
          <w:rFonts w:ascii="Arial" w:hAnsi="Arial" w:eastAsia="Arial" w:cs="Arial"/>
          <w:sz w:val="22"/>
          <w:szCs w:val="22"/>
        </w:rPr>
        <w:t xml:space="preserve"> of life</w:t>
      </w:r>
      <w:r w:rsidRPr="4E7A5C02" w:rsidR="150920FB">
        <w:rPr>
          <w:rFonts w:ascii="Arial" w:hAnsi="Arial" w:eastAsia="Arial" w:cs="Arial"/>
          <w:sz w:val="22"/>
          <w:szCs w:val="22"/>
        </w:rPr>
        <w:t>, as well as reduce the psychological consequences of dementia, such as depression</w:t>
      </w:r>
      <w:r w:rsidRPr="4E7A5C02" w:rsidR="150920FB">
        <w:rPr>
          <w:rFonts w:ascii="Arial" w:hAnsi="Arial" w:eastAsia="Arial" w:cs="Arial"/>
          <w:sz w:val="22"/>
          <w:szCs w:val="22"/>
        </w:rPr>
        <w:t xml:space="preserve"> (National Center for biotechnology information, 2017).</w:t>
      </w:r>
    </w:p>
    <w:p w:rsidR="7F4CBF17" w:rsidP="4E7A5C02" w:rsidRDefault="7F4CBF17" w14:paraId="53132BAE" w14:textId="4FE2AB15">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Occupational and behavioural therapy is recommended to </w:t>
      </w:r>
      <w:r w:rsidRPr="4E7A5C02" w:rsidR="4E7A5C02">
        <w:rPr>
          <w:rFonts w:ascii="Arial" w:hAnsi="Arial" w:eastAsia="Arial" w:cs="Arial"/>
          <w:sz w:val="22"/>
          <w:szCs w:val="22"/>
        </w:rPr>
        <w:t>maintain</w:t>
      </w:r>
      <w:r w:rsidRPr="4E7A5C02" w:rsidR="4E7A5C02">
        <w:rPr>
          <w:rFonts w:ascii="Arial" w:hAnsi="Arial" w:eastAsia="Arial" w:cs="Arial"/>
          <w:sz w:val="22"/>
          <w:szCs w:val="22"/>
        </w:rPr>
        <w:t xml:space="preserve"> a safe home environment and to help the person and carer to cope with dementia symptoms </w:t>
      </w:r>
      <w:r w:rsidRPr="4E7A5C02" w:rsidR="4E7A5C02">
        <w:rPr>
          <w:rFonts w:ascii="Arial" w:hAnsi="Arial" w:eastAsia="Arial" w:cs="Arial"/>
          <w:sz w:val="22"/>
          <w:szCs w:val="22"/>
        </w:rPr>
        <w:t>(Frankenstein and Jahn, 2020). Other therapies can help the patients with coping with dementia such as, sensory, and animal assisted therapy (Takeda et al., 2012).</w:t>
      </w:r>
    </w:p>
    <w:p w:rsidR="7F4CBF17" w:rsidP="4E7A5C02" w:rsidRDefault="7F4CBF17" w14:paraId="4702C9CD" w14:textId="6A887D91">
      <w:pPr>
        <w:pStyle w:val="ListParagraph"/>
        <w:numPr>
          <w:ilvl w:val="0"/>
          <w:numId w:val="1"/>
        </w:numPr>
        <w:spacing w:line="360" w:lineRule="auto"/>
        <w:jc w:val="both"/>
        <w:rPr>
          <w:rFonts w:ascii="Calibri" w:hAnsi="Calibri" w:eastAsia="Calibri" w:cs="Calibri" w:asciiTheme="minorAscii" w:hAnsiTheme="minorAscii" w:eastAsiaTheme="minorAscii" w:cstheme="minorAscii"/>
          <w:sz w:val="22"/>
          <w:szCs w:val="22"/>
        </w:rPr>
      </w:pPr>
      <w:r w:rsidRPr="4E7A5C02" w:rsidR="7F4CBF17">
        <w:rPr>
          <w:rFonts w:ascii="Arial" w:hAnsi="Arial" w:eastAsia="Arial" w:cs="Arial"/>
          <w:sz w:val="22"/>
          <w:szCs w:val="22"/>
        </w:rPr>
        <w:t>Measurement and Rehabilitation</w:t>
      </w:r>
    </w:p>
    <w:p w:rsidR="7F4CBF17" w:rsidP="4E7A5C02" w:rsidRDefault="7F4CBF17" w14:paraId="3C0B2D9E" w14:textId="38B43C13">
      <w:pPr>
        <w:pStyle w:val="Normal"/>
        <w:spacing w:line="360" w:lineRule="auto"/>
        <w:ind w:left="0"/>
        <w:jc w:val="both"/>
        <w:rPr>
          <w:rFonts w:ascii="Arial" w:hAnsi="Arial" w:eastAsia="Arial" w:cs="Arial"/>
          <w:sz w:val="22"/>
          <w:szCs w:val="22"/>
          <w:highlight w:val="yellow"/>
        </w:rPr>
      </w:pPr>
      <w:r w:rsidRPr="4E7A5C02" w:rsidR="4E7A5C02">
        <w:rPr>
          <w:rFonts w:ascii="Arial" w:hAnsi="Arial" w:eastAsia="Arial" w:cs="Arial"/>
          <w:sz w:val="22"/>
          <w:szCs w:val="22"/>
        </w:rPr>
        <w:t>From the time of diagnosis, the service user will have a person-</w:t>
      </w:r>
      <w:r w:rsidRPr="4E7A5C02" w:rsidR="4E7A5C02">
        <w:rPr>
          <w:rFonts w:ascii="Arial" w:hAnsi="Arial" w:eastAsia="Arial" w:cs="Arial"/>
          <w:sz w:val="22"/>
          <w:szCs w:val="22"/>
        </w:rPr>
        <w:t>centred</w:t>
      </w:r>
      <w:r w:rsidRPr="4E7A5C02" w:rsidR="4E7A5C02">
        <w:rPr>
          <w:rFonts w:ascii="Arial" w:hAnsi="Arial" w:eastAsia="Arial" w:cs="Arial"/>
          <w:sz w:val="22"/>
          <w:szCs w:val="22"/>
        </w:rPr>
        <w:t xml:space="preserve"> plan for the care they require to live an independent and inclusive life, in which they and their families are involved in all decision-making. Because dementia is an incurable, chronic, and progressive disease, the only way to </w:t>
      </w:r>
      <w:r w:rsidRPr="4E7A5C02" w:rsidR="4E7A5C02">
        <w:rPr>
          <w:rFonts w:ascii="Arial" w:hAnsi="Arial" w:eastAsia="Arial" w:cs="Arial"/>
          <w:sz w:val="22"/>
          <w:szCs w:val="22"/>
        </w:rPr>
        <w:t>monitor</w:t>
      </w:r>
      <w:r w:rsidRPr="4E7A5C02" w:rsidR="4E7A5C02">
        <w:rPr>
          <w:rFonts w:ascii="Arial" w:hAnsi="Arial" w:eastAsia="Arial" w:cs="Arial"/>
          <w:sz w:val="22"/>
          <w:szCs w:val="22"/>
        </w:rPr>
        <w:t xml:space="preserve"> it is to conduct regular assessments to see how the person with dementia is doing, how prescribed and non-prescribed treatments are working, and whether there has been any further decline since the last assessment. 'Assessments of a person's motor and process skills should be considered. For measuring functional changes over time, the Dementia Questionnaire for Mentally Challenged Individuals and Dalton's Brief Praxis Test should be recognised </w:t>
      </w:r>
      <w:r w:rsidRPr="4E7A5C02" w:rsidR="150920FB">
        <w:rPr>
          <w:rFonts w:ascii="Arial" w:hAnsi="Arial" w:eastAsia="Arial" w:cs="Arial"/>
          <w:sz w:val="22"/>
          <w:szCs w:val="22"/>
        </w:rPr>
        <w:t>(The British Psychological Society; SCIE, 2007).</w:t>
      </w:r>
      <w:r w:rsidRPr="4E7A5C02" w:rsidR="150920FB">
        <w:rPr>
          <w:rFonts w:ascii="Arial" w:hAnsi="Arial" w:eastAsia="Arial" w:cs="Arial"/>
          <w:sz w:val="22"/>
          <w:szCs w:val="22"/>
        </w:rPr>
        <w:t xml:space="preserve"> </w:t>
      </w:r>
      <w:r w:rsidRPr="4E7A5C02" w:rsidR="150920FB">
        <w:rPr>
          <w:rFonts w:ascii="Arial" w:hAnsi="Arial" w:eastAsia="Arial" w:cs="Arial"/>
          <w:sz w:val="22"/>
          <w:szCs w:val="22"/>
        </w:rPr>
        <w:t xml:space="preserve">The following outcome measures will indeed </w:t>
      </w:r>
      <w:r w:rsidRPr="4E7A5C02" w:rsidR="4E7A5C02">
        <w:rPr>
          <w:rFonts w:ascii="Arial" w:hAnsi="Arial" w:eastAsia="Arial" w:cs="Arial"/>
          <w:sz w:val="22"/>
          <w:szCs w:val="22"/>
        </w:rPr>
        <w:t xml:space="preserve">be factored: Severity and response to treatment measures, including the respective assessment techniques: </w:t>
      </w:r>
    </w:p>
    <w:p w:rsidR="7F4CBF17" w:rsidP="4E7A5C02" w:rsidRDefault="7F4CBF17" w14:paraId="790369BF" w14:textId="583BA5A5">
      <w:pPr>
        <w:pStyle w:val="Normal"/>
        <w:spacing w:line="360" w:lineRule="auto"/>
        <w:ind w:left="0"/>
        <w:jc w:val="both"/>
        <w:rPr>
          <w:rFonts w:ascii="Arial" w:hAnsi="Arial" w:eastAsia="Arial" w:cs="Arial"/>
          <w:sz w:val="22"/>
          <w:szCs w:val="22"/>
          <w:highlight w:val="yellow"/>
        </w:rPr>
      </w:pPr>
      <w:r w:rsidRPr="4E7A5C02" w:rsidR="150920FB">
        <w:rPr>
          <w:rFonts w:ascii="Arial" w:hAnsi="Arial" w:eastAsia="Arial" w:cs="Arial"/>
          <w:sz w:val="22"/>
          <w:szCs w:val="22"/>
        </w:rPr>
        <w:t xml:space="preserve">Cognitive subscale of the Alzheimer's Disease Assessment Scale, Progressive Deterioration Scale, Global deterioration scale, Clinical Global Impression of Change\s, Clinician Interview-Based Change Assessment (CIBIC and CIBIC-plus), Behavioural symptoms (for example, </w:t>
      </w:r>
      <w:r w:rsidRPr="4E7A5C02" w:rsidR="4E7A5C02">
        <w:rPr>
          <w:rFonts w:ascii="Arial" w:hAnsi="Arial" w:eastAsia="Arial" w:cs="Arial"/>
          <w:sz w:val="22"/>
          <w:szCs w:val="22"/>
        </w:rPr>
        <w:t>Neuropsychiatric inventory, death, ability to stay independent, probability of admittance to residential/nursing care, as well as  health-related quality of life of the service users and carers</w:t>
      </w:r>
      <w:r w:rsidRPr="4E7A5C02" w:rsidR="150920FB">
        <w:rPr>
          <w:rFonts w:ascii="Arial" w:hAnsi="Arial" w:eastAsia="Arial" w:cs="Arial"/>
          <w:sz w:val="22"/>
          <w:szCs w:val="22"/>
        </w:rPr>
        <w:t xml:space="preserve"> (analyses ought to be performed individually for patients separate and for patients and caregivers combine</w:t>
      </w:r>
      <w:r w:rsidRPr="4E7A5C02" w:rsidR="150920FB">
        <w:rPr>
          <w:rFonts w:ascii="Arial" w:hAnsi="Arial" w:eastAsia="Arial" w:cs="Arial"/>
          <w:sz w:val="22"/>
          <w:szCs w:val="22"/>
        </w:rPr>
        <w:t>d)</w:t>
      </w:r>
      <w:r w:rsidRPr="4E7A5C02" w:rsidR="150920FB">
        <w:rPr>
          <w:rFonts w:ascii="Arial" w:hAnsi="Arial" w:eastAsia="Arial" w:cs="Arial"/>
          <w:sz w:val="22"/>
          <w:szCs w:val="22"/>
        </w:rPr>
        <w:t xml:space="preserve"> </w:t>
      </w:r>
      <w:r w:rsidRPr="4E7A5C02" w:rsidR="150920FB">
        <w:rPr>
          <w:rFonts w:ascii="Arial" w:hAnsi="Arial" w:eastAsia="Arial" w:cs="Arial"/>
          <w:sz w:val="22"/>
          <w:szCs w:val="22"/>
        </w:rPr>
        <w:t>(Tucker, 2009).</w:t>
      </w:r>
    </w:p>
    <w:p w:rsidR="4E7A5C02" w:rsidP="4E7A5C02" w:rsidRDefault="4E7A5C02" w14:paraId="62B6D9DA" w14:textId="02E2A946">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The mini mental state examination (MMSE) is a score-based test that is often used to assess many mental abilities, including memory, attention, language, dementia, and its progression (Alzheimer's Society,2019). When utilising the MMSE to diagnose moderate neurological disease, healthcare providers should remember to ensure that patients from different ethnic groups (especially those from diverse cultural upbringings) and people with disabilities have </w:t>
      </w:r>
      <w:r w:rsidRPr="4E7A5C02" w:rsidR="4E7A5C02">
        <w:rPr>
          <w:rFonts w:ascii="Arial" w:hAnsi="Arial" w:eastAsia="Arial" w:cs="Arial"/>
          <w:sz w:val="22"/>
          <w:szCs w:val="22"/>
        </w:rPr>
        <w:t>fair</w:t>
      </w:r>
      <w:r w:rsidRPr="4E7A5C02" w:rsidR="4E7A5C02">
        <w:rPr>
          <w:rFonts w:ascii="Arial" w:hAnsi="Arial" w:eastAsia="Arial" w:cs="Arial"/>
          <w:sz w:val="22"/>
          <w:szCs w:val="22"/>
        </w:rPr>
        <w:t xml:space="preserve"> access to therapy.</w:t>
      </w:r>
    </w:p>
    <w:p w:rsidR="7F4CBF17" w:rsidP="4E7A5C02" w:rsidRDefault="7F4CBF17" w14:paraId="09903493" w14:textId="0377EFF9">
      <w:pPr>
        <w:pStyle w:val="ListParagraph"/>
        <w:numPr>
          <w:ilvl w:val="0"/>
          <w:numId w:val="1"/>
        </w:numPr>
        <w:spacing w:line="360" w:lineRule="auto"/>
        <w:jc w:val="both"/>
        <w:rPr>
          <w:rFonts w:ascii="Arial" w:hAnsi="Arial" w:eastAsia="Arial" w:cs="Arial"/>
          <w:sz w:val="22"/>
          <w:szCs w:val="22"/>
        </w:rPr>
      </w:pPr>
      <w:r w:rsidRPr="4E7A5C02" w:rsidR="7F4CBF17">
        <w:rPr>
          <w:rFonts w:ascii="Arial" w:hAnsi="Arial" w:eastAsia="Arial" w:cs="Arial"/>
          <w:sz w:val="22"/>
          <w:szCs w:val="22"/>
        </w:rPr>
        <w:t>Recommendations</w:t>
      </w:r>
    </w:p>
    <w:p w:rsidR="4E7A5C02" w:rsidP="4E7A5C02" w:rsidRDefault="4E7A5C02" w14:paraId="3A25D9B4" w14:textId="1347CF02">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Recommendations for the future practice with people who are diagnosed with dementia is to have person-centred and ability focused care, implemented within dementia cares’ core principles. Ensuring that the care they </w:t>
      </w:r>
      <w:r w:rsidRPr="4E7A5C02" w:rsidR="4E7A5C02">
        <w:rPr>
          <w:rFonts w:ascii="Arial" w:hAnsi="Arial" w:eastAsia="Arial" w:cs="Arial"/>
          <w:sz w:val="22"/>
          <w:szCs w:val="22"/>
        </w:rPr>
        <w:t>need</w:t>
      </w:r>
      <w:r w:rsidRPr="4E7A5C02" w:rsidR="4E7A5C02">
        <w:rPr>
          <w:rFonts w:ascii="Arial" w:hAnsi="Arial" w:eastAsia="Arial" w:cs="Arial"/>
          <w:sz w:val="22"/>
          <w:szCs w:val="22"/>
        </w:rPr>
        <w:t xml:space="preserve"> has been implemented with the decisions of the patient and families. Provisions need to be in place that will support the individuals with a’ landscape that allows them to live a meaningful and </w:t>
      </w:r>
      <w:r w:rsidRPr="4E7A5C02" w:rsidR="4E7A5C02">
        <w:rPr>
          <w:rFonts w:ascii="Arial" w:hAnsi="Arial" w:eastAsia="Arial" w:cs="Arial"/>
          <w:sz w:val="22"/>
          <w:szCs w:val="22"/>
        </w:rPr>
        <w:t>maintain</w:t>
      </w:r>
      <w:r w:rsidRPr="4E7A5C02" w:rsidR="4E7A5C02">
        <w:rPr>
          <w:rFonts w:ascii="Arial" w:hAnsi="Arial" w:eastAsia="Arial" w:cs="Arial"/>
          <w:sz w:val="22"/>
          <w:szCs w:val="22"/>
        </w:rPr>
        <w:t xml:space="preserve"> a fulfilling life’ (Crisis Prevention Institute, 2015). The need to improve the quality of care for service users as the dementia population grows, we must adapt our world to accommodate its citizens' needs and experiences, </w:t>
      </w:r>
      <w:r w:rsidRPr="4E7A5C02" w:rsidR="4E7A5C02">
        <w:rPr>
          <w:rFonts w:ascii="Arial" w:hAnsi="Arial" w:eastAsia="Arial" w:cs="Arial"/>
          <w:sz w:val="22"/>
          <w:szCs w:val="22"/>
        </w:rPr>
        <w:t>essentially promoting</w:t>
      </w:r>
      <w:r w:rsidRPr="4E7A5C02" w:rsidR="4E7A5C02">
        <w:rPr>
          <w:rFonts w:ascii="Arial" w:hAnsi="Arial" w:eastAsia="Arial" w:cs="Arial"/>
          <w:sz w:val="22"/>
          <w:szCs w:val="22"/>
        </w:rPr>
        <w:t xml:space="preserve"> a positive Dementia Capable Society. The UK could foster practices from other countries such as the Netherlands, they have a dementia village. The dementia Village called Hogeweyk, the residents all have mild to severe dementia, are treated as a person with dementia not a demented person, the village promotes person-centred care, independency and support having the person live with dementia in the village socially accepted and integrated with superb healthcare. Looking after them from the social model in hand with the medical model (Weller, 2017). The village </w:t>
      </w:r>
      <w:r w:rsidRPr="4E7A5C02" w:rsidR="4E7A5C02">
        <w:rPr>
          <w:rFonts w:ascii="Arial" w:hAnsi="Arial" w:eastAsia="Arial" w:cs="Arial"/>
          <w:sz w:val="22"/>
          <w:szCs w:val="22"/>
        </w:rPr>
        <w:t>seems to be</w:t>
      </w:r>
      <w:r w:rsidRPr="4E7A5C02" w:rsidR="4E7A5C02">
        <w:rPr>
          <w:rFonts w:ascii="Arial" w:hAnsi="Arial" w:eastAsia="Arial" w:cs="Arial"/>
          <w:sz w:val="22"/>
          <w:szCs w:val="22"/>
        </w:rPr>
        <w:t xml:space="preserve"> enabling the residents to meet the Maslow hierarchy of needs and improving their quality of life.</w:t>
      </w:r>
      <w:r w:rsidRPr="4E7A5C02" w:rsidR="4E7A5C02">
        <w:rPr>
          <w:rFonts w:ascii="Arial" w:hAnsi="Arial" w:eastAsia="Arial" w:cs="Arial"/>
          <w:color w:val="FF0000"/>
          <w:sz w:val="22"/>
          <w:szCs w:val="22"/>
        </w:rPr>
        <w:t xml:space="preserve"> </w:t>
      </w:r>
    </w:p>
    <w:p w:rsidR="4E7A5C02" w:rsidP="4E7A5C02" w:rsidRDefault="4E7A5C02" w14:paraId="3CC6DA2D" w14:textId="29B57F61">
      <w:pPr>
        <w:pStyle w:val="Normal"/>
        <w:spacing w:line="360" w:lineRule="auto"/>
        <w:ind w:left="0"/>
        <w:jc w:val="both"/>
        <w:rPr>
          <w:rFonts w:ascii="Arial" w:hAnsi="Arial" w:eastAsia="Arial" w:cs="Arial"/>
          <w:sz w:val="22"/>
          <w:szCs w:val="22"/>
        </w:rPr>
      </w:pPr>
      <w:r w:rsidRPr="4E7A5C02" w:rsidR="4E7A5C02">
        <w:rPr>
          <w:rFonts w:ascii="Arial" w:hAnsi="Arial" w:eastAsia="Arial" w:cs="Arial"/>
          <w:sz w:val="22"/>
          <w:szCs w:val="22"/>
        </w:rPr>
        <w:t xml:space="preserve">More support from the NHS and government in further training and developments that are needed across all healthcare sectors that support and treat people and families. Ensuring that the staff are competent in delivering support and relevant information to patients and family, especially in the Black and Asian Minority Ethnic (BAME) groups as they are being disproportionately failed due to the cultural indifferences and stereotypes, as well as the support groups available for the BAME communities are rare and underrepresented. </w:t>
      </w:r>
      <w:r w:rsidRPr="4E7A5C02" w:rsidR="4E7A5C02">
        <w:rPr>
          <w:rFonts w:ascii="Arial" w:hAnsi="Arial" w:eastAsia="Arial" w:cs="Arial"/>
          <w:sz w:val="22"/>
          <w:szCs w:val="22"/>
        </w:rPr>
        <w:t>(House of commons, 2013)</w:t>
      </w:r>
    </w:p>
    <w:p w:rsidR="4E7A5C02" w:rsidP="4E7A5C02" w:rsidRDefault="4E7A5C02" w14:paraId="104828EC" w14:textId="784338AB">
      <w:pPr>
        <w:pStyle w:val="Normal"/>
        <w:spacing w:line="360" w:lineRule="auto"/>
        <w:ind w:left="0"/>
        <w:jc w:val="both"/>
        <w:rPr>
          <w:rFonts w:ascii="Arial" w:hAnsi="Arial" w:eastAsia="Arial" w:cs="Arial"/>
          <w:color w:val="FF0000"/>
          <w:sz w:val="22"/>
          <w:szCs w:val="22"/>
        </w:rPr>
      </w:pPr>
      <w:r w:rsidRPr="4E7A5C02" w:rsidR="4E7A5C02">
        <w:rPr>
          <w:rFonts w:ascii="Arial" w:hAnsi="Arial" w:eastAsia="Arial" w:cs="Arial"/>
          <w:sz w:val="22"/>
          <w:szCs w:val="22"/>
        </w:rPr>
        <w:t xml:space="preserve">People need to be made more aware of dementia and be able to receive earlier diagnosis’s, the need for more involvement in research to find a possible cure for dementia patients. Is recommended that if a person is diagnosed early, they will consider being a part of the ongoing clinical trials as there is not enough active participants within the trial periods of new innovative medication. More awareness with increased funding can be made through advocacy with charities and organisations such as Dementia </w:t>
      </w:r>
      <w:r w:rsidRPr="4E7A5C02" w:rsidR="4E7A5C02">
        <w:rPr>
          <w:rFonts w:ascii="Arial" w:hAnsi="Arial" w:eastAsia="Arial" w:cs="Arial"/>
          <w:sz w:val="22"/>
          <w:szCs w:val="22"/>
        </w:rPr>
        <w:t xml:space="preserve">Friends </w:t>
      </w:r>
      <w:r w:rsidRPr="4E7A5C02" w:rsidR="4E7A5C02">
        <w:rPr>
          <w:rFonts w:ascii="Arial" w:hAnsi="Arial" w:eastAsia="Arial" w:cs="Arial"/>
          <w:sz w:val="22"/>
          <w:szCs w:val="22"/>
        </w:rPr>
        <w:t>(Dementia friends, 2017)</w:t>
      </w:r>
      <w:r w:rsidRPr="4E7A5C02" w:rsidR="4E7A5C02">
        <w:rPr>
          <w:rFonts w:ascii="Arial" w:hAnsi="Arial" w:eastAsia="Arial" w:cs="Arial"/>
          <w:sz w:val="22"/>
          <w:szCs w:val="22"/>
        </w:rPr>
        <w:t xml:space="preserve"> </w:t>
      </w:r>
    </w:p>
    <w:p w:rsidR="7F4CBF17" w:rsidP="4E7A5C02" w:rsidRDefault="7F4CBF17" w14:paraId="105F57DB" w14:textId="718A6460">
      <w:pPr>
        <w:pStyle w:val="ListParagraph"/>
        <w:numPr>
          <w:ilvl w:val="0"/>
          <w:numId w:val="1"/>
        </w:numPr>
        <w:spacing w:line="360" w:lineRule="auto"/>
        <w:jc w:val="both"/>
        <w:rPr>
          <w:rFonts w:ascii="Arial" w:hAnsi="Arial" w:eastAsia="Arial" w:cs="Arial"/>
          <w:sz w:val="22"/>
          <w:szCs w:val="22"/>
        </w:rPr>
      </w:pPr>
      <w:r w:rsidRPr="4E7A5C02" w:rsidR="7F4CBF17">
        <w:rPr>
          <w:rFonts w:ascii="Arial" w:hAnsi="Arial" w:eastAsia="Arial" w:cs="Arial"/>
          <w:sz w:val="22"/>
          <w:szCs w:val="22"/>
        </w:rPr>
        <w:t>Conclusions</w:t>
      </w:r>
    </w:p>
    <w:p w:rsidR="4E7A5C02" w:rsidP="4E7A5C02" w:rsidRDefault="4E7A5C02" w14:paraId="7FFF676F" w14:textId="754FCD76">
      <w:pPr>
        <w:pStyle w:val="Normal"/>
        <w:bidi w:val="0"/>
        <w:spacing w:before="0" w:beforeAutospacing="off" w:after="160" w:afterAutospacing="off" w:line="360" w:lineRule="auto"/>
        <w:ind w:left="0" w:right="0"/>
        <w:jc w:val="both"/>
        <w:rPr>
          <w:rFonts w:ascii="Arial" w:hAnsi="Arial" w:eastAsia="Arial" w:cs="Arial"/>
          <w:sz w:val="22"/>
          <w:szCs w:val="22"/>
        </w:rPr>
      </w:pPr>
      <w:r w:rsidRPr="4E7A5C02" w:rsidR="4E7A5C02">
        <w:rPr>
          <w:rFonts w:ascii="Arial" w:hAnsi="Arial" w:eastAsia="Arial" w:cs="Arial"/>
          <w:sz w:val="22"/>
          <w:szCs w:val="22"/>
        </w:rPr>
        <w:t xml:space="preserve">Dementia is on an upward rise, early diagnosis is a need for the patients, to enable them to fulfil their desires in a competent way, putting all their wishes and affairs in order, knowing all that will come with the disease as they deteriorate. The diagnosis process can be long and complicated for the patient as well as carer, a lot for someone to understand. Health and social care need to collectively support the individual throughout all the stages of dementia, not just from the medical model but also from the social model. A more cohesive approach in dealing with patients and family to </w:t>
      </w:r>
      <w:r w:rsidRPr="4E7A5C02" w:rsidR="4E7A5C02">
        <w:rPr>
          <w:rFonts w:ascii="Arial" w:hAnsi="Arial" w:eastAsia="Arial" w:cs="Arial"/>
          <w:sz w:val="22"/>
          <w:szCs w:val="22"/>
        </w:rPr>
        <w:t>maintain</w:t>
      </w:r>
      <w:r w:rsidRPr="4E7A5C02" w:rsidR="4E7A5C02">
        <w:rPr>
          <w:rFonts w:ascii="Arial" w:hAnsi="Arial" w:eastAsia="Arial" w:cs="Arial"/>
          <w:sz w:val="22"/>
          <w:szCs w:val="22"/>
        </w:rPr>
        <w:t xml:space="preserve"> an inclusive environment to live in, and support with the ongoing assessments as the disease advances. There are still a lot of barriers to overcome into finding a successful cure for dementia so a lot </w:t>
      </w:r>
      <w:r w:rsidRPr="4E7A5C02" w:rsidR="4E7A5C02">
        <w:rPr>
          <w:rFonts w:ascii="Arial" w:hAnsi="Arial" w:eastAsia="Arial" w:cs="Arial"/>
          <w:sz w:val="22"/>
          <w:szCs w:val="22"/>
        </w:rPr>
        <w:t>more</w:t>
      </w:r>
      <w:r w:rsidRPr="4E7A5C02" w:rsidR="4E7A5C02">
        <w:rPr>
          <w:rFonts w:ascii="Arial" w:hAnsi="Arial" w:eastAsia="Arial" w:cs="Arial"/>
          <w:sz w:val="22"/>
          <w:szCs w:val="22"/>
        </w:rPr>
        <w:t xml:space="preserve"> awareness is needed to get people involved in the clinical trial especially at the</w:t>
      </w:r>
      <w:r w:rsidRPr="4E7A5C02" w:rsidR="4E7A5C02">
        <w:rPr>
          <w:rFonts w:ascii="Arial" w:hAnsi="Arial" w:eastAsia="Arial" w:cs="Arial"/>
          <w:sz w:val="22"/>
          <w:szCs w:val="22"/>
        </w:rPr>
        <w:t xml:space="preserve"> 3</w:t>
      </w:r>
      <w:r w:rsidRPr="4E7A5C02" w:rsidR="4E7A5C02">
        <w:rPr>
          <w:rFonts w:ascii="Arial" w:hAnsi="Arial" w:eastAsia="Arial" w:cs="Arial"/>
          <w:sz w:val="22"/>
          <w:szCs w:val="22"/>
          <w:vertAlign w:val="superscript"/>
        </w:rPr>
        <w:t>rd</w:t>
      </w:r>
      <w:r w:rsidRPr="4E7A5C02" w:rsidR="4E7A5C02">
        <w:rPr>
          <w:rFonts w:ascii="Arial" w:hAnsi="Arial" w:eastAsia="Arial" w:cs="Arial"/>
          <w:sz w:val="22"/>
          <w:szCs w:val="22"/>
        </w:rPr>
        <w:t xml:space="preserve"> phases.</w:t>
      </w:r>
    </w:p>
    <w:p w:rsidR="4E7A5C02" w:rsidP="4E7A5C02" w:rsidRDefault="4E7A5C02" w14:paraId="4FE61847" w14:textId="16BC0507">
      <w:pPr>
        <w:pStyle w:val="Normal"/>
        <w:spacing w:line="360" w:lineRule="auto"/>
        <w:ind w:left="0"/>
        <w:rPr>
          <w:rFonts w:ascii="Arial" w:hAnsi="Arial" w:eastAsia="Arial" w:cs="Arial"/>
          <w:sz w:val="22"/>
          <w:szCs w:val="22"/>
        </w:rPr>
      </w:pPr>
    </w:p>
    <w:p w:rsidR="150920FB" w:rsidP="4E7A5C02" w:rsidRDefault="150920FB" w14:paraId="59A9239A" w14:textId="4D2731A2">
      <w:pPr>
        <w:rPr>
          <w:rFonts w:ascii="Arial" w:hAnsi="Arial" w:eastAsia="Arial" w:cs="Arial"/>
        </w:rPr>
      </w:pPr>
      <w:r w:rsidRPr="4E7A5C02">
        <w:rPr>
          <w:rFonts w:ascii="Arial" w:hAnsi="Arial" w:eastAsia="Arial" w:cs="Arial"/>
        </w:rPr>
        <w:br w:type="page"/>
      </w:r>
    </w:p>
    <w:p w:rsidR="7F4CBF17" w:rsidP="4E7A5C02" w:rsidRDefault="7F4CBF17" w14:paraId="13066801" w14:textId="6AAE7355">
      <w:pPr>
        <w:pStyle w:val="ListParagraph"/>
        <w:numPr>
          <w:ilvl w:val="0"/>
          <w:numId w:val="1"/>
        </w:numPr>
        <w:spacing w:line="360" w:lineRule="auto"/>
        <w:rPr>
          <w:rFonts w:ascii="Arial" w:hAnsi="Arial" w:eastAsia="Arial" w:cs="Arial"/>
          <w:sz w:val="22"/>
          <w:szCs w:val="22"/>
        </w:rPr>
      </w:pPr>
      <w:r w:rsidRPr="4E7A5C02" w:rsidR="7F4CBF17">
        <w:rPr>
          <w:rFonts w:ascii="Arial" w:hAnsi="Arial" w:eastAsia="Arial" w:cs="Arial"/>
          <w:sz w:val="22"/>
          <w:szCs w:val="22"/>
        </w:rPr>
        <w:t>References</w:t>
      </w:r>
    </w:p>
    <w:p w:rsidR="4E7A5C02" w:rsidP="4E7A5C02" w:rsidRDefault="4E7A5C02" w14:paraId="5ECE60A4" w14:textId="0A1982A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Age UK. (</w:t>
      </w:r>
      <w:bookmarkStart w:name="_Int_sklwpHEc" w:id="1608137178"/>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no</w:t>
      </w:r>
      <w:bookmarkEnd w:id="1608137178"/>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date).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Dementia: Diagnosis and treatment</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4048f5d4529d4431">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https://www.ageuk.org.uk/information-advice/health-wellbeing/conditions-illnesses/dementia/diagnosis-and-treatment/</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2F5EB96C" w14:textId="303E8F6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Association (2016).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What Is Dementia?</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Alzheimer’s Disease and Dementia. Available at: </w:t>
      </w:r>
      <w:hyperlink r:id="R22125e1e5f3040b6">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https://www.alz.org/alzheimers-dementia/what-is-dementia</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5832BE78" w14:textId="5CCEC5D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Association (2021).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Aducanumab Approved for Treatment of Alzheimer’s Disease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Alzheimer’s Disease and Dementia. Available at: </w:t>
      </w:r>
      <w:hyperlink r:id="Rbd27a8e3000d4b71">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https://www.alz.org/alzheimers-dementia/treatments/aducanumab</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(Accessed, 28 Mar. 2022).</w:t>
      </w:r>
    </w:p>
    <w:p w:rsidR="4E7A5C02" w:rsidP="4E7A5C02" w:rsidRDefault="4E7A5C02" w14:paraId="7416CDEC" w14:textId="658BBAF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Research UK (2016a).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Different types</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 xml:space="preserve"> of dementia | Dementia Statistics Hub</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Dementia Statistics Hub. Available at: </w:t>
      </w:r>
      <w:hyperlink r:id="R2ddb34f86bcf4037">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https://www.dementiastatistics.org/statistics/different-types-of-dementia/</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61D5291C" w14:textId="4C41BF9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Research UK (2016b).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Prevalence by gender in the UK | Dementia Statistics Hub</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Dementia Statistics Hub. Available at: </w:t>
      </w:r>
      <w:hyperlink r:id="R855a0c27c3504d84">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https://www.dementiastatistics.org/statistics/prevalence-by-gender-in-the-uk/</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37B7DCCB" w14:textId="7556398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Research UK. (2021).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Aducanumab: Where do we go from here? - Alzheimer’s Research UK</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8f7fa36f49b341cc">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https://www.alzheimersresearchuk.org/blog/aducanumab-where-do-we-go-from-here/</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March. 2022).</w:t>
      </w:r>
    </w:p>
    <w:p w:rsidR="4E7A5C02" w:rsidP="4E7A5C02" w:rsidRDefault="4E7A5C02" w14:paraId="6F958C14" w14:textId="0519A2E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Research UK. (2015).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Solanezumab: Is the first disease-modifying treatment for Alzheimer’s on the horizon?</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8c44b57403c24bd2">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https://www.alzheimersresearchuk.org/blog/solanezumab/</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7 April 2022).</w:t>
      </w:r>
    </w:p>
    <w:p w:rsidR="4E7A5C02" w:rsidP="4E7A5C02" w:rsidRDefault="4E7A5C02" w14:paraId="6DF8721E" w14:textId="07DB585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Society (2019a).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The MMSE Test</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Alzheimer’s Society. Available at: </w:t>
      </w:r>
      <w:hyperlink r:id="R91453fa33cfe4649">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https://www.alzheimers.org.uk/about-dementia/symptoms-and-diagnosis/diagnosis/mmse-test</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March. 2022).</w:t>
      </w:r>
    </w:p>
    <w:p w:rsidR="4E7A5C02" w:rsidP="4E7A5C02" w:rsidRDefault="4E7A5C02" w14:paraId="1103883A" w14:textId="17B8DEA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Society. (2019b).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Black, Asian and minority ethnic communities and dementia research</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844ae8f05e504eb3">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https://www.alzheimers.org.uk/for-researchers/black-asian-and-minority-ethnic-communities-and-dementia-research</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685E9DBB" w14:textId="0F5F4AA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a9pFJCEW" w:id="1531527673"/>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American Psychiatric Association (2013) Diagnostic and Statistical Manual of Mental Disorders.</w:t>
      </w:r>
      <w:bookmarkEnd w:id="1531527673"/>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Diagnostic and Statistical Manual of Mental Disorders 5(5)</w:t>
      </w:r>
    </w:p>
    <w:p w:rsidR="4E7A5C02" w:rsidP="4E7A5C02" w:rsidRDefault="4E7A5C02" w14:paraId="08A1569F" w14:textId="4E07599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Berg-Weger, M. and Stewart, D.B. (2017). Non-Pharmacologic Interventions for Persons with Dementia.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Missouri Medicine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114(2), pp.116–119. Available at: </w:t>
      </w:r>
      <w:hyperlink r:id="R8e5c8f42b3764532">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https://www.ncbi.nlm.nih.gov/pmc/articles/PMC6140014/</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March. 2022).</w:t>
      </w:r>
    </w:p>
    <w:p w:rsidR="4E7A5C02" w:rsidP="4E7A5C02" w:rsidRDefault="4E7A5C02" w14:paraId="2B79AB68" w14:textId="773AC7E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Carter, D.B. (2005). The Interaction of Amyloid-β with ApoE.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Subcellular Biochemistry</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pp.255–272.</w:t>
      </w:r>
    </w:p>
    <w:p w:rsidR="4E7A5C02" w:rsidP="4E7A5C02" w:rsidRDefault="4E7A5C02" w14:paraId="5C6EDDF0" w14:textId="0367714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 xml:space="preserve">Chiu, M. (2013). Improving caregiving competence, stress coping, and mental well-being in informal dementia carers. </w:t>
      </w:r>
      <w:r w:rsidRPr="4E7A5C02" w:rsidR="4E7A5C02">
        <w:rPr>
          <w:rFonts w:ascii="Arial" w:hAnsi="Arial" w:eastAsia="Arial" w:cs="Arial"/>
          <w:b w:val="0"/>
          <w:bCs w:val="0"/>
          <w:i w:val="1"/>
          <w:iCs w:val="1"/>
          <w:caps w:val="0"/>
          <w:smallCaps w:val="0"/>
          <w:noProof w:val="0"/>
          <w:color w:val="000000" w:themeColor="text1" w:themeTint="FF" w:themeShade="FF"/>
          <w:sz w:val="24"/>
          <w:szCs w:val="24"/>
          <w:lang w:val="en-GB"/>
        </w:rPr>
        <w:t>World Journal of Psychiatry</w:t>
      </w: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 3(3), p.65.</w:t>
      </w:r>
    </w:p>
    <w:p w:rsidR="4E7A5C02" w:rsidP="4E7A5C02" w:rsidRDefault="4E7A5C02" w14:paraId="38087F65" w14:textId="20A85B2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lQryonmL" w:id="1409861145"/>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Clare, L., Wilson, B.A., Carter, G., Breen, K., Gosses, A. and Hodges, J.R., 2000.</w:t>
      </w:r>
      <w:bookmarkEnd w:id="1409861145"/>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Intervening with everyday memory problems in dementia of Alzheimer type: an errorless learning approach.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Journal of Clinical and experimental Neuropsychology</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22</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(1), pp.132-146.</w:t>
      </w:r>
    </w:p>
    <w:p w:rsidR="4E7A5C02" w:rsidP="4E7A5C02" w:rsidRDefault="4E7A5C02" w14:paraId="4B555B6F" w14:textId="799A67C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Cleveland Clinic. (2014).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What Is Dementia (Forgetfulness) &amp; The Types of Dementia | Cleveland Clinic</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7e6ac9df135345c4">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https://my.clevelandclinic.org/health/diseases/9170-dementia</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April 2022).</w:t>
      </w:r>
    </w:p>
    <w:p w:rsidR="4E7A5C02" w:rsidP="4E7A5C02" w:rsidRDefault="4E7A5C02" w14:paraId="1EC20313" w14:textId="76B9494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Crisis Prevention Institute. (2015).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Dementia Care Best Practices and Why They Matter</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8e7120f3ac94966">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https://www.crisisprevention.com/Blog/Dementia-Care-Best-Practices</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April 2022).</w:t>
      </w:r>
    </w:p>
    <w:p w:rsidR="4E7A5C02" w:rsidP="4E7A5C02" w:rsidRDefault="4E7A5C02" w14:paraId="33943017" w14:textId="53408095">
      <w:pPr>
        <w:spacing w:line="360" w:lineRule="auto"/>
        <w:jc w:val="left"/>
        <w:rPr>
          <w:rFonts w:ascii="Arial" w:hAnsi="Arial" w:eastAsia="Arial" w:cs="Arial"/>
          <w:noProof w:val="0"/>
          <w:sz w:val="24"/>
          <w:szCs w:val="24"/>
          <w:lang w:val="en-GB"/>
        </w:rPr>
      </w:pPr>
      <w:r w:rsidRPr="4E7A5C02" w:rsidR="4E7A5C02">
        <w:rPr>
          <w:rFonts w:ascii="Arial" w:hAnsi="Arial" w:eastAsia="Arial" w:cs="Arial"/>
          <w:noProof w:val="0"/>
          <w:sz w:val="24"/>
          <w:szCs w:val="24"/>
          <w:lang w:val="en-GB"/>
        </w:rPr>
        <w:t xml:space="preserve">Dementia friends (2017). </w:t>
      </w:r>
      <w:r w:rsidRPr="4E7A5C02" w:rsidR="4E7A5C02">
        <w:rPr>
          <w:rFonts w:ascii="Arial" w:hAnsi="Arial" w:eastAsia="Arial" w:cs="Arial"/>
          <w:i w:val="1"/>
          <w:iCs w:val="1"/>
          <w:noProof w:val="0"/>
          <w:sz w:val="24"/>
          <w:szCs w:val="24"/>
          <w:lang w:val="en-GB"/>
        </w:rPr>
        <w:t>this is basic</w:t>
      </w:r>
      <w:r w:rsidRPr="4E7A5C02" w:rsidR="4E7A5C02">
        <w:rPr>
          <w:rFonts w:ascii="Arial" w:hAnsi="Arial" w:eastAsia="Arial" w:cs="Arial"/>
          <w:noProof w:val="0"/>
          <w:sz w:val="24"/>
          <w:szCs w:val="24"/>
          <w:lang w:val="en-GB"/>
        </w:rPr>
        <w:t xml:space="preserve">. Dementiafriends.org.uk. Available at: </w:t>
      </w:r>
      <w:hyperlink r:id="R66ceb680352a4a62">
        <w:r w:rsidRPr="4E7A5C02" w:rsidR="4E7A5C02">
          <w:rPr>
            <w:rStyle w:val="Hyperlink"/>
            <w:rFonts w:ascii="Arial" w:hAnsi="Arial" w:eastAsia="Arial" w:cs="Arial"/>
            <w:noProof w:val="0"/>
            <w:sz w:val="24"/>
            <w:szCs w:val="24"/>
            <w:lang w:val="en-GB"/>
          </w:rPr>
          <w:t>https://www.dementiafriends.org.uk/</w:t>
        </w:r>
      </w:hyperlink>
      <w:r w:rsidRPr="4E7A5C02" w:rsidR="4E7A5C02">
        <w:rPr>
          <w:rFonts w:ascii="Arial" w:hAnsi="Arial" w:eastAsia="Arial" w:cs="Arial"/>
          <w:noProof w:val="0"/>
          <w:sz w:val="24"/>
          <w:szCs w:val="24"/>
          <w:lang w:val="en-GB"/>
        </w:rPr>
        <w:t xml:space="preserve"> (Accessed 11 April 2022).</w:t>
      </w:r>
    </w:p>
    <w:p w:rsidR="4E7A5C02" w:rsidP="4E7A5C02" w:rsidRDefault="4E7A5C02" w14:paraId="13617698" w14:textId="2127CAF9">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DeNoon, D.J. (2003).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 xml:space="preserve">Alzheimer’s Disease: How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It’s</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 xml:space="preserve"> Diagnosed</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WebMD. Available at: </w:t>
      </w:r>
      <w:hyperlink r:id="R099900b31c0b41d4">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https://www.webmd.com/alzheimers/guide/making-diagnosis-tests</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April 2022).</w:t>
      </w:r>
    </w:p>
    <w:p w:rsidR="4E7A5C02" w:rsidP="4E7A5C02" w:rsidRDefault="4E7A5C02" w14:paraId="4FCE1261" w14:textId="7EF91E5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 xml:space="preserve">Frankenstein, L.L. and Jahn, G. (2020). </w:t>
      </w: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Behavioural</w:t>
      </w: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 xml:space="preserve"> and Occupational Therapy for Dementia Patients and Caregivers. </w:t>
      </w:r>
      <w:r w:rsidRPr="4E7A5C02" w:rsidR="4E7A5C02">
        <w:rPr>
          <w:rFonts w:ascii="Arial" w:hAnsi="Arial" w:eastAsia="Arial" w:cs="Arial"/>
          <w:b w:val="0"/>
          <w:bCs w:val="0"/>
          <w:i w:val="1"/>
          <w:iCs w:val="1"/>
          <w:caps w:val="0"/>
          <w:smallCaps w:val="0"/>
          <w:noProof w:val="0"/>
          <w:color w:val="000000" w:themeColor="text1" w:themeTint="FF" w:themeShade="FF"/>
          <w:sz w:val="24"/>
          <w:szCs w:val="24"/>
          <w:lang w:val="en-GB"/>
        </w:rPr>
        <w:t>GeroPsych</w:t>
      </w: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 33(2), pp.85–100.</w:t>
      </w:r>
    </w:p>
    <w:p w:rsidR="4E7A5C02" w:rsidP="4E7A5C02" w:rsidRDefault="4E7A5C02" w14:paraId="7D2CD08D" w14:textId="1057EF90">
      <w:pPr>
        <w:spacing w:line="360" w:lineRule="auto"/>
        <w:jc w:val="left"/>
        <w:rPr>
          <w:rFonts w:ascii="Arial" w:hAnsi="Arial" w:eastAsia="Arial" w:cs="Arial"/>
          <w:noProof w:val="0"/>
          <w:sz w:val="24"/>
          <w:szCs w:val="24"/>
          <w:lang w:val="en-GB"/>
        </w:rPr>
      </w:pPr>
      <w:r w:rsidRPr="4E7A5C02" w:rsidR="4E7A5C02">
        <w:rPr>
          <w:rFonts w:ascii="Arial" w:hAnsi="Arial" w:eastAsia="Arial" w:cs="Arial"/>
          <w:noProof w:val="0"/>
          <w:sz w:val="24"/>
          <w:szCs w:val="24"/>
          <w:lang w:val="en-GB"/>
        </w:rPr>
        <w:t xml:space="preserve">Food and Drug Administration (2019). MHRA UK - FDA Confidentiality Commitment. </w:t>
      </w:r>
      <w:r w:rsidRPr="4E7A5C02" w:rsidR="4E7A5C02">
        <w:rPr>
          <w:rFonts w:ascii="Arial" w:hAnsi="Arial" w:eastAsia="Arial" w:cs="Arial"/>
          <w:i w:val="1"/>
          <w:iCs w:val="1"/>
          <w:noProof w:val="0"/>
          <w:sz w:val="24"/>
          <w:szCs w:val="24"/>
          <w:lang w:val="en-GB"/>
        </w:rPr>
        <w:t>FDA</w:t>
      </w:r>
      <w:r w:rsidRPr="4E7A5C02" w:rsidR="4E7A5C02">
        <w:rPr>
          <w:rFonts w:ascii="Arial" w:hAnsi="Arial" w:eastAsia="Arial" w:cs="Arial"/>
          <w:noProof w:val="0"/>
          <w:sz w:val="24"/>
          <w:szCs w:val="24"/>
          <w:lang w:val="en-GB"/>
        </w:rPr>
        <w:t xml:space="preserve">. Available at: </w:t>
      </w:r>
      <w:hyperlink r:id="Radd0c1b15e0547bb">
        <w:r w:rsidRPr="4E7A5C02" w:rsidR="4E7A5C02">
          <w:rPr>
            <w:rStyle w:val="Hyperlink"/>
            <w:rFonts w:ascii="Arial" w:hAnsi="Arial" w:eastAsia="Arial" w:cs="Arial"/>
            <w:noProof w:val="0"/>
            <w:sz w:val="24"/>
            <w:szCs w:val="24"/>
            <w:lang w:val="en-GB"/>
          </w:rPr>
          <w:t>https://www.fda.gov/international-programs/confidentiality-commitments/mhra-uk-fda-confidentiality-commitment</w:t>
        </w:r>
      </w:hyperlink>
      <w:r w:rsidRPr="4E7A5C02" w:rsidR="4E7A5C02">
        <w:rPr>
          <w:rFonts w:ascii="Arial" w:hAnsi="Arial" w:eastAsia="Arial" w:cs="Arial"/>
          <w:noProof w:val="0"/>
          <w:sz w:val="24"/>
          <w:szCs w:val="24"/>
          <w:lang w:val="en-GB"/>
        </w:rPr>
        <w:t xml:space="preserve"> (Accessed 11 April 2022).</w:t>
      </w:r>
    </w:p>
    <w:p w:rsidR="4E7A5C02" w:rsidP="4E7A5C02" w:rsidRDefault="4E7A5C02" w14:paraId="3CBC3ACD" w14:textId="2768558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House of commons (2013).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The experiences of black, Asian and minority ethnic communities</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8ba34ad7f6a6428d">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https://www.alzheimers.org.uk/sites/default/files/migrate/downloads/appg_2013_bame_report.pdf</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April 2022).</w:t>
      </w:r>
    </w:p>
    <w:p w:rsidR="4E7A5C02" w:rsidP="4E7A5C02" w:rsidRDefault="4E7A5C02" w14:paraId="04626392" w14:textId="1E2F975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ICD-10 International Statistical Classification of Diseases and Related Health Problems 10th Revision Volume 2 Instruction manual 2010 Edition. (2010). Available at: </w:t>
      </w:r>
      <w:hyperlink r:id="R204a89d5fc4f4dcd">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https://www.who.int/classifications/icd/ICD10Volume2_en_2010.pdf</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w:t>
      </w:r>
    </w:p>
    <w:p w:rsidR="4E7A5C02" w:rsidP="4E7A5C02" w:rsidRDefault="4E7A5C02" w14:paraId="663A24DA" w14:textId="63493DCB">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Lindsay, K.W., Bone, I. and Fuller, G., 2010.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Neurology and neurosurgery illustrated e-book</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Elsevier Health Sciences.</w:t>
      </w:r>
    </w:p>
    <w:p w:rsidR="4E7A5C02" w:rsidP="4E7A5C02" w:rsidRDefault="4E7A5C02" w14:paraId="7C8CD662" w14:textId="32367AB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Mahase, E. (2021). Aducanumab: European agency rejects Alzheimer’s drug over efficacy and safety concerns.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BMJ</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p.n3127.</w:t>
      </w:r>
    </w:p>
    <w:p w:rsidR="4E7A5C02" w:rsidP="4E7A5C02" w:rsidRDefault="4E7A5C02" w14:paraId="53BFAD49" w14:textId="4CECC4B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MayoClinic (2019).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Positron emission tomography scan - Mayo Clinic</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Mayoclinic.org. Available at: </w:t>
      </w:r>
      <w:hyperlink r:id="R58d1d87210954d0d">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https://www.mayoclinic.org/tests-procedures/pet-scan/about/pac-20385078</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April 2022).</w:t>
      </w:r>
    </w:p>
    <w:p w:rsidR="4E7A5C02" w:rsidP="4E7A5C02" w:rsidRDefault="4E7A5C02" w14:paraId="29388B99" w14:textId="54DE716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Center for biotechnology information. (2017).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Non-drug interventions for Alzheimer’s disease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a2ab97f22a924e7d">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https://www.ncbi.nlm.nih.gov/books/NBK279355/</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March. 2022).</w:t>
      </w:r>
    </w:p>
    <w:p w:rsidR="4E7A5C02" w:rsidP="4E7A5C02" w:rsidRDefault="4E7A5C02" w14:paraId="238C88BA" w14:textId="3C88570C">
      <w:pPr>
        <w:spacing w:line="360" w:lineRule="auto"/>
        <w:rPr>
          <w:rFonts w:ascii="Arial" w:hAnsi="Arial" w:eastAsia="Arial" w:cs="Arial"/>
          <w:noProof w:val="0"/>
          <w:sz w:val="24"/>
          <w:szCs w:val="24"/>
          <w:lang w:val="en-GB"/>
        </w:rPr>
      </w:pPr>
      <w:r w:rsidRPr="4E7A5C02" w:rsidR="4E7A5C02">
        <w:rPr>
          <w:rFonts w:ascii="Arial" w:hAnsi="Arial" w:eastAsia="Arial" w:cs="Arial"/>
          <w:noProof w:val="0"/>
          <w:sz w:val="24"/>
          <w:szCs w:val="24"/>
          <w:lang w:val="en-GB"/>
        </w:rPr>
        <w:t xml:space="preserve">National Institute of Allergy and Infectious Diseases. (2022). </w:t>
      </w:r>
      <w:r w:rsidRPr="4E7A5C02" w:rsidR="4E7A5C02">
        <w:rPr>
          <w:rFonts w:ascii="Arial" w:hAnsi="Arial" w:eastAsia="Arial" w:cs="Arial"/>
          <w:i w:val="1"/>
          <w:iCs w:val="1"/>
          <w:noProof w:val="0"/>
          <w:sz w:val="24"/>
          <w:szCs w:val="24"/>
          <w:lang w:val="en-GB"/>
        </w:rPr>
        <w:t xml:space="preserve">Comparison: United Kingdom and United States | </w:t>
      </w:r>
      <w:proofErr w:type="spellStart"/>
      <w:r w:rsidRPr="4E7A5C02" w:rsidR="4E7A5C02">
        <w:rPr>
          <w:rFonts w:ascii="Arial" w:hAnsi="Arial" w:eastAsia="Arial" w:cs="Arial"/>
          <w:i w:val="1"/>
          <w:iCs w:val="1"/>
          <w:noProof w:val="0"/>
          <w:sz w:val="24"/>
          <w:szCs w:val="24"/>
          <w:lang w:val="en-GB"/>
        </w:rPr>
        <w:t>ClinRegs</w:t>
      </w:r>
      <w:proofErr w:type="spellEnd"/>
      <w:r w:rsidRPr="4E7A5C02" w:rsidR="4E7A5C02">
        <w:rPr>
          <w:rFonts w:ascii="Arial" w:hAnsi="Arial" w:eastAsia="Arial" w:cs="Arial"/>
          <w:noProof w:val="0"/>
          <w:sz w:val="24"/>
          <w:szCs w:val="24"/>
          <w:lang w:val="en-GB"/>
        </w:rPr>
        <w:t xml:space="preserve">. [online] Available at: </w:t>
      </w:r>
      <w:hyperlink w:anchor="_top" r:id="R6efda15c90fb407f">
        <w:r w:rsidRPr="4E7A5C02" w:rsidR="4E7A5C02">
          <w:rPr>
            <w:rStyle w:val="Hyperlink"/>
            <w:rFonts w:ascii="Arial" w:hAnsi="Arial" w:eastAsia="Arial" w:cs="Arial"/>
            <w:noProof w:val="0"/>
            <w:sz w:val="24"/>
            <w:szCs w:val="24"/>
            <w:lang w:val="en-GB"/>
          </w:rPr>
          <w:t>https://clinregs.niaid.nih.gov/country/united-kingdom/united-states#_top</w:t>
        </w:r>
      </w:hyperlink>
      <w:r w:rsidRPr="4E7A5C02" w:rsidR="4E7A5C02">
        <w:rPr>
          <w:rFonts w:ascii="Arial" w:hAnsi="Arial" w:eastAsia="Arial" w:cs="Arial"/>
          <w:noProof w:val="0"/>
          <w:sz w:val="24"/>
          <w:szCs w:val="24"/>
          <w:lang w:val="en-GB"/>
        </w:rPr>
        <w:t xml:space="preserve"> (Accessed 11 April 2022).</w:t>
      </w:r>
    </w:p>
    <w:p w:rsidR="4E7A5C02" w:rsidP="4E7A5C02" w:rsidRDefault="4E7A5C02" w14:paraId="3F9E51B5" w14:textId="2F9626D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Nelson, A. (2020).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How Is Dementia Diagnosed?</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WebMD. Available at: </w:t>
      </w:r>
      <w:hyperlink r:id="Ra827d2fbbeca41df">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https://www.webmd.com/alzheimers/diagnose-dementia</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6B2BD573" w14:textId="2AE034F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NHS Choices (2019).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Dementia guide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NHS. Available at: </w:t>
      </w:r>
      <w:hyperlink r:id="R144db720d03b414b">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https://www.nhs.uk/conditions/dementia/diagnosis/</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6EC7D917" w14:textId="693556E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NHS Choices (2020).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Tests for diagnosing dementia - Dementia guide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NHS. Available at: </w:t>
      </w:r>
      <w:hyperlink r:id="Rb72e40cd0a294626">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https://www.nhs.uk/conditions/dementia/diagnosis-tests/</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w:t>
      </w:r>
    </w:p>
    <w:p w:rsidR="4E7A5C02" w:rsidP="4E7A5C02" w:rsidRDefault="4E7A5C02" w14:paraId="4C78F07B" w14:textId="2FD0DDE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NICE (2019).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BNF is only available in the UK | NICE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5939a1d9666a4933">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https://bnf.nice.org.uk/drug/rivastigmine.html</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Apr. 2022).</w:t>
      </w:r>
    </w:p>
    <w:p w:rsidR="4E7A5C02" w:rsidP="4E7A5C02" w:rsidRDefault="4E7A5C02" w14:paraId="26021198" w14:textId="4CCE489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NICE (2011a). </w:t>
      </w:r>
      <w:bookmarkStart w:name="_Int_3am06wfe" w:id="321603801"/>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Donepezil, galantamine, rivastigmine and memantine for the treatment of Alzheimer’s disease Technology appraisal guidance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w:t>
      </w:r>
      <w:bookmarkEnd w:id="321603801"/>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w:anchor=":~:text=The%20three%20acetylcholinesterase%20(AChE)%20inhibitors" r:id="R4460f09f23e14e5f">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https://www.nice.org.uk/guidance/ta217/resources/donepezil-galantamine-rivastigmine-and-memantine-for-the-treatment-of-alzheimers-disease-pdf-82600254699973#:~:text=The%20three%20acetylcholinesterase%20(AChE)%20inhibitors</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244DF936" w14:textId="41A14E8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NICE (2011b).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 xml:space="preserve">Overview Donepezil, galantamine, rivastigmine and memantine for the treatment of Alzheimer’s disease Guidance </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b6062f2db80042f2">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https://www.nice.org.uk/guidance/ta217</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March. 2022).</w:t>
      </w:r>
    </w:p>
    <w:p w:rsidR="4E7A5C02" w:rsidP="4E7A5C02" w:rsidRDefault="4E7A5C02" w14:paraId="2F6FC902" w14:textId="7A3954E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Overshott, R. (2005). Treatment of dementia.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Journal of Neurology, Neurosurgery &amp; Psychiatry</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76(suppl_5), pp. v53–v59. Available at: </w:t>
      </w:r>
      <w:hyperlink r:id="Rd930d59377d24f24">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https://jnnp.bmj.com/content/jnnp/76/suppl_5/v53.full.pdf</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w:t>
      </w:r>
    </w:p>
    <w:p w:rsidR="4E7A5C02" w:rsidP="4E7A5C02" w:rsidRDefault="4E7A5C02" w14:paraId="6C939771" w14:textId="7D01183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Roxby, P. (2021). Alzheimer’s drug aducanumab not approved for use in EU.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BBC News</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17 Dec. Available at: </w:t>
      </w:r>
      <w:hyperlink w:anchor=":~:text=" r:id="R92817fdc731b47d6">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https://www.bbc.co.uk/news/health-59699907#:~:text=</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590B13EC" w14:textId="0239619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SCIE (2011).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Why early diagnosis is important - Dementia - SCIE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a2111c33ab524977">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https://www.scie.org.uk/dementia/symptoms/diagnosis/early-diagnosis.asp</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25000CA6" w14:textId="39932B1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SCIE. (2015).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Black and minority ethnic (BME) communities and dementia - SCIE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ca5da5f5ee3a4034">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https://www.scie.org.uk/dementia/living-with-dementia/bme/</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March 2022)</w:t>
      </w:r>
    </w:p>
    <w:p w:rsidR="4E7A5C02" w:rsidP="4E7A5C02" w:rsidRDefault="4E7A5C02" w14:paraId="212603FA" w14:textId="467396B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SCIE. (2012).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Getting diagnosed - Dementia - SCIE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d86c00a478884bb5">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https://www.scie.org.uk/dementia/symptoms/diagnosis/getting-a-diagnosis.asp</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(Accessed 28 March 2022)</w:t>
      </w:r>
    </w:p>
    <w:p w:rsidR="4E7A5C02" w:rsidP="4E7A5C02" w:rsidRDefault="4E7A5C02" w14:paraId="4A53B948" w14:textId="6D70F13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Steeman, E., de Casterle, B.D., Godderis, J. and Grypdonck, M. (2006). Living with early-stage dementia: a review of qualitative studies.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Journal of Advanced Nursing</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54(6), pp.722–738.</w:t>
      </w:r>
    </w:p>
    <w:p w:rsidR="4E7A5C02" w:rsidP="4E7A5C02" w:rsidRDefault="4E7A5C02" w14:paraId="185E6ADD" w14:textId="045F8E0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Shoghi-Jadid, K., Small, G.W., Agdeppa, E.D., Kepe, V., Ercoli, L.M., Siddarth, P., Read, S., Satyamurthy, N., Petric, A., Huang, S.C., and Barrio, J.R., 2002. Localization of neurofibrillary tangles and beta-amyloid plaques in the brains of living patients with Alzheimer disease.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The American Journal of Geriatric Psychiatry</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10</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(1), pp.24-35.</w:t>
      </w:r>
    </w:p>
    <w:p w:rsidR="4E7A5C02" w:rsidP="4E7A5C02" w:rsidRDefault="4E7A5C02" w14:paraId="45BFBF48" w14:textId="5F9074B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 xml:space="preserve">Takeda, M., Tanaka, T., Okochi, M. and Kazui, H. (2012). Non-pharmacological intervention for dementia patients. </w:t>
      </w:r>
      <w:r w:rsidRPr="4E7A5C02" w:rsidR="4E7A5C02">
        <w:rPr>
          <w:rFonts w:ascii="Arial" w:hAnsi="Arial" w:eastAsia="Arial" w:cs="Arial"/>
          <w:b w:val="0"/>
          <w:bCs w:val="0"/>
          <w:i w:val="1"/>
          <w:iCs w:val="1"/>
          <w:caps w:val="0"/>
          <w:smallCaps w:val="0"/>
          <w:noProof w:val="0"/>
          <w:color w:val="000000" w:themeColor="text1" w:themeTint="FF" w:themeShade="FF"/>
          <w:sz w:val="24"/>
          <w:szCs w:val="24"/>
          <w:lang w:val="en-GB"/>
        </w:rPr>
        <w:t>Psychiatry and Clinical Neurosciences</w:t>
      </w: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 66(1), pp.1–7.</w:t>
      </w:r>
    </w:p>
    <w:p w:rsidR="4E7A5C02" w:rsidP="4E7A5C02" w:rsidRDefault="4E7A5C02" w14:paraId="1FBA5C94" w14:textId="26CDE71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The British Psychological Society and SCIE (2007).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 xml:space="preserve">Dementia A NICE–SCIE Guideline on supporting people with dementia and their </w:t>
      </w:r>
      <w:bookmarkStart w:name="_Int_23GwnbB4" w:id="394979110"/>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carers</w:t>
      </w:r>
      <w:bookmarkEnd w:id="394979110"/>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 xml:space="preserve"> in health and social care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7130c35446444d9a">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https://www.scie.org.uk/publications/misc/dementia/dementia-fullguideline.pdf?res=true</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March. 2022).</w:t>
      </w:r>
    </w:p>
    <w:p w:rsidR="4E7A5C02" w:rsidP="4E7A5C02" w:rsidRDefault="4E7A5C02" w14:paraId="36E80D21" w14:textId="5392232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Tidy, C. (2018).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Medication and Treatment for Dementia</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Patient.info. Available at: </w:t>
      </w:r>
      <w:hyperlink r:id="Rf261ff2ee53b4091">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https://patient.info/brain-nerves/memory-loss-and-dementia/medication-and-treatment-for-dementia</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E7A5C02" w:rsidP="4E7A5C02" w:rsidRDefault="4E7A5C02" w14:paraId="7D2D1E67" w14:textId="1990322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Tucker, H. (2009).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NATIONAL INSTITUTE FOR HEALTH AND CLINICAL EXCELLENCE Health Technology Appraisal Donepezil, galantamine, rivastigmine and memantine for the treatment of mild to moderate Alzheimer’s disease (Part review of TA 111) To review and update as necessary guidance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d21c5f83ca9c4041">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https://www.nice.org.uk/guidance/TA217/documents/alzheimers-disease-mild-to-moderate-donepezil-galantamine-rivastigmine-and-memantine-part-review-draft-scope2</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March. 2022).</w:t>
      </w:r>
    </w:p>
    <w:p w:rsidR="4E7A5C02" w:rsidP="4E7A5C02" w:rsidRDefault="4E7A5C02" w14:paraId="222DBFE0" w14:textId="5BE8AFCA">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Weller, C. (2017).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Inside the Dutch ‘dementia village’ that offers beer, bingo, and top-notch healthcare</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 Insider. Available at: </w:t>
      </w:r>
      <w:hyperlink w:anchor="for-us-its-important-that-we-support-them-to-experience-a-normal-day-a-day-they-like-and-a-day-they-recognize-van-hal-said-4" r:id="R83b19e98ec8f4e62">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https://www.businessinsider.com/inside-hogewey-dementia-village-2017-7?r=US&amp;IR=T#for-us-its-important-that-we-support-them-to-experience-a-normal-day-a-day-they-like-and-a-day-they-recognize-van-hal-said-4</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Apr. 2022).</w:t>
      </w:r>
    </w:p>
    <w:p w:rsidR="4E7A5C02" w:rsidP="4E7A5C02" w:rsidRDefault="4E7A5C02" w14:paraId="113E962D" w14:textId="2FB58AF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Organisation (2010) The ICD-10 classification of mental and behavioural disorders: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 xml:space="preserve">Clinical descriptions and diagnostic guidelines. </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In: World Health Organisation International, 10</w:t>
      </w:r>
      <w:r w:rsidRPr="4E7A5C02" w:rsidR="4E7A5C02">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ed. Geneva.: world Health organisation. Available at: </w:t>
      </w:r>
      <w:hyperlink r:id="R8fe8766cd44940a9">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https://icd.who.int/browse10/2010/en</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w:t>
      </w:r>
    </w:p>
    <w:p w:rsidR="4E7A5C02" w:rsidP="4E7A5C02" w:rsidRDefault="4E7A5C02" w14:paraId="447EABFA" w14:textId="7382A87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Organisation (2021). </w:t>
      </w:r>
      <w:r w:rsidRPr="4E7A5C02" w:rsidR="4E7A5C02">
        <w:rPr>
          <w:rFonts w:ascii="Arial" w:hAnsi="Arial" w:eastAsia="Arial" w:cs="Arial"/>
          <w:b w:val="0"/>
          <w:bCs w:val="0"/>
          <w:i w:val="1"/>
          <w:iCs w:val="1"/>
          <w:caps w:val="0"/>
          <w:smallCaps w:val="0"/>
          <w:noProof w:val="0"/>
          <w:color w:val="000000" w:themeColor="text1" w:themeTint="FF" w:themeShade="FF"/>
          <w:sz w:val="22"/>
          <w:szCs w:val="22"/>
          <w:lang w:val="en-GB"/>
        </w:rPr>
        <w:t>Dementia</w:t>
      </w:r>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Who.int. Available at: </w:t>
      </w:r>
      <w:hyperlink r:id="R1b3f352593914f02">
        <w:r w:rsidRPr="4E7A5C02" w:rsidR="4E7A5C02">
          <w:rPr>
            <w:rStyle w:val="Hyperlink"/>
            <w:rFonts w:ascii="Arial" w:hAnsi="Arial" w:eastAsia="Arial" w:cs="Arial"/>
            <w:b w:val="0"/>
            <w:bCs w:val="0"/>
            <w:i w:val="0"/>
            <w:iCs w:val="0"/>
            <w:caps w:val="0"/>
            <w:smallCaps w:val="0"/>
            <w:strike w:val="0"/>
            <w:dstrike w:val="0"/>
            <w:noProof w:val="0"/>
            <w:sz w:val="22"/>
            <w:szCs w:val="22"/>
            <w:lang w:val="en-GB"/>
          </w:rPr>
          <w:t>https://www.who.int/news-room/fact-sheets/detail/dementia</w:t>
        </w:r>
      </w:hyperlink>
      <w:r w:rsidRPr="4E7A5C02" w:rsidR="4E7A5C0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4E7A5C02" w:rsidP="4E7A5C02" w:rsidRDefault="4E7A5C02" w14:paraId="4D27D7B7" w14:textId="16D3372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 xml:space="preserve">Young, R., Camic, P.M. and Tischler, V. (2015). The impact of community-based arts and health interventions on cognition in people with dementia: a systematic literature review. </w:t>
      </w:r>
      <w:r w:rsidRPr="4E7A5C02" w:rsidR="4E7A5C02">
        <w:rPr>
          <w:rFonts w:ascii="Arial" w:hAnsi="Arial" w:eastAsia="Arial" w:cs="Arial"/>
          <w:b w:val="0"/>
          <w:bCs w:val="0"/>
          <w:i w:val="1"/>
          <w:iCs w:val="1"/>
          <w:caps w:val="0"/>
          <w:smallCaps w:val="0"/>
          <w:noProof w:val="0"/>
          <w:color w:val="000000" w:themeColor="text1" w:themeTint="FF" w:themeShade="FF"/>
          <w:sz w:val="24"/>
          <w:szCs w:val="24"/>
          <w:lang w:val="en-GB"/>
        </w:rPr>
        <w:t>Aging &amp; Mental Health</w:t>
      </w:r>
      <w:r w:rsidRPr="4E7A5C02" w:rsidR="4E7A5C02">
        <w:rPr>
          <w:rFonts w:ascii="Arial" w:hAnsi="Arial" w:eastAsia="Arial" w:cs="Arial"/>
          <w:b w:val="0"/>
          <w:bCs w:val="0"/>
          <w:i w:val="0"/>
          <w:iCs w:val="0"/>
          <w:caps w:val="0"/>
          <w:smallCaps w:val="0"/>
          <w:noProof w:val="0"/>
          <w:color w:val="000000" w:themeColor="text1" w:themeTint="FF" w:themeShade="FF"/>
          <w:sz w:val="24"/>
          <w:szCs w:val="24"/>
          <w:lang w:val="en-GB"/>
        </w:rPr>
        <w:t>, 20(4), pp.337–351.</w:t>
      </w:r>
    </w:p>
    <w:p w:rsidR="4E7A5C02" w:rsidP="4E7A5C02" w:rsidRDefault="4E7A5C02" w14:paraId="34088014" w14:textId="4E8DCD58">
      <w:pPr>
        <w:spacing w:after="160" w:line="360" w:lineRule="auto"/>
        <w:jc w:val="left"/>
        <w:rPr>
          <w:rFonts w:ascii="Arial" w:hAnsi="Arial" w:eastAsia="Arial" w:cs="Arial"/>
          <w:b w:val="0"/>
          <w:bCs w:val="0"/>
          <w:i w:val="0"/>
          <w:iCs w:val="0"/>
          <w:caps w:val="0"/>
          <w:smallCaps w:val="0"/>
          <w:noProof w:val="0"/>
          <w:color w:val="auto"/>
          <w:sz w:val="22"/>
          <w:szCs w:val="22"/>
          <w:u w:val="none"/>
          <w:lang w:val="en-GB"/>
        </w:rPr>
      </w:pPr>
      <w:bookmarkStart w:name="_Int_TH6dkUWw" w:id="164852361"/>
      <w:r w:rsidRPr="4E7A5C02" w:rsidR="4E7A5C02">
        <w:rPr>
          <w:rFonts w:ascii="Arial" w:hAnsi="Arial" w:eastAsia="Arial" w:cs="Arial"/>
          <w:b w:val="0"/>
          <w:bCs w:val="0"/>
          <w:i w:val="0"/>
          <w:iCs w:val="0"/>
          <w:caps w:val="0"/>
          <w:smallCaps w:val="0"/>
          <w:noProof w:val="0"/>
          <w:color w:val="auto"/>
          <w:sz w:val="22"/>
          <w:szCs w:val="22"/>
          <w:u w:val="none"/>
          <w:lang w:val="en-GB"/>
        </w:rPr>
        <w:t>Zemek, F., Drtinova, L., Nepovimova, E., Sepsova, V., Korabecny, J., Klimes, J. and Kuca, K., 2014.</w:t>
      </w:r>
      <w:bookmarkEnd w:id="164852361"/>
      <w:r w:rsidRPr="4E7A5C02" w:rsidR="4E7A5C02">
        <w:rPr>
          <w:rFonts w:ascii="Arial" w:hAnsi="Arial" w:eastAsia="Arial" w:cs="Arial"/>
          <w:b w:val="0"/>
          <w:bCs w:val="0"/>
          <w:i w:val="0"/>
          <w:iCs w:val="0"/>
          <w:caps w:val="0"/>
          <w:smallCaps w:val="0"/>
          <w:noProof w:val="0"/>
          <w:color w:val="auto"/>
          <w:sz w:val="22"/>
          <w:szCs w:val="22"/>
          <w:u w:val="none"/>
          <w:lang w:val="en-GB"/>
        </w:rPr>
        <w:t xml:space="preserve"> Outcomes of Alzheimer's disease therapy with acetylcholinesterase inhibitors and memantine. </w:t>
      </w:r>
      <w:r w:rsidRPr="4E7A5C02" w:rsidR="4E7A5C02">
        <w:rPr>
          <w:rFonts w:ascii="Arial" w:hAnsi="Arial" w:eastAsia="Arial" w:cs="Arial"/>
          <w:b w:val="0"/>
          <w:bCs w:val="0"/>
          <w:i w:val="1"/>
          <w:iCs w:val="1"/>
          <w:caps w:val="0"/>
          <w:smallCaps w:val="0"/>
          <w:noProof w:val="0"/>
          <w:color w:val="auto"/>
          <w:sz w:val="22"/>
          <w:szCs w:val="22"/>
          <w:u w:val="none"/>
          <w:lang w:val="en-GB"/>
        </w:rPr>
        <w:t>Expert opinion on drug safety</w:t>
      </w:r>
      <w:r w:rsidRPr="4E7A5C02" w:rsidR="4E7A5C02">
        <w:rPr>
          <w:rFonts w:ascii="Arial" w:hAnsi="Arial" w:eastAsia="Arial" w:cs="Arial"/>
          <w:b w:val="0"/>
          <w:bCs w:val="0"/>
          <w:i w:val="0"/>
          <w:iCs w:val="0"/>
          <w:caps w:val="0"/>
          <w:smallCaps w:val="0"/>
          <w:noProof w:val="0"/>
          <w:color w:val="auto"/>
          <w:sz w:val="22"/>
          <w:szCs w:val="22"/>
          <w:u w:val="none"/>
          <w:lang w:val="en-GB"/>
        </w:rPr>
        <w:t xml:space="preserve">, </w:t>
      </w:r>
      <w:r w:rsidRPr="4E7A5C02" w:rsidR="4E7A5C02">
        <w:rPr>
          <w:rFonts w:ascii="Arial" w:hAnsi="Arial" w:eastAsia="Arial" w:cs="Arial"/>
          <w:b w:val="0"/>
          <w:bCs w:val="0"/>
          <w:i w:val="1"/>
          <w:iCs w:val="1"/>
          <w:caps w:val="0"/>
          <w:smallCaps w:val="0"/>
          <w:noProof w:val="0"/>
          <w:color w:val="auto"/>
          <w:sz w:val="22"/>
          <w:szCs w:val="22"/>
          <w:u w:val="none"/>
          <w:lang w:val="en-GB"/>
        </w:rPr>
        <w:t>13</w:t>
      </w:r>
      <w:r w:rsidRPr="4E7A5C02" w:rsidR="4E7A5C02">
        <w:rPr>
          <w:rFonts w:ascii="Arial" w:hAnsi="Arial" w:eastAsia="Arial" w:cs="Arial"/>
          <w:b w:val="0"/>
          <w:bCs w:val="0"/>
          <w:i w:val="0"/>
          <w:iCs w:val="0"/>
          <w:caps w:val="0"/>
          <w:smallCaps w:val="0"/>
          <w:noProof w:val="0"/>
          <w:color w:val="auto"/>
          <w:sz w:val="22"/>
          <w:szCs w:val="22"/>
          <w:u w:val="none"/>
          <w:lang w:val="en-GB"/>
        </w:rPr>
        <w:t>(6), pp.759-774.</w:t>
      </w:r>
    </w:p>
    <w:p w:rsidR="4E7A5C02" w:rsidP="4E7A5C02" w:rsidRDefault="4E7A5C02" w14:paraId="5D305031" w14:textId="25D6FA57">
      <w:pPr>
        <w:spacing w:after="160" w:line="360" w:lineRule="auto"/>
        <w:jc w:val="left"/>
        <w:rPr>
          <w:rFonts w:ascii="Calibri" w:hAnsi="Calibri" w:eastAsia="Calibri" w:cs="Calibri"/>
          <w:b w:val="0"/>
          <w:bCs w:val="0"/>
          <w:i w:val="0"/>
          <w:iCs w:val="0"/>
          <w:caps w:val="0"/>
          <w:smallCaps w:val="0"/>
          <w:noProof w:val="0"/>
          <w:color w:val="222222"/>
          <w:sz w:val="22"/>
          <w:szCs w:val="22"/>
          <w:lang w:val="en-GB"/>
        </w:rPr>
      </w:pPr>
    </w:p>
    <w:p w:rsidR="4E7A5C02" w:rsidP="4E7A5C02" w:rsidRDefault="4E7A5C02" w14:paraId="2BA7FAAB" w14:textId="6E0EDD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E7A5C02" w:rsidP="4E7A5C02" w:rsidRDefault="4E7A5C02" w14:paraId="6AB0DCEE" w14:textId="3C57CEAA">
      <w:pPr>
        <w:pStyle w:val="Normal"/>
        <w:spacing w:line="360" w:lineRule="auto"/>
        <w:ind w:left="0"/>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f7e402c815294e86"/>
      <w:footerReference w:type="default" r:id="Ra508645c4cc744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4CBF17" w:rsidTr="7F4CBF17" w14:paraId="4F2A63F2">
      <w:tc>
        <w:tcPr>
          <w:tcW w:w="3005" w:type="dxa"/>
          <w:tcMar/>
        </w:tcPr>
        <w:p w:rsidR="7F4CBF17" w:rsidP="7F4CBF17" w:rsidRDefault="7F4CBF17" w14:paraId="641FE9FE" w14:textId="63339A90">
          <w:pPr>
            <w:pStyle w:val="Header"/>
            <w:bidi w:val="0"/>
            <w:ind w:left="-115"/>
            <w:jc w:val="left"/>
          </w:pPr>
        </w:p>
      </w:tc>
      <w:tc>
        <w:tcPr>
          <w:tcW w:w="3005" w:type="dxa"/>
          <w:tcMar/>
        </w:tcPr>
        <w:p w:rsidR="7F4CBF17" w:rsidP="7F4CBF17" w:rsidRDefault="7F4CBF17" w14:paraId="09AB8170" w14:textId="026AFCB3">
          <w:pPr>
            <w:pStyle w:val="Header"/>
            <w:bidi w:val="0"/>
            <w:jc w:val="center"/>
          </w:pPr>
        </w:p>
      </w:tc>
      <w:tc>
        <w:tcPr>
          <w:tcW w:w="3005" w:type="dxa"/>
          <w:tcMar/>
        </w:tcPr>
        <w:p w:rsidR="7F4CBF17" w:rsidP="7F4CBF17" w:rsidRDefault="7F4CBF17" w14:paraId="0EE08068" w14:textId="6A6DD3B7">
          <w:pPr>
            <w:pStyle w:val="Header"/>
            <w:bidi w:val="0"/>
            <w:ind w:right="-115"/>
            <w:jc w:val="right"/>
          </w:pPr>
        </w:p>
      </w:tc>
    </w:tr>
  </w:tbl>
  <w:p w:rsidR="7F4CBF17" w:rsidP="7F4CBF17" w:rsidRDefault="7F4CBF17" w14:paraId="5D0C8D18" w14:textId="0C8B42D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4CBF17" w:rsidTr="7F4CBF17" w14:paraId="24F3AED6">
      <w:tc>
        <w:tcPr>
          <w:tcW w:w="3005" w:type="dxa"/>
          <w:tcMar/>
        </w:tcPr>
        <w:p w:rsidR="7F4CBF17" w:rsidP="7F4CBF17" w:rsidRDefault="7F4CBF17" w14:paraId="1BAB7CE0" w14:textId="6165FBBC">
          <w:pPr>
            <w:pStyle w:val="Header"/>
            <w:bidi w:val="0"/>
            <w:ind w:left="-115"/>
            <w:jc w:val="left"/>
          </w:pPr>
        </w:p>
      </w:tc>
      <w:tc>
        <w:tcPr>
          <w:tcW w:w="3005" w:type="dxa"/>
          <w:tcMar/>
        </w:tcPr>
        <w:p w:rsidR="7F4CBF17" w:rsidP="7F4CBF17" w:rsidRDefault="7F4CBF17" w14:paraId="7EE4561D" w14:textId="520C1A7A">
          <w:pPr>
            <w:pStyle w:val="Header"/>
            <w:bidi w:val="0"/>
            <w:jc w:val="center"/>
          </w:pPr>
        </w:p>
      </w:tc>
      <w:tc>
        <w:tcPr>
          <w:tcW w:w="3005" w:type="dxa"/>
          <w:tcMar/>
        </w:tcPr>
        <w:p w:rsidR="7F4CBF17" w:rsidP="7F4CBF17" w:rsidRDefault="7F4CBF17" w14:paraId="522D7092" w14:textId="436C03B0">
          <w:pPr>
            <w:pStyle w:val="Header"/>
            <w:bidi w:val="0"/>
            <w:ind w:right="-115"/>
            <w:jc w:val="right"/>
          </w:pPr>
        </w:p>
      </w:tc>
    </w:tr>
  </w:tbl>
  <w:p w:rsidR="7F4CBF17" w:rsidP="7F4CBF17" w:rsidRDefault="7F4CBF17" w14:paraId="6397F1F2" w14:textId="638564B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mz5HPD5GceamP7" int2:id="5aDmf8wl">
      <int2:state int2:type="LegacyProofing" int2:value="Rejected"/>
    </int2:textHash>
    <int2:textHash int2:hashCode="eAmf1e3k9gglT+" int2:id="rZrOTDRa">
      <int2:state int2:type="LegacyProofing" int2:value="Rejected"/>
    </int2:textHash>
    <int2:textHash int2:hashCode="Xzvl+fctnEuzkr" int2:id="sJuVCgZp">
      <int2:state int2:type="LegacyProofing" int2:value="Rejected"/>
    </int2:textHash>
    <int2:textHash int2:hashCode="Vb6UWkXAFfrKbJ" int2:id="EPsvIqty">
      <int2:state int2:type="LegacyProofing" int2:value="Rejected"/>
    </int2:textHash>
    <int2:textHash int2:hashCode="CL+ek7SFHYRf8I" int2:id="NH3lH8kW">
      <int2:state int2:type="LegacyProofing" int2:value="Rejected"/>
    </int2:textHash>
    <int2:textHash int2:hashCode="l5aAn32uSC0xI8" int2:id="J4EbBjEO">
      <int2:state int2:type="AugLoop_Text_Critique" int2:value="Rejected"/>
    </int2:textHash>
    <int2:textHash int2:hashCode="jP0IvQDMAlYThf" int2:id="EJ62dkmj">
      <int2:state int2:type="LegacyProofing" int2:value="Rejected"/>
    </int2:textHash>
    <int2:textHash int2:hashCode="1oV0hlFN+4Gwi+" int2:id="Qi19HYOe">
      <int2:state int2:type="AugLoop_Text_Critique" int2:value="Rejected"/>
    </int2:textHash>
    <int2:textHash int2:hashCode="351r0XWD+hEdsL" int2:id="0Jldw0Dr">
      <int2:state int2:type="AugLoop_Text_Critique" int2:value="Rejected"/>
    </int2:textHash>
    <int2:textHash int2:hashCode="6KwxCWAoDwtvI+" int2:id="RXGm9VbB">
      <int2:state int2:type="AugLoop_Text_Critique" int2:value="Rejected"/>
    </int2:textHash>
    <int2:textHash int2:hashCode="9+2vMoLa+2CcfU" int2:id="fH8HiAIa">
      <int2:state int2:type="AugLoop_Text_Critique" int2:value="Rejected"/>
    </int2:textHash>
    <int2:textHash int2:hashCode="KC1Re0UNGLaF/4" int2:id="jo2DdbQf">
      <int2:state int2:type="LegacyProofing" int2:value="Rejected"/>
    </int2:textHash>
    <int2:textHash int2:hashCode="q44kPeTFfnAJrU" int2:id="WUWPhzk1">
      <int2:state int2:type="LegacyProofing" int2:value="Rejected"/>
    </int2:textHash>
    <int2:textHash int2:hashCode="4bg4dPoZm2pTqD" int2:id="ufnglcb7">
      <int2:state int2:type="AugLoop_Text_Critique" int2:value="Rejected"/>
    </int2:textHash>
    <int2:textHash int2:hashCode="6xX40Nbu8SUY24" int2:id="yYDZHSuG">
      <int2:state int2:type="AugLoop_Text_Critique" int2:value="Rejected"/>
    </int2:textHash>
    <int2:textHash int2:hashCode="wMvPpM6WJzQS6Y" int2:id="vTlx6R7W">
      <int2:state int2:type="AugLoop_Text_Critique" int2:value="Rejected"/>
    </int2:textHash>
    <int2:textHash int2:hashCode="EfECWJD2LQgrOF" int2:id="pyLg6Cim">
      <int2:state int2:type="LegacyProofing" int2:value="Rejected"/>
    </int2:textHash>
    <int2:textHash int2:hashCode="bTZjWPryA+6DgO" int2:id="vF2eM9b1">
      <int2:state int2:type="LegacyProofing" int2:value="Rejected"/>
    </int2:textHash>
    <int2:textHash int2:hashCode="ZRM4XUgNvfAsFE" int2:id="sB21Tavm">
      <int2:state int2:type="LegacyProofing" int2:value="Rejected"/>
    </int2:textHash>
    <int2:textHash int2:hashCode="9nNRDySg+19S2N" int2:id="bDo9VTeA">
      <int2:state int2:type="LegacyProofing" int2:value="Rejected"/>
    </int2:textHash>
    <int2:textHash int2:hashCode="6n4E+lq0SnMT8I" int2:id="WrCmrYBc">
      <int2:state int2:type="LegacyProofing" int2:value="Rejected"/>
    </int2:textHash>
    <int2:textHash int2:hashCode="SradH0SdDJdch8" int2:id="JZLJnd2K">
      <int2:state int2:type="AugLoop_Text_Critique" int2:value="Rejected"/>
    </int2:textHash>
    <int2:textHash int2:hashCode="53oxWZ6Z0V44AE" int2:id="V2xFpdPU">
      <int2:state int2:type="AugLoop_Text_Critique" int2:value="Rejected"/>
    </int2:textHash>
    <int2:textHash int2:hashCode="jRn+u3oQPXMgyt" int2:id="q1DUBQQv">
      <int2:state int2:type="LegacyProofing" int2:value="Rejected"/>
    </int2:textHash>
    <int2:textHash int2:hashCode="2VjdOYZ3dAjmrh" int2:id="z8H9tiI4">
      <int2:state int2:type="LegacyProofing" int2:value="Rejected"/>
    </int2:textHash>
    <int2:textHash int2:hashCode="n1PJjA1lSSnqQU" int2:id="Y6gKWCqJ">
      <int2:state int2:type="LegacyProofing" int2:value="Rejected"/>
    </int2:textHash>
    <int2:textHash int2:hashCode="cWrXguOD1/ATQI" int2:id="QsIhl3we">
      <int2:state int2:type="LegacyProofing" int2:value="Rejected"/>
    </int2:textHash>
    <int2:textHash int2:hashCode="pX7Hdi3nOLEFWg" int2:id="4gIdAqEB">
      <int2:state int2:type="LegacyProofing" int2:value="Rejected"/>
    </int2:textHash>
    <int2:textHash int2:hashCode="cOCjwYAq0WYQLq" int2:id="y7urhHcD">
      <int2:state int2:type="LegacyProofing" int2:value="Rejected"/>
    </int2:textHash>
    <int2:textHash int2:hashCode="YCctLsWeMrsLjL" int2:id="Y0oW5Dtz">
      <int2:state int2:type="LegacyProofing" int2:value="Rejected"/>
    </int2:textHash>
    <int2:textHash int2:hashCode="8HZo9OWZXrkEaP" int2:id="tsukzJQh">
      <int2:state int2:type="LegacyProofing" int2:value="Rejected"/>
    </int2:textHash>
    <int2:textHash int2:hashCode="gj5v6xbXJu9AAb" int2:id="L4JfIIrr">
      <int2:state int2:type="AugLoop_Acronyms_AcronymsCritique" int2:value="Rejected"/>
    </int2:textHash>
    <int2:textHash int2:hashCode="ySxSngcxxX79dV" int2:id="tDPQXjLI">
      <int2:state int2:type="AugLoop_Text_Critique" int2:value="Rejected"/>
    </int2:textHash>
    <int2:bookmark int2:bookmarkName="_Int_TH6dkUWw" int2:invalidationBookmarkName="" int2:hashCode="nbM8SbBwzw6S7d" int2:id="LTdaNgws">
      <int2:state int2:type="AugLoop_Similarity_SimilarityAnnotation" int2:value="Rejected"/>
      <int2:extLst>
        <oel:ext uri="426473B9-03D8-482F-96C9-C2C85392BACA">
          <int2:similarityCritique int2:version="1" int2:context="Zemek, F., Drtinova, L., Nepovimova, E., Sepsova, V., Korabecny, J., Klimes, J. and Kuca, K., 2014.">
            <int2:source int2:sourceType="Online" int2:sourceTitle="Zemek, F., Drtinova, L., Nepovimova, E., Sepsova, V ..." int2:sourceUrl="https://www.scirp.org/(S(351jmbntvnsjt1aadkposzje))/reference/referencespapers.aspx?referenceid=2467912" int2:sourceSnippet="Zemek, F., Drtinova, L., Nepovimova, E., Sepsova, V., Korabecny, J., Klimes, J. and Kuca, K. (2014) Outcomes of Alzheimer’s Disease Therapy with ...">
              <int2:suggestions int2:citationType="Inline">
                <int2:suggestion int2:citationStyle="Mla" int2:isIdentical="0">
                  <int2:citationText>(“Zemek, F., Drtinova, L., Nepovimova, E., Sepsova, V ...”)</int2:citationText>
                </int2:suggestion>
                <int2:suggestion int2:citationStyle="Apa" int2:isIdentical="0">
                  <int2:citationText>(“Zemek, F., Drtinova, L., Nepovimova, E., Sepsova, V ...”)</int2:citationText>
                </int2:suggestion>
                <int2:suggestion int2:citationStyle="Chicago" int2:isIdentical="0">
                  <int2:citationText>(“Zemek, F., Drtinova, L., Nepovimova, E., Sepsova, V ...”)</int2:citationText>
                </int2:suggestion>
              </int2:suggestions>
              <int2:suggestions int2:citationType="Full">
                <int2:suggestion int2:citationStyle="Mla" int2:isIdentical="0">
                  <int2:citationText>&lt;i&gt;Zemek, F., Drtinova, L., Nepovimova, E., Sepsova, V ...&lt;/i&gt;, https://www.scirp.org/(S(351jmbntvnsjt1aadkposzje))/reference/referencespapers.aspx?referenceid=2467912.</int2:citationText>
                </int2:suggestion>
                <int2:suggestion int2:citationStyle="Apa" int2:isIdentical="0">
                  <int2:citationText>&lt;i&gt;Zemek, F., Drtinova, L., Nepovimova, E., Sepsova, V ...&lt;/i&gt;. (n.d.). Retrieved from https://www.scirp.org/(S(351jmbntvnsjt1aadkposzje))/reference/referencespapers.aspx?referenceid=2467912</int2:citationText>
                </int2:suggestion>
                <int2:suggestion int2:citationStyle="Chicago" int2:isIdentical="0">
                  <int2:citationText>“Zemek, F., Drtinova, L., Nepovimova, E., Sepsova, V ...” n.d., https://www.scirp.org/(S(351jmbntvnsjt1aadkposzje))/reference/referencespapers.aspx?referenceid=2467912.</int2:citationText>
                </int2:suggestion>
              </int2:suggestions>
            </int2:source>
            <int2:source int2:sourceType="Online" int2:sourceTitle="Neuroactive alkaloids that modulate the neuronal nicotinic ..." int2:sourceUrl="https://www.ncbi.nlm.nih.gov/pmc/articles/PMC4281424/" int2:sourceSnippet="Zemek F, Drtinova L, Nepovimova E, Sepsova V, Korabecny J, Klimes J, Kuca K. Outcomes of Alzheimer's disease therapy with acetylcholinesterase inhibitors and memantine. Expert Opin Drug Saf. 2014; 13 :759–774.">
              <int2:suggestions int2:citationType="Inline">
                <int2:suggestion int2:citationStyle="Mla" int2:isIdentical="0">
                  <int2:citationText>(“Neuroactive alkaloids that modulate the neuronal nicotinic ...”)</int2:citationText>
                </int2:suggestion>
                <int2:suggestion int2:citationStyle="Apa" int2:isIdentical="0">
                  <int2:citationText>(“Neuroactive alkaloids that modulate the neuronal nicotinic ...”)</int2:citationText>
                </int2:suggestion>
                <int2:suggestion int2:citationStyle="Chicago" int2:isIdentical="0">
                  <int2:citationText>(“Neuroactive alkaloids that modulate the neuronal nicotinic ...”)</int2:citationText>
                </int2:suggestion>
              </int2:suggestions>
              <int2:suggestions int2:citationType="Full">
                <int2:suggestion int2:citationStyle="Mla" int2:isIdentical="0">
                  <int2:citationText>&lt;i&gt;Neuroactive alkaloids that modulate the neuronal nicotinic ...&lt;/i&gt;, https://www.ncbi.nlm.nih.gov/pmc/articles/PMC4281424/.</int2:citationText>
                </int2:suggestion>
                <int2:suggestion int2:citationStyle="Apa" int2:isIdentical="0">
                  <int2:citationText>&lt;i&gt;Neuroactive alkaloids that modulate the neuronal nicotinic ...&lt;/i&gt;. (n.d.). Retrieved from https://www.ncbi.nlm.nih.gov/pmc/articles/PMC4281424/</int2:citationText>
                </int2:suggestion>
                <int2:suggestion int2:citationStyle="Chicago" int2:isIdentical="0">
                  <int2:citationText>“Neuroactive alkaloids that modulate the neuronal nicotinic ...” n.d., https://www.ncbi.nlm.nih.gov/pmc/articles/PMC4281424/.</int2:citationText>
                </int2:suggestion>
              </int2:suggestions>
            </int2:source>
            <int2:source int2:sourceType="Online" int2:sourceTitle="Hormone replacement therapy and Alzheimer's disease in ..." int2:sourceUrl="https://academicjournals.org/journal/JNBH/article-full-text/87A03CE56905" int2:sourceSnippet="Zemek F, Drtinova L, Nepovimova E, Sepsova V, Korabecny J, Klimes J Kuca K (2014). Outcomes of Alzheimer's disease therapy with acetylcholinesterase inhibitors and memantine. Expert Opin.">
              <int2:suggestions int2:citationType="Inline">
                <int2:suggestion int2:citationStyle="Mla" int2:isIdentical="0">
                  <int2:citationText>(“Hormone replacement therapy and Alzheimer's disease in ...”)</int2:citationText>
                </int2:suggestion>
                <int2:suggestion int2:citationStyle="Apa" int2:isIdentical="0">
                  <int2:citationText>(“Hormone replacement therapy and Alzheimer's disease in ...”)</int2:citationText>
                </int2:suggestion>
                <int2:suggestion int2:citationStyle="Chicago" int2:isIdentical="0">
                  <int2:citationText>(“Hormone replacement therapy and Alzheimer's disease in ...”)</int2:citationText>
                </int2:suggestion>
              </int2:suggestions>
              <int2:suggestions int2:citationType="Full">
                <int2:suggestion int2:citationStyle="Mla" int2:isIdentical="0">
                  <int2:citationText>&lt;i&gt;Hormone replacement therapy and Alzheimer's disease in ...&lt;/i&gt;, https://academicjournals.org/journal/JNBH/article-full-text/87A03CE56905.</int2:citationText>
                </int2:suggestion>
                <int2:suggestion int2:citationStyle="Apa" int2:isIdentical="0">
                  <int2:citationText>&lt;i&gt;Hormone replacement therapy and Alzheimer's disease in ...&lt;/i&gt;. (n.d.). Retrieved from https://academicjournals.org/journal/JNBH/article-full-text/87A03CE56905</int2:citationText>
                </int2:suggestion>
                <int2:suggestion int2:citationStyle="Chicago" int2:isIdentical="0">
                  <int2:citationText>“Hormone replacement therapy and Alzheimer's disease in ...” n.d., https://academicjournals.org/journal/JNBH/article-full-text/87A03CE56905.</int2:citationText>
                </int2:suggestion>
              </int2:suggestions>
            </int2:source>
          </int2:similarityCritique>
        </oel:ext>
      </int2:extLst>
    </int2:bookmark>
    <int2:bookmark int2:bookmarkName="_Int_3am06wfe" int2:invalidationBookmarkName="" int2:hashCode="/Iy5a/FPg/zvF2" int2:id="ZzRvIPOA">
      <int2:state int2:type="AugLoop_Similarity_SimilarityAnnotation" int2:value="Rejected"/>
      <int2:extLst>
        <oel:ext uri="426473B9-03D8-482F-96C9-C2C85392BACA">
          <int2:similarityCritique int2:version="1" int2:context="Donepezil, galantamine, rivastigmine and memantine for the treatment of Alzheimer’s disease Technology appraisal guidance.">
            <int2:source int2:sourceType="Online" int2:sourceTitle="Donepezil, galantamine, rivastigmine and memantine for the ..." int2:sourceUrl="https://www.nice.org.uk/guidance/ta217/resources/donepezil-galantamine-rivastigmine-and-memantine-for-the-treatment-of-alzheimers-disease-pdf-82600254699973" int2:sourceSnippet="Donepezil, galantamine, rivastigmine and memantine for the treatment of Alzheimer's disease Technology appraisal guidance Published: 23 March 2011">
              <int2:suggestions int2:citationType="Inline">
                <int2:suggestion int2:citationStyle="Mla" int2:isIdentical="0">
                  <int2:citationText>(“Donepezil, galantamine, rivastigmine and memantine for the ...”)</int2:citationText>
                </int2:suggestion>
                <int2:suggestion int2:citationStyle="Apa" int2:isIdentical="0">
                  <int2:citationText>(“Donepezil, galantamine, rivastigmine and memantine for the ...”)</int2:citationText>
                </int2:suggestion>
                <int2:suggestion int2:citationStyle="Chicago" int2:isIdentical="0">
                  <int2:citationText>(“Donepezil, galantamine, rivastigmine and memantine for the ...”)</int2:citationText>
                </int2:suggestion>
              </int2:suggestions>
              <int2:suggestions int2:citationType="Full">
                <int2:suggestion int2:citationStyle="Mla" int2:isIdentical="0">
                  <int2:citationText>&lt;i&gt;Donepezil, galantamine, rivastigmine and memantine for the ...&lt;/i&gt;, https://www.nice.org.uk/guidance/ta217/resources/donepezil-galantamine-rivastigmine-and-memantine-for-the-treatment-of-alzheimers-disease-pdf-82600254699973.</int2:citationText>
                </int2:suggestion>
                <int2:suggestion int2:citationStyle="Apa" int2:isIdentical="0">
                  <int2:citationText>&lt;i&gt;Donepezil, galantamine, rivastigmine and memantine for the ...&lt;/i&gt;. (n.d.). Retrieved from https://www.nice.org.uk/guidance/ta217/resources/donepezil-galantamine-rivastigmine-and-memantine-for-the-treatment-of-alzheimers-disease-pdf-82600254699973</int2:citationText>
                </int2:suggestion>
                <int2:suggestion int2:citationStyle="Chicago" int2:isIdentical="0">
                  <int2:citationText>“Donepezil, galantamine, rivastigmine and memantine for the ...” n.d., https://www.nice.org.uk/guidance/ta217/resources/donepezil-galantamine-rivastigmine-and-memantine-for-the-treatment-of-alzheimers-disease-pdf-82600254699973.</int2:citationText>
                </int2:suggestion>
              </int2:suggestions>
            </int2:source>
            <int2:source int2:sourceType="Online" int2:sourceTitle="Donepezil, galantamine, rivastigmine and memantine for the ..." int2:sourceUrl="https://www.nice.org.uk/guidance/ta217/chapter/4-Evidence-and-interpretation" int2:sourceSnippet="Donepezil, galantamine, rivastigmine and memantine for the treatment of Alzheimer's disease Technology appraisal guidance [TA217] Published: 23 March 2011 Last updated: 20 June 2018">
              <int2:suggestions int2:citationType="Inline">
                <int2:suggestion int2:citationStyle="Mla" int2:isIdentical="0">
                  <int2:citationText>(“Donepezil, galantamine, rivastigmine and memantine for the ...”)</int2:citationText>
                </int2:suggestion>
                <int2:suggestion int2:citationStyle="Apa" int2:isIdentical="0">
                  <int2:citationText>(“Donepezil, galantamine, rivastigmine and memantine for the ...”)</int2:citationText>
                </int2:suggestion>
                <int2:suggestion int2:citationStyle="Chicago" int2:isIdentical="0">
                  <int2:citationText>(“Donepezil, galantamine, rivastigmine and memantine for the ...”)</int2:citationText>
                </int2:suggestion>
              </int2:suggestions>
              <int2:suggestions int2:citationType="Full">
                <int2:suggestion int2:citationStyle="Mla" int2:isIdentical="0">
                  <int2:citationText>&lt;i&gt;Donepezil, galantamine, rivastigmine and memantine for the ...&lt;/i&gt;, https://www.nice.org.uk/guidance/ta217/chapter/4-Evidence-and-interpretation.</int2:citationText>
                </int2:suggestion>
                <int2:suggestion int2:citationStyle="Apa" int2:isIdentical="0">
                  <int2:citationText>&lt;i&gt;Donepezil, galantamine, rivastigmine and memantine for the ...&lt;/i&gt;. (n.d.). Retrieved from https://www.nice.org.uk/guidance/ta217/chapter/4-Evidence-and-interpretation</int2:citationText>
                </int2:suggestion>
                <int2:suggestion int2:citationStyle="Chicago" int2:isIdentical="0">
                  <int2:citationText>“Donepezil, galantamine, rivastigmine and memantine for the ...” n.d., https://www.nice.org.uk/guidance/ta217/chapter/4-Evidence-and-interpretation.</int2:citationText>
                </int2:suggestion>
              </int2:suggestions>
            </int2:source>
          </int2:similarityCritique>
        </oel:ext>
      </int2:extLst>
    </int2:bookmark>
    <int2:bookmark int2:bookmarkName="_Int_lQryonmL" int2:invalidationBookmarkName="" int2:hashCode="94jasMrjuXn1Vn" int2:id="ZKmylZ8U">
      <int2:state int2:type="AugLoop_Similarity_SimilarityAnnotation" int2:value="Rejected"/>
      <int2:extLst>
        <oel:ext uri="426473B9-03D8-482F-96C9-C2C85392BACA">
          <int2:similarityCritique int2:version="1" int2:context="Clare, L., Wilson, B.A., Carter, G., Breen, K., Gosses, A. and Hodges, J.R., 2000.">
            <int2:source int2:sourceType="Online" int2:sourceTitle="Clare, L., Wilson, B.A., Carter, G., Breen, K., Gosses, A ..." int2:sourceUrl="http://www.sciepub.com/reference/145868" int2:sourceSnippet="Clare, L., Wilson, B.A., Carter, G., Breen, K., Gosses, A., &amp; Hodges, J.R. (2000). Intervening with everyday memory problems in dementia of the Alzheimer type: An ...">
              <int2:suggestions int2:citationType="Inline">
                <int2:suggestion int2:citationStyle="Mla" int2:isIdentical="0">
                  <int2:citationText>(“Clare, L., Wilson, B.A., Carter, G., Breen, K., Gosses, A ...”)</int2:citationText>
                </int2:suggestion>
                <int2:suggestion int2:citationStyle="Apa" int2:isIdentical="0">
                  <int2:citationText>(“Clare, L., Wilson, B.A., Carter, G., Breen, K., Gosses, A ...”)</int2:citationText>
                </int2:suggestion>
                <int2:suggestion int2:citationStyle="Chicago" int2:isIdentical="0">
                  <int2:citationText>(“Clare, L., Wilson, B.A., Carter, G., Breen, K., Gosses, A ...”)</int2:citationText>
                </int2:suggestion>
              </int2:suggestions>
              <int2:suggestions int2:citationType="Full">
                <int2:suggestion int2:citationStyle="Mla" int2:isIdentical="0">
                  <int2:citationText>&lt;i&gt;Clare, L., Wilson, B.A., Carter, G., Breen, K., Gosses, A ...&lt;/i&gt;, http://www.sciepub.com/reference/145868.</int2:citationText>
                </int2:suggestion>
                <int2:suggestion int2:citationStyle="Apa" int2:isIdentical="0">
                  <int2:citationText>&lt;i&gt;Clare, L., Wilson, B.A., Carter, G., Breen, K., Gosses, A ...&lt;/i&gt;. (n.d.). Retrieved from http://www.sciepub.com/reference/145868</int2:citationText>
                </int2:suggestion>
                <int2:suggestion int2:citationStyle="Chicago" int2:isIdentical="0">
                  <int2:citationText>“Clare, L., Wilson, B.A., Carter, G., Breen, K., Gosses, A ...” n.d., http://www.sciepub.com/reference/145868.</int2:citationText>
                </int2:suggestion>
              </int2:suggestions>
            </int2:source>
          </int2:similarityCritique>
        </oel:ext>
      </int2:extLst>
    </int2:bookmark>
    <int2:bookmark int2:bookmarkName="_Int_a9pFJCEW" int2:invalidationBookmarkName="" int2:hashCode="hxP6kMD4P3e9we" int2:id="YT2bV4dc">
      <int2:state int2:type="AugLoop_Similarity_SimilarityAnnotation" int2:value="Rejected"/>
      <int2:extLst>
        <oel:ext uri="426473B9-03D8-482F-96C9-C2C85392BACA">
          <int2:similarityCritique int2:version="1" int2:context="American Psychiatric Association (2013) Diagnostic and Statistical Manual of Mental Disorders.">
            <int2:source int2:sourceType="Online" int2:sourceTitle="American Psychiatric Association (2013) Diagnostic and ..." int2:sourceUrl="https://www.scirp.org/reference/ReferencesPapers.aspx?ReferenceID=2348603" int2:sourceSnippet="American Psychiatric Association (2013) Diagnostic and Statistical Manual of Mental Disorders. 5th Edition, APA, Washington, DC. has been cited by the following article: TITLE: Psychological Issues for Patients Undergoing Stem Cell Therapy and Regenerative Medicine">
              <int2:suggestions int2:citationType="Inline">
                <int2:suggestion int2:citationStyle="Mla" int2:isIdentical="1">
                  <int2:citationText>(“American Psychiatric Association (2013) Diagnostic and ...”)</int2:citationText>
                </int2:suggestion>
                <int2:suggestion int2:citationStyle="Apa" int2:isIdentical="1">
                  <int2:citationText>(“American Psychiatric Association (2013) Diagnostic and ...”)</int2:citationText>
                </int2:suggestion>
                <int2:suggestion int2:citationStyle="Chicago" int2:isIdentical="1">
                  <int2:citationText>(“American Psychiatric Association (2013) Diagnostic and ...”)</int2:citationText>
                </int2:suggestion>
              </int2:suggestions>
              <int2:suggestions int2:citationType="Full">
                <int2:suggestion int2:citationStyle="Mla" int2:isIdentical="1">
                  <int2:citationText>&lt;i&gt;American Psychiatric Association (2013) Diagnostic and ...&lt;/i&gt;, https://www.scirp.org/reference/ReferencesPapers.aspx?ReferenceID=2348603.</int2:citationText>
                </int2:suggestion>
                <int2:suggestion int2:citationStyle="Apa" int2:isIdentical="1">
                  <int2:citationText>&lt;i&gt;American Psychiatric Association (2013) Diagnostic and ...&lt;/i&gt;. (n.d.). Retrieved from https://www.scirp.org/reference/ReferencesPapers.aspx?ReferenceID=2348603</int2:citationText>
                </int2:suggestion>
                <int2:suggestion int2:citationStyle="Chicago" int2:isIdentical="1">
                  <int2:citationText>“American Psychiatric Association (2013) Diagnostic and ...” n.d., https://www.scirp.org/reference/ReferencesPapers.aspx?ReferenceID=2348603.</int2:citationText>
                </int2:suggestion>
              </int2:suggestions>
            </int2:source>
            <int2:source int2:sourceType="Online" int2:sourceTitle="American Psychiatric Association (2013). Diagnostic and ..." int2:sourceUrl="https://www.scirp.org/reference/referencespapers.aspx?referenceid=2677377" int2:sourceSnippet="American Psychiatric Association (2013). Diagnostic and Statistical Manual of Mental Disorders (5th ed.). Arlington, VA American Psychiatric Publishing.">
              <int2:suggestions int2:citationType="Inline">
                <int2:suggestion int2:citationStyle="Mla" int2:isIdentical="0">
                  <int2:citationText>(“American Psychiatric Association (2013). Diagnostic and ...”)</int2:citationText>
                </int2:suggestion>
                <int2:suggestion int2:citationStyle="Apa" int2:isIdentical="0">
                  <int2:citationText>(“American Psychiatric Association (2013). Diagnostic and ...”)</int2:citationText>
                </int2:suggestion>
                <int2:suggestion int2:citationStyle="Chicago" int2:isIdentical="0">
                  <int2:citationText>(“American Psychiatric Association (2013). Diagnostic and ...”)</int2:citationText>
                </int2:suggestion>
              </int2:suggestions>
              <int2:suggestions int2:citationType="Full">
                <int2:suggestion int2:citationStyle="Mla" int2:isIdentical="0">
                  <int2:citationText>&lt;i&gt;American Psychiatric Association (2013). Diagnostic and ...&lt;/i&gt;, https://www.scirp.org/reference/referencespapers.aspx?referenceid=2677377.</int2:citationText>
                </int2:suggestion>
                <int2:suggestion int2:citationStyle="Apa" int2:isIdentical="0">
                  <int2:citationText>&lt;i&gt;American Psychiatric Association (2013). Diagnostic and ...&lt;/i&gt;. (n.d.). Retrieved from https://www.scirp.org/reference/referencespapers.aspx?referenceid=2677377</int2:citationText>
                </int2:suggestion>
                <int2:suggestion int2:citationStyle="Chicago" int2:isIdentical="0">
                  <int2:citationText>“American Psychiatric Association (2013). Diagnostic and ...” n.d., https://www.scirp.org/reference/referencespapers.aspx?referenceid=2677377.</int2:citationText>
                </int2:suggestion>
              </int2:suggestions>
            </int2:source>
            <int2:source int2:sourceType="Online" int2:sourceTitle="American Psychiatric Association Diagnostic And ..." int2:sourceUrl="https://archive.org/details/american-psychiatric-association-diagnostic-and-statistical-manual-of-mental-dis" int2:sourceSnippet="American Psychiatric Association Diagnostic And Statistical Manual Of Mental Disorders, 5th Edition DSM 5 American Psychiatric Publishing ( 2013) Item Preview remove-circle Share or Embed This Item. Share to Twitter. Share to Facebook. Share to Reddit. Share to Tumblr. Share to Pinterest.">
              <int2:suggestions int2:citationType="Inline">
                <int2:suggestion int2:citationStyle="Mla" int2:isIdentical="0">
                  <int2:citationText>(“American Psychiatric Association Diagnostic And ...”)</int2:citationText>
                </int2:suggestion>
                <int2:suggestion int2:citationStyle="Apa" int2:isIdentical="0">
                  <int2:citationText>(“American Psychiatric Association Diagnostic And ...”)</int2:citationText>
                </int2:suggestion>
                <int2:suggestion int2:citationStyle="Chicago" int2:isIdentical="0">
                  <int2:citationText>(“American Psychiatric Association Diagnostic And ...”)</int2:citationText>
                </int2:suggestion>
              </int2:suggestions>
              <int2:suggestions int2:citationType="Full">
                <int2:suggestion int2:citationStyle="Mla" int2:isIdentical="0">
                  <int2:citationText>&lt;i&gt;American Psychiatric Association Diagnostic And ...&lt;/i&gt;, https://archive.org/details/american-psychiatric-association-diagnostic-and-statistical-manual-of-mental-dis.</int2:citationText>
                </int2:suggestion>
                <int2:suggestion int2:citationStyle="Apa" int2:isIdentical="0">
                  <int2:citationText>&lt;i&gt;American Psychiatric Association Diagnostic And ...&lt;/i&gt;. (n.d.). Retrieved from https://archive.org/details/american-psychiatric-association-diagnostic-and-statistical-manual-of-mental-dis</int2:citationText>
                </int2:suggestion>
                <int2:suggestion int2:citationStyle="Chicago" int2:isIdentical="0">
                  <int2:citationText>“American Psychiatric Association Diagnostic And ...” n.d., https://archive.org/details/american-psychiatric-association-diagnostic-and-statistical-manual-of-mental-dis.</int2:citationText>
                </int2:suggestion>
              </int2:suggestions>
            </int2:source>
          </int2:similarityCritique>
        </oel:ext>
      </int2:extLst>
    </int2:bookmark>
    <int2:bookmark int2:bookmarkName="_Int_23GwnbB4" int2:invalidationBookmarkName="" int2:hashCode="MqKi+oYQwIA1A3" int2:id="YQAMP5Jh">
      <int2:state int2:type="LegacyProofing" int2:value="Rejected"/>
    </int2:bookmark>
    <int2:bookmark int2:bookmarkName="_Int_sklwpHEc" int2:invalidationBookmarkName="" int2:hashCode="/RKGNTVwxXA3mb" int2:id="O10aaXPw">
      <int2:state int2:type="LegacyProofing" int2:value="Rejected"/>
    </int2:bookmark>
    <int2:entireDocument int2:id="NLKIa9Pr">
      <int2:extLst>
        <oel:ext uri="E302BA01-7950-474C-9AD3-286E660C40A8">
          <int2:similaritySummary int2:version="1" int2:runId="1649695268321" int2:tilesCheckedInThisRun="111" int2:totalNumOfTiles="111" int2:similarityAnnotationCount="4" int2:numWords="4372" int2:numFlaggedWords="55"/>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F3EDA3C-4EF93C18 22BFDA9B-1F745195 0AA56287-1AFCE6E2 73D6378D-2B289974 0B4EEF4F-5EB0D21E 57013FE4-1BCFBCC2 3EB76B65-75966CD1 2F22F689-08DC0ACC 2EDF81FF-2C75A18A 518C574B-5418AF8B 224B0E45-6D9F6113 2A329DF7-7B18B684 148E3110-688457F0 7EEDCDB1-71C058C5 32D2C32F-76792B67 32AEE490-0D29AA37 19C68F22-72A45920 6283D486-411F285F 0ACAC648-3E158629 34152C9D-1D0544D3 3055FD28-119916CB 5E5787A5-12130FA4 5E08DEEA-4B6550A9 0F0E749D-49C97913 3EDFE66B-267C0E6D 7F32132C-66AE81A7 6D8182D0-7A64662A 498077E5-62B971B9 2AB47649-4BC13508 7F1C618C-2896EAB9 7450B541-471FB25D 0CBC65B7-5EB50318 33F8E8FE-2F213C01 0688E9E1-33DA19E6 197F6C6A-3C1476D4 60C95EB3-7BB3AACD 450AFBAF-2DE05F31 2E2BCD0B-33D99392 6F20DCA0-22E013D4 64A08793-115FCE2C 4993656B-7DD15454 375482A4-5CE09C0D 1C5F4F08-37ED9C64 4D35E312-243706A2 706B140C-2E267BDE 1D8145B4-3C6D20B5 16836B09-2E7D0658 7763DFD7-782537CF 1642F004-0050EF4B 2B551596-60059231 3D7D8373-1760CC89 616BC0A8-5E665126 15A92687-6FFD1C90 6765F664-72DF4D1A 53132BAE-4FE2AB15 4702C9CD-6A887D91 3C0B2D9E-38B43C13 790369BF-4CEABD51 62B6D9DA-6EA02894 09903493-0377EFF9 3A25D9B4-1347CF02 3CC6DA2D-29B57F61 104828EC-784338AB 105F57DB-718A6460 7FFF676F-754FCD76 4FE61847-16BC0507 59A9239A-4D2731A2 13066801-6AAE7355 5ECE60A4-0A1982AC 2F5EB96C-303E8F6C 5832BE78-5CCEC5D5 7416CDEC-658BBAFA 61D5291C-4C41BF99 37B7DCCB-7556398A 6F958C14-0519A2EB 6DF8721E-07DB5855 1103883A-17B8DEAC 685E9DBB-0F5F4AA4 08A1569F-4E075991 2B79AB68-773AC7E6 5C6EDDF0-0367714C 38087F65-20A85B2A 4B555B6F-799A67CD 1EC20313-76B94942 33943017-53408095 13617698-2127CAF9 4FCE1261-7EF91E58 7D2CD08D-1057EF90 3CBC3ACD-27685581 04626392-1E2F9754 663A24DA-63493DCB 7C8CD662-32367AB6 53BFAD49-4CECC4BD 29388B99-54DE7167 238C88BA-3C88570C 3F9E51B5-2F9626D9 6B2BD573-2AE034F1 6EC7D917-693556EE 4C78F07B-2FD0DDE8 26021198-4CCE4894 244DF936-41A14E8A 2F6FC902-7A3954EC 6C939771-7D011839 590B13EC-02396196 25000CA6-39932B13 212603FA-467396B1 4A53B948-6D70F132 185E6ADD-045F8E00 45BFBF48-5F9074BD 1FBA5C94-26CDE712 36E80D21-5392232C 7D2D1E67-19903228 222DBFE0-5BE8AFCA 113E962D-2FB58AF7 447EABFA-7382A87A 4D27D7B7-16D3372C 34088014-4E8DCD58 5D305031-25D6FA57 2BA7FAAB-6E0EDD14 6AB0DCEE-3C57CEAA 1BAB7CE0-6165FBBC 7EE4561D-520C1A7A 522D7092-436C03B0 6397F1F2-638564B3 641FE9FE-63339A90 09AB8170-026AFCB3 0EE08068-6A6DD3B7 5D0C8D18-0C8B42D6"/>
  </int2:onDemandWorkflow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A167BD"/>
    <w:rsid w:val="0022ABF8"/>
    <w:rsid w:val="004D4BB6"/>
    <w:rsid w:val="00651A75"/>
    <w:rsid w:val="00C544C0"/>
    <w:rsid w:val="00D0C82A"/>
    <w:rsid w:val="00E43663"/>
    <w:rsid w:val="00E43663"/>
    <w:rsid w:val="0165F46C"/>
    <w:rsid w:val="01B2133B"/>
    <w:rsid w:val="01D1E282"/>
    <w:rsid w:val="01E6E4D8"/>
    <w:rsid w:val="02318BED"/>
    <w:rsid w:val="0267E0F0"/>
    <w:rsid w:val="02977BA4"/>
    <w:rsid w:val="02BAD233"/>
    <w:rsid w:val="03003701"/>
    <w:rsid w:val="0308BA38"/>
    <w:rsid w:val="031B009B"/>
    <w:rsid w:val="032D3E4F"/>
    <w:rsid w:val="036C07BE"/>
    <w:rsid w:val="0377BC78"/>
    <w:rsid w:val="03C5325A"/>
    <w:rsid w:val="03FCE582"/>
    <w:rsid w:val="0470EAFD"/>
    <w:rsid w:val="04734AC6"/>
    <w:rsid w:val="04BA8D01"/>
    <w:rsid w:val="04C3C806"/>
    <w:rsid w:val="04D2E73B"/>
    <w:rsid w:val="054E01BF"/>
    <w:rsid w:val="05692CAF"/>
    <w:rsid w:val="0591DFA6"/>
    <w:rsid w:val="061113C1"/>
    <w:rsid w:val="061F443A"/>
    <w:rsid w:val="0648D1C4"/>
    <w:rsid w:val="069A3756"/>
    <w:rsid w:val="06C8963D"/>
    <w:rsid w:val="06C8A5AA"/>
    <w:rsid w:val="06D288F7"/>
    <w:rsid w:val="06EB9845"/>
    <w:rsid w:val="0704FD53"/>
    <w:rsid w:val="07126D14"/>
    <w:rsid w:val="0714DA05"/>
    <w:rsid w:val="072AD3D7"/>
    <w:rsid w:val="072DB007"/>
    <w:rsid w:val="07357F52"/>
    <w:rsid w:val="0737ADF8"/>
    <w:rsid w:val="073A4F8A"/>
    <w:rsid w:val="0745DECD"/>
    <w:rsid w:val="074C877B"/>
    <w:rsid w:val="07578ABB"/>
    <w:rsid w:val="076AECC7"/>
    <w:rsid w:val="07C841CA"/>
    <w:rsid w:val="07E1160D"/>
    <w:rsid w:val="07E4EAC5"/>
    <w:rsid w:val="087636D2"/>
    <w:rsid w:val="08C313D1"/>
    <w:rsid w:val="08D3016C"/>
    <w:rsid w:val="093D366C"/>
    <w:rsid w:val="0948F2F8"/>
    <w:rsid w:val="0950EB2A"/>
    <w:rsid w:val="0964122B"/>
    <w:rsid w:val="0980CABD"/>
    <w:rsid w:val="09895B30"/>
    <w:rsid w:val="09C9E2DE"/>
    <w:rsid w:val="09ED8766"/>
    <w:rsid w:val="09F24486"/>
    <w:rsid w:val="0A0DF013"/>
    <w:rsid w:val="0A3EC0FE"/>
    <w:rsid w:val="0ABDF1C5"/>
    <w:rsid w:val="0AE60779"/>
    <w:rsid w:val="0AECC047"/>
    <w:rsid w:val="0B12D0CA"/>
    <w:rsid w:val="0B16AC6A"/>
    <w:rsid w:val="0B1CC126"/>
    <w:rsid w:val="0B8E14E7"/>
    <w:rsid w:val="0B8E7706"/>
    <w:rsid w:val="0BADD794"/>
    <w:rsid w:val="0BB1337F"/>
    <w:rsid w:val="0BB2D991"/>
    <w:rsid w:val="0BE820ED"/>
    <w:rsid w:val="0C030948"/>
    <w:rsid w:val="0C1A3ED6"/>
    <w:rsid w:val="0C74D72E"/>
    <w:rsid w:val="0C79AEF5"/>
    <w:rsid w:val="0C7E5CAB"/>
    <w:rsid w:val="0C83C150"/>
    <w:rsid w:val="0C8A3244"/>
    <w:rsid w:val="0CA8E502"/>
    <w:rsid w:val="0CB89187"/>
    <w:rsid w:val="0CE77377"/>
    <w:rsid w:val="0CFB206B"/>
    <w:rsid w:val="0D425EF6"/>
    <w:rsid w:val="0D60DB92"/>
    <w:rsid w:val="0D6BE2DB"/>
    <w:rsid w:val="0D7C2C1A"/>
    <w:rsid w:val="0D80ECFE"/>
    <w:rsid w:val="0D85796B"/>
    <w:rsid w:val="0E0DF663"/>
    <w:rsid w:val="0E18F2FE"/>
    <w:rsid w:val="0E1A2D0C"/>
    <w:rsid w:val="0E37834E"/>
    <w:rsid w:val="0E3C13F1"/>
    <w:rsid w:val="0E4392A0"/>
    <w:rsid w:val="0E9D5401"/>
    <w:rsid w:val="0ECB9F5E"/>
    <w:rsid w:val="0ED338B4"/>
    <w:rsid w:val="0EED5189"/>
    <w:rsid w:val="0F060279"/>
    <w:rsid w:val="0F1FC1AF"/>
    <w:rsid w:val="0F3284A3"/>
    <w:rsid w:val="0F3AAA0A"/>
    <w:rsid w:val="0F4F056A"/>
    <w:rsid w:val="0F4F9701"/>
    <w:rsid w:val="1018F544"/>
    <w:rsid w:val="1032C12D"/>
    <w:rsid w:val="10676FBF"/>
    <w:rsid w:val="107E5675"/>
    <w:rsid w:val="10A3839D"/>
    <w:rsid w:val="10C3DBA7"/>
    <w:rsid w:val="10D3C999"/>
    <w:rsid w:val="10FA6E80"/>
    <w:rsid w:val="1148A63A"/>
    <w:rsid w:val="115093C0"/>
    <w:rsid w:val="1164EB2D"/>
    <w:rsid w:val="1172A4AE"/>
    <w:rsid w:val="117C5625"/>
    <w:rsid w:val="119CE8F7"/>
    <w:rsid w:val="11B9EE46"/>
    <w:rsid w:val="11D4F4C3"/>
    <w:rsid w:val="11D6995C"/>
    <w:rsid w:val="125A0BEC"/>
    <w:rsid w:val="125A6F57"/>
    <w:rsid w:val="125E557E"/>
    <w:rsid w:val="12734EFB"/>
    <w:rsid w:val="12A2B161"/>
    <w:rsid w:val="12A9466C"/>
    <w:rsid w:val="12E4769B"/>
    <w:rsid w:val="133B72ED"/>
    <w:rsid w:val="13482114"/>
    <w:rsid w:val="1350F217"/>
    <w:rsid w:val="13514EE0"/>
    <w:rsid w:val="1351D381"/>
    <w:rsid w:val="135BCB64"/>
    <w:rsid w:val="1366BC15"/>
    <w:rsid w:val="138080B7"/>
    <w:rsid w:val="13A3AB79"/>
    <w:rsid w:val="13B5F737"/>
    <w:rsid w:val="13EB6DE1"/>
    <w:rsid w:val="13F02E82"/>
    <w:rsid w:val="13FA53CA"/>
    <w:rsid w:val="1411E226"/>
    <w:rsid w:val="143BA982"/>
    <w:rsid w:val="14458E4B"/>
    <w:rsid w:val="1453A66D"/>
    <w:rsid w:val="14BB615C"/>
    <w:rsid w:val="150920FB"/>
    <w:rsid w:val="15873E42"/>
    <w:rsid w:val="15995F0D"/>
    <w:rsid w:val="15A51E91"/>
    <w:rsid w:val="15BFCC51"/>
    <w:rsid w:val="15E15EAC"/>
    <w:rsid w:val="162474A8"/>
    <w:rsid w:val="162632D6"/>
    <w:rsid w:val="1650630A"/>
    <w:rsid w:val="167313AF"/>
    <w:rsid w:val="1689817C"/>
    <w:rsid w:val="168FAC8D"/>
    <w:rsid w:val="1694F7AD"/>
    <w:rsid w:val="16D1EA7E"/>
    <w:rsid w:val="16ED97F9"/>
    <w:rsid w:val="1731F48C"/>
    <w:rsid w:val="1740EEF2"/>
    <w:rsid w:val="175C172D"/>
    <w:rsid w:val="1761E4EF"/>
    <w:rsid w:val="17BEF60E"/>
    <w:rsid w:val="17F31830"/>
    <w:rsid w:val="181C53D1"/>
    <w:rsid w:val="182A9090"/>
    <w:rsid w:val="182C1073"/>
    <w:rsid w:val="183CB8B8"/>
    <w:rsid w:val="184B777C"/>
    <w:rsid w:val="186DBADF"/>
    <w:rsid w:val="1877823E"/>
    <w:rsid w:val="188D12F0"/>
    <w:rsid w:val="18A7AEE5"/>
    <w:rsid w:val="18B39837"/>
    <w:rsid w:val="18BEDF04"/>
    <w:rsid w:val="18D0FFCF"/>
    <w:rsid w:val="18DCBF53"/>
    <w:rsid w:val="18FDB550"/>
    <w:rsid w:val="195BA5A5"/>
    <w:rsid w:val="196FFD12"/>
    <w:rsid w:val="198ED27F"/>
    <w:rsid w:val="1999BD7E"/>
    <w:rsid w:val="199B71D8"/>
    <w:rsid w:val="199BB143"/>
    <w:rsid w:val="19FAA5B3"/>
    <w:rsid w:val="1A0624D4"/>
    <w:rsid w:val="1A530C81"/>
    <w:rsid w:val="1A9B2006"/>
    <w:rsid w:val="1AB3F68E"/>
    <w:rsid w:val="1B2AA2E0"/>
    <w:rsid w:val="1B5FA3FA"/>
    <w:rsid w:val="1B73CCF6"/>
    <w:rsid w:val="1B766A41"/>
    <w:rsid w:val="1BA55BA1"/>
    <w:rsid w:val="1BA76917"/>
    <w:rsid w:val="1BCA303E"/>
    <w:rsid w:val="1BDA9E17"/>
    <w:rsid w:val="1BE11044"/>
    <w:rsid w:val="1C146015"/>
    <w:rsid w:val="1C211A98"/>
    <w:rsid w:val="1C6EEDAB"/>
    <w:rsid w:val="1C934667"/>
    <w:rsid w:val="1CA69D3C"/>
    <w:rsid w:val="1CA79DD4"/>
    <w:rsid w:val="1CF30C1C"/>
    <w:rsid w:val="1D0A0E50"/>
    <w:rsid w:val="1D1C2066"/>
    <w:rsid w:val="1D60FC87"/>
    <w:rsid w:val="1DE7737D"/>
    <w:rsid w:val="1E3BB98B"/>
    <w:rsid w:val="1E57CC04"/>
    <w:rsid w:val="1E82299A"/>
    <w:rsid w:val="1E873634"/>
    <w:rsid w:val="1F10A888"/>
    <w:rsid w:val="1F161B45"/>
    <w:rsid w:val="1F3174D0"/>
    <w:rsid w:val="1F3ACEAF"/>
    <w:rsid w:val="1F452048"/>
    <w:rsid w:val="1F54AAB5"/>
    <w:rsid w:val="1FCA8940"/>
    <w:rsid w:val="1FE9003E"/>
    <w:rsid w:val="1FFD7451"/>
    <w:rsid w:val="20088675"/>
    <w:rsid w:val="201D3B61"/>
    <w:rsid w:val="20455E08"/>
    <w:rsid w:val="20473E19"/>
    <w:rsid w:val="204FA225"/>
    <w:rsid w:val="2053C128"/>
    <w:rsid w:val="20942AC8"/>
    <w:rsid w:val="20D7004D"/>
    <w:rsid w:val="210A618A"/>
    <w:rsid w:val="211C921E"/>
    <w:rsid w:val="21AA0DBA"/>
    <w:rsid w:val="21B6262D"/>
    <w:rsid w:val="21B9CA5C"/>
    <w:rsid w:val="22028D6D"/>
    <w:rsid w:val="222BDE14"/>
    <w:rsid w:val="222F3A85"/>
    <w:rsid w:val="2252B541"/>
    <w:rsid w:val="22615AC9"/>
    <w:rsid w:val="22691592"/>
    <w:rsid w:val="22985018"/>
    <w:rsid w:val="22BE1963"/>
    <w:rsid w:val="22E1D88C"/>
    <w:rsid w:val="230DD778"/>
    <w:rsid w:val="232F0D23"/>
    <w:rsid w:val="2363092C"/>
    <w:rsid w:val="2363F2A9"/>
    <w:rsid w:val="23A26355"/>
    <w:rsid w:val="23AEA793"/>
    <w:rsid w:val="23CF9442"/>
    <w:rsid w:val="23DD20EC"/>
    <w:rsid w:val="23E7CD06"/>
    <w:rsid w:val="23E8690B"/>
    <w:rsid w:val="23FD8C67"/>
    <w:rsid w:val="2404E5F3"/>
    <w:rsid w:val="2408E4E6"/>
    <w:rsid w:val="24140892"/>
    <w:rsid w:val="241F71FA"/>
    <w:rsid w:val="242D30AC"/>
    <w:rsid w:val="243C21CC"/>
    <w:rsid w:val="24668702"/>
    <w:rsid w:val="2469AE30"/>
    <w:rsid w:val="249E8096"/>
    <w:rsid w:val="24CAA1B0"/>
    <w:rsid w:val="24D244A5"/>
    <w:rsid w:val="24E0ECE2"/>
    <w:rsid w:val="252039BC"/>
    <w:rsid w:val="25231348"/>
    <w:rsid w:val="25599BB3"/>
    <w:rsid w:val="258A5603"/>
    <w:rsid w:val="25921B3F"/>
    <w:rsid w:val="25A0B654"/>
    <w:rsid w:val="25AA1033"/>
    <w:rsid w:val="25AED481"/>
    <w:rsid w:val="25D46AB8"/>
    <w:rsid w:val="25E02821"/>
    <w:rsid w:val="2666ADE5"/>
    <w:rsid w:val="267550F6"/>
    <w:rsid w:val="267FEBCE"/>
    <w:rsid w:val="26BEE3A9"/>
    <w:rsid w:val="26F1F60E"/>
    <w:rsid w:val="26FA40DE"/>
    <w:rsid w:val="27114F9B"/>
    <w:rsid w:val="27262664"/>
    <w:rsid w:val="27291AB0"/>
    <w:rsid w:val="272FEEFC"/>
    <w:rsid w:val="275712BC"/>
    <w:rsid w:val="2779AE02"/>
    <w:rsid w:val="27918A86"/>
    <w:rsid w:val="279B1E9F"/>
    <w:rsid w:val="279B405D"/>
    <w:rsid w:val="279D1FCF"/>
    <w:rsid w:val="279D58D8"/>
    <w:rsid w:val="279E27C4"/>
    <w:rsid w:val="27A56708"/>
    <w:rsid w:val="27B1DC26"/>
    <w:rsid w:val="27D55986"/>
    <w:rsid w:val="28088636"/>
    <w:rsid w:val="2844478C"/>
    <w:rsid w:val="285E80B2"/>
    <w:rsid w:val="2866DA3C"/>
    <w:rsid w:val="286CC3C2"/>
    <w:rsid w:val="28896615"/>
    <w:rsid w:val="288C40C9"/>
    <w:rsid w:val="28A8DFAD"/>
    <w:rsid w:val="28C161F1"/>
    <w:rsid w:val="28C2C045"/>
    <w:rsid w:val="28DC5609"/>
    <w:rsid w:val="298DEB39"/>
    <w:rsid w:val="29FA5113"/>
    <w:rsid w:val="2A253676"/>
    <w:rsid w:val="2A3215ED"/>
    <w:rsid w:val="2A41F540"/>
    <w:rsid w:val="2A7D8156"/>
    <w:rsid w:val="2A84F2F6"/>
    <w:rsid w:val="2A9D78A4"/>
    <w:rsid w:val="2ACA61D3"/>
    <w:rsid w:val="2B016245"/>
    <w:rsid w:val="2B107845"/>
    <w:rsid w:val="2B1C722C"/>
    <w:rsid w:val="2B498859"/>
    <w:rsid w:val="2B6ADB49"/>
    <w:rsid w:val="2B8C4E44"/>
    <w:rsid w:val="2BC22793"/>
    <w:rsid w:val="2BCCCEAE"/>
    <w:rsid w:val="2BE017EE"/>
    <w:rsid w:val="2C1B6140"/>
    <w:rsid w:val="2C228A1B"/>
    <w:rsid w:val="2C9FE160"/>
    <w:rsid w:val="2CB896E2"/>
    <w:rsid w:val="2CDBF759"/>
    <w:rsid w:val="2CF5372B"/>
    <w:rsid w:val="2D051E75"/>
    <w:rsid w:val="2D191BD3"/>
    <w:rsid w:val="2D261472"/>
    <w:rsid w:val="2D4034E5"/>
    <w:rsid w:val="2D486FF1"/>
    <w:rsid w:val="2D5DF7F4"/>
    <w:rsid w:val="2D689F0F"/>
    <w:rsid w:val="2DB52218"/>
    <w:rsid w:val="2DE014F2"/>
    <w:rsid w:val="2DEFA289"/>
    <w:rsid w:val="2DEFAC71"/>
    <w:rsid w:val="2E1E0A06"/>
    <w:rsid w:val="2E481907"/>
    <w:rsid w:val="2E72C505"/>
    <w:rsid w:val="2E9E84B8"/>
    <w:rsid w:val="2EA554A4"/>
    <w:rsid w:val="2EB4EC34"/>
    <w:rsid w:val="2ED1E314"/>
    <w:rsid w:val="2ED6679B"/>
    <w:rsid w:val="2EEB4713"/>
    <w:rsid w:val="2F342C95"/>
    <w:rsid w:val="2F532489"/>
    <w:rsid w:val="2FC93ECF"/>
    <w:rsid w:val="2FCCF7AD"/>
    <w:rsid w:val="2FD4E778"/>
    <w:rsid w:val="2FD78222"/>
    <w:rsid w:val="30144C7C"/>
    <w:rsid w:val="3020E4BB"/>
    <w:rsid w:val="303079AA"/>
    <w:rsid w:val="3050BC95"/>
    <w:rsid w:val="30582CA8"/>
    <w:rsid w:val="306BA5FF"/>
    <w:rsid w:val="307086E2"/>
    <w:rsid w:val="307237FC"/>
    <w:rsid w:val="3078FF52"/>
    <w:rsid w:val="30BD60A1"/>
    <w:rsid w:val="30DD91DA"/>
    <w:rsid w:val="30EED263"/>
    <w:rsid w:val="310ADB93"/>
    <w:rsid w:val="31274D33"/>
    <w:rsid w:val="313C8419"/>
    <w:rsid w:val="31C99532"/>
    <w:rsid w:val="31CC4A0B"/>
    <w:rsid w:val="32077660"/>
    <w:rsid w:val="320983D6"/>
    <w:rsid w:val="3219FAB2"/>
    <w:rsid w:val="323C02F9"/>
    <w:rsid w:val="32665A9A"/>
    <w:rsid w:val="327294F0"/>
    <w:rsid w:val="328726E2"/>
    <w:rsid w:val="329E5A7F"/>
    <w:rsid w:val="32C94102"/>
    <w:rsid w:val="32E409A9"/>
    <w:rsid w:val="3352AAD9"/>
    <w:rsid w:val="335E3887"/>
    <w:rsid w:val="3376D0C4"/>
    <w:rsid w:val="3378C5C7"/>
    <w:rsid w:val="33A9DD93"/>
    <w:rsid w:val="33AED7C3"/>
    <w:rsid w:val="33F3464B"/>
    <w:rsid w:val="33FC6DDF"/>
    <w:rsid w:val="341B1A20"/>
    <w:rsid w:val="3439096C"/>
    <w:rsid w:val="34427C55"/>
    <w:rsid w:val="346626BB"/>
    <w:rsid w:val="34B917D7"/>
    <w:rsid w:val="34EE7B3A"/>
    <w:rsid w:val="35020282"/>
    <w:rsid w:val="35149628"/>
    <w:rsid w:val="35312657"/>
    <w:rsid w:val="3532C0AC"/>
    <w:rsid w:val="35983E40"/>
    <w:rsid w:val="35BE7F2E"/>
    <w:rsid w:val="35C2C697"/>
    <w:rsid w:val="35D1F4DD"/>
    <w:rsid w:val="35DE4CB6"/>
    <w:rsid w:val="36330D53"/>
    <w:rsid w:val="3651B956"/>
    <w:rsid w:val="3654E838"/>
    <w:rsid w:val="36765312"/>
    <w:rsid w:val="370F741C"/>
    <w:rsid w:val="37137D64"/>
    <w:rsid w:val="372AE70D"/>
    <w:rsid w:val="375E13E7"/>
    <w:rsid w:val="375E96F8"/>
    <w:rsid w:val="3767DDE7"/>
    <w:rsid w:val="3767DDE7"/>
    <w:rsid w:val="377A1659"/>
    <w:rsid w:val="37C4F985"/>
    <w:rsid w:val="37C96C49"/>
    <w:rsid w:val="37F0B899"/>
    <w:rsid w:val="38122373"/>
    <w:rsid w:val="3839A344"/>
    <w:rsid w:val="3847D11C"/>
    <w:rsid w:val="38526BB4"/>
    <w:rsid w:val="385F4304"/>
    <w:rsid w:val="386A616E"/>
    <w:rsid w:val="38CFDF02"/>
    <w:rsid w:val="38E00815"/>
    <w:rsid w:val="38ED3544"/>
    <w:rsid w:val="3909EDD6"/>
    <w:rsid w:val="3915E6BA"/>
    <w:rsid w:val="3929B487"/>
    <w:rsid w:val="393394AD"/>
    <w:rsid w:val="3938F5CE"/>
    <w:rsid w:val="39895A18"/>
    <w:rsid w:val="398BDDF8"/>
    <w:rsid w:val="39AC988E"/>
    <w:rsid w:val="39E2ED91"/>
    <w:rsid w:val="39E63CC6"/>
    <w:rsid w:val="3A04DBA1"/>
    <w:rsid w:val="3A4714DE"/>
    <w:rsid w:val="3A8905A5"/>
    <w:rsid w:val="3A950F6F"/>
    <w:rsid w:val="3AA167BD"/>
    <w:rsid w:val="3AACC4CE"/>
    <w:rsid w:val="3AC3F28D"/>
    <w:rsid w:val="3AD5F331"/>
    <w:rsid w:val="3AEDC08B"/>
    <w:rsid w:val="3B2AAC71"/>
    <w:rsid w:val="3B36FAAD"/>
    <w:rsid w:val="3B486932"/>
    <w:rsid w:val="3B6AAF4F"/>
    <w:rsid w:val="3B714406"/>
    <w:rsid w:val="3B7486F8"/>
    <w:rsid w:val="3B78914F"/>
    <w:rsid w:val="3B7F71DE"/>
    <w:rsid w:val="3B8D3090"/>
    <w:rsid w:val="3B989A3B"/>
    <w:rsid w:val="3B9AF69A"/>
    <w:rsid w:val="3B9B5CC2"/>
    <w:rsid w:val="3BA0C14B"/>
    <w:rsid w:val="3BA1C4C7"/>
    <w:rsid w:val="3BB432C4"/>
    <w:rsid w:val="3BB96CBB"/>
    <w:rsid w:val="3BF7D789"/>
    <w:rsid w:val="3C667257"/>
    <w:rsid w:val="3C709690"/>
    <w:rsid w:val="3C8F395E"/>
    <w:rsid w:val="3CA4F4B8"/>
    <w:rsid w:val="3CAA4E23"/>
    <w:rsid w:val="3CC0FADA"/>
    <w:rsid w:val="3CD2CB0E"/>
    <w:rsid w:val="3CD626F9"/>
    <w:rsid w:val="3CDC286B"/>
    <w:rsid w:val="3CEB1F67"/>
    <w:rsid w:val="3CF0E7BA"/>
    <w:rsid w:val="3CF505F4"/>
    <w:rsid w:val="3D067FB0"/>
    <w:rsid w:val="3D0A1017"/>
    <w:rsid w:val="3D0A1017"/>
    <w:rsid w:val="3D296598"/>
    <w:rsid w:val="3D346A9C"/>
    <w:rsid w:val="3D3AFBA6"/>
    <w:rsid w:val="3D7EB5A0"/>
    <w:rsid w:val="3DB62F63"/>
    <w:rsid w:val="3DF26AAE"/>
    <w:rsid w:val="3E5CCB3B"/>
    <w:rsid w:val="3E6836E8"/>
    <w:rsid w:val="3E6E9B6F"/>
    <w:rsid w:val="3E71F75A"/>
    <w:rsid w:val="3E71F75A"/>
    <w:rsid w:val="3E8EEFDD"/>
    <w:rsid w:val="3E952D0D"/>
    <w:rsid w:val="3EA641B5"/>
    <w:rsid w:val="3EA90A8A"/>
    <w:rsid w:val="3EB00C09"/>
    <w:rsid w:val="3EF0263A"/>
    <w:rsid w:val="3F1A8601"/>
    <w:rsid w:val="3F2F784B"/>
    <w:rsid w:val="3F4EB4C5"/>
    <w:rsid w:val="3F711DEA"/>
    <w:rsid w:val="3F85283E"/>
    <w:rsid w:val="3FA2746E"/>
    <w:rsid w:val="3FC6DA20"/>
    <w:rsid w:val="3FCD65E5"/>
    <w:rsid w:val="3FDA913C"/>
    <w:rsid w:val="3FF16C89"/>
    <w:rsid w:val="4028887C"/>
    <w:rsid w:val="403C55ED"/>
    <w:rsid w:val="405AD087"/>
    <w:rsid w:val="40729C68"/>
    <w:rsid w:val="40B12CFB"/>
    <w:rsid w:val="40DA269E"/>
    <w:rsid w:val="41159152"/>
    <w:rsid w:val="416114E8"/>
    <w:rsid w:val="41621365"/>
    <w:rsid w:val="41874C77"/>
    <w:rsid w:val="41EA5B5B"/>
    <w:rsid w:val="41FCAFC0"/>
    <w:rsid w:val="42055879"/>
    <w:rsid w:val="420A381E"/>
    <w:rsid w:val="424CFD5C"/>
    <w:rsid w:val="424ED09E"/>
    <w:rsid w:val="4277A99A"/>
    <w:rsid w:val="42866D9E"/>
    <w:rsid w:val="42A1499F"/>
    <w:rsid w:val="42E0138F"/>
    <w:rsid w:val="42F21D0F"/>
    <w:rsid w:val="42F834C0"/>
    <w:rsid w:val="43115A39"/>
    <w:rsid w:val="43537B17"/>
    <w:rsid w:val="43862BBC"/>
    <w:rsid w:val="438A83C3"/>
    <w:rsid w:val="43A128DA"/>
    <w:rsid w:val="43A61C4C"/>
    <w:rsid w:val="43D090D6"/>
    <w:rsid w:val="443D1A00"/>
    <w:rsid w:val="44448475"/>
    <w:rsid w:val="44470669"/>
    <w:rsid w:val="44589961"/>
    <w:rsid w:val="44608DA5"/>
    <w:rsid w:val="447E34DA"/>
    <w:rsid w:val="4495B89E"/>
    <w:rsid w:val="44F2387D"/>
    <w:rsid w:val="45228226"/>
    <w:rsid w:val="45265424"/>
    <w:rsid w:val="45303128"/>
    <w:rsid w:val="45450741"/>
    <w:rsid w:val="45811D8E"/>
    <w:rsid w:val="4631E2F8"/>
    <w:rsid w:val="468202FF"/>
    <w:rsid w:val="4687C292"/>
    <w:rsid w:val="4688F0CA"/>
    <w:rsid w:val="468921C3"/>
    <w:rsid w:val="468E08DE"/>
    <w:rsid w:val="46A1F864"/>
    <w:rsid w:val="46B5B6AB"/>
    <w:rsid w:val="46BD509D"/>
    <w:rsid w:val="46D743DD"/>
    <w:rsid w:val="46DE0F69"/>
    <w:rsid w:val="46F10B4D"/>
    <w:rsid w:val="46F4957C"/>
    <w:rsid w:val="47083198"/>
    <w:rsid w:val="4785FDEC"/>
    <w:rsid w:val="47982E67"/>
    <w:rsid w:val="47B48AFC"/>
    <w:rsid w:val="47CBA5E3"/>
    <w:rsid w:val="481D8B03"/>
    <w:rsid w:val="48560CD4"/>
    <w:rsid w:val="4856AC43"/>
    <w:rsid w:val="48A401F9"/>
    <w:rsid w:val="4910A26E"/>
    <w:rsid w:val="49308B20"/>
    <w:rsid w:val="49500164"/>
    <w:rsid w:val="496929C1"/>
    <w:rsid w:val="49C4AD81"/>
    <w:rsid w:val="49D0C675"/>
    <w:rsid w:val="4A831B27"/>
    <w:rsid w:val="4ABE386B"/>
    <w:rsid w:val="4AC0A4BD"/>
    <w:rsid w:val="4B10A798"/>
    <w:rsid w:val="4B154D84"/>
    <w:rsid w:val="4B63D6FF"/>
    <w:rsid w:val="4BCDD94A"/>
    <w:rsid w:val="4C136C51"/>
    <w:rsid w:val="4C4AC240"/>
    <w:rsid w:val="4C63AB46"/>
    <w:rsid w:val="4C8B3D81"/>
    <w:rsid w:val="4C9F1706"/>
    <w:rsid w:val="4D2BA8AA"/>
    <w:rsid w:val="4D413C27"/>
    <w:rsid w:val="4DBDC211"/>
    <w:rsid w:val="4DE5F619"/>
    <w:rsid w:val="4E03FC43"/>
    <w:rsid w:val="4E1D0F52"/>
    <w:rsid w:val="4E1DA941"/>
    <w:rsid w:val="4E4F14B2"/>
    <w:rsid w:val="4E7A5C02"/>
    <w:rsid w:val="4E9B77C1"/>
    <w:rsid w:val="4EAC8331"/>
    <w:rsid w:val="4ED523F0"/>
    <w:rsid w:val="4EE9D26F"/>
    <w:rsid w:val="4F168929"/>
    <w:rsid w:val="4F1F9632"/>
    <w:rsid w:val="4F357D00"/>
    <w:rsid w:val="4F6ACBB4"/>
    <w:rsid w:val="4FB48B83"/>
    <w:rsid w:val="4FCA6152"/>
    <w:rsid w:val="4FCBB5DA"/>
    <w:rsid w:val="50162C63"/>
    <w:rsid w:val="502EA4D8"/>
    <w:rsid w:val="5035438B"/>
    <w:rsid w:val="503A12E3"/>
    <w:rsid w:val="504B0A86"/>
    <w:rsid w:val="50ED66DB"/>
    <w:rsid w:val="5147A510"/>
    <w:rsid w:val="515FF69E"/>
    <w:rsid w:val="51C287B3"/>
    <w:rsid w:val="522E141F"/>
    <w:rsid w:val="525500D8"/>
    <w:rsid w:val="52B8303C"/>
    <w:rsid w:val="52D89133"/>
    <w:rsid w:val="52E81BA0"/>
    <w:rsid w:val="52FE24DF"/>
    <w:rsid w:val="530E588A"/>
    <w:rsid w:val="532275B8"/>
    <w:rsid w:val="532780E7"/>
    <w:rsid w:val="5328D6D2"/>
    <w:rsid w:val="533D9653"/>
    <w:rsid w:val="534BC335"/>
    <w:rsid w:val="53504FE5"/>
    <w:rsid w:val="53817153"/>
    <w:rsid w:val="539C43DF"/>
    <w:rsid w:val="53A91EF6"/>
    <w:rsid w:val="53F6E95F"/>
    <w:rsid w:val="544B5897"/>
    <w:rsid w:val="54C57E59"/>
    <w:rsid w:val="54DB5F5F"/>
    <w:rsid w:val="54DEB584"/>
    <w:rsid w:val="54EF33EA"/>
    <w:rsid w:val="550CD2E5"/>
    <w:rsid w:val="551C42B1"/>
    <w:rsid w:val="5523DE49"/>
    <w:rsid w:val="55384FBB"/>
    <w:rsid w:val="553D84E5"/>
    <w:rsid w:val="553E629C"/>
    <w:rsid w:val="5570030D"/>
    <w:rsid w:val="56569F65"/>
    <w:rsid w:val="5666999A"/>
    <w:rsid w:val="56771D74"/>
    <w:rsid w:val="5684BDFF"/>
    <w:rsid w:val="568B044B"/>
    <w:rsid w:val="5695C9E4"/>
    <w:rsid w:val="56A7021A"/>
    <w:rsid w:val="56B8DFA0"/>
    <w:rsid w:val="56BC76AC"/>
    <w:rsid w:val="56BFAEAA"/>
    <w:rsid w:val="56C97E43"/>
    <w:rsid w:val="56D95546"/>
    <w:rsid w:val="56E035D5"/>
    <w:rsid w:val="57267EFF"/>
    <w:rsid w:val="57339689"/>
    <w:rsid w:val="5735D440"/>
    <w:rsid w:val="573A9120"/>
    <w:rsid w:val="575E7C9F"/>
    <w:rsid w:val="5761FA9C"/>
    <w:rsid w:val="5782C00D"/>
    <w:rsid w:val="578BB6EB"/>
    <w:rsid w:val="579B0AB0"/>
    <w:rsid w:val="57A932C5"/>
    <w:rsid w:val="5813A9EA"/>
    <w:rsid w:val="5842D27B"/>
    <w:rsid w:val="58654EA4"/>
    <w:rsid w:val="5866FCC6"/>
    <w:rsid w:val="58C2FB15"/>
    <w:rsid w:val="5921905E"/>
    <w:rsid w:val="592876FB"/>
    <w:rsid w:val="5948F96A"/>
    <w:rsid w:val="59645447"/>
    <w:rsid w:val="596D6663"/>
    <w:rsid w:val="596E12B4"/>
    <w:rsid w:val="59858794"/>
    <w:rsid w:val="5991B73C"/>
    <w:rsid w:val="59BF9169"/>
    <w:rsid w:val="59C2FD74"/>
    <w:rsid w:val="59D849FC"/>
    <w:rsid w:val="59DEA2DC"/>
    <w:rsid w:val="59E4CBFC"/>
    <w:rsid w:val="59E6556B"/>
    <w:rsid w:val="59FB9CB1"/>
    <w:rsid w:val="5A0C6CEC"/>
    <w:rsid w:val="5A0E160F"/>
    <w:rsid w:val="5A0F72D1"/>
    <w:rsid w:val="5A194F1D"/>
    <w:rsid w:val="5A999B5E"/>
    <w:rsid w:val="5ABD60BF"/>
    <w:rsid w:val="5AC357AD"/>
    <w:rsid w:val="5AC4475C"/>
    <w:rsid w:val="5B2157F5"/>
    <w:rsid w:val="5B246F8C"/>
    <w:rsid w:val="5B60D26C"/>
    <w:rsid w:val="5B89ADB0"/>
    <w:rsid w:val="5BF236BF"/>
    <w:rsid w:val="5C257875"/>
    <w:rsid w:val="5C7DF59D"/>
    <w:rsid w:val="5C9F5041"/>
    <w:rsid w:val="5CA83FA9"/>
    <w:rsid w:val="5CB54EE0"/>
    <w:rsid w:val="5CC251D4"/>
    <w:rsid w:val="5CE49E02"/>
    <w:rsid w:val="5D2F1431"/>
    <w:rsid w:val="5D92A380"/>
    <w:rsid w:val="5DD89F0B"/>
    <w:rsid w:val="5E13CE71"/>
    <w:rsid w:val="5E59F5E5"/>
    <w:rsid w:val="5E746A2C"/>
    <w:rsid w:val="5E8FCE4F"/>
    <w:rsid w:val="5ED55668"/>
    <w:rsid w:val="5EE18732"/>
    <w:rsid w:val="5F1430E7"/>
    <w:rsid w:val="5F15D580"/>
    <w:rsid w:val="5F193465"/>
    <w:rsid w:val="5F3394B5"/>
    <w:rsid w:val="5F46DB9A"/>
    <w:rsid w:val="5F74F3E3"/>
    <w:rsid w:val="5FB6AC27"/>
    <w:rsid w:val="5FB95D58"/>
    <w:rsid w:val="5FC46EF6"/>
    <w:rsid w:val="5FF0B4C3"/>
    <w:rsid w:val="604CE841"/>
    <w:rsid w:val="6051D00C"/>
    <w:rsid w:val="60701CA5"/>
    <w:rsid w:val="6087181B"/>
    <w:rsid w:val="60F9DAF2"/>
    <w:rsid w:val="610A9A2E"/>
    <w:rsid w:val="6110C444"/>
    <w:rsid w:val="612CA243"/>
    <w:rsid w:val="613AB88D"/>
    <w:rsid w:val="613ECC43"/>
    <w:rsid w:val="61556D24"/>
    <w:rsid w:val="616BE450"/>
    <w:rsid w:val="6175B00F"/>
    <w:rsid w:val="61792499"/>
    <w:rsid w:val="617E07EE"/>
    <w:rsid w:val="6182A8AE"/>
    <w:rsid w:val="619DFA6C"/>
    <w:rsid w:val="61BEE6F1"/>
    <w:rsid w:val="61DBC813"/>
    <w:rsid w:val="61ED2059"/>
    <w:rsid w:val="61F18B21"/>
    <w:rsid w:val="61FBB809"/>
    <w:rsid w:val="62207903"/>
    <w:rsid w:val="624D7642"/>
    <w:rsid w:val="6250063B"/>
    <w:rsid w:val="626F2F98"/>
    <w:rsid w:val="629BCF31"/>
    <w:rsid w:val="62F61090"/>
    <w:rsid w:val="62FC2696"/>
    <w:rsid w:val="631596C7"/>
    <w:rsid w:val="632C69DA"/>
    <w:rsid w:val="633C781F"/>
    <w:rsid w:val="639A7CC7"/>
    <w:rsid w:val="63B38CDE"/>
    <w:rsid w:val="63B8FB7E"/>
    <w:rsid w:val="63CB98B0"/>
    <w:rsid w:val="64317BB4"/>
    <w:rsid w:val="6437ACCB"/>
    <w:rsid w:val="644A5A8F"/>
    <w:rsid w:val="64766D05"/>
    <w:rsid w:val="64A8EC28"/>
    <w:rsid w:val="64C83A3B"/>
    <w:rsid w:val="64D3CB3D"/>
    <w:rsid w:val="64D84880"/>
    <w:rsid w:val="6545F5FD"/>
    <w:rsid w:val="654A7518"/>
    <w:rsid w:val="658A7825"/>
    <w:rsid w:val="659CF4C1"/>
    <w:rsid w:val="65CD4C15"/>
    <w:rsid w:val="65F81E88"/>
    <w:rsid w:val="6629AEF2"/>
    <w:rsid w:val="6633C758"/>
    <w:rsid w:val="6642E286"/>
    <w:rsid w:val="66640A9C"/>
    <w:rsid w:val="67005129"/>
    <w:rsid w:val="67071CF8"/>
    <w:rsid w:val="672EFE5F"/>
    <w:rsid w:val="676474DF"/>
    <w:rsid w:val="676B4445"/>
    <w:rsid w:val="67708C70"/>
    <w:rsid w:val="67733F04"/>
    <w:rsid w:val="6791C152"/>
    <w:rsid w:val="67928AE3"/>
    <w:rsid w:val="67A8D172"/>
    <w:rsid w:val="67D8C1D5"/>
    <w:rsid w:val="67DAA8BD"/>
    <w:rsid w:val="67EC78F1"/>
    <w:rsid w:val="67F8DF5A"/>
    <w:rsid w:val="680AEF12"/>
    <w:rsid w:val="682E95B2"/>
    <w:rsid w:val="683065BC"/>
    <w:rsid w:val="685E7588"/>
    <w:rsid w:val="68734444"/>
    <w:rsid w:val="689C218A"/>
    <w:rsid w:val="68D0B769"/>
    <w:rsid w:val="68D49583"/>
    <w:rsid w:val="68D928DD"/>
    <w:rsid w:val="6904ECD7"/>
    <w:rsid w:val="69426A11"/>
    <w:rsid w:val="69426A11"/>
    <w:rsid w:val="696B681A"/>
    <w:rsid w:val="69EB4CFF"/>
    <w:rsid w:val="6A0FFE1C"/>
    <w:rsid w:val="6A582664"/>
    <w:rsid w:val="6A75774B"/>
    <w:rsid w:val="6A89DFBA"/>
    <w:rsid w:val="6AABC319"/>
    <w:rsid w:val="6ACCE431"/>
    <w:rsid w:val="6AE69301"/>
    <w:rsid w:val="6B07387B"/>
    <w:rsid w:val="6B39C4D7"/>
    <w:rsid w:val="6B877B49"/>
    <w:rsid w:val="6BCD3E6A"/>
    <w:rsid w:val="6BEF9570"/>
    <w:rsid w:val="6BF3F6C5"/>
    <w:rsid w:val="6BF7B4CC"/>
    <w:rsid w:val="6BFD55E1"/>
    <w:rsid w:val="6C2A05DD"/>
    <w:rsid w:val="6C6D83EA"/>
    <w:rsid w:val="6C766D4C"/>
    <w:rsid w:val="6CBFEA14"/>
    <w:rsid w:val="6CC60CD2"/>
    <w:rsid w:val="6CD34C20"/>
    <w:rsid w:val="6D00B9DC"/>
    <w:rsid w:val="6D37DF85"/>
    <w:rsid w:val="6D65DA64"/>
    <w:rsid w:val="6D6F92AD"/>
    <w:rsid w:val="6D95C585"/>
    <w:rsid w:val="6D9A9916"/>
    <w:rsid w:val="6DC32714"/>
    <w:rsid w:val="6DE4BDE3"/>
    <w:rsid w:val="6DF15A01"/>
    <w:rsid w:val="6E1012E1"/>
    <w:rsid w:val="6E3ED93D"/>
    <w:rsid w:val="6E618526"/>
    <w:rsid w:val="6E7F4710"/>
    <w:rsid w:val="6E872A98"/>
    <w:rsid w:val="6EC72106"/>
    <w:rsid w:val="6EEBB6CF"/>
    <w:rsid w:val="6EFB0A94"/>
    <w:rsid w:val="6F0932A9"/>
    <w:rsid w:val="6F18D41E"/>
    <w:rsid w:val="6F5AF1EE"/>
    <w:rsid w:val="6F5EF775"/>
    <w:rsid w:val="6F6D3477"/>
    <w:rsid w:val="6F99B50C"/>
    <w:rsid w:val="6F9BD901"/>
    <w:rsid w:val="6FE3D3BA"/>
    <w:rsid w:val="7012A4B3"/>
    <w:rsid w:val="7047B93E"/>
    <w:rsid w:val="70745137"/>
    <w:rsid w:val="70819042"/>
    <w:rsid w:val="70A189C4"/>
    <w:rsid w:val="70A7336F"/>
    <w:rsid w:val="70ACE29F"/>
    <w:rsid w:val="70AEA14E"/>
    <w:rsid w:val="70B88BF8"/>
    <w:rsid w:val="70C767E8"/>
    <w:rsid w:val="7137A962"/>
    <w:rsid w:val="714AB393"/>
    <w:rsid w:val="7170F5EC"/>
    <w:rsid w:val="719925E8"/>
    <w:rsid w:val="71A6BD43"/>
    <w:rsid w:val="72295B4B"/>
    <w:rsid w:val="723C7FEE"/>
    <w:rsid w:val="72633849"/>
    <w:rsid w:val="726B996E"/>
    <w:rsid w:val="7280AC94"/>
    <w:rsid w:val="72846F70"/>
    <w:rsid w:val="7298AFE9"/>
    <w:rsid w:val="72AE90C2"/>
    <w:rsid w:val="72B93940"/>
    <w:rsid w:val="72D379C3"/>
    <w:rsid w:val="72E5AED0"/>
    <w:rsid w:val="72E683F4"/>
    <w:rsid w:val="72FCEF4A"/>
    <w:rsid w:val="7334F649"/>
    <w:rsid w:val="7344BAB5"/>
    <w:rsid w:val="735DEB22"/>
    <w:rsid w:val="739DB805"/>
    <w:rsid w:val="739FBFC9"/>
    <w:rsid w:val="73A72109"/>
    <w:rsid w:val="74353019"/>
    <w:rsid w:val="746ED186"/>
    <w:rsid w:val="746EE2DC"/>
    <w:rsid w:val="7498BFAB"/>
    <w:rsid w:val="74EDD2D0"/>
    <w:rsid w:val="7515E51A"/>
    <w:rsid w:val="75197098"/>
    <w:rsid w:val="7588AE29"/>
    <w:rsid w:val="759C3399"/>
    <w:rsid w:val="75BC1032"/>
    <w:rsid w:val="75E430B0"/>
    <w:rsid w:val="76042735"/>
    <w:rsid w:val="760AB33D"/>
    <w:rsid w:val="76418716"/>
    <w:rsid w:val="766C970B"/>
    <w:rsid w:val="7673B371"/>
    <w:rsid w:val="76F496E7"/>
    <w:rsid w:val="77122714"/>
    <w:rsid w:val="77252E48"/>
    <w:rsid w:val="7741E6C1"/>
    <w:rsid w:val="77423771"/>
    <w:rsid w:val="77B6801D"/>
    <w:rsid w:val="77C835C6"/>
    <w:rsid w:val="77DBAE54"/>
    <w:rsid w:val="77E15AA0"/>
    <w:rsid w:val="7808676C"/>
    <w:rsid w:val="7815FEC7"/>
    <w:rsid w:val="784239D0"/>
    <w:rsid w:val="784C225C"/>
    <w:rsid w:val="789ECC27"/>
    <w:rsid w:val="789FFD75"/>
    <w:rsid w:val="78C0FEA9"/>
    <w:rsid w:val="78C42ABD"/>
    <w:rsid w:val="79E38DA7"/>
    <w:rsid w:val="7A2B350F"/>
    <w:rsid w:val="7A54A95D"/>
    <w:rsid w:val="7A6E91A9"/>
    <w:rsid w:val="7AC340EB"/>
    <w:rsid w:val="7ACB2E71"/>
    <w:rsid w:val="7AE39DDB"/>
    <w:rsid w:val="7AE661DE"/>
    <w:rsid w:val="7B14F839"/>
    <w:rsid w:val="7B804B86"/>
    <w:rsid w:val="7B917B98"/>
    <w:rsid w:val="7BD3A602"/>
    <w:rsid w:val="7C06BC30"/>
    <w:rsid w:val="7C56F4D4"/>
    <w:rsid w:val="7C918A50"/>
    <w:rsid w:val="7CCDA8DF"/>
    <w:rsid w:val="7CCF98CA"/>
    <w:rsid w:val="7CEFB511"/>
    <w:rsid w:val="7D1C1BE7"/>
    <w:rsid w:val="7D83F190"/>
    <w:rsid w:val="7D83F190"/>
    <w:rsid w:val="7DA28C91"/>
    <w:rsid w:val="7DB178F5"/>
    <w:rsid w:val="7DFD0FA0"/>
    <w:rsid w:val="7E2BFEFE"/>
    <w:rsid w:val="7E35A64A"/>
    <w:rsid w:val="7E67AEFE"/>
    <w:rsid w:val="7E6FA21D"/>
    <w:rsid w:val="7E9CE409"/>
    <w:rsid w:val="7EDEE2A8"/>
    <w:rsid w:val="7EF1C136"/>
    <w:rsid w:val="7F021CD7"/>
    <w:rsid w:val="7F2432AB"/>
    <w:rsid w:val="7F29745E"/>
    <w:rsid w:val="7F4CBF17"/>
    <w:rsid w:val="7F5E0A94"/>
    <w:rsid w:val="7F96B20E"/>
    <w:rsid w:val="7FD11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167BD"/>
  <w15:chartTrackingRefBased/>
  <w15:docId w15:val="{275992C9-4C3D-4F4D-9CB0-BBE8212B11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a47c5b58c99436e" /><Relationship Type="http://schemas.openxmlformats.org/officeDocument/2006/relationships/numbering" Target="/word/numbering.xml" Id="R0976fdbcdd0847f3" /><Relationship Type="http://schemas.openxmlformats.org/officeDocument/2006/relationships/header" Target="/word/header.xml" Id="Rf7e402c815294e86" /><Relationship Type="http://schemas.openxmlformats.org/officeDocument/2006/relationships/footer" Target="/word/footer.xml" Id="Ra508645c4cc744c0" /><Relationship Type="http://schemas.openxmlformats.org/officeDocument/2006/relationships/hyperlink" Target="https://www.ageuk.org.uk/information-advice/health-wellbeing/conditions-illnesses/dementia/diagnosis-and-treatment/" TargetMode="External" Id="R4048f5d4529d4431" /><Relationship Type="http://schemas.openxmlformats.org/officeDocument/2006/relationships/hyperlink" Target="https://www.alz.org/alzheimers-dementia/what-is-dementia" TargetMode="External" Id="R22125e1e5f3040b6" /><Relationship Type="http://schemas.openxmlformats.org/officeDocument/2006/relationships/hyperlink" Target="https://www.alz.org/alzheimers-dementia/treatments/aducanumab" TargetMode="External" Id="Rbd27a8e3000d4b71" /><Relationship Type="http://schemas.openxmlformats.org/officeDocument/2006/relationships/hyperlink" Target="https://www.dementiastatistics.org/statistics/different-types-of-dementia/" TargetMode="External" Id="R2ddb34f86bcf4037" /><Relationship Type="http://schemas.openxmlformats.org/officeDocument/2006/relationships/hyperlink" Target="https://www.dementiastatistics.org/statistics/prevalence-by-gender-in-the-uk/" TargetMode="External" Id="R855a0c27c3504d84" /><Relationship Type="http://schemas.openxmlformats.org/officeDocument/2006/relationships/hyperlink" Target="https://www.alzheimersresearchuk.org/blog/aducanumab-where-do-we-go-from-here/" TargetMode="External" Id="R8f7fa36f49b341cc" /><Relationship Type="http://schemas.openxmlformats.org/officeDocument/2006/relationships/hyperlink" Target="https://www.alzheimersresearchuk.org/blog/solanezumab/" TargetMode="External" Id="R8c44b57403c24bd2" /><Relationship Type="http://schemas.openxmlformats.org/officeDocument/2006/relationships/hyperlink" Target="https://www.alzheimers.org.uk/about-dementia/symptoms-and-diagnosis/diagnosis/mmse-test" TargetMode="External" Id="R91453fa33cfe4649" /><Relationship Type="http://schemas.openxmlformats.org/officeDocument/2006/relationships/hyperlink" Target="https://www.alzheimers.org.uk/for-researchers/black-asian-and-minority-ethnic-communities-and-dementia-research" TargetMode="External" Id="R844ae8f05e504eb3" /><Relationship Type="http://schemas.openxmlformats.org/officeDocument/2006/relationships/hyperlink" Target="https://www.ncbi.nlm.nih.gov/pmc/articles/PMC6140014/" TargetMode="External" Id="R8e5c8f42b3764532" /><Relationship Type="http://schemas.openxmlformats.org/officeDocument/2006/relationships/hyperlink" Target="https://my.clevelandclinic.org/health/diseases/9170-dementia" TargetMode="External" Id="R7e6ac9df135345c4" /><Relationship Type="http://schemas.openxmlformats.org/officeDocument/2006/relationships/hyperlink" Target="https://www.crisisprevention.com/Blog/Dementia-Care-Best-Practices" TargetMode="External" Id="Rf8e7120f3ac94966" /><Relationship Type="http://schemas.openxmlformats.org/officeDocument/2006/relationships/hyperlink" Target="https://www.dementiafriends.org.uk/" TargetMode="External" Id="R66ceb680352a4a62" /><Relationship Type="http://schemas.openxmlformats.org/officeDocument/2006/relationships/hyperlink" Target="https://www.webmd.com/alzheimers/guide/making-diagnosis-tests" TargetMode="External" Id="R099900b31c0b41d4" /><Relationship Type="http://schemas.openxmlformats.org/officeDocument/2006/relationships/hyperlink" Target="https://www.fda.gov/international-programs/confidentiality-commitments/mhra-uk-fda-confidentiality-commitment" TargetMode="External" Id="Radd0c1b15e0547bb" /><Relationship Type="http://schemas.openxmlformats.org/officeDocument/2006/relationships/hyperlink" Target="https://www.alzheimers.org.uk/sites/default/files/migrate/downloads/appg_2013_bame_report.pdf" TargetMode="External" Id="R8ba34ad7f6a6428d" /><Relationship Type="http://schemas.openxmlformats.org/officeDocument/2006/relationships/hyperlink" Target="https://www.who.int/classifications/icd/ICD10Volume2_en_2010.pdf" TargetMode="External" Id="R204a89d5fc4f4dcd" /><Relationship Type="http://schemas.openxmlformats.org/officeDocument/2006/relationships/hyperlink" Target="https://www.mayoclinic.org/tests-procedures/pet-scan/about/pac-20385078" TargetMode="External" Id="R58d1d87210954d0d" /><Relationship Type="http://schemas.openxmlformats.org/officeDocument/2006/relationships/hyperlink" Target="https://www.ncbi.nlm.nih.gov/books/NBK279355/" TargetMode="External" Id="Ra2ab97f22a924e7d" /><Relationship Type="http://schemas.openxmlformats.org/officeDocument/2006/relationships/hyperlink" Target="https://clinregs.niaid.nih.gov/country/united-kingdom/united-states" TargetMode="External" Id="R6efda15c90fb407f" /><Relationship Type="http://schemas.openxmlformats.org/officeDocument/2006/relationships/hyperlink" Target="https://www.webmd.com/alzheimers/diagnose-dementia" TargetMode="External" Id="Ra827d2fbbeca41df" /><Relationship Type="http://schemas.openxmlformats.org/officeDocument/2006/relationships/hyperlink" Target="https://www.nhs.uk/conditions/dementia/diagnosis/" TargetMode="External" Id="R144db720d03b414b" /><Relationship Type="http://schemas.openxmlformats.org/officeDocument/2006/relationships/hyperlink" Target="https://www.nhs.uk/conditions/dementia/diagnosis-tests/" TargetMode="External" Id="Rb72e40cd0a294626" /><Relationship Type="http://schemas.openxmlformats.org/officeDocument/2006/relationships/hyperlink" Target="https://bnf.nice.org.uk/drug/rivastigmine.html" TargetMode="External" Id="R5939a1d9666a4933" /><Relationship Type="http://schemas.openxmlformats.org/officeDocument/2006/relationships/hyperlink" Target="https://www.nice.org.uk/guidance/ta217/resources/donepezil-galantamine-rivastigmine-and-memantine-for-the-treatment-of-alzheimers-disease-pdf-82600254699973" TargetMode="External" Id="R4460f09f23e14e5f" /><Relationship Type="http://schemas.openxmlformats.org/officeDocument/2006/relationships/hyperlink" Target="https://www.nice.org.uk/guidance/ta217" TargetMode="External" Id="Rb6062f2db80042f2" /><Relationship Type="http://schemas.openxmlformats.org/officeDocument/2006/relationships/hyperlink" Target="https://jnnp.bmj.com/content/jnnp/76/suppl_5/v53.full.pdf" TargetMode="External" Id="Rd930d59377d24f24" /><Relationship Type="http://schemas.openxmlformats.org/officeDocument/2006/relationships/hyperlink" Target="https://www.bbc.co.uk/news/health-59699907" TargetMode="External" Id="R92817fdc731b47d6" /><Relationship Type="http://schemas.openxmlformats.org/officeDocument/2006/relationships/hyperlink" Target="https://www.scie.org.uk/dementia/symptoms/diagnosis/early-diagnosis.asp" TargetMode="External" Id="Ra2111c33ab524977" /><Relationship Type="http://schemas.openxmlformats.org/officeDocument/2006/relationships/hyperlink" Target="https://www.scie.org.uk/dementia/living-with-dementia/bme/" TargetMode="External" Id="Rca5da5f5ee3a4034" /><Relationship Type="http://schemas.openxmlformats.org/officeDocument/2006/relationships/hyperlink" Target="https://www.scie.org.uk/dementia/symptoms/diagnosis/getting-a-diagnosis.asp" TargetMode="External" Id="Rd86c00a478884bb5" /><Relationship Type="http://schemas.openxmlformats.org/officeDocument/2006/relationships/hyperlink" Target="https://www.scie.org.uk/publications/misc/dementia/dementia-fullguideline.pdf?res=true" TargetMode="External" Id="R7130c35446444d9a" /><Relationship Type="http://schemas.openxmlformats.org/officeDocument/2006/relationships/hyperlink" Target="https://patient.info/brain-nerves/memory-loss-and-dementia/medication-and-treatment-for-dementia" TargetMode="External" Id="Rf261ff2ee53b4091" /><Relationship Type="http://schemas.openxmlformats.org/officeDocument/2006/relationships/hyperlink" Target="https://www.nice.org.uk/guidance/TA217/documents/alzheimers-disease-mild-to-moderate-donepezil-galantamine-rivastigmine-and-memantine-part-review-draft-scope2" TargetMode="External" Id="Rd21c5f83ca9c4041" /><Relationship Type="http://schemas.openxmlformats.org/officeDocument/2006/relationships/hyperlink" Target="https://www.businessinsider.com/inside-hogewey-dementia-village-2017-7?r=US&amp;IR=T" TargetMode="External" Id="R83b19e98ec8f4e62" /><Relationship Type="http://schemas.openxmlformats.org/officeDocument/2006/relationships/hyperlink" Target="https://icd.who.int/browse10/2010/en" TargetMode="External" Id="R8fe8766cd44940a9" /><Relationship Type="http://schemas.openxmlformats.org/officeDocument/2006/relationships/hyperlink" Target="https://www.who.int/news-room/fact-sheets/detail/dementia" TargetMode="External" Id="R1b3f352593914f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Elaine Simmonds (1914402)</dc:creator>
  <keywords/>
  <dc:description/>
  <lastModifiedBy>Chantelle Simmonds (1914402)</lastModifiedBy>
  <revision>9</revision>
  <dcterms:created xsi:type="dcterms:W3CDTF">2022-02-12T10:20:49.6042230Z</dcterms:created>
  <dcterms:modified xsi:type="dcterms:W3CDTF">2022-04-11T17:33:27.4827968Z</dcterms:modified>
</coreProperties>
</file>