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480"/>
        <w:jc w:val="left"/>
        <w:rPr>
          <w:rFonts w:ascii="Georgia" w:hAnsi="Georgia"/>
        </w:rPr>
      </w:pPr>
      <w:r>
        <w:rPr>
          <w:rFonts w:eastAsia="Georgia" w:cs="Lucida Sans" w:ascii="Georgia" w:hAnsi="Georgia"/>
          <w:b/>
          <w:bCs/>
          <w:i w:val="false"/>
          <w:iCs w:val="false"/>
          <w:caps w:val="false"/>
          <w:smallCaps w:val="false"/>
          <w:strike w:val="false"/>
          <w:dstrike w:val="false"/>
          <w:color w:val="auto"/>
          <w:spacing w:val="0"/>
          <w:kern w:val="2"/>
          <w:sz w:val="28"/>
          <w:szCs w:val="28"/>
          <w:u w:val="none"/>
          <w:effect w:val="none"/>
          <w:lang w:val="en-US" w:eastAsia="zh-CN" w:bidi="hi-IN"/>
        </w:rPr>
        <w:t xml:space="preserve">Accentuated Ego Formation: A Sample of Contextual Dynamics in (Post-)Christian Philosophy and Religion </w:t>
      </w:r>
    </w:p>
    <w:p>
      <w:pPr>
        <w:pStyle w:val="Normal"/>
        <w:bidi w:val="0"/>
        <w:spacing w:lineRule="auto" w:line="480"/>
        <w:jc w:val="left"/>
        <w:rPr>
          <w:rFonts w:ascii="Georgia" w:hAnsi="Georgia"/>
        </w:rPr>
      </w:pPr>
      <w:r>
        <w:rPr>
          <w:rFonts w:ascii="Georgia" w:hAnsi="Georgia"/>
        </w:rPr>
      </w:r>
    </w:p>
    <w:p>
      <w:pPr>
        <w:pStyle w:val="Normal"/>
        <w:bidi w:val="0"/>
        <w:spacing w:lineRule="auto" w:line="480"/>
        <w:jc w:val="left"/>
        <w:rPr>
          <w:rFonts w:ascii="Georgia" w:hAnsi="Georgia"/>
        </w:rPr>
      </w:pPr>
      <w:r>
        <w:rPr>
          <w:rFonts w:ascii="Georgia" w:hAnsi="Georgia"/>
        </w:rPr>
      </w:r>
    </w:p>
    <w:p>
      <w:pPr>
        <w:pStyle w:val="Normal"/>
        <w:bidi w:val="0"/>
        <w:spacing w:lineRule="auto" w:line="480"/>
        <w:jc w:val="left"/>
        <w:rPr>
          <w:rFonts w:ascii="Georgia" w:hAnsi="Georgia"/>
        </w:rPr>
      </w:pPr>
      <w:r>
        <w:rPr>
          <w:rFonts w:ascii="Georgia" w:hAnsi="Georgia"/>
        </w:rPr>
      </w:r>
    </w:p>
    <w:p>
      <w:pPr>
        <w:pStyle w:val="Normal"/>
        <w:bidi w:val="0"/>
        <w:spacing w:lineRule="auto" w:line="480"/>
        <w:jc w:val="left"/>
        <w:rPr>
          <w:rFonts w:ascii="Georgia" w:hAnsi="Georgia"/>
        </w:rPr>
      </w:pPr>
      <w:r>
        <w:rPr>
          <w:rFonts w:eastAsia="Georgia"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This essay offers a glimpse into the background of the concept of “East and West” and the formation of identity and stereotypes based on these characteristics. </w:t>
      </w:r>
    </w:p>
    <w:p>
      <w:pPr>
        <w:pStyle w:val="Normal"/>
        <w:bidi w:val="0"/>
        <w:spacing w:lineRule="auto" w:line="480"/>
        <w:jc w:val="left"/>
        <w:rPr>
          <w:rFonts w:ascii="Georgia" w:hAnsi="Georgia"/>
        </w:rPr>
      </w:pPr>
      <w:r>
        <w:rPr>
          <w:rFonts w:ascii="Georgia" w:hAnsi="Georgia"/>
        </w:rPr>
      </w:r>
    </w:p>
    <w:p>
      <w:pPr>
        <w:pStyle w:val="Normal"/>
        <w:bidi w:val="0"/>
        <w:spacing w:lineRule="auto" w:line="480"/>
        <w:jc w:val="left"/>
        <w:rPr>
          <w:rFonts w:ascii="Georgia" w:hAnsi="Georgia"/>
        </w:rPr>
      </w:pPr>
      <w:r>
        <w:rPr>
          <w:rFonts w:eastAsia="Georgia"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I</w:t>
      </w:r>
      <w:r>
        <w:rPr>
          <w:rFonts w:eastAsia="Georgia"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t argues that linear-reduced concepts are insufficient for understanding the dynamics of historical events and identities based on </w:t>
      </w:r>
      <w:r>
        <w:rPr>
          <w:rFonts w:eastAsia="Georgia"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historical</w:t>
      </w:r>
      <w:r>
        <w:rPr>
          <w:rFonts w:eastAsia="Georgia"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 consciousness. </w:t>
      </w:r>
    </w:p>
    <w:p>
      <w:pPr>
        <w:pStyle w:val="Normal"/>
        <w:bidi w:val="0"/>
        <w:spacing w:lineRule="auto" w:line="480"/>
        <w:jc w:val="left"/>
        <w:rPr>
          <w:rFonts w:ascii="Georgia" w:hAnsi="Georgia"/>
        </w:rPr>
      </w:pPr>
      <w:r>
        <w:rPr>
          <w:rFonts w:ascii="Georgia" w:hAnsi="Georgia"/>
        </w:rPr>
      </w:r>
    </w:p>
    <w:p>
      <w:pPr>
        <w:pStyle w:val="Normal"/>
        <w:bidi w:val="0"/>
        <w:spacing w:lineRule="auto" w:line="480"/>
        <w:jc w:val="left"/>
        <w:rPr>
          <w:rFonts w:ascii="Georgia" w:hAnsi="Georgia"/>
        </w:rPr>
      </w:pPr>
      <w:r>
        <w:rPr>
          <w:rFonts w:ascii="Georgia" w:hAnsi="Georgia"/>
        </w:rPr>
      </w:r>
    </w:p>
    <w:p>
      <w:pPr>
        <w:pStyle w:val="Heading3"/>
        <w:numPr>
          <w:ilvl w:val="2"/>
          <w:numId w:val="4"/>
        </w:numPr>
        <w:bidi w:val="0"/>
        <w:spacing w:lineRule="auto" w:line="480"/>
        <w:jc w:val="left"/>
        <w:rPr>
          <w:rFonts w:ascii="Georgia" w:hAnsi="Georgia"/>
        </w:rPr>
      </w:pPr>
      <w:r>
        <w:rPr>
          <w:rFonts w:eastAsia="Georgia" w:ascii="Georgia" w:hAnsi="Georgia"/>
        </w:rPr>
        <w:t>Historical Overview</w:t>
      </w:r>
    </w:p>
    <w:p>
      <w:pPr>
        <w:pStyle w:val="TextBody"/>
        <w:spacing w:lineRule="auto" w:line="480"/>
        <w:rPr>
          <w:rFonts w:ascii="Georgia" w:hAnsi="Georgia"/>
        </w:rPr>
      </w:pPr>
      <w:r>
        <w:rPr>
          <w:rFonts w:eastAsia="Georgia" w:ascii="Georgia" w:hAnsi="Georgia"/>
        </w:rPr>
        <w:t>Contemporary Europe identifies itself as part of the Western World. This identity is so widespread and taken for granted that few question the basis of such positioning.</w:t>
      </w:r>
    </w:p>
    <w:p>
      <w:pPr>
        <w:pStyle w:val="TextBody"/>
        <w:spacing w:lineRule="auto" w:line="480"/>
        <w:rPr>
          <w:rFonts w:ascii="Georgia" w:hAnsi="Georgia"/>
        </w:rPr>
      </w:pPr>
      <w:r>
        <w:rPr>
          <w:rFonts w:eastAsia="Georgia" w:ascii="Georgia" w:hAnsi="Georgia"/>
        </w:rPr>
        <w:t xml:space="preserve">However, when someone in the heart of Europe defines themselves as belonging to the Western World, a question naturally arises: what is the point of reference? Since the Earth is spherical, the concept of cardinal directions can only be relative, and any described direction cannot be separated from the location of the initial observer or describer. The issue </w:t>
      </w:r>
      <w:r>
        <w:rPr>
          <w:rFonts w:eastAsia="Georgia" w:cs="Lucida Sans" w:ascii="Georgia" w:hAnsi="Georgia"/>
          <w:color w:val="auto"/>
          <w:kern w:val="2"/>
          <w:sz w:val="24"/>
          <w:szCs w:val="24"/>
          <w:lang w:val="en-US" w:eastAsia="zh-CN" w:bidi="hi-IN"/>
        </w:rPr>
        <w:t>can</w:t>
      </w:r>
      <w:r>
        <w:rPr>
          <w:rFonts w:eastAsia="Georgia" w:ascii="Georgia" w:hAnsi="Georgia"/>
        </w:rPr>
        <w:t xml:space="preserve"> not </w:t>
      </w:r>
      <w:r>
        <w:rPr>
          <w:rFonts w:eastAsia="Georgia" w:ascii="Georgia" w:hAnsi="Georgia"/>
        </w:rPr>
        <w:t xml:space="preserve">be </w:t>
      </w:r>
      <w:r>
        <w:rPr>
          <w:rFonts w:eastAsia="Georgia" w:ascii="Georgia" w:hAnsi="Georgia"/>
        </w:rPr>
        <w:t>one of absolutes but rather which conceptual framework the describer uses to define their own identity.</w:t>
      </w:r>
    </w:p>
    <w:p>
      <w:pPr>
        <w:pStyle w:val="TextBody"/>
        <w:spacing w:lineRule="auto" w:line="480"/>
        <w:rPr>
          <w:rFonts w:ascii="Georgia" w:hAnsi="Georgia"/>
        </w:rPr>
      </w:pPr>
      <w:r>
        <w:rPr>
          <w:rFonts w:ascii="Georgia" w:hAnsi="Georgia"/>
        </w:rPr>
      </w:r>
    </w:p>
    <w:p>
      <w:pPr>
        <w:pStyle w:val="Heading4"/>
        <w:numPr>
          <w:ilvl w:val="3"/>
          <w:numId w:val="3"/>
        </w:numPr>
        <w:spacing w:lineRule="auto" w:line="480"/>
        <w:rPr>
          <w:rFonts w:ascii="Georgia" w:hAnsi="Georgia"/>
        </w:rPr>
      </w:pPr>
      <w:r>
        <w:rPr>
          <w:rFonts w:eastAsia="Georgia" w:ascii="Georgia" w:hAnsi="Georgia"/>
          <w:i/>
          <w:iCs/>
        </w:rPr>
        <w:t>China</w:t>
      </w:r>
    </w:p>
    <w:p>
      <w:pPr>
        <w:pStyle w:val="TextBody"/>
        <w:spacing w:lineRule="auto" w:line="480"/>
        <w:rPr>
          <w:rFonts w:ascii="Georgia" w:hAnsi="Georgia"/>
        </w:rPr>
      </w:pPr>
      <w:r>
        <w:rPr>
          <w:rFonts w:eastAsia="Georgia" w:ascii="Georgia" w:hAnsi="Georgia"/>
        </w:rPr>
        <w:t>Within Chinese culture, the cultural sphere has historically been conceptualized as "Tianxia" (</w:t>
      </w:r>
      <w:r>
        <w:rPr>
          <w:rFonts w:ascii="Georgia" w:hAnsi="Georgia" w:eastAsia="Georgia"/>
        </w:rPr>
        <w:t>天下</w:t>
      </w:r>
      <w:r>
        <w:rPr>
          <w:rFonts w:eastAsia="Georgia" w:ascii="Georgia" w:hAnsi="Georgia"/>
        </w:rPr>
        <w:t>), meaning "all under heaven." The peoples and lands considered on the periphery of "our" culture are described with various terms that encompass descriptions, attitudes (justified to varying degrees), and sometimes undeserved stereotypes. These characterizations are shaped by the describer’s "self-image," which forms the basis for differentiating between "us" and "them." For example, the highly revered Sixth Patriarch of the Chan (Zen) school, Huineng (d. 713), reportedly had to justify his darker skin tone by emphasizing the universal Buddha-nature present in all people.</w:t>
      </w:r>
    </w:p>
    <w:p>
      <w:pPr>
        <w:pStyle w:val="TextBody"/>
        <w:spacing w:lineRule="auto" w:line="480"/>
        <w:rPr>
          <w:rFonts w:ascii="Georgia" w:hAnsi="Georgia"/>
        </w:rPr>
      </w:pPr>
      <w:r>
        <w:rPr>
          <w:rFonts w:eastAsia="Georgia" w:ascii="Georgia" w:hAnsi="Georgia"/>
        </w:rPr>
        <w:t>The notion that China occupies the "easternmost end" of Eurasia, with the rest of the world being "further west," is, to the author's knowledge, not expressed in classical Chinese literature.</w:t>
      </w:r>
    </w:p>
    <w:p>
      <w:pPr>
        <w:pStyle w:val="TextBody"/>
        <w:spacing w:lineRule="auto" w:line="480"/>
        <w:rPr>
          <w:rFonts w:ascii="Georgia" w:hAnsi="Georgia"/>
        </w:rPr>
      </w:pPr>
      <w:r>
        <w:rPr>
          <w:rFonts w:ascii="Georgia" w:hAnsi="Georgia"/>
        </w:rPr>
      </w:r>
    </w:p>
    <w:p>
      <w:pPr>
        <w:pStyle w:val="Heading4"/>
        <w:numPr>
          <w:ilvl w:val="3"/>
          <w:numId w:val="3"/>
        </w:numPr>
        <w:spacing w:lineRule="auto" w:line="480"/>
        <w:rPr>
          <w:rFonts w:ascii="Georgia" w:hAnsi="Georgia"/>
        </w:rPr>
      </w:pPr>
      <w:r>
        <w:rPr>
          <w:rFonts w:eastAsia="Georgia" w:ascii="Georgia" w:hAnsi="Georgia"/>
          <w:i/>
          <w:iCs/>
        </w:rPr>
        <w:t>The Indian Subcontinent</w:t>
      </w:r>
    </w:p>
    <w:p>
      <w:pPr>
        <w:pStyle w:val="TextBody"/>
        <w:spacing w:lineRule="auto" w:line="480"/>
        <w:rPr>
          <w:rFonts w:ascii="Georgia" w:hAnsi="Georgia"/>
        </w:rPr>
      </w:pPr>
      <w:r>
        <w:rPr>
          <w:rFonts w:eastAsia="Georgia" w:ascii="Georgia" w:hAnsi="Georgia"/>
        </w:rPr>
        <w:t>The earliest insights into Indian society that reveal international interactions and the possible collective positioning emerging from such exchanges date back to the Indus (Harappa) civilization of the 4th–2nd millennia BCE.</w:t>
      </w:r>
    </w:p>
    <w:p>
      <w:pPr>
        <w:pStyle w:val="TextBody"/>
        <w:spacing w:lineRule="auto" w:line="480"/>
        <w:rPr>
          <w:rFonts w:ascii="Georgia" w:hAnsi="Georgia"/>
        </w:rPr>
      </w:pPr>
      <w:r>
        <w:rPr>
          <w:rFonts w:eastAsia="Georgia" w:ascii="Georgia" w:hAnsi="Georgia"/>
        </w:rPr>
        <w:t xml:space="preserve">Despite the impressive prosperity of the Indus civilization, derived </w:t>
      </w:r>
      <w:r>
        <w:rPr>
          <w:rFonts w:eastAsia="Georgia" w:ascii="Georgia" w:hAnsi="Georgia"/>
        </w:rPr>
        <w:t>mainly</w:t>
      </w:r>
      <w:r>
        <w:rPr>
          <w:rFonts w:eastAsia="Georgia" w:ascii="Georgia" w:hAnsi="Georgia"/>
        </w:rPr>
        <w:t xml:space="preserve"> from foreign trade, (Shinde 2016:138), there was an internal cultural tendency to avoid the use of foreign-origin goods in domestic households. The emerging Vedic identity in northeastern India, shaped in part by significant migrations from the Indus regions, incorporated elements originally characteristic of Indus culture. One enduring expression of this can be seen in discussions by Mahatma Gandhi (d. 1948) during India’s struggle for independence, regarding the appropriateness of "foreign goods" in the context of the emerging era of globalization (Gandhi 1929).</w:t>
      </w:r>
    </w:p>
    <w:p>
      <w:pPr>
        <w:pStyle w:val="TextBody"/>
        <w:spacing w:lineRule="auto" w:line="480"/>
        <w:rPr>
          <w:rFonts w:ascii="Georgia" w:hAnsi="Georgia"/>
        </w:rPr>
      </w:pPr>
      <w:r>
        <w:rPr>
          <w:rFonts w:eastAsia="Georgia" w:ascii="Georgia" w:hAnsi="Georgia"/>
        </w:rPr>
        <w:t>In India, a consistent theme is the distinction between "self" and "other." While interactions and trade with regions to the east, west, and north have been observed over millennia, Indian identity does not appear to align itself with any specific cardinal direction as opposed to others. The focal point remains the individual's own location, rather than shifting this zero point toward any particular direction.</w:t>
      </w:r>
    </w:p>
    <w:p>
      <w:pPr>
        <w:pStyle w:val="Normal"/>
        <w:bidi w:val="0"/>
        <w:spacing w:lineRule="auto" w:line="480"/>
        <w:jc w:val="left"/>
        <w:rPr>
          <w:rFonts w:ascii="Georgia" w:hAnsi="Georgia"/>
        </w:rPr>
      </w:pPr>
      <w:r>
        <w:rPr>
          <w:rFonts w:ascii="Georgia" w:hAnsi="Georgia"/>
        </w:rPr>
      </w:r>
    </w:p>
    <w:p>
      <w:pPr>
        <w:pStyle w:val="Heading3"/>
        <w:numPr>
          <w:ilvl w:val="2"/>
          <w:numId w:val="3"/>
        </w:numPr>
        <w:bidi w:val="0"/>
        <w:spacing w:lineRule="auto" w:line="480"/>
        <w:jc w:val="left"/>
        <w:rPr>
          <w:rFonts w:ascii="Georgia" w:hAnsi="Georgia"/>
        </w:rPr>
      </w:pPr>
      <w:r>
        <w:rPr>
          <w:rFonts w:eastAsia="Georgia" w:cs="Lucida Sans" w:ascii="Georgia" w:hAnsi="Georgia"/>
          <w:b/>
          <w:bCs/>
          <w:i/>
          <w:iCs/>
          <w:color w:val="auto"/>
          <w:kern w:val="2"/>
          <w:sz w:val="24"/>
          <w:szCs w:val="24"/>
          <w:u w:val="none"/>
          <w:lang w:val="en-US" w:eastAsia="zh-CN" w:bidi="hi-IN"/>
        </w:rPr>
        <w:t>Early Cultures of Central Eurasia</w:t>
      </w:r>
    </w:p>
    <w:p>
      <w:pPr>
        <w:pStyle w:val="TextBody"/>
        <w:spacing w:lineRule="auto" w:line="480"/>
        <w:rPr>
          <w:rFonts w:ascii="Georgia" w:hAnsi="Georgia"/>
        </w:rPr>
      </w:pPr>
      <w:r>
        <w:rPr>
          <w:rFonts w:eastAsia="Georgia" w:ascii="Georgia" w:hAnsi="Georgia"/>
        </w:rPr>
        <w:t xml:space="preserve">Archaeological excavations in present-day Afghanistan have been significantly hindered by successive military conflicts. Similarly, the territories of Uzbekistan, Tajikistan, Kyrgyzstan, Kazakhstan, and Turkmenistan, which encompass the Bactria-Margiana Archaeological Complex (BMAC) dating to the 3rd–2nd millennia BCE, remained largely inaccessible for much of the 20th century due to the Iron Curtain. </w:t>
      </w:r>
      <w:r>
        <w:rPr>
          <w:rFonts w:eastAsia="Georgia" w:cs="Lucida Sans" w:ascii="Georgia" w:hAnsi="Georgia"/>
          <w:color w:val="auto"/>
          <w:kern w:val="2"/>
          <w:sz w:val="24"/>
          <w:szCs w:val="24"/>
          <w:lang w:val="en-US" w:eastAsia="zh-CN" w:bidi="hi-IN"/>
        </w:rPr>
        <w:t>M</w:t>
      </w:r>
      <w:r>
        <w:rPr>
          <w:rFonts w:eastAsia="Georgia" w:ascii="Georgia" w:hAnsi="Georgia"/>
        </w:rPr>
        <w:t>uch of the literature on these regions is primarily in Russian (Lyonnet &amp; Dubova 2021:60).</w:t>
      </w:r>
    </w:p>
    <w:p>
      <w:pPr>
        <w:pStyle w:val="TextBody"/>
        <w:spacing w:lineRule="auto" w:line="480"/>
        <w:rPr>
          <w:rFonts w:ascii="Georgia" w:hAnsi="Georgia"/>
        </w:rPr>
      </w:pPr>
      <w:r>
        <w:rPr>
          <w:rFonts w:eastAsia="Georgia" w:ascii="Georgia" w:hAnsi="Georgia"/>
        </w:rPr>
        <w:t>BMAC sites have yielded some of the earliest fire altars (Sarianidi 1996) as well as the earliest so-called "chariot burials" (Novozhenov 2012:365-367). These elements are historically significant both in the later Vedic traditions recorded on the subcontinent and in Zoroastrian traditions, which partly positioned themselves in opposition to earlier Vedic heritage.</w:t>
      </w:r>
    </w:p>
    <w:p>
      <w:pPr>
        <w:pStyle w:val="TextBody"/>
        <w:spacing w:lineRule="auto" w:line="480"/>
        <w:rPr>
          <w:rFonts w:ascii="Georgia" w:hAnsi="Georgia"/>
        </w:rPr>
      </w:pPr>
      <w:r>
        <w:rPr>
          <w:rFonts w:eastAsia="Georgia" w:cs="Lucida Sans" w:ascii="Georgia" w:hAnsi="Georgia"/>
          <w:color w:val="auto"/>
          <w:kern w:val="2"/>
          <w:sz w:val="24"/>
          <w:szCs w:val="24"/>
          <w:lang w:val="en-US" w:eastAsia="zh-CN" w:bidi="hi-IN"/>
        </w:rPr>
        <w:t>BMAC</w:t>
      </w:r>
      <w:r>
        <w:rPr>
          <w:rFonts w:eastAsia="Georgia" w:ascii="Georgia" w:hAnsi="Georgia"/>
        </w:rPr>
        <w:t xml:space="preserve"> influence on later cultures is evident from the alternative names associated with it, such as the Greater Khorasan Civilization (Biscione &amp; Vahdati 2021:771) or the Oxus Civilization, derived from the Greek name for the Amu Darya River, emphasizing the region’s historical connection to the Hellenistic cultural sphere.</w:t>
      </w:r>
    </w:p>
    <w:p>
      <w:pPr>
        <w:pStyle w:val="TextBody"/>
        <w:spacing w:lineRule="auto" w:line="480"/>
        <w:rPr>
          <w:rFonts w:ascii="Georgia" w:hAnsi="Georgia"/>
        </w:rPr>
      </w:pPr>
      <w:r>
        <w:rPr>
          <w:rFonts w:eastAsia="Georgia" w:ascii="Georgia" w:hAnsi="Georgia"/>
        </w:rPr>
        <w:t>Zoroastrianism, whose origins are linked to the Khorasan region, is regarde</w:t>
      </w:r>
      <w:r>
        <w:rPr>
          <w:rFonts w:eastAsia="Georgia" w:ascii="Georgia" w:hAnsi="Georgia"/>
          <w:color w:val="000000"/>
        </w:rPr>
        <w:t>d by some sc</w:t>
      </w:r>
      <w:r>
        <w:rPr>
          <w:rFonts w:eastAsia="Georgia" w:ascii="Georgia" w:hAnsi="Georgia"/>
        </w:rPr>
        <w:t>holars such as Professor Zubov (l</w:t>
      </w:r>
      <w:r>
        <w:rPr>
          <w:rFonts w:eastAsia="Georgia" w:cs="Lucida Sans" w:ascii="Georgia" w:hAnsi="Georgia"/>
          <w:color w:val="000000"/>
          <w:kern w:val="2"/>
          <w:sz w:val="24"/>
          <w:szCs w:val="24"/>
          <w:lang w:val="en-US" w:eastAsia="zh-CN" w:bidi="hi-IN"/>
        </w:rPr>
        <w:t xml:space="preserve">ecture </w:t>
      </w:r>
      <w:r>
        <w:rPr>
          <w:rFonts w:eastAsia="Georgia" w:ascii="Georgia" w:hAnsi="Georgia"/>
        </w:rPr>
        <w:t>123-Zoroastrism) from Masaryk University as the first “Western” religion. However, when the Zoroastrian teachings—featuring elements similar to those of the Vedic tradition—are examined in light of BMAC archaeological findings, the concept of "Westernness" raises questions. Geographically, BMAC and the Indus civilization, largely located in modern-day Pakistan, are positioned along a north-south axis. Even the Greater Punjab region, considered the birthplace of the written Vedic tradition, lies southeast of BMAC rather than to its east.</w:t>
      </w:r>
    </w:p>
    <w:p>
      <w:pPr>
        <w:pStyle w:val="TextBody"/>
        <w:spacing w:lineRule="auto" w:line="480"/>
        <w:rPr>
          <w:rFonts w:ascii="Georgia" w:hAnsi="Georgia"/>
        </w:rPr>
      </w:pPr>
      <w:r>
        <w:rPr>
          <w:rFonts w:eastAsia="Georgia" w:ascii="Georgia" w:hAnsi="Georgia"/>
        </w:rPr>
        <w:t xml:space="preserve">Moreover, Professor Zubov’s controversial definition of Westernness in terms of religious heritage rests on two </w:t>
      </w:r>
      <w:r>
        <w:rPr>
          <w:rFonts w:eastAsia="Georgia" w:cs="Lucida Sans" w:ascii="Georgia" w:hAnsi="Georgia"/>
          <w:color w:val="auto"/>
          <w:kern w:val="2"/>
          <w:sz w:val="24"/>
          <w:szCs w:val="24"/>
          <w:lang w:val="en-US" w:eastAsia="zh-CN" w:bidi="hi-IN"/>
        </w:rPr>
        <w:t>crucial</w:t>
      </w:r>
      <w:r>
        <w:rPr>
          <w:rFonts w:eastAsia="Georgia" w:ascii="Georgia" w:hAnsi="Georgia"/>
        </w:rPr>
        <w:t xml:space="preserve"> criteria:</w:t>
      </w:r>
    </w:p>
    <w:p>
      <w:pPr>
        <w:pStyle w:val="TextBody"/>
        <w:numPr>
          <w:ilvl w:val="0"/>
          <w:numId w:val="5"/>
        </w:numPr>
        <w:tabs>
          <w:tab w:val="clear" w:pos="720"/>
          <w:tab w:val="left" w:pos="0" w:leader="none"/>
        </w:tabs>
        <w:spacing w:lineRule="auto" w:line="480"/>
        <w:ind w:left="707" w:hanging="283"/>
        <w:rPr>
          <w:rFonts w:ascii="Georgia" w:hAnsi="Georgia"/>
        </w:rPr>
      </w:pPr>
      <w:r>
        <w:rPr>
          <w:rStyle w:val="StrongEmphasis"/>
          <w:rFonts w:eastAsia="Georgia" w:ascii="Georgia" w:hAnsi="Georgia"/>
          <w:b w:val="false"/>
          <w:bCs w:val="false"/>
        </w:rPr>
        <w:t>Direct communion with God</w:t>
      </w:r>
    </w:p>
    <w:p>
      <w:pPr>
        <w:pStyle w:val="TextBody"/>
        <w:numPr>
          <w:ilvl w:val="0"/>
          <w:numId w:val="0"/>
        </w:numPr>
        <w:tabs>
          <w:tab w:val="clear" w:pos="720"/>
          <w:tab w:val="left" w:pos="0" w:leader="none"/>
        </w:tabs>
        <w:spacing w:lineRule="auto" w:line="480" w:before="0" w:after="0"/>
        <w:ind w:left="2545" w:hanging="0"/>
        <w:rPr>
          <w:rFonts w:ascii="Georgia" w:hAnsi="Georgia"/>
        </w:rPr>
      </w:pPr>
      <w:r>
        <w:rPr>
          <w:rFonts w:eastAsia="Georgia" w:ascii="Georgia" w:hAnsi="Georgia"/>
        </w:rPr>
        <w:t xml:space="preserve">But this is clearly expressed also in Hindu tradition, perhaps most </w:t>
      </w:r>
      <w:r>
        <w:rPr>
          <w:rFonts w:eastAsia="Georgia" w:cs="Lucida Sans" w:ascii="Georgia" w:hAnsi="Georgia"/>
          <w:color w:val="auto"/>
          <w:kern w:val="2"/>
          <w:sz w:val="24"/>
          <w:szCs w:val="24"/>
          <w:lang w:val="en-US" w:eastAsia="zh-CN" w:bidi="hi-IN"/>
        </w:rPr>
        <w:t>recognizably</w:t>
      </w:r>
      <w:r>
        <w:rPr>
          <w:rFonts w:eastAsia="Georgia" w:ascii="Georgia" w:hAnsi="Georgia"/>
        </w:rPr>
        <w:t xml:space="preserve"> in the central theme of the </w:t>
      </w:r>
      <w:r>
        <w:rPr>
          <w:rStyle w:val="Emphasis"/>
          <w:rFonts w:eastAsia="Georgia" w:ascii="Georgia" w:hAnsi="Georgia"/>
        </w:rPr>
        <w:t>Bhagavad Gita</w:t>
      </w:r>
      <w:r>
        <w:rPr>
          <w:rFonts w:eastAsia="Georgia" w:ascii="Georgia" w:hAnsi="Georgia"/>
        </w:rPr>
        <w:t>.</w:t>
      </w:r>
    </w:p>
    <w:p>
      <w:pPr>
        <w:pStyle w:val="TextBody"/>
        <w:numPr>
          <w:ilvl w:val="0"/>
          <w:numId w:val="0"/>
        </w:numPr>
        <w:tabs>
          <w:tab w:val="clear" w:pos="720"/>
          <w:tab w:val="left" w:pos="0" w:leader="none"/>
        </w:tabs>
        <w:spacing w:lineRule="auto" w:line="480" w:before="0" w:after="0"/>
        <w:ind w:left="2545" w:hanging="0"/>
        <w:rPr>
          <w:rFonts w:ascii="Georgia" w:hAnsi="Georgia"/>
        </w:rPr>
      </w:pPr>
      <w:r>
        <w:rPr>
          <w:rFonts w:ascii="Georgia" w:hAnsi="Georgia"/>
        </w:rPr>
      </w:r>
    </w:p>
    <w:p>
      <w:pPr>
        <w:pStyle w:val="TextBody"/>
        <w:numPr>
          <w:ilvl w:val="0"/>
          <w:numId w:val="5"/>
        </w:numPr>
        <w:tabs>
          <w:tab w:val="clear" w:pos="720"/>
          <w:tab w:val="left" w:pos="0" w:leader="none"/>
        </w:tabs>
        <w:spacing w:lineRule="auto" w:line="480"/>
        <w:ind w:left="707" w:hanging="283"/>
        <w:rPr>
          <w:rFonts w:ascii="Georgia" w:hAnsi="Georgia"/>
        </w:rPr>
      </w:pPr>
      <w:r>
        <w:rPr>
          <w:rStyle w:val="StrongEmphasis"/>
          <w:rFonts w:eastAsia="Georgia" w:ascii="Georgia" w:hAnsi="Georgia"/>
          <w:b w:val="false"/>
          <w:bCs w:val="false"/>
          <w:i w:val="false"/>
          <w:iCs w:val="false"/>
        </w:rPr>
        <w:t>The emphasis on the self and the individual will, without renouncing them</w:t>
      </w:r>
    </w:p>
    <w:p>
      <w:pPr>
        <w:pStyle w:val="TextBody"/>
        <w:numPr>
          <w:ilvl w:val="0"/>
          <w:numId w:val="0"/>
        </w:numPr>
        <w:tabs>
          <w:tab w:val="clear" w:pos="720"/>
          <w:tab w:val="left" w:pos="0" w:leader="none"/>
        </w:tabs>
        <w:spacing w:lineRule="auto" w:line="480"/>
        <w:ind w:left="2545" w:hanging="0"/>
        <w:rPr>
          <w:rFonts w:ascii="Georgia" w:hAnsi="Georgia"/>
        </w:rPr>
      </w:pPr>
      <w:r>
        <w:rPr>
          <w:rFonts w:eastAsia="Georgia" w:ascii="Georgia" w:hAnsi="Georgia"/>
        </w:rPr>
        <w:t>Yet, classical mystics from both Islamic and Christian traditions are renowned for their quest for unity with God and their expressed desire to orient themselves toward this divine union. Christian monasticism, for example, is fundamentally about striving for oneness with God by renouncing selfishness, personal desires, and private life, submitting solely to divine will—a concept akin to Buddhist and Taoist monastic traditions.</w:t>
      </w:r>
    </w:p>
    <w:p>
      <w:pPr>
        <w:pStyle w:val="Heading3"/>
        <w:numPr>
          <w:ilvl w:val="2"/>
          <w:numId w:val="3"/>
        </w:numPr>
        <w:bidi w:val="0"/>
        <w:spacing w:lineRule="auto" w:line="480"/>
        <w:jc w:val="left"/>
        <w:rPr>
          <w:rFonts w:ascii="Georgia" w:hAnsi="Georgia"/>
        </w:rPr>
      </w:pPr>
      <w:r>
        <w:rPr>
          <w:rFonts w:eastAsia="Georgia" w:cs="Lucida Sans" w:ascii="Georgia" w:hAnsi="Georgia"/>
          <w:b/>
          <w:bCs/>
          <w:i/>
          <w:iCs/>
          <w:color w:val="auto"/>
          <w:kern w:val="2"/>
          <w:sz w:val="24"/>
          <w:szCs w:val="24"/>
          <w:u w:val="none"/>
          <w:lang w:val="en-US" w:eastAsia="zh-CN" w:bidi="hi-IN"/>
        </w:rPr>
        <w:t>The Hellenistic Period</w:t>
      </w:r>
    </w:p>
    <w:p>
      <w:pPr>
        <w:pStyle w:val="TextBody"/>
        <w:spacing w:lineRule="auto" w:line="480"/>
        <w:rPr>
          <w:rFonts w:ascii="Georgia" w:hAnsi="Georgia"/>
        </w:rPr>
      </w:pPr>
      <w:r>
        <w:rPr>
          <w:rFonts w:eastAsia="Georgia" w:ascii="Georgia" w:hAnsi="Georgia"/>
        </w:rPr>
        <w:t>The geographical worldview during the time of early historian and geographer Herodotus (d. 425 BCE) divided the known world into three regions: Europe, Asia, and Libya (Godley 1975:96). Naturally, these divisions do not correspond to the modern administrative or political boundaries associated with these terms.</w:t>
      </w:r>
    </w:p>
    <w:p>
      <w:pPr>
        <w:pStyle w:val="TextBody"/>
        <w:spacing w:lineRule="auto" w:line="480"/>
        <w:rPr>
          <w:rFonts w:ascii="Georgia" w:hAnsi="Georgia"/>
        </w:rPr>
      </w:pPr>
      <w:r>
        <w:rPr>
          <w:rFonts w:eastAsia="Georgia" w:ascii="Georgia" w:hAnsi="Georgia"/>
        </w:rPr>
        <w:t xml:space="preserve">Herodotus’ perspective was centered on the Hellenistic world, which, by the late second millennium BCE, had already expanded through Greek city-states into regions such as present-day Italy and Anatolia. While describing the Celts and Cynetes as the westernmost peoples of Europe (ibid:235), Herodotus made no effort to define himself or the intervening regions of Europe as a unified identity of "the West." </w:t>
      </w:r>
    </w:p>
    <w:p>
      <w:pPr>
        <w:pStyle w:val="TextBody"/>
        <w:spacing w:lineRule="auto" w:line="480"/>
        <w:rPr>
          <w:rFonts w:ascii="Georgia" w:hAnsi="Georgia"/>
        </w:rPr>
      </w:pPr>
      <w:r>
        <w:rPr>
          <w:rFonts w:eastAsia="Georgia" w:ascii="Georgia" w:hAnsi="Georgia"/>
        </w:rPr>
        <w:t xml:space="preserve">After Plato's death (d. 348 BCE), Hellenistic societal structures extended far beyond the Khorasan region and the Indus River valley, reaching Punjab during the reign of Alexander the Great (d. 323 BCE). Alexander’s wife, Roxanne (d. 310 BCE), the mother of the future Alexander IV (d. 309 BCE), hailed from Bactria, a region that had hosted a significant and politically active Greek community already since the Persian Empire’s </w:t>
      </w:r>
      <w:r>
        <w:rPr>
          <w:rFonts w:eastAsia="Georgia" w:cs="Lucida Sans" w:ascii="Georgia" w:hAnsi="Georgia"/>
          <w:color w:val="auto"/>
          <w:kern w:val="2"/>
          <w:sz w:val="24"/>
          <w:szCs w:val="24"/>
          <w:lang w:val="en-US" w:eastAsia="zh-CN" w:bidi="hi-IN"/>
        </w:rPr>
        <w:t>times</w:t>
      </w:r>
      <w:r>
        <w:rPr>
          <w:rFonts w:eastAsia="Georgia" w:ascii="Georgia" w:hAnsi="Georgia"/>
        </w:rPr>
        <w:t xml:space="preserve">. </w:t>
      </w:r>
    </w:p>
    <w:p>
      <w:pPr>
        <w:pStyle w:val="TextBody"/>
        <w:spacing w:lineRule="auto" w:line="480"/>
        <w:rPr>
          <w:rFonts w:ascii="Georgia" w:hAnsi="Georgia"/>
        </w:rPr>
      </w:pPr>
      <w:r>
        <w:rPr>
          <w:rFonts w:eastAsia="Georgia" w:ascii="Georgia" w:hAnsi="Georgia"/>
        </w:rPr>
        <w:t xml:space="preserve">From a philosophical perspective, it is rather significant that the Greek community was considered a key disseminator of Buddhist teachings from the subcontinent into the Bactria region and further into Central Asia during subsequent centuries (Warder 2004:275). </w:t>
      </w:r>
      <w:r>
        <w:rPr>
          <w:rFonts w:eastAsia="Georgia" w:cs="Lucida Sans" w:ascii="Georgia" w:hAnsi="Georgia"/>
          <w:color w:val="auto"/>
          <w:kern w:val="2"/>
          <w:sz w:val="24"/>
          <w:szCs w:val="24"/>
          <w:lang w:val="en-US" w:eastAsia="zh-CN" w:bidi="hi-IN"/>
        </w:rPr>
        <w:t>T</w:t>
      </w:r>
      <w:r>
        <w:rPr>
          <w:rFonts w:eastAsia="Georgia" w:ascii="Georgia" w:hAnsi="Georgia"/>
        </w:rPr>
        <w:t xml:space="preserve">he Greek-origin king Menander I Soter (d. 130 BCE) was Buddhist. The king’s epithet, </w:t>
      </w:r>
      <w:r>
        <w:rPr>
          <w:rStyle w:val="Emphasis"/>
          <w:rFonts w:eastAsia="Georgia" w:ascii="Georgia" w:hAnsi="Georgia"/>
        </w:rPr>
        <w:t>Soter</w:t>
      </w:r>
      <w:r>
        <w:rPr>
          <w:rFonts w:eastAsia="Georgia" w:ascii="Georgia" w:hAnsi="Georgia"/>
        </w:rPr>
        <w:t>, meaning “Savior,” is noteworthy. Gowans (2003:53) compares the soteriological aspects of pre-Mahayana Buddhist philosophy to classical Hellenistic philosophy, highlighting their shared focus on attaining spiritual balance and well-being. Plato provid</w:t>
      </w:r>
      <w:r>
        <w:rPr>
          <w:rFonts w:eastAsia="Georgia" w:cs="Lucida Sans" w:ascii="Georgia" w:hAnsi="Georgia"/>
          <w:color w:val="000000"/>
          <w:kern w:val="2"/>
          <w:sz w:val="24"/>
          <w:szCs w:val="24"/>
          <w:lang w:val="en-US" w:eastAsia="zh-CN" w:bidi="hi-IN"/>
        </w:rPr>
        <w:t>ed also</w:t>
      </w:r>
      <w:r>
        <w:rPr>
          <w:rFonts w:eastAsia="Georgia" w:ascii="Georgia" w:hAnsi="Georgia"/>
        </w:rPr>
        <w:t xml:space="preserve"> a clear affirmative answer to the question of the possibility of rebirth (ibid:51).</w:t>
      </w:r>
    </w:p>
    <w:p>
      <w:pPr>
        <w:pStyle w:val="Quotations"/>
        <w:spacing w:lineRule="auto" w:line="480"/>
        <w:rPr>
          <w:rFonts w:ascii="Georgia" w:hAnsi="Georgia"/>
        </w:rPr>
      </w:pPr>
      <w:r>
        <w:rPr>
          <w:rFonts w:eastAsia="Georgia" w:ascii="Georgia" w:hAnsi="Georgia"/>
        </w:rPr>
        <w:t>“</w:t>
      </w:r>
      <w:r>
        <w:rPr>
          <w:rFonts w:eastAsia="Georgia" w:ascii="Georgia" w:hAnsi="Georgia"/>
        </w:rPr>
        <w:t>To the extent that the teaching of the Buddha resembles Hellenistic philosophy, we have prima facie reason to regard this teaching as a kind of philosophy familiar in the West.” (ibid:43)</w:t>
      </w:r>
    </w:p>
    <w:p>
      <w:pPr>
        <w:pStyle w:val="TextBody"/>
        <w:spacing w:lineRule="auto" w:line="480"/>
        <w:rPr>
          <w:rFonts w:ascii="Georgia" w:hAnsi="Georgia"/>
        </w:rPr>
      </w:pPr>
      <w:r>
        <w:rPr>
          <w:rFonts w:eastAsia="Georgia" w:ascii="Georgia" w:hAnsi="Georgia"/>
        </w:rPr>
        <w:t>Diogenes Laertius, writing in the egocentric spirit of the post-Alexandrian era, dismissed claims that any philosophy had existed before the Hellenistic period. He provided examples from both the East and the West, but argued dismissively:</w:t>
      </w:r>
    </w:p>
    <w:p>
      <w:pPr>
        <w:pStyle w:val="Quotations"/>
        <w:spacing w:lineRule="auto" w:line="480"/>
        <w:rPr>
          <w:rFonts w:ascii="Georgia" w:hAnsi="Georgia"/>
        </w:rPr>
      </w:pPr>
      <w:r>
        <w:rPr>
          <w:rFonts w:eastAsia="Georgia" w:ascii="Georgia" w:hAnsi="Georgia"/>
        </w:rPr>
        <w:t>“</w:t>
      </w:r>
      <w:r>
        <w:rPr>
          <w:rFonts w:eastAsia="Georgia" w:ascii="Georgia" w:hAnsi="Georgia"/>
        </w:rPr>
        <w:t>They fail to notice that they attribute to the barbarians the accomplishments of the Greeks, with whom not only philosophy but the human race itself began.” (Laertius, transl. Mensch 2018:5)</w:t>
      </w:r>
    </w:p>
    <w:p>
      <w:pPr>
        <w:pStyle w:val="TextBody"/>
        <w:spacing w:lineRule="auto" w:line="480"/>
        <w:rPr>
          <w:rFonts w:ascii="Georgia" w:hAnsi="Georgia"/>
        </w:rPr>
      </w:pPr>
      <w:r>
        <w:rPr>
          <w:rFonts w:eastAsia="Georgia" w:cs="Lucida Sans" w:ascii="Georgia" w:hAnsi="Georgia"/>
          <w:color w:val="auto"/>
          <w:kern w:val="2"/>
          <w:sz w:val="24"/>
          <w:szCs w:val="24"/>
          <w:lang w:val="en-US" w:eastAsia="zh-CN" w:bidi="hi-IN"/>
        </w:rPr>
        <w:t>T</w:t>
      </w:r>
      <w:r>
        <w:rPr>
          <w:rFonts w:eastAsia="Georgia" w:ascii="Georgia" w:hAnsi="Georgia"/>
        </w:rPr>
        <w:t xml:space="preserve">he Hellenistic era can be characterized by a blending of </w:t>
      </w:r>
      <w:r>
        <w:rPr>
          <w:rFonts w:eastAsia="Georgia" w:cs="Lucida Sans" w:ascii="Georgia" w:hAnsi="Georgia"/>
          <w:color w:val="auto"/>
          <w:kern w:val="2"/>
          <w:sz w:val="24"/>
          <w:szCs w:val="24"/>
          <w:lang w:val="en-US" w:eastAsia="zh-CN" w:bidi="hi-IN"/>
        </w:rPr>
        <w:t>traditions</w:t>
      </w:r>
      <w:r>
        <w:rPr>
          <w:rFonts w:eastAsia="Georgia" w:ascii="Georgia" w:hAnsi="Georgia"/>
        </w:rPr>
        <w:t xml:space="preserve">, as evidenced by instances where “Persians and Indians adopted Greek names for a variety of reasons, while many Greeks took on Indian names” (Halkias 2014:70). This period reflects how </w:t>
      </w:r>
      <w:r>
        <w:rPr>
          <w:rStyle w:val="Emphasis"/>
          <w:rFonts w:eastAsia="Georgia" w:ascii="Georgia" w:hAnsi="Georgia"/>
        </w:rPr>
        <w:t>homo sapiens</w:t>
      </w:r>
      <w:r>
        <w:rPr>
          <w:rFonts w:eastAsia="Georgia" w:ascii="Georgia" w:hAnsi="Georgia"/>
        </w:rPr>
        <w:t xml:space="preserve"> relate to nature, creation, and origins through belief systems that are economical, accessible, and seemingly appropriate. Similarly, during the Hellenistic period—later regarded as the cradle of European culture—people sought exoteric rationalizations that offered confidence in navigating life, drawing upon the profound depths of historical traditions to shape their own and their loved ones’ lives.</w:t>
      </w:r>
    </w:p>
    <w:p>
      <w:pPr>
        <w:pStyle w:val="TextBody"/>
        <w:spacing w:lineRule="auto" w:line="480"/>
        <w:rPr>
          <w:rFonts w:ascii="Georgia" w:hAnsi="Georgia"/>
          <w:sz w:val="28"/>
          <w:szCs w:val="28"/>
          <w:u w:val="single"/>
        </w:rPr>
      </w:pPr>
      <w:r>
        <w:rPr>
          <w:rFonts w:eastAsia="Georgia" w:ascii="Georgia" w:hAnsi="Georgia"/>
        </w:rPr>
        <w:t>Greece, often regarded as the cradle of Western worldview, identity, and civilization, might seem to serve as a convenient starting point for interpreting the world as being divided into "East" or "West" based on distinct characteristics.</w:t>
      </w:r>
    </w:p>
    <w:p>
      <w:pPr>
        <w:pStyle w:val="TextBody"/>
        <w:spacing w:lineRule="auto" w:line="480"/>
        <w:rPr>
          <w:rFonts w:ascii="Georgia" w:hAnsi="Georgia"/>
          <w:sz w:val="28"/>
          <w:szCs w:val="28"/>
          <w:u w:val="single"/>
        </w:rPr>
      </w:pPr>
      <w:r>
        <w:rPr>
          <w:rFonts w:eastAsia="Georgia" w:ascii="Georgia" w:hAnsi="Georgia"/>
        </w:rPr>
        <w:t>Since all overarching concepts are driven more by subjective convenience than objective precision, closer examination reveals their inherent biases.</w:t>
      </w:r>
    </w:p>
    <w:p>
      <w:pPr>
        <w:pStyle w:val="TextBody"/>
        <w:spacing w:lineRule="auto" w:line="480"/>
        <w:rPr>
          <w:rFonts w:ascii="Georgia" w:hAnsi="Georgia"/>
          <w:sz w:val="28"/>
          <w:szCs w:val="28"/>
          <w:u w:val="single"/>
        </w:rPr>
      </w:pPr>
      <w:r>
        <w:rPr>
          <w:rFonts w:eastAsia="Georgia" w:ascii="Georgia" w:hAnsi="Georgia"/>
        </w:rPr>
        <w:t>For instance, Bactria, which was part of the cradle of proto-Dharmic religions, later belonged to the Hellenistic cultural sphere and played a key role in spreading Buddhist teachings, particularly through Greek settlers. However, Bactria was also under the control of the Yüeh-chih from the late second millennium to the early first millennium BCE. The Yüeh-chih are thought to have migrated from the western part of the Gansu province in China (Enoki et al. 1994:165). Contemporary simplifications that divide cultures into "Eastern" and "Western" fail to account for such complexities and would perhaps require the establishment of a "transitional" criterion, using Bactria rather than Greece itself as a central reference.</w:t>
      </w:r>
    </w:p>
    <w:p>
      <w:pPr>
        <w:pStyle w:val="TextBody"/>
        <w:bidi w:val="0"/>
        <w:spacing w:lineRule="auto" w:line="480"/>
        <w:jc w:val="left"/>
        <w:rPr>
          <w:rFonts w:ascii="Georgia" w:hAnsi="Georgia"/>
          <w:sz w:val="28"/>
          <w:szCs w:val="28"/>
          <w:u w:val="single"/>
        </w:rPr>
      </w:pPr>
      <w:r>
        <w:rPr>
          <w:rFonts w:eastAsia="Georgia" w:ascii="Georgia" w:hAnsi="Georgia"/>
        </w:rPr>
        <w:t>Should we, then, consider this transitional space or neutrality as the true ‘zero’ point? Or should we instead revere the wisdom of Nagarjuna, who vividly described the inherent emptiness of all convenience-based concepts?</w:t>
      </w:r>
    </w:p>
    <w:p>
      <w:pPr>
        <w:pStyle w:val="Normal"/>
        <w:bidi w:val="0"/>
        <w:spacing w:lineRule="auto" w:line="480"/>
        <w:jc w:val="left"/>
        <w:rPr>
          <w:rFonts w:ascii="Georgia" w:hAnsi="Georgia"/>
        </w:rPr>
      </w:pPr>
      <w:r>
        <w:rPr>
          <w:rFonts w:ascii="Georgia" w:hAnsi="Georgia"/>
        </w:rPr>
      </w:r>
    </w:p>
    <w:p>
      <w:pPr>
        <w:pStyle w:val="Normal"/>
        <w:bidi w:val="0"/>
        <w:spacing w:lineRule="auto" w:line="480"/>
        <w:jc w:val="left"/>
        <w:rPr>
          <w:rFonts w:ascii="Georgia" w:hAnsi="Georgia"/>
        </w:rPr>
      </w:pPr>
      <w:r>
        <w:rPr>
          <w:rFonts w:ascii="Georgia" w:hAnsi="Georgia"/>
        </w:rPr>
      </w:r>
    </w:p>
    <w:p>
      <w:pPr>
        <w:pStyle w:val="Heading3"/>
        <w:numPr>
          <w:ilvl w:val="0"/>
          <w:numId w:val="6"/>
        </w:numPr>
        <w:bidi w:val="0"/>
        <w:spacing w:lineRule="auto" w:line="480"/>
        <w:jc w:val="left"/>
        <w:rPr>
          <w:rFonts w:ascii="Georgia" w:hAnsi="Georgia"/>
          <w:sz w:val="28"/>
          <w:szCs w:val="28"/>
          <w:u w:val="single"/>
        </w:rPr>
      </w:pPr>
      <w:r>
        <w:rPr>
          <w:rFonts w:eastAsia="Georgia" w:cs="Lucida Sans" w:ascii="Georgia" w:hAnsi="Georgia"/>
          <w:b/>
          <w:bCs/>
          <w:i w:val="false"/>
          <w:iCs w:val="false"/>
          <w:caps w:val="false"/>
          <w:smallCaps w:val="false"/>
          <w:strike w:val="false"/>
          <w:dstrike w:val="false"/>
          <w:color w:val="auto"/>
          <w:spacing w:val="0"/>
          <w:kern w:val="2"/>
          <w:sz w:val="28"/>
          <w:szCs w:val="28"/>
          <w:u w:val="single"/>
          <w:effect w:val="none"/>
          <w:lang w:val="en-US" w:eastAsia="zh-CN" w:bidi="hi-IN"/>
        </w:rPr>
        <w:t>Later Middle Ages: The Christian Lens and Orientalism</w:t>
      </w:r>
    </w:p>
    <w:p>
      <w:pPr>
        <w:pStyle w:val="Heading3"/>
        <w:numPr>
          <w:ilvl w:val="2"/>
          <w:numId w:val="2"/>
        </w:numPr>
        <w:spacing w:lineRule="auto" w:line="480"/>
        <w:rPr>
          <w:rFonts w:ascii="Georgia" w:hAnsi="Georgia"/>
          <w:sz w:val="28"/>
          <w:szCs w:val="28"/>
          <w:u w:val="single"/>
        </w:rPr>
      </w:pPr>
      <w:r>
        <w:rPr>
          <w:rFonts w:eastAsia="Georgia" w:ascii="Georgia" w:hAnsi="Georgia"/>
          <w:b/>
          <w:bCs/>
          <w:i/>
          <w:iCs/>
          <w:sz w:val="24"/>
          <w:szCs w:val="24"/>
        </w:rPr>
        <w:t>The Late Medieval Period</w:t>
      </w:r>
    </w:p>
    <w:p>
      <w:pPr>
        <w:pStyle w:val="TextBody"/>
        <w:spacing w:lineRule="auto" w:line="480"/>
        <w:rPr>
          <w:rFonts w:ascii="Georgia" w:hAnsi="Georgia"/>
          <w:sz w:val="28"/>
          <w:szCs w:val="28"/>
          <w:u w:val="single"/>
        </w:rPr>
      </w:pPr>
      <w:r>
        <w:rPr>
          <w:rFonts w:eastAsia="Georgia" w:ascii="Georgia" w:hAnsi="Georgia"/>
        </w:rPr>
        <w:t>While the Hellenistic period is nowadays widely considered the cradle of European culture, the Platonic philosophy is viewed as one of the foundational pillars of modern Western thought. The resurgence of Platonic ideas marked the end of the Middle Ages and the beginning of the Early Modern Period, often referred to as the Renaissan</w:t>
      </w:r>
      <w:r>
        <w:rPr>
          <w:rFonts w:eastAsia="Georgia" w:ascii="Georgia" w:hAnsi="Georgia"/>
          <w:color w:val="auto"/>
        </w:rPr>
        <w:t>ce.</w:t>
      </w:r>
    </w:p>
    <w:p>
      <w:pPr>
        <w:pStyle w:val="TextBody"/>
        <w:spacing w:lineRule="auto" w:line="480"/>
        <w:rPr>
          <w:rFonts w:ascii="Georgia" w:hAnsi="Georgia"/>
          <w:sz w:val="28"/>
          <w:szCs w:val="28"/>
          <w:u w:val="single"/>
        </w:rPr>
      </w:pPr>
      <w:r>
        <w:rPr>
          <w:rFonts w:eastAsia="Georgia" w:ascii="Georgia" w:hAnsi="Georgia"/>
        </w:rPr>
        <w:t xml:space="preserve">Philosophically, Platonic ideas originating from the earlier Hellenistic world had largely lost their prominence in continental Europe during the Middle Ages. Though sometimes criticized, these ideas remained significantly more relevant in former Hellenistic territories. For instance, the Greatest of all </w:t>
      </w:r>
      <w:r>
        <w:rPr>
          <w:rFonts w:eastAsia="Georgia" w:cs="Lucida Sans" w:ascii="Georgia" w:hAnsi="Georgia"/>
          <w:color w:val="auto"/>
          <w:kern w:val="2"/>
          <w:sz w:val="24"/>
          <w:szCs w:val="24"/>
          <w:lang w:val="en-US" w:eastAsia="zh-CN" w:bidi="hi-IN"/>
        </w:rPr>
        <w:t>S</w:t>
      </w:r>
      <w:r>
        <w:rPr>
          <w:rFonts w:eastAsia="Georgia" w:ascii="Georgia" w:hAnsi="Georgia"/>
        </w:rPr>
        <w:t xml:space="preserve">heikhs Ibn al-ʿArabī (d.1240), originally from Andalusia, who played a role in the cultural flourishing of </w:t>
      </w:r>
      <w:r>
        <w:rPr>
          <w:rFonts w:eastAsia="Georgia" w:cs="Lucida Sans" w:ascii="Georgia" w:hAnsi="Georgia"/>
          <w:color w:val="auto"/>
          <w:kern w:val="2"/>
          <w:sz w:val="24"/>
          <w:szCs w:val="24"/>
          <w:lang w:val="en-US" w:eastAsia="zh-CN" w:bidi="hi-IN"/>
        </w:rPr>
        <w:t>Anatolia</w:t>
      </w:r>
      <w:r>
        <w:rPr>
          <w:rFonts w:eastAsia="Georgia" w:ascii="Georgia" w:hAnsi="Georgia"/>
        </w:rPr>
        <w:t xml:space="preserve"> parallel to the early Renaissance in mainland Europe, was honorifically called "the son of Plato." </w:t>
      </w:r>
    </w:p>
    <w:p>
      <w:pPr>
        <w:pStyle w:val="TextBody"/>
        <w:spacing w:lineRule="auto" w:line="480"/>
        <w:rPr>
          <w:rFonts w:ascii="Georgia" w:hAnsi="Georgia"/>
          <w:sz w:val="28"/>
          <w:szCs w:val="28"/>
          <w:u w:val="single"/>
        </w:rPr>
      </w:pPr>
      <w:r>
        <w:rPr>
          <w:rFonts w:eastAsia="Georgia" w:ascii="Georgia" w:hAnsi="Georgia"/>
        </w:rPr>
        <w:t xml:space="preserve">Andalusia was an essential gateway to the treasure trove of Islamic science and philosophy, which profoundly influenced European science and thought—a contribution described as "revolutionary" (Serrano Paton 2015:123). Andalusia provided a fertile intellectual climate also for the Jewish community, often referred to—albeit with some reservations—as a "Golden Age." </w:t>
      </w:r>
      <w:r>
        <w:rPr>
          <w:rFonts w:eastAsia="Georgia" w:cs="Lucida Sans" w:ascii="Georgia" w:hAnsi="Georgia"/>
          <w:color w:val="auto"/>
          <w:kern w:val="2"/>
          <w:sz w:val="24"/>
          <w:szCs w:val="24"/>
          <w:lang w:val="en-US" w:eastAsia="zh-CN" w:bidi="hi-IN"/>
        </w:rPr>
        <w:t>M</w:t>
      </w:r>
      <w:r>
        <w:rPr>
          <w:rFonts w:eastAsia="Georgia" w:ascii="Georgia" w:hAnsi="Georgia"/>
        </w:rPr>
        <w:t>edieval Europe was also signnificantly shaped by Jewish thinkers such as Maimonides (d.1204), whose ideas impacted figures like St. Thomas Aquinas (d.1274) and his teacher Albertus Magnus (d.1280) (Gilleti 2011).</w:t>
      </w:r>
    </w:p>
    <w:p>
      <w:pPr>
        <w:pStyle w:val="TextBody"/>
        <w:spacing w:lineRule="auto" w:line="480"/>
        <w:rPr>
          <w:i/>
          <w:i/>
          <w:iCs/>
        </w:rPr>
      </w:pPr>
      <w:r>
        <w:rPr>
          <w:rFonts w:eastAsia="Georgia" w:cs="Lucida Sans" w:ascii="Georgia" w:hAnsi="Georgia"/>
          <w:color w:val="auto"/>
          <w:kern w:val="2"/>
          <w:sz w:val="24"/>
          <w:szCs w:val="24"/>
          <w:lang w:val="en-US" w:eastAsia="zh-CN" w:bidi="hi-IN"/>
        </w:rPr>
        <w:t xml:space="preserve">Britain </w:t>
      </w:r>
      <w:r>
        <w:rPr>
          <w:rFonts w:eastAsia="Georgia" w:ascii="Georgia" w:hAnsi="Georgia"/>
        </w:rPr>
        <w:t xml:space="preserve">was at the forefront of the emerging Early Modern Era. This is clearly reflected in societal readiness and consensus inspired by Platonic ideals—most convincingly represented in the socio-political structures characteristic of this new age. The principles of the Magna Carta (1215) remain foundational for a contemporary well-functioning societal model and serve as a cornerstone document for the modern </w:t>
      </w:r>
      <w:r>
        <w:rPr>
          <w:rStyle w:val="Emphasis"/>
          <w:rFonts w:eastAsia="Georgia" w:ascii="Georgia" w:hAnsi="Georgia"/>
        </w:rPr>
        <w:t>Universal Declaration of Human Rights</w:t>
      </w:r>
      <w:r>
        <w:rPr>
          <w:rFonts w:eastAsia="Georgia" w:ascii="Georgia" w:hAnsi="Georgia"/>
        </w:rPr>
        <w:t>.</w:t>
      </w:r>
    </w:p>
    <w:p>
      <w:pPr>
        <w:pStyle w:val="TextBody"/>
        <w:spacing w:lineRule="auto" w:line="480"/>
        <w:rPr>
          <w:i/>
          <w:i/>
          <w:iCs/>
        </w:rPr>
      </w:pPr>
      <w:r>
        <w:rPr>
          <w:rFonts w:eastAsia="Georgia" w:ascii="Georgia" w:hAnsi="Georgia"/>
        </w:rPr>
        <w:t xml:space="preserve">The retrospective yet subjective concept marking the beginning of the Early Modern Period, derived from the French </w:t>
      </w:r>
      <w:r>
        <w:rPr>
          <w:rFonts w:eastAsia="Georgia" w:ascii="Georgia" w:hAnsi="Georgia"/>
          <w:i/>
          <w:iCs/>
        </w:rPr>
        <w:t>Romanti</w:t>
      </w:r>
      <w:r>
        <w:rPr>
          <w:rFonts w:eastAsia="Georgia" w:cs="Lucida Sans" w:ascii="Georgia" w:hAnsi="Georgia"/>
          <w:i/>
          <w:iCs/>
          <w:color w:val="auto"/>
          <w:kern w:val="2"/>
          <w:sz w:val="24"/>
          <w:szCs w:val="24"/>
          <w:lang w:val="en-US" w:eastAsia="zh-CN" w:bidi="hi-IN"/>
        </w:rPr>
        <w:t>sme</w:t>
      </w:r>
      <w:r>
        <w:rPr>
          <w:rFonts w:eastAsia="Georgia" w:ascii="Georgia" w:hAnsi="Georgia"/>
        </w:rPr>
        <w:t xml:space="preserve"> era and largely celebrating the first Italian poets and philosophers of the Renaissance, is undeniably one-sided and somewhat belated (‘</w:t>
      </w:r>
      <w:r>
        <w:rPr>
          <w:rStyle w:val="Emphasis"/>
          <w:rFonts w:eastAsia="Georgia" w:ascii="Georgia" w:hAnsi="Georgia"/>
        </w:rPr>
        <w:t>ritardo’</w:t>
      </w:r>
      <w:r>
        <w:rPr>
          <w:rFonts w:eastAsia="Georgia" w:ascii="Georgia" w:hAnsi="Georgia"/>
        </w:rPr>
        <w:t xml:space="preserve"> in Italian). By the time of Dante and Petrarch, England had already undergone significant legislative and societal changes. These coincided with the large-scale cultural developments taking place within the Seljuk Empire.</w:t>
      </w:r>
    </w:p>
    <w:p>
      <w:pPr>
        <w:pStyle w:val="TextBody"/>
        <w:spacing w:lineRule="auto" w:line="480"/>
        <w:rPr>
          <w:i/>
          <w:i/>
          <w:iCs/>
        </w:rPr>
      </w:pPr>
      <w:r>
        <w:rPr>
          <w:rFonts w:eastAsia="Georgia" w:ascii="Georgia" w:hAnsi="Georgia"/>
          <w:b/>
          <w:bCs/>
          <w:i/>
          <w:iCs/>
          <w:sz w:val="24"/>
          <w:szCs w:val="24"/>
        </w:rPr>
        <w:t>The Composite Nature of Christianity</w:t>
      </w:r>
    </w:p>
    <w:p>
      <w:pPr>
        <w:pStyle w:val="TextBody"/>
        <w:spacing w:lineRule="auto" w:line="480"/>
        <w:rPr>
          <w:i/>
          <w:i/>
          <w:iCs/>
        </w:rPr>
      </w:pPr>
      <w:r>
        <w:rPr>
          <w:rFonts w:eastAsia="Georgia" w:ascii="Georgia" w:hAnsi="Georgia"/>
        </w:rPr>
        <w:t>Like other traditional moral-ethical teachings or religions, Christianity is also a composite phenomenon. It interweaves traditions from preceding cultural layers with newer developments, interpreted differently by various denominations.</w:t>
      </w:r>
    </w:p>
    <w:p>
      <w:pPr>
        <w:pStyle w:val="TextBody"/>
        <w:spacing w:lineRule="auto" w:line="480"/>
        <w:rPr>
          <w:i/>
          <w:i/>
          <w:iCs/>
        </w:rPr>
      </w:pPr>
      <w:r>
        <w:rPr>
          <w:rFonts w:eastAsia="Georgia" w:ascii="Georgia" w:hAnsi="Georgia"/>
        </w:rPr>
        <w:t xml:space="preserve">A striking example is the legislation passed by the Puritan majority in Cromwell's Parliament in 1647. This law prohibited the celebration of Christmas, Easter, </w:t>
      </w:r>
      <w:r>
        <w:rPr>
          <w:rFonts w:eastAsia="Georgia" w:cs="Lucida Sans" w:ascii="Georgia" w:hAnsi="Georgia"/>
          <w:color w:val="auto"/>
          <w:kern w:val="2"/>
          <w:sz w:val="24"/>
          <w:szCs w:val="24"/>
          <w:lang w:val="en-US" w:eastAsia="zh-CN" w:bidi="hi-IN"/>
        </w:rPr>
        <w:t>etc</w:t>
      </w:r>
      <w:r>
        <w:rPr>
          <w:rFonts w:eastAsia="Georgia" w:ascii="Georgia" w:hAnsi="Georgia"/>
        </w:rPr>
        <w:t xml:space="preserve"> holidays in England and its colonies due to their clearly pagan origins. Even today, some Christian congregations share this view, as the New Testament narrative provides no clear or definitive link between these holidays and the celebrated events in the calendar. The alignment of pagan solstice festivals—historically associated with various deities—with Christian holy days is more than mere coincidence. In addition to the winter and spring solstices (marking Christ's birth and resurrection), the Christian tradition linked the summer solstice with John the Baptist, who, according to tradition, heralded Christ's coming, and the autumnal equinox with St. Matthew, revered as the only evangelist to have witnessed Christ's resurrection.</w:t>
      </w:r>
    </w:p>
    <w:p>
      <w:pPr>
        <w:pStyle w:val="TextBody"/>
        <w:spacing w:lineRule="auto" w:line="480"/>
        <w:rPr>
          <w:i/>
          <w:i/>
          <w:iCs/>
        </w:rPr>
      </w:pPr>
      <w:r>
        <w:rPr>
          <w:rFonts w:eastAsia="Georgia" w:ascii="Georgia" w:hAnsi="Georgia"/>
        </w:rPr>
        <w:t>The Old Testament similarly incorporates composite themes familiar from earlier periods. One of the best-known examples is the account of the Flood, depicted as divine punishment for human sins, from which a single devout and righteous patriarch is spared—a figure who assumes various names across different versions over time (Fleming &amp; Milstein 2010).</w:t>
      </w:r>
    </w:p>
    <w:p>
      <w:pPr>
        <w:pStyle w:val="TextBody"/>
        <w:spacing w:lineRule="auto" w:line="480"/>
        <w:rPr>
          <w:i/>
          <w:i/>
          <w:iCs/>
        </w:rPr>
      </w:pPr>
      <w:r>
        <w:rPr>
          <w:rFonts w:eastAsia="Georgia" w:ascii="Georgia" w:hAnsi="Georgia"/>
        </w:rPr>
        <w:t xml:space="preserve">The value of moral-ethical teachings lies in the long-term statistical </w:t>
      </w:r>
      <w:r>
        <w:rPr>
          <w:rFonts w:eastAsia="Georgia" w:ascii="Georgia" w:hAnsi="Georgia"/>
          <w:i/>
          <w:iCs/>
        </w:rPr>
        <w:t>truth</w:t>
      </w:r>
      <w:r>
        <w:rPr>
          <w:rFonts w:eastAsia="Georgia" w:ascii="Georgia" w:hAnsi="Georgia"/>
        </w:rPr>
        <w:t xml:space="preserve"> and the effective outcomes derived from adhering to that </w:t>
      </w:r>
      <w:r>
        <w:rPr>
          <w:rFonts w:eastAsia="Georgia" w:ascii="Georgia" w:hAnsi="Georgia"/>
          <w:i/>
          <w:iCs/>
        </w:rPr>
        <w:t>truth</w:t>
      </w:r>
      <w:r>
        <w:rPr>
          <w:rFonts w:eastAsia="Georgia" w:ascii="Georgia" w:hAnsi="Georgia"/>
        </w:rPr>
        <w:t>. However, the cumulative nature of experiences and insights over generations, combined with evolving cultural contexts and the emergence of variations, makes detailed critical analysis nearly impossible for the average adherent in real time.</w:t>
      </w:r>
    </w:p>
    <w:p>
      <w:pPr>
        <w:pStyle w:val="TextBody"/>
        <w:spacing w:lineRule="auto" w:line="480"/>
        <w:rPr>
          <w:i/>
          <w:i/>
          <w:iCs/>
        </w:rPr>
      </w:pPr>
      <w:r>
        <w:rPr>
          <w:rFonts w:eastAsia="Georgia" w:ascii="Georgia" w:hAnsi="Georgia"/>
        </w:rPr>
        <w:t>Processes that lead to manageable compactness include simplification to common denominators and selective omission or exclusion of con</w:t>
      </w:r>
      <w:r>
        <w:rPr>
          <w:rFonts w:eastAsia="Georgia" w:cs="Lucida Sans" w:ascii="Georgia" w:hAnsi="Georgia"/>
          <w:color w:val="auto"/>
          <w:kern w:val="2"/>
          <w:sz w:val="24"/>
          <w:szCs w:val="24"/>
          <w:lang w:val="en-US" w:eastAsia="zh-CN" w:bidi="hi-IN"/>
        </w:rPr>
        <w:t>fronting</w:t>
      </w:r>
      <w:r>
        <w:rPr>
          <w:rFonts w:eastAsia="Georgia" w:ascii="Georgia" w:hAnsi="Georgia"/>
        </w:rPr>
        <w:t xml:space="preserve"> details. Since both processes involve subjective judgments and associations, they result in subjective distortions. The net outcome, however, reveals shared human roots of religious teachings, their composite nature, and the recurring manifestation of common motifs.</w:t>
      </w:r>
    </w:p>
    <w:p>
      <w:pPr>
        <w:pStyle w:val="TextBody"/>
        <w:bidi w:val="0"/>
        <w:spacing w:lineRule="auto" w:line="480"/>
        <w:jc w:val="left"/>
        <w:rPr>
          <w:i/>
          <w:i/>
          <w:iCs/>
        </w:rPr>
      </w:pPr>
      <w:r>
        <w:rPr>
          <w:i/>
          <w:iCs/>
        </w:rPr>
      </w:r>
    </w:p>
    <w:p>
      <w:pPr>
        <w:pStyle w:val="TextBody"/>
        <w:bidi w:val="0"/>
        <w:spacing w:lineRule="auto" w:line="480"/>
        <w:ind w:hanging="0"/>
        <w:jc w:val="left"/>
        <w:rPr>
          <w:rFonts w:ascii="Georgia" w:hAnsi="Georgia"/>
          <w:sz w:val="28"/>
          <w:szCs w:val="28"/>
          <w:u w:val="single"/>
        </w:rPr>
      </w:pPr>
      <w:r>
        <w:rPr>
          <w:rStyle w:val="StrongEmphasis"/>
          <w:rFonts w:eastAsia="Georgia" w:ascii="Georgia" w:hAnsi="Georgia"/>
          <w:i/>
          <w:iCs/>
          <w:sz w:val="24"/>
          <w:szCs w:val="24"/>
          <w:u w:val="none"/>
        </w:rPr>
        <w:t>Orientalism</w:t>
      </w:r>
    </w:p>
    <w:p>
      <w:pPr>
        <w:pStyle w:val="TextBody"/>
        <w:spacing w:lineRule="auto" w:line="480"/>
        <w:rPr>
          <w:rFonts w:ascii="Georgia" w:hAnsi="Georgia"/>
          <w:sz w:val="28"/>
          <w:szCs w:val="28"/>
          <w:u w:val="single"/>
        </w:rPr>
      </w:pPr>
      <w:r>
        <w:rPr>
          <w:rFonts w:eastAsia="Georgia" w:ascii="Georgia" w:hAnsi="Georgia"/>
        </w:rPr>
        <w:t xml:space="preserve">The reduction of the inevitable computational load through prior simplifications is expressed in the formation of attitudes, stereotypes, and beliefs. Nietzsche summed this up </w:t>
      </w:r>
      <w:r>
        <w:rPr>
          <w:rFonts w:eastAsia="Georgia" w:cs="Lucida Sans" w:ascii="Georgia" w:hAnsi="Georgia"/>
          <w:color w:val="000000"/>
          <w:kern w:val="2"/>
          <w:sz w:val="24"/>
          <w:szCs w:val="24"/>
          <w:lang w:val="en-US" w:eastAsia="zh-CN" w:bidi="hi-IN"/>
        </w:rPr>
        <w:t>as prejudices contained in each and</w:t>
      </w:r>
      <w:r>
        <w:rPr>
          <w:rFonts w:eastAsia="Georgia" w:ascii="Georgia" w:hAnsi="Georgia"/>
        </w:rPr>
        <w:t xml:space="preserve"> every word (Abbey 2020:202).</w:t>
      </w:r>
    </w:p>
    <w:p>
      <w:pPr>
        <w:pStyle w:val="TextBody"/>
        <w:spacing w:lineRule="auto" w:line="480"/>
        <w:rPr>
          <w:rFonts w:ascii="Georgia" w:hAnsi="Georgia"/>
          <w:sz w:val="28"/>
          <w:szCs w:val="28"/>
          <w:u w:val="single"/>
        </w:rPr>
      </w:pPr>
      <w:r>
        <w:rPr>
          <w:rFonts w:eastAsia="Georgia" w:ascii="Georgia" w:hAnsi="Georgia"/>
        </w:rPr>
        <w:t>The previous glance at antiquity showed that in the case of the East-West division, it may not have been simply an absolute value influenced by geographic reality, but rather a phenomenon with a composite character that, through later compression, could have lost an essential part of its original message or acquired new nuances due to the merging of later “similar” meanings.</w:t>
      </w:r>
    </w:p>
    <w:p>
      <w:pPr>
        <w:pStyle w:val="TextBody"/>
        <w:spacing w:lineRule="auto" w:line="480"/>
        <w:rPr>
          <w:rFonts w:ascii="Georgia" w:hAnsi="Georgia"/>
          <w:sz w:val="28"/>
          <w:szCs w:val="28"/>
          <w:u w:val="single"/>
        </w:rPr>
      </w:pPr>
      <w:r>
        <w:rPr>
          <w:rFonts w:eastAsia="Georgia" w:ascii="Georgia" w:hAnsi="Georgia"/>
        </w:rPr>
        <w:t xml:space="preserve">The concept of </w:t>
      </w:r>
      <w:r>
        <w:rPr>
          <w:rFonts w:eastAsia="Georgia" w:ascii="Georgia" w:hAnsi="Georgia"/>
          <w:i/>
          <w:iCs/>
        </w:rPr>
        <w:t>Orientalism</w:t>
      </w:r>
      <w:r>
        <w:rPr>
          <w:rFonts w:eastAsia="Georgia" w:ascii="Georgia" w:hAnsi="Georgia"/>
        </w:rPr>
        <w:t xml:space="preserve"> was first introduced by the Church Council of Vienna in 1312 (Said 1979:49-50), with one of the contextual factors being the ongoing and perceived backwardness in light of the achievements of the Islamic Golden Age in the sciences, politics, and economy. The 1312 Church Council discussed and decided, among other things, the establishment of chairs of oriental languages at universities. The languages in question were Arabic, Hebrew, Syriac, and another language already mentioned earlier. </w:t>
      </w:r>
      <w:r>
        <w:rPr>
          <w:rFonts w:eastAsia="Georgia" w:cs="Lucida Sans" w:ascii="Georgia" w:hAnsi="Georgia"/>
          <w:color w:val="000000"/>
          <w:kern w:val="2"/>
          <w:sz w:val="24"/>
          <w:szCs w:val="24"/>
          <w:lang w:val="en-US" w:eastAsia="zh-CN" w:bidi="hi-IN"/>
        </w:rPr>
        <w:t>The list of</w:t>
      </w:r>
      <w:r>
        <w:rPr>
          <w:rFonts w:eastAsia="Georgia" w:ascii="Georgia" w:hAnsi="Georgia"/>
        </w:rPr>
        <w:t xml:space="preserve"> universities included </w:t>
      </w:r>
      <w:r>
        <w:rPr>
          <w:rFonts w:eastAsia="Georgia" w:cs="Lucida Sans" w:ascii="Georgia" w:hAnsi="Georgia"/>
          <w:color w:val="000000"/>
          <w:kern w:val="2"/>
          <w:sz w:val="24"/>
          <w:szCs w:val="24"/>
          <w:lang w:val="en-US" w:eastAsia="zh-CN" w:bidi="hi-IN"/>
        </w:rPr>
        <w:t>also</w:t>
      </w:r>
      <w:r>
        <w:rPr>
          <w:rFonts w:eastAsia="Georgia" w:ascii="Georgia" w:hAnsi="Georgia"/>
        </w:rPr>
        <w:t xml:space="preserve"> Oxford. </w:t>
      </w:r>
      <w:r>
        <w:rPr>
          <w:rFonts w:eastAsia="Georgia" w:cs="Lucida Sans" w:ascii="Georgia" w:hAnsi="Georgia"/>
          <w:color w:val="000000"/>
          <w:kern w:val="2"/>
          <w:sz w:val="24"/>
          <w:szCs w:val="24"/>
          <w:lang w:val="en-US" w:eastAsia="zh-CN" w:bidi="hi-IN"/>
        </w:rPr>
        <w:t>I</w:t>
      </w:r>
      <w:r>
        <w:rPr>
          <w:rFonts w:eastAsia="Georgia" w:ascii="Georgia" w:hAnsi="Georgia"/>
        </w:rPr>
        <w:t>t is well known, that works by Roger Bacon (d.1292), for example, had already been significantly influenced by Arabic-language authors’ works in the century preceding the Council (Druart 2023:92). Therefore, what the Church Council discussed was not a matter of geographical discovery or a new direction in science, but rather the acceptance of already actualized models and directions, possibly at least partly for the purpose of maintaining certain administrative control.</w:t>
      </w:r>
    </w:p>
    <w:p>
      <w:pPr>
        <w:pStyle w:val="TextBody"/>
        <w:spacing w:lineRule="auto" w:line="480"/>
        <w:rPr>
          <w:rFonts w:ascii="Georgia" w:hAnsi="Georgia"/>
          <w:sz w:val="28"/>
          <w:szCs w:val="28"/>
          <w:u w:val="single"/>
        </w:rPr>
      </w:pPr>
      <w:r>
        <w:rPr>
          <w:rFonts w:eastAsia="Georgia" w:ascii="Georgia" w:hAnsi="Georgia"/>
        </w:rPr>
        <w:t xml:space="preserve">The fourth language the Church Council spoke about, in the context of Orientalism, was... Greek. </w:t>
      </w:r>
    </w:p>
    <w:p>
      <w:pPr>
        <w:pStyle w:val="TextBody"/>
        <w:spacing w:lineRule="auto" w:line="480"/>
        <w:rPr>
          <w:rFonts w:ascii="Georgia" w:hAnsi="Georgia"/>
          <w:sz w:val="28"/>
          <w:szCs w:val="28"/>
          <w:u w:val="single"/>
        </w:rPr>
      </w:pPr>
      <w:r>
        <w:rPr>
          <w:rFonts w:eastAsia="Georgia" w:ascii="Georgia" w:hAnsi="Georgia"/>
        </w:rPr>
        <w:t>Philosophically, both Greek and the previously mentioned Hebrew languages are not located elsewhere but on the very level of Christianity itself. All the versions of the Gospels that have reached us today are derived from Greek texts.</w:t>
      </w:r>
    </w:p>
    <w:p>
      <w:pPr>
        <w:pStyle w:val="TextBody"/>
        <w:spacing w:lineRule="auto" w:line="480"/>
        <w:rPr>
          <w:rFonts w:ascii="Georgia" w:hAnsi="Georgia"/>
          <w:sz w:val="28"/>
          <w:szCs w:val="28"/>
          <w:u w:val="single"/>
        </w:rPr>
      </w:pPr>
      <w:r>
        <w:rPr>
          <w:rFonts w:eastAsia="Georgia" w:ascii="Georgia" w:hAnsi="Georgia"/>
        </w:rPr>
        <w:t>Culturally, Andalusia was of great importance to the European intellectuals of the time, as it was the source of significant influences through translations of works by scholars with Arabic and Hebrew backgrounds. However, Andalusia, which had been part of the Arab world for centuries by this time, is situated not to the east of the Vatican, but in contrary - to the west. Another significant center of translation was the lands of the Emirate of Sicily, figuratively right next to the Vatican but still to the south.</w:t>
      </w:r>
    </w:p>
    <w:p>
      <w:pPr>
        <w:pStyle w:val="TextBody"/>
        <w:spacing w:lineRule="auto" w:line="480"/>
        <w:rPr>
          <w:rFonts w:ascii="Georgia" w:hAnsi="Georgia"/>
          <w:sz w:val="28"/>
          <w:szCs w:val="28"/>
          <w:u w:val="single"/>
        </w:rPr>
      </w:pPr>
      <w:r>
        <w:rPr>
          <w:rFonts w:eastAsia="Georgia" w:ascii="Georgia" w:hAnsi="Georgia"/>
        </w:rPr>
        <w:t>Geographically, the Arab world stretched from the Papal seat to the south, southeast, southwest, taking in all of North Africa, which lay figuratively between Mecca, Jerusalem, and the Atlantic Ocean.</w:t>
      </w:r>
    </w:p>
    <w:p>
      <w:pPr>
        <w:pStyle w:val="TextBody"/>
        <w:spacing w:lineRule="auto" w:line="480"/>
        <w:rPr>
          <w:rFonts w:ascii="Georgia" w:hAnsi="Georgia"/>
          <w:sz w:val="28"/>
          <w:szCs w:val="28"/>
          <w:u w:val="single"/>
        </w:rPr>
      </w:pPr>
      <w:r>
        <w:rPr>
          <w:rFonts w:eastAsia="Georgia" w:ascii="Georgia" w:hAnsi="Georgia"/>
        </w:rPr>
        <w:t xml:space="preserve">The Pope’s word was law in the Christian world, and his beliefs were considered infallible. Latin, as the language of cultural tradition carried with it prejudices and stereotypes, and for many centuries represented the academic tradition of Europe. Following this tradition respectfully, the scholars of subsequent centuries engaged in creating adapted conformist theories that should consider the esteemed original sources and similar theories created thereafter – the process </w:t>
      </w:r>
      <w:r>
        <w:rPr>
          <w:rFonts w:eastAsia="Georgia" w:cs="Lucida Sans" w:ascii="Georgia" w:hAnsi="Georgia"/>
          <w:color w:val="auto"/>
          <w:kern w:val="2"/>
          <w:sz w:val="24"/>
          <w:szCs w:val="24"/>
          <w:lang w:val="en-US" w:eastAsia="zh-CN" w:bidi="hi-IN"/>
        </w:rPr>
        <w:t xml:space="preserve">well </w:t>
      </w:r>
      <w:r>
        <w:rPr>
          <w:rFonts w:eastAsia="Georgia" w:ascii="Georgia" w:hAnsi="Georgia"/>
        </w:rPr>
        <w:t>described by Frog (</w:t>
      </w:r>
      <w:r>
        <w:rPr>
          <w:rFonts w:eastAsia="Georgia" w:cs="Lucida Sans" w:ascii="Georgia" w:hAnsi="Georgia"/>
          <w:color w:val="000000"/>
          <w:kern w:val="2"/>
          <w:sz w:val="24"/>
          <w:szCs w:val="24"/>
          <w:lang w:val="en-US" w:eastAsia="zh-CN" w:bidi="hi-IN"/>
        </w:rPr>
        <w:t>2015</w:t>
      </w:r>
      <w:r>
        <w:rPr>
          <w:rFonts w:eastAsia="Georgia" w:ascii="Georgia" w:hAnsi="Georgia"/>
        </w:rPr>
        <w:t>).</w:t>
      </w:r>
    </w:p>
    <w:p>
      <w:pPr>
        <w:pStyle w:val="TextBody"/>
        <w:spacing w:lineRule="auto" w:line="480"/>
        <w:rPr>
          <w:rFonts w:ascii="Georgia" w:hAnsi="Georgia"/>
          <w:sz w:val="28"/>
          <w:szCs w:val="28"/>
          <w:u w:val="single"/>
        </w:rPr>
      </w:pPr>
      <w:r>
        <w:rPr>
          <w:rFonts w:eastAsia="Georgia" w:ascii="Georgia" w:hAnsi="Georgia"/>
        </w:rPr>
        <w:t xml:space="preserve">Today, we have reached </w:t>
      </w:r>
      <w:r>
        <w:rPr>
          <w:rFonts w:eastAsia="Georgia" w:cs="Lucida Sans" w:ascii="Georgia" w:hAnsi="Georgia"/>
          <w:color w:val="auto"/>
          <w:kern w:val="2"/>
          <w:sz w:val="24"/>
          <w:szCs w:val="24"/>
          <w:lang w:val="en-US" w:eastAsia="zh-CN" w:bidi="hi-IN"/>
        </w:rPr>
        <w:t>another</w:t>
      </w:r>
      <w:r>
        <w:rPr>
          <w:rFonts w:eastAsia="Georgia" w:ascii="Georgia" w:hAnsi="Georgia"/>
        </w:rPr>
        <w:t xml:space="preserve"> level in the opposition of East and West, where even non-Christian cultures use the </w:t>
      </w:r>
      <w:r>
        <w:rPr>
          <w:rFonts w:eastAsia="Georgia" w:cs="Lucida Sans" w:ascii="Georgia" w:hAnsi="Georgia"/>
          <w:color w:val="auto"/>
          <w:kern w:val="2"/>
          <w:sz w:val="24"/>
          <w:szCs w:val="24"/>
          <w:lang w:val="en-US" w:eastAsia="zh-CN" w:bidi="hi-IN"/>
        </w:rPr>
        <w:t>derivatives or their opposites</w:t>
      </w:r>
      <w:r>
        <w:rPr>
          <w:rFonts w:eastAsia="Georgia" w:ascii="Georgia" w:hAnsi="Georgia"/>
        </w:rPr>
        <w:t xml:space="preserve"> </w:t>
      </w:r>
      <w:r>
        <w:rPr>
          <w:rFonts w:eastAsia="Georgia" w:cs="Lucida Sans" w:ascii="Georgia" w:hAnsi="Georgia"/>
          <w:color w:val="auto"/>
          <w:kern w:val="2"/>
          <w:sz w:val="24"/>
          <w:szCs w:val="24"/>
          <w:lang w:val="en-US" w:eastAsia="zh-CN" w:bidi="hi-IN"/>
        </w:rPr>
        <w:t>trying to match</w:t>
      </w:r>
      <w:r>
        <w:rPr>
          <w:rFonts w:eastAsia="Georgia" w:ascii="Georgia" w:hAnsi="Georgia"/>
        </w:rPr>
        <w:t xml:space="preserve"> various sociopolitical </w:t>
      </w:r>
      <w:r>
        <w:rPr>
          <w:rFonts w:eastAsia="Georgia" w:cs="Lucida Sans" w:ascii="Georgia" w:hAnsi="Georgia"/>
          <w:color w:val="auto"/>
          <w:kern w:val="2"/>
          <w:sz w:val="24"/>
          <w:szCs w:val="24"/>
          <w:lang w:val="en-US" w:eastAsia="zh-CN" w:bidi="hi-IN"/>
        </w:rPr>
        <w:t>or</w:t>
      </w:r>
      <w:r>
        <w:rPr>
          <w:rFonts w:eastAsia="Georgia" w:ascii="Georgia" w:hAnsi="Georgia"/>
        </w:rPr>
        <w:t xml:space="preserve"> psychosocial phenomena with them.</w:t>
      </w:r>
    </w:p>
    <w:p>
      <w:pPr>
        <w:pStyle w:val="Normal"/>
        <w:bidi w:val="0"/>
        <w:spacing w:lineRule="auto" w:line="480"/>
        <w:ind w:hanging="0"/>
        <w:jc w:val="left"/>
        <w:rPr>
          <w:rStyle w:val="StrongEmphasis"/>
          <w:rFonts w:ascii="Georgia" w:hAnsi="Georgia"/>
          <w:sz w:val="28"/>
          <w:szCs w:val="28"/>
          <w:u w:val="single"/>
        </w:rPr>
      </w:pPr>
      <w:r>
        <w:rPr>
          <w:rFonts w:ascii="Georgia" w:hAnsi="Georgia"/>
          <w:sz w:val="28"/>
          <w:szCs w:val="28"/>
          <w:u w:val="single"/>
        </w:rPr>
      </w:r>
    </w:p>
    <w:p>
      <w:pPr>
        <w:pStyle w:val="Normal"/>
        <w:bidi w:val="0"/>
        <w:spacing w:lineRule="auto" w:line="480"/>
        <w:ind w:hanging="0"/>
        <w:jc w:val="left"/>
        <w:rPr>
          <w:rStyle w:val="StrongEmphasis"/>
          <w:rFonts w:ascii="Georgia" w:hAnsi="Georgia"/>
          <w:sz w:val="28"/>
          <w:szCs w:val="28"/>
          <w:u w:val="single"/>
        </w:rPr>
      </w:pPr>
      <w:r>
        <w:rPr>
          <w:rFonts w:ascii="Georgia" w:hAnsi="Georgia"/>
          <w:sz w:val="28"/>
          <w:szCs w:val="28"/>
          <w:u w:val="single"/>
        </w:rPr>
      </w:r>
    </w:p>
    <w:p>
      <w:pPr>
        <w:pStyle w:val="TextBody"/>
        <w:bidi w:val="0"/>
        <w:spacing w:lineRule="auto" w:line="480"/>
        <w:ind w:hanging="0"/>
        <w:jc w:val="left"/>
        <w:rPr>
          <w:rFonts w:ascii="Georgia" w:hAnsi="Georgia"/>
          <w:sz w:val="28"/>
          <w:szCs w:val="28"/>
          <w:u w:val="single"/>
        </w:rPr>
      </w:pPr>
      <w:r>
        <w:rPr>
          <w:rStyle w:val="StrongEmphasis"/>
          <w:rFonts w:eastAsia="Georgia" w:ascii="Georgia" w:hAnsi="Georgia"/>
        </w:rPr>
        <w:t>The Background of the Concept</w:t>
      </w:r>
    </w:p>
    <w:p>
      <w:pPr>
        <w:pStyle w:val="TextBody"/>
        <w:spacing w:lineRule="auto" w:line="480"/>
        <w:rPr>
          <w:rFonts w:ascii="Georgia" w:hAnsi="Georgia"/>
          <w:sz w:val="28"/>
          <w:szCs w:val="28"/>
          <w:u w:val="single"/>
        </w:rPr>
      </w:pPr>
      <w:r>
        <w:rPr>
          <w:rFonts w:eastAsia="Georgia" w:ascii="Georgia" w:hAnsi="Georgia"/>
        </w:rPr>
        <w:t>Almost a thousand years have passed since the aforementioned Church Council of Vienna.</w:t>
      </w:r>
    </w:p>
    <w:p>
      <w:pPr>
        <w:pStyle w:val="TextBody"/>
        <w:spacing w:lineRule="auto" w:line="480"/>
        <w:rPr>
          <w:rFonts w:ascii="Georgia" w:hAnsi="Georgia"/>
          <w:sz w:val="28"/>
          <w:szCs w:val="28"/>
          <w:u w:val="single"/>
        </w:rPr>
      </w:pPr>
      <w:r>
        <w:rPr>
          <w:rFonts w:eastAsia="Georgia" w:cs="Lucida Sans" w:ascii="Georgia" w:hAnsi="Georgia"/>
          <w:color w:val="auto"/>
          <w:kern w:val="2"/>
          <w:sz w:val="24"/>
          <w:szCs w:val="24"/>
          <w:lang w:val="en-US" w:eastAsia="zh-CN" w:bidi="hi-IN"/>
        </w:rPr>
        <w:t>I</w:t>
      </w:r>
      <w:r>
        <w:rPr>
          <w:rFonts w:eastAsia="Georgia" w:ascii="Georgia" w:hAnsi="Georgia"/>
        </w:rPr>
        <w:t xml:space="preserve">t is acknowledged that “The terms 'Eastern' and 'Western' are to be taken with some of their usual looseness” (Conger 1946:235), which confirms the impression of a classification largely influenced by </w:t>
      </w:r>
      <w:r>
        <w:rPr>
          <w:rFonts w:eastAsia="Georgia" w:cs="Lucida Sans" w:ascii="Georgia" w:hAnsi="Georgia"/>
          <w:color w:val="000000"/>
          <w:kern w:val="2"/>
          <w:sz w:val="24"/>
          <w:szCs w:val="24"/>
          <w:lang w:val="en-US" w:eastAsia="zh-CN" w:bidi="hi-IN"/>
        </w:rPr>
        <w:t>different perspectives and</w:t>
      </w:r>
      <w:r>
        <w:rPr>
          <w:rFonts w:eastAsia="Georgia" w:ascii="Georgia" w:hAnsi="Georgia"/>
        </w:rPr>
        <w:t xml:space="preserve"> contemporary political sympathies </w:t>
      </w:r>
      <w:r>
        <w:rPr>
          <w:rFonts w:eastAsia="Georgia" w:cs="Lucida Sans" w:ascii="Georgia" w:hAnsi="Georgia"/>
          <w:color w:val="000000"/>
          <w:kern w:val="2"/>
          <w:sz w:val="24"/>
          <w:szCs w:val="24"/>
          <w:lang w:val="en-US" w:eastAsia="zh-CN" w:bidi="hi-IN"/>
        </w:rPr>
        <w:t>or</w:t>
      </w:r>
      <w:r>
        <w:rPr>
          <w:rFonts w:eastAsia="Georgia" w:ascii="Georgia" w:hAnsi="Georgia"/>
        </w:rPr>
        <w:t xml:space="preserve"> antipathies. The mentioned article by Conger appeared in the collection “</w:t>
      </w:r>
      <w:r>
        <w:rPr>
          <w:rStyle w:val="Emphasis"/>
          <w:rFonts w:eastAsia="Georgia" w:ascii="Georgia" w:hAnsi="Georgia"/>
        </w:rPr>
        <w:t>Philosophy - East and West”</w:t>
      </w:r>
      <w:r>
        <w:rPr>
          <w:rStyle w:val="Emphasis"/>
          <w:rFonts w:eastAsia="Georgia" w:ascii="Georgia" w:hAnsi="Georgia"/>
          <w:i w:val="false"/>
          <w:iCs w:val="false"/>
        </w:rPr>
        <w:t xml:space="preserve"> </w:t>
      </w:r>
      <w:r>
        <w:rPr>
          <w:rFonts w:eastAsia="Georgia" w:ascii="Georgia" w:hAnsi="Georgia"/>
        </w:rPr>
        <w:t>serv</w:t>
      </w:r>
      <w:r>
        <w:rPr>
          <w:rFonts w:eastAsia="Georgia" w:cs="Lucida Sans" w:ascii="Georgia" w:hAnsi="Georgia"/>
          <w:color w:val="auto"/>
          <w:kern w:val="2"/>
          <w:sz w:val="24"/>
          <w:szCs w:val="24"/>
          <w:lang w:val="en-US" w:eastAsia="zh-CN" w:bidi="hi-IN"/>
        </w:rPr>
        <w:t>ing</w:t>
      </w:r>
      <w:r>
        <w:rPr>
          <w:rFonts w:eastAsia="Georgia" w:ascii="Georgia" w:hAnsi="Georgia"/>
        </w:rPr>
        <w:t xml:space="preserve"> as a summary of the University of Hawaii conference, which is a predecessor to the peer-reviewed academic journal of the same name still in publication today. </w:t>
      </w:r>
    </w:p>
    <w:p>
      <w:pPr>
        <w:pStyle w:val="TextBody"/>
        <w:spacing w:lineRule="auto" w:line="480"/>
        <w:rPr>
          <w:rFonts w:ascii="Georgia" w:hAnsi="Georgia"/>
          <w:sz w:val="28"/>
          <w:szCs w:val="28"/>
          <w:u w:val="single"/>
        </w:rPr>
      </w:pPr>
      <w:r>
        <w:rPr>
          <w:rFonts w:eastAsia="Georgia" w:ascii="Georgia" w:hAnsi="Georgia"/>
        </w:rPr>
        <w:t xml:space="preserve">Sigmund Freud once based his psychoanalytic theory on the analysis of so-called “errors,” which, upon closer examination, turned out not to be errors but rather the sum of </w:t>
      </w:r>
      <w:r>
        <w:rPr>
          <w:rFonts w:eastAsia="Georgia" w:cs="Lucida Sans" w:ascii="Georgia" w:hAnsi="Georgia"/>
          <w:color w:val="auto"/>
          <w:kern w:val="2"/>
          <w:sz w:val="24"/>
          <w:szCs w:val="24"/>
          <w:lang w:val="en-US" w:eastAsia="zh-CN" w:bidi="hi-IN"/>
        </w:rPr>
        <w:t>possibly conflicting</w:t>
      </w:r>
      <w:r>
        <w:rPr>
          <w:rFonts w:eastAsia="Georgia" w:ascii="Georgia" w:hAnsi="Georgia"/>
        </w:rPr>
        <w:t xml:space="preserve"> tendencies (Freud ed. Solms 2024, vol. XV:36-52). Is it possible that the Church Council did not err in determining the cardinal directions, but rather used a previously established expression in the spoken language that had a broader or different meaning at the time?</w:t>
      </w:r>
    </w:p>
    <w:p>
      <w:pPr>
        <w:pStyle w:val="TextBody"/>
        <w:spacing w:lineRule="auto" w:line="480"/>
        <w:rPr>
          <w:rFonts w:ascii="Georgia" w:hAnsi="Georgia"/>
          <w:sz w:val="28"/>
          <w:szCs w:val="28"/>
          <w:u w:val="single"/>
        </w:rPr>
      </w:pPr>
      <w:r>
        <w:rPr>
          <w:rFonts w:eastAsia="Georgia" w:ascii="Georgia" w:hAnsi="Georgia"/>
        </w:rPr>
        <w:t>De Vaan (2008:434) describes in his Latin etymological dictionary's root '</w:t>
      </w:r>
      <w:r>
        <w:rPr>
          <w:rFonts w:eastAsia="Georgia" w:ascii="Georgia" w:hAnsi="Georgia"/>
          <w:i/>
          <w:iCs/>
        </w:rPr>
        <w:t>oriri</w:t>
      </w:r>
      <w:r>
        <w:rPr>
          <w:rFonts w:eastAsia="Georgia" w:ascii="Georgia" w:hAnsi="Georgia"/>
        </w:rPr>
        <w:t>' (‘beginning’, ‘source’) with subsequent derivatives such as '</w:t>
      </w:r>
      <w:r>
        <w:rPr>
          <w:rFonts w:eastAsia="Georgia" w:ascii="Georgia" w:hAnsi="Georgia"/>
          <w:i/>
          <w:iCs/>
        </w:rPr>
        <w:t>aboriginal</w:t>
      </w:r>
      <w:r>
        <w:rPr>
          <w:rFonts w:eastAsia="Georgia" w:ascii="Georgia" w:hAnsi="Georgia"/>
        </w:rPr>
        <w:t>,' which is often associated in colloquial language with the pejorative ‘</w:t>
      </w:r>
      <w:r>
        <w:rPr>
          <w:rFonts w:eastAsia="Georgia" w:ascii="Georgia" w:hAnsi="Georgia"/>
          <w:i/>
          <w:iCs/>
        </w:rPr>
        <w:t>not acculturated</w:t>
      </w:r>
      <w:r>
        <w:rPr>
          <w:rFonts w:eastAsia="Georgia" w:ascii="Georgia" w:hAnsi="Georgia"/>
        </w:rPr>
        <w:t>’ or ‘</w:t>
      </w:r>
      <w:r>
        <w:rPr>
          <w:rFonts w:eastAsia="Georgia" w:ascii="Georgia" w:hAnsi="Georgia"/>
          <w:i/>
          <w:iCs/>
        </w:rPr>
        <w:t>primitive</w:t>
      </w:r>
      <w:r>
        <w:rPr>
          <w:rFonts w:eastAsia="Georgia" w:ascii="Georgia" w:hAnsi="Georgia"/>
        </w:rPr>
        <w:t>’ background—similar to the earlier Greek term '</w:t>
      </w:r>
      <w:r>
        <w:rPr>
          <w:rFonts w:eastAsia="Georgia" w:ascii="Georgia" w:hAnsi="Georgia"/>
          <w:i/>
          <w:iCs/>
        </w:rPr>
        <w:t>barbar</w:t>
      </w:r>
      <w:r>
        <w:rPr>
          <w:rFonts w:eastAsia="Georgia" w:ascii="Georgia" w:hAnsi="Georgia"/>
        </w:rPr>
        <w:t>.' Lewis &amp; Short (1945:1278) present '</w:t>
      </w:r>
      <w:r>
        <w:rPr>
          <w:rFonts w:eastAsia="Georgia" w:ascii="Georgia" w:hAnsi="Georgia"/>
          <w:i/>
          <w:iCs/>
        </w:rPr>
        <w:t>orientales</w:t>
      </w:r>
      <w:r>
        <w:rPr>
          <w:rFonts w:eastAsia="Georgia" w:ascii="Georgia" w:hAnsi="Georgia"/>
        </w:rPr>
        <w:t>' as a metaphor in use in Roman times, which was used to designate ‘</w:t>
      </w:r>
      <w:r>
        <w:rPr>
          <w:rFonts w:eastAsia="Georgia" w:ascii="Georgia" w:hAnsi="Georgia"/>
          <w:i/>
          <w:iCs/>
        </w:rPr>
        <w:t>wild beasts</w:t>
      </w:r>
      <w:r>
        <w:rPr>
          <w:rFonts w:eastAsia="Georgia" w:ascii="Georgia" w:hAnsi="Georgia"/>
        </w:rPr>
        <w:t>’—animals that were shown or used in spectacles. Neither of these expressions with a tendentious undertone has a direct connection to the cardinal directions, similar to the situation in which we failed to find such a connection in the historical language spaces presented by the Church Council of Vienna.</w:t>
      </w:r>
    </w:p>
    <w:p>
      <w:pPr>
        <w:pStyle w:val="TextBody"/>
        <w:spacing w:lineRule="auto" w:line="480"/>
        <w:rPr>
          <w:rFonts w:ascii="Georgia" w:hAnsi="Georgia"/>
          <w:sz w:val="28"/>
          <w:szCs w:val="28"/>
          <w:u w:val="single"/>
        </w:rPr>
      </w:pPr>
      <w:r>
        <w:rPr>
          <w:rFonts w:eastAsia="Georgia" w:ascii="Georgia" w:hAnsi="Georgia"/>
        </w:rPr>
        <w:t>The Greek language’s pradoxically seeming inclusion in the so-called Orientalist c</w:t>
      </w:r>
      <w:r>
        <w:rPr>
          <w:rFonts w:eastAsia="Georgia" w:cs="Lucida Sans" w:ascii="Georgia" w:hAnsi="Georgia"/>
          <w:color w:val="auto"/>
          <w:kern w:val="2"/>
          <w:sz w:val="24"/>
          <w:szCs w:val="24"/>
          <w:lang w:val="en-US" w:eastAsia="zh-CN" w:bidi="hi-IN"/>
        </w:rPr>
        <w:t>amp</w:t>
      </w:r>
      <w:r>
        <w:rPr>
          <w:rFonts w:eastAsia="Georgia" w:ascii="Georgia" w:hAnsi="Georgia"/>
        </w:rPr>
        <w:t xml:space="preserve"> can be easily explained by the Great Schism and the preceding events, which arose between the power centers of Rome and Constantinople, or in other words, between the Catholic Church and the Orthodox Church. Theological and philosophical disagreements were accompanied by long periods of mutual excommunications, curses, and outbursts of violen</w:t>
      </w:r>
      <w:r>
        <w:rPr>
          <w:rFonts w:eastAsia="Georgia" w:cs="Lucida Sans" w:ascii="Georgia" w:hAnsi="Georgia"/>
          <w:color w:val="000000"/>
          <w:kern w:val="2"/>
          <w:sz w:val="24"/>
          <w:szCs w:val="24"/>
          <w:lang w:val="en-US" w:eastAsia="zh-CN" w:bidi="hi-IN"/>
        </w:rPr>
        <w:t>ce</w:t>
      </w:r>
      <w:r>
        <w:rPr>
          <w:rFonts w:eastAsia="Georgia" w:ascii="Georgia" w:hAnsi="Georgia"/>
        </w:rPr>
        <w:t>.</w:t>
      </w:r>
    </w:p>
    <w:p>
      <w:pPr>
        <w:pStyle w:val="TextBody"/>
        <w:spacing w:lineRule="auto" w:line="480"/>
        <w:rPr>
          <w:rStyle w:val="StrongEmphasis"/>
          <w:rFonts w:ascii="Georgia" w:hAnsi="Georgia"/>
          <w:sz w:val="28"/>
          <w:szCs w:val="28"/>
          <w:u w:val="single"/>
        </w:rPr>
      </w:pPr>
      <w:r>
        <w:rPr>
          <w:rFonts w:ascii="Georgia" w:hAnsi="Georgia"/>
          <w:sz w:val="28"/>
          <w:szCs w:val="28"/>
          <w:u w:val="single"/>
        </w:rPr>
      </w:r>
    </w:p>
    <w:p>
      <w:pPr>
        <w:pStyle w:val="TextBody"/>
        <w:spacing w:lineRule="auto" w:line="480"/>
        <w:rPr>
          <w:rStyle w:val="StrongEmphasis"/>
          <w:rFonts w:ascii="Georgia" w:hAnsi="Georgia"/>
          <w:sz w:val="28"/>
          <w:szCs w:val="28"/>
          <w:u w:val="single"/>
        </w:rPr>
      </w:pPr>
      <w:r>
        <w:rPr>
          <w:rFonts w:ascii="Georgia" w:hAnsi="Georgia"/>
          <w:sz w:val="28"/>
          <w:szCs w:val="28"/>
          <w:u w:val="single"/>
        </w:rPr>
      </w:r>
    </w:p>
    <w:p>
      <w:pPr>
        <w:pStyle w:val="TextBody"/>
        <w:spacing w:lineRule="auto" w:line="480"/>
        <w:rPr>
          <w:rStyle w:val="StrongEmphasis"/>
          <w:rFonts w:ascii="Georgia" w:hAnsi="Georgia"/>
          <w:sz w:val="28"/>
          <w:szCs w:val="28"/>
          <w:u w:val="single"/>
        </w:rPr>
      </w:pPr>
      <w:r>
        <w:rPr>
          <w:rFonts w:ascii="Georgia" w:hAnsi="Georgia"/>
          <w:sz w:val="28"/>
          <w:szCs w:val="28"/>
          <w:u w:val="single"/>
        </w:rPr>
      </w:r>
    </w:p>
    <w:p>
      <w:pPr>
        <w:pStyle w:val="TextBody"/>
        <w:numPr>
          <w:ilvl w:val="0"/>
          <w:numId w:val="7"/>
        </w:numPr>
        <w:bidi w:val="0"/>
        <w:spacing w:lineRule="auto" w:line="480"/>
        <w:jc w:val="left"/>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Style w:val="StrongEmphasis"/>
          <w:rFonts w:eastAsia="Georgia" w:cs="Lucida Sans" w:ascii="Georgia" w:hAnsi="Georgia"/>
          <w:i w:val="false"/>
          <w:iCs w:val="false"/>
          <w:caps w:val="false"/>
          <w:smallCaps w:val="false"/>
          <w:color w:val="000000"/>
          <w:spacing w:val="0"/>
          <w:kern w:val="2"/>
          <w:sz w:val="28"/>
          <w:szCs w:val="28"/>
          <w:u w:val="none"/>
          <w:lang w:val="en-US" w:eastAsia="zh-CN" w:bidi="hi-IN"/>
        </w:rPr>
        <w:t>The Peculiarity of Exoteric Christianity</w:t>
      </w:r>
    </w:p>
    <w:p>
      <w:pPr>
        <w:pStyle w:val="TextBody"/>
        <w:bidi w:val="0"/>
        <w:spacing w:lineRule="auto" w:line="480"/>
        <w:jc w:val="left"/>
        <w:rPr>
          <w:rFonts w:ascii="Georgia" w:hAnsi="Georgia"/>
          <w:sz w:val="28"/>
          <w:szCs w:val="28"/>
          <w:u w:val="single"/>
        </w:rPr>
      </w:pPr>
      <w:r>
        <w:rPr>
          <w:rStyle w:val="StrongEmphasis"/>
          <w:rFonts w:eastAsia="Georgia" w:cs="Lucida Sans" w:ascii="Georgia" w:hAnsi="Georgia"/>
          <w:b w:val="false"/>
          <w:i w:val="false"/>
          <w:iCs w:val="false"/>
          <w:caps w:val="false"/>
          <w:smallCaps w:val="false"/>
          <w:color w:val="000000"/>
          <w:spacing w:val="0"/>
          <w:kern w:val="2"/>
          <w:sz w:val="24"/>
          <w:szCs w:val="24"/>
          <w:u w:val="none"/>
          <w:lang w:val="en-US" w:eastAsia="zh-CN" w:bidi="hi-IN"/>
        </w:rPr>
        <w:t xml:space="preserve">The attitude through which the Church Council of Vienna positioned itself in opposition to the entire world that did not submit to Papal authority is an important parameter characterizing Christian identity and the resulting attitudes. </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The peculiarity of exoteric Christianity largely stems from its historical background and the development of its identity through the summation of various criteria – as a result of the aforementioned principle of minimizing free energy.</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Let’s use a comparison.</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The number of people identifying with the two Abrahamic religions – Christianity and Islam – surpasses that of all other people who identify as religious in the world.</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 xml:space="preserve">Both religions share an Abrahamic background. Both </w:t>
      </w:r>
      <w:r>
        <w:rPr>
          <w:rFonts w:eastAsia="Georgia" w:cs="Lucida Sans" w:ascii="Georgia" w:hAnsi="Georgia"/>
          <w:color w:val="auto"/>
          <w:kern w:val="2"/>
          <w:sz w:val="24"/>
          <w:szCs w:val="24"/>
          <w:lang w:val="en-US" w:eastAsia="zh-CN" w:bidi="hi-IN"/>
        </w:rPr>
        <w:t>narratives</w:t>
      </w:r>
      <w:r>
        <w:rPr>
          <w:rFonts w:eastAsia="Georgia" w:ascii="Georgia" w:hAnsi="Georgia"/>
        </w:rPr>
        <w:t xml:space="preserve"> include the journey of Moses and his people in Egypt, which lies to the west of the Makkah-Jerusalem axis; as well as elements from the earlier Sumerian cultural layer, which lies significantly to the east of that axis. One of Christianity’s most important sacred places is Jerusalem, while for Islam, it is Makkah. The road connecting these two places runs mostly along the coastline of the Red Sea (Route 55M) and is oriented in a north-south direction. Today, both Islam and Christianity have spread in both western and eastern directions.</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cs="Lucida Sans" w:ascii="Georgia" w:hAnsi="Georgia"/>
          <w:color w:val="auto"/>
          <w:kern w:val="2"/>
          <w:sz w:val="24"/>
          <w:szCs w:val="24"/>
          <w:lang w:val="en-US" w:eastAsia="zh-CN" w:bidi="hi-IN"/>
        </w:rPr>
        <w:t>R</w:t>
      </w:r>
      <w:r>
        <w:rPr>
          <w:rFonts w:eastAsia="Georgia" w:ascii="Georgia" w:hAnsi="Georgia"/>
        </w:rPr>
        <w:t xml:space="preserve">eligious teachings have their own individuality and distinct identity based on previous historical factors. For example, the majesty of Gautama Buddha was focused on the inner well-being of all beings in need, because Buddha’s own princely status clearly </w:t>
      </w:r>
      <w:r>
        <w:rPr>
          <w:rFonts w:eastAsia="Georgia" w:cs="Lucida Sans" w:ascii="Georgia" w:hAnsi="Georgia"/>
          <w:color w:val="auto"/>
          <w:kern w:val="2"/>
          <w:sz w:val="24"/>
          <w:szCs w:val="24"/>
          <w:lang w:val="en-US" w:eastAsia="zh-CN" w:bidi="hi-IN"/>
        </w:rPr>
        <w:t>underlined</w:t>
      </w:r>
      <w:r>
        <w:rPr>
          <w:rFonts w:eastAsia="Georgia" w:ascii="Georgia" w:hAnsi="Georgia"/>
        </w:rPr>
        <w:t xml:space="preserve"> the insignificance of outward glory and wealth. </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Resurrection, rebirth in another dimension, or the cycle of reincarnations here and now, and through them, achieving a better quality of existence, are among the important characteristics of contemporary religions.</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Christianity’s history, however, in terms of life and death, is significantly different from other contemporary world religions.</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Christ was allegedly tortured and ultimately killed for his teachings.</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cs="Lucida Sans" w:ascii="Georgia" w:hAnsi="Georgia"/>
          <w:i/>
          <w:iCs/>
          <w:color w:val="auto"/>
          <w:kern w:val="2"/>
          <w:sz w:val="24"/>
          <w:szCs w:val="24"/>
          <w:lang w:val="en-US" w:eastAsia="zh-CN" w:bidi="hi-IN"/>
        </w:rPr>
        <w:t>This is</w:t>
      </w:r>
      <w:r>
        <w:rPr>
          <w:rFonts w:eastAsia="Georgia" w:ascii="Georgia" w:hAnsi="Georgia"/>
          <w:i/>
          <w:iCs/>
        </w:rPr>
        <w:t xml:space="preserve"> the very foundation of Christian identity.</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 xml:space="preserve">The immediately following history further deepened this identity based on traumatic experiences. </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 xml:space="preserve">Paul the Apostle and Peter the Apostle allegedly died during persecutions initiated and administered by Emperor Nero. </w:t>
      </w:r>
      <w:r>
        <w:rPr>
          <w:rFonts w:eastAsia="Georgia" w:cs="Lucida Sans" w:ascii="Georgia" w:hAnsi="Georgia"/>
          <w:color w:val="auto"/>
          <w:kern w:val="2"/>
          <w:sz w:val="24"/>
          <w:szCs w:val="24"/>
          <w:lang w:val="en-US" w:eastAsia="zh-CN" w:bidi="hi-IN"/>
        </w:rPr>
        <w:t>B</w:t>
      </w:r>
      <w:r>
        <w:rPr>
          <w:rFonts w:eastAsia="Georgia" w:ascii="Georgia" w:hAnsi="Georgia"/>
        </w:rPr>
        <w:t>efore his death, Paul wrote in 2 Corinthians 11:24-25 how he had been whipped five times, beaten with rods three times, and stoned. They were followed by James the Apostle and others at a time when Christians numbered only in the low thousands.</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 xml:space="preserve">Organized and centrally-financed persecutions occurred in waves, parallel to the growth of Christianity, over more than three centuries after Christ’s death. The Great Persecution under Diocletian in the early 4th century was considered one of the largest. </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While Christ’s own death laid the foundation, the subsequent physical destruction and persecution of Christians based on religious beliefs further solidified the identity across generations.</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 xml:space="preserve">When comparing the lives of Christ and his early followers </w:t>
      </w:r>
      <w:r>
        <w:rPr>
          <w:rFonts w:eastAsia="Georgia" w:cs="Lucida Sans" w:ascii="Georgia" w:hAnsi="Georgia"/>
          <w:color w:val="auto"/>
          <w:kern w:val="2"/>
          <w:sz w:val="24"/>
          <w:szCs w:val="24"/>
          <w:lang w:val="en-US" w:eastAsia="zh-CN" w:bidi="hi-IN"/>
        </w:rPr>
        <w:t>during</w:t>
      </w:r>
      <w:r>
        <w:rPr>
          <w:rFonts w:eastAsia="Georgia" w:ascii="Georgia" w:hAnsi="Georgia"/>
        </w:rPr>
        <w:t xml:space="preserve"> the first </w:t>
      </w:r>
      <w:r>
        <w:rPr>
          <w:rFonts w:eastAsia="Georgia" w:cs="Lucida Sans" w:ascii="Georgia" w:hAnsi="Georgia"/>
          <w:color w:val="auto"/>
          <w:kern w:val="2"/>
          <w:sz w:val="24"/>
          <w:szCs w:val="24"/>
          <w:lang w:val="en-US" w:eastAsia="zh-CN" w:bidi="hi-IN"/>
        </w:rPr>
        <w:t>three</w:t>
      </w:r>
      <w:r>
        <w:rPr>
          <w:rFonts w:eastAsia="Georgia" w:ascii="Georgia" w:hAnsi="Georgia"/>
        </w:rPr>
        <w:t xml:space="preserve"> centuries to those of Prophet Muhammad or Buddha, a significant difference becomes apparent.</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 xml:space="preserve"> </w:t>
      </w:r>
      <w:r>
        <w:rPr>
          <w:rFonts w:eastAsia="Georgia" w:ascii="Georgia" w:hAnsi="Georgia"/>
        </w:rPr>
        <w:t>The first caliph, Abu Bakr (d.634), decided to gather the written fragments of Prophet Muhammad’s (d.632) teachings and record the oral portions, rather than allow them to be selectively or completely forgotten. The future Quran was written down, and the original was entrusted to the Prophet’s wife, Hafsa bint Umar (d.665), who was also the daughter of the second caliph, Umar ibn al-Khattab (d.644). The third caliph, Uthman ibn Affan (d.656), requested the Suhuf from Hafsa bint Umar, to make identical copies. These copies were carefully compared to the original while written notes about this process are still preserved today. These Uthmanic Mushafs are the basis for current editions (Al-Azami 2003:94).</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The spread of Muhammad’s teachings in the following years and centuries laid the foundation for the emergence of powerful states, cultures and economies. Thus, at the root level and visible in subsequent centuries, rationalization arose, where the Truth is powerful, and by relying on it, synergy is created.</w:t>
      </w:r>
    </w:p>
    <w:p>
      <w:pPr>
        <w:pStyle w:val="TextBody"/>
        <w:spacing w:lineRule="auto" w:line="480"/>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eastAsia="Georgia" w:ascii="Georgia" w:hAnsi="Georgia"/>
        </w:rPr>
        <w:t xml:space="preserve">In the Christian world, the Truth was hidden and needed to be defended for centuries and centuries – it was as weak as the messengers who proclaimed it and were persecuted under the threat of death. In the Islamic world, there was no need during the formational period to resist any oppressive, hostile </w:t>
      </w:r>
      <w:r>
        <w:rPr>
          <w:rFonts w:eastAsia="Georgia" w:ascii="Georgia" w:hAnsi="Georgia"/>
        </w:rPr>
        <w:t>or</w:t>
      </w:r>
      <w:r>
        <w:rPr>
          <w:rFonts w:eastAsia="Georgia" w:ascii="Georgia" w:hAnsi="Georgia"/>
        </w:rPr>
        <w:t xml:space="preserve"> violent morality that posed a real threat to one’s existance.</w:t>
      </w:r>
    </w:p>
    <w:p>
      <w:pPr>
        <w:pStyle w:val="Normal"/>
        <w:bidi w:val="0"/>
        <w:spacing w:lineRule="auto" w:line="480"/>
        <w:ind w:hanging="0"/>
        <w:jc w:val="left"/>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ascii="Georgia" w:hAnsi="Georgia"/>
        </w:rPr>
      </w:r>
    </w:p>
    <w:p>
      <w:pPr>
        <w:pStyle w:val="Normal"/>
        <w:bidi w:val="0"/>
        <w:spacing w:lineRule="auto" w:line="480"/>
        <w:ind w:hanging="0"/>
        <w:jc w:val="left"/>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ascii="Georgia" w:hAnsi="Georgia"/>
        </w:rPr>
      </w:r>
    </w:p>
    <w:p>
      <w:pPr>
        <w:pStyle w:val="Normal"/>
        <w:bidi w:val="0"/>
        <w:spacing w:lineRule="auto" w:line="480"/>
        <w:ind w:hanging="0"/>
        <w:jc w:val="left"/>
        <w:rPr>
          <w:rFonts w:ascii="Georgia" w:hAnsi="Georgia" w:eastAsia="NSimSun" w:cs="Lucida Sans"/>
          <w:b w:val="false"/>
          <w:b w:val="false"/>
          <w:i w:val="false"/>
          <w:i w:val="false"/>
          <w:iCs w:val="false"/>
          <w:caps w:val="false"/>
          <w:smallCaps w:val="false"/>
          <w:color w:val="000000"/>
          <w:spacing w:val="0"/>
          <w:kern w:val="2"/>
          <w:sz w:val="24"/>
          <w:szCs w:val="24"/>
          <w:u w:val="none"/>
          <w:lang w:val="en-US" w:eastAsia="zh-CN" w:bidi="hi-IN"/>
        </w:rPr>
      </w:pPr>
      <w:r>
        <w:rPr>
          <w:rFonts w:ascii="Georgia" w:hAnsi="Georgia"/>
        </w:rPr>
      </w:r>
    </w:p>
    <w:p>
      <w:pPr>
        <w:pStyle w:val="TextBody"/>
        <w:bidi w:val="0"/>
        <w:spacing w:lineRule="auto" w:line="480"/>
        <w:ind w:hanging="0"/>
        <w:jc w:val="left"/>
        <w:rPr>
          <w:rFonts w:ascii="Georgia" w:hAnsi="Georgia"/>
          <w:sz w:val="28"/>
          <w:szCs w:val="28"/>
          <w:u w:val="single"/>
        </w:rPr>
      </w:pPr>
      <w:r>
        <w:rPr>
          <w:rStyle w:val="StrongEmphasis"/>
          <w:rFonts w:eastAsia="Georgia" w:ascii="Georgia" w:hAnsi="Georgia"/>
          <w:i/>
          <w:iCs/>
          <w:sz w:val="24"/>
          <w:szCs w:val="24"/>
          <w:u w:val="none"/>
        </w:rPr>
        <w:t xml:space="preserve">Ego Defense. </w:t>
      </w:r>
      <w:r>
        <w:rPr>
          <w:rStyle w:val="StrongEmphasis"/>
          <w:rFonts w:eastAsia="Georgia" w:ascii="Georgia" w:hAnsi="Georgia"/>
          <w:i/>
          <w:iCs/>
          <w:sz w:val="24"/>
          <w:szCs w:val="24"/>
          <w:u w:val="none"/>
        </w:rPr>
        <w:t>Overcompensation</w:t>
      </w:r>
    </w:p>
    <w:p>
      <w:pPr>
        <w:pStyle w:val="TextBody"/>
        <w:spacing w:lineRule="auto" w:line="480"/>
        <w:rPr>
          <w:rFonts w:ascii="Georgia" w:hAnsi="Georgia"/>
          <w:sz w:val="28"/>
          <w:szCs w:val="28"/>
          <w:u w:val="single"/>
        </w:rPr>
      </w:pPr>
      <w:r>
        <w:rPr>
          <w:rFonts w:eastAsia="Georgia" w:ascii="Georgia" w:hAnsi="Georgia"/>
        </w:rPr>
        <w:t xml:space="preserve">Christianity and Christian identity were born out of constant fear, grief and stress which led to the development of an exoteric consciousness characterized by a sharp alienation, denial, paranoid suspicion and distancing from “otherness,” described in psychoanalytic tradition as an </w:t>
      </w:r>
      <w:r>
        <w:rPr>
          <w:rFonts w:eastAsia="Georgia" w:ascii="Georgia" w:hAnsi="Georgia"/>
          <w:i/>
          <w:iCs/>
        </w:rPr>
        <w:t>ego defense</w:t>
      </w:r>
      <w:r>
        <w:rPr>
          <w:rFonts w:eastAsia="Georgia" w:ascii="Georgia" w:hAnsi="Georgia"/>
        </w:rPr>
        <w:t xml:space="preserve"> reaction - “the ways and means by which the ego wards off unpleasure and anxiety” (Freud, A. 1993:v).</w:t>
      </w:r>
    </w:p>
    <w:p>
      <w:pPr>
        <w:pStyle w:val="TextBody"/>
        <w:spacing w:lineRule="auto" w:line="480"/>
        <w:rPr>
          <w:rFonts w:ascii="Georgia" w:hAnsi="Georgia"/>
          <w:sz w:val="28"/>
          <w:szCs w:val="28"/>
          <w:u w:val="single"/>
        </w:rPr>
      </w:pPr>
      <w:r>
        <w:rPr>
          <w:rFonts w:eastAsia="Georgia" w:ascii="Georgia" w:hAnsi="Georgia"/>
        </w:rPr>
        <w:t>Thus, the exoteric Christian stance differs from that of other religious systems. The Gospels of Matthew (6:9-13) and Luke (11:2-4), whose textual analyses suggest the possible origin of the initial text several generations after Christ’s death (d.33), speak only of forgiveness for those “who trespass against us” (KJV).</w:t>
      </w:r>
    </w:p>
    <w:p>
      <w:pPr>
        <w:pStyle w:val="TextBody"/>
        <w:spacing w:lineRule="auto" w:line="480"/>
        <w:rPr>
          <w:rFonts w:ascii="Georgia" w:hAnsi="Georgia"/>
          <w:sz w:val="28"/>
          <w:szCs w:val="28"/>
          <w:u w:val="single"/>
        </w:rPr>
      </w:pPr>
      <w:r>
        <w:rPr>
          <w:rFonts w:eastAsia="Georgia" w:ascii="Georgia" w:hAnsi="Georgia"/>
        </w:rPr>
        <w:t>Tolerance and later forgiveness are related but not synonymous.</w:t>
      </w:r>
    </w:p>
    <w:p>
      <w:pPr>
        <w:pStyle w:val="TextBody"/>
        <w:spacing w:lineRule="auto" w:line="480"/>
        <w:rPr>
          <w:rFonts w:ascii="Georgia" w:hAnsi="Georgia"/>
          <w:sz w:val="28"/>
          <w:szCs w:val="28"/>
          <w:u w:val="single"/>
        </w:rPr>
      </w:pPr>
      <w:r>
        <w:rPr>
          <w:rFonts w:eastAsia="Georgia" w:ascii="Georgia" w:hAnsi="Georgia"/>
        </w:rPr>
        <w:t>Tolerance through the renunciation of the primacy of one's own identity or the expansion of the message of salvation to followers of other prophets – is not promoted by mainstream Christianity in its exoteric understanding.</w:t>
      </w:r>
    </w:p>
    <w:p>
      <w:pPr>
        <w:pStyle w:val="TextBody"/>
        <w:spacing w:lineRule="auto" w:line="480"/>
        <w:rPr>
          <w:rFonts w:ascii="Georgia" w:hAnsi="Georgia"/>
          <w:sz w:val="28"/>
          <w:szCs w:val="28"/>
          <w:u w:val="single"/>
        </w:rPr>
      </w:pPr>
      <w:r>
        <w:rPr>
          <w:rFonts w:eastAsia="Georgia" w:cs="Lucida Sans" w:ascii="Georgia" w:hAnsi="Georgia"/>
          <w:color w:val="auto"/>
          <w:kern w:val="2"/>
          <w:sz w:val="24"/>
          <w:szCs w:val="24"/>
          <w:lang w:val="en-US" w:eastAsia="zh-CN" w:bidi="hi-IN"/>
        </w:rPr>
        <w:t>A</w:t>
      </w:r>
      <w:r>
        <w:rPr>
          <w:rFonts w:eastAsia="Georgia" w:ascii="Georgia" w:hAnsi="Georgia"/>
          <w:color w:val="auto"/>
        </w:rPr>
        <w:t>ccording to Islamic canon, for instance, the promise of salvation extends also to the followers of other Prophets (Al-Fatir, 35:24). Hinduism’s attitude is summed up by Swami Vivekananda (d.1902):</w:t>
      </w:r>
    </w:p>
    <w:p>
      <w:pPr>
        <w:pStyle w:val="TextBody"/>
        <w:spacing w:lineRule="auto" w:line="480"/>
        <w:ind w:left="720" w:hanging="0"/>
        <w:rPr>
          <w:rFonts w:ascii="Georgia" w:hAnsi="Georgia"/>
          <w:sz w:val="28"/>
          <w:szCs w:val="28"/>
          <w:u w:val="single"/>
        </w:rPr>
      </w:pPr>
      <w:r>
        <w:rPr>
          <w:rFonts w:eastAsia="Georgia" w:ascii="Georgia" w:hAnsi="Georgia"/>
          <w:color w:val="auto"/>
          <w:sz w:val="22"/>
          <w:szCs w:val="22"/>
          <w:u w:val="none"/>
        </w:rPr>
        <w:t>“</w:t>
      </w:r>
      <w:r>
        <w:rPr>
          <w:rFonts w:eastAsia="Georgia" w:ascii="Georgia" w:hAnsi="Georgia"/>
          <w:color w:val="auto"/>
          <w:sz w:val="22"/>
          <w:szCs w:val="22"/>
          <w:u w:val="none"/>
        </w:rPr>
        <w:t>Truth has always been universal. ...we not only tolerate, but we Hindus accept every religion, praying in the mosque of the Mohammedans, worshipping before the fire of the Zoroastrians, and kneeling before the cross of the Christians...” (Vivekananda 1989:327-325)</w:t>
      </w:r>
    </w:p>
    <w:p>
      <w:pPr>
        <w:pStyle w:val="TextBody"/>
        <w:spacing w:lineRule="auto" w:line="480"/>
        <w:rPr>
          <w:rFonts w:ascii="Georgia" w:hAnsi="Georgia"/>
          <w:sz w:val="28"/>
          <w:szCs w:val="28"/>
          <w:u w:val="single"/>
        </w:rPr>
      </w:pPr>
      <w:r>
        <w:rPr>
          <w:rFonts w:ascii="Georgia" w:hAnsi="Georgia"/>
          <w:sz w:val="28"/>
          <w:szCs w:val="28"/>
          <w:u w:val="single"/>
        </w:rPr>
      </w:r>
    </w:p>
    <w:p>
      <w:pPr>
        <w:pStyle w:val="TextBody"/>
        <w:spacing w:lineRule="auto" w:line="480"/>
        <w:rPr>
          <w:rFonts w:ascii="Georgia" w:hAnsi="Georgia"/>
          <w:sz w:val="28"/>
          <w:szCs w:val="28"/>
          <w:u w:val="single"/>
        </w:rPr>
      </w:pPr>
      <w:r>
        <w:rPr>
          <w:rFonts w:ascii="Georgia" w:hAnsi="Georgia"/>
          <w:sz w:val="28"/>
          <w:szCs w:val="28"/>
          <w:u w:val="single"/>
        </w:rPr>
      </w:r>
    </w:p>
    <w:p>
      <w:pPr>
        <w:pStyle w:val="TextBody"/>
        <w:spacing w:lineRule="auto" w:line="480"/>
        <w:rPr>
          <w:rFonts w:ascii="Georgia" w:hAnsi="Georgia"/>
          <w:sz w:val="28"/>
          <w:szCs w:val="28"/>
          <w:u w:val="single"/>
        </w:rPr>
      </w:pPr>
      <w:r>
        <w:rPr>
          <w:rStyle w:val="StrongEmphasis"/>
          <w:rFonts w:eastAsia="Georgia" w:ascii="Georgia" w:hAnsi="Georgia"/>
          <w:i/>
          <w:iCs/>
        </w:rPr>
        <w:t>Modern (Post-)Christian E</w:t>
      </w:r>
      <w:r>
        <w:rPr>
          <w:rStyle w:val="StrongEmphasis"/>
          <w:rFonts w:eastAsia="Georgia" w:cs="Lucida Sans" w:ascii="Georgia" w:hAnsi="Georgia"/>
          <w:b/>
          <w:bCs/>
          <w:i/>
          <w:iCs/>
          <w:color w:val="000000"/>
          <w:kern w:val="2"/>
          <w:sz w:val="24"/>
          <w:szCs w:val="24"/>
          <w:lang w:val="en-US" w:eastAsia="zh-CN" w:bidi="hi-IN"/>
        </w:rPr>
        <w:t>soteric</w:t>
      </w:r>
      <w:r>
        <w:rPr>
          <w:rStyle w:val="StrongEmphasis"/>
          <w:rFonts w:eastAsia="Georgia" w:ascii="Georgia" w:hAnsi="Georgia"/>
          <w:i/>
          <w:iCs/>
        </w:rPr>
        <w:t xml:space="preserve"> Tradition</w:t>
      </w:r>
    </w:p>
    <w:p>
      <w:pPr>
        <w:pStyle w:val="TextBody"/>
        <w:spacing w:lineRule="auto" w:line="480"/>
        <w:rPr>
          <w:rFonts w:ascii="Georgia" w:hAnsi="Georgia"/>
          <w:sz w:val="28"/>
          <w:szCs w:val="28"/>
          <w:u w:val="single"/>
        </w:rPr>
      </w:pPr>
      <w:r>
        <w:rPr>
          <w:rFonts w:eastAsia="Georgia" w:ascii="Georgia" w:hAnsi="Georgia"/>
        </w:rPr>
        <w:t>Mystics, who always constitute a minority, and thus</w:t>
      </w:r>
      <w:r>
        <w:rPr>
          <w:rFonts w:eastAsia="Georgia" w:ascii="Georgia" w:hAnsi="Georgia"/>
          <w:i/>
          <w:iCs/>
        </w:rPr>
        <w:t xml:space="preserve"> otherness</w:t>
      </w:r>
      <w:r>
        <w:rPr>
          <w:rFonts w:eastAsia="Georgia" w:ascii="Georgia" w:hAnsi="Georgia"/>
          <w:i w:val="false"/>
          <w:iCs w:val="false"/>
        </w:rPr>
        <w:t>,</w:t>
      </w:r>
      <w:r>
        <w:rPr>
          <w:rFonts w:eastAsia="Georgia" w:ascii="Georgia" w:hAnsi="Georgia"/>
          <w:i/>
          <w:iCs/>
        </w:rPr>
        <w:t xml:space="preserve"> </w:t>
      </w:r>
      <w:r>
        <w:rPr>
          <w:rFonts w:eastAsia="Georgia" w:ascii="Georgia" w:hAnsi="Georgia"/>
        </w:rPr>
        <w:t>experience in the (post-)Christian cultural context the same quality of distrust.</w:t>
      </w:r>
      <w:r>
        <w:rPr>
          <w:rFonts w:eastAsia="Georgia" w:cs="Lucida Sans" w:ascii="Georgia" w:hAnsi="Georgia"/>
          <w:color w:val="auto"/>
          <w:kern w:val="2"/>
          <w:sz w:val="24"/>
          <w:szCs w:val="24"/>
          <w:lang w:val="en-US" w:eastAsia="zh-CN" w:bidi="hi-IN"/>
        </w:rPr>
        <w:t xml:space="preserve"> </w:t>
      </w:r>
      <w:r>
        <w:rPr>
          <w:rFonts w:eastAsia="Georgia" w:cs="Lucida Sans" w:ascii="Georgia" w:hAnsi="Georgia"/>
          <w:color w:val="auto"/>
          <w:kern w:val="2"/>
          <w:sz w:val="24"/>
          <w:szCs w:val="24"/>
          <w:lang w:val="en-US" w:eastAsia="zh-CN" w:bidi="hi-IN"/>
        </w:rPr>
        <w:t>T</w:t>
      </w:r>
      <w:r>
        <w:rPr>
          <w:rFonts w:eastAsia="Georgia" w:ascii="Georgia" w:hAnsi="Georgia"/>
        </w:rPr>
        <w:t xml:space="preserve">heir revelatory </w:t>
      </w:r>
      <w:r>
        <w:rPr>
          <w:rFonts w:eastAsia="Georgia" w:cs="Lucida Sans" w:ascii="Georgia" w:hAnsi="Georgia"/>
          <w:color w:val="auto"/>
          <w:kern w:val="2"/>
          <w:sz w:val="24"/>
          <w:szCs w:val="24"/>
          <w:lang w:val="en-US" w:eastAsia="zh-CN" w:bidi="hi-IN"/>
        </w:rPr>
        <w:t>experience</w:t>
      </w:r>
      <w:r>
        <w:rPr>
          <w:rFonts w:eastAsia="Georgia" w:ascii="Georgia" w:hAnsi="Georgia"/>
        </w:rPr>
        <w:t xml:space="preserve"> is often derided in the as pseudoscience due to the same alienating attitude.</w:t>
      </w:r>
    </w:p>
    <w:p>
      <w:pPr>
        <w:pStyle w:val="TextBody"/>
        <w:spacing w:lineRule="auto" w:line="480"/>
        <w:rPr>
          <w:rFonts w:ascii="Georgia" w:hAnsi="Georgia"/>
          <w:sz w:val="28"/>
          <w:szCs w:val="28"/>
          <w:u w:val="single"/>
        </w:rPr>
      </w:pPr>
      <w:r>
        <w:rPr>
          <w:rFonts w:eastAsia="Georgia" w:ascii="Georgia" w:hAnsi="Georgia"/>
          <w:i/>
          <w:iCs/>
        </w:rPr>
        <w:t>Psychoanalysis</w:t>
      </w:r>
    </w:p>
    <w:p>
      <w:pPr>
        <w:pStyle w:val="TextBody"/>
        <w:spacing w:lineRule="auto" w:line="480"/>
        <w:rPr>
          <w:rFonts w:ascii="Georgia" w:hAnsi="Georgia"/>
          <w:sz w:val="28"/>
          <w:szCs w:val="28"/>
          <w:u w:val="single"/>
        </w:rPr>
      </w:pPr>
      <w:r>
        <w:rPr>
          <w:rFonts w:eastAsia="Georgia" w:cs="Lucida Sans" w:ascii="Georgia" w:hAnsi="Georgia"/>
          <w:b w:val="false"/>
          <w:bCs w:val="false"/>
          <w:i/>
          <w:color w:val="auto"/>
          <w:kern w:val="2"/>
          <w:sz w:val="24"/>
          <w:szCs w:val="24"/>
          <w:lang w:val="en-US" w:eastAsia="zh-CN" w:bidi="hi-IN"/>
        </w:rPr>
        <w:t>Abhidharmasūtra</w:t>
      </w:r>
      <w:r>
        <w:rPr>
          <w:rFonts w:eastAsia="Georgia" w:cs="Lucida Sans" w:ascii="Georgia" w:hAnsi="Georgia"/>
          <w:b w:val="false"/>
          <w:bCs w:val="false"/>
          <w:color w:val="auto"/>
          <w:kern w:val="2"/>
          <w:sz w:val="24"/>
          <w:szCs w:val="24"/>
          <w:lang w:val="en-US" w:eastAsia="zh-CN" w:bidi="hi-IN"/>
        </w:rPr>
        <w:t xml:space="preserve"> em</w:t>
      </w:r>
      <w:r>
        <w:rPr>
          <w:rFonts w:eastAsia="Georgia" w:ascii="Georgia" w:hAnsi="Georgia"/>
        </w:rPr>
        <w:t>phasize</w:t>
      </w:r>
      <w:r>
        <w:rPr>
          <w:rFonts w:eastAsia="Georgia" w:cs="Lucida Sans" w:ascii="Georgia" w:hAnsi="Georgia"/>
          <w:color w:val="auto"/>
          <w:kern w:val="2"/>
          <w:sz w:val="24"/>
          <w:szCs w:val="24"/>
          <w:lang w:val="en-US" w:eastAsia="zh-CN" w:bidi="hi-IN"/>
        </w:rPr>
        <w:t>s</w:t>
      </w:r>
      <w:r>
        <w:rPr>
          <w:rFonts w:eastAsia="Georgia" w:ascii="Georgia" w:hAnsi="Georgia"/>
        </w:rPr>
        <w:t xml:space="preserve"> the esoteric nature of the mystical message: “The consciousness that contains All seeds of all phenomena is the ālaya…. Which I explained [only] to the superi</w:t>
      </w:r>
      <w:r>
        <w:rPr>
          <w:rFonts w:eastAsia="Georgia" w:ascii="Georgia" w:hAnsi="Georgia"/>
          <w:b w:val="false"/>
          <w:bCs w:val="false"/>
        </w:rPr>
        <w:t>or on</w:t>
      </w:r>
      <w:r>
        <w:rPr>
          <w:rFonts w:eastAsia="Georgia" w:cs="Lucida Sans" w:ascii="Georgia" w:hAnsi="Georgia"/>
          <w:b w:val="false"/>
          <w:bCs w:val="false"/>
          <w:color w:val="auto"/>
          <w:kern w:val="2"/>
          <w:sz w:val="24"/>
          <w:szCs w:val="24"/>
          <w:lang w:val="en-US" w:eastAsia="zh-CN" w:bidi="hi-IN"/>
        </w:rPr>
        <w:t xml:space="preserve">es” </w:t>
      </w:r>
      <w:r>
        <w:rPr>
          <w:rFonts w:eastAsia="Georgia" w:cs="Lucida Sans" w:ascii="Georgia" w:hAnsi="Georgia"/>
          <w:b w:val="false"/>
          <w:bCs w:val="false"/>
          <w:color w:val="auto"/>
          <w:kern w:val="2"/>
          <w:sz w:val="24"/>
          <w:szCs w:val="24"/>
          <w:lang w:val="en-US" w:eastAsia="zh-CN" w:bidi="hi-IN"/>
        </w:rPr>
        <w:t>(</w:t>
      </w:r>
      <w:r>
        <w:rPr>
          <w:rFonts w:eastAsia="Georgia" w:cs="Lucida Sans" w:ascii="Georgia" w:hAnsi="Georgia"/>
          <w:b w:val="false"/>
          <w:bCs w:val="false"/>
          <w:i w:val="false"/>
          <w:iCs w:val="false"/>
          <w:color w:val="auto"/>
          <w:kern w:val="2"/>
          <w:sz w:val="24"/>
          <w:szCs w:val="24"/>
          <w:u w:val="none"/>
          <w:lang w:val="en-US" w:eastAsia="zh-CN" w:bidi="hi-IN"/>
        </w:rPr>
        <w:t>Brunnhölzl 2018</w:t>
      </w:r>
      <w:r>
        <w:rPr>
          <w:rFonts w:eastAsia="Georgia" w:cs="Lucida Sans" w:ascii="Georgia" w:hAnsi="Georgia"/>
          <w:b w:val="false"/>
          <w:bCs w:val="false"/>
          <w:color w:val="auto"/>
          <w:kern w:val="2"/>
          <w:sz w:val="24"/>
          <w:szCs w:val="24"/>
          <w:lang w:val="en-US" w:eastAsia="zh-CN" w:bidi="hi-IN"/>
        </w:rPr>
        <w:t>:</w:t>
      </w:r>
      <w:r>
        <w:rPr>
          <w:rFonts w:eastAsia="Georgia" w:cs="Lucida Sans" w:ascii="Georgia" w:hAnsi="Georgia"/>
          <w:b w:val="false"/>
          <w:bCs w:val="false"/>
          <w:color w:val="auto"/>
          <w:kern w:val="2"/>
          <w:sz w:val="24"/>
          <w:szCs w:val="24"/>
          <w:lang w:val="en-US" w:eastAsia="zh-CN" w:bidi="hi-IN"/>
        </w:rPr>
        <w:t>69</w:t>
      </w:r>
      <w:r>
        <w:rPr>
          <w:rFonts w:eastAsia="Georgia" w:cs="Lucida Sans" w:ascii="Georgia" w:hAnsi="Georgia"/>
          <w:b w:val="false"/>
          <w:bCs w:val="false"/>
          <w:color w:val="auto"/>
          <w:kern w:val="2"/>
          <w:sz w:val="24"/>
          <w:szCs w:val="24"/>
          <w:lang w:val="en-US" w:eastAsia="zh-CN" w:bidi="hi-IN"/>
        </w:rPr>
        <w:t xml:space="preserve">). </w:t>
      </w:r>
      <w:r>
        <w:rPr>
          <w:rFonts w:eastAsia="Georgia" w:cs="Lucida Sans" w:ascii="Georgia" w:hAnsi="Georgia"/>
          <w:color w:val="auto"/>
          <w:kern w:val="2"/>
          <w:sz w:val="24"/>
          <w:szCs w:val="24"/>
          <w:lang w:val="en-US" w:eastAsia="zh-CN" w:bidi="hi-IN"/>
        </w:rPr>
        <w:t>Mahayana tradition</w:t>
      </w:r>
      <w:r>
        <w:rPr>
          <w:rFonts w:eastAsia="Georgia" w:ascii="Georgia" w:hAnsi="Georgia"/>
        </w:rPr>
        <w:t xml:space="preserve"> </w:t>
      </w:r>
      <w:r>
        <w:rPr>
          <w:rFonts w:eastAsia="Georgia" w:cs="Lucida Sans" w:ascii="Georgia" w:hAnsi="Georgia"/>
          <w:color w:val="auto"/>
          <w:kern w:val="2"/>
          <w:sz w:val="24"/>
          <w:szCs w:val="24"/>
          <w:lang w:val="en-US" w:eastAsia="zh-CN" w:bidi="hi-IN"/>
        </w:rPr>
        <w:t>uses also</w:t>
      </w:r>
      <w:r>
        <w:rPr>
          <w:rFonts w:eastAsia="Georgia" w:ascii="Georgia" w:hAnsi="Georgia"/>
        </w:rPr>
        <w:t xml:space="preserve"> other definitions, such as mūlavijñāna, or “root consciousness.” </w:t>
      </w:r>
      <w:r>
        <w:rPr>
          <w:rFonts w:eastAsia="Georgia" w:cs="Lucida Sans" w:ascii="Georgia" w:hAnsi="Georgia"/>
          <w:color w:val="auto"/>
          <w:kern w:val="2"/>
          <w:sz w:val="24"/>
          <w:szCs w:val="24"/>
          <w:lang w:val="en-US" w:eastAsia="zh-CN" w:bidi="hi-IN"/>
        </w:rPr>
        <w:t>Asanga (d.370)</w:t>
      </w:r>
      <w:r>
        <w:rPr>
          <w:rFonts w:eastAsia="Georgia" w:ascii="Georgia" w:hAnsi="Georgia"/>
        </w:rPr>
        <w:t xml:space="preserve"> states that this same truth appears again with the arrival of a new </w:t>
      </w:r>
      <w:r>
        <w:rPr>
          <w:rFonts w:eastAsia="Georgia" w:ascii="Georgia" w:hAnsi="Georgia"/>
        </w:rPr>
        <w:t>T</w:t>
      </w:r>
      <w:r>
        <w:rPr>
          <w:rFonts w:eastAsia="Georgia" w:ascii="Georgia" w:hAnsi="Georgia"/>
        </w:rPr>
        <w:t>eacher (ibid:218).</w:t>
      </w:r>
    </w:p>
    <w:p>
      <w:pPr>
        <w:pStyle w:val="TextBody"/>
        <w:spacing w:lineRule="auto" w:line="480"/>
        <w:rPr>
          <w:rFonts w:ascii="Georgia" w:hAnsi="Georgia"/>
          <w:sz w:val="28"/>
          <w:szCs w:val="28"/>
          <w:u w:val="single"/>
        </w:rPr>
      </w:pPr>
      <w:r>
        <w:rPr>
          <w:rFonts w:eastAsia="Georgia" w:ascii="Georgia" w:hAnsi="Georgia"/>
        </w:rPr>
        <w:t xml:space="preserve">Freud, the founder of psychoanalysis who worked primarily in Vienna and received his education in the Christian cultural context, based his teachings on this same foundation, initially using the concept of the </w:t>
      </w:r>
      <w:r>
        <w:rPr>
          <w:rFonts w:eastAsia="Georgia" w:cs="Lucida Sans" w:ascii="Georgia" w:hAnsi="Georgia"/>
          <w:color w:val="auto"/>
          <w:kern w:val="2"/>
          <w:sz w:val="24"/>
          <w:szCs w:val="24"/>
          <w:lang w:val="en-US" w:eastAsia="zh-CN" w:bidi="hi-IN"/>
        </w:rPr>
        <w:t>sub</w:t>
      </w:r>
      <w:r>
        <w:rPr>
          <w:rFonts w:eastAsia="Georgia" w:ascii="Georgia" w:hAnsi="Georgia"/>
        </w:rPr>
        <w:t>conscious, later replacing it with the term "</w:t>
      </w:r>
      <w:r>
        <w:rPr>
          <w:rFonts w:eastAsia="Georgia" w:cs="Lucida Sans" w:ascii="Georgia" w:hAnsi="Georgia"/>
          <w:color w:val="auto"/>
          <w:kern w:val="2"/>
          <w:sz w:val="24"/>
          <w:szCs w:val="24"/>
          <w:lang w:val="en-US" w:eastAsia="zh-CN" w:bidi="hi-IN"/>
        </w:rPr>
        <w:t>un</w:t>
      </w:r>
      <w:r>
        <w:rPr>
          <w:rFonts w:eastAsia="Georgia" w:ascii="Georgia" w:hAnsi="Georgia"/>
        </w:rPr>
        <w:t xml:space="preserve">conscious." </w:t>
      </w:r>
      <w:r>
        <w:rPr>
          <w:rFonts w:eastAsia="Georgia" w:cs="Lucida Sans" w:ascii="Georgia" w:hAnsi="Georgia"/>
          <w:color w:val="auto"/>
          <w:kern w:val="2"/>
          <w:sz w:val="24"/>
          <w:szCs w:val="24"/>
          <w:lang w:val="en-US" w:eastAsia="zh-CN" w:bidi="hi-IN"/>
        </w:rPr>
        <w:t>T</w:t>
      </w:r>
      <w:r>
        <w:rPr>
          <w:rFonts w:eastAsia="Georgia" w:ascii="Georgia" w:hAnsi="Georgia"/>
        </w:rPr>
        <w:t>he term "</w:t>
      </w:r>
      <w:r>
        <w:rPr>
          <w:rFonts w:eastAsia="Georgia" w:cs="Lucida Sans" w:ascii="Georgia" w:hAnsi="Georgia"/>
          <w:color w:val="auto"/>
          <w:kern w:val="2"/>
          <w:sz w:val="24"/>
          <w:szCs w:val="24"/>
          <w:lang w:val="en-US" w:eastAsia="zh-CN" w:bidi="hi-IN"/>
        </w:rPr>
        <w:t>sub</w:t>
      </w:r>
      <w:r>
        <w:rPr>
          <w:rFonts w:eastAsia="Georgia" w:ascii="Georgia" w:hAnsi="Georgia"/>
        </w:rPr>
        <w:t xml:space="preserve">conscious" was widely used at the turn of the century, </w:t>
      </w:r>
      <w:r>
        <w:rPr>
          <w:rFonts w:eastAsia="Georgia" w:cs="Lucida Sans" w:ascii="Georgia" w:hAnsi="Georgia"/>
          <w:color w:val="auto"/>
          <w:kern w:val="2"/>
          <w:sz w:val="24"/>
          <w:szCs w:val="24"/>
          <w:lang w:val="en-US" w:eastAsia="zh-CN" w:bidi="hi-IN"/>
        </w:rPr>
        <w:t>thus</w:t>
      </w:r>
      <w:r>
        <w:rPr>
          <w:rFonts w:eastAsia="Georgia" w:ascii="Georgia" w:hAnsi="Georgia"/>
        </w:rPr>
        <w:t xml:space="preserve"> complicat</w:t>
      </w:r>
      <w:r>
        <w:rPr>
          <w:rFonts w:eastAsia="Georgia" w:cs="Lucida Sans" w:ascii="Georgia" w:hAnsi="Georgia"/>
          <w:color w:val="auto"/>
          <w:kern w:val="2"/>
          <w:sz w:val="24"/>
          <w:szCs w:val="24"/>
          <w:lang w:val="en-US" w:eastAsia="zh-CN" w:bidi="hi-IN"/>
        </w:rPr>
        <w:t>ing</w:t>
      </w:r>
      <w:r>
        <w:rPr>
          <w:rFonts w:eastAsia="Georgia" w:ascii="Georgia" w:hAnsi="Georgia"/>
        </w:rPr>
        <w:t xml:space="preserve"> the immediate contextualization of its use (Laplanche &amp; Pontalis 1988:430-431). Freud's contemporary, Nietzsche, expressed ideas seemingly similar to Freud’s, though Freud believed these to be tendentious </w:t>
      </w:r>
      <w:r>
        <w:rPr>
          <w:rFonts w:eastAsia="Georgia" w:cs="Lucida Sans" w:ascii="Georgia" w:hAnsi="Georgia"/>
          <w:color w:val="auto"/>
          <w:kern w:val="2"/>
          <w:sz w:val="24"/>
          <w:szCs w:val="24"/>
          <w:lang w:val="en-US" w:eastAsia="zh-CN" w:bidi="hi-IN"/>
        </w:rPr>
        <w:t>suggest</w:t>
      </w:r>
      <w:r>
        <w:rPr>
          <w:rFonts w:eastAsia="Georgia" w:cs="Lucida Sans" w:ascii="Georgia" w:hAnsi="Georgia"/>
          <w:color w:val="auto"/>
          <w:kern w:val="2"/>
          <w:sz w:val="24"/>
          <w:szCs w:val="24"/>
          <w:lang w:val="en-US" w:eastAsia="zh-CN" w:bidi="hi-IN"/>
        </w:rPr>
        <w:t>ing</w:t>
      </w:r>
      <w:r>
        <w:rPr>
          <w:rFonts w:eastAsia="Georgia" w:ascii="Georgia" w:hAnsi="Georgia"/>
        </w:rPr>
        <w:t xml:space="preserve"> to avoid them (Freud, ed. Solms 2024, vol XIV:12-13).</w:t>
      </w:r>
    </w:p>
    <w:p>
      <w:pPr>
        <w:pStyle w:val="TextBody"/>
        <w:spacing w:lineRule="auto" w:line="480"/>
        <w:rPr>
          <w:rFonts w:ascii="Georgia" w:hAnsi="Georgia"/>
          <w:sz w:val="28"/>
          <w:szCs w:val="28"/>
          <w:u w:val="single"/>
        </w:rPr>
      </w:pPr>
      <w:r>
        <w:rPr>
          <w:rFonts w:eastAsia="Georgia" w:ascii="Georgia" w:hAnsi="Georgia"/>
          <w:i/>
          <w:iCs/>
        </w:rPr>
        <w:t>Ne</w:t>
      </w:r>
      <w:r>
        <w:rPr>
          <w:rFonts w:eastAsia="Georgia" w:ascii="Georgia" w:hAnsi="Georgia"/>
          <w:i/>
          <w:iCs/>
        </w:rPr>
        <w:t>urosci</w:t>
      </w:r>
      <w:r>
        <w:rPr>
          <w:rFonts w:eastAsia="Georgia" w:ascii="Georgia" w:hAnsi="Georgia"/>
          <w:i/>
          <w:iCs/>
        </w:rPr>
        <w:t>ence</w:t>
      </w:r>
    </w:p>
    <w:p>
      <w:pPr>
        <w:pStyle w:val="TextBody"/>
        <w:spacing w:lineRule="auto" w:line="480"/>
        <w:rPr>
          <w:rFonts w:ascii="Georgia" w:hAnsi="Georgia"/>
          <w:sz w:val="28"/>
          <w:szCs w:val="28"/>
          <w:u w:val="single"/>
        </w:rPr>
      </w:pPr>
      <w:r>
        <w:rPr>
          <w:rFonts w:eastAsia="Georgia" w:ascii="Georgia" w:hAnsi="Georgia"/>
        </w:rPr>
        <w:t xml:space="preserve">Modern </w:t>
      </w:r>
      <w:r>
        <w:rPr>
          <w:rFonts w:eastAsia="Georgia" w:ascii="Georgia" w:hAnsi="Georgia"/>
        </w:rPr>
        <w:t>(</w:t>
      </w:r>
      <w:r>
        <w:rPr>
          <w:rFonts w:eastAsia="Georgia" w:ascii="Georgia" w:hAnsi="Georgia"/>
        </w:rPr>
        <w:t>post-</w:t>
      </w:r>
      <w:r>
        <w:rPr>
          <w:rFonts w:eastAsia="Georgia" w:ascii="Georgia" w:hAnsi="Georgia"/>
        </w:rPr>
        <w:t>)</w:t>
      </w:r>
      <w:r>
        <w:rPr>
          <w:rFonts w:eastAsia="Georgia" w:ascii="Georgia" w:hAnsi="Georgia"/>
        </w:rPr>
        <w:t xml:space="preserve">Christian </w:t>
      </w:r>
      <w:r>
        <w:rPr>
          <w:rFonts w:eastAsia="Georgia" w:cs="Lucida Sans" w:ascii="Georgia" w:hAnsi="Georgia"/>
          <w:color w:val="auto"/>
          <w:kern w:val="2"/>
          <w:sz w:val="24"/>
          <w:szCs w:val="24"/>
          <w:lang w:val="en-US" w:eastAsia="zh-CN" w:bidi="hi-IN"/>
        </w:rPr>
        <w:t>science,</w:t>
      </w:r>
      <w:r>
        <w:rPr>
          <w:rFonts w:eastAsia="Georgia" w:ascii="Georgia" w:hAnsi="Georgia"/>
        </w:rPr>
        <w:t xml:space="preserve"> formally separated from religion, describes several other postulates known from Mahayana Buddhism in slightly different phrasing. When </w:t>
      </w:r>
      <w:r>
        <w:rPr>
          <w:rFonts w:eastAsia="Georgia" w:cs="Lucida Sans" w:ascii="Georgia" w:hAnsi="Georgia"/>
          <w:color w:val="auto"/>
          <w:kern w:val="2"/>
          <w:sz w:val="24"/>
          <w:szCs w:val="24"/>
          <w:lang w:val="en-US" w:eastAsia="zh-CN" w:bidi="hi-IN"/>
        </w:rPr>
        <w:t>Mahayana tradition</w:t>
      </w:r>
      <w:r>
        <w:rPr>
          <w:rFonts w:eastAsia="Georgia" w:ascii="Georgia" w:hAnsi="Georgia"/>
        </w:rPr>
        <w:t xml:space="preserve"> speaks of consciousness as manifestation</w:t>
      </w:r>
      <w:r>
        <w:rPr>
          <w:rFonts w:eastAsia="Georgia" w:cs="Lucida Sans" w:ascii="Georgia" w:hAnsi="Georgia"/>
          <w:color w:val="auto"/>
          <w:kern w:val="2"/>
          <w:sz w:val="24"/>
          <w:szCs w:val="24"/>
          <w:lang w:val="en-US" w:eastAsia="zh-CN" w:bidi="hi-IN"/>
        </w:rPr>
        <w:t>then the</w:t>
      </w:r>
      <w:r>
        <w:rPr>
          <w:rFonts w:eastAsia="Georgia" w:ascii="Georgia" w:hAnsi="Georgia"/>
        </w:rPr>
        <w:t xml:space="preserve"> same understanding is expressed </w:t>
      </w:r>
      <w:r>
        <w:rPr>
          <w:rFonts w:eastAsia="Georgia" w:ascii="Georgia" w:hAnsi="Georgia"/>
        </w:rPr>
        <w:t xml:space="preserve">for example </w:t>
      </w:r>
      <w:r>
        <w:rPr>
          <w:rFonts w:eastAsia="Georgia" w:ascii="Georgia" w:hAnsi="Georgia"/>
        </w:rPr>
        <w:t>by</w:t>
      </w:r>
      <w:r>
        <w:rPr>
          <w:rFonts w:eastAsia="Georgia" w:ascii="Georgia" w:hAnsi="Georgia"/>
        </w:rPr>
        <w:t xml:space="preserve"> neuroscientist </w:t>
      </w:r>
      <w:r>
        <w:rPr>
          <w:rFonts w:eastAsia="Georgia" w:ascii="Georgia" w:hAnsi="Georgia"/>
        </w:rPr>
        <w:t>Prof. Seth</w:t>
      </w:r>
      <w:r>
        <w:rPr>
          <w:rFonts w:eastAsia="Georgia" w:ascii="Georgia" w:hAnsi="Georgia"/>
        </w:rPr>
        <w:t xml:space="preserve"> from </w:t>
      </w:r>
      <w:r>
        <w:rPr>
          <w:rFonts w:eastAsia="Georgia" w:cs="Lucida Sans" w:ascii="Georgia" w:hAnsi="Georgia"/>
          <w:color w:val="000000"/>
          <w:kern w:val="2"/>
          <w:sz w:val="24"/>
          <w:szCs w:val="24"/>
          <w:lang w:val="en-US" w:eastAsia="zh-CN" w:bidi="hi-IN"/>
        </w:rPr>
        <w:t>University of Sussex</w:t>
      </w:r>
      <w:r>
        <w:rPr>
          <w:rFonts w:eastAsia="Georgia" w:ascii="Georgia" w:hAnsi="Georgia"/>
        </w:rPr>
        <w:t>,</w:t>
      </w:r>
      <w:r>
        <w:rPr>
          <w:rFonts w:eastAsia="Georgia" w:ascii="Georgia" w:hAnsi="Georgia"/>
        </w:rPr>
        <w:t xml:space="preserve"> who </w:t>
      </w:r>
      <w:r>
        <w:rPr>
          <w:rFonts w:eastAsia="Georgia" w:ascii="Georgia" w:hAnsi="Georgia"/>
        </w:rPr>
        <w:t xml:space="preserve">often </w:t>
      </w:r>
      <w:r>
        <w:rPr>
          <w:rFonts w:eastAsia="Georgia" w:ascii="Georgia" w:hAnsi="Georgia"/>
        </w:rPr>
        <w:t xml:space="preserve">refers to the surrounding world as a “controlled hallucination” </w:t>
      </w:r>
      <w:r>
        <w:rPr>
          <w:rFonts w:eastAsia="Georgia" w:ascii="Georgia" w:hAnsi="Georgia"/>
        </w:rPr>
        <w:t>(Seth 2021).</w:t>
      </w:r>
    </w:p>
    <w:p>
      <w:pPr>
        <w:pStyle w:val="TextBody"/>
        <w:spacing w:lineRule="auto" w:line="480"/>
        <w:rPr>
          <w:rFonts w:ascii="Georgia" w:hAnsi="Georgia"/>
          <w:sz w:val="28"/>
          <w:szCs w:val="28"/>
          <w:u w:val="single"/>
        </w:rPr>
      </w:pPr>
      <w:r>
        <w:rPr>
          <w:rFonts w:eastAsia="Georgia" w:ascii="Georgia" w:hAnsi="Georgia"/>
        </w:rPr>
        <w:t>The conceptual precondition of change, exp</w:t>
      </w:r>
      <w:r>
        <w:rPr>
          <w:rFonts w:eastAsia="Georgia" w:cs="Lucida Sans" w:ascii="Georgia" w:hAnsi="Georgia"/>
          <w:color w:val="auto"/>
          <w:kern w:val="2"/>
          <w:sz w:val="24"/>
          <w:szCs w:val="24"/>
          <w:lang w:val="en-US" w:eastAsia="zh-CN" w:bidi="hi-IN"/>
        </w:rPr>
        <w:t>lained</w:t>
      </w:r>
      <w:r>
        <w:rPr>
          <w:rFonts w:eastAsia="Georgia" w:ascii="Georgia" w:hAnsi="Georgia"/>
        </w:rPr>
        <w:t xml:space="preserve"> by Nagarjuna </w:t>
      </w:r>
      <w:r>
        <w:rPr>
          <w:rFonts w:eastAsia="Georgia" w:ascii="Georgia" w:hAnsi="Georgia"/>
        </w:rPr>
        <w:t>(d.250)</w:t>
      </w:r>
      <w:r>
        <w:rPr>
          <w:rFonts w:eastAsia="Georgia" w:ascii="Georgia" w:hAnsi="Georgia"/>
        </w:rPr>
        <w:t xml:space="preserve"> as </w:t>
      </w:r>
      <w:r>
        <w:rPr>
          <w:rStyle w:val="StrongEmphasis"/>
          <w:rFonts w:eastAsia="Georgia" w:ascii="Georgia" w:hAnsi="Georgia"/>
          <w:b w:val="false"/>
          <w:bCs w:val="false"/>
          <w:i/>
          <w:iCs/>
        </w:rPr>
        <w:t>sunyata</w:t>
      </w:r>
      <w:r>
        <w:rPr>
          <w:rFonts w:eastAsia="Georgia" w:ascii="Georgia" w:hAnsi="Georgia"/>
        </w:rPr>
        <w:t xml:space="preserve">, is echoed by the universal </w:t>
      </w:r>
      <w:r>
        <w:rPr>
          <w:rFonts w:eastAsia="Georgia" w:ascii="Georgia" w:hAnsi="Georgia"/>
          <w:i/>
          <w:iCs/>
        </w:rPr>
        <w:t>predictive coding protocol</w:t>
      </w:r>
      <w:r>
        <w:rPr>
          <w:rFonts w:eastAsia="Georgia" w:ascii="Georgia" w:hAnsi="Georgia"/>
        </w:rPr>
        <w:t>, which excludes the primacy of conceptual knowledge.</w:t>
      </w:r>
    </w:p>
    <w:p>
      <w:pPr>
        <w:pStyle w:val="TextBody"/>
        <w:spacing w:lineRule="auto" w:line="480"/>
        <w:rPr>
          <w:rFonts w:ascii="Georgia" w:hAnsi="Georgia"/>
          <w:sz w:val="28"/>
          <w:szCs w:val="28"/>
          <w:u w:val="single"/>
        </w:rPr>
      </w:pPr>
      <w:r>
        <w:rPr>
          <w:rFonts w:eastAsia="Georgia" w:cs="Lucida Sans" w:ascii="Georgia" w:hAnsi="Georgia"/>
          <w:i/>
          <w:iCs/>
          <w:color w:val="auto"/>
          <w:kern w:val="2"/>
          <w:sz w:val="24"/>
          <w:szCs w:val="24"/>
          <w:u w:val="none"/>
          <w:lang w:val="en-US" w:eastAsia="zh-CN" w:bidi="hi-IN"/>
        </w:rPr>
        <w:t>Ritualisation</w:t>
      </w:r>
    </w:p>
    <w:p>
      <w:pPr>
        <w:pStyle w:val="TextBody"/>
        <w:spacing w:lineRule="auto" w:line="480"/>
        <w:rPr>
          <w:rFonts w:ascii="Georgia" w:hAnsi="Georgia"/>
          <w:sz w:val="28"/>
          <w:szCs w:val="28"/>
          <w:u w:val="single"/>
        </w:rPr>
      </w:pPr>
      <w:r>
        <w:rPr>
          <w:rFonts w:eastAsia="Georgia" w:ascii="Georgia" w:hAnsi="Georgia"/>
        </w:rPr>
        <w:t>While Confucian philosophy has been described as a “school of ritualism” (</w:t>
      </w:r>
      <w:r>
        <w:rPr>
          <w:rFonts w:eastAsia="Georgia" w:ascii="Georgia" w:hAnsi="Georgia"/>
        </w:rPr>
        <w:t>Eno 2016:9)</w:t>
      </w:r>
      <w:r>
        <w:rPr>
          <w:rFonts w:eastAsia="Georgia" w:ascii="Georgia" w:hAnsi="Georgia"/>
        </w:rPr>
        <w:t>, the later Confucian classicist Xunzi elaborates on the background of this consolidated ideology:</w:t>
      </w:r>
    </w:p>
    <w:p>
      <w:pPr>
        <w:pStyle w:val="TextBody"/>
        <w:spacing w:lineRule="auto" w:line="480"/>
        <w:ind w:left="720" w:hanging="0"/>
        <w:rPr>
          <w:rFonts w:ascii="Georgia" w:hAnsi="Georgia"/>
          <w:sz w:val="28"/>
          <w:szCs w:val="28"/>
          <w:u w:val="single"/>
        </w:rPr>
      </w:pPr>
      <w:r>
        <w:rPr>
          <w:rFonts w:eastAsia="Georgia" w:ascii="Georgia" w:hAnsi="Georgia"/>
          <w:sz w:val="22"/>
          <w:szCs w:val="22"/>
        </w:rPr>
        <w:t>"From what did rituals arise? I say: human beings are born with desires. If what they desire is not obtained, they cannot but seek for it</w:t>
      </w:r>
      <w:r>
        <w:rPr>
          <w:rFonts w:eastAsia="Georgia" w:ascii="Georgia" w:hAnsi="Georgia"/>
          <w:sz w:val="22"/>
          <w:szCs w:val="22"/>
        </w:rPr>
        <w:t>… Thus, rituals are nourishment." (Tang 2012:457)</w:t>
      </w:r>
    </w:p>
    <w:p>
      <w:pPr>
        <w:pStyle w:val="TextBody"/>
        <w:spacing w:lineRule="auto" w:line="480"/>
        <w:rPr>
          <w:rFonts w:ascii="Georgia" w:hAnsi="Georgia"/>
          <w:sz w:val="28"/>
          <w:szCs w:val="28"/>
          <w:u w:val="single"/>
        </w:rPr>
      </w:pPr>
      <w:r>
        <w:rPr>
          <w:rFonts w:eastAsia="Georgia" w:ascii="Georgia" w:hAnsi="Georgia"/>
        </w:rPr>
        <w:t xml:space="preserve">Essentially, this same idea has been </w:t>
      </w:r>
      <w:r>
        <w:rPr>
          <w:rFonts w:eastAsia="Georgia" w:cs="Lucida Sans" w:ascii="Georgia" w:hAnsi="Georgia"/>
          <w:color w:val="auto"/>
          <w:kern w:val="2"/>
          <w:sz w:val="24"/>
          <w:szCs w:val="24"/>
          <w:lang w:val="en-US" w:eastAsia="zh-CN" w:bidi="hi-IN"/>
        </w:rPr>
        <w:t>further developed</w:t>
      </w:r>
      <w:r>
        <w:rPr>
          <w:rFonts w:eastAsia="Georgia" w:ascii="Georgia" w:hAnsi="Georgia"/>
        </w:rPr>
        <w:t xml:space="preserve"> by 20th-century ethologists, </w:t>
      </w:r>
      <w:r>
        <w:rPr>
          <w:rFonts w:eastAsia="Georgia" w:cs="Lucida Sans" w:ascii="Georgia" w:hAnsi="Georgia"/>
          <w:color w:val="auto"/>
          <w:kern w:val="2"/>
          <w:sz w:val="24"/>
          <w:szCs w:val="24"/>
          <w:lang w:val="en-US" w:eastAsia="zh-CN" w:bidi="hi-IN"/>
        </w:rPr>
        <w:t>notably by</w:t>
      </w:r>
      <w:r>
        <w:rPr>
          <w:rFonts w:eastAsia="Georgia" w:ascii="Georgia" w:hAnsi="Georgia"/>
        </w:rPr>
        <w:t xml:space="preserve"> Lorenz </w:t>
      </w:r>
      <w:r>
        <w:rPr>
          <w:rFonts w:eastAsia="Georgia" w:ascii="Georgia" w:hAnsi="Georgia"/>
        </w:rPr>
        <w:t>(d.1989)</w:t>
      </w:r>
      <w:r>
        <w:rPr>
          <w:rFonts w:eastAsia="Georgia" w:ascii="Georgia" w:hAnsi="Georgia"/>
        </w:rPr>
        <w:t xml:space="preserve">. </w:t>
      </w:r>
    </w:p>
    <w:p>
      <w:pPr>
        <w:pStyle w:val="TextBody"/>
        <w:spacing w:lineRule="auto" w:line="480"/>
        <w:rPr>
          <w:rFonts w:ascii="Georgia" w:hAnsi="Georgia"/>
          <w:sz w:val="28"/>
          <w:szCs w:val="28"/>
          <w:u w:val="single"/>
        </w:rPr>
      </w:pPr>
      <w:r>
        <w:rPr>
          <w:rFonts w:eastAsia="Georgia" w:cs="Lucida Sans" w:ascii="Georgia" w:hAnsi="Georgia"/>
          <w:i/>
          <w:iCs/>
          <w:color w:val="auto"/>
          <w:kern w:val="2"/>
          <w:sz w:val="24"/>
          <w:szCs w:val="24"/>
          <w:u w:val="none"/>
          <w:lang w:val="en-US" w:eastAsia="zh-CN" w:bidi="hi-IN"/>
        </w:rPr>
        <w:t xml:space="preserve">Affective Neuroscience </w:t>
      </w:r>
    </w:p>
    <w:p>
      <w:pPr>
        <w:pStyle w:val="TextBody"/>
        <w:spacing w:lineRule="auto" w:line="480"/>
        <w:rPr>
          <w:rFonts w:ascii="Georgia" w:hAnsi="Georgia"/>
          <w:sz w:val="28"/>
          <w:szCs w:val="28"/>
          <w:u w:val="single"/>
        </w:rPr>
      </w:pPr>
      <w:r>
        <w:rPr>
          <w:rFonts w:eastAsia="Georgia" w:ascii="Georgia" w:hAnsi="Georgia"/>
        </w:rPr>
        <w:t xml:space="preserve">While Zhuang Zhou (IV century BC) vividly demonstrated the primacy of emotional instincts in the development of divinity and </w:t>
      </w:r>
      <w:r>
        <w:rPr>
          <w:rFonts w:eastAsia="Georgia" w:ascii="Georgia" w:hAnsi="Georgia"/>
        </w:rPr>
        <w:t xml:space="preserve">human </w:t>
      </w:r>
      <w:r>
        <w:rPr>
          <w:rFonts w:eastAsia="Georgia" w:ascii="Georgia" w:hAnsi="Georgia"/>
        </w:rPr>
        <w:t>identity, he is now followed by Panksepp, Solms, Damasio, etc., a</w:t>
      </w:r>
      <w:r>
        <w:rPr>
          <w:rFonts w:eastAsia="Georgia" w:cs="Lucida Sans" w:ascii="Georgia" w:hAnsi="Georgia"/>
          <w:color w:val="000000"/>
          <w:kern w:val="2"/>
          <w:sz w:val="24"/>
          <w:szCs w:val="24"/>
          <w:lang w:val="en-US" w:eastAsia="zh-CN" w:bidi="hi-IN"/>
        </w:rPr>
        <w:t>lthough</w:t>
      </w:r>
      <w:r>
        <w:rPr>
          <w:rFonts w:eastAsia="Georgia" w:ascii="Georgia" w:hAnsi="Georgia"/>
        </w:rPr>
        <w:t xml:space="preserve"> this trend </w:t>
      </w:r>
      <w:r>
        <w:rPr>
          <w:rFonts w:eastAsia="Georgia" w:cs="Lucida Sans" w:ascii="Georgia" w:hAnsi="Georgia"/>
          <w:color w:val="000000"/>
          <w:kern w:val="2"/>
          <w:sz w:val="24"/>
          <w:szCs w:val="24"/>
          <w:lang w:val="en-US" w:eastAsia="zh-CN" w:bidi="hi-IN"/>
        </w:rPr>
        <w:t>was</w:t>
      </w:r>
      <w:r>
        <w:rPr>
          <w:rFonts w:eastAsia="Georgia" w:ascii="Georgia" w:hAnsi="Georgia"/>
        </w:rPr>
        <w:t xml:space="preserve"> already visible in Hume's </w:t>
      </w:r>
      <w:r>
        <w:rPr>
          <w:rFonts w:eastAsia="Georgia" w:ascii="Georgia" w:hAnsi="Georgia"/>
        </w:rPr>
        <w:t>(d.1776)</w:t>
      </w:r>
      <w:r>
        <w:rPr>
          <w:rFonts w:eastAsia="Georgia" w:ascii="Georgia" w:hAnsi="Georgia"/>
        </w:rPr>
        <w:t xml:space="preserve"> work</w:t>
      </w:r>
      <w:r>
        <w:rPr>
          <w:rFonts w:eastAsia="Georgia" w:ascii="Georgia" w:hAnsi="Georgia"/>
        </w:rPr>
        <w:t>s</w:t>
      </w:r>
      <w:r>
        <w:rPr>
          <w:rFonts w:eastAsia="Georgia" w:ascii="Georgia" w:hAnsi="Georgia"/>
        </w:rPr>
        <w:t>.</w:t>
      </w:r>
    </w:p>
    <w:p>
      <w:pPr>
        <w:pStyle w:val="TextBody"/>
        <w:spacing w:lineRule="auto" w:line="480"/>
        <w:rPr>
          <w:rFonts w:ascii="Georgia" w:hAnsi="Georgia"/>
          <w:sz w:val="28"/>
          <w:szCs w:val="28"/>
          <w:u w:val="single"/>
        </w:rPr>
      </w:pPr>
      <w:r>
        <w:rPr>
          <w:rFonts w:eastAsia="Georgia" w:cs="Lucida Sans" w:ascii="Georgia" w:hAnsi="Georgia"/>
          <w:i/>
          <w:iCs/>
          <w:color w:val="auto"/>
          <w:kern w:val="2"/>
          <w:sz w:val="24"/>
          <w:szCs w:val="24"/>
          <w:u w:val="none"/>
          <w:lang w:val="en-US" w:eastAsia="zh-CN" w:bidi="hi-IN"/>
        </w:rPr>
        <w:t>Quantum Physics</w:t>
      </w:r>
    </w:p>
    <w:p>
      <w:pPr>
        <w:pStyle w:val="TextBody"/>
        <w:spacing w:lineRule="auto" w:line="480"/>
        <w:rPr>
          <w:rFonts w:ascii="Georgia" w:hAnsi="Georgia"/>
          <w:sz w:val="28"/>
          <w:szCs w:val="28"/>
          <w:u w:val="single"/>
        </w:rPr>
      </w:pPr>
      <w:r>
        <w:rPr>
          <w:rFonts w:eastAsia="Georgia" w:ascii="Georgia" w:hAnsi="Georgia"/>
        </w:rPr>
        <w:t xml:space="preserve">To conclude the list, it is fitting to mention an example from the early 20th century in the realm of natural sciences, where the founders of quantum physics claimed their inspiration came from “the </w:t>
      </w:r>
      <w:r>
        <w:rPr>
          <w:rFonts w:eastAsia="Georgia" w:ascii="Georgia" w:hAnsi="Georgia"/>
        </w:rPr>
        <w:t xml:space="preserve">ancient wisdom of </w:t>
      </w:r>
      <w:r>
        <w:rPr>
          <w:rFonts w:eastAsia="Georgia" w:ascii="Georgia" w:hAnsi="Georgia"/>
        </w:rPr>
        <w:t>Upanisha</w:t>
      </w:r>
      <w:r>
        <w:rPr>
          <w:rFonts w:eastAsia="Georgia" w:ascii="Georgia" w:hAnsi="Georgia"/>
        </w:rPr>
        <w:t>ds” (</w:t>
      </w:r>
      <w:r>
        <w:rPr>
          <w:rFonts w:eastAsia="Georgia" w:cs="Lucida Sans" w:ascii="Georgia" w:hAnsi="Georgia"/>
          <w:color w:val="000000"/>
          <w:kern w:val="2"/>
          <w:sz w:val="24"/>
          <w:szCs w:val="24"/>
          <w:lang w:val="en-US" w:eastAsia="zh-CN" w:bidi="hi-IN"/>
        </w:rPr>
        <w:t>Schrödinger 1964:</w:t>
      </w:r>
      <w:r>
        <w:rPr>
          <w:rFonts w:eastAsia="Georgia" w:cs="Lucida Sans" w:ascii="Georgia" w:hAnsi="Georgia"/>
          <w:color w:val="000000"/>
          <w:kern w:val="2"/>
          <w:sz w:val="24"/>
          <w:szCs w:val="24"/>
          <w:lang w:val="en-US" w:eastAsia="zh-CN" w:bidi="hi-IN"/>
        </w:rPr>
        <w:t>33</w:t>
      </w:r>
      <w:r>
        <w:rPr>
          <w:rFonts w:eastAsia="Georgia" w:ascii="Georgia" w:hAnsi="Georgia"/>
        </w:rPr>
        <w:t>), whi</w:t>
      </w:r>
      <w:r>
        <w:rPr>
          <w:rFonts w:eastAsia="Georgia" w:ascii="Georgia" w:hAnsi="Georgia"/>
        </w:rPr>
        <w:t>ch primarily and solely address the worldview-philosophical domain.</w:t>
      </w:r>
    </w:p>
    <w:p>
      <w:pPr>
        <w:pStyle w:val="Normal"/>
        <w:bidi w:val="0"/>
        <w:spacing w:lineRule="auto" w:line="480"/>
        <w:ind w:hanging="0"/>
        <w:jc w:val="left"/>
        <w:rPr>
          <w:rFonts w:ascii="Georgia" w:hAnsi="Georgia"/>
          <w:sz w:val="28"/>
          <w:szCs w:val="28"/>
          <w:u w:val="single"/>
        </w:rPr>
      </w:pPr>
      <w:r>
        <w:rPr>
          <w:rFonts w:ascii="Georgia" w:hAnsi="Georgia"/>
          <w:sz w:val="28"/>
          <w:szCs w:val="28"/>
          <w:u w:val="single"/>
        </w:rPr>
      </w:r>
    </w:p>
    <w:p>
      <w:pPr>
        <w:pStyle w:val="Normal"/>
        <w:bidi w:val="0"/>
        <w:spacing w:lineRule="auto" w:line="480"/>
        <w:ind w:hanging="0"/>
        <w:jc w:val="left"/>
        <w:rPr>
          <w:rFonts w:ascii="Georgia" w:hAnsi="Georgia"/>
          <w:sz w:val="28"/>
          <w:szCs w:val="28"/>
          <w:u w:val="single"/>
        </w:rPr>
      </w:pPr>
      <w:r>
        <w:rPr>
          <w:rFonts w:ascii="Georgia" w:hAnsi="Georgia"/>
          <w:sz w:val="28"/>
          <w:szCs w:val="28"/>
          <w:u w:val="single"/>
        </w:rPr>
      </w:r>
    </w:p>
    <w:p>
      <w:pPr>
        <w:pStyle w:val="Normal"/>
        <w:bidi w:val="0"/>
        <w:spacing w:lineRule="auto" w:line="480"/>
        <w:ind w:hanging="0"/>
        <w:jc w:val="left"/>
        <w:rPr>
          <w:rFonts w:ascii="Georgia" w:hAnsi="Georgia"/>
          <w:sz w:val="28"/>
          <w:szCs w:val="28"/>
          <w:u w:val="single"/>
        </w:rPr>
      </w:pPr>
      <w:r>
        <w:rPr>
          <w:rFonts w:ascii="Georgia" w:hAnsi="Georgia"/>
          <w:sz w:val="28"/>
          <w:szCs w:val="28"/>
          <w:u w:val="single"/>
        </w:rPr>
      </w:r>
    </w:p>
    <w:p>
      <w:pPr>
        <w:pStyle w:val="Normal"/>
        <w:numPr>
          <w:ilvl w:val="0"/>
          <w:numId w:val="8"/>
        </w:numPr>
        <w:bidi w:val="0"/>
        <w:spacing w:lineRule="auto" w:line="480"/>
        <w:jc w:val="left"/>
        <w:rPr>
          <w:rFonts w:ascii="Georgia" w:hAnsi="Georgia"/>
        </w:rPr>
      </w:pPr>
      <w:r>
        <w:rPr>
          <w:rFonts w:eastAsia="Georgia" w:ascii="Georgia" w:hAnsi="Georgia"/>
          <w:b/>
          <w:bCs/>
          <w:sz w:val="28"/>
          <w:szCs w:val="28"/>
        </w:rPr>
        <w:t>Summary</w:t>
      </w:r>
    </w:p>
    <w:p>
      <w:pPr>
        <w:pStyle w:val="Normal"/>
        <w:bidi w:val="0"/>
        <w:spacing w:lineRule="auto" w:line="480"/>
        <w:jc w:val="left"/>
        <w:rPr>
          <w:rFonts w:ascii="Georgia" w:hAnsi="Georgia"/>
        </w:rPr>
      </w:pPr>
      <w:r>
        <w:rPr>
          <w:rFonts w:ascii="Georgia" w:hAnsi="Georgia"/>
        </w:rPr>
      </w:r>
    </w:p>
    <w:p>
      <w:pPr>
        <w:pStyle w:val="TextBody"/>
        <w:bidi w:val="0"/>
        <w:spacing w:lineRule="auto" w:line="480"/>
        <w:jc w:val="left"/>
        <w:rPr>
          <w:rFonts w:ascii="Georgia" w:hAnsi="Georgia"/>
          <w:sz w:val="28"/>
          <w:szCs w:val="28"/>
          <w:u w:val="single"/>
        </w:rPr>
      </w:pPr>
      <w:r>
        <w:rPr>
          <w:rFonts w:eastAsia="Georgia" w:ascii="Georgia" w:hAnsi="Georgia"/>
        </w:rPr>
        <w:t xml:space="preserve">All esoteric thinkers mentioned at the end of the previous chapter in this paper shared an </w:t>
      </w:r>
      <w:r>
        <w:rPr>
          <w:rFonts w:eastAsia="Georgia" w:cs="Lucida Sans" w:ascii="Georgia" w:hAnsi="Georgia"/>
          <w:color w:val="000000"/>
          <w:kern w:val="2"/>
          <w:sz w:val="24"/>
          <w:szCs w:val="24"/>
          <w:lang w:val="en-US" w:eastAsia="zh-CN" w:bidi="hi-IN"/>
        </w:rPr>
        <w:t>integrated worldview—a platform that is neither fragmented nor dependent on one’s birthplace or geographic orientation.</w:t>
      </w:r>
    </w:p>
    <w:p>
      <w:pPr>
        <w:pStyle w:val="TextBody"/>
        <w:spacing w:lineRule="auto" w:line="480"/>
        <w:rPr>
          <w:rFonts w:ascii="Georgia" w:hAnsi="Georgia"/>
          <w:sz w:val="28"/>
          <w:szCs w:val="28"/>
          <w:u w:val="single"/>
        </w:rPr>
      </w:pPr>
      <w:r>
        <w:rPr>
          <w:rFonts w:eastAsia="Georgia" w:cs="Lucida Sans" w:ascii="Georgia" w:hAnsi="Georgia"/>
          <w:color w:val="000000"/>
          <w:kern w:val="2"/>
          <w:sz w:val="24"/>
          <w:szCs w:val="24"/>
          <w:lang w:val="en-US" w:eastAsia="zh-CN" w:bidi="hi-IN"/>
        </w:rPr>
        <w:t xml:space="preserve">They clearly demonstrate the universality of truth while also revealing the underlying mechanisms behind the emergence of </w:t>
      </w:r>
      <w:r>
        <w:rPr>
          <w:rFonts w:eastAsia="Georgia" w:cs="Lucida Sans" w:ascii="Georgia" w:hAnsi="Georgia"/>
          <w:color w:val="000000"/>
          <w:kern w:val="2"/>
          <w:sz w:val="24"/>
          <w:szCs w:val="24"/>
          <w:lang w:val="en-US" w:eastAsia="zh-CN" w:bidi="hi-IN"/>
        </w:rPr>
        <w:t xml:space="preserve">exoteric </w:t>
      </w:r>
      <w:r>
        <w:rPr>
          <w:rFonts w:eastAsia="Georgia" w:cs="Lucida Sans" w:ascii="Georgia" w:hAnsi="Georgia"/>
          <w:color w:val="000000"/>
          <w:kern w:val="2"/>
          <w:sz w:val="24"/>
          <w:szCs w:val="24"/>
          <w:lang w:val="en-US" w:eastAsia="zh-CN" w:bidi="hi-IN"/>
        </w:rPr>
        <w:t>worldview accentuation or egocentrism.</w:t>
      </w:r>
    </w:p>
    <w:p>
      <w:pPr>
        <w:pStyle w:val="TextBody"/>
        <w:bidi w:val="0"/>
        <w:spacing w:lineRule="auto" w:line="480"/>
        <w:jc w:val="left"/>
        <w:rPr>
          <w:rFonts w:ascii="Georgia" w:hAnsi="Georgia"/>
          <w:sz w:val="28"/>
          <w:szCs w:val="28"/>
          <w:u w:val="single"/>
        </w:rPr>
      </w:pPr>
      <w:r>
        <w:rPr/>
      </w:r>
    </w:p>
    <w:p>
      <w:pPr>
        <w:pStyle w:val="Normal"/>
        <w:bidi w:val="0"/>
        <w:spacing w:lineRule="auto" w:line="480"/>
        <w:jc w:val="left"/>
        <w:rPr>
          <w:rFonts w:ascii="Georgia" w:hAnsi="Georgia"/>
        </w:rPr>
      </w:pPr>
      <w:r>
        <w:rPr>
          <w:rFonts w:ascii="Georgia" w:hAnsi="Georgia"/>
        </w:rPr>
      </w:r>
    </w:p>
    <w:p>
      <w:pPr>
        <w:pStyle w:val="Normal"/>
        <w:bidi w:val="0"/>
        <w:spacing w:lineRule="auto" w:line="480"/>
        <w:jc w:val="left"/>
        <w:rPr>
          <w:rFonts w:ascii="Georgia" w:hAnsi="Georgia"/>
        </w:rPr>
      </w:pPr>
      <w:r>
        <w:rPr>
          <w:rFonts w:ascii="Georgia" w:hAnsi="Georgia"/>
        </w:rPr>
      </w:r>
    </w:p>
    <w:p>
      <w:pPr>
        <w:pStyle w:val="Normal"/>
        <w:bidi w:val="0"/>
        <w:jc w:val="left"/>
        <w:rPr>
          <w:rFonts w:ascii="Georgia" w:hAnsi="Georgia"/>
        </w:rPr>
      </w:pPr>
      <w:r>
        <w:rPr>
          <w:rFonts w:ascii="Georgia" w:hAnsi="Georgia"/>
        </w:rPr>
      </w:r>
    </w:p>
    <w:p>
      <w:pPr>
        <w:pStyle w:val="Normal"/>
        <w:bidi w:val="0"/>
        <w:jc w:val="left"/>
        <w:rPr>
          <w:rFonts w:ascii="Georgia" w:hAnsi="Georgia"/>
        </w:rPr>
      </w:pPr>
      <w:r>
        <w:rPr>
          <w:rFonts w:ascii="Georgia" w:hAnsi="Georgia"/>
        </w:rPr>
      </w:r>
    </w:p>
    <w:p>
      <w:pPr>
        <w:sectPr>
          <w:type w:val="nextPage"/>
          <w:pgSz w:w="12240" w:h="15840"/>
          <w:pgMar w:left="1134" w:right="1134" w:header="0" w:top="1134" w:footer="0" w:bottom="1134" w:gutter="0"/>
          <w:pgNumType w:fmt="decimal"/>
          <w:formProt w:val="false"/>
          <w:textDirection w:val="lrTb"/>
          <w:docGrid w:type="default" w:linePitch="312" w:charSpace="0"/>
        </w:sectPr>
        <w:pStyle w:val="Normal"/>
        <w:bidi w:val="0"/>
        <w:jc w:val="left"/>
        <w:rPr>
          <w:rFonts w:ascii="Georgia" w:hAnsi="Georgia"/>
        </w:rPr>
      </w:pPr>
      <w:r>
        <w:rPr/>
      </w:r>
    </w:p>
    <w:p>
      <w:pPr>
        <w:pStyle w:val="Normal"/>
        <w:numPr>
          <w:ilvl w:val="0"/>
          <w:numId w:val="9"/>
        </w:numPr>
        <w:suppressAutoHyphens w:val="true"/>
        <w:bidi w:val="0"/>
        <w:jc w:val="left"/>
        <w:rPr>
          <w:i/>
          <w:i/>
          <w:iCs/>
        </w:rPr>
      </w:pPr>
      <w:r>
        <w:rPr>
          <w:rFonts w:eastAsia="Georgia" w:cs="Lucida Sans" w:ascii="Georgia" w:hAnsi="Georgia"/>
          <w:b/>
          <w:bCs/>
          <w:i w:val="false"/>
          <w:iCs w:val="false"/>
          <w:caps w:val="false"/>
          <w:smallCaps w:val="false"/>
          <w:strike w:val="false"/>
          <w:dstrike w:val="false"/>
          <w:color w:val="auto"/>
          <w:spacing w:val="0"/>
          <w:kern w:val="2"/>
          <w:sz w:val="28"/>
          <w:szCs w:val="28"/>
          <w:u w:val="none"/>
          <w:effect w:val="none"/>
          <w:lang w:val="en-US" w:eastAsia="zh-CN" w:bidi="hi-IN"/>
        </w:rPr>
        <w:t>References:</w:t>
      </w:r>
    </w:p>
    <w:p>
      <w:pPr>
        <w:pStyle w:val="Normal"/>
        <w:suppressAutoHyphens w:val="true"/>
        <w:bidi w:val="0"/>
        <w:jc w:val="left"/>
        <w:rPr>
          <w:i/>
          <w:i/>
          <w:iCs/>
        </w:rPr>
      </w:pPr>
      <w:r>
        <w:rPr/>
      </w:r>
    </w:p>
    <w:p>
      <w:pPr>
        <w:pStyle w:val="Normal"/>
        <w:suppressAutoHyphens w:val="true"/>
        <w:bidi w:val="0"/>
        <w:jc w:val="left"/>
        <w:rPr>
          <w:i/>
          <w:i/>
          <w:iCs/>
        </w:rPr>
      </w:pPr>
      <w:r>
        <w:rPr/>
      </w:r>
    </w:p>
    <w:p>
      <w:pPr>
        <w:pStyle w:val="Normal"/>
        <w:suppressAutoHyphens w:val="true"/>
        <w:bidi w:val="0"/>
        <w:jc w:val="left"/>
        <w:rPr>
          <w:i/>
          <w:i/>
          <w:iCs/>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Abbey, R., (2020) “Nietzsche’s </w:t>
      </w:r>
      <w:r>
        <w:rPr>
          <w:rFonts w:eastAsia="NSimSun" w:cs="Times-Roman" w:ascii="Georgia" w:hAnsi="Georgia"/>
          <w:b w:val="false"/>
          <w:bCs w:val="false"/>
          <w:i/>
          <w:iCs/>
          <w:caps w:val="false"/>
          <w:smallCaps w:val="false"/>
          <w:strike w:val="false"/>
          <w:dstrike w:val="false"/>
          <w:color w:val="auto"/>
          <w:spacing w:val="0"/>
          <w:kern w:val="2"/>
          <w:sz w:val="24"/>
          <w:szCs w:val="24"/>
          <w:u w:val="none"/>
          <w:effect w:val="none"/>
          <w:lang w:val="en-US" w:eastAsia="zh-CN" w:bidi="hi-IN"/>
        </w:rPr>
        <w:t>Human, All Too Human</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Edinburgh University Press, ISBN 978 1 4744 3084 5</w:t>
      </w:r>
    </w:p>
    <w:p>
      <w:pPr>
        <w:pStyle w:val="Normal"/>
        <w:suppressAutoHyphens w:val="true"/>
        <w:bidi w:val="0"/>
        <w:jc w:val="left"/>
        <w:rPr>
          <w:rFonts w:ascii="Georgia" w:hAnsi="Georgia"/>
          <w:color w:val="000000"/>
          <w:sz w:val="24"/>
          <w:szCs w:val="24"/>
          <w:u w:val="none"/>
        </w:rPr>
      </w:pPr>
      <w:r>
        <w:rPr>
          <w:rFonts w:ascii="Georgia" w:hAnsi="Georgia"/>
          <w:b w:val="false"/>
          <w:bCs w:val="false"/>
          <w:color w:val="auto"/>
          <w:sz w:val="24"/>
          <w:szCs w:val="24"/>
          <w:u w:val="none"/>
        </w:rPr>
      </w:r>
    </w:p>
    <w:p>
      <w:pPr>
        <w:pStyle w:val="Normal"/>
        <w:suppressAutoHyphens w:val="true"/>
        <w:bidi w:val="0"/>
        <w:jc w:val="left"/>
        <w:rPr>
          <w:rFonts w:ascii="Georgia" w:hAnsi="Georgia"/>
          <w:color w:val="000000"/>
          <w:sz w:val="24"/>
          <w:szCs w:val="24"/>
          <w:u w:val="none"/>
        </w:rPr>
      </w:pPr>
      <w:r>
        <w:rPr>
          <w:rFonts w:eastAsia="NSimSun" w:cs="Times-Roman" w:ascii="Georgia" w:hAnsi="Georgia"/>
          <w:b w:val="false"/>
          <w:bCs w:val="false"/>
          <w:i w:val="false"/>
          <w:iCs w:val="false"/>
          <w:caps w:val="false"/>
          <w:smallCaps w:val="false"/>
          <w:color w:val="auto"/>
          <w:spacing w:val="0"/>
          <w:kern w:val="2"/>
          <w:sz w:val="24"/>
          <w:szCs w:val="24"/>
          <w:u w:val="none"/>
          <w:lang w:val="en-US" w:eastAsia="zh-CN" w:bidi="hi-IN"/>
        </w:rPr>
        <w:t xml:space="preserve">Al-Azami, M.M., (2003) “The History of The Qur’anic Text. From Revelation to Compilation. A Comparative Study with the Old and New Testaments”, UK Islamic Academy,, ISBN-10 1872531652 </w:t>
      </w:r>
    </w:p>
    <w:p>
      <w:pPr>
        <w:pStyle w:val="Normal"/>
        <w:suppressAutoHyphens w:val="true"/>
        <w:bidi w:val="0"/>
        <w:jc w:val="left"/>
        <w:rPr>
          <w:rFonts w:ascii="Georgia" w:hAnsi="Georgia"/>
        </w:rPr>
      </w:pPr>
      <w:r>
        <w:rPr>
          <w:rFonts w:ascii="Georgia" w:hAnsi="Georgia"/>
          <w:b w:val="false"/>
          <w:bCs w:val="false"/>
          <w:color w:val="auto"/>
          <w:sz w:val="24"/>
          <w:szCs w:val="24"/>
        </w:rPr>
      </w:r>
    </w:p>
    <w:p>
      <w:pPr>
        <w:pStyle w:val="Normal"/>
        <w:suppressAutoHyphens w:val="true"/>
        <w:bidi w:val="0"/>
        <w:jc w:val="left"/>
        <w:rPr>
          <w:rFonts w:ascii="Georgia" w:hAnsi="Georgia"/>
        </w:rPr>
      </w:pPr>
      <w:r>
        <w:rPr>
          <w:rFonts w:eastAsia="NSimSun" w:cs="Times-Roman" w:ascii="Georgia" w:hAnsi="Georgia"/>
          <w:b w:val="false"/>
          <w:bCs w:val="false"/>
          <w:color w:val="auto"/>
          <w:kern w:val="2"/>
          <w:sz w:val="24"/>
          <w:szCs w:val="24"/>
          <w:u w:val="none"/>
          <w:lang w:val="en-US" w:eastAsia="zh-CN" w:bidi="hi-IN"/>
        </w:rPr>
        <w:t xml:space="preserve">Biscione, R., &amp; Vahdati, A.A., (2021) “The BMAC Presence in Eastern Iran. State of affairs in December 2018 – towards the Greater Khorasan Civilization?” from eds. Lyonnet, B., Dubova, N.A., </w:t>
      </w:r>
      <w:r>
        <w:rPr>
          <w:rFonts w:eastAsia="NSimSun" w:cs="Times-Roman" w:ascii="Georgia" w:hAnsi="Georgia"/>
          <w:b w:val="false"/>
          <w:bCs w:val="false"/>
          <w:i/>
          <w:iCs/>
          <w:color w:val="auto"/>
          <w:kern w:val="2"/>
          <w:sz w:val="24"/>
          <w:szCs w:val="24"/>
          <w:u w:val="none"/>
          <w:lang w:val="en-US" w:eastAsia="zh-CN" w:bidi="hi-IN"/>
        </w:rPr>
        <w:t>The World of the Oxus Civilization.</w:t>
      </w:r>
      <w:r>
        <w:rPr>
          <w:rFonts w:eastAsia="NSimSun" w:cs="Times-Roman" w:ascii="Georgia" w:hAnsi="Georgia"/>
          <w:b w:val="false"/>
          <w:bCs w:val="false"/>
          <w:i w:val="false"/>
          <w:iCs w:val="false"/>
          <w:color w:val="auto"/>
          <w:kern w:val="2"/>
          <w:sz w:val="24"/>
          <w:szCs w:val="24"/>
          <w:u w:val="none"/>
          <w:lang w:val="en-US" w:eastAsia="zh-CN" w:bidi="hi-IN"/>
        </w:rPr>
        <w:t xml:space="preserve"> Routledge. ISBN 978-1-138-72287-3</w:t>
      </w:r>
    </w:p>
    <w:p>
      <w:pPr>
        <w:pStyle w:val="Normal"/>
        <w:suppressAutoHyphens w:val="true"/>
        <w:bidi w:val="0"/>
        <w:jc w:val="left"/>
        <w:rPr>
          <w:rFonts w:ascii="Georgia" w:hAnsi="Georgia"/>
        </w:rPr>
      </w:pPr>
      <w:r>
        <w:rPr>
          <w:b w:val="false"/>
          <w:bCs w:val="false"/>
          <w:color w:val="auto"/>
          <w:sz w:val="24"/>
          <w:szCs w:val="24"/>
        </w:rPr>
      </w:r>
    </w:p>
    <w:p>
      <w:pPr>
        <w:pStyle w:val="Normal"/>
        <w:suppressAutoHyphens w:val="true"/>
        <w:bidi w:val="0"/>
        <w:jc w:val="left"/>
        <w:rPr>
          <w:rFonts w:ascii="Georgia" w:hAnsi="Georgia"/>
        </w:rPr>
      </w:pPr>
      <w:r>
        <w:rPr>
          <w:rFonts w:eastAsia="NSimSun" w:cs="Times-Roman" w:ascii="Georgia" w:hAnsi="Georgia"/>
          <w:b w:val="false"/>
          <w:bCs w:val="false"/>
          <w:i w:val="false"/>
          <w:iCs w:val="false"/>
          <w:color w:val="auto"/>
          <w:kern w:val="2"/>
          <w:sz w:val="24"/>
          <w:szCs w:val="24"/>
          <w:u w:val="none"/>
          <w:lang w:val="en-US" w:eastAsia="zh-CN" w:bidi="hi-IN"/>
        </w:rPr>
        <w:t>transl. Brunnhölzl, K., (2018), “A Compendium of the Mahayana. Asanga’s Mahayanasamgraha and Its Indian and Tibetan Commentaries” Vol 1. Shambala publications, Boulder, US. eISBN 9780834841727</w:t>
      </w:r>
    </w:p>
    <w:p>
      <w:pPr>
        <w:pStyle w:val="Normal"/>
        <w:suppressAutoHyphens w:val="true"/>
        <w:bidi w:val="0"/>
        <w:jc w:val="left"/>
        <w:rPr>
          <w:rFonts w:ascii="Georgia" w:hAnsi="Georgia"/>
        </w:rPr>
      </w:pPr>
      <w:r>
        <w:rPr>
          <w:rFonts w:ascii="Georgia" w:hAnsi="Georgia"/>
          <w:b w:val="false"/>
          <w:bCs w:val="false"/>
          <w:color w:val="auto"/>
          <w:sz w:val="24"/>
          <w:szCs w:val="24"/>
        </w:rPr>
      </w:r>
    </w:p>
    <w:p>
      <w:pPr>
        <w:pStyle w:val="Normal"/>
        <w:suppressAutoHyphens w:val="true"/>
        <w:bidi w:val="0"/>
        <w:jc w:val="left"/>
        <w:rPr>
          <w:rFonts w:ascii="Georgia" w:hAnsi="Georgia"/>
        </w:rPr>
      </w:pPr>
      <w:r>
        <w:rPr>
          <w:rFonts w:eastAsia="NSimSun" w:cs="Times-Roman" w:ascii="Georgia" w:hAnsi="Georgia"/>
          <w:b w:val="false"/>
          <w:bCs w:val="false"/>
          <w:i w:val="false"/>
          <w:iCs w:val="false"/>
          <w:color w:val="auto"/>
          <w:kern w:val="2"/>
          <w:sz w:val="24"/>
          <w:szCs w:val="24"/>
          <w:u w:val="none"/>
          <w:lang w:val="en-US" w:eastAsia="zh-CN" w:bidi="hi-IN"/>
        </w:rPr>
        <w:t xml:space="preserve">Conger, G.P., (1946) “Eastern and Western Metaphysics” from ed Moore, C.A., </w:t>
      </w:r>
      <w:r>
        <w:rPr>
          <w:rFonts w:eastAsia="NSimSun" w:cs="Times-Roman" w:ascii="Georgia" w:hAnsi="Georgia"/>
          <w:b w:val="false"/>
          <w:bCs w:val="false"/>
          <w:i/>
          <w:iCs/>
          <w:color w:val="auto"/>
          <w:kern w:val="2"/>
          <w:sz w:val="24"/>
          <w:szCs w:val="24"/>
          <w:u w:val="none"/>
          <w:lang w:val="en-US" w:eastAsia="zh-CN" w:bidi="hi-IN"/>
        </w:rPr>
        <w:t xml:space="preserve">Philosophy - East and West. </w:t>
      </w:r>
      <w:r>
        <w:rPr>
          <w:rFonts w:eastAsia="NSimSun" w:cs="Times-Roman" w:ascii="Georgia" w:hAnsi="Georgia"/>
          <w:b w:val="false"/>
          <w:bCs w:val="false"/>
          <w:i w:val="false"/>
          <w:iCs w:val="false"/>
          <w:color w:val="auto"/>
          <w:kern w:val="2"/>
          <w:sz w:val="24"/>
          <w:szCs w:val="24"/>
          <w:u w:val="none"/>
          <w:lang w:val="en-US" w:eastAsia="zh-CN" w:bidi="hi-IN"/>
        </w:rPr>
        <w:t xml:space="preserve">Princeton University Press, NJ, US. </w:t>
      </w:r>
    </w:p>
    <w:p>
      <w:pPr>
        <w:pStyle w:val="Normal"/>
        <w:suppressAutoHyphens w:val="true"/>
        <w:bidi w:val="0"/>
        <w:jc w:val="left"/>
        <w:rPr>
          <w:rFonts w:ascii="Georgia" w:hAnsi="Georgia"/>
        </w:rPr>
      </w:pPr>
      <w:r>
        <w:rPr>
          <w:rFonts w:ascii="Georgia" w:hAnsi="Georgia"/>
          <w:b w:val="false"/>
          <w:bCs w:val="false"/>
          <w:color w:val="auto"/>
          <w:sz w:val="24"/>
          <w:szCs w:val="24"/>
        </w:rPr>
      </w:r>
    </w:p>
    <w:p>
      <w:pPr>
        <w:pStyle w:val="Normal"/>
        <w:bidi w:val="0"/>
        <w:jc w:val="left"/>
        <w:rPr>
          <w:rFonts w:ascii="Georgia" w:hAnsi="Georgia"/>
        </w:rPr>
      </w:pP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Druart, T-A., (2023) “Roger Bacon and His “Arabic” Sources in His Moralis philosophia” from eds Krause, K., Lopez-Farjeat, L.X., Oschman, N.A., </w:t>
      </w:r>
      <w:r>
        <w:rPr>
          <w:rFonts w:eastAsia="NSimSun" w:cs="Lucida Sans" w:ascii="Georgia" w:hAnsi="Georgia"/>
          <w:b w:val="false"/>
          <w:bCs w:val="false"/>
          <w:i/>
          <w:iCs/>
          <w:caps w:val="false"/>
          <w:smallCaps w:val="false"/>
          <w:strike w:val="false"/>
          <w:dstrike w:val="false"/>
          <w:color w:val="auto"/>
          <w:spacing w:val="0"/>
          <w:kern w:val="2"/>
          <w:sz w:val="24"/>
          <w:szCs w:val="24"/>
          <w:u w:val="none"/>
          <w:effect w:val="none"/>
          <w:lang w:val="en-US" w:eastAsia="zh-CN" w:bidi="hi-IN"/>
        </w:rPr>
        <w:t>Contextualizing Premodern Philosophy. Explorations of the Greek, Hebrew, Arabic, and Latin Traditions</w:t>
      </w: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Routledge, ISBN: 978-1-003-30989-5</w:t>
      </w:r>
    </w:p>
    <w:p>
      <w:pPr>
        <w:pStyle w:val="Normal"/>
        <w:bidi w:val="0"/>
        <w:jc w:val="left"/>
        <w:rPr>
          <w:rFonts w:ascii="Georgia" w:hAnsi="Georgia"/>
        </w:rPr>
      </w:pPr>
      <w:r>
        <w:rPr>
          <w:b w:val="false"/>
          <w:bCs w:val="false"/>
          <w:color w:val="auto"/>
          <w:sz w:val="24"/>
          <w:szCs w:val="24"/>
        </w:rPr>
      </w:r>
    </w:p>
    <w:p>
      <w:pPr>
        <w:pStyle w:val="TextBody"/>
        <w:rPr>
          <w:rFonts w:ascii="Georgia" w:hAnsi="Georgia"/>
        </w:rPr>
      </w:pP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Eno, R. (2016) “Mencius. An Online Teaching Translation” - Yale University. https://scholarworks.iu.edu/dspace/items/3b2ff74d-1038-4db6-86aa-715a4d5fbacd . </w:t>
      </w: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Accessed 29 Dec. 2024</w:t>
      </w:r>
    </w:p>
    <w:p>
      <w:pPr>
        <w:pStyle w:val="Normal"/>
        <w:suppressAutoHyphens w:val="true"/>
        <w:bidi w:val="0"/>
        <w:jc w:val="left"/>
        <w:rPr>
          <w:rFonts w:ascii="Georgia" w:hAnsi="Georgia"/>
        </w:rPr>
      </w:pPr>
      <w:r>
        <w:rPr>
          <w:rFonts w:eastAsia="NSimSun" w:cs="Lucida Sans" w:ascii="Georgia" w:hAnsi="Georgia"/>
          <w:b w:val="false"/>
          <w:bCs w:val="false"/>
          <w:i w:val="false"/>
          <w:iCs w:val="false"/>
          <w:color w:val="auto"/>
          <w:kern w:val="2"/>
          <w:sz w:val="24"/>
          <w:szCs w:val="24"/>
          <w:u w:val="none"/>
          <w:lang w:val="en-US" w:eastAsia="zh-CN" w:bidi="hi-IN"/>
        </w:rPr>
        <w:t>Enoki,K., Koshelenko, G.A. and Haidary, Z., (1994) “The Yüeh-Chih and Their Migrations”</w:t>
      </w:r>
      <w:r>
        <w:rPr>
          <w:rFonts w:eastAsia="NSimSun" w:cs="Lucida Sans" w:ascii="Georgia" w:hAnsi="Georgia"/>
          <w:b w:val="false"/>
          <w:bCs w:val="false"/>
          <w:i/>
          <w:iCs w:val="false"/>
          <w:color w:val="auto"/>
          <w:kern w:val="2"/>
          <w:sz w:val="24"/>
          <w:szCs w:val="24"/>
          <w:u w:val="none"/>
          <w:lang w:val="en-US" w:eastAsia="zh-CN" w:bidi="hi-IN"/>
        </w:rPr>
        <w:t xml:space="preserve"> </w:t>
      </w:r>
      <w:r>
        <w:rPr>
          <w:rFonts w:eastAsia="NSimSun" w:cs="Lucida Sans" w:ascii="Georgia" w:hAnsi="Georgia"/>
          <w:b w:val="false"/>
          <w:bCs w:val="false"/>
          <w:i w:val="false"/>
          <w:iCs w:val="false"/>
          <w:caps w:val="false"/>
          <w:smallCaps w:val="false"/>
          <w:color w:val="auto"/>
          <w:spacing w:val="0"/>
          <w:kern w:val="2"/>
          <w:sz w:val="24"/>
          <w:szCs w:val="24"/>
          <w:u w:val="none"/>
          <w:lang w:val="en-US" w:eastAsia="zh-CN" w:bidi="hi-IN"/>
        </w:rPr>
        <w:t xml:space="preserve">from eds. </w:t>
      </w:r>
      <w:r>
        <w:rPr>
          <w:rFonts w:eastAsia="NSimSun" w:cs="Lucida Sans" w:ascii="Georgia" w:hAnsi="Georgia"/>
          <w:b w:val="false"/>
          <w:bCs w:val="false"/>
          <w:i/>
          <w:iCs/>
          <w:caps w:val="false"/>
          <w:smallCaps w:val="false"/>
          <w:color w:val="auto"/>
          <w:spacing w:val="0"/>
          <w:kern w:val="2"/>
          <w:sz w:val="24"/>
          <w:szCs w:val="24"/>
          <w:highlight w:val="white"/>
          <w:u w:val="none"/>
          <w:lang w:val="en-US" w:eastAsia="zh-CN" w:bidi="hi-IN"/>
        </w:rPr>
        <w:t>Harmatta, J.</w:t>
      </w:r>
      <w:r>
        <w:rPr>
          <w:rFonts w:eastAsia="NSimSun" w:cs="Lucida Sans" w:ascii="Georgia" w:hAnsi="Georgia"/>
          <w:b w:val="false"/>
          <w:bCs w:val="false"/>
          <w:i/>
          <w:iCs/>
          <w:caps w:val="false"/>
          <w:smallCaps w:val="false"/>
          <w:color w:val="auto"/>
          <w:spacing w:val="0"/>
          <w:kern w:val="2"/>
          <w:sz w:val="24"/>
          <w:szCs w:val="24"/>
          <w:u w:val="none"/>
          <w:lang w:val="en-US" w:eastAsia="zh-CN" w:bidi="hi-IN"/>
        </w:rPr>
        <w:t>, </w:t>
      </w:r>
      <w:hyperlink r:id="rId2">
        <w:r>
          <w:rPr>
            <w:rStyle w:val="InternetLink"/>
            <w:rFonts w:eastAsia="NSimSun" w:cs="Lucida Sans" w:ascii="Georgia" w:hAnsi="Georgia"/>
            <w:b w:val="false"/>
            <w:bCs w:val="false"/>
            <w:i/>
            <w:iCs/>
            <w:caps w:val="false"/>
            <w:smallCaps w:val="false"/>
            <w:color w:val="auto"/>
            <w:spacing w:val="0"/>
            <w:kern w:val="2"/>
            <w:sz w:val="24"/>
            <w:szCs w:val="24"/>
            <w:highlight w:val="white"/>
            <w:u w:val="none"/>
            <w:lang w:val="en-US" w:eastAsia="zh-CN" w:bidi="hi-IN"/>
          </w:rPr>
          <w:t>Puri, B.N.</w:t>
        </w:r>
      </w:hyperlink>
      <w:r>
        <w:rPr>
          <w:rFonts w:eastAsia="NSimSun" w:cs="Lucida Sans" w:ascii="Georgia" w:hAnsi="Georgia"/>
          <w:b w:val="false"/>
          <w:bCs w:val="false"/>
          <w:i/>
          <w:iCs/>
          <w:caps w:val="false"/>
          <w:smallCaps w:val="false"/>
          <w:color w:val="auto"/>
          <w:spacing w:val="0"/>
          <w:kern w:val="2"/>
          <w:sz w:val="24"/>
          <w:szCs w:val="24"/>
          <w:u w:val="none"/>
          <w:lang w:val="en-US" w:eastAsia="zh-CN" w:bidi="hi-IN"/>
        </w:rPr>
        <w:t>, </w:t>
      </w:r>
      <w:r>
        <w:rPr>
          <w:rFonts w:eastAsia="NSimSun" w:cs="Lucida Sans" w:ascii="Georgia" w:hAnsi="Georgia"/>
          <w:b w:val="false"/>
          <w:bCs w:val="false"/>
          <w:i/>
          <w:iCs/>
          <w:caps w:val="false"/>
          <w:smallCaps w:val="false"/>
          <w:color w:val="auto"/>
          <w:spacing w:val="0"/>
          <w:kern w:val="2"/>
          <w:sz w:val="24"/>
          <w:szCs w:val="24"/>
          <w:highlight w:val="white"/>
          <w:u w:val="none"/>
          <w:lang w:val="en-US" w:eastAsia="zh-CN" w:bidi="hi-IN"/>
        </w:rPr>
        <w:t xml:space="preserve">Etemadi, G.F., </w:t>
      </w:r>
      <w:r>
        <w:rPr>
          <w:rFonts w:eastAsia="NSimSun" w:cs="Lucida Sans" w:ascii="Georgia" w:hAnsi="Georgia"/>
          <w:b w:val="false"/>
          <w:bCs w:val="false"/>
          <w:i/>
          <w:iCs/>
          <w:caps w:val="false"/>
          <w:smallCaps w:val="false"/>
          <w:color w:val="auto"/>
          <w:spacing w:val="0"/>
          <w:kern w:val="2"/>
          <w:sz w:val="24"/>
          <w:szCs w:val="24"/>
          <w:u w:val="none"/>
          <w:lang w:val="en-US" w:eastAsia="zh-CN" w:bidi="hi-IN"/>
        </w:rPr>
        <w:t xml:space="preserve">History of civilizations of Central Asia, v. 2: The Development of sedentary and nomadic civilizations, 700 B.C. to A.D. 250. </w:t>
      </w:r>
      <w:r>
        <w:rPr>
          <w:rFonts w:eastAsia="NSimSun" w:cs="Lucida Sans" w:ascii="Georgia" w:hAnsi="Georgia"/>
          <w:b w:val="false"/>
          <w:bCs w:val="false"/>
          <w:i w:val="false"/>
          <w:iCs w:val="false"/>
          <w:caps w:val="false"/>
          <w:smallCaps w:val="false"/>
          <w:color w:val="auto"/>
          <w:spacing w:val="0"/>
          <w:kern w:val="2"/>
          <w:sz w:val="24"/>
          <w:szCs w:val="24"/>
          <w:u w:val="none"/>
          <w:lang w:val="en-US" w:eastAsia="zh-CN" w:bidi="hi-IN"/>
        </w:rPr>
        <w:t>UNESDOC, ISBN: 978-92-3-102846-5</w:t>
      </w:r>
    </w:p>
    <w:p>
      <w:pPr>
        <w:pStyle w:val="Normal"/>
        <w:suppressAutoHyphens w:val="true"/>
        <w:bidi w:val="0"/>
        <w:jc w:val="left"/>
        <w:rPr>
          <w:rFonts w:ascii="Georgia" w:hAnsi="Georgia"/>
        </w:rPr>
      </w:pPr>
      <w:r>
        <w:rPr>
          <w:rFonts w:ascii="Georgia" w:hAnsi="Georgia"/>
          <w:b w:val="false"/>
          <w:bCs w:val="false"/>
          <w:color w:val="auto"/>
          <w:sz w:val="24"/>
          <w:szCs w:val="24"/>
        </w:rPr>
      </w:r>
    </w:p>
    <w:p>
      <w:pPr>
        <w:pStyle w:val="Footnote"/>
        <w:suppressAutoHyphens w:val="true"/>
        <w:bidi w:val="0"/>
        <w:jc w:val="both"/>
        <w:rPr>
          <w:rFonts w:ascii="Times New Roman" w:hAnsi="Times New Roman" w:cs="Times New Roman"/>
          <w:sz w:val="18"/>
          <w:szCs w:val="18"/>
        </w:rPr>
      </w:pPr>
      <w:r>
        <w:rPr>
          <w:rFonts w:eastAsia="NSimSun" w:cs="Times-Roman" w:ascii="Georgia" w:hAnsi="Georgia"/>
          <w:b w:val="false"/>
          <w:bCs w:val="false"/>
          <w:i w:val="false"/>
          <w:iCs w:val="false"/>
          <w:color w:val="auto"/>
          <w:kern w:val="2"/>
          <w:sz w:val="24"/>
          <w:szCs w:val="24"/>
          <w:u w:val="none"/>
          <w:lang w:val="en-US" w:eastAsia="zh-CN" w:bidi="hi-IN"/>
        </w:rPr>
        <w:t xml:space="preserve">Fleming, D.E., and Milstein S.J. (2010) ”The Buried Foundation of the Gilgamesh Epic. The Akkadian Huwawa Narrative”, </w:t>
      </w:r>
      <w:bookmarkStart w:id="0" w:name="td_4"/>
      <w:bookmarkEnd w:id="0"/>
      <w:r>
        <w:rPr>
          <w:rFonts w:eastAsia="NSimSun" w:cs="Times-Roman" w:ascii="Georgia" w:hAnsi="Georgia"/>
          <w:b w:val="false"/>
          <w:bCs w:val="false"/>
          <w:i w:val="false"/>
          <w:iCs w:val="false"/>
          <w:caps w:val="false"/>
          <w:smallCaps w:val="false"/>
          <w:color w:val="auto"/>
          <w:spacing w:val="0"/>
          <w:kern w:val="2"/>
          <w:sz w:val="24"/>
          <w:szCs w:val="24"/>
          <w:u w:val="none"/>
          <w:lang w:val="en-US" w:eastAsia="zh-CN" w:bidi="hi-IN"/>
        </w:rPr>
        <w:t xml:space="preserve">Koninklijke Brill NV, Leiden, </w:t>
      </w:r>
      <w:bookmarkStart w:id="1" w:name="te_4"/>
      <w:bookmarkEnd w:id="1"/>
      <w:r>
        <w:rPr>
          <w:rFonts w:eastAsia="NSimSun" w:cs="Times-Roman" w:ascii="Georgia" w:hAnsi="Georgia"/>
          <w:b w:val="false"/>
          <w:bCs w:val="false"/>
          <w:i w:val="false"/>
          <w:iCs w:val="false"/>
          <w:caps w:val="false"/>
          <w:smallCaps w:val="false"/>
          <w:color w:val="auto"/>
          <w:spacing w:val="0"/>
          <w:kern w:val="2"/>
          <w:sz w:val="24"/>
          <w:szCs w:val="24"/>
          <w:u w:val="none"/>
          <w:lang w:val="en-US" w:eastAsia="zh-CN" w:bidi="hi-IN"/>
        </w:rPr>
        <w:t>The Netherlands.ISBN 978-1-62837-032-4</w:t>
      </w:r>
      <w:r>
        <w:rPr>
          <w:rFonts w:eastAsia="NSimSun" w:cs="Times-Roman" w:ascii="Georgia" w:hAnsi="Georgia"/>
          <w:b w:val="false"/>
          <w:bCs w:val="false"/>
          <w:i w:val="false"/>
          <w:iCs w:val="false"/>
          <w:color w:val="auto"/>
          <w:kern w:val="2"/>
          <w:sz w:val="24"/>
          <w:szCs w:val="24"/>
          <w:u w:val="none"/>
          <w:lang w:val="en-US" w:eastAsia="zh-CN" w:bidi="hi-IN"/>
        </w:rPr>
        <w:t xml:space="preserve"> </w:t>
      </w:r>
    </w:p>
    <w:p>
      <w:pPr>
        <w:pStyle w:val="Footnote"/>
        <w:suppressAutoHyphens w:val="true"/>
        <w:bidi w:val="0"/>
        <w:jc w:val="both"/>
        <w:rPr>
          <w:rFonts w:ascii="Times New Roman" w:hAnsi="Times New Roman" w:cs="Times New Roman"/>
          <w:sz w:val="18"/>
          <w:szCs w:val="18"/>
        </w:rPr>
      </w:pPr>
      <w:r>
        <w:rPr>
          <w:rFonts w:cs="Times New Roman" w:ascii="Times New Roman" w:hAnsi="Times New Roman"/>
          <w:b w:val="false"/>
          <w:bCs w:val="false"/>
          <w:color w:val="auto"/>
          <w:sz w:val="24"/>
          <w:szCs w:val="24"/>
        </w:rPr>
      </w:r>
    </w:p>
    <w:p>
      <w:pPr>
        <w:pStyle w:val="Normal"/>
        <w:suppressAutoHyphens w:val="true"/>
        <w:bidi w:val="0"/>
        <w:jc w:val="left"/>
        <w:rPr>
          <w:rFonts w:ascii="Georgia" w:hAnsi="Georgia"/>
          <w:color w:val="000000"/>
          <w:sz w:val="24"/>
          <w:szCs w:val="24"/>
          <w:u w:val="none"/>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Freud, A., (1993) “The Ego and the Mechanisms of Defense”, Karnac Books, London, UK. ISBN 1 85575 038 8</w:t>
      </w:r>
    </w:p>
    <w:p>
      <w:pPr>
        <w:pStyle w:val="Normal"/>
        <w:suppressAutoHyphens w:val="true"/>
        <w:bidi w:val="0"/>
        <w:jc w:val="left"/>
        <w:rPr>
          <w:rFonts w:ascii="Georgia" w:hAnsi="Georgia"/>
          <w:color w:val="000000"/>
          <w:sz w:val="24"/>
          <w:szCs w:val="24"/>
          <w:u w:val="none"/>
        </w:rPr>
      </w:pPr>
      <w:r>
        <w:rPr>
          <w:rFonts w:ascii="Georgia" w:hAnsi="Georgia"/>
          <w:b w:val="false"/>
          <w:bCs w:val="false"/>
          <w:color w:val="auto"/>
          <w:sz w:val="24"/>
          <w:szCs w:val="24"/>
          <w:u w:val="none"/>
        </w:rPr>
      </w:r>
    </w:p>
    <w:p>
      <w:pPr>
        <w:pStyle w:val="Normal"/>
        <w:suppressAutoHyphens w:val="true"/>
        <w:bidi w:val="0"/>
        <w:ind w:hanging="0"/>
        <w:jc w:val="left"/>
        <w:rPr>
          <w:rFonts w:ascii="Georgia" w:hAnsi="Georgia"/>
          <w:sz w:val="28"/>
          <w:szCs w:val="28"/>
          <w:u w:val="single"/>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Freud, S. ed Solms, M., (2024) “The Revised Standard Edition of the Complete Psychological Works of Sigmund Freud”,vol I-XXIV. British Psychoanalytical Society and Rowman &amp; Littlefield. ISBN (e) 978-1-5381-9000-5 </w:t>
      </w:r>
    </w:p>
    <w:p>
      <w:pPr>
        <w:pStyle w:val="Normal"/>
        <w:suppressAutoHyphens w:val="true"/>
        <w:bidi w:val="0"/>
        <w:jc w:val="left"/>
        <w:rPr>
          <w:rFonts w:ascii="Georgia" w:hAnsi="Georgia"/>
          <w:color w:val="000000"/>
          <w:sz w:val="24"/>
          <w:szCs w:val="24"/>
          <w:u w:val="none"/>
        </w:rPr>
      </w:pPr>
      <w:r>
        <w:rPr>
          <w:b w:val="false"/>
          <w:bCs w:val="false"/>
          <w:color w:val="auto"/>
          <w:sz w:val="24"/>
          <w:szCs w:val="24"/>
        </w:rPr>
      </w:r>
    </w:p>
    <w:p>
      <w:pPr>
        <w:pStyle w:val="TextBody"/>
        <w:suppressAutoHyphens w:val="true"/>
        <w:bidi w:val="0"/>
        <w:jc w:val="left"/>
        <w:rPr>
          <w:i/>
          <w:i/>
          <w:iCs/>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Frog, M., (2015) ”Meta-Mythology and Academic Discourse Heritage” Frog, M. (2015). Meta-Mythology and Academic Discourse Heritage. </w:t>
      </w:r>
      <w:r>
        <w:rPr>
          <w:rStyle w:val="Emphasis"/>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RMN Newsletter</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w:t>
      </w:r>
      <w:r>
        <w:rPr>
          <w:rStyle w:val="Emphasis"/>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University of Helsinki. ISSN 2324-0636</w:t>
      </w:r>
    </w:p>
    <w:p>
      <w:pPr>
        <w:pStyle w:val="Normal"/>
        <w:suppressAutoHyphens w:val="true"/>
        <w:bidi w:val="0"/>
        <w:jc w:val="left"/>
        <w:rPr>
          <w:i/>
          <w:i/>
          <w:iCs/>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xml:space="preserve">Gandhi, M., (1929) “What Comprises Foreign Goods?” The Collected Works of Mahatma Gandhi, VOL. 46, Publications Division, Ministry of Information and Broadcasting Government of India, Delhi, 1958. </w:t>
      </w:r>
    </w:p>
    <w:p>
      <w:pPr>
        <w:pStyle w:val="Normal"/>
        <w:suppressAutoHyphens w:val="true"/>
        <w:bidi w:val="0"/>
        <w:jc w:val="left"/>
        <w:rPr>
          <w:i/>
          <w:i/>
          <w:iCs/>
        </w:rPr>
      </w:pPr>
      <w:r>
        <w:rPr>
          <w:b w:val="false"/>
          <w:bCs w:val="false"/>
          <w:i/>
          <w:iCs/>
          <w:color w:val="auto"/>
          <w:sz w:val="24"/>
          <w:szCs w:val="24"/>
        </w:rPr>
      </w:r>
    </w:p>
    <w:p>
      <w:pPr>
        <w:pStyle w:val="Normal"/>
        <w:suppressAutoHyphens w:val="true"/>
        <w:bidi w:val="0"/>
        <w:jc w:val="left"/>
        <w:rPr>
          <w:rFonts w:ascii="Georgia" w:hAnsi="Georgia"/>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Gilleti, A., (2011) “The journey of an idea: Maimonides, Albertus Magnus, Thomas Aquinas and Ramon Martí on the undemonstrability of the eternity of the world”, from  Pensar a Natureza. Problemas e Respostas na Idade Media (Seculos IX-XIV). Faculdade de Letras da Universidade do Porto. ISBN: 978-972-8932-68-8</w:t>
      </w:r>
    </w:p>
    <w:p>
      <w:pPr>
        <w:pStyle w:val="Normal"/>
        <w:suppressAutoHyphens w:val="true"/>
        <w:bidi w:val="0"/>
        <w:ind w:left="0" w:right="0" w:hanging="0"/>
        <w:jc w:val="left"/>
        <w:rPr>
          <w:rFonts w:ascii="Georgia" w:hAnsi="Georgia"/>
        </w:rPr>
      </w:pPr>
      <w:r>
        <w:rPr>
          <w:rFonts w:ascii="Georgia" w:hAnsi="Georgia"/>
          <w:b w:val="false"/>
          <w:bCs w:val="false"/>
          <w:color w:val="auto"/>
          <w:sz w:val="24"/>
          <w:szCs w:val="24"/>
        </w:rPr>
      </w:r>
    </w:p>
    <w:p>
      <w:pPr>
        <w:pStyle w:val="Normal"/>
        <w:suppressAutoHyphens w:val="true"/>
        <w:bidi w:val="0"/>
        <w:ind w:left="0" w:right="0" w:hanging="0"/>
        <w:jc w:val="left"/>
        <w:rPr>
          <w:rFonts w:ascii="Georgia" w:hAnsi="Georgia"/>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transl. Godley, A.D., (1975) “Herodotus”, Harvard University Press, Cambridge, MA. ISBN 0674991303. ISBN 0674991303</w:t>
      </w:r>
    </w:p>
    <w:p>
      <w:pPr>
        <w:pStyle w:val="Normal"/>
        <w:suppressAutoHyphens w:val="true"/>
        <w:bidi w:val="0"/>
        <w:jc w:val="left"/>
        <w:rPr>
          <w:rFonts w:ascii="Georgia" w:hAnsi="Georgia"/>
        </w:rPr>
      </w:pPr>
      <w:r>
        <w:rPr>
          <w:rFonts w:ascii="Georgia" w:hAnsi="Georgia"/>
          <w:b w:val="false"/>
          <w:bCs w:val="false"/>
          <w:color w:val="auto"/>
          <w:sz w:val="24"/>
          <w:szCs w:val="24"/>
        </w:rPr>
      </w:r>
    </w:p>
    <w:p>
      <w:pPr>
        <w:pStyle w:val="Normal"/>
        <w:suppressAutoHyphens w:val="true"/>
        <w:bidi w:val="0"/>
        <w:jc w:val="left"/>
        <w:rPr>
          <w:rFonts w:ascii="Georgia" w:hAnsi="Georgia"/>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Gowans, C.W., (2003) “Philosophy of the Buddha”, Routledge, ISBN 0-203-48079-1</w:t>
      </w:r>
    </w:p>
    <w:p>
      <w:pPr>
        <w:pStyle w:val="Normal"/>
        <w:suppressAutoHyphens w:val="true"/>
        <w:bidi w:val="0"/>
        <w:jc w:val="left"/>
        <w:rPr>
          <w:rFonts w:ascii="Georgia" w:hAnsi="Georgia"/>
        </w:rPr>
      </w:pPr>
      <w:r>
        <w:rPr>
          <w:rFonts w:ascii="Georgia" w:hAnsi="Georgia"/>
          <w:b w:val="false"/>
          <w:bCs w:val="false"/>
          <w:color w:val="auto"/>
          <w:sz w:val="24"/>
          <w:szCs w:val="24"/>
        </w:rPr>
      </w:r>
    </w:p>
    <w:p>
      <w:pPr>
        <w:pStyle w:val="Normal"/>
        <w:suppressAutoHyphens w:val="true"/>
        <w:bidi w:val="0"/>
        <w:jc w:val="left"/>
        <w:rPr>
          <w:rFonts w:ascii="Georgia" w:hAnsi="Georgia"/>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Halkias, G. T. (2014). "When the Greeks Converted the Buddha: Asymmetrical Transfers of Knowledge in Indo-Greek Cultures". In </w:t>
      </w:r>
      <w:r>
        <w:rPr>
          <w:rStyle w:val="Emphasis"/>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Religions and Trade</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xml:space="preserve">. Leiden, The Netherlands: Brill. ISBN: 978-90-04-25530-2 </w:t>
      </w:r>
    </w:p>
    <w:p>
      <w:pPr>
        <w:pStyle w:val="Normal"/>
        <w:jc w:val="left"/>
        <w:rPr>
          <w:rFonts w:ascii="Georgia" w:hAnsi="Georgia"/>
        </w:rPr>
      </w:pPr>
      <w:r>
        <w:rPr>
          <w:rFonts w:ascii="Georgia" w:hAnsi="Georgia"/>
          <w:b w:val="false"/>
          <w:bCs w:val="false"/>
          <w:color w:val="auto"/>
          <w:sz w:val="24"/>
          <w:szCs w:val="24"/>
        </w:rPr>
      </w:r>
    </w:p>
    <w:p>
      <w:pPr>
        <w:pStyle w:val="Normal"/>
        <w:suppressAutoHyphens w:val="true"/>
        <w:bidi w:val="0"/>
        <w:jc w:val="left"/>
        <w:rPr>
          <w:rFonts w:ascii="Georgia" w:hAnsi="Georgia"/>
        </w:rPr>
      </w:pPr>
      <w:r>
        <w:rPr>
          <w:rStyle w:val="Emphasis"/>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J. Laplanche, J., Pontalis, J. B., (1988) transl. Nicholson-Smith, D., “The Language of Psycho-Analysis”. Karnac books</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Londo</w:t>
      </w:r>
      <w:r>
        <w:rPr>
          <w:rStyle w:val="Emphasis"/>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xml:space="preserve">n. ISBN 978 0 946439 49 2 </w:t>
      </w:r>
    </w:p>
    <w:p>
      <w:pPr>
        <w:pStyle w:val="Normal"/>
        <w:suppressAutoHyphens w:val="true"/>
        <w:bidi w:val="0"/>
        <w:jc w:val="left"/>
        <w:rPr>
          <w:rStyle w:val="Emphasis"/>
          <w:rFonts w:ascii="Georgia" w:hAnsi="Georgia"/>
        </w:rPr>
      </w:pPr>
      <w:r>
        <w:rPr>
          <w:rFonts w:ascii="Georgia" w:hAnsi="Georgia"/>
        </w:rPr>
      </w:r>
    </w:p>
    <w:p>
      <w:pPr>
        <w:pStyle w:val="Normal"/>
        <w:suppressAutoHyphens w:val="true"/>
        <w:bidi w:val="0"/>
        <w:ind w:hanging="0"/>
        <w:jc w:val="left"/>
        <w:rPr>
          <w:rFonts w:ascii="Georgia" w:hAnsi="Georgia"/>
          <w:sz w:val="28"/>
          <w:szCs w:val="28"/>
          <w:u w:val="single"/>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eds Lewis, C.T., Short, C., (1945) “A Latin Dictionary”, Oxford University Press, UK.</w:t>
      </w:r>
    </w:p>
    <w:p>
      <w:pPr>
        <w:pStyle w:val="Normal"/>
        <w:suppressAutoHyphens w:val="true"/>
        <w:bidi w:val="0"/>
        <w:jc w:val="left"/>
        <w:rPr>
          <w:rFonts w:ascii="Georgia" w:hAnsi="Georgia"/>
        </w:rPr>
      </w:pPr>
      <w:r>
        <w:rPr>
          <w:rFonts w:ascii="Georgia" w:hAnsi="Georgia"/>
          <w:b w:val="false"/>
          <w:bCs w:val="false"/>
          <w:color w:val="auto"/>
          <w:sz w:val="24"/>
          <w:szCs w:val="24"/>
        </w:rPr>
      </w:r>
    </w:p>
    <w:p>
      <w:pPr>
        <w:pStyle w:val="Normal"/>
        <w:suppressAutoHyphens w:val="true"/>
        <w:bidi w:val="0"/>
        <w:jc w:val="left"/>
        <w:rPr>
          <w:rFonts w:ascii="Georgia" w:hAnsi="Georgia"/>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Lyonnet, B., Dubova, N.A., (2021) “Questioning the Oxus Civilization or BactriaMargiana Archaeological Culture” from eds. Lyonnet, B., Dubova, N.A., The World of the Oxus Civilization. Routledge. ISBN 978-1-138-72287-3</w:t>
      </w:r>
    </w:p>
    <w:p>
      <w:pPr>
        <w:pStyle w:val="Normal"/>
        <w:suppressAutoHyphens w:val="true"/>
        <w:bidi w:val="0"/>
        <w:ind w:hanging="0"/>
        <w:jc w:val="left"/>
        <w:rPr>
          <w:rFonts w:ascii="Georgia" w:hAnsi="Georgia"/>
          <w:sz w:val="28"/>
          <w:szCs w:val="28"/>
          <w:u w:val="single"/>
        </w:rPr>
      </w:pPr>
      <w:r>
        <w:rPr>
          <w:rFonts w:ascii="Georgia" w:hAnsi="Georgia"/>
          <w:b w:val="false"/>
          <w:bCs w:val="false"/>
          <w:color w:val="auto"/>
          <w:sz w:val="24"/>
          <w:szCs w:val="24"/>
          <w:u w:val="single"/>
        </w:rPr>
      </w:r>
    </w:p>
    <w:p>
      <w:pPr>
        <w:pStyle w:val="Normal"/>
        <w:suppressAutoHyphens w:val="true"/>
        <w:bidi w:val="0"/>
        <w:ind w:hanging="0"/>
        <w:jc w:val="left"/>
        <w:rPr>
          <w:rFonts w:ascii="Georgia" w:hAnsi="Georgia"/>
          <w:sz w:val="28"/>
          <w:szCs w:val="28"/>
          <w:u w:val="single"/>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xml:space="preserve">transl. Mensch, P., ed Miller, M., (2018) “Diogenes Laertius. Lives of the Eminent Philosophers”, Oxford University Press. ISBN 978-0-19-086217-6  </w:t>
      </w:r>
    </w:p>
    <w:p>
      <w:pPr>
        <w:pStyle w:val="Normal"/>
        <w:suppressAutoHyphens w:val="true"/>
        <w:bidi w:val="0"/>
        <w:ind w:hanging="0"/>
        <w:jc w:val="left"/>
        <w:rPr>
          <w:rFonts w:ascii="Georgia" w:hAnsi="Georgia"/>
          <w:sz w:val="28"/>
          <w:szCs w:val="28"/>
          <w:u w:val="single"/>
        </w:rPr>
      </w:pPr>
      <w:r>
        <w:rPr>
          <w:rFonts w:ascii="Georgia" w:hAnsi="Georgia"/>
          <w:b w:val="false"/>
          <w:bCs w:val="false"/>
          <w:color w:val="auto"/>
          <w:sz w:val="24"/>
          <w:szCs w:val="24"/>
          <w:u w:val="single"/>
        </w:rPr>
      </w:r>
    </w:p>
    <w:p>
      <w:pPr>
        <w:pStyle w:val="Normal"/>
        <w:suppressAutoHyphens w:val="true"/>
        <w:bidi w:val="0"/>
        <w:ind w:hanging="0"/>
        <w:jc w:val="left"/>
        <w:rPr>
          <w:rFonts w:ascii="Georgia" w:hAnsi="Georgia"/>
          <w:sz w:val="28"/>
          <w:szCs w:val="28"/>
          <w:u w:val="single"/>
        </w:rPr>
      </w:pPr>
      <w:r>
        <w:rPr>
          <w:rFonts w:eastAsia="NSimSun" w:cs="Lucida Sans" w:ascii="Georgia" w:hAnsi="Georgia"/>
          <w:b w:val="false"/>
          <w:bCs w:val="false"/>
          <w:i w:val="false"/>
          <w:iCs w:val="false"/>
          <w:caps w:val="false"/>
          <w:smallCaps w:val="false"/>
          <w:color w:val="auto"/>
          <w:spacing w:val="0"/>
          <w:kern w:val="2"/>
          <w:sz w:val="24"/>
          <w:szCs w:val="24"/>
          <w:u w:val="none"/>
          <w:lang w:val="en-US" w:eastAsia="zh-CN" w:bidi="hi-IN"/>
        </w:rPr>
        <w:t xml:space="preserve">Novozhenov, V.A., (2016) </w:t>
      </w: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“Communications and transport of the country Margush in space and time” (original: “К</w:t>
      </w:r>
      <w:r>
        <w:rPr>
          <w:rFonts w:eastAsia="NSimSun" w:cs="Lucida Sans" w:ascii="Georgia" w:hAnsi="Georgia"/>
          <w:b w:val="false"/>
          <w:bCs w:val="false"/>
          <w:i w:val="false"/>
          <w:iCs w:val="false"/>
          <w:caps w:val="false"/>
          <w:smallCaps w:val="false"/>
          <w:color w:val="auto"/>
          <w:spacing w:val="0"/>
          <w:kern w:val="2"/>
          <w:sz w:val="24"/>
          <w:szCs w:val="24"/>
          <w:u w:val="none"/>
          <w:lang w:val="en-US" w:eastAsia="zh-CN" w:bidi="hi-IN"/>
        </w:rPr>
        <w:t>оммуникации и транспорт страны Маргуш в пространстве и во времени</w:t>
      </w: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 from </w:t>
      </w:r>
      <w:r>
        <w:rPr>
          <w:rFonts w:eastAsia="NSimSun" w:cs="Times-Roman" w:ascii="Georgia" w:hAnsi="Georgia"/>
          <w:b w:val="false"/>
          <w:bCs w:val="false"/>
          <w:i/>
          <w:iCs/>
          <w:caps w:val="false"/>
          <w:smallCaps w:val="false"/>
          <w:strike w:val="false"/>
          <w:dstrike w:val="false"/>
          <w:color w:val="auto"/>
          <w:spacing w:val="0"/>
          <w:kern w:val="2"/>
          <w:sz w:val="24"/>
          <w:szCs w:val="24"/>
          <w:u w:val="none"/>
          <w:effect w:val="none"/>
          <w:lang w:val="en-US" w:eastAsia="zh-CN" w:bidi="hi-IN"/>
        </w:rPr>
        <w:t>Transactions of Margiana Archaeological Expedition. Vol. 6</w:t>
      </w:r>
      <w:r>
        <w:rPr>
          <w:rFonts w:eastAsia="NSimSun" w:cs="Times-Roman" w:ascii="Georgia" w:hAnsi="Georgia"/>
          <w:b w:val="false"/>
          <w:bCs w:val="false"/>
          <w:i/>
          <w:iCs/>
          <w:color w:val="auto"/>
          <w:kern w:val="2"/>
          <w:sz w:val="24"/>
          <w:szCs w:val="24"/>
          <w:u w:val="none"/>
          <w:lang w:val="en-US" w:eastAsia="zh-CN" w:bidi="hi-IN"/>
        </w:rPr>
        <w:t xml:space="preserve">. To the Memory of Professor Victor Sarianidi </w:t>
      </w:r>
      <w:r>
        <w:rPr>
          <w:rFonts w:eastAsia="NSimSun" w:cs="Times-Roman" w:ascii="Georgia" w:hAnsi="Georgia"/>
          <w:b w:val="false"/>
          <w:bCs w:val="false"/>
          <w:i w:val="false"/>
          <w:iCs w:val="false"/>
          <w:color w:val="auto"/>
          <w:kern w:val="2"/>
          <w:sz w:val="24"/>
          <w:szCs w:val="24"/>
          <w:u w:val="none"/>
          <w:lang w:val="en-US" w:eastAsia="zh-CN" w:bidi="hi-IN"/>
        </w:rPr>
        <w:t>/ N.A. Dubova (editor in chief), E.V. Antonova, P.M. Kozhin, M.F. Kosarev, R.G. Muradov, R.M. Sataev, A.A. Tishkin – M.: Staryi sad, ISBN 978-5-89930-150-6</w:t>
      </w:r>
    </w:p>
    <w:p>
      <w:pPr>
        <w:pStyle w:val="Normal"/>
        <w:suppressAutoHyphens w:val="true"/>
        <w:bidi w:val="0"/>
        <w:ind w:hanging="0"/>
        <w:jc w:val="left"/>
        <w:rPr>
          <w:rFonts w:ascii="Georgia" w:hAnsi="Georgia"/>
          <w:sz w:val="28"/>
          <w:szCs w:val="28"/>
          <w:u w:val="single"/>
        </w:rPr>
      </w:pPr>
      <w:r>
        <w:rPr>
          <w:rFonts w:ascii="Georgia" w:hAnsi="Georgia"/>
          <w:b w:val="false"/>
          <w:bCs w:val="false"/>
          <w:color w:val="auto"/>
          <w:sz w:val="24"/>
          <w:szCs w:val="24"/>
          <w:u w:val="single"/>
        </w:rPr>
      </w:r>
    </w:p>
    <w:p>
      <w:pPr>
        <w:pStyle w:val="Normal"/>
        <w:suppressAutoHyphens w:val="true"/>
        <w:bidi w:val="0"/>
        <w:ind w:hanging="0"/>
        <w:jc w:val="left"/>
        <w:rPr>
          <w:rFonts w:ascii="Georgia" w:hAnsi="Georgia"/>
        </w:rPr>
      </w:pP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Patón Serrano, L., (2015) “The School of Translator of Toledo and the identification of Gundisalvo's main contributor.” </w:t>
      </w:r>
      <w:hyperlink r:id="rId3">
        <w:r>
          <w:rPr>
            <w:rStyle w:val="InternetLink"/>
            <w:rFonts w:eastAsia="NSimSun" w:cs="Lucida Sans" w:ascii="Georgia" w:hAnsi="Georgia"/>
            <w:b w:val="false"/>
            <w:bCs w:val="false"/>
            <w:i w:val="false"/>
            <w:iCs w:val="false"/>
            <w:caps w:val="false"/>
            <w:smallCaps w:val="false"/>
            <w:strike w:val="false"/>
            <w:dstrike w:val="false"/>
            <w:color w:val="auto"/>
            <w:spacing w:val="0"/>
            <w:kern w:val="2"/>
            <w:sz w:val="24"/>
            <w:szCs w:val="24"/>
            <w:highlight w:val="white"/>
            <w:u w:val="none"/>
            <w:effect w:val="none"/>
            <w:lang w:val="en-US" w:eastAsia="zh-CN" w:bidi="hi-IN"/>
          </w:rPr>
          <w:t>https://doi.org/10.37536/FITISPos-IJ.2015.2.0.36</w:t>
        </w:r>
      </w:hyperlink>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 </w:t>
      </w:r>
    </w:p>
    <w:p>
      <w:pPr>
        <w:pStyle w:val="Normal"/>
        <w:bidi w:val="0"/>
        <w:jc w:val="left"/>
        <w:rPr>
          <w:rFonts w:ascii="Georgia" w:hAnsi="Georgia"/>
          <w:b/>
          <w:b/>
          <w:bCs/>
          <w:color w:val="2A6099"/>
          <w:sz w:val="28"/>
          <w:szCs w:val="28"/>
          <w:u w:val="single"/>
        </w:rPr>
      </w:pPr>
      <w:r>
        <w:rPr>
          <w:rFonts w:ascii="Georgia" w:hAnsi="Georgia"/>
          <w:b w:val="false"/>
          <w:bCs w:val="false"/>
          <w:color w:val="auto"/>
          <w:sz w:val="24"/>
          <w:szCs w:val="24"/>
          <w:u w:val="single"/>
        </w:rPr>
      </w:r>
    </w:p>
    <w:p>
      <w:pPr>
        <w:pStyle w:val="Normal"/>
        <w:bidi w:val="0"/>
        <w:jc w:val="left"/>
        <w:rPr>
          <w:rFonts w:ascii="Georgia" w:hAnsi="Georgia"/>
          <w:b/>
          <w:b/>
          <w:bCs/>
          <w:color w:val="2A6099"/>
          <w:sz w:val="28"/>
          <w:szCs w:val="28"/>
          <w:u w:val="single"/>
        </w:rPr>
      </w:pPr>
      <w:r>
        <w:rPr>
          <w:rFonts w:eastAsia="NSimSun" w:cs="Lucida Sans" w:ascii="Georgia" w:hAnsi="Georgia"/>
          <w:b w:val="false"/>
          <w:bCs w:val="false"/>
          <w:i w:val="false"/>
          <w:iCs w:val="false"/>
          <w:caps w:val="false"/>
          <w:smallCaps w:val="false"/>
          <w:color w:val="auto"/>
          <w:spacing w:val="0"/>
          <w:kern w:val="2"/>
          <w:sz w:val="24"/>
          <w:szCs w:val="24"/>
          <w:u w:val="none"/>
          <w:lang w:val="en-US" w:eastAsia="zh-CN" w:bidi="hi-IN"/>
        </w:rPr>
        <w:t>Sarianidi, V.I., (1996)</w:t>
      </w: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 "Origin of Iranian Fire Temples” (original: “Происхождение Иранских храмов огня") </w:t>
      </w:r>
      <w:r>
        <w:rPr>
          <w:rFonts w:eastAsia="NSimSun" w:cs="Lucida Sans" w:ascii="Georgia" w:hAnsi="Georgia"/>
          <w:b w:val="false"/>
          <w:bCs w:val="false"/>
          <w:i/>
          <w:iCs/>
          <w:caps w:val="false"/>
          <w:smallCaps w:val="false"/>
          <w:strike w:val="false"/>
          <w:dstrike w:val="false"/>
          <w:color w:val="auto"/>
          <w:spacing w:val="0"/>
          <w:kern w:val="2"/>
          <w:sz w:val="24"/>
          <w:szCs w:val="24"/>
          <w:u w:val="none"/>
          <w:effect w:val="none"/>
          <w:lang w:val="en-US" w:eastAsia="zh-CN" w:bidi="hi-IN"/>
        </w:rPr>
        <w:t>La Persia е 1'Asia Centrale da Alessandro al X secolo.</w:t>
      </w: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 Roma. 1996. P. 319-329. </w:t>
      </w:r>
    </w:p>
    <w:p>
      <w:pPr>
        <w:pStyle w:val="Normal"/>
        <w:bidi w:val="0"/>
        <w:jc w:val="left"/>
        <w:rPr>
          <w:rFonts w:ascii="Georgia" w:hAnsi="Georgia"/>
          <w:b/>
          <w:b/>
          <w:bCs/>
          <w:color w:val="2A6099"/>
          <w:sz w:val="28"/>
          <w:szCs w:val="28"/>
          <w:u w:val="single"/>
        </w:rPr>
      </w:pPr>
      <w:r>
        <w:rPr>
          <w:b w:val="false"/>
          <w:bCs w:val="false"/>
          <w:color w:val="auto"/>
          <w:sz w:val="24"/>
          <w:szCs w:val="24"/>
        </w:rPr>
      </w:r>
    </w:p>
    <w:p>
      <w:pPr>
        <w:pStyle w:val="Normal"/>
        <w:bidi w:val="0"/>
        <w:jc w:val="left"/>
        <w:rPr>
          <w:rFonts w:ascii="Georgia" w:hAnsi="Georgia"/>
          <w:b/>
          <w:b/>
          <w:bCs/>
          <w:color w:val="2A6099"/>
          <w:sz w:val="28"/>
          <w:szCs w:val="28"/>
          <w:u w:val="single"/>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Schrödinger, E., (1964) “My View of the World”, </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Cambridge University Pr</w:t>
      </w: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ess, </w:t>
      </w: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ISBN 978-0-521-09048-3</w:t>
      </w:r>
    </w:p>
    <w:p>
      <w:pPr>
        <w:pStyle w:val="Normal"/>
        <w:bidi w:val="0"/>
        <w:jc w:val="left"/>
        <w:rPr>
          <w:rFonts w:ascii="Georgia" w:hAnsi="Georgia"/>
          <w:b/>
          <w:b/>
          <w:bCs/>
          <w:color w:val="2A6099"/>
          <w:sz w:val="28"/>
          <w:szCs w:val="28"/>
          <w:u w:val="single"/>
        </w:rPr>
      </w:pPr>
      <w:r>
        <w:rPr>
          <w:b w:val="false"/>
          <w:bCs w:val="false"/>
          <w:color w:val="auto"/>
          <w:sz w:val="24"/>
          <w:szCs w:val="24"/>
        </w:rPr>
      </w:r>
    </w:p>
    <w:p>
      <w:pPr>
        <w:pStyle w:val="Normal"/>
        <w:bidi w:val="0"/>
        <w:jc w:val="left"/>
        <w:rPr>
          <w:rFonts w:ascii="Georgia" w:hAnsi="Georgia"/>
          <w:b/>
          <w:b/>
          <w:bCs/>
          <w:color w:val="2A6099"/>
          <w:sz w:val="28"/>
          <w:szCs w:val="28"/>
          <w:u w:val="single"/>
        </w:rPr>
      </w:pPr>
      <w:r>
        <w:rPr>
          <w:rFonts w:eastAsia="NSimSun" w:cs="Lucida Sans"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Seth, A., (202</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1) “</w:t>
      </w:r>
      <w:r>
        <w:rPr>
          <w:rFonts w:eastAsia="NSimSun" w:cs="Times-Roman" w:ascii="Georgia" w:hAnsi="Georgia"/>
          <w:b w:val="false"/>
          <w:bCs w:val="false"/>
          <w:i w:val="false"/>
          <w:iCs w:val="false"/>
          <w:color w:val="auto"/>
          <w:kern w:val="2"/>
          <w:sz w:val="24"/>
          <w:szCs w:val="24"/>
          <w:u w:val="none"/>
          <w:lang w:val="en-US" w:eastAsia="zh-CN" w:bidi="hi-IN"/>
        </w:rPr>
        <w:t xml:space="preserve">Being You. </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A New Science of Consciousness” Dutton Publishing, ISBN-13 978-1524742874 </w:t>
      </w:r>
    </w:p>
    <w:p>
      <w:pPr>
        <w:pStyle w:val="Normal"/>
        <w:bidi w:val="0"/>
        <w:jc w:val="left"/>
        <w:rPr>
          <w:rFonts w:ascii="Georgia" w:hAnsi="Georgia"/>
          <w:b/>
          <w:b/>
          <w:bCs/>
          <w:color w:val="2A6099"/>
          <w:sz w:val="28"/>
          <w:szCs w:val="28"/>
          <w:u w:val="single"/>
        </w:rPr>
      </w:pPr>
      <w:r>
        <w:rPr>
          <w:rFonts w:ascii="Georgia" w:hAnsi="Georgia"/>
          <w:b w:val="false"/>
          <w:bCs w:val="false"/>
          <w:color w:val="auto"/>
          <w:sz w:val="24"/>
          <w:szCs w:val="24"/>
          <w:u w:val="single"/>
        </w:rPr>
      </w:r>
    </w:p>
    <w:p>
      <w:pPr>
        <w:pStyle w:val="Normal"/>
        <w:suppressAutoHyphens w:val="true"/>
        <w:bidi w:val="0"/>
        <w:jc w:val="left"/>
        <w:rPr>
          <w:rFonts w:ascii="Georgia" w:hAnsi="Georgia"/>
        </w:rPr>
      </w:pPr>
      <w:r>
        <w:rPr>
          <w:rStyle w:val="FootnoteCharacters"/>
          <w:rFonts w:eastAsia="NSimSun" w:cs="Times-Roman" w:ascii="Georgia" w:hAnsi="Georgia"/>
          <w:b w:val="false"/>
          <w:bCs w:val="false"/>
          <w:i w:val="false"/>
          <w:iCs w:val="false"/>
          <w:caps w:val="false"/>
          <w:smallCaps w:val="false"/>
          <w:strike w:val="false"/>
          <w:dstrike w:val="false"/>
          <w:color w:val="auto"/>
          <w:spacing w:val="0"/>
          <w:kern w:val="2"/>
          <w:position w:val="0"/>
          <w:sz w:val="24"/>
          <w:sz w:val="24"/>
          <w:szCs w:val="24"/>
          <w:u w:val="none"/>
          <w:vertAlign w:val="baseline"/>
          <w:lang w:val="en-US" w:eastAsia="zh-CN" w:bidi="hi-IN"/>
        </w:rPr>
        <w:t xml:space="preserve">Shinde, V., (2016) </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xml:space="preserve">“Current Perspectives on the Harappan Civilization” from eds. G. Robbins Schug and S.R. Walimbe, </w:t>
      </w:r>
      <w:r>
        <w:rPr>
          <w:rFonts w:eastAsia="NSimSun" w:cs="Times-Roman" w:ascii="Georgia" w:hAnsi="Georgia"/>
          <w:b w:val="false"/>
          <w:bCs w:val="false"/>
          <w:i/>
          <w:iCs/>
          <w:caps w:val="false"/>
          <w:smallCaps w:val="false"/>
          <w:strike w:val="false"/>
          <w:dstrike w:val="false"/>
          <w:color w:val="auto"/>
          <w:spacing w:val="0"/>
          <w:kern w:val="2"/>
          <w:sz w:val="24"/>
          <w:szCs w:val="24"/>
          <w:u w:val="none"/>
          <w:lang w:val="en-US" w:eastAsia="zh-CN" w:bidi="hi-IN"/>
        </w:rPr>
        <w:t>A Companion to South Asia in the Past</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Wiley Blackwell, ISBN 9781119055488</w:t>
      </w:r>
    </w:p>
    <w:p>
      <w:pPr>
        <w:pStyle w:val="Normal"/>
        <w:suppressAutoHyphens w:val="true"/>
        <w:bidi w:val="0"/>
        <w:jc w:val="left"/>
        <w:rPr>
          <w:rFonts w:ascii="Georgia" w:hAnsi="Georgia"/>
        </w:rPr>
      </w:pPr>
      <w:r>
        <w:rPr>
          <w:b w:val="false"/>
          <w:bCs w:val="false"/>
          <w:color w:val="auto"/>
          <w:sz w:val="24"/>
          <w:szCs w:val="24"/>
        </w:rPr>
      </w:r>
    </w:p>
    <w:p>
      <w:pPr>
        <w:pStyle w:val="Normal"/>
        <w:suppressAutoHyphens w:val="true"/>
        <w:bidi w:val="0"/>
        <w:jc w:val="left"/>
        <w:rPr>
          <w:rFonts w:ascii="Georgia" w:hAnsi="Georgia"/>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T</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ang</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xml:space="preserve">, S. (2012). “Self and Community in the ‘Xunzi’ “ </w:t>
      </w:r>
      <w:r>
        <w:rPr>
          <w:rFonts w:eastAsia="NSimSun" w:cs="Times-Roman" w:ascii="Georgia" w:hAnsi="Georgia"/>
          <w:b w:val="false"/>
          <w:bCs w:val="false"/>
          <w:i/>
          <w:iCs w:val="false"/>
          <w:caps w:val="false"/>
          <w:smallCaps w:val="false"/>
          <w:strike w:val="false"/>
          <w:dstrike w:val="false"/>
          <w:color w:val="auto"/>
          <w:spacing w:val="0"/>
          <w:kern w:val="2"/>
          <w:sz w:val="24"/>
          <w:szCs w:val="24"/>
          <w:u w:val="none"/>
          <w:lang w:val="en-US" w:eastAsia="zh-CN" w:bidi="hi-IN"/>
        </w:rPr>
        <w:t>Frontiers of Philosophy in China</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xml:space="preserve">, </w:t>
      </w:r>
      <w:r>
        <w:rPr>
          <w:rFonts w:eastAsia="NSimSun" w:cs="Times-Roman" w:ascii="Georgia" w:hAnsi="Georgia"/>
          <w:b w:val="false"/>
          <w:bCs w:val="false"/>
          <w:i/>
          <w:iCs w:val="false"/>
          <w:caps w:val="false"/>
          <w:smallCaps w:val="false"/>
          <w:strike w:val="false"/>
          <w:dstrike w:val="false"/>
          <w:color w:val="auto"/>
          <w:spacing w:val="0"/>
          <w:kern w:val="2"/>
          <w:sz w:val="24"/>
          <w:szCs w:val="24"/>
          <w:u w:val="none"/>
          <w:lang w:val="en-US" w:eastAsia="zh-CN" w:bidi="hi-IN"/>
        </w:rPr>
        <w:t>7</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(3), 455–470. http://www.jstor.org/stable/44259361</w:t>
      </w:r>
    </w:p>
    <w:p>
      <w:pPr>
        <w:pStyle w:val="Normal"/>
        <w:suppressAutoHyphens w:val="true"/>
        <w:bidi w:val="0"/>
        <w:jc w:val="left"/>
        <w:rPr>
          <w:rFonts w:ascii="Georgia" w:hAnsi="Georgia"/>
        </w:rPr>
      </w:pPr>
      <w:r>
        <w:rPr>
          <w:rFonts w:ascii="Georgia" w:hAnsi="Georgia"/>
          <w:b w:val="false"/>
          <w:bCs w:val="false"/>
          <w:color w:val="auto"/>
          <w:sz w:val="24"/>
          <w:szCs w:val="24"/>
          <w:u w:val="single"/>
        </w:rPr>
      </w:r>
    </w:p>
    <w:p>
      <w:pPr>
        <w:pStyle w:val="Normal"/>
        <w:suppressAutoHyphens w:val="true"/>
        <w:bidi w:val="0"/>
        <w:ind w:hanging="0"/>
        <w:jc w:val="left"/>
        <w:rPr>
          <w:rFonts w:ascii="Georgia" w:hAnsi="Georgia"/>
          <w:sz w:val="28"/>
          <w:szCs w:val="28"/>
          <w:u w:val="single"/>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De Vaan, M., (2008) “Etymological Dictionary of Latin and the other Italic Languages”. Koninklijke Brill NV, Leiden, The Netherlands, ISBN 978 90 04 16797 1 </w:t>
      </w:r>
    </w:p>
    <w:p>
      <w:pPr>
        <w:pStyle w:val="Normal"/>
        <w:suppressAutoHyphens w:val="true"/>
        <w:bidi w:val="0"/>
        <w:jc w:val="left"/>
        <w:rPr>
          <w:rFonts w:ascii="Georgia" w:hAnsi="Georgia"/>
        </w:rPr>
      </w:pPr>
      <w:r>
        <w:rPr>
          <w:rFonts w:ascii="Georgia" w:hAnsi="Georgia"/>
          <w:b w:val="false"/>
          <w:bCs w:val="false"/>
          <w:color w:val="auto"/>
          <w:sz w:val="24"/>
          <w:szCs w:val="24"/>
        </w:rPr>
      </w:r>
    </w:p>
    <w:p>
      <w:pPr>
        <w:pStyle w:val="Normal"/>
        <w:suppressAutoHyphens w:val="true"/>
        <w:bidi w:val="0"/>
        <w:ind w:hanging="0"/>
        <w:jc w:val="left"/>
        <w:rPr>
          <w:rFonts w:ascii="Georgia" w:hAnsi="Georgia"/>
          <w:sz w:val="28"/>
          <w:szCs w:val="28"/>
          <w:u w:val="single"/>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xml:space="preserve">Vivekananda, S., (1989) “The Hindu Religion” from </w:t>
      </w:r>
      <w:r>
        <w:rPr>
          <w:rFonts w:eastAsia="NSimSun" w:cs="Times-Roman" w:ascii="Georgia" w:hAnsi="Georgia"/>
          <w:b w:val="false"/>
          <w:bCs w:val="false"/>
          <w:i/>
          <w:iCs/>
          <w:caps w:val="false"/>
          <w:smallCaps w:val="false"/>
          <w:strike w:val="false"/>
          <w:dstrike w:val="false"/>
          <w:color w:val="auto"/>
          <w:spacing w:val="0"/>
          <w:kern w:val="2"/>
          <w:sz w:val="24"/>
          <w:szCs w:val="24"/>
          <w:u w:val="none"/>
          <w:effect w:val="none"/>
          <w:lang w:val="en-US" w:eastAsia="zh-CN" w:bidi="hi-IN"/>
        </w:rPr>
        <w:t>The Complete Works of Swami Vivekananda</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effect w:val="none"/>
          <w:lang w:val="en-US" w:eastAsia="zh-CN" w:bidi="hi-IN"/>
        </w:rPr>
        <w:t>, Advaita Ashrama, Mayavati, Himalayas. ISBN 9788175954110</w:t>
      </w:r>
    </w:p>
    <w:p>
      <w:pPr>
        <w:pStyle w:val="Normal"/>
        <w:suppressAutoHyphens w:val="true"/>
        <w:bidi w:val="0"/>
        <w:jc w:val="left"/>
        <w:rPr>
          <w:rFonts w:ascii="Georgia" w:hAnsi="Georgia"/>
        </w:rPr>
      </w:pPr>
      <w:r>
        <w:rPr>
          <w:rFonts w:ascii="Georgia" w:hAnsi="Georgia"/>
          <w:b w:val="false"/>
          <w:bCs w:val="false"/>
          <w:color w:val="auto"/>
          <w:sz w:val="24"/>
          <w:szCs w:val="24"/>
        </w:rPr>
      </w:r>
    </w:p>
    <w:p>
      <w:pPr>
        <w:pStyle w:val="Normal"/>
        <w:suppressAutoHyphens w:val="true"/>
        <w:bidi w:val="0"/>
        <w:jc w:val="left"/>
        <w:rPr>
          <w:rFonts w:ascii="Georgia" w:hAnsi="Georgia"/>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Warder, A.K. (2004) “Indian Buddhism”, Motilal Bandarsidass Publishers, Delhi, India. ISBN 8120808185</w:t>
      </w:r>
    </w:p>
    <w:p>
      <w:pPr>
        <w:pStyle w:val="Normal"/>
        <w:suppressAutoHyphens w:val="true"/>
        <w:bidi w:val="0"/>
        <w:jc w:val="left"/>
        <w:rPr>
          <w:rFonts w:ascii="Georgia" w:hAnsi="Georgia"/>
        </w:rPr>
      </w:pPr>
      <w:r>
        <w:rPr>
          <w:rFonts w:ascii="Georgia" w:hAnsi="Georgia"/>
          <w:b w:val="false"/>
          <w:bCs w:val="false"/>
          <w:color w:val="auto"/>
          <w:sz w:val="24"/>
          <w:szCs w:val="24"/>
        </w:rPr>
      </w:r>
    </w:p>
    <w:p>
      <w:pPr>
        <w:pStyle w:val="Normal"/>
        <w:suppressAutoHyphens w:val="true"/>
        <w:bidi w:val="0"/>
        <w:jc w:val="left"/>
        <w:rPr>
          <w:rFonts w:ascii="Georgia" w:hAnsi="Georgia"/>
        </w:rPr>
      </w:pP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Zubov, A. B., “New Course of Lectures on the History of Religions. Module 11. Zoroastrianism. Lecture 123. Prophet Zoroaster”. https://abzubov.com/new_course/lecture_123  :(19:53 – 20:33</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xml:space="preserve">  </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A</w:t>
      </w:r>
      <w:r>
        <w:rPr>
          <w:rFonts w:eastAsia="NSimSun" w:cs="Times-Roman" w:ascii="Georgia" w:hAnsi="Georgia"/>
          <w:b w:val="false"/>
          <w:bCs w:val="false"/>
          <w:i w:val="false"/>
          <w:iCs w:val="false"/>
          <w:caps w:val="false"/>
          <w:smallCaps w:val="false"/>
          <w:strike w:val="false"/>
          <w:dstrike w:val="false"/>
          <w:color w:val="auto"/>
          <w:spacing w:val="0"/>
          <w:kern w:val="2"/>
          <w:sz w:val="24"/>
          <w:szCs w:val="24"/>
          <w:u w:val="none"/>
          <w:lang w:val="en-US" w:eastAsia="zh-CN" w:bidi="hi-IN"/>
        </w:rPr>
        <w:t xml:space="preserve">ccessed 29 Dec. 2024. </w:t>
      </w:r>
    </w:p>
    <w:sectPr>
      <w:type w:val="nextPage"/>
      <w:pgSz w:w="12240" w:h="15840"/>
      <w:pgMar w:left="1134" w:right="1134" w:header="0" w:top="1134" w:footer="0" w:bottom="1134"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 w:name="Georgia">
    <w:charset w:val="00"/>
    <w:family w:val="roman"/>
    <w:pitch w:val="variable"/>
  </w:font>
  <w:font w:name="OpenSymbol">
    <w:altName w:val="Arial Unicode MS"/>
    <w:charset w:val="01"/>
    <w:family w:val="auto"/>
    <w:pitch w:val="variable"/>
  </w:font>
  <w:font w:name="Wingdings">
    <w:charset w:val="02"/>
    <w:family w:val="auto"/>
    <w:pitch w:val="default"/>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pStyle w:val="Heading4"/>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decimal"/>
      <w:lvlText w:val="%1."/>
      <w:lvlJc w:val="left"/>
      <w:pPr>
        <w:tabs>
          <w:tab w:val="num" w:pos="707"/>
        </w:tabs>
        <w:ind w:left="707" w:hanging="283"/>
      </w:p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20"/>
        </w:tabs>
        <w:ind w:left="720" w:hanging="360"/>
      </w:pPr>
      <w:rPr>
        <w:rFonts w:ascii="Wingdings" w:hAnsi="Wingdings" w:cs="Wingdings"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7">
    <w:lvl w:ilvl="0">
      <w:start w:val="1"/>
      <w:numFmt w:val="bullet"/>
      <w:lvlText w:val=""/>
      <w:lvlJc w:val="left"/>
      <w:pPr>
        <w:tabs>
          <w:tab w:val="num" w:pos="720"/>
        </w:tabs>
        <w:ind w:left="720" w:hanging="360"/>
      </w:pPr>
      <w:rPr>
        <w:rFonts w:ascii="Wingdings" w:hAnsi="Wingdings" w:cs="Wingdings" w:hint="default"/>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abstractNum w:abstractNumId="8">
    <w:lvl w:ilvl="0">
      <w:start w:val="1"/>
      <w:numFmt w:val="bullet"/>
      <w:lvlText w:val=""/>
      <w:lvlJc w:val="left"/>
      <w:pPr>
        <w:tabs>
          <w:tab w:val="num" w:pos="720"/>
        </w:tabs>
        <w:ind w:left="720" w:hanging="360"/>
      </w:pPr>
      <w:rPr>
        <w:rFonts w:ascii="Wingdings" w:hAnsi="Wingdings" w:cs="Wingdings" w:hint="default"/>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abstractNum w:abstractNumId="9">
    <w:lvl w:ilvl="0">
      <w:start w:val="1"/>
      <w:numFmt w:val="bullet"/>
      <w:lvlText w:val=""/>
      <w:lvlJc w:val="left"/>
      <w:pPr>
        <w:tabs>
          <w:tab w:val="num" w:pos="720"/>
        </w:tabs>
        <w:ind w:left="720" w:hanging="360"/>
      </w:pPr>
      <w:rPr>
        <w:rFonts w:ascii="Wingdings" w:hAnsi="Wingdings" w:cs="Wingdings" w:hint="default"/>
        <w:rFonts w:cs="OpenSymbol"/>
      </w:rPr>
    </w:lvl>
    <w:lvl w:ilvl="1">
      <w:start w:val="1"/>
      <w:numFmt w:val="bullet"/>
      <w:lvlText w:val=""/>
      <w:lvlJc w:val="left"/>
      <w:pPr>
        <w:tabs>
          <w:tab w:val="num" w:pos="1080"/>
        </w:tabs>
        <w:ind w:left="1080" w:hanging="360"/>
      </w:pPr>
      <w:rPr>
        <w:rFonts w:ascii="Wingdings" w:hAnsi="Wingdings" w:cs="Wingdings" w:hint="default"/>
        <w:rFonts w:cs="OpenSymbol"/>
      </w:rPr>
    </w:lvl>
    <w:lvl w:ilvl="2">
      <w:start w:val="1"/>
      <w:numFmt w:val="bullet"/>
      <w:lvlText w:val=""/>
      <w:lvlJc w:val="left"/>
      <w:pPr>
        <w:tabs>
          <w:tab w:val="num" w:pos="1440"/>
        </w:tabs>
        <w:ind w:left="1440" w:hanging="360"/>
      </w:pPr>
      <w:rPr>
        <w:rFonts w:ascii="Wingdings" w:hAnsi="Wingdings" w:cs="Wingdings" w:hint="default"/>
        <w:rFonts w:cs="OpenSymbol"/>
      </w:rPr>
    </w:lvl>
    <w:lvl w:ilvl="3">
      <w:start w:val="1"/>
      <w:numFmt w:val="bullet"/>
      <w:lvlText w:val=""/>
      <w:lvlJc w:val="left"/>
      <w:pPr>
        <w:tabs>
          <w:tab w:val="num" w:pos="1800"/>
        </w:tabs>
        <w:ind w:left="1800" w:hanging="360"/>
      </w:pPr>
      <w:rPr>
        <w:rFonts w:ascii="Wingdings" w:hAnsi="Wingdings" w:cs="Wingdings" w:hint="default"/>
        <w:rFonts w:cs="OpenSymbol"/>
      </w:rPr>
    </w:lvl>
    <w:lvl w:ilvl="4">
      <w:start w:val="1"/>
      <w:numFmt w:val="bullet"/>
      <w:lvlText w:val=""/>
      <w:lvlJc w:val="left"/>
      <w:pPr>
        <w:tabs>
          <w:tab w:val="num" w:pos="2160"/>
        </w:tabs>
        <w:ind w:left="2160" w:hanging="360"/>
      </w:pPr>
      <w:rPr>
        <w:rFonts w:ascii="Wingdings" w:hAnsi="Wingdings" w:cs="Wingdings" w:hint="default"/>
        <w:rFonts w:cs="OpenSymbol"/>
      </w:rPr>
    </w:lvl>
    <w:lvl w:ilvl="5">
      <w:start w:val="1"/>
      <w:numFmt w:val="bullet"/>
      <w:lvlText w:val=""/>
      <w:lvlJc w:val="left"/>
      <w:pPr>
        <w:tabs>
          <w:tab w:val="num" w:pos="2520"/>
        </w:tabs>
        <w:ind w:left="2520" w:hanging="360"/>
      </w:pPr>
      <w:rPr>
        <w:rFonts w:ascii="Wingdings" w:hAnsi="Wingdings" w:cs="Wingdings" w:hint="default"/>
        <w:rFonts w:cs="OpenSymbol"/>
      </w:rPr>
    </w:lvl>
    <w:lvl w:ilvl="6">
      <w:start w:val="1"/>
      <w:numFmt w:val="bullet"/>
      <w:lvlText w:val=""/>
      <w:lvlJc w:val="left"/>
      <w:pPr>
        <w:tabs>
          <w:tab w:val="num" w:pos="2880"/>
        </w:tabs>
        <w:ind w:left="2880" w:hanging="360"/>
      </w:pPr>
      <w:rPr>
        <w:rFonts w:ascii="Wingdings" w:hAnsi="Wingdings" w:cs="Wingdings" w:hint="default"/>
        <w:rFonts w:cs="OpenSymbol"/>
      </w:rPr>
    </w:lvl>
    <w:lvl w:ilvl="7">
      <w:start w:val="1"/>
      <w:numFmt w:val="bullet"/>
      <w:lvlText w:val=""/>
      <w:lvlJc w:val="left"/>
      <w:pPr>
        <w:tabs>
          <w:tab w:val="num" w:pos="3240"/>
        </w:tabs>
        <w:ind w:left="3240" w:hanging="360"/>
      </w:pPr>
      <w:rPr>
        <w:rFonts w:ascii="Wingdings" w:hAnsi="Wingdings" w:cs="Wingdings" w:hint="default"/>
        <w:rFonts w:cs="OpenSymbol"/>
      </w:rPr>
    </w:lvl>
    <w:lvl w:ilvl="8">
      <w:start w:val="1"/>
      <w:numFmt w:val="bullet"/>
      <w:lvlText w:val=""/>
      <w:lvlJc w:val="left"/>
      <w:pPr>
        <w:tabs>
          <w:tab w:val="num" w:pos="3600"/>
        </w:tabs>
        <w:ind w:left="3600" w:hanging="360"/>
      </w:pPr>
      <w:rPr>
        <w:rFonts w:ascii="Wingdings" w:hAnsi="Wingdings" w:cs="Wingdings"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4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0"/>
        <w:szCs w:val="24"/>
        <w:lang w:val="en-US" w:eastAsia="zh-CN" w:bidi="hi-IN"/>
      </w:rPr>
    </w:rPrDefault>
    <w:pPrDefault>
      <w:pPr/>
    </w:pPrDefault>
  </w:docDefaults>
  <w:style w:type="paragraph" w:styleId="Normal">
    <w:name w:val="Normal"/>
    <w:qFormat/>
    <w:pPr>
      <w:widowControl/>
      <w:overflowPunct w:val="true"/>
      <w:bidi w:val="0"/>
      <w:spacing w:before="0" w:after="0"/>
      <w:jc w:val="left"/>
    </w:pPr>
    <w:rPr>
      <w:rFonts w:ascii="Liberation Serif" w:hAnsi="Liberation Serif" w:eastAsia="NSimSun" w:cs="Lucida Sans"/>
      <w:color w:val="auto"/>
      <w:kern w:val="2"/>
      <w:sz w:val="24"/>
      <w:szCs w:val="24"/>
      <w:lang w:val="en-US" w:eastAsia="zh-CN" w:bidi="hi-IN"/>
    </w:rPr>
  </w:style>
  <w:style w:type="paragraph" w:styleId="Heading1">
    <w:name w:val="Heading 1"/>
    <w:basedOn w:val="Heading"/>
    <w:next w:val="TextBody"/>
    <w:qFormat/>
    <w:pPr>
      <w:numPr>
        <w:ilvl w:val="0"/>
        <w:numId w:val="1"/>
      </w:numPr>
      <w:spacing w:before="240" w:after="120"/>
      <w:outlineLvl w:val="0"/>
    </w:pPr>
    <w:rPr>
      <w:rFonts w:ascii="Liberation Serif" w:hAnsi="Liberation Serif" w:eastAsia="NSimSun" w:cs="Lucida Sans"/>
      <w:b/>
      <w:bCs/>
      <w:sz w:val="48"/>
      <w:szCs w:val="48"/>
    </w:rPr>
  </w:style>
  <w:style w:type="paragraph" w:styleId="Heading2">
    <w:name w:val="Heading 2"/>
    <w:basedOn w:val="Heading"/>
    <w:next w:val="TextBody"/>
    <w:qFormat/>
    <w:pPr>
      <w:numPr>
        <w:ilvl w:val="1"/>
        <w:numId w:val="1"/>
      </w:numPr>
      <w:spacing w:before="200" w:after="120"/>
      <w:outlineLvl w:val="1"/>
    </w:pPr>
    <w:rPr>
      <w:rFonts w:ascii="Liberation Serif" w:hAnsi="Liberation Serif" w:eastAsia="NSimSun" w:cs="Lucida Sans"/>
      <w:b/>
      <w:bCs/>
      <w:sz w:val="36"/>
      <w:szCs w:val="36"/>
    </w:rPr>
  </w:style>
  <w:style w:type="paragraph" w:styleId="Heading3">
    <w:name w:val="Heading 3"/>
    <w:basedOn w:val="Heading"/>
    <w:next w:val="TextBody"/>
    <w:qFormat/>
    <w:pPr>
      <w:numPr>
        <w:ilvl w:val="2"/>
        <w:numId w:val="1"/>
      </w:numPr>
      <w:spacing w:before="140" w:after="120"/>
      <w:outlineLvl w:val="2"/>
    </w:pPr>
    <w:rPr>
      <w:rFonts w:ascii="Liberation Serif" w:hAnsi="Liberation Serif" w:eastAsia="NSimSun" w:cs="Lucida Sans"/>
      <w:b/>
      <w:bCs/>
      <w:sz w:val="28"/>
      <w:szCs w:val="28"/>
    </w:rPr>
  </w:style>
  <w:style w:type="paragraph" w:styleId="Heading4">
    <w:name w:val="Heading 4"/>
    <w:basedOn w:val="Heading"/>
    <w:next w:val="TextBody"/>
    <w:qFormat/>
    <w:pPr>
      <w:numPr>
        <w:ilvl w:val="3"/>
        <w:numId w:val="1"/>
      </w:numPr>
      <w:spacing w:before="120" w:after="120"/>
      <w:outlineLvl w:val="3"/>
    </w:pPr>
    <w:rPr>
      <w:rFonts w:ascii="Liberation Serif" w:hAnsi="Liberation Serif" w:eastAsia="NSimSun" w:cs="Lucida Sans"/>
      <w:b/>
      <w:bCs/>
      <w:sz w:val="24"/>
      <w:szCs w:val="24"/>
    </w:rPr>
  </w:style>
  <w:style w:type="character" w:styleId="Bullets">
    <w:name w:val="Bullets"/>
    <w:qFormat/>
    <w:rPr>
      <w:rFonts w:ascii="OpenSymbol" w:hAnsi="OpenSymbol" w:eastAsia="OpenSymbol" w:cs="OpenSymbol"/>
    </w:rPr>
  </w:style>
  <w:style w:type="character" w:styleId="InternetLink">
    <w:name w:val="Hyperlink"/>
    <w:rPr>
      <w:color w:val="000080"/>
      <w:u w:val="single"/>
      <w:lang w:val="zxx" w:eastAsia="zxx" w:bidi="zxx"/>
    </w:rPr>
  </w:style>
  <w:style w:type="character" w:styleId="StrongEmphasis">
    <w:name w:val="Strong Emphasis"/>
    <w:qFormat/>
    <w:rPr>
      <w:b/>
      <w:bCs/>
    </w:rPr>
  </w:style>
  <w:style w:type="character" w:styleId="Emphasis">
    <w:name w:val="Emphasis"/>
    <w:qFormat/>
    <w:rPr>
      <w:i/>
      <w:iCs/>
    </w:rPr>
  </w:style>
  <w:style w:type="character" w:styleId="FootnoteCharacters">
    <w:name w:val="Footnote Characters"/>
    <w:qFormat/>
    <w:rPr>
      <w:vertAlign w:val="superscrip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Quotations">
    <w:name w:val="Quotations"/>
    <w:basedOn w:val="Normal"/>
    <w:qFormat/>
    <w:pPr>
      <w:spacing w:before="0" w:after="283"/>
      <w:ind w:left="567" w:right="567" w:hanging="0"/>
    </w:pPr>
    <w:rPr/>
  </w:style>
  <w:style w:type="paragraph" w:styleId="Footnote">
    <w:name w:val="Footnote Text"/>
    <w:basedOn w:val="Normal"/>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unesdoc.unesco.org/query?q=Author: Puri, B.N.&quot;&amp;sf=sf:*&amp;queryDisplay=Person as author%3A Puri%2C B.N. %5Beditor%5D&quot;" TargetMode="External"/><Relationship Id="rId3" Type="http://schemas.openxmlformats.org/officeDocument/2006/relationships/hyperlink" Target="https://doi.org/10.37536/FITISPos-IJ.2015.2.0.36"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3082</TotalTime>
  <Application>LibreOffice/6.4.1.2$Windows_X86_64 LibreOffice_project/4d224e95b98b138af42a64d84056446d09082932</Application>
  <Pages>22</Pages>
  <Words>5293</Words>
  <Characters>31085</Characters>
  <CharactersWithSpaces>36248</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2016-07-31T04:55:00Z</dcterms:created>
  <dc:creator/>
  <dc:description/>
  <dc:language>en-US</dc:language>
  <cp:lastModifiedBy/>
  <cp:lastPrinted>2024-12-28T23:00:47Z</cp:lastPrinted>
  <dcterms:modified xsi:type="dcterms:W3CDTF">2024-12-29T22:27:15Z</dcterms:modified>
  <cp:revision>102</cp:revision>
  <dc:subject/>
  <dc:title>Conceptions of the Self in the Zhuangzi: Conceptual Metaphor Analysis and Comparative Thought</dc:title>
</cp:coreProperties>
</file>