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99BAC" w14:textId="3605C97A" w:rsidR="00CB0036" w:rsidRDefault="00CB0036" w:rsidP="004B1D80">
      <w:pPr>
        <w:spacing w:after="0" w:line="240" w:lineRule="auto"/>
        <w:rPr>
          <w:rFonts w:ascii="Cambria" w:hAnsi="Cambria"/>
          <w:sz w:val="32"/>
        </w:rPr>
      </w:pPr>
      <w:r>
        <w:rPr>
          <w:rFonts w:ascii="Cambria" w:hAnsi="Cambria"/>
          <w:sz w:val="32"/>
        </w:rPr>
        <w:t>Individual Project Assessment Component 3:</w:t>
      </w:r>
    </w:p>
    <w:p w14:paraId="170F1494" w14:textId="389541A4" w:rsidR="009C169A" w:rsidRDefault="009C169A" w:rsidP="004B1D80">
      <w:pPr>
        <w:spacing w:after="0" w:line="240" w:lineRule="auto"/>
        <w:rPr>
          <w:rFonts w:ascii="Cambria" w:hAnsi="Cambria"/>
          <w:sz w:val="32"/>
        </w:rPr>
      </w:pPr>
    </w:p>
    <w:sdt>
      <w:sdtPr>
        <w:rPr>
          <w:rFonts w:ascii="Cambria" w:eastAsiaTheme="minorHAnsi" w:hAnsi="Cambria" w:cstheme="minorBidi"/>
          <w:color w:val="auto"/>
          <w:sz w:val="22"/>
          <w:szCs w:val="22"/>
          <w:lang w:val="en-GB"/>
        </w:rPr>
        <w:id w:val="-1604250271"/>
        <w:docPartObj>
          <w:docPartGallery w:val="Table of Contents"/>
          <w:docPartUnique/>
        </w:docPartObj>
      </w:sdtPr>
      <w:sdtEndPr>
        <w:rPr>
          <w:b/>
        </w:rPr>
      </w:sdtEndPr>
      <w:sdtContent>
        <w:p w14:paraId="0964514E" w14:textId="7F969DD0" w:rsidR="00AF76B0" w:rsidRPr="00CD3649" w:rsidRDefault="00AF76B0">
          <w:pPr>
            <w:pStyle w:val="TOCHeading"/>
            <w:rPr>
              <w:rFonts w:ascii="Cambria" w:hAnsi="Cambria"/>
            </w:rPr>
          </w:pPr>
          <w:r w:rsidRPr="00CD3649">
            <w:rPr>
              <w:rFonts w:ascii="Cambria" w:hAnsi="Cambria"/>
            </w:rPr>
            <w:t>Table of Contents</w:t>
          </w:r>
        </w:p>
        <w:p w14:paraId="72F7498D" w14:textId="5FB49391" w:rsidR="00CD3649" w:rsidRPr="00CD3649" w:rsidRDefault="00AF76B0" w:rsidP="00CD3649">
          <w:pPr>
            <w:pStyle w:val="TOC1"/>
            <w:rPr>
              <w:b/>
            </w:rPr>
          </w:pPr>
          <w:r w:rsidRPr="00CD3649">
            <w:rPr>
              <w:b/>
            </w:rPr>
            <w:t>Ancient Egyptian Sources with focus on Gender</w:t>
          </w:r>
          <w:r w:rsidRPr="00CD3649">
            <w:rPr>
              <w:b/>
            </w:rPr>
            <w:ptab w:relativeTo="margin" w:alignment="right" w:leader="dot"/>
          </w:r>
          <w:r w:rsidRPr="00CD3649">
            <w:rPr>
              <w:b/>
            </w:rPr>
            <w:t>1</w:t>
          </w:r>
          <w:r w:rsidR="00CD3649">
            <w:t xml:space="preserve"> </w:t>
          </w:r>
          <w:r w:rsidR="007A111D">
            <w:t xml:space="preserve">   </w:t>
          </w:r>
          <w:r w:rsidR="00CD3649" w:rsidRPr="00CD3649">
            <w:t>Bibliography…………………………………………………………………………………………………………………………</w:t>
          </w:r>
          <w:r w:rsidR="00AC0354">
            <w:t>.3</w:t>
          </w:r>
        </w:p>
        <w:p w14:paraId="6E22A610" w14:textId="185C4416" w:rsidR="00AF76B0" w:rsidRPr="00CD3649" w:rsidRDefault="00AF76B0" w:rsidP="00A8560A">
          <w:pPr>
            <w:pStyle w:val="TOC2"/>
            <w:rPr>
              <w:b/>
            </w:rPr>
          </w:pPr>
          <w:r w:rsidRPr="00CD3649">
            <w:rPr>
              <w:b/>
            </w:rPr>
            <w:t>Gender and Inequality in Egypt</w:t>
          </w:r>
          <w:r w:rsidRPr="00CD3649">
            <w:rPr>
              <w:b/>
            </w:rPr>
            <w:ptab w:relativeTo="margin" w:alignment="right" w:leader="dot"/>
          </w:r>
          <w:r w:rsidRPr="00CD3649">
            <w:rPr>
              <w:b/>
            </w:rPr>
            <w:t>4</w:t>
          </w:r>
        </w:p>
        <w:p w14:paraId="6FD47EB8" w14:textId="460E55C0" w:rsidR="004103E9" w:rsidRPr="00CD3649" w:rsidRDefault="00AF76B0" w:rsidP="004103E9">
          <w:pPr>
            <w:pStyle w:val="TOC3"/>
            <w:ind w:left="446"/>
            <w:rPr>
              <w:rFonts w:ascii="Cambria" w:hAnsi="Cambria"/>
            </w:rPr>
          </w:pPr>
          <w:r w:rsidRPr="00CD3649">
            <w:rPr>
              <w:rFonts w:ascii="Cambria" w:hAnsi="Cambria"/>
            </w:rPr>
            <w:t>Introduction</w:t>
          </w:r>
          <w:r w:rsidRPr="00CD3649">
            <w:rPr>
              <w:rFonts w:ascii="Cambria" w:hAnsi="Cambria"/>
            </w:rPr>
            <w:ptab w:relativeTo="margin" w:alignment="right" w:leader="dot"/>
          </w:r>
          <w:r w:rsidRPr="00CD3649">
            <w:rPr>
              <w:rFonts w:ascii="Cambria" w:hAnsi="Cambria"/>
            </w:rPr>
            <w:t>4</w:t>
          </w:r>
        </w:p>
        <w:p w14:paraId="1E52A8CF" w14:textId="3F801FD7" w:rsidR="00AF76B0" w:rsidRPr="00CD3649" w:rsidRDefault="004103E9" w:rsidP="004103E9">
          <w:pPr>
            <w:pStyle w:val="TOC1"/>
          </w:pPr>
          <w:r w:rsidRPr="00CD3649">
            <w:t xml:space="preserve">         Pharaoh, Queens, and Upper Classes</w:t>
          </w:r>
          <w:r w:rsidR="00AF76B0" w:rsidRPr="00CD3649">
            <w:ptab w:relativeTo="margin" w:alignment="right" w:leader="dot"/>
          </w:r>
          <w:r w:rsidR="007A111D">
            <w:t>5</w:t>
          </w:r>
        </w:p>
        <w:p w14:paraId="6422D188" w14:textId="31272932" w:rsidR="00AF76B0" w:rsidRPr="00CD3649" w:rsidRDefault="00A8560A" w:rsidP="00A8560A">
          <w:pPr>
            <w:pStyle w:val="TOC2"/>
          </w:pPr>
          <w:r w:rsidRPr="00CD3649">
            <w:t xml:space="preserve">         Marriage, Motherhood, and Equality</w:t>
          </w:r>
          <w:r w:rsidR="00AF76B0" w:rsidRPr="00CD3649">
            <w:ptab w:relativeTo="margin" w:alignment="right" w:leader="dot"/>
          </w:r>
          <w:r w:rsidR="00D462DE">
            <w:t>6</w:t>
          </w:r>
        </w:p>
        <w:p w14:paraId="3B61D6C5" w14:textId="3B205E6C" w:rsidR="008F3DBA" w:rsidRPr="00CD3649" w:rsidRDefault="008F3DBA">
          <w:pPr>
            <w:pStyle w:val="TOC3"/>
            <w:ind w:left="446"/>
            <w:rPr>
              <w:rFonts w:ascii="Cambria" w:hAnsi="Cambria"/>
            </w:rPr>
          </w:pPr>
          <w:r w:rsidRPr="00CD3649">
            <w:rPr>
              <w:rFonts w:ascii="Cambria" w:hAnsi="Cambria"/>
            </w:rPr>
            <w:t>Roles in Society</w:t>
          </w:r>
          <w:r w:rsidR="00AF76B0" w:rsidRPr="00CD3649">
            <w:rPr>
              <w:rFonts w:ascii="Cambria" w:hAnsi="Cambria"/>
            </w:rPr>
            <w:ptab w:relativeTo="margin" w:alignment="right" w:leader="dot"/>
          </w:r>
          <w:r w:rsidR="00745F00">
            <w:rPr>
              <w:rFonts w:ascii="Cambria" w:hAnsi="Cambria"/>
            </w:rPr>
            <w:t>8</w:t>
          </w:r>
          <w:bookmarkStart w:id="0" w:name="_GoBack"/>
          <w:bookmarkEnd w:id="0"/>
        </w:p>
        <w:p w14:paraId="1A7217B6" w14:textId="2BB14B2F" w:rsidR="00CD3649" w:rsidRDefault="008F3DBA" w:rsidP="008F3DBA">
          <w:pPr>
            <w:rPr>
              <w:rFonts w:ascii="Cambria" w:hAnsi="Cambria"/>
              <w:lang w:val="en-US"/>
            </w:rPr>
          </w:pPr>
          <w:r w:rsidRPr="00CD3649">
            <w:rPr>
              <w:rFonts w:ascii="Cambria" w:hAnsi="Cambria"/>
              <w:lang w:val="en-US"/>
            </w:rPr>
            <w:t xml:space="preserve">         Conclusion</w:t>
          </w:r>
          <w:r w:rsidR="00CD3649">
            <w:rPr>
              <w:rFonts w:ascii="Cambria" w:hAnsi="Cambria"/>
              <w:lang w:val="en-US"/>
            </w:rPr>
            <w:t>……………………………………………………………………………………………………………………...</w:t>
          </w:r>
          <w:r w:rsidR="00790EEB">
            <w:rPr>
              <w:rFonts w:ascii="Cambria" w:hAnsi="Cambria"/>
              <w:lang w:val="en-US"/>
            </w:rPr>
            <w:t>9</w:t>
          </w:r>
        </w:p>
        <w:p w14:paraId="52BBD10D" w14:textId="173C7770" w:rsidR="00CD3649" w:rsidRDefault="00CD3649" w:rsidP="008F3DBA">
          <w:pPr>
            <w:rPr>
              <w:rFonts w:ascii="Cambria" w:hAnsi="Cambria"/>
              <w:lang w:val="en-US"/>
            </w:rPr>
          </w:pPr>
          <w:r>
            <w:rPr>
              <w:rFonts w:ascii="Cambria" w:hAnsi="Cambria"/>
              <w:lang w:val="en-US"/>
            </w:rPr>
            <w:t xml:space="preserve">      </w:t>
          </w:r>
          <w:r w:rsidR="00A35ED4">
            <w:rPr>
              <w:rFonts w:ascii="Cambria" w:hAnsi="Cambria"/>
              <w:lang w:val="en-US"/>
            </w:rPr>
            <w:t xml:space="preserve">  </w:t>
          </w:r>
          <w:r>
            <w:rPr>
              <w:rFonts w:ascii="Cambria" w:hAnsi="Cambria"/>
              <w:lang w:val="en-US"/>
            </w:rPr>
            <w:t>Bibliography………………………………………………………………………………………………………………….</w:t>
          </w:r>
          <w:r w:rsidR="00A35ED4">
            <w:rPr>
              <w:rFonts w:ascii="Cambria" w:hAnsi="Cambria"/>
              <w:lang w:val="en-US"/>
            </w:rPr>
            <w:t>1</w:t>
          </w:r>
          <w:r w:rsidR="00B556DD">
            <w:rPr>
              <w:rFonts w:ascii="Cambria" w:hAnsi="Cambria"/>
              <w:lang w:val="en-US"/>
            </w:rPr>
            <w:t>0</w:t>
          </w:r>
        </w:p>
        <w:p w14:paraId="26CD416C" w14:textId="7C6A0A5B" w:rsidR="00AF76B0" w:rsidRPr="00CD3649" w:rsidRDefault="00CD3649" w:rsidP="008F3DBA">
          <w:pPr>
            <w:rPr>
              <w:rFonts w:ascii="Cambria" w:hAnsi="Cambria"/>
              <w:b/>
              <w:lang w:val="en-US"/>
            </w:rPr>
          </w:pPr>
          <w:r w:rsidRPr="00CD3649">
            <w:rPr>
              <w:rFonts w:ascii="Cambria" w:hAnsi="Cambria"/>
              <w:b/>
              <w:lang w:val="en-US"/>
            </w:rPr>
            <w:t>Annotated Bibliography</w:t>
          </w:r>
          <w:r>
            <w:rPr>
              <w:rFonts w:ascii="Cambria" w:hAnsi="Cambria"/>
              <w:b/>
              <w:lang w:val="en-US"/>
            </w:rPr>
            <w:t>…………………………………………………………………………………………………</w:t>
          </w:r>
          <w:r w:rsidR="000424CC">
            <w:rPr>
              <w:rFonts w:ascii="Cambria" w:hAnsi="Cambria"/>
              <w:b/>
              <w:lang w:val="en-US"/>
            </w:rPr>
            <w:t>11</w:t>
          </w:r>
        </w:p>
      </w:sdtContent>
    </w:sdt>
    <w:p w14:paraId="741B7447" w14:textId="74475BE0" w:rsidR="00CB0036" w:rsidRDefault="000700C5" w:rsidP="004B1D80">
      <w:pPr>
        <w:spacing w:after="0" w:line="240" w:lineRule="auto"/>
        <w:rPr>
          <w:rFonts w:ascii="Cambria" w:hAnsi="Cambria"/>
          <w:sz w:val="32"/>
        </w:rPr>
      </w:pPr>
      <w:r>
        <w:rPr>
          <w:rFonts w:ascii="Cambria" w:hAnsi="Cambria"/>
          <w:sz w:val="32"/>
        </w:rPr>
        <w:t xml:space="preserve">Ancient Egyptian </w:t>
      </w:r>
      <w:r w:rsidR="007060FA">
        <w:rPr>
          <w:rFonts w:ascii="Cambria" w:hAnsi="Cambria"/>
          <w:sz w:val="32"/>
        </w:rPr>
        <w:t>S</w:t>
      </w:r>
      <w:r>
        <w:rPr>
          <w:rFonts w:ascii="Cambria" w:hAnsi="Cambria"/>
          <w:sz w:val="32"/>
        </w:rPr>
        <w:t>o</w:t>
      </w:r>
      <w:r w:rsidR="007060FA">
        <w:rPr>
          <w:rFonts w:ascii="Cambria" w:hAnsi="Cambria"/>
          <w:sz w:val="32"/>
        </w:rPr>
        <w:t>u</w:t>
      </w:r>
      <w:r>
        <w:rPr>
          <w:rFonts w:ascii="Cambria" w:hAnsi="Cambria"/>
          <w:sz w:val="32"/>
        </w:rPr>
        <w:t>rces with focus on Gender</w:t>
      </w:r>
    </w:p>
    <w:p w14:paraId="65F8430B" w14:textId="77777777" w:rsidR="000700C5" w:rsidRDefault="000700C5" w:rsidP="004B1D80">
      <w:pPr>
        <w:spacing w:after="0" w:line="240" w:lineRule="auto"/>
        <w:rPr>
          <w:rFonts w:ascii="Cambria" w:hAnsi="Cambria"/>
          <w:sz w:val="24"/>
        </w:rPr>
      </w:pPr>
    </w:p>
    <w:p w14:paraId="486B60E5" w14:textId="56A2F2C3" w:rsidR="000700C5" w:rsidRPr="000700C5" w:rsidRDefault="000700C5" w:rsidP="004B1D80">
      <w:pPr>
        <w:spacing w:after="0" w:line="240" w:lineRule="auto"/>
        <w:rPr>
          <w:rFonts w:ascii="Cambria" w:hAnsi="Cambria"/>
          <w:sz w:val="24"/>
        </w:rPr>
      </w:pPr>
      <w:r>
        <w:rPr>
          <w:rFonts w:ascii="Cambria" w:hAnsi="Cambria"/>
          <w:noProof/>
          <w:sz w:val="24"/>
        </w:rPr>
        <w:drawing>
          <wp:inline distT="0" distB="0" distL="0" distR="0" wp14:anchorId="08C6A65D" wp14:editId="1694F97B">
            <wp:extent cx="2133600" cy="43040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3600" cy="4304030"/>
                    </a:xfrm>
                    <a:prstGeom prst="rect">
                      <a:avLst/>
                    </a:prstGeom>
                    <a:noFill/>
                  </pic:spPr>
                </pic:pic>
              </a:graphicData>
            </a:graphic>
          </wp:inline>
        </w:drawing>
      </w:r>
      <w:r>
        <w:rPr>
          <w:rFonts w:ascii="Cambria" w:hAnsi="Cambria"/>
          <w:sz w:val="24"/>
        </w:rPr>
        <w:br/>
      </w:r>
      <w:r w:rsidRPr="000700C5">
        <w:rPr>
          <w:rFonts w:ascii="Cambria" w:hAnsi="Cambria"/>
          <w:sz w:val="24"/>
        </w:rPr>
        <w:t>Cosmetic pot carried by a naked adolescent girl wearing Bes amulet (Robins, 1993)</w:t>
      </w:r>
    </w:p>
    <w:p w14:paraId="5A711B4A" w14:textId="77777777" w:rsidR="000700C5" w:rsidRPr="000700C5" w:rsidRDefault="000700C5" w:rsidP="004B1D80">
      <w:pPr>
        <w:spacing w:after="0" w:line="240" w:lineRule="auto"/>
        <w:rPr>
          <w:rFonts w:ascii="Cambria" w:hAnsi="Cambria"/>
          <w:sz w:val="24"/>
        </w:rPr>
      </w:pPr>
    </w:p>
    <w:p w14:paraId="4030C784" w14:textId="77777777" w:rsidR="000700C5" w:rsidRPr="000700C5" w:rsidRDefault="000700C5" w:rsidP="004B1D80">
      <w:pPr>
        <w:spacing w:after="0" w:line="240" w:lineRule="auto"/>
        <w:rPr>
          <w:rFonts w:ascii="Cambria" w:hAnsi="Cambria"/>
          <w:sz w:val="24"/>
        </w:rPr>
      </w:pPr>
      <w:r w:rsidRPr="000700C5">
        <w:rPr>
          <w:rFonts w:ascii="Cambria" w:hAnsi="Cambria"/>
          <w:sz w:val="24"/>
        </w:rPr>
        <w:t xml:space="preserve">The motif of a naked adolescent girl often appears as a piece of female imagery in the art of the new Kingdom. Typically, as seen above, the only adornment on her is jewellery </w:t>
      </w:r>
      <w:r w:rsidRPr="000700C5">
        <w:rPr>
          <w:rFonts w:ascii="Cambria" w:hAnsi="Cambria"/>
          <w:sz w:val="24"/>
        </w:rPr>
        <w:lastRenderedPageBreak/>
        <w:t>and a girdle, often accompanied by an elaborate hairstyle- clearly not an element in this statue (Robins, 1993).</w:t>
      </w:r>
    </w:p>
    <w:p w14:paraId="2A62E06E" w14:textId="77777777" w:rsidR="000700C5" w:rsidRPr="000700C5" w:rsidRDefault="000700C5" w:rsidP="004B1D80">
      <w:pPr>
        <w:spacing w:after="0" w:line="240" w:lineRule="auto"/>
        <w:rPr>
          <w:rFonts w:ascii="Cambria" w:hAnsi="Cambria"/>
          <w:sz w:val="24"/>
        </w:rPr>
      </w:pPr>
      <w:r w:rsidRPr="000700C5">
        <w:rPr>
          <w:rFonts w:ascii="Cambria" w:hAnsi="Cambria"/>
          <w:sz w:val="24"/>
        </w:rPr>
        <w:t xml:space="preserve">This sort of imagery has been found in the Tomb Chapels of the second half of the Eighteenth Dynasty in representation of musicians, dancers and serving girls (Robins, 1993) it is likely that the image used here is used in the frame of a servant girl, judging by the pot she carries and the lack of general accoutrement. </w:t>
      </w:r>
    </w:p>
    <w:p w14:paraId="2E48AEC2" w14:textId="77777777" w:rsidR="000700C5" w:rsidRPr="000700C5" w:rsidRDefault="000700C5" w:rsidP="004B1D80">
      <w:pPr>
        <w:spacing w:after="0" w:line="240" w:lineRule="auto"/>
        <w:rPr>
          <w:rFonts w:ascii="Cambria" w:hAnsi="Cambria"/>
          <w:sz w:val="24"/>
        </w:rPr>
      </w:pPr>
    </w:p>
    <w:p w14:paraId="3565174D" w14:textId="77777777" w:rsidR="000700C5" w:rsidRPr="000700C5" w:rsidRDefault="000700C5" w:rsidP="004B1D80">
      <w:pPr>
        <w:spacing w:after="0" w:line="240" w:lineRule="auto"/>
        <w:rPr>
          <w:rFonts w:ascii="Cambria" w:hAnsi="Cambria"/>
          <w:sz w:val="24"/>
        </w:rPr>
      </w:pPr>
      <w:r w:rsidRPr="000700C5">
        <w:rPr>
          <w:rFonts w:ascii="Cambria" w:hAnsi="Cambria"/>
          <w:sz w:val="24"/>
        </w:rPr>
        <w:t xml:space="preserve">Regardless of the role, she is intended to portray, her bareness could indicate sexual connotations. If she was a more elaborate figure, and not holding the pot, she could be taken for a statue of a dancer. The issues with the clear sexuality shown come as a result of our own preconceptions of what is appropriate. Her state of nakedness- particularly the lack of breast coverage- is not one we would younger girl, not an adolescent, since puberty would not yet have struck a younger girl, meaning no breasts to cover in modesty. The immodesty and overall image of the female gender can be taken in association with the Goddess Hathor, patron of sexuality in association with music and dance. The pendant on the statue, as indicated by the name, also links the art to Bes, another God associated with sexuality (Robins, 1993).  </w:t>
      </w:r>
    </w:p>
    <w:p w14:paraId="49927D8B" w14:textId="44481448" w:rsidR="000700C5" w:rsidRPr="000700C5" w:rsidRDefault="000700C5" w:rsidP="004B1D80">
      <w:pPr>
        <w:spacing w:after="0" w:line="240" w:lineRule="auto"/>
        <w:rPr>
          <w:rFonts w:ascii="Cambria" w:hAnsi="Cambria"/>
          <w:sz w:val="24"/>
        </w:rPr>
      </w:pPr>
      <w:r w:rsidRPr="000700C5">
        <w:rPr>
          <w:rFonts w:ascii="Cambria" w:hAnsi="Cambria"/>
          <w:sz w:val="24"/>
        </w:rPr>
        <w:t>A point of interest in association with gender and attitudes towards females is that there is no male counterpart to the image of a naked girl. Males are depicted in art- tomb scenes, etc-, though are generally older and more covered (Robins, 1993). The way the girl is portrayed in comparison to the male gender does on some level indicate a measure of sexism, at least in terms of the modern comprehension of it. Her lower-class likely has an impact on this, as less is expected of the lower classes, so less will be seen- or more, in terms of her state of coverage and overall look.</w:t>
      </w:r>
    </w:p>
    <w:p w14:paraId="06A664BD" w14:textId="1C3EE826" w:rsidR="000700C5" w:rsidRDefault="000700C5" w:rsidP="004B1D80">
      <w:pPr>
        <w:spacing w:after="0" w:line="240" w:lineRule="auto"/>
        <w:rPr>
          <w:rFonts w:ascii="Cambria" w:hAnsi="Cambria"/>
          <w:sz w:val="24"/>
        </w:rPr>
      </w:pPr>
      <w:r w:rsidRPr="000700C5">
        <w:rPr>
          <w:rFonts w:ascii="Cambria" w:hAnsi="Cambria"/>
          <w:sz w:val="24"/>
        </w:rPr>
        <w:t>Despite the issues the modern world would have with the appearance of this girl, it must be noted that her role- as hypothesized- does fit the fact that women had more passive roles in Egypt than the men, who took the more active roles (Anon, 2016).</w:t>
      </w:r>
    </w:p>
    <w:p w14:paraId="345CB30D" w14:textId="7FA53014" w:rsidR="000700C5" w:rsidRDefault="000700C5" w:rsidP="004B1D80">
      <w:pPr>
        <w:spacing w:after="0" w:line="240" w:lineRule="auto"/>
        <w:rPr>
          <w:rFonts w:ascii="Cambria" w:hAnsi="Cambria"/>
          <w:sz w:val="24"/>
        </w:rPr>
      </w:pPr>
    </w:p>
    <w:p w14:paraId="72BCF5AD" w14:textId="4813B38D" w:rsidR="00A83516" w:rsidRDefault="00A83516" w:rsidP="004B1D80">
      <w:pPr>
        <w:spacing w:after="0" w:line="240" w:lineRule="auto"/>
        <w:rPr>
          <w:rFonts w:ascii="Cambria" w:hAnsi="Cambria"/>
          <w:sz w:val="24"/>
        </w:rPr>
      </w:pPr>
      <w:r>
        <w:rPr>
          <w:rFonts w:ascii="Cambria" w:hAnsi="Cambria"/>
          <w:noProof/>
          <w:sz w:val="24"/>
        </w:rPr>
        <w:drawing>
          <wp:inline distT="0" distB="0" distL="0" distR="0" wp14:anchorId="51F24139" wp14:editId="0DC85227">
            <wp:extent cx="4718685" cy="314579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8685" cy="3145790"/>
                    </a:xfrm>
                    <a:prstGeom prst="rect">
                      <a:avLst/>
                    </a:prstGeom>
                    <a:noFill/>
                  </pic:spPr>
                </pic:pic>
              </a:graphicData>
            </a:graphic>
          </wp:inline>
        </w:drawing>
      </w:r>
      <w:r>
        <w:rPr>
          <w:rFonts w:ascii="Cambria" w:hAnsi="Cambria"/>
          <w:sz w:val="24"/>
        </w:rPr>
        <w:br/>
      </w:r>
      <w:r w:rsidRPr="00A83516">
        <w:rPr>
          <w:rFonts w:ascii="Cambria" w:hAnsi="Cambria"/>
          <w:sz w:val="24"/>
        </w:rPr>
        <w:t>Red Sandstone relief block from ‘Red Chapel’ of Hatshepsut at Karnak Temple, 18th Dynasty (Wilkinson, 2007)</w:t>
      </w:r>
    </w:p>
    <w:p w14:paraId="36DC02E3" w14:textId="77777777" w:rsidR="004B1D80" w:rsidRPr="00A83516" w:rsidRDefault="004B1D80" w:rsidP="004B1D80">
      <w:pPr>
        <w:spacing w:after="0" w:line="240" w:lineRule="auto"/>
        <w:rPr>
          <w:rFonts w:ascii="Cambria" w:hAnsi="Cambria"/>
          <w:sz w:val="24"/>
        </w:rPr>
      </w:pPr>
    </w:p>
    <w:p w14:paraId="5629F46B" w14:textId="77777777" w:rsidR="00A83516" w:rsidRPr="00A83516" w:rsidRDefault="00A83516" w:rsidP="004B1D80">
      <w:pPr>
        <w:spacing w:after="0" w:line="240" w:lineRule="auto"/>
        <w:rPr>
          <w:rFonts w:ascii="Cambria" w:hAnsi="Cambria"/>
          <w:sz w:val="24"/>
        </w:rPr>
      </w:pPr>
      <w:r w:rsidRPr="00A83516">
        <w:rPr>
          <w:rFonts w:ascii="Cambria" w:hAnsi="Cambria"/>
          <w:sz w:val="24"/>
        </w:rPr>
        <w:lastRenderedPageBreak/>
        <w:t xml:space="preserve">In this relief, Hatshepsut is shown, in traditional Royal clothing, running with the sacred Apis Bull in an ancient ritual of Kingship (Wilkinson, 2007). </w:t>
      </w:r>
    </w:p>
    <w:p w14:paraId="22928F67" w14:textId="77777777" w:rsidR="00A83516" w:rsidRPr="00A83516" w:rsidRDefault="00A83516" w:rsidP="004B1D80">
      <w:pPr>
        <w:spacing w:after="0" w:line="240" w:lineRule="auto"/>
        <w:rPr>
          <w:rFonts w:ascii="Cambria" w:hAnsi="Cambria"/>
          <w:sz w:val="24"/>
        </w:rPr>
      </w:pPr>
      <w:r w:rsidRPr="00A83516">
        <w:rPr>
          <w:rFonts w:ascii="Cambria" w:hAnsi="Cambria"/>
          <w:sz w:val="24"/>
        </w:rPr>
        <w:t xml:space="preserve">The Apis bull holds an interesting point regarding the presentation of gender and masculinity in that this is clearly a strong and powerful male, and fertility as a new bull would be chosen by certain women or female gods (Isis), his fertility proved before he ran with Pharaoh as a good sign for the rule (Anon, 2016). </w:t>
      </w:r>
    </w:p>
    <w:p w14:paraId="6B9436C9" w14:textId="77777777" w:rsidR="00A83516" w:rsidRPr="00A83516" w:rsidRDefault="00A83516" w:rsidP="004B1D80">
      <w:pPr>
        <w:spacing w:after="0" w:line="240" w:lineRule="auto"/>
        <w:rPr>
          <w:rFonts w:ascii="Cambria" w:hAnsi="Cambria"/>
          <w:sz w:val="24"/>
        </w:rPr>
      </w:pPr>
      <w:r w:rsidRPr="00A83516">
        <w:rPr>
          <w:rFonts w:ascii="Cambria" w:hAnsi="Cambria"/>
          <w:sz w:val="24"/>
        </w:rPr>
        <w:t xml:space="preserve">Despite the way the drawing of her portrays her as clearly male, an understanding of Hieroglyphs denotes the text to put her gender as female. This was a propaganda move by Hatshepsut and her advisors in order to help her be more palatable to the general populace (Wilkinson, 2007). </w:t>
      </w:r>
    </w:p>
    <w:p w14:paraId="3006AB17" w14:textId="77777777" w:rsidR="00A83516" w:rsidRPr="00A83516" w:rsidRDefault="00A83516" w:rsidP="004B1D80">
      <w:pPr>
        <w:spacing w:after="0" w:line="240" w:lineRule="auto"/>
        <w:rPr>
          <w:rFonts w:ascii="Cambria" w:hAnsi="Cambria"/>
          <w:sz w:val="24"/>
        </w:rPr>
      </w:pPr>
      <w:r w:rsidRPr="00A83516">
        <w:rPr>
          <w:rFonts w:ascii="Cambria" w:hAnsi="Cambria"/>
          <w:sz w:val="24"/>
        </w:rPr>
        <w:t>That the portrayal of Hatshepsut as a male was an intended move by the woman herself is very interesting. This indicates that Hatshepsut is well aware of the boundaries between male and female (particularly that whilst there have been women in the highest position of power, Pharaoh is male in deference to Pharaoh in the role as the manifestation of Horus on Earth and as a conduit and blessed to Ra) (Anon, 2016) and is aware that presenting herself as female will do her no favours with the populace, leading her to play on the image of Pharaoh as it is typified. This also correlates, again with the fact that women had more passive roles in Egypt, not an active male role like Pharaoh.</w:t>
      </w:r>
    </w:p>
    <w:p w14:paraId="0ADE64C1" w14:textId="31679010" w:rsidR="00A83516" w:rsidRDefault="00A83516" w:rsidP="004B1D80">
      <w:pPr>
        <w:spacing w:after="0" w:line="240" w:lineRule="auto"/>
        <w:rPr>
          <w:rFonts w:ascii="Cambria" w:hAnsi="Cambria"/>
          <w:sz w:val="24"/>
        </w:rPr>
      </w:pPr>
      <w:r w:rsidRPr="00A83516">
        <w:rPr>
          <w:rFonts w:ascii="Cambria" w:hAnsi="Cambria"/>
          <w:sz w:val="24"/>
        </w:rPr>
        <w:t>The starkness of this image is typical to the Egyptians, but the fact that there is no colour to it either indicates that the piece was created for a lesser area where the paint would not be appropriate (this would be highly unusual typically, as most of Egyptian wall art is painted) or the paint has eroded over time. If the erosion of the paint was what occurred however, there would likely be some indicator as to this in the depth and details (such as basic colouring) on the stone.</w:t>
      </w:r>
    </w:p>
    <w:p w14:paraId="6D0E883B" w14:textId="77777777" w:rsidR="004B1D80" w:rsidRPr="00A83516" w:rsidRDefault="004B1D80" w:rsidP="004B1D80">
      <w:pPr>
        <w:spacing w:after="0" w:line="240" w:lineRule="auto"/>
        <w:rPr>
          <w:rFonts w:ascii="Cambria" w:hAnsi="Cambria"/>
          <w:sz w:val="24"/>
        </w:rPr>
      </w:pPr>
    </w:p>
    <w:p w14:paraId="0D3825A9" w14:textId="4C118133" w:rsidR="004B1D80" w:rsidRPr="004B1D80" w:rsidRDefault="004B1D80" w:rsidP="004B1D80">
      <w:pPr>
        <w:spacing w:after="0" w:line="240" w:lineRule="auto"/>
        <w:rPr>
          <w:rFonts w:ascii="Cambria" w:hAnsi="Cambria"/>
          <w:b/>
          <w:sz w:val="28"/>
        </w:rPr>
      </w:pPr>
      <w:r w:rsidRPr="004B1D80">
        <w:rPr>
          <w:rFonts w:ascii="Cambria" w:hAnsi="Cambria"/>
          <w:b/>
          <w:sz w:val="28"/>
        </w:rPr>
        <w:t>Bibliography:</w:t>
      </w:r>
    </w:p>
    <w:p w14:paraId="0F565483" w14:textId="618D3824" w:rsidR="004B1D80" w:rsidRDefault="004B1D80" w:rsidP="004B1D80">
      <w:pPr>
        <w:spacing w:after="0" w:line="240" w:lineRule="auto"/>
        <w:rPr>
          <w:rFonts w:ascii="Cambria" w:hAnsi="Cambria"/>
          <w:i/>
          <w:sz w:val="24"/>
        </w:rPr>
      </w:pPr>
      <w:r w:rsidRPr="004B1D80">
        <w:rPr>
          <w:rFonts w:ascii="Cambria" w:hAnsi="Cambria"/>
          <w:sz w:val="24"/>
        </w:rPr>
        <w:t xml:space="preserve">Anon, 2016. </w:t>
      </w:r>
      <w:r w:rsidRPr="004B1D80">
        <w:rPr>
          <w:rFonts w:ascii="Cambria" w:hAnsi="Cambria"/>
          <w:i/>
          <w:sz w:val="24"/>
        </w:rPr>
        <w:t>Near Eastern Archaeology 79:3. Gender in Ancient Egypt: Norms Ambiguities, and Sensualities.</w:t>
      </w:r>
    </w:p>
    <w:p w14:paraId="01AFAEE6" w14:textId="77777777" w:rsidR="004B1D80" w:rsidRPr="004B1D80" w:rsidRDefault="004B1D80" w:rsidP="004B1D80">
      <w:pPr>
        <w:spacing w:after="0" w:line="240" w:lineRule="auto"/>
        <w:rPr>
          <w:rFonts w:ascii="Cambria" w:hAnsi="Cambria"/>
          <w:i/>
          <w:sz w:val="24"/>
        </w:rPr>
      </w:pPr>
    </w:p>
    <w:p w14:paraId="7DF4D038" w14:textId="77777777" w:rsidR="004B1D80" w:rsidRPr="004B1D80" w:rsidRDefault="004B1D80" w:rsidP="004B1D80">
      <w:pPr>
        <w:spacing w:after="0" w:line="240" w:lineRule="auto"/>
        <w:rPr>
          <w:rFonts w:ascii="Cambria" w:hAnsi="Cambria"/>
          <w:sz w:val="24"/>
        </w:rPr>
      </w:pPr>
      <w:r w:rsidRPr="004B1D80">
        <w:rPr>
          <w:rFonts w:ascii="Cambria" w:hAnsi="Cambria"/>
          <w:sz w:val="24"/>
        </w:rPr>
        <w:t xml:space="preserve">Robins, G., 1993. </w:t>
      </w:r>
      <w:r w:rsidRPr="004B1D80">
        <w:rPr>
          <w:rFonts w:ascii="Cambria" w:hAnsi="Cambria"/>
          <w:i/>
          <w:iCs/>
          <w:sz w:val="24"/>
        </w:rPr>
        <w:t>Women in ancient Egypt</w:t>
      </w:r>
      <w:r w:rsidRPr="004B1D80">
        <w:rPr>
          <w:rFonts w:ascii="Cambria" w:hAnsi="Cambria"/>
          <w:sz w:val="24"/>
        </w:rPr>
        <w:t xml:space="preserve">, Cambridge, MA: Harvard Univ. Press. </w:t>
      </w:r>
    </w:p>
    <w:p w14:paraId="738EB91F" w14:textId="4BD55DA9" w:rsidR="004B1D80" w:rsidRDefault="004B1D80" w:rsidP="004B1D80">
      <w:pPr>
        <w:spacing w:after="0" w:line="240" w:lineRule="auto"/>
        <w:rPr>
          <w:rFonts w:ascii="Cambria" w:hAnsi="Cambria"/>
          <w:sz w:val="24"/>
        </w:rPr>
      </w:pPr>
      <w:proofErr w:type="spellStart"/>
      <w:r w:rsidRPr="004B1D80">
        <w:rPr>
          <w:rFonts w:ascii="Cambria" w:hAnsi="Cambria"/>
          <w:sz w:val="24"/>
        </w:rPr>
        <w:t>pgs</w:t>
      </w:r>
      <w:proofErr w:type="spellEnd"/>
      <w:r w:rsidRPr="004B1D80">
        <w:rPr>
          <w:rFonts w:ascii="Cambria" w:hAnsi="Cambria"/>
          <w:sz w:val="24"/>
        </w:rPr>
        <w:t xml:space="preserve"> 184-186</w:t>
      </w:r>
    </w:p>
    <w:p w14:paraId="5376E766" w14:textId="77777777" w:rsidR="004B1D80" w:rsidRPr="004B1D80" w:rsidRDefault="004B1D80" w:rsidP="004B1D80">
      <w:pPr>
        <w:spacing w:after="0" w:line="240" w:lineRule="auto"/>
        <w:rPr>
          <w:rFonts w:ascii="Cambria" w:hAnsi="Cambria"/>
          <w:sz w:val="24"/>
        </w:rPr>
      </w:pPr>
    </w:p>
    <w:p w14:paraId="4560C901" w14:textId="77777777" w:rsidR="004B1D80" w:rsidRPr="004B1D80" w:rsidRDefault="004B1D80" w:rsidP="004B1D80">
      <w:pPr>
        <w:spacing w:after="0" w:line="240" w:lineRule="auto"/>
        <w:rPr>
          <w:rFonts w:ascii="Cambria" w:hAnsi="Cambria"/>
          <w:sz w:val="24"/>
        </w:rPr>
      </w:pPr>
      <w:r w:rsidRPr="004B1D80">
        <w:rPr>
          <w:rFonts w:ascii="Cambria" w:hAnsi="Cambria"/>
          <w:sz w:val="24"/>
        </w:rPr>
        <w:t xml:space="preserve">Wilkinson, T.A.H., 2007. </w:t>
      </w:r>
      <w:r w:rsidRPr="004B1D80">
        <w:rPr>
          <w:rFonts w:ascii="Cambria" w:hAnsi="Cambria"/>
          <w:i/>
          <w:iCs/>
          <w:sz w:val="24"/>
        </w:rPr>
        <w:t>Lives of the ancient Egyptians</w:t>
      </w:r>
      <w:r w:rsidRPr="004B1D80">
        <w:rPr>
          <w:rFonts w:ascii="Cambria" w:hAnsi="Cambria"/>
          <w:sz w:val="24"/>
        </w:rPr>
        <w:t xml:space="preserve">, New York, NY: Thames &amp; Hudson. </w:t>
      </w:r>
    </w:p>
    <w:p w14:paraId="2D0C1730" w14:textId="77777777" w:rsidR="004B1D80" w:rsidRPr="004B1D80" w:rsidRDefault="004B1D80" w:rsidP="004B1D80">
      <w:pPr>
        <w:spacing w:after="0" w:line="240" w:lineRule="auto"/>
        <w:rPr>
          <w:rFonts w:ascii="Cambria" w:hAnsi="Cambria"/>
          <w:sz w:val="24"/>
        </w:rPr>
      </w:pPr>
      <w:r w:rsidRPr="004B1D80">
        <w:rPr>
          <w:rFonts w:ascii="Cambria" w:hAnsi="Cambria"/>
          <w:sz w:val="24"/>
        </w:rPr>
        <w:t>Chapter 42: Hatshepsut the female Pharaoh</w:t>
      </w:r>
    </w:p>
    <w:p w14:paraId="5BEB4C76" w14:textId="77777777" w:rsidR="004B1D80" w:rsidRPr="004B1D80" w:rsidRDefault="004B1D80" w:rsidP="004B1D80">
      <w:pPr>
        <w:spacing w:after="0" w:line="240" w:lineRule="auto"/>
        <w:rPr>
          <w:rFonts w:ascii="Cambria" w:hAnsi="Cambria"/>
          <w:sz w:val="24"/>
        </w:rPr>
      </w:pPr>
    </w:p>
    <w:p w14:paraId="6CE12647" w14:textId="77777777" w:rsidR="004B1D80" w:rsidRPr="004B1D80" w:rsidRDefault="004B1D80" w:rsidP="004B1D80">
      <w:pPr>
        <w:spacing w:after="0" w:line="240" w:lineRule="auto"/>
        <w:rPr>
          <w:rFonts w:ascii="Cambria" w:hAnsi="Cambria"/>
          <w:sz w:val="24"/>
        </w:rPr>
      </w:pPr>
    </w:p>
    <w:p w14:paraId="148662B6" w14:textId="77777777" w:rsidR="004B1D80" w:rsidRPr="004B1D80" w:rsidRDefault="004B1D80" w:rsidP="004B1D80">
      <w:pPr>
        <w:spacing w:after="0" w:line="240" w:lineRule="auto"/>
        <w:rPr>
          <w:rFonts w:ascii="Cambria" w:hAnsi="Cambria"/>
          <w:sz w:val="28"/>
        </w:rPr>
      </w:pPr>
    </w:p>
    <w:p w14:paraId="0285AFC5" w14:textId="77777777" w:rsidR="004B1D80" w:rsidRPr="004B1D80" w:rsidRDefault="004B1D80" w:rsidP="004B1D80">
      <w:pPr>
        <w:spacing w:after="0" w:line="240" w:lineRule="auto"/>
        <w:rPr>
          <w:rFonts w:ascii="Cambria" w:hAnsi="Cambria"/>
          <w:b/>
          <w:sz w:val="28"/>
        </w:rPr>
      </w:pPr>
      <w:r w:rsidRPr="004B1D80">
        <w:rPr>
          <w:rFonts w:ascii="Cambria" w:hAnsi="Cambria"/>
          <w:b/>
          <w:sz w:val="28"/>
        </w:rPr>
        <w:t>Word Count: 750</w:t>
      </w:r>
    </w:p>
    <w:p w14:paraId="6B5B5F1C" w14:textId="0BE4815D" w:rsidR="00A83516" w:rsidRDefault="00A83516" w:rsidP="000700C5">
      <w:pPr>
        <w:rPr>
          <w:rFonts w:ascii="Cambria" w:hAnsi="Cambria"/>
          <w:sz w:val="24"/>
        </w:rPr>
      </w:pPr>
    </w:p>
    <w:p w14:paraId="584371E0" w14:textId="2E7474D8" w:rsidR="00BD7B22" w:rsidRDefault="00BD7B22" w:rsidP="000700C5">
      <w:pPr>
        <w:rPr>
          <w:rFonts w:ascii="Cambria" w:hAnsi="Cambria"/>
          <w:sz w:val="24"/>
        </w:rPr>
      </w:pPr>
    </w:p>
    <w:p w14:paraId="44B34D79" w14:textId="2DAFEDFB" w:rsidR="00BD7B22" w:rsidRDefault="00BD7B22" w:rsidP="000700C5">
      <w:pPr>
        <w:rPr>
          <w:rFonts w:ascii="Cambria" w:hAnsi="Cambria"/>
          <w:sz w:val="24"/>
        </w:rPr>
      </w:pPr>
    </w:p>
    <w:p w14:paraId="5149738D" w14:textId="09E2B900" w:rsidR="00BD7B22" w:rsidRDefault="00BD7B22" w:rsidP="000700C5">
      <w:pPr>
        <w:rPr>
          <w:rFonts w:ascii="Cambria" w:hAnsi="Cambria"/>
          <w:sz w:val="24"/>
        </w:rPr>
      </w:pPr>
    </w:p>
    <w:p w14:paraId="59DFE122" w14:textId="7CCCAEAA" w:rsidR="00BD7B22" w:rsidRDefault="00BD7B22" w:rsidP="000700C5">
      <w:pPr>
        <w:rPr>
          <w:rFonts w:ascii="Cambria" w:hAnsi="Cambria"/>
          <w:sz w:val="24"/>
        </w:rPr>
      </w:pPr>
    </w:p>
    <w:p w14:paraId="2BEEE504" w14:textId="77777777" w:rsidR="00AF76B0" w:rsidRDefault="00AF76B0" w:rsidP="000700C5">
      <w:pPr>
        <w:rPr>
          <w:rFonts w:ascii="Cambria" w:hAnsi="Cambria"/>
          <w:sz w:val="24"/>
        </w:rPr>
      </w:pPr>
    </w:p>
    <w:p w14:paraId="466A2B38" w14:textId="77777777" w:rsidR="00AB2B57" w:rsidRDefault="00AB2B57" w:rsidP="00AB2B57">
      <w:pPr>
        <w:rPr>
          <w:rFonts w:ascii="Cambria" w:hAnsi="Cambria"/>
          <w:sz w:val="32"/>
        </w:rPr>
      </w:pPr>
      <w:r w:rsidRPr="00AB2B57">
        <w:rPr>
          <w:rFonts w:ascii="Cambria" w:hAnsi="Cambria"/>
          <w:sz w:val="32"/>
        </w:rPr>
        <w:lastRenderedPageBreak/>
        <w:t>Gender and Inequality in Ancient Egypt</w:t>
      </w:r>
    </w:p>
    <w:p w14:paraId="6F23BA98" w14:textId="77777777" w:rsidR="005E6970" w:rsidRDefault="005E6970" w:rsidP="005E6970">
      <w:pPr>
        <w:rPr>
          <w:rFonts w:ascii="Cambria" w:hAnsi="Cambria"/>
          <w:b/>
          <w:sz w:val="28"/>
        </w:rPr>
      </w:pPr>
    </w:p>
    <w:p w14:paraId="2F374C40" w14:textId="574437F6" w:rsidR="005E6970" w:rsidRPr="005E6970" w:rsidRDefault="005E6970" w:rsidP="005E6970">
      <w:pPr>
        <w:rPr>
          <w:rFonts w:ascii="Cambria" w:hAnsi="Cambria"/>
          <w:b/>
          <w:sz w:val="28"/>
        </w:rPr>
      </w:pPr>
      <w:r w:rsidRPr="005E6970">
        <w:rPr>
          <w:rFonts w:ascii="Cambria" w:hAnsi="Cambria"/>
          <w:b/>
          <w:sz w:val="28"/>
        </w:rPr>
        <w:t>Introduction</w:t>
      </w:r>
    </w:p>
    <w:p w14:paraId="7774F389" w14:textId="77777777" w:rsidR="005E6970" w:rsidRPr="005E6970" w:rsidRDefault="005E6970" w:rsidP="00AB3B5E">
      <w:pPr>
        <w:spacing w:after="0" w:line="240" w:lineRule="auto"/>
        <w:rPr>
          <w:rFonts w:ascii="Cambria" w:hAnsi="Cambria"/>
          <w:sz w:val="24"/>
        </w:rPr>
      </w:pPr>
      <w:r w:rsidRPr="005E6970">
        <w:rPr>
          <w:rFonts w:ascii="Cambria" w:hAnsi="Cambria"/>
          <w:sz w:val="24"/>
        </w:rPr>
        <w:t>Gender, even by basic definition, can also be varied. The basic understanding of gender is that of our bodily sex. However, people do identify as different genders to their biological sex, which, whilst interesting, is not the area this essay will explore. For this essay, gender will be examined in terms of inequality and the level of it. This is an interesting point of exploration in terms of Ancient Egypt as the Ancient Egyptian’s gender system generally can be referred to as ‘binary’, whilst still being connected to many other social categories- age, status, ethnicity, and occupation (Anon, 2016).</w:t>
      </w:r>
    </w:p>
    <w:p w14:paraId="5CAFC920" w14:textId="77777777" w:rsidR="005E6970" w:rsidRPr="005E6970" w:rsidRDefault="005E6970" w:rsidP="00AB3B5E">
      <w:pPr>
        <w:spacing w:after="0" w:line="240" w:lineRule="auto"/>
        <w:rPr>
          <w:rFonts w:ascii="Cambria" w:hAnsi="Cambria"/>
          <w:sz w:val="24"/>
        </w:rPr>
      </w:pPr>
    </w:p>
    <w:p w14:paraId="5EC3C24A" w14:textId="179F0D75" w:rsidR="005E6970" w:rsidRDefault="005E6970" w:rsidP="00AB3B5E">
      <w:pPr>
        <w:spacing w:after="0" w:line="240" w:lineRule="auto"/>
        <w:rPr>
          <w:rFonts w:ascii="Cambria" w:hAnsi="Cambria"/>
          <w:sz w:val="24"/>
        </w:rPr>
      </w:pPr>
      <w:r w:rsidRPr="005E6970">
        <w:rPr>
          <w:rFonts w:ascii="Cambria" w:hAnsi="Cambria"/>
          <w:sz w:val="24"/>
        </w:rPr>
        <w:t>Typically, when one looks at gender through a Civilisation, it falls under the basic category of status by means of gender divides and equality. For example, in Ancient Egypt, women had more passive roles in Egypt than the men, who took more active roles (Anon, 2016).</w:t>
      </w:r>
      <w:r w:rsidRPr="005E6970">
        <w:rPr>
          <w:rFonts w:ascii="Cambria" w:hAnsi="Cambria"/>
          <w:sz w:val="24"/>
        </w:rPr>
        <w:br/>
        <w:t>One issue in examining any gender divide and levels of equality for an Ancient Civilisation is that we typically attempt to place the gender status quo of said Ancient Civilisation in our own understanding of gender divides and equality. For example, feminism can and has had an impact on bias and understanding of previous Civilisations and Cultures.</w:t>
      </w:r>
    </w:p>
    <w:p w14:paraId="4BD3EF49" w14:textId="77777777" w:rsidR="00AB3B5E" w:rsidRPr="005E6970" w:rsidRDefault="00AB3B5E" w:rsidP="00AB3B5E">
      <w:pPr>
        <w:spacing w:after="0" w:line="240" w:lineRule="auto"/>
        <w:rPr>
          <w:rFonts w:ascii="Cambria" w:hAnsi="Cambria"/>
          <w:sz w:val="24"/>
        </w:rPr>
      </w:pPr>
    </w:p>
    <w:p w14:paraId="17017FC8" w14:textId="0194E3A6" w:rsidR="005E6970" w:rsidRDefault="005E6970" w:rsidP="00AB3B5E">
      <w:pPr>
        <w:spacing w:after="0" w:line="240" w:lineRule="auto"/>
        <w:rPr>
          <w:rFonts w:ascii="Cambria" w:hAnsi="Cambria"/>
          <w:sz w:val="24"/>
        </w:rPr>
      </w:pPr>
      <w:r w:rsidRPr="005E6970">
        <w:rPr>
          <w:rFonts w:ascii="Cambria" w:hAnsi="Cambria"/>
          <w:sz w:val="24"/>
        </w:rPr>
        <w:t>This project summary will examine areas of Ancient Egypt and how gender fits into them- is there Equality between the genders? Is there Inequality between the genders? Will provide the base of research and path of this investigation and each area examined under these questions will lead to the conclusions of this essay.</w:t>
      </w:r>
    </w:p>
    <w:p w14:paraId="47EE150C" w14:textId="27118AAD" w:rsidR="005E6970" w:rsidRDefault="005E6970" w:rsidP="005E6970">
      <w:pPr>
        <w:rPr>
          <w:rFonts w:ascii="Cambria" w:hAnsi="Cambria"/>
          <w:sz w:val="28"/>
        </w:rPr>
      </w:pPr>
    </w:p>
    <w:p w14:paraId="6701E90F" w14:textId="4F56D8F6" w:rsidR="004103E9" w:rsidRDefault="004103E9" w:rsidP="005E6970">
      <w:pPr>
        <w:rPr>
          <w:rFonts w:ascii="Cambria" w:hAnsi="Cambria"/>
          <w:sz w:val="28"/>
        </w:rPr>
      </w:pPr>
    </w:p>
    <w:p w14:paraId="51CE4084" w14:textId="708DD80D" w:rsidR="004103E9" w:rsidRDefault="004103E9" w:rsidP="005E6970">
      <w:pPr>
        <w:rPr>
          <w:rFonts w:ascii="Cambria" w:hAnsi="Cambria"/>
          <w:sz w:val="28"/>
        </w:rPr>
      </w:pPr>
    </w:p>
    <w:p w14:paraId="0CA64B3C" w14:textId="62A0EE79" w:rsidR="004103E9" w:rsidRDefault="004103E9" w:rsidP="005E6970">
      <w:pPr>
        <w:rPr>
          <w:rFonts w:ascii="Cambria" w:hAnsi="Cambria"/>
          <w:sz w:val="28"/>
        </w:rPr>
      </w:pPr>
    </w:p>
    <w:p w14:paraId="52E98234" w14:textId="6334F475" w:rsidR="004103E9" w:rsidRDefault="004103E9" w:rsidP="005E6970">
      <w:pPr>
        <w:rPr>
          <w:rFonts w:ascii="Cambria" w:hAnsi="Cambria"/>
          <w:sz w:val="28"/>
        </w:rPr>
      </w:pPr>
    </w:p>
    <w:p w14:paraId="0193181B" w14:textId="031070FF" w:rsidR="004103E9" w:rsidRDefault="004103E9" w:rsidP="005E6970">
      <w:pPr>
        <w:rPr>
          <w:rFonts w:ascii="Cambria" w:hAnsi="Cambria"/>
          <w:sz w:val="28"/>
        </w:rPr>
      </w:pPr>
    </w:p>
    <w:p w14:paraId="28CB880F" w14:textId="232F66E0" w:rsidR="004103E9" w:rsidRDefault="004103E9" w:rsidP="005E6970">
      <w:pPr>
        <w:rPr>
          <w:rFonts w:ascii="Cambria" w:hAnsi="Cambria"/>
          <w:sz w:val="28"/>
        </w:rPr>
      </w:pPr>
    </w:p>
    <w:p w14:paraId="6C8A6C23" w14:textId="15636B39" w:rsidR="004103E9" w:rsidRDefault="004103E9" w:rsidP="005E6970">
      <w:pPr>
        <w:rPr>
          <w:rFonts w:ascii="Cambria" w:hAnsi="Cambria"/>
          <w:sz w:val="28"/>
        </w:rPr>
      </w:pPr>
    </w:p>
    <w:p w14:paraId="2215262D" w14:textId="2066563B" w:rsidR="004103E9" w:rsidRDefault="004103E9" w:rsidP="005E6970">
      <w:pPr>
        <w:rPr>
          <w:rFonts w:ascii="Cambria" w:hAnsi="Cambria"/>
          <w:sz w:val="28"/>
        </w:rPr>
      </w:pPr>
    </w:p>
    <w:p w14:paraId="1106CCA9" w14:textId="4CE61DDA" w:rsidR="004103E9" w:rsidRDefault="004103E9" w:rsidP="005E6970">
      <w:pPr>
        <w:rPr>
          <w:rFonts w:ascii="Cambria" w:hAnsi="Cambria"/>
          <w:sz w:val="28"/>
        </w:rPr>
      </w:pPr>
    </w:p>
    <w:p w14:paraId="3313FF59" w14:textId="2137DA4B" w:rsidR="004103E9" w:rsidRDefault="004103E9" w:rsidP="005E6970">
      <w:pPr>
        <w:rPr>
          <w:rFonts w:ascii="Cambria" w:hAnsi="Cambria"/>
          <w:sz w:val="28"/>
        </w:rPr>
      </w:pPr>
    </w:p>
    <w:p w14:paraId="76BE245E" w14:textId="77777777" w:rsidR="004103E9" w:rsidRPr="005E6970" w:rsidRDefault="004103E9" w:rsidP="005E6970">
      <w:pPr>
        <w:rPr>
          <w:rFonts w:ascii="Cambria" w:hAnsi="Cambria"/>
          <w:sz w:val="28"/>
        </w:rPr>
      </w:pPr>
    </w:p>
    <w:p w14:paraId="24CB6B3F" w14:textId="17B7CF35" w:rsidR="005E6970" w:rsidRPr="005E6970" w:rsidRDefault="005E6970" w:rsidP="005E6970">
      <w:pPr>
        <w:rPr>
          <w:rFonts w:ascii="Cambria" w:hAnsi="Cambria"/>
          <w:b/>
          <w:sz w:val="28"/>
        </w:rPr>
      </w:pPr>
      <w:r w:rsidRPr="005E6970">
        <w:rPr>
          <w:rFonts w:ascii="Cambria" w:hAnsi="Cambria"/>
          <w:b/>
          <w:sz w:val="28"/>
        </w:rPr>
        <w:lastRenderedPageBreak/>
        <w:t>Pharaoh, Queens, and Upper Classes</w:t>
      </w:r>
    </w:p>
    <w:p w14:paraId="2ADE1E7D" w14:textId="724C7D16" w:rsidR="005E6970" w:rsidRDefault="005E6970" w:rsidP="00276568">
      <w:pPr>
        <w:spacing w:after="0" w:line="240" w:lineRule="auto"/>
        <w:rPr>
          <w:rFonts w:ascii="Cambria" w:hAnsi="Cambria"/>
          <w:sz w:val="24"/>
        </w:rPr>
      </w:pPr>
      <w:r w:rsidRPr="005E6970">
        <w:rPr>
          <w:rFonts w:ascii="Cambria" w:hAnsi="Cambria"/>
          <w:sz w:val="24"/>
        </w:rPr>
        <w:t xml:space="preserve">Pharaoh was male in deference to Pharaoh in the role as the manifestation of Horus, who succeeded his father Osiris as ruler of Egypt in a line of direct descent. This role and mantle were carried even if the Pharaoh did not have royal blood. This did not necessarily bar women from the ruling role, and in fact, there are at least three known female Pharaohs (Brewer, 2010). The issue that arose from this was that Pharaoh was male- meaning that whilst a woman could rule, whilst she was </w:t>
      </w:r>
      <w:proofErr w:type="gramStart"/>
      <w:r w:rsidRPr="005E6970">
        <w:rPr>
          <w:rFonts w:ascii="Cambria" w:hAnsi="Cambria"/>
          <w:sz w:val="24"/>
        </w:rPr>
        <w:t>Pharaoh</w:t>
      </w:r>
      <w:proofErr w:type="gramEnd"/>
      <w:r w:rsidRPr="005E6970">
        <w:rPr>
          <w:rFonts w:ascii="Cambria" w:hAnsi="Cambria"/>
          <w:sz w:val="24"/>
        </w:rPr>
        <w:t xml:space="preserve"> she was male. A female Pharaoh was something of an open secret- no one would declare that Pharaoh was not male, but there was the awareness of Pharaoh’s true gender.</w:t>
      </w:r>
    </w:p>
    <w:p w14:paraId="7B67A3CF" w14:textId="77777777" w:rsidR="00276568" w:rsidRPr="005E6970" w:rsidRDefault="00276568" w:rsidP="00276568">
      <w:pPr>
        <w:spacing w:after="0" w:line="240" w:lineRule="auto"/>
        <w:rPr>
          <w:rFonts w:ascii="Cambria" w:hAnsi="Cambria"/>
          <w:sz w:val="24"/>
        </w:rPr>
      </w:pPr>
    </w:p>
    <w:p w14:paraId="29959651" w14:textId="52042EEA" w:rsidR="005E6970" w:rsidRDefault="005E6970" w:rsidP="00276568">
      <w:pPr>
        <w:spacing w:after="0" w:line="240" w:lineRule="auto"/>
        <w:rPr>
          <w:rFonts w:ascii="Cambria" w:hAnsi="Cambria"/>
          <w:sz w:val="24"/>
        </w:rPr>
      </w:pPr>
      <w:r w:rsidRPr="005E6970">
        <w:rPr>
          <w:rFonts w:ascii="Cambria" w:hAnsi="Cambria"/>
          <w:sz w:val="24"/>
        </w:rPr>
        <w:t>Further, in terms of the position of women in the royal family specifically, the position of the women was declared and dictated in terms of their relation to the Pharaoh. For example, there would be the ‘Wife of the King’, ‘Mother of the King’, etc (Ikram, 2011). The Pharaoh also tended to have more than one wife- a First Wife and then others leading from that (Ikram, 2011). The First Wife held seniority over the others, but this did not necessarily mean that Pharaoh favoured her. Bearing an heir would have been a priority, which would certainly have an influence on the Pharaoh’s polygamy.</w:t>
      </w:r>
      <w:r w:rsidRPr="005E6970">
        <w:rPr>
          <w:rFonts w:ascii="Cambria" w:hAnsi="Cambria"/>
          <w:sz w:val="24"/>
        </w:rPr>
        <w:br/>
        <w:t>Beyond this, the Queens did have a significant religious position, holding religious titles, and were taken into collusion with Goddesses such as Hathor, Isis and Mut. Later in Egypt, the idea of them being the ‘Wife of Amun’ was used to emphasise their link to religion (Ikram, 2011). They were needed as a counterpart and complement to Pharaoh as High Priest of Egypt (</w:t>
      </w:r>
      <w:proofErr w:type="spellStart"/>
      <w:r w:rsidRPr="005E6970">
        <w:rPr>
          <w:rFonts w:ascii="Cambria" w:hAnsi="Cambria"/>
          <w:sz w:val="24"/>
        </w:rPr>
        <w:t>Budin</w:t>
      </w:r>
      <w:proofErr w:type="spellEnd"/>
      <w:r w:rsidRPr="005E6970">
        <w:rPr>
          <w:rFonts w:ascii="Cambria" w:hAnsi="Cambria"/>
          <w:sz w:val="24"/>
        </w:rPr>
        <w:t>, 2016).</w:t>
      </w:r>
      <w:r w:rsidRPr="005E6970">
        <w:rPr>
          <w:rFonts w:ascii="Cambria" w:hAnsi="Cambria"/>
          <w:sz w:val="24"/>
        </w:rPr>
        <w:br/>
        <w:t>An interesting point is that, whilst the Pharaohs themselves did take foreign wives as a part of external negotiations and relations, the women of the royal family were never married out- perhaps in an effort to avoid other countries taking the chance to have legitimate access to the title of Pharaoh (Ikram, 2011).</w:t>
      </w:r>
    </w:p>
    <w:p w14:paraId="0588A473" w14:textId="77777777" w:rsidR="00276568" w:rsidRPr="005E6970" w:rsidRDefault="00276568" w:rsidP="00276568">
      <w:pPr>
        <w:spacing w:after="0" w:line="240" w:lineRule="auto"/>
        <w:rPr>
          <w:rFonts w:ascii="Cambria" w:hAnsi="Cambria"/>
          <w:sz w:val="24"/>
        </w:rPr>
      </w:pPr>
    </w:p>
    <w:p w14:paraId="6AB45DD1" w14:textId="77777777" w:rsidR="005E6970" w:rsidRPr="005E6970" w:rsidRDefault="005E6970" w:rsidP="00276568">
      <w:pPr>
        <w:spacing w:after="0" w:line="240" w:lineRule="auto"/>
        <w:rPr>
          <w:rFonts w:ascii="Cambria" w:hAnsi="Cambria"/>
          <w:sz w:val="24"/>
        </w:rPr>
      </w:pPr>
      <w:r w:rsidRPr="005E6970">
        <w:rPr>
          <w:rFonts w:ascii="Cambria" w:hAnsi="Cambria"/>
          <w:sz w:val="24"/>
        </w:rPr>
        <w:t>There certainly was status for a woman in the upper classes and/or in connection to Pharaoh, but this status came to them due to their place in the upper classes and/or in connection to Pharaoh. In a sense, it appears that women in the lower classes and in a trade certainly had more freedom and a different level of equality than in the upper classes. It seems that it would have been better to be female in the lower classes than in the upper classes.</w:t>
      </w:r>
    </w:p>
    <w:p w14:paraId="30C5ED64" w14:textId="03814A76" w:rsidR="005E6970" w:rsidRDefault="005E6970" w:rsidP="005E6970">
      <w:pPr>
        <w:rPr>
          <w:rFonts w:ascii="Cambria" w:hAnsi="Cambria"/>
          <w:sz w:val="24"/>
        </w:rPr>
      </w:pPr>
    </w:p>
    <w:p w14:paraId="12124013" w14:textId="6130DD03" w:rsidR="00A8560A" w:rsidRDefault="00A8560A" w:rsidP="005E6970">
      <w:pPr>
        <w:rPr>
          <w:rFonts w:ascii="Cambria" w:hAnsi="Cambria"/>
          <w:sz w:val="24"/>
        </w:rPr>
      </w:pPr>
    </w:p>
    <w:p w14:paraId="2A9B9A34" w14:textId="2E7775C3" w:rsidR="00A8560A" w:rsidRDefault="00A8560A" w:rsidP="005E6970">
      <w:pPr>
        <w:rPr>
          <w:rFonts w:ascii="Cambria" w:hAnsi="Cambria"/>
          <w:sz w:val="24"/>
        </w:rPr>
      </w:pPr>
    </w:p>
    <w:p w14:paraId="37ED8E82" w14:textId="2F80F4CF" w:rsidR="00A8560A" w:rsidRDefault="00A8560A" w:rsidP="005E6970">
      <w:pPr>
        <w:rPr>
          <w:rFonts w:ascii="Cambria" w:hAnsi="Cambria"/>
          <w:sz w:val="24"/>
        </w:rPr>
      </w:pPr>
    </w:p>
    <w:p w14:paraId="013C6C0A" w14:textId="06097003" w:rsidR="00A8560A" w:rsidRDefault="00A8560A" w:rsidP="005E6970">
      <w:pPr>
        <w:rPr>
          <w:rFonts w:ascii="Cambria" w:hAnsi="Cambria"/>
          <w:sz w:val="24"/>
        </w:rPr>
      </w:pPr>
    </w:p>
    <w:p w14:paraId="331AD54B" w14:textId="2775780B" w:rsidR="00A8560A" w:rsidRDefault="00A8560A" w:rsidP="005E6970">
      <w:pPr>
        <w:rPr>
          <w:rFonts w:ascii="Cambria" w:hAnsi="Cambria"/>
          <w:sz w:val="24"/>
        </w:rPr>
      </w:pPr>
    </w:p>
    <w:p w14:paraId="608B17B9" w14:textId="5319EE9B" w:rsidR="00A8560A" w:rsidRDefault="00A8560A" w:rsidP="005E6970">
      <w:pPr>
        <w:rPr>
          <w:rFonts w:ascii="Cambria" w:hAnsi="Cambria"/>
          <w:sz w:val="24"/>
        </w:rPr>
      </w:pPr>
    </w:p>
    <w:p w14:paraId="24E3A31A" w14:textId="4BF4DA69" w:rsidR="00A8560A" w:rsidRDefault="00A8560A" w:rsidP="005E6970">
      <w:pPr>
        <w:rPr>
          <w:rFonts w:ascii="Cambria" w:hAnsi="Cambria"/>
          <w:sz w:val="24"/>
        </w:rPr>
      </w:pPr>
    </w:p>
    <w:p w14:paraId="0B6BD04E" w14:textId="77777777" w:rsidR="00A8560A" w:rsidRPr="005E6970" w:rsidRDefault="00A8560A" w:rsidP="005E6970">
      <w:pPr>
        <w:rPr>
          <w:rFonts w:ascii="Cambria" w:hAnsi="Cambria"/>
          <w:sz w:val="24"/>
        </w:rPr>
      </w:pPr>
    </w:p>
    <w:p w14:paraId="7FD69A61" w14:textId="4DCF2667" w:rsidR="007D4556" w:rsidRPr="007D4556" w:rsidRDefault="007D4556" w:rsidP="007D4556">
      <w:pPr>
        <w:rPr>
          <w:rFonts w:ascii="Cambria" w:hAnsi="Cambria"/>
          <w:b/>
          <w:sz w:val="28"/>
        </w:rPr>
      </w:pPr>
      <w:r w:rsidRPr="007D4556">
        <w:rPr>
          <w:rFonts w:ascii="Cambria" w:hAnsi="Cambria"/>
          <w:b/>
          <w:sz w:val="28"/>
        </w:rPr>
        <w:lastRenderedPageBreak/>
        <w:t>Marriage, Motherhood, and Equality</w:t>
      </w:r>
    </w:p>
    <w:p w14:paraId="502C396E" w14:textId="77777777" w:rsidR="00C70376" w:rsidRDefault="007D4556" w:rsidP="00C70376">
      <w:pPr>
        <w:spacing w:after="0" w:line="240" w:lineRule="auto"/>
        <w:rPr>
          <w:rFonts w:ascii="Cambria" w:hAnsi="Cambria"/>
          <w:sz w:val="24"/>
        </w:rPr>
      </w:pPr>
      <w:r w:rsidRPr="007D4556">
        <w:rPr>
          <w:rFonts w:ascii="Cambria" w:hAnsi="Cambria"/>
          <w:sz w:val="24"/>
        </w:rPr>
        <w:t xml:space="preserve">Although there </w:t>
      </w:r>
      <w:r w:rsidRPr="007D4556">
        <w:rPr>
          <w:rFonts w:ascii="Cambria" w:hAnsi="Cambria"/>
          <w:i/>
          <w:sz w:val="24"/>
        </w:rPr>
        <w:t>was</w:t>
      </w:r>
      <w:r w:rsidRPr="007D4556">
        <w:rPr>
          <w:rFonts w:ascii="Cambria" w:hAnsi="Cambria"/>
          <w:sz w:val="24"/>
        </w:rPr>
        <w:t xml:space="preserve"> an inequality between males and females in Ancient Egypt, it appears to not be the largest that has been found. Men were mostly the heads of their households, but there were such titles as ‘Lady of the House’ attested since the 11</w:t>
      </w:r>
      <w:r w:rsidRPr="007D4556">
        <w:rPr>
          <w:rFonts w:ascii="Cambria" w:hAnsi="Cambria"/>
          <w:sz w:val="24"/>
          <w:vertAlign w:val="superscript"/>
        </w:rPr>
        <w:t>th</w:t>
      </w:r>
      <w:r w:rsidRPr="007D4556">
        <w:rPr>
          <w:rFonts w:ascii="Cambria" w:hAnsi="Cambria"/>
          <w:sz w:val="24"/>
        </w:rPr>
        <w:t xml:space="preserve"> Dynasty (ca. 2130- 1990 BCE) indicate that women were able to manage the economics of a household and care for the house (Anon, 2016). Clearly, this did not actually put her in charge of the household, only of keeping it as it was not the ‘place’ of the husband, who owned the home. Women were also able to partake in business and trade. There are also notes of female scribes and administrators, despite these being ‘male’ roles. Unfortunately, the problems widowhood led to, appear to only affect women- men generally would not suffer economically or legally upon the death of their </w:t>
      </w:r>
      <w:proofErr w:type="gramStart"/>
      <w:r w:rsidRPr="007D4556">
        <w:rPr>
          <w:rFonts w:ascii="Cambria" w:hAnsi="Cambria"/>
          <w:sz w:val="24"/>
        </w:rPr>
        <w:t>wife(</w:t>
      </w:r>
      <w:proofErr w:type="gramEnd"/>
      <w:r w:rsidRPr="007D4556">
        <w:rPr>
          <w:rFonts w:ascii="Cambria" w:hAnsi="Cambria"/>
          <w:sz w:val="24"/>
        </w:rPr>
        <w:t xml:space="preserve">Anon, 2016). This was quite certainly since the husband was the source of income for a family or couple, which would certainly lead to issues of means of support for a widow, who, whilst eligible to one-third of her husband’s estate whilst the rest went to any children or family (Trigger, 2010). It is unknown what would occur if there </w:t>
      </w:r>
      <w:proofErr w:type="gramStart"/>
      <w:r w:rsidRPr="007D4556">
        <w:rPr>
          <w:rFonts w:ascii="Cambria" w:hAnsi="Cambria"/>
          <w:sz w:val="24"/>
        </w:rPr>
        <w:t>was</w:t>
      </w:r>
      <w:proofErr w:type="gramEnd"/>
      <w:r w:rsidRPr="007D4556">
        <w:rPr>
          <w:rFonts w:ascii="Cambria" w:hAnsi="Cambria"/>
          <w:sz w:val="24"/>
        </w:rPr>
        <w:t xml:space="preserve"> no other family members, but it seems unlikely that one-third of an estate would keep someone for the rest of their life. </w:t>
      </w:r>
    </w:p>
    <w:p w14:paraId="727F4F8A" w14:textId="40A68AEB" w:rsidR="007D4556" w:rsidRPr="007D4556" w:rsidRDefault="007D4556" w:rsidP="00C70376">
      <w:pPr>
        <w:spacing w:after="0" w:line="240" w:lineRule="auto"/>
        <w:rPr>
          <w:rFonts w:ascii="Cambria" w:hAnsi="Cambria"/>
          <w:sz w:val="24"/>
        </w:rPr>
      </w:pPr>
      <w:r w:rsidRPr="007D4556">
        <w:rPr>
          <w:rFonts w:ascii="Cambria" w:hAnsi="Cambria"/>
          <w:sz w:val="24"/>
        </w:rPr>
        <w:br/>
        <w:t>Nothing has been found pertaining to the idea of remarriage, which would be useful in examining the state of widow(</w:t>
      </w:r>
      <w:proofErr w:type="spellStart"/>
      <w:r w:rsidRPr="007D4556">
        <w:rPr>
          <w:rFonts w:ascii="Cambria" w:hAnsi="Cambria"/>
          <w:sz w:val="24"/>
        </w:rPr>
        <w:t>ers</w:t>
      </w:r>
      <w:proofErr w:type="spellEnd"/>
      <w:r w:rsidRPr="007D4556">
        <w:rPr>
          <w:rFonts w:ascii="Cambria" w:hAnsi="Cambria"/>
          <w:sz w:val="24"/>
        </w:rPr>
        <w:t>) and divorcees and the impact on their standing, etc.</w:t>
      </w:r>
    </w:p>
    <w:p w14:paraId="47E84F37" w14:textId="4BA4058E" w:rsidR="007D4556" w:rsidRDefault="007D4556" w:rsidP="00C70376">
      <w:pPr>
        <w:spacing w:after="0" w:line="240" w:lineRule="auto"/>
        <w:rPr>
          <w:rFonts w:ascii="Cambria" w:hAnsi="Cambria"/>
          <w:sz w:val="24"/>
        </w:rPr>
      </w:pPr>
      <w:r w:rsidRPr="007D4556">
        <w:rPr>
          <w:rFonts w:ascii="Cambria" w:hAnsi="Cambria"/>
          <w:sz w:val="24"/>
        </w:rPr>
        <w:t xml:space="preserve">Marriage certainly had a level of gender divide. Males were expected to at least begin approaching the idea of marriage once they were well into adolescence. Females, on the other hand, were considered marriageable around their first menses (Brewer, 2010). This would generally put girls between twelve to fourteen at marriageable age, and boy of sixteen to seventeen in the same bracket. To be fair, males were expected to be able to support the family that marriage would produce, meaning that they needed an established income (Brewer, 2010). This was likely a factor in the difference in marriageability. </w:t>
      </w:r>
    </w:p>
    <w:p w14:paraId="6E75F532" w14:textId="77777777" w:rsidR="00C70376" w:rsidRPr="007D4556" w:rsidRDefault="00C70376" w:rsidP="00C70376">
      <w:pPr>
        <w:spacing w:after="0" w:line="240" w:lineRule="auto"/>
        <w:rPr>
          <w:rFonts w:ascii="Cambria" w:hAnsi="Cambria"/>
          <w:sz w:val="24"/>
        </w:rPr>
      </w:pPr>
    </w:p>
    <w:p w14:paraId="3633DBFB" w14:textId="77777777" w:rsidR="007D4556" w:rsidRPr="007D4556" w:rsidRDefault="007D4556" w:rsidP="00C70376">
      <w:pPr>
        <w:spacing w:after="0" w:line="240" w:lineRule="auto"/>
        <w:rPr>
          <w:rFonts w:ascii="Cambria" w:hAnsi="Cambria"/>
          <w:sz w:val="24"/>
        </w:rPr>
      </w:pPr>
      <w:r w:rsidRPr="007D4556">
        <w:rPr>
          <w:rFonts w:ascii="Cambria" w:hAnsi="Cambria"/>
          <w:sz w:val="24"/>
        </w:rPr>
        <w:t>Marriage was a serious convention for the Ancient Egyptians, and adultery led to severe consequences (Brewer, 2010). Divorce was allowed, and women could petition for it in terms of adultery or mistreatment (Trigger, 2010). Only Pharaoh could be adulterous in that he could be polygamous in order to increase the chances of an Heir (Brewer, 2010), and possibly in some form of deference to the gods and their numerous unions. Wealthier men, sometimes artisans, did have concubines as well as a wife. There is also the possibility that higher officials could be married to more than one woman (Trigger, 2010).</w:t>
      </w:r>
    </w:p>
    <w:p w14:paraId="7E8AEE57" w14:textId="3E4C6C7C" w:rsidR="007D4556" w:rsidRDefault="007D4556" w:rsidP="00C70376">
      <w:pPr>
        <w:spacing w:after="0" w:line="240" w:lineRule="auto"/>
        <w:rPr>
          <w:rFonts w:ascii="Cambria" w:hAnsi="Cambria"/>
          <w:sz w:val="24"/>
        </w:rPr>
      </w:pPr>
      <w:r w:rsidRPr="007D4556">
        <w:rPr>
          <w:rFonts w:ascii="Cambria" w:hAnsi="Cambria"/>
          <w:sz w:val="24"/>
        </w:rPr>
        <w:t xml:space="preserve">Being virginal until marriage was not expected in Ancient Egypt (Brewer, 2010). </w:t>
      </w:r>
      <w:r w:rsidRPr="007D4556">
        <w:rPr>
          <w:rFonts w:ascii="Cambria" w:hAnsi="Cambria"/>
          <w:sz w:val="24"/>
        </w:rPr>
        <w:br/>
        <w:t xml:space="preserve">This does not appear to be held to a different standard for males or females, which could </w:t>
      </w:r>
      <w:proofErr w:type="gramStart"/>
      <w:r w:rsidRPr="007D4556">
        <w:rPr>
          <w:rFonts w:ascii="Cambria" w:hAnsi="Cambria"/>
          <w:sz w:val="24"/>
        </w:rPr>
        <w:t>be seen as</w:t>
      </w:r>
      <w:proofErr w:type="gramEnd"/>
      <w:r w:rsidRPr="007D4556">
        <w:rPr>
          <w:rFonts w:ascii="Cambria" w:hAnsi="Cambria"/>
          <w:sz w:val="24"/>
        </w:rPr>
        <w:t xml:space="preserve"> equality, as often in other societies, females are expected to be virginal and chaste, whilst males are not held to this as much.</w:t>
      </w:r>
    </w:p>
    <w:p w14:paraId="14EAAB7D" w14:textId="77777777" w:rsidR="00C70376" w:rsidRPr="007D4556" w:rsidRDefault="00C70376" w:rsidP="00C70376">
      <w:pPr>
        <w:spacing w:after="0" w:line="240" w:lineRule="auto"/>
        <w:rPr>
          <w:rFonts w:ascii="Cambria" w:hAnsi="Cambria"/>
          <w:sz w:val="24"/>
        </w:rPr>
      </w:pPr>
    </w:p>
    <w:p w14:paraId="51FE0049" w14:textId="76268388" w:rsidR="007D4556" w:rsidRPr="007D4556" w:rsidRDefault="007D4556" w:rsidP="00C70376">
      <w:pPr>
        <w:spacing w:after="0" w:line="240" w:lineRule="auto"/>
        <w:rPr>
          <w:rFonts w:ascii="Cambria" w:hAnsi="Cambria"/>
          <w:sz w:val="24"/>
        </w:rPr>
      </w:pPr>
      <w:r w:rsidRPr="007D4556">
        <w:rPr>
          <w:rFonts w:ascii="Cambria" w:hAnsi="Cambria"/>
          <w:sz w:val="24"/>
        </w:rPr>
        <w:t>In terms of motherhood, bearing a son was generally considered to be very important. The son would continue the family line as heir, which was not generally something a female child could do (</w:t>
      </w:r>
      <w:proofErr w:type="spellStart"/>
      <w:r w:rsidRPr="007D4556">
        <w:rPr>
          <w:rFonts w:ascii="Cambria" w:hAnsi="Cambria"/>
          <w:sz w:val="24"/>
        </w:rPr>
        <w:t>Strouhal</w:t>
      </w:r>
      <w:proofErr w:type="spellEnd"/>
      <w:r w:rsidRPr="007D4556">
        <w:rPr>
          <w:rFonts w:ascii="Cambria" w:hAnsi="Cambria"/>
          <w:sz w:val="24"/>
        </w:rPr>
        <w:t>, 2992).</w:t>
      </w:r>
    </w:p>
    <w:p w14:paraId="61039EC6" w14:textId="09C1971B" w:rsidR="007D4556" w:rsidRDefault="007D4556" w:rsidP="00C70376">
      <w:pPr>
        <w:spacing w:after="0" w:line="240" w:lineRule="auto"/>
        <w:rPr>
          <w:rFonts w:ascii="Cambria" w:hAnsi="Cambria"/>
          <w:sz w:val="24"/>
        </w:rPr>
      </w:pPr>
      <w:r w:rsidRPr="007D4556">
        <w:rPr>
          <w:rFonts w:ascii="Cambria" w:hAnsi="Cambria"/>
          <w:sz w:val="24"/>
        </w:rPr>
        <w:t xml:space="preserve">Beyond this, dolls and toys uncovered from Ancient Egypt indicate that children </w:t>
      </w:r>
      <w:proofErr w:type="gramStart"/>
      <w:r w:rsidRPr="007D4556">
        <w:rPr>
          <w:rFonts w:ascii="Cambria" w:hAnsi="Cambria"/>
          <w:sz w:val="24"/>
        </w:rPr>
        <w:t>were allowed to</w:t>
      </w:r>
      <w:proofErr w:type="gramEnd"/>
      <w:r w:rsidRPr="007D4556">
        <w:rPr>
          <w:rFonts w:ascii="Cambria" w:hAnsi="Cambria"/>
          <w:sz w:val="24"/>
        </w:rPr>
        <w:t xml:space="preserve"> play, but once weaned, they began training for adulthood. Girls would assist their mother and other female family members with chores, work, or caring for younger </w:t>
      </w:r>
      <w:r w:rsidRPr="007D4556">
        <w:rPr>
          <w:rFonts w:ascii="Cambria" w:hAnsi="Cambria"/>
          <w:sz w:val="24"/>
        </w:rPr>
        <w:lastRenderedPageBreak/>
        <w:t xml:space="preserve">siblings. Boys would follow their fathers into their work, starting with the basics and working their way up (Brewer, 2010). There would have undoubtedly been differences in the daily structure of families in terms of class, however. For example, the children of the higher classes would have likely had some level of tutoring in relevance to their position and gender- boys would learn literacy, girls’ womanly skills/religious roles, etc. The Artisan (craftsman) families would be impacted by the fact that some of the mothers did have </w:t>
      </w:r>
      <w:proofErr w:type="gramStart"/>
      <w:r w:rsidRPr="007D4556">
        <w:rPr>
          <w:rFonts w:ascii="Cambria" w:hAnsi="Cambria"/>
          <w:sz w:val="24"/>
        </w:rPr>
        <w:t>trades, and</w:t>
      </w:r>
      <w:proofErr w:type="gramEnd"/>
      <w:r w:rsidRPr="007D4556">
        <w:rPr>
          <w:rFonts w:ascii="Cambria" w:hAnsi="Cambria"/>
          <w:sz w:val="24"/>
        </w:rPr>
        <w:t xml:space="preserve"> would likely mirror the male children in shadowing their mother to learn her craft.</w:t>
      </w:r>
    </w:p>
    <w:p w14:paraId="62CE9F3A" w14:textId="77777777" w:rsidR="00C70376" w:rsidRPr="007D4556" w:rsidRDefault="00C70376" w:rsidP="00C70376">
      <w:pPr>
        <w:spacing w:after="0" w:line="240" w:lineRule="auto"/>
        <w:rPr>
          <w:rFonts w:ascii="Cambria" w:hAnsi="Cambria"/>
          <w:sz w:val="24"/>
        </w:rPr>
      </w:pPr>
    </w:p>
    <w:p w14:paraId="62EEFA87" w14:textId="2BBF6BA8" w:rsidR="007D4556" w:rsidRDefault="007D4556" w:rsidP="00C70376">
      <w:pPr>
        <w:spacing w:after="0" w:line="240" w:lineRule="auto"/>
        <w:rPr>
          <w:rFonts w:ascii="Cambria" w:hAnsi="Cambria"/>
          <w:sz w:val="24"/>
        </w:rPr>
      </w:pPr>
      <w:r w:rsidRPr="007D4556">
        <w:rPr>
          <w:rFonts w:ascii="Cambria" w:hAnsi="Cambria"/>
          <w:sz w:val="24"/>
        </w:rPr>
        <w:t xml:space="preserve">Even this basic distinction in childhood would certainly have contributed to the gender divide in Ancient Egypt, as it shows that the split between genders was instituted at a young age, and thus would have stayed with them for the rest of their lives. This is further emphasised when one takes note of the roles each parent clearly takes in the family and that they teach to their children. Women clearly have more household and family jobs, whilst the men are the breadwinners, in a typical stereotype of marriage and family. Women were treated well in marriage and family, but this is not to say that they were not secondary to the males in the family (Trigger, 2010). That the wife is noted to ‘keep’ the home yet does not own it also indicates a divide between husband and wife in that there is no joint ownership or some such. </w:t>
      </w:r>
    </w:p>
    <w:p w14:paraId="6991E1F9" w14:textId="77777777" w:rsidR="00C70376" w:rsidRPr="007D4556" w:rsidRDefault="00C70376" w:rsidP="00C70376">
      <w:pPr>
        <w:spacing w:after="0" w:line="240" w:lineRule="auto"/>
        <w:rPr>
          <w:rFonts w:ascii="Cambria" w:hAnsi="Cambria"/>
          <w:sz w:val="24"/>
        </w:rPr>
      </w:pPr>
    </w:p>
    <w:p w14:paraId="050DFCC4" w14:textId="5728F240" w:rsidR="007D4556" w:rsidRDefault="007D4556" w:rsidP="00C70376">
      <w:pPr>
        <w:spacing w:after="0" w:line="240" w:lineRule="auto"/>
        <w:rPr>
          <w:rFonts w:ascii="Cambria" w:hAnsi="Cambria"/>
          <w:sz w:val="24"/>
        </w:rPr>
      </w:pPr>
      <w:r w:rsidRPr="007D4556">
        <w:rPr>
          <w:rFonts w:ascii="Cambria" w:hAnsi="Cambria"/>
          <w:sz w:val="24"/>
        </w:rPr>
        <w:t>Women did have the legal autonomy to sign contracts (marriage) and make wills, inherit, purchase, sell, and administrate land goods, and slaves in their own names (Trigger, 2010). Marriage likely did have an impact on this autonomy, but it did still exist in that a woman could keep any property she had after marriage (Trigger, 2010).</w:t>
      </w:r>
    </w:p>
    <w:p w14:paraId="662B29A6" w14:textId="77777777" w:rsidR="00C70376" w:rsidRDefault="00C70376" w:rsidP="00C43E74">
      <w:pPr>
        <w:rPr>
          <w:rFonts w:ascii="Cambria" w:hAnsi="Cambria"/>
          <w:b/>
          <w:sz w:val="28"/>
        </w:rPr>
      </w:pPr>
    </w:p>
    <w:p w14:paraId="3EA1F392" w14:textId="3DDCB75B" w:rsidR="00C70376" w:rsidRDefault="00C70376" w:rsidP="00C43E74">
      <w:pPr>
        <w:rPr>
          <w:rFonts w:ascii="Cambria" w:hAnsi="Cambria"/>
          <w:b/>
          <w:sz w:val="28"/>
        </w:rPr>
      </w:pPr>
    </w:p>
    <w:p w14:paraId="5772F8CC" w14:textId="70BF82AC" w:rsidR="00745F00" w:rsidRDefault="00745F00" w:rsidP="00C43E74">
      <w:pPr>
        <w:rPr>
          <w:rFonts w:ascii="Cambria" w:hAnsi="Cambria"/>
          <w:b/>
          <w:sz w:val="28"/>
        </w:rPr>
      </w:pPr>
    </w:p>
    <w:p w14:paraId="7E04F525" w14:textId="1F3D859A" w:rsidR="00745F00" w:rsidRDefault="00745F00" w:rsidP="00C43E74">
      <w:pPr>
        <w:rPr>
          <w:rFonts w:ascii="Cambria" w:hAnsi="Cambria"/>
          <w:b/>
          <w:sz w:val="28"/>
        </w:rPr>
      </w:pPr>
    </w:p>
    <w:p w14:paraId="163B33D9" w14:textId="7840C992" w:rsidR="00745F00" w:rsidRDefault="00745F00" w:rsidP="00C43E74">
      <w:pPr>
        <w:rPr>
          <w:rFonts w:ascii="Cambria" w:hAnsi="Cambria"/>
          <w:b/>
          <w:sz w:val="28"/>
        </w:rPr>
      </w:pPr>
    </w:p>
    <w:p w14:paraId="6881D9A7" w14:textId="5887BFFF" w:rsidR="00745F00" w:rsidRDefault="00745F00" w:rsidP="00C43E74">
      <w:pPr>
        <w:rPr>
          <w:rFonts w:ascii="Cambria" w:hAnsi="Cambria"/>
          <w:b/>
          <w:sz w:val="28"/>
        </w:rPr>
      </w:pPr>
    </w:p>
    <w:p w14:paraId="6ADD7BCA" w14:textId="4DE2F2A3" w:rsidR="00745F00" w:rsidRDefault="00745F00" w:rsidP="00C43E74">
      <w:pPr>
        <w:rPr>
          <w:rFonts w:ascii="Cambria" w:hAnsi="Cambria"/>
          <w:b/>
          <w:sz w:val="28"/>
        </w:rPr>
      </w:pPr>
    </w:p>
    <w:p w14:paraId="1683339B" w14:textId="425F735C" w:rsidR="00745F00" w:rsidRDefault="00745F00" w:rsidP="00C43E74">
      <w:pPr>
        <w:rPr>
          <w:rFonts w:ascii="Cambria" w:hAnsi="Cambria"/>
          <w:b/>
          <w:sz w:val="28"/>
        </w:rPr>
      </w:pPr>
    </w:p>
    <w:p w14:paraId="62D97726" w14:textId="4BBCC7C4" w:rsidR="00745F00" w:rsidRDefault="00745F00" w:rsidP="00C43E74">
      <w:pPr>
        <w:rPr>
          <w:rFonts w:ascii="Cambria" w:hAnsi="Cambria"/>
          <w:b/>
          <w:sz w:val="28"/>
        </w:rPr>
      </w:pPr>
    </w:p>
    <w:p w14:paraId="244897AD" w14:textId="0FEF89CA" w:rsidR="00745F00" w:rsidRDefault="00745F00" w:rsidP="00C43E74">
      <w:pPr>
        <w:rPr>
          <w:rFonts w:ascii="Cambria" w:hAnsi="Cambria"/>
          <w:b/>
          <w:sz w:val="28"/>
        </w:rPr>
      </w:pPr>
    </w:p>
    <w:p w14:paraId="7385B7DD" w14:textId="6BEB7CF0" w:rsidR="00745F00" w:rsidRDefault="00745F00" w:rsidP="00C43E74">
      <w:pPr>
        <w:rPr>
          <w:rFonts w:ascii="Cambria" w:hAnsi="Cambria"/>
          <w:b/>
          <w:sz w:val="28"/>
        </w:rPr>
      </w:pPr>
    </w:p>
    <w:p w14:paraId="4424F381" w14:textId="589E807E" w:rsidR="00745F00" w:rsidRDefault="00745F00" w:rsidP="00C43E74">
      <w:pPr>
        <w:rPr>
          <w:rFonts w:ascii="Cambria" w:hAnsi="Cambria"/>
          <w:b/>
          <w:sz w:val="28"/>
        </w:rPr>
      </w:pPr>
    </w:p>
    <w:p w14:paraId="53B43970" w14:textId="440C6B75" w:rsidR="00745F00" w:rsidRDefault="00745F00" w:rsidP="00C43E74">
      <w:pPr>
        <w:rPr>
          <w:rFonts w:ascii="Cambria" w:hAnsi="Cambria"/>
          <w:b/>
          <w:sz w:val="28"/>
        </w:rPr>
      </w:pPr>
    </w:p>
    <w:p w14:paraId="2B834551" w14:textId="77777777" w:rsidR="00745F00" w:rsidRDefault="00745F00" w:rsidP="00C43E74">
      <w:pPr>
        <w:rPr>
          <w:rFonts w:ascii="Cambria" w:hAnsi="Cambria"/>
          <w:b/>
          <w:sz w:val="28"/>
        </w:rPr>
      </w:pPr>
    </w:p>
    <w:p w14:paraId="0AA1E5B0" w14:textId="20E9A66A" w:rsidR="00C43E74" w:rsidRPr="00C43E74" w:rsidRDefault="00C43E74" w:rsidP="00C43E74">
      <w:pPr>
        <w:rPr>
          <w:rFonts w:ascii="Cambria" w:hAnsi="Cambria"/>
          <w:b/>
          <w:sz w:val="28"/>
        </w:rPr>
      </w:pPr>
      <w:r w:rsidRPr="00C43E74">
        <w:rPr>
          <w:rFonts w:ascii="Cambria" w:hAnsi="Cambria"/>
          <w:b/>
          <w:sz w:val="28"/>
        </w:rPr>
        <w:lastRenderedPageBreak/>
        <w:t xml:space="preserve">Roles in society </w:t>
      </w:r>
    </w:p>
    <w:p w14:paraId="01C9AB9A" w14:textId="15204B0C" w:rsidR="00C43E74" w:rsidRDefault="00C43E74" w:rsidP="00F44647">
      <w:pPr>
        <w:spacing w:after="0" w:line="240" w:lineRule="auto"/>
        <w:rPr>
          <w:rFonts w:ascii="Cambria" w:hAnsi="Cambria"/>
          <w:sz w:val="24"/>
        </w:rPr>
      </w:pPr>
      <w:r w:rsidRPr="00C43E74">
        <w:rPr>
          <w:rFonts w:ascii="Cambria" w:hAnsi="Cambria"/>
          <w:sz w:val="24"/>
        </w:rPr>
        <w:t>It is noted that females were allowed into the priesthood and that those who joined the priesthood were likely to have done so in successive generations of the same family. Examination of lists of titles within the religious structure indicates that men and women could serve in the priesthoods of several deities simultaneously. Whilst there were levels of hierarchy within the priesthoods there does not appear to be a discrepancy in where men and women can advance, though there were likely to be different genders predisposed to different deities (Brewer, 2010). Further roles for women within the temples included being musicians, dancers, and singers (</w:t>
      </w:r>
      <w:proofErr w:type="spellStart"/>
      <w:r w:rsidRPr="00C43E74">
        <w:rPr>
          <w:rFonts w:ascii="Cambria" w:hAnsi="Cambria"/>
          <w:sz w:val="24"/>
        </w:rPr>
        <w:t>Strouhal</w:t>
      </w:r>
      <w:proofErr w:type="spellEnd"/>
      <w:r w:rsidRPr="00C43E74">
        <w:rPr>
          <w:rFonts w:ascii="Cambria" w:hAnsi="Cambria"/>
          <w:sz w:val="24"/>
        </w:rPr>
        <w:t>, 2992).</w:t>
      </w:r>
      <w:r w:rsidRPr="00C43E74">
        <w:rPr>
          <w:rFonts w:ascii="Cambria" w:hAnsi="Cambria"/>
          <w:sz w:val="24"/>
        </w:rPr>
        <w:br/>
        <w:t>That women had a place in religion is a positive note on the side of equality between gender in Egypt, but unfortunately, there is no indication of there being equality in religion, judging by the basic list of roles that women could assume in terms of religion, leaving most of the positions available to men.</w:t>
      </w:r>
    </w:p>
    <w:p w14:paraId="12EBCE33" w14:textId="77777777" w:rsidR="00F44647" w:rsidRPr="00C43E74" w:rsidRDefault="00F44647" w:rsidP="00F44647">
      <w:pPr>
        <w:spacing w:after="0" w:line="240" w:lineRule="auto"/>
        <w:rPr>
          <w:rFonts w:ascii="Cambria" w:hAnsi="Cambria"/>
          <w:sz w:val="24"/>
        </w:rPr>
      </w:pPr>
    </w:p>
    <w:p w14:paraId="27AC7E5B" w14:textId="11256BCC" w:rsidR="00C43E74" w:rsidRDefault="00C43E74" w:rsidP="00F44647">
      <w:pPr>
        <w:spacing w:after="0" w:line="240" w:lineRule="auto"/>
        <w:rPr>
          <w:rFonts w:ascii="Cambria" w:hAnsi="Cambria"/>
          <w:sz w:val="24"/>
        </w:rPr>
      </w:pPr>
      <w:r w:rsidRPr="00C43E74">
        <w:rPr>
          <w:rFonts w:ascii="Cambria" w:hAnsi="Cambria"/>
          <w:sz w:val="24"/>
        </w:rPr>
        <w:t xml:space="preserve">The position of scribe was technically open to both males and females, but there is a minor amount of evidence for female scribes, likely exuberated by the lack of female literacy to be found I the fact that there is no evidence for formal schooling for girls. Despite this, there were women who were literate, indicating that some were taught by a family member or possibly a tutor (Brewer, 2010)- this was also likely to have occurred among the higher classes. There is some irony in this, as the goddess Sheshet is associated with writing (Brewer, 2010). Regardless, the position of scribe appears to be a more ‘active’ job than the ‘passive’ jobs generally attributed to the female gender due to the role as the civil servant of the king, court, or temple (Brewer, 2010). This would have likely relegated any female scribes to the lesser aspects of scribing, if there were any. </w:t>
      </w:r>
      <w:r w:rsidRPr="00C43E74">
        <w:rPr>
          <w:rFonts w:ascii="Cambria" w:hAnsi="Cambria"/>
          <w:sz w:val="24"/>
        </w:rPr>
        <w:br/>
        <w:t>That the nature of the position of scribe seeming to lead to a high position in society, at the elbow of the higher, indicates its importance, and likely the level of work that goes into achieving and keeping this place in rank. There may have been an unconscious or conscious belief in society that women were not able or simply could not be prepared to take such a role in society.</w:t>
      </w:r>
    </w:p>
    <w:p w14:paraId="63A530B9" w14:textId="77777777" w:rsidR="00F44647" w:rsidRPr="00C43E74" w:rsidRDefault="00F44647" w:rsidP="00F44647">
      <w:pPr>
        <w:spacing w:after="0" w:line="240" w:lineRule="auto"/>
        <w:rPr>
          <w:rFonts w:ascii="Cambria" w:hAnsi="Cambria"/>
          <w:sz w:val="24"/>
        </w:rPr>
      </w:pPr>
    </w:p>
    <w:p w14:paraId="62BCADF5" w14:textId="534B0B36" w:rsidR="00C43E74" w:rsidRDefault="00C43E74" w:rsidP="00F44647">
      <w:pPr>
        <w:spacing w:after="0" w:line="240" w:lineRule="auto"/>
        <w:rPr>
          <w:rFonts w:ascii="Cambria" w:hAnsi="Cambria"/>
          <w:sz w:val="24"/>
        </w:rPr>
      </w:pPr>
      <w:r w:rsidRPr="00C43E74">
        <w:rPr>
          <w:rFonts w:ascii="Cambria" w:hAnsi="Cambria"/>
          <w:sz w:val="24"/>
        </w:rPr>
        <w:t>The role of craft in that it was highly specialised saw much of the positions going to men. There were female crafters, though they were mainly found in the areas of textiles and pottery (Brewer, 2010). It does make sense that the role of craft is an ‘active’ one, but the fact that on some level it is not considered ‘passive’ seems confusing, as it is a work role in that much beyond the task would not be necessary. This is the issue with placing roles in the ideas of ‘active’ and ‘passive’- they can be argued over due to a difference in opinion of what constitutes as ‘active’ and ‘passive’.</w:t>
      </w:r>
    </w:p>
    <w:p w14:paraId="00FA06F0" w14:textId="77777777" w:rsidR="00F44647" w:rsidRPr="00C43E74" w:rsidRDefault="00F44647" w:rsidP="00F44647">
      <w:pPr>
        <w:spacing w:after="0" w:line="240" w:lineRule="auto"/>
        <w:rPr>
          <w:rFonts w:ascii="Cambria" w:hAnsi="Cambria"/>
          <w:sz w:val="24"/>
        </w:rPr>
      </w:pPr>
    </w:p>
    <w:p w14:paraId="7B6A8C88" w14:textId="77777777" w:rsidR="00C43E74" w:rsidRPr="00C43E74" w:rsidRDefault="00C43E74" w:rsidP="00F44647">
      <w:pPr>
        <w:spacing w:after="0" w:line="240" w:lineRule="auto"/>
        <w:rPr>
          <w:rFonts w:ascii="Cambria" w:hAnsi="Cambria"/>
          <w:sz w:val="24"/>
        </w:rPr>
      </w:pPr>
      <w:r w:rsidRPr="00C43E74">
        <w:rPr>
          <w:rFonts w:ascii="Cambria" w:hAnsi="Cambria"/>
          <w:sz w:val="24"/>
        </w:rPr>
        <w:t xml:space="preserve">It was a rare thing for a woman to be admitted into public office, particularly in a leading position. Women have been noted to have charge of an eatery, a </w:t>
      </w:r>
      <w:proofErr w:type="gramStart"/>
      <w:r w:rsidRPr="00C43E74">
        <w:rPr>
          <w:rFonts w:ascii="Cambria" w:hAnsi="Cambria"/>
          <w:sz w:val="24"/>
        </w:rPr>
        <w:t>wigmakers</w:t>
      </w:r>
      <w:proofErr w:type="gramEnd"/>
      <w:r w:rsidRPr="00C43E74">
        <w:rPr>
          <w:rFonts w:ascii="Cambria" w:hAnsi="Cambria"/>
          <w:sz w:val="24"/>
        </w:rPr>
        <w:t>, the basic approximation of a beauty store, a signers centre, a royal harem, and sometimes as doctors, and as female overseers of this area (</w:t>
      </w:r>
      <w:proofErr w:type="spellStart"/>
      <w:r w:rsidRPr="00C43E74">
        <w:rPr>
          <w:rFonts w:ascii="Cambria" w:hAnsi="Cambria"/>
          <w:sz w:val="24"/>
        </w:rPr>
        <w:t>Strouhal</w:t>
      </w:r>
      <w:proofErr w:type="spellEnd"/>
      <w:r w:rsidRPr="00C43E74">
        <w:rPr>
          <w:rFonts w:ascii="Cambria" w:hAnsi="Cambria"/>
          <w:sz w:val="24"/>
        </w:rPr>
        <w:t>, 2992).</w:t>
      </w:r>
    </w:p>
    <w:p w14:paraId="419E3943" w14:textId="7B9288C5" w:rsidR="00C43E74" w:rsidRDefault="00C43E74" w:rsidP="00F44647">
      <w:pPr>
        <w:spacing w:after="0" w:line="240" w:lineRule="auto"/>
        <w:rPr>
          <w:rFonts w:ascii="Cambria" w:hAnsi="Cambria"/>
          <w:sz w:val="24"/>
        </w:rPr>
      </w:pPr>
      <w:r w:rsidRPr="00C43E74">
        <w:rPr>
          <w:rFonts w:ascii="Cambria" w:hAnsi="Cambria"/>
          <w:sz w:val="24"/>
        </w:rPr>
        <w:t xml:space="preserve">Most of these positions are not ones that could generally be considered important, with the clear exception being the doctor and female overseer. Further consideration leads to the idea that the leader of the royal harem would have a level of influence and power, but not an overly large amount as she would still be subordinate to someone- likely one </w:t>
      </w:r>
      <w:r w:rsidRPr="00C43E74">
        <w:rPr>
          <w:rFonts w:ascii="Cambria" w:hAnsi="Cambria"/>
          <w:sz w:val="24"/>
        </w:rPr>
        <w:lastRenderedPageBreak/>
        <w:t>of Pharaoh’s wives or Pharaoh himself.</w:t>
      </w:r>
      <w:r w:rsidRPr="00C43E74">
        <w:rPr>
          <w:rFonts w:ascii="Cambria" w:hAnsi="Cambria"/>
          <w:sz w:val="24"/>
        </w:rPr>
        <w:br/>
        <w:t xml:space="preserve">In comparison to the positions of leadership males took in Ancient Egypt, this certainly is a highlighter of the differences in the position of men and women. </w:t>
      </w:r>
    </w:p>
    <w:p w14:paraId="3F95D93D" w14:textId="72BBD3BF" w:rsidR="00195AFA" w:rsidRPr="00D74230" w:rsidRDefault="00195AFA" w:rsidP="00C43E74">
      <w:pPr>
        <w:rPr>
          <w:rFonts w:ascii="Cambria" w:hAnsi="Cambria"/>
          <w:sz w:val="28"/>
        </w:rPr>
      </w:pPr>
    </w:p>
    <w:p w14:paraId="70CC42DF" w14:textId="635C00D9" w:rsidR="00D74230" w:rsidRPr="00D74230" w:rsidRDefault="00D74230" w:rsidP="00D74230">
      <w:pPr>
        <w:rPr>
          <w:rFonts w:ascii="Cambria" w:hAnsi="Cambria"/>
          <w:b/>
          <w:sz w:val="28"/>
        </w:rPr>
      </w:pPr>
      <w:r w:rsidRPr="00D74230">
        <w:rPr>
          <w:rFonts w:ascii="Cambria" w:hAnsi="Cambria"/>
          <w:b/>
          <w:sz w:val="28"/>
        </w:rPr>
        <w:t>Conclusion</w:t>
      </w:r>
    </w:p>
    <w:p w14:paraId="7A77BA84" w14:textId="4A6C1053" w:rsidR="00D74230" w:rsidRDefault="00D74230" w:rsidP="00F44647">
      <w:pPr>
        <w:spacing w:after="0" w:line="240" w:lineRule="auto"/>
        <w:rPr>
          <w:rFonts w:ascii="Cambria" w:hAnsi="Cambria"/>
          <w:sz w:val="24"/>
        </w:rPr>
      </w:pPr>
      <w:r w:rsidRPr="00D74230">
        <w:rPr>
          <w:rFonts w:ascii="Cambria" w:hAnsi="Cambria"/>
          <w:sz w:val="24"/>
        </w:rPr>
        <w:t>The basics of a woman’s ‘place’ in Egyptian society appear to be neatly summed up in the little piece of instruction poetry found below.</w:t>
      </w:r>
    </w:p>
    <w:p w14:paraId="2EBB15A6" w14:textId="77777777" w:rsidR="00F44647" w:rsidRPr="00D74230" w:rsidRDefault="00F44647" w:rsidP="00F44647">
      <w:pPr>
        <w:spacing w:after="0" w:line="240" w:lineRule="auto"/>
        <w:rPr>
          <w:rFonts w:ascii="Cambria" w:hAnsi="Cambria"/>
          <w:sz w:val="24"/>
        </w:rPr>
      </w:pPr>
    </w:p>
    <w:p w14:paraId="2612A173" w14:textId="7C3DA125" w:rsidR="00D74230" w:rsidRPr="00D74230" w:rsidRDefault="00D74230" w:rsidP="00D74230">
      <w:pPr>
        <w:ind w:left="720"/>
        <w:rPr>
          <w:rFonts w:ascii="Cambria" w:hAnsi="Cambria"/>
          <w:sz w:val="24"/>
        </w:rPr>
      </w:pPr>
      <w:r w:rsidRPr="00D74230">
        <w:rPr>
          <w:rFonts w:ascii="Cambria" w:hAnsi="Cambria"/>
          <w:sz w:val="24"/>
        </w:rPr>
        <w:t>Rank creates its rules:</w:t>
      </w:r>
      <w:r w:rsidRPr="00D74230">
        <w:rPr>
          <w:rFonts w:ascii="Cambria" w:hAnsi="Cambria"/>
          <w:sz w:val="24"/>
        </w:rPr>
        <w:br/>
        <w:t>A woman is asked about her husband,</w:t>
      </w:r>
      <w:r w:rsidRPr="00D74230">
        <w:rPr>
          <w:rFonts w:ascii="Cambria" w:hAnsi="Cambria"/>
          <w:sz w:val="24"/>
        </w:rPr>
        <w:br/>
        <w:t>A man is asked about his rank.</w:t>
      </w:r>
      <w:r w:rsidRPr="00D74230">
        <w:rPr>
          <w:rFonts w:ascii="Cambria" w:hAnsi="Cambria"/>
          <w:sz w:val="24"/>
        </w:rPr>
        <w:br/>
        <w:t>(Lichtheim 1976, 140)</w:t>
      </w:r>
    </w:p>
    <w:p w14:paraId="33C88342" w14:textId="00271ED5" w:rsidR="00D74230" w:rsidRDefault="00D74230" w:rsidP="00F44647">
      <w:pPr>
        <w:spacing w:after="0" w:line="240" w:lineRule="auto"/>
        <w:rPr>
          <w:rFonts w:ascii="Cambria" w:hAnsi="Cambria"/>
          <w:sz w:val="24"/>
        </w:rPr>
      </w:pPr>
      <w:r w:rsidRPr="00D74230">
        <w:rPr>
          <w:rFonts w:ascii="Cambria" w:hAnsi="Cambria"/>
          <w:sz w:val="24"/>
        </w:rPr>
        <w:t xml:space="preserve">It is more than clear, even from a basic overview of Ancient Egypt, that there was an inequality in the status and roles of the different genders, with the male gender taking what to some might be considered the more ‘important’ roles in life. Regardless, they certainly held the more influential and, though this has now become a somewhat repetitive point, the more ‘active’ positions. </w:t>
      </w:r>
    </w:p>
    <w:p w14:paraId="77D67FC2" w14:textId="77777777" w:rsidR="00F44647" w:rsidRPr="00D74230" w:rsidRDefault="00F44647" w:rsidP="00F44647">
      <w:pPr>
        <w:spacing w:after="0" w:line="240" w:lineRule="auto"/>
        <w:rPr>
          <w:rFonts w:ascii="Cambria" w:hAnsi="Cambria"/>
          <w:sz w:val="24"/>
        </w:rPr>
      </w:pPr>
    </w:p>
    <w:p w14:paraId="3E0D8558" w14:textId="7AF02006" w:rsidR="00D74230" w:rsidRDefault="00D74230" w:rsidP="00F44647">
      <w:pPr>
        <w:spacing w:after="0" w:line="240" w:lineRule="auto"/>
        <w:rPr>
          <w:rFonts w:ascii="Cambria" w:hAnsi="Cambria"/>
          <w:sz w:val="24"/>
        </w:rPr>
      </w:pPr>
      <w:r w:rsidRPr="00D74230">
        <w:rPr>
          <w:rFonts w:ascii="Cambria" w:hAnsi="Cambria"/>
          <w:sz w:val="24"/>
        </w:rPr>
        <w:t>This is not to say that the female gender did not have its own importance in the roles they took as their own- childbirth and motherhood, on some level, could be considered the most important role a person could do. That there have been female Pharaohs is also a point in their favour, as, though Pharaoh was male, they performed the role well and did much for their people and country which would have been noted, despite the insistence of Pharaoh’s male status, and their actual gender being something of an open secret. Even though females were able to do things including, if necessary, roles such as this, it certainly does not lead to the idea of equality between the two genders.</w:t>
      </w:r>
    </w:p>
    <w:p w14:paraId="690979A4" w14:textId="77777777" w:rsidR="00F44647" w:rsidRPr="00D74230" w:rsidRDefault="00F44647" w:rsidP="00F44647">
      <w:pPr>
        <w:spacing w:after="0" w:line="240" w:lineRule="auto"/>
        <w:rPr>
          <w:rFonts w:ascii="Cambria" w:hAnsi="Cambria"/>
          <w:sz w:val="24"/>
        </w:rPr>
      </w:pPr>
    </w:p>
    <w:p w14:paraId="3E051D0C" w14:textId="2B8C8556" w:rsidR="00D74230" w:rsidRDefault="00D74230" w:rsidP="00F44647">
      <w:pPr>
        <w:spacing w:after="0" w:line="240" w:lineRule="auto"/>
        <w:rPr>
          <w:rFonts w:ascii="Cambria" w:hAnsi="Cambria"/>
          <w:sz w:val="24"/>
        </w:rPr>
      </w:pPr>
      <w:r w:rsidRPr="00D74230">
        <w:rPr>
          <w:rFonts w:ascii="Cambria" w:hAnsi="Cambria"/>
          <w:sz w:val="24"/>
        </w:rPr>
        <w:t>The lack of important positions going to women was likely to have been ruled by either a conscious or unconscious belief or understanding that women simply could not have the ability or fortitude to take these higher jobs, leading them to be somewhat relegated in their place in society. Ancient Egypt can, by the basis of this essay, be declared a Patriarchal society. Women could certainly be considered reliant on the males in their life for much of their support in life.</w:t>
      </w:r>
    </w:p>
    <w:p w14:paraId="48E3F847" w14:textId="77777777" w:rsidR="00F44647" w:rsidRPr="00D74230" w:rsidRDefault="00F44647" w:rsidP="00F44647">
      <w:pPr>
        <w:spacing w:after="0" w:line="240" w:lineRule="auto"/>
        <w:rPr>
          <w:rFonts w:ascii="Cambria" w:hAnsi="Cambria"/>
          <w:sz w:val="24"/>
        </w:rPr>
      </w:pPr>
    </w:p>
    <w:p w14:paraId="65382575" w14:textId="77777777" w:rsidR="00D74230" w:rsidRPr="00D74230" w:rsidRDefault="00D74230" w:rsidP="00F44647">
      <w:pPr>
        <w:spacing w:after="0" w:line="240" w:lineRule="auto"/>
        <w:rPr>
          <w:rFonts w:ascii="Cambria" w:hAnsi="Cambria"/>
          <w:sz w:val="24"/>
        </w:rPr>
      </w:pPr>
      <w:r w:rsidRPr="00D74230">
        <w:rPr>
          <w:rFonts w:ascii="Cambria" w:hAnsi="Cambria"/>
          <w:sz w:val="24"/>
        </w:rPr>
        <w:t>Further examination of Gender and Equality would certainly be interesting to undergo- more detail in certain areas is needed to get more than the overview this piece of work provides. Further consideration will be needed if this is to be a dissertation topic, though.</w:t>
      </w:r>
    </w:p>
    <w:p w14:paraId="2AB73761" w14:textId="77777777" w:rsidR="00195AFA" w:rsidRPr="00C43E74" w:rsidRDefault="00195AFA" w:rsidP="00C43E74">
      <w:pPr>
        <w:rPr>
          <w:rFonts w:ascii="Cambria" w:hAnsi="Cambria"/>
          <w:sz w:val="24"/>
        </w:rPr>
      </w:pPr>
    </w:p>
    <w:p w14:paraId="58E264E7" w14:textId="77777777" w:rsidR="004A1974" w:rsidRPr="007D4556" w:rsidRDefault="004A1974" w:rsidP="007D4556">
      <w:pPr>
        <w:rPr>
          <w:rFonts w:ascii="Cambria" w:hAnsi="Cambria"/>
          <w:sz w:val="24"/>
        </w:rPr>
      </w:pPr>
    </w:p>
    <w:p w14:paraId="184C93AF" w14:textId="7770DEFB" w:rsidR="00AB2B57" w:rsidRDefault="00AB2B57" w:rsidP="00AB2B57">
      <w:pPr>
        <w:rPr>
          <w:rFonts w:ascii="Cambria" w:hAnsi="Cambria"/>
          <w:sz w:val="24"/>
        </w:rPr>
      </w:pPr>
    </w:p>
    <w:p w14:paraId="40274230" w14:textId="3D2300C8" w:rsidR="00790EEB" w:rsidRDefault="00790EEB" w:rsidP="00AB2B57">
      <w:pPr>
        <w:rPr>
          <w:rFonts w:ascii="Cambria" w:hAnsi="Cambria"/>
          <w:sz w:val="24"/>
        </w:rPr>
      </w:pPr>
    </w:p>
    <w:p w14:paraId="02E1CE3A" w14:textId="77777777" w:rsidR="00790EEB" w:rsidRPr="00AB2B57" w:rsidRDefault="00790EEB" w:rsidP="00AB2B57">
      <w:pPr>
        <w:rPr>
          <w:rFonts w:ascii="Cambria" w:hAnsi="Cambria"/>
          <w:sz w:val="24"/>
        </w:rPr>
      </w:pPr>
    </w:p>
    <w:p w14:paraId="29FBD938" w14:textId="2B7A0A42" w:rsidR="00BD7B22" w:rsidRDefault="00246886" w:rsidP="000700C5">
      <w:pPr>
        <w:rPr>
          <w:rFonts w:ascii="Cambria" w:hAnsi="Cambria"/>
          <w:b/>
          <w:sz w:val="28"/>
        </w:rPr>
      </w:pPr>
      <w:r w:rsidRPr="00246886">
        <w:rPr>
          <w:rFonts w:ascii="Cambria" w:hAnsi="Cambria"/>
          <w:b/>
          <w:sz w:val="28"/>
        </w:rPr>
        <w:lastRenderedPageBreak/>
        <w:t>Word Count: 2501</w:t>
      </w:r>
    </w:p>
    <w:p w14:paraId="60C552CA" w14:textId="77777777" w:rsidR="00246886" w:rsidRPr="00246886" w:rsidRDefault="00246886" w:rsidP="00246886">
      <w:pPr>
        <w:rPr>
          <w:rFonts w:ascii="Cambria" w:hAnsi="Cambria"/>
          <w:b/>
          <w:sz w:val="28"/>
        </w:rPr>
      </w:pPr>
      <w:r w:rsidRPr="00246886">
        <w:rPr>
          <w:rFonts w:ascii="Cambria" w:hAnsi="Cambria"/>
          <w:b/>
          <w:sz w:val="28"/>
        </w:rPr>
        <w:t>Bibliography:</w:t>
      </w:r>
    </w:p>
    <w:p w14:paraId="0D05F9DC" w14:textId="77777777" w:rsidR="00246886" w:rsidRPr="00246886" w:rsidRDefault="00246886" w:rsidP="00246886">
      <w:pPr>
        <w:spacing w:after="0" w:line="240" w:lineRule="auto"/>
        <w:rPr>
          <w:rFonts w:ascii="Cambria" w:hAnsi="Cambria"/>
          <w:sz w:val="24"/>
        </w:rPr>
      </w:pPr>
    </w:p>
    <w:p w14:paraId="2C3E935B" w14:textId="1124F991" w:rsidR="00246886" w:rsidRDefault="00246886" w:rsidP="00246886">
      <w:pPr>
        <w:spacing w:after="0" w:line="240" w:lineRule="auto"/>
        <w:rPr>
          <w:rFonts w:ascii="Cambria" w:hAnsi="Cambria"/>
          <w:i/>
          <w:sz w:val="24"/>
        </w:rPr>
      </w:pPr>
      <w:r w:rsidRPr="00246886">
        <w:rPr>
          <w:rFonts w:ascii="Cambria" w:hAnsi="Cambria"/>
          <w:sz w:val="24"/>
        </w:rPr>
        <w:t xml:space="preserve">Anon, 2016. </w:t>
      </w:r>
      <w:r w:rsidRPr="00246886">
        <w:rPr>
          <w:rFonts w:ascii="Cambria" w:hAnsi="Cambria"/>
          <w:i/>
          <w:sz w:val="24"/>
        </w:rPr>
        <w:t>Near Eastern Archaeology 79:3. Gender in Ancient Egypt: Norms Ambiguities, and Sensualities.</w:t>
      </w:r>
    </w:p>
    <w:p w14:paraId="5286E36A" w14:textId="77777777" w:rsidR="00246886" w:rsidRPr="00246886" w:rsidRDefault="00246886" w:rsidP="00246886">
      <w:pPr>
        <w:spacing w:after="0" w:line="240" w:lineRule="auto"/>
        <w:rPr>
          <w:rFonts w:ascii="Cambria" w:hAnsi="Cambria"/>
          <w:i/>
          <w:sz w:val="24"/>
        </w:rPr>
      </w:pPr>
    </w:p>
    <w:p w14:paraId="7E186926" w14:textId="01076280" w:rsidR="00246886" w:rsidRDefault="00246886" w:rsidP="00246886">
      <w:pPr>
        <w:spacing w:after="0" w:line="240" w:lineRule="auto"/>
        <w:rPr>
          <w:rFonts w:ascii="Cambria" w:hAnsi="Cambria"/>
          <w:sz w:val="24"/>
        </w:rPr>
      </w:pPr>
      <w:r w:rsidRPr="00246886">
        <w:rPr>
          <w:rFonts w:ascii="Cambria" w:hAnsi="Cambria"/>
          <w:sz w:val="24"/>
        </w:rPr>
        <w:t xml:space="preserve">Brewer, Douglas. J. &amp; Teeter, Emily., 2010. </w:t>
      </w:r>
      <w:r w:rsidRPr="00246886">
        <w:rPr>
          <w:rFonts w:ascii="Cambria" w:hAnsi="Cambria"/>
          <w:i/>
          <w:iCs/>
          <w:sz w:val="24"/>
        </w:rPr>
        <w:t>Egypt and the Egyptians</w:t>
      </w:r>
      <w:r w:rsidRPr="00246886">
        <w:rPr>
          <w:rFonts w:ascii="Cambria" w:hAnsi="Cambria"/>
          <w:sz w:val="24"/>
        </w:rPr>
        <w:t>, Cambridge, UK: Cambridge University Press.</w:t>
      </w:r>
    </w:p>
    <w:p w14:paraId="135A7AC8" w14:textId="77777777" w:rsidR="00246886" w:rsidRPr="00246886" w:rsidRDefault="00246886" w:rsidP="00246886">
      <w:pPr>
        <w:spacing w:after="0" w:line="240" w:lineRule="auto"/>
        <w:rPr>
          <w:rFonts w:ascii="Cambria" w:hAnsi="Cambria"/>
          <w:sz w:val="24"/>
        </w:rPr>
      </w:pPr>
    </w:p>
    <w:p w14:paraId="0986C015" w14:textId="77777777" w:rsidR="00246886" w:rsidRPr="00246886" w:rsidRDefault="00246886" w:rsidP="00246886">
      <w:pPr>
        <w:spacing w:after="0" w:line="240" w:lineRule="auto"/>
        <w:rPr>
          <w:rFonts w:ascii="Cambria" w:hAnsi="Cambria"/>
          <w:sz w:val="24"/>
        </w:rPr>
      </w:pPr>
      <w:proofErr w:type="spellStart"/>
      <w:r w:rsidRPr="00246886">
        <w:rPr>
          <w:rFonts w:ascii="Cambria" w:hAnsi="Cambria"/>
          <w:sz w:val="24"/>
        </w:rPr>
        <w:t>Budin</w:t>
      </w:r>
      <w:proofErr w:type="spellEnd"/>
      <w:r w:rsidRPr="00246886">
        <w:rPr>
          <w:rFonts w:ascii="Cambria" w:hAnsi="Cambria"/>
          <w:sz w:val="24"/>
        </w:rPr>
        <w:t xml:space="preserve">, S.L. &amp; </w:t>
      </w:r>
      <w:proofErr w:type="spellStart"/>
      <w:r w:rsidRPr="00246886">
        <w:rPr>
          <w:rFonts w:ascii="Cambria" w:hAnsi="Cambria"/>
          <w:sz w:val="24"/>
        </w:rPr>
        <w:t>Turfa</w:t>
      </w:r>
      <w:proofErr w:type="spellEnd"/>
      <w:r w:rsidRPr="00246886">
        <w:rPr>
          <w:rFonts w:ascii="Cambria" w:hAnsi="Cambria"/>
          <w:sz w:val="24"/>
        </w:rPr>
        <w:t xml:space="preserve">, J.M.I., 2016. </w:t>
      </w:r>
      <w:r w:rsidRPr="00246886">
        <w:rPr>
          <w:rFonts w:ascii="Cambria" w:hAnsi="Cambria"/>
          <w:i/>
          <w:iCs/>
          <w:sz w:val="24"/>
        </w:rPr>
        <w:t>Women in antiquity: real women across the ancient world</w:t>
      </w:r>
      <w:r w:rsidRPr="00246886">
        <w:rPr>
          <w:rFonts w:ascii="Cambria" w:hAnsi="Cambria"/>
          <w:sz w:val="24"/>
        </w:rPr>
        <w:t xml:space="preserve">, </w:t>
      </w:r>
      <w:proofErr w:type="spellStart"/>
      <w:r w:rsidRPr="00246886">
        <w:rPr>
          <w:rFonts w:ascii="Cambria" w:hAnsi="Cambria"/>
          <w:sz w:val="24"/>
        </w:rPr>
        <w:t>S.l.</w:t>
      </w:r>
      <w:proofErr w:type="spellEnd"/>
      <w:r w:rsidRPr="00246886">
        <w:rPr>
          <w:rFonts w:ascii="Cambria" w:hAnsi="Cambria"/>
          <w:sz w:val="24"/>
        </w:rPr>
        <w:t xml:space="preserve">: </w:t>
      </w:r>
      <w:proofErr w:type="spellStart"/>
      <w:r w:rsidRPr="00246886">
        <w:rPr>
          <w:rFonts w:ascii="Cambria" w:hAnsi="Cambria"/>
          <w:sz w:val="24"/>
        </w:rPr>
        <w:t>s.n</w:t>
      </w:r>
      <w:proofErr w:type="spellEnd"/>
      <w:r w:rsidRPr="00246886">
        <w:rPr>
          <w:rFonts w:ascii="Cambria" w:hAnsi="Cambria"/>
          <w:sz w:val="24"/>
        </w:rPr>
        <w:t xml:space="preserve">. </w:t>
      </w:r>
    </w:p>
    <w:p w14:paraId="01C624C7" w14:textId="7B83E1F0" w:rsidR="00246886" w:rsidRDefault="00246886" w:rsidP="00246886">
      <w:pPr>
        <w:spacing w:after="0" w:line="240" w:lineRule="auto"/>
        <w:rPr>
          <w:rFonts w:ascii="Cambria" w:hAnsi="Cambria"/>
          <w:i/>
          <w:sz w:val="24"/>
        </w:rPr>
      </w:pPr>
      <w:proofErr w:type="spellStart"/>
      <w:r w:rsidRPr="00246886">
        <w:rPr>
          <w:rFonts w:ascii="Cambria" w:hAnsi="Cambria"/>
          <w:i/>
          <w:sz w:val="24"/>
        </w:rPr>
        <w:t>Pg</w:t>
      </w:r>
      <w:proofErr w:type="spellEnd"/>
      <w:r w:rsidRPr="00246886">
        <w:rPr>
          <w:rFonts w:ascii="Cambria" w:hAnsi="Cambria"/>
          <w:i/>
          <w:sz w:val="24"/>
        </w:rPr>
        <w:t xml:space="preserve"> 223</w:t>
      </w:r>
    </w:p>
    <w:p w14:paraId="0D7FAEB3" w14:textId="77777777" w:rsidR="00246886" w:rsidRPr="00246886" w:rsidRDefault="00246886" w:rsidP="00246886">
      <w:pPr>
        <w:spacing w:after="0" w:line="240" w:lineRule="auto"/>
        <w:rPr>
          <w:rFonts w:ascii="Cambria" w:hAnsi="Cambria"/>
          <w:i/>
          <w:sz w:val="24"/>
        </w:rPr>
      </w:pPr>
    </w:p>
    <w:p w14:paraId="5036869F" w14:textId="51295B59" w:rsidR="00246886" w:rsidRDefault="00246886" w:rsidP="00246886">
      <w:pPr>
        <w:spacing w:after="0" w:line="240" w:lineRule="auto"/>
        <w:rPr>
          <w:rFonts w:ascii="Cambria" w:hAnsi="Cambria"/>
          <w:i/>
          <w:sz w:val="24"/>
        </w:rPr>
      </w:pPr>
      <w:r w:rsidRPr="00246886">
        <w:rPr>
          <w:rFonts w:ascii="Cambria" w:hAnsi="Cambria"/>
          <w:sz w:val="24"/>
        </w:rPr>
        <w:t xml:space="preserve">E, </w:t>
      </w:r>
      <w:proofErr w:type="spellStart"/>
      <w:r w:rsidRPr="00246886">
        <w:rPr>
          <w:rFonts w:ascii="Cambria" w:hAnsi="Cambria"/>
          <w:sz w:val="24"/>
        </w:rPr>
        <w:t>Strouhal</w:t>
      </w:r>
      <w:proofErr w:type="spellEnd"/>
      <w:r w:rsidRPr="00246886">
        <w:rPr>
          <w:rFonts w:ascii="Cambria" w:hAnsi="Cambria"/>
          <w:sz w:val="24"/>
        </w:rPr>
        <w:t xml:space="preserve">., 1992. </w:t>
      </w:r>
      <w:r w:rsidRPr="00246886">
        <w:rPr>
          <w:rFonts w:ascii="Cambria" w:hAnsi="Cambria"/>
          <w:i/>
          <w:sz w:val="24"/>
        </w:rPr>
        <w:t xml:space="preserve">Life in Ancient Egypt, </w:t>
      </w:r>
      <w:r w:rsidRPr="00246886">
        <w:rPr>
          <w:rFonts w:ascii="Cambria" w:hAnsi="Cambria"/>
          <w:sz w:val="24"/>
        </w:rPr>
        <w:t>Cambridge University Press.</w:t>
      </w:r>
      <w:r w:rsidRPr="00246886">
        <w:rPr>
          <w:rFonts w:ascii="Cambria" w:hAnsi="Cambria"/>
          <w:sz w:val="24"/>
        </w:rPr>
        <w:br/>
      </w:r>
      <w:r w:rsidRPr="00246886">
        <w:rPr>
          <w:rFonts w:ascii="Cambria" w:hAnsi="Cambria"/>
          <w:i/>
          <w:sz w:val="24"/>
        </w:rPr>
        <w:t>Chapter Five: Marriage and the Standing of Women</w:t>
      </w:r>
    </w:p>
    <w:p w14:paraId="3AA25799" w14:textId="77777777" w:rsidR="00246886" w:rsidRPr="00246886" w:rsidRDefault="00246886" w:rsidP="00246886">
      <w:pPr>
        <w:spacing w:after="0" w:line="240" w:lineRule="auto"/>
        <w:rPr>
          <w:rFonts w:ascii="Cambria" w:hAnsi="Cambria"/>
          <w:sz w:val="24"/>
        </w:rPr>
      </w:pPr>
    </w:p>
    <w:p w14:paraId="21C4B362" w14:textId="53C3EE58" w:rsidR="00246886" w:rsidRDefault="00246886" w:rsidP="00246886">
      <w:pPr>
        <w:spacing w:after="0" w:line="240" w:lineRule="auto"/>
        <w:rPr>
          <w:rFonts w:ascii="Cambria" w:hAnsi="Cambria"/>
          <w:sz w:val="24"/>
        </w:rPr>
      </w:pPr>
      <w:r w:rsidRPr="00246886">
        <w:rPr>
          <w:rFonts w:ascii="Cambria" w:hAnsi="Cambria"/>
          <w:sz w:val="24"/>
        </w:rPr>
        <w:t xml:space="preserve">Ikram, S., 2011. </w:t>
      </w:r>
      <w:r w:rsidRPr="00246886">
        <w:rPr>
          <w:rFonts w:ascii="Cambria" w:hAnsi="Cambria"/>
          <w:i/>
          <w:iCs/>
          <w:sz w:val="24"/>
        </w:rPr>
        <w:t>Ancient Egypt: an introduction</w:t>
      </w:r>
      <w:r w:rsidRPr="00246886">
        <w:rPr>
          <w:rFonts w:ascii="Cambria" w:hAnsi="Cambria"/>
          <w:sz w:val="24"/>
        </w:rPr>
        <w:t xml:space="preserve">, Cairo, Egypt: American University in Cairo Press. </w:t>
      </w:r>
    </w:p>
    <w:p w14:paraId="1E9B917E" w14:textId="77777777" w:rsidR="00246886" w:rsidRPr="00246886" w:rsidRDefault="00246886" w:rsidP="00246886">
      <w:pPr>
        <w:spacing w:after="0" w:line="240" w:lineRule="auto"/>
        <w:rPr>
          <w:rFonts w:ascii="Cambria" w:hAnsi="Cambria"/>
          <w:sz w:val="24"/>
        </w:rPr>
      </w:pPr>
    </w:p>
    <w:p w14:paraId="4F7CD9B8" w14:textId="09D933D9" w:rsidR="00246886" w:rsidRDefault="00246886" w:rsidP="00246886">
      <w:pPr>
        <w:spacing w:after="0" w:line="240" w:lineRule="auto"/>
        <w:rPr>
          <w:rFonts w:ascii="Cambria" w:hAnsi="Cambria"/>
          <w:sz w:val="24"/>
        </w:rPr>
      </w:pPr>
      <w:r w:rsidRPr="00246886">
        <w:rPr>
          <w:rFonts w:ascii="Cambria" w:hAnsi="Cambria"/>
          <w:sz w:val="24"/>
        </w:rPr>
        <w:t xml:space="preserve">Lichtheim, M., 2006. </w:t>
      </w:r>
      <w:r w:rsidRPr="00246886">
        <w:rPr>
          <w:rFonts w:ascii="Cambria" w:hAnsi="Cambria"/>
          <w:i/>
          <w:iCs/>
          <w:sz w:val="24"/>
        </w:rPr>
        <w:t>Ancient Egyptian literature: a book of readings</w:t>
      </w:r>
      <w:r w:rsidRPr="00246886">
        <w:rPr>
          <w:rFonts w:ascii="Cambria" w:hAnsi="Cambria"/>
          <w:sz w:val="24"/>
        </w:rPr>
        <w:t>, Berkeley, CA: University of California Press.</w:t>
      </w:r>
    </w:p>
    <w:p w14:paraId="6CA6BD95" w14:textId="77777777" w:rsidR="00246886" w:rsidRPr="00246886" w:rsidRDefault="00246886" w:rsidP="00246886">
      <w:pPr>
        <w:spacing w:after="0" w:line="240" w:lineRule="auto"/>
        <w:rPr>
          <w:rFonts w:ascii="Cambria" w:hAnsi="Cambria"/>
          <w:sz w:val="24"/>
        </w:rPr>
      </w:pPr>
    </w:p>
    <w:p w14:paraId="03B94343" w14:textId="77777777" w:rsidR="00246886" w:rsidRPr="00246886" w:rsidRDefault="00246886" w:rsidP="00246886">
      <w:pPr>
        <w:spacing w:after="0" w:line="240" w:lineRule="auto"/>
        <w:rPr>
          <w:rFonts w:ascii="Cambria" w:hAnsi="Cambria"/>
          <w:sz w:val="24"/>
        </w:rPr>
      </w:pPr>
      <w:r w:rsidRPr="00246886">
        <w:rPr>
          <w:rFonts w:ascii="Cambria" w:hAnsi="Cambria"/>
          <w:sz w:val="24"/>
        </w:rPr>
        <w:t xml:space="preserve">Trigger, B.G., 2010. </w:t>
      </w:r>
      <w:r w:rsidRPr="00246886">
        <w:rPr>
          <w:rFonts w:ascii="Cambria" w:hAnsi="Cambria"/>
          <w:i/>
          <w:iCs/>
          <w:sz w:val="24"/>
        </w:rPr>
        <w:t>Understanding early civilizations: a comparative study</w:t>
      </w:r>
      <w:r w:rsidRPr="00246886">
        <w:rPr>
          <w:rFonts w:ascii="Cambria" w:hAnsi="Cambria"/>
          <w:sz w:val="24"/>
        </w:rPr>
        <w:t>, Cambridge: Cambridge University Press.</w:t>
      </w:r>
    </w:p>
    <w:p w14:paraId="03E85D0C" w14:textId="555F4D2D" w:rsidR="00246886" w:rsidRDefault="00246886" w:rsidP="000700C5">
      <w:pPr>
        <w:rPr>
          <w:rFonts w:ascii="Cambria" w:hAnsi="Cambria"/>
          <w:b/>
          <w:sz w:val="28"/>
        </w:rPr>
      </w:pPr>
    </w:p>
    <w:p w14:paraId="44208918" w14:textId="2F383E14" w:rsidR="007060FA" w:rsidRDefault="007060FA" w:rsidP="000700C5">
      <w:pPr>
        <w:rPr>
          <w:rFonts w:ascii="Cambria" w:hAnsi="Cambria"/>
          <w:b/>
          <w:sz w:val="28"/>
        </w:rPr>
      </w:pPr>
    </w:p>
    <w:p w14:paraId="1BB24F5F" w14:textId="229BBBA4" w:rsidR="007060FA" w:rsidRDefault="007060FA" w:rsidP="000700C5">
      <w:pPr>
        <w:rPr>
          <w:rFonts w:ascii="Cambria" w:hAnsi="Cambria"/>
          <w:b/>
          <w:sz w:val="28"/>
        </w:rPr>
      </w:pPr>
    </w:p>
    <w:p w14:paraId="4B7A4B09" w14:textId="2D9D648C" w:rsidR="007060FA" w:rsidRDefault="007060FA" w:rsidP="000700C5">
      <w:pPr>
        <w:rPr>
          <w:rFonts w:ascii="Cambria" w:hAnsi="Cambria"/>
          <w:b/>
          <w:sz w:val="28"/>
        </w:rPr>
      </w:pPr>
    </w:p>
    <w:p w14:paraId="0A272541" w14:textId="1ACCF2A7" w:rsidR="007060FA" w:rsidRDefault="007060FA" w:rsidP="000700C5">
      <w:pPr>
        <w:rPr>
          <w:rFonts w:ascii="Cambria" w:hAnsi="Cambria"/>
          <w:b/>
          <w:sz w:val="28"/>
        </w:rPr>
      </w:pPr>
    </w:p>
    <w:p w14:paraId="4385A172" w14:textId="788F75C4" w:rsidR="007060FA" w:rsidRDefault="007060FA" w:rsidP="000700C5">
      <w:pPr>
        <w:rPr>
          <w:rFonts w:ascii="Cambria" w:hAnsi="Cambria"/>
          <w:b/>
          <w:sz w:val="28"/>
        </w:rPr>
      </w:pPr>
    </w:p>
    <w:p w14:paraId="32A5DADD" w14:textId="1FCA111A" w:rsidR="007060FA" w:rsidRDefault="007060FA" w:rsidP="000700C5">
      <w:pPr>
        <w:rPr>
          <w:rFonts w:ascii="Cambria" w:hAnsi="Cambria"/>
          <w:b/>
          <w:sz w:val="28"/>
        </w:rPr>
      </w:pPr>
    </w:p>
    <w:p w14:paraId="25FECA7E" w14:textId="3AAB1885" w:rsidR="007060FA" w:rsidRDefault="007060FA" w:rsidP="000700C5">
      <w:pPr>
        <w:rPr>
          <w:rFonts w:ascii="Cambria" w:hAnsi="Cambria"/>
          <w:b/>
          <w:sz w:val="28"/>
        </w:rPr>
      </w:pPr>
    </w:p>
    <w:p w14:paraId="50D86A80" w14:textId="197A9595" w:rsidR="007060FA" w:rsidRDefault="007060FA" w:rsidP="000700C5">
      <w:pPr>
        <w:rPr>
          <w:rFonts w:ascii="Cambria" w:hAnsi="Cambria"/>
          <w:b/>
          <w:sz w:val="28"/>
        </w:rPr>
      </w:pPr>
    </w:p>
    <w:p w14:paraId="0EC929E2" w14:textId="565871C8" w:rsidR="007060FA" w:rsidRDefault="007060FA" w:rsidP="000700C5">
      <w:pPr>
        <w:rPr>
          <w:rFonts w:ascii="Cambria" w:hAnsi="Cambria"/>
          <w:b/>
          <w:sz w:val="28"/>
        </w:rPr>
      </w:pPr>
    </w:p>
    <w:p w14:paraId="1A11E5B8" w14:textId="3BA67213" w:rsidR="007060FA" w:rsidRDefault="007060FA" w:rsidP="000700C5">
      <w:pPr>
        <w:rPr>
          <w:rFonts w:ascii="Cambria" w:hAnsi="Cambria"/>
          <w:b/>
          <w:sz w:val="28"/>
        </w:rPr>
      </w:pPr>
    </w:p>
    <w:p w14:paraId="7B731F83" w14:textId="0A8CD1EA" w:rsidR="007060FA" w:rsidRDefault="007060FA" w:rsidP="000700C5">
      <w:pPr>
        <w:rPr>
          <w:rFonts w:ascii="Cambria" w:hAnsi="Cambria"/>
          <w:b/>
          <w:sz w:val="28"/>
        </w:rPr>
      </w:pPr>
    </w:p>
    <w:p w14:paraId="34E86D30" w14:textId="77777777" w:rsidR="007060FA" w:rsidRDefault="007060FA" w:rsidP="000700C5">
      <w:pPr>
        <w:rPr>
          <w:rFonts w:ascii="Cambria" w:hAnsi="Cambria"/>
          <w:b/>
          <w:sz w:val="28"/>
        </w:rPr>
      </w:pPr>
    </w:p>
    <w:p w14:paraId="1A7515BC" w14:textId="661CCE0D" w:rsidR="00EE7D0F" w:rsidRDefault="00EE7D0F" w:rsidP="000700C5">
      <w:pPr>
        <w:rPr>
          <w:rFonts w:ascii="Cambria" w:hAnsi="Cambria"/>
          <w:sz w:val="32"/>
        </w:rPr>
      </w:pPr>
      <w:r w:rsidRPr="00EE7D0F">
        <w:rPr>
          <w:rFonts w:ascii="Cambria" w:hAnsi="Cambria"/>
          <w:sz w:val="32"/>
        </w:rPr>
        <w:lastRenderedPageBreak/>
        <w:t>Annotated Bibliography</w:t>
      </w:r>
    </w:p>
    <w:p w14:paraId="46AE0B83" w14:textId="77777777" w:rsidR="00EE7D0F" w:rsidRPr="00EE7D0F" w:rsidRDefault="00EE7D0F" w:rsidP="00EE7D0F">
      <w:pPr>
        <w:spacing w:after="0" w:line="240" w:lineRule="auto"/>
        <w:rPr>
          <w:rFonts w:ascii="Cambria" w:hAnsi="Cambria"/>
          <w:b/>
          <w:sz w:val="24"/>
        </w:rPr>
      </w:pPr>
      <w:r w:rsidRPr="00EE7D0F">
        <w:rPr>
          <w:rFonts w:ascii="Cambria" w:hAnsi="Cambria"/>
          <w:b/>
          <w:sz w:val="24"/>
        </w:rPr>
        <w:t xml:space="preserve">Robins, G., 1993. </w:t>
      </w:r>
      <w:r w:rsidRPr="00EE7D0F">
        <w:rPr>
          <w:rFonts w:ascii="Cambria" w:hAnsi="Cambria"/>
          <w:b/>
          <w:i/>
          <w:iCs/>
          <w:sz w:val="24"/>
        </w:rPr>
        <w:t>Women in ancient Egypt</w:t>
      </w:r>
      <w:r w:rsidRPr="00EE7D0F">
        <w:rPr>
          <w:rFonts w:ascii="Cambria" w:hAnsi="Cambria"/>
          <w:b/>
          <w:sz w:val="24"/>
        </w:rPr>
        <w:t xml:space="preserve">, Cambridge, MA: Harvard Univ. Press. </w:t>
      </w:r>
    </w:p>
    <w:p w14:paraId="7BC34AAE" w14:textId="3DAF241D" w:rsidR="00EE7D0F" w:rsidRPr="00EE7D0F" w:rsidRDefault="00EE7D0F" w:rsidP="00EE7D0F">
      <w:pPr>
        <w:spacing w:after="0" w:line="240" w:lineRule="auto"/>
        <w:rPr>
          <w:rFonts w:ascii="Cambria" w:hAnsi="Cambria"/>
          <w:b/>
          <w:sz w:val="24"/>
        </w:rPr>
      </w:pPr>
      <w:proofErr w:type="spellStart"/>
      <w:r w:rsidRPr="00EE7D0F">
        <w:rPr>
          <w:rFonts w:ascii="Cambria" w:hAnsi="Cambria"/>
          <w:b/>
          <w:sz w:val="24"/>
        </w:rPr>
        <w:t>pgs</w:t>
      </w:r>
      <w:proofErr w:type="spellEnd"/>
      <w:r w:rsidRPr="00EE7D0F">
        <w:rPr>
          <w:rFonts w:ascii="Cambria" w:hAnsi="Cambria"/>
          <w:b/>
          <w:sz w:val="24"/>
        </w:rPr>
        <w:t xml:space="preserve"> 184-186</w:t>
      </w:r>
    </w:p>
    <w:p w14:paraId="0E14E588" w14:textId="77777777" w:rsidR="00EE7D0F" w:rsidRPr="00EE7D0F" w:rsidRDefault="00EE7D0F" w:rsidP="00EE7D0F">
      <w:pPr>
        <w:spacing w:after="0" w:line="240" w:lineRule="auto"/>
        <w:rPr>
          <w:rFonts w:ascii="Cambria" w:hAnsi="Cambria"/>
          <w:sz w:val="24"/>
        </w:rPr>
      </w:pPr>
      <w:r w:rsidRPr="00EE7D0F">
        <w:rPr>
          <w:rFonts w:ascii="Cambria" w:hAnsi="Cambria"/>
          <w:sz w:val="24"/>
        </w:rPr>
        <w:t>This book provided the image of a statue of a young adolescent girl, which was one of two sources used for the source analysis assignment. It also included a good amount of information on this statue to accompany the image, noting attributes of this statue and the typicality of statues in a similar style to this, and then going into specifics on what these indicate. This source also provided information on the differences between male and female gender in Ancient Egypt, used in the main bulk of this assignment. Whilst a good source in that it was useful and relevant to both the source analysis and the main essay, this source did not provide a large depth of information by means of analysing the facts it presented, which would have been interesting to absorb and opinion. There was also little information as to where the statue was recovered and its current location.</w:t>
      </w:r>
    </w:p>
    <w:p w14:paraId="52B650AC" w14:textId="77777777" w:rsidR="00EE7D0F" w:rsidRPr="00EE7D0F" w:rsidRDefault="00EE7D0F" w:rsidP="00EE7D0F">
      <w:pPr>
        <w:rPr>
          <w:rFonts w:ascii="Cambria" w:hAnsi="Cambria"/>
          <w:sz w:val="24"/>
        </w:rPr>
      </w:pPr>
    </w:p>
    <w:p w14:paraId="3741AE27" w14:textId="77777777" w:rsidR="00EE7D0F" w:rsidRPr="00EE7D0F" w:rsidRDefault="00EE7D0F" w:rsidP="00EE7D0F">
      <w:pPr>
        <w:spacing w:after="0" w:line="240" w:lineRule="auto"/>
        <w:rPr>
          <w:rFonts w:ascii="Cambria" w:hAnsi="Cambria"/>
          <w:b/>
          <w:sz w:val="24"/>
        </w:rPr>
      </w:pPr>
      <w:r w:rsidRPr="00EE7D0F">
        <w:rPr>
          <w:rFonts w:ascii="Cambria" w:hAnsi="Cambria"/>
          <w:b/>
          <w:sz w:val="24"/>
        </w:rPr>
        <w:t xml:space="preserve">Brewer, Douglas. J. &amp; Teeter, Emily., 2010. </w:t>
      </w:r>
      <w:r w:rsidRPr="00EE7D0F">
        <w:rPr>
          <w:rFonts w:ascii="Cambria" w:hAnsi="Cambria"/>
          <w:b/>
          <w:i/>
          <w:iCs/>
          <w:sz w:val="24"/>
        </w:rPr>
        <w:t>Egypt and the Egyptians</w:t>
      </w:r>
      <w:r w:rsidRPr="00EE7D0F">
        <w:rPr>
          <w:rFonts w:ascii="Cambria" w:hAnsi="Cambria"/>
          <w:b/>
          <w:sz w:val="24"/>
        </w:rPr>
        <w:t>, Cambridge, UK: Cambridge University Press.</w:t>
      </w:r>
      <w:r w:rsidRPr="00EE7D0F">
        <w:rPr>
          <w:rFonts w:ascii="Cambria" w:hAnsi="Cambria"/>
          <w:b/>
          <w:sz w:val="24"/>
        </w:rPr>
        <w:br/>
        <w:t>Chapters 5-7</w:t>
      </w:r>
    </w:p>
    <w:p w14:paraId="6DC2D592" w14:textId="77777777" w:rsidR="00EE7D0F" w:rsidRPr="00EE7D0F" w:rsidRDefault="00EE7D0F" w:rsidP="00EE7D0F">
      <w:pPr>
        <w:spacing w:after="0" w:line="240" w:lineRule="auto"/>
        <w:rPr>
          <w:rFonts w:ascii="Cambria" w:hAnsi="Cambria"/>
          <w:sz w:val="24"/>
        </w:rPr>
      </w:pPr>
      <w:r w:rsidRPr="00EE7D0F">
        <w:rPr>
          <w:rFonts w:ascii="Cambria" w:hAnsi="Cambria"/>
          <w:sz w:val="24"/>
        </w:rPr>
        <w:t>This book was one of the most useful sources for this project. It is comprehensive, easy to read, and well laid out. The area of the book that was useful to me were chapters five through seven. These chapters provided me with information on basic roles in society, such as craftsmen, scribes, priesthood, and marriage and motherhood. There was also information provided on the gender roles of these roles and the level of difference between male and female in them. These chapters, as evidenced by the focus on them, provided everything I needed from this book.</w:t>
      </w:r>
      <w:r w:rsidRPr="00EE7D0F">
        <w:rPr>
          <w:rFonts w:ascii="Cambria" w:hAnsi="Cambria"/>
          <w:sz w:val="24"/>
        </w:rPr>
        <w:br/>
        <w:t xml:space="preserve">For all that this was a good book, however, it must be noted that it only serves as an overview- a very useful overview- of Ancient Egypt and its </w:t>
      </w:r>
      <w:proofErr w:type="gramStart"/>
      <w:r w:rsidRPr="00EE7D0F">
        <w:rPr>
          <w:rFonts w:ascii="Cambria" w:hAnsi="Cambria"/>
          <w:sz w:val="24"/>
        </w:rPr>
        <w:t>peoples as a whole</w:t>
      </w:r>
      <w:proofErr w:type="gramEnd"/>
      <w:r w:rsidRPr="00EE7D0F">
        <w:rPr>
          <w:rFonts w:ascii="Cambria" w:hAnsi="Cambria"/>
          <w:sz w:val="24"/>
        </w:rPr>
        <w:t>. The focus of this book was also not focused on gender due to this, which did make it a little harder to extrapolate the needed information in terms of gender and equality.</w:t>
      </w:r>
    </w:p>
    <w:p w14:paraId="66884636" w14:textId="77777777" w:rsidR="00EE7D0F" w:rsidRPr="00EE7D0F" w:rsidRDefault="00EE7D0F" w:rsidP="00EE7D0F">
      <w:pPr>
        <w:rPr>
          <w:rFonts w:ascii="Cambria" w:hAnsi="Cambria"/>
          <w:sz w:val="24"/>
        </w:rPr>
      </w:pPr>
    </w:p>
    <w:p w14:paraId="14FA6F58" w14:textId="77777777" w:rsidR="00EE7D0F" w:rsidRPr="00EE7D0F" w:rsidRDefault="00EE7D0F" w:rsidP="00EE7D0F">
      <w:pPr>
        <w:spacing w:after="0" w:line="240" w:lineRule="auto"/>
        <w:rPr>
          <w:rFonts w:ascii="Cambria" w:hAnsi="Cambria"/>
          <w:b/>
          <w:sz w:val="24"/>
        </w:rPr>
      </w:pPr>
      <w:r w:rsidRPr="00EE7D0F">
        <w:rPr>
          <w:rFonts w:ascii="Cambria" w:hAnsi="Cambria"/>
          <w:b/>
          <w:sz w:val="24"/>
        </w:rPr>
        <w:t xml:space="preserve">E, </w:t>
      </w:r>
      <w:proofErr w:type="spellStart"/>
      <w:r w:rsidRPr="00EE7D0F">
        <w:rPr>
          <w:rFonts w:ascii="Cambria" w:hAnsi="Cambria"/>
          <w:b/>
          <w:sz w:val="24"/>
        </w:rPr>
        <w:t>Strouhal</w:t>
      </w:r>
      <w:proofErr w:type="spellEnd"/>
      <w:r w:rsidRPr="00EE7D0F">
        <w:rPr>
          <w:rFonts w:ascii="Cambria" w:hAnsi="Cambria"/>
          <w:b/>
          <w:sz w:val="24"/>
        </w:rPr>
        <w:t xml:space="preserve">., 1992. </w:t>
      </w:r>
      <w:r w:rsidRPr="00EE7D0F">
        <w:rPr>
          <w:rFonts w:ascii="Cambria" w:hAnsi="Cambria"/>
          <w:b/>
          <w:i/>
          <w:sz w:val="24"/>
        </w:rPr>
        <w:t xml:space="preserve">Life in Ancient Egypt, </w:t>
      </w:r>
      <w:r w:rsidRPr="00EE7D0F">
        <w:rPr>
          <w:rFonts w:ascii="Cambria" w:hAnsi="Cambria"/>
          <w:b/>
          <w:sz w:val="24"/>
        </w:rPr>
        <w:t>Cambridge University Press.</w:t>
      </w:r>
      <w:r w:rsidRPr="00EE7D0F">
        <w:rPr>
          <w:rFonts w:ascii="Cambria" w:hAnsi="Cambria"/>
          <w:b/>
          <w:sz w:val="24"/>
        </w:rPr>
        <w:br/>
      </w:r>
      <w:r w:rsidRPr="00EE7D0F">
        <w:rPr>
          <w:rFonts w:ascii="Cambria" w:hAnsi="Cambria"/>
          <w:b/>
          <w:i/>
          <w:sz w:val="24"/>
        </w:rPr>
        <w:t>Chapter Five: Marriage and the Standing of Women</w:t>
      </w:r>
    </w:p>
    <w:p w14:paraId="4AD6AE8C" w14:textId="35A17433" w:rsidR="00EE7D0F" w:rsidRPr="00BB5679" w:rsidRDefault="00EE7D0F" w:rsidP="00EE7D0F">
      <w:pPr>
        <w:spacing w:after="0" w:line="240" w:lineRule="auto"/>
        <w:rPr>
          <w:rFonts w:ascii="Cambria" w:hAnsi="Cambria"/>
          <w:sz w:val="28"/>
        </w:rPr>
      </w:pPr>
      <w:r w:rsidRPr="00EE7D0F">
        <w:rPr>
          <w:rFonts w:ascii="Cambria" w:hAnsi="Cambria"/>
          <w:sz w:val="24"/>
        </w:rPr>
        <w:t>As this book was only focused on a single chapter as a source for the assignment, I cannot judge the entire book, which does skew things for the book.</w:t>
      </w:r>
      <w:r w:rsidRPr="00EE7D0F">
        <w:rPr>
          <w:rFonts w:ascii="Cambria" w:hAnsi="Cambria"/>
          <w:sz w:val="24"/>
        </w:rPr>
        <w:br/>
        <w:t xml:space="preserve">This chapter, whilst very detailed on the standing of women and the expectations of marriage in Ancient Egypt- which certainly interlink well- rather immediately shows heavy bias. Much of what the author has to say on the women in Ancient Egypt is not phrased in a positive manner or with any debate over details or opinions. Further, the overall view this chapter gives is that women had very little standing on their own, and otherwise only through their husband or family. </w:t>
      </w:r>
      <w:r w:rsidRPr="00EE7D0F">
        <w:rPr>
          <w:rFonts w:ascii="Cambria" w:hAnsi="Cambria"/>
          <w:sz w:val="24"/>
        </w:rPr>
        <w:br/>
      </w:r>
    </w:p>
    <w:p w14:paraId="5D1EF3FE" w14:textId="77777777" w:rsidR="00BB5679" w:rsidRPr="00BB5679" w:rsidRDefault="00BB5679" w:rsidP="00BB5679">
      <w:pPr>
        <w:spacing w:after="0" w:line="240" w:lineRule="auto"/>
        <w:rPr>
          <w:rFonts w:ascii="Cambria" w:hAnsi="Cambria"/>
          <w:b/>
          <w:sz w:val="28"/>
        </w:rPr>
      </w:pPr>
      <w:r w:rsidRPr="00BB5679">
        <w:rPr>
          <w:rFonts w:ascii="Cambria" w:hAnsi="Cambria"/>
          <w:b/>
          <w:sz w:val="28"/>
        </w:rPr>
        <w:t>Word Count: 504</w:t>
      </w:r>
    </w:p>
    <w:p w14:paraId="0DF39854" w14:textId="77777777" w:rsidR="00BB5679" w:rsidRPr="00EE7D0F" w:rsidRDefault="00BB5679" w:rsidP="00EE7D0F">
      <w:pPr>
        <w:spacing w:after="0" w:line="240" w:lineRule="auto"/>
        <w:rPr>
          <w:rFonts w:ascii="Cambria" w:hAnsi="Cambria"/>
          <w:sz w:val="24"/>
        </w:rPr>
      </w:pPr>
    </w:p>
    <w:sectPr w:rsidR="00BB5679" w:rsidRPr="00EE7D0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248C7" w14:textId="77777777" w:rsidR="007126B8" w:rsidRDefault="007126B8" w:rsidP="008B275C">
      <w:pPr>
        <w:spacing w:after="0" w:line="240" w:lineRule="auto"/>
      </w:pPr>
      <w:r>
        <w:separator/>
      </w:r>
    </w:p>
  </w:endnote>
  <w:endnote w:type="continuationSeparator" w:id="0">
    <w:p w14:paraId="6D0EC054" w14:textId="77777777" w:rsidR="007126B8" w:rsidRDefault="007126B8" w:rsidP="008B2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5623889"/>
      <w:docPartObj>
        <w:docPartGallery w:val="Page Numbers (Bottom of Page)"/>
        <w:docPartUnique/>
      </w:docPartObj>
    </w:sdtPr>
    <w:sdtEndPr>
      <w:rPr>
        <w:rFonts w:ascii="Cambria" w:hAnsi="Cambria"/>
        <w:noProof/>
      </w:rPr>
    </w:sdtEndPr>
    <w:sdtContent>
      <w:p w14:paraId="5B385DFE" w14:textId="2DAB8960" w:rsidR="008B275C" w:rsidRPr="008B275C" w:rsidRDefault="008B275C">
        <w:pPr>
          <w:pStyle w:val="Footer"/>
          <w:rPr>
            <w:rFonts w:ascii="Cambria" w:hAnsi="Cambria"/>
          </w:rPr>
        </w:pPr>
        <w:r w:rsidRPr="008B275C">
          <w:rPr>
            <w:rFonts w:ascii="Cambria" w:hAnsi="Cambria"/>
          </w:rPr>
          <w:fldChar w:fldCharType="begin"/>
        </w:r>
        <w:r w:rsidRPr="008B275C">
          <w:rPr>
            <w:rFonts w:ascii="Cambria" w:hAnsi="Cambria"/>
          </w:rPr>
          <w:instrText xml:space="preserve"> PAGE   \* MERGEFORMAT </w:instrText>
        </w:r>
        <w:r w:rsidRPr="008B275C">
          <w:rPr>
            <w:rFonts w:ascii="Cambria" w:hAnsi="Cambria"/>
          </w:rPr>
          <w:fldChar w:fldCharType="separate"/>
        </w:r>
        <w:r w:rsidRPr="008B275C">
          <w:rPr>
            <w:rFonts w:ascii="Cambria" w:hAnsi="Cambria"/>
            <w:noProof/>
          </w:rPr>
          <w:t>2</w:t>
        </w:r>
        <w:r w:rsidRPr="008B275C">
          <w:rPr>
            <w:rFonts w:ascii="Cambria" w:hAnsi="Cambria"/>
            <w:noProof/>
          </w:rPr>
          <w:fldChar w:fldCharType="end"/>
        </w:r>
      </w:p>
    </w:sdtContent>
  </w:sdt>
  <w:p w14:paraId="73568FD2" w14:textId="77777777" w:rsidR="008B275C" w:rsidRDefault="008B2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1DF7B" w14:textId="77777777" w:rsidR="007126B8" w:rsidRDefault="007126B8" w:rsidP="008B275C">
      <w:pPr>
        <w:spacing w:after="0" w:line="240" w:lineRule="auto"/>
      </w:pPr>
      <w:r>
        <w:separator/>
      </w:r>
    </w:p>
  </w:footnote>
  <w:footnote w:type="continuationSeparator" w:id="0">
    <w:p w14:paraId="4FAD761B" w14:textId="77777777" w:rsidR="007126B8" w:rsidRDefault="007126B8" w:rsidP="008B27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zMjc3MzAzMjM3NDRR0lEKTi0uzszPAykwqgUAF/R3tSwAAAA="/>
  </w:docVars>
  <w:rsids>
    <w:rsidRoot w:val="00CB0036"/>
    <w:rsid w:val="000424CC"/>
    <w:rsid w:val="00061587"/>
    <w:rsid w:val="000700C5"/>
    <w:rsid w:val="000846E6"/>
    <w:rsid w:val="00195AFA"/>
    <w:rsid w:val="00246886"/>
    <w:rsid w:val="00276568"/>
    <w:rsid w:val="004103E9"/>
    <w:rsid w:val="004A1974"/>
    <w:rsid w:val="004B1D80"/>
    <w:rsid w:val="005E466E"/>
    <w:rsid w:val="005E6970"/>
    <w:rsid w:val="007060FA"/>
    <w:rsid w:val="007126B8"/>
    <w:rsid w:val="00745F00"/>
    <w:rsid w:val="00790EEB"/>
    <w:rsid w:val="007A111D"/>
    <w:rsid w:val="007D4556"/>
    <w:rsid w:val="008B275C"/>
    <w:rsid w:val="008F3DBA"/>
    <w:rsid w:val="009C169A"/>
    <w:rsid w:val="00A35ED4"/>
    <w:rsid w:val="00A51129"/>
    <w:rsid w:val="00A83516"/>
    <w:rsid w:val="00A8560A"/>
    <w:rsid w:val="00AB2B57"/>
    <w:rsid w:val="00AB3B5E"/>
    <w:rsid w:val="00AC0354"/>
    <w:rsid w:val="00AF76B0"/>
    <w:rsid w:val="00B556DD"/>
    <w:rsid w:val="00BB5679"/>
    <w:rsid w:val="00BD7B22"/>
    <w:rsid w:val="00C43E74"/>
    <w:rsid w:val="00C70376"/>
    <w:rsid w:val="00CB0036"/>
    <w:rsid w:val="00CD3649"/>
    <w:rsid w:val="00D462DE"/>
    <w:rsid w:val="00D74230"/>
    <w:rsid w:val="00D95F3F"/>
    <w:rsid w:val="00EE7D0F"/>
    <w:rsid w:val="00F44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A2064"/>
  <w15:chartTrackingRefBased/>
  <w15:docId w15:val="{3D271ACB-A359-406F-ABE0-451FFE3AB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6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700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00C5"/>
    <w:rPr>
      <w:rFonts w:ascii="Segoe UI" w:hAnsi="Segoe UI" w:cs="Segoe UI"/>
      <w:sz w:val="18"/>
      <w:szCs w:val="18"/>
    </w:rPr>
  </w:style>
  <w:style w:type="paragraph" w:styleId="Header">
    <w:name w:val="header"/>
    <w:basedOn w:val="Normal"/>
    <w:link w:val="HeaderChar"/>
    <w:uiPriority w:val="99"/>
    <w:unhideWhenUsed/>
    <w:rsid w:val="008B2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75C"/>
  </w:style>
  <w:style w:type="paragraph" w:styleId="Footer">
    <w:name w:val="footer"/>
    <w:basedOn w:val="Normal"/>
    <w:link w:val="FooterChar"/>
    <w:uiPriority w:val="99"/>
    <w:unhideWhenUsed/>
    <w:rsid w:val="008B2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75C"/>
  </w:style>
  <w:style w:type="character" w:customStyle="1" w:styleId="Heading1Char">
    <w:name w:val="Heading 1 Char"/>
    <w:basedOn w:val="DefaultParagraphFont"/>
    <w:link w:val="Heading1"/>
    <w:uiPriority w:val="9"/>
    <w:rsid w:val="000846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46E6"/>
    <w:pPr>
      <w:outlineLvl w:val="9"/>
    </w:pPr>
    <w:rPr>
      <w:lang w:val="en-US"/>
    </w:rPr>
  </w:style>
  <w:style w:type="paragraph" w:styleId="TOC2">
    <w:name w:val="toc 2"/>
    <w:basedOn w:val="Normal"/>
    <w:next w:val="Normal"/>
    <w:autoRedefine/>
    <w:uiPriority w:val="39"/>
    <w:unhideWhenUsed/>
    <w:rsid w:val="00A8560A"/>
    <w:pPr>
      <w:spacing w:after="100"/>
    </w:pPr>
    <w:rPr>
      <w:rFonts w:ascii="Cambria" w:eastAsiaTheme="minorEastAsia" w:hAnsi="Cambria" w:cs="Times New Roman"/>
      <w:lang w:val="en-US"/>
    </w:rPr>
  </w:style>
  <w:style w:type="paragraph" w:styleId="TOC1">
    <w:name w:val="toc 1"/>
    <w:basedOn w:val="Normal"/>
    <w:next w:val="Normal"/>
    <w:autoRedefine/>
    <w:uiPriority w:val="39"/>
    <w:unhideWhenUsed/>
    <w:rsid w:val="004103E9"/>
    <w:pPr>
      <w:spacing w:after="100"/>
    </w:pPr>
    <w:rPr>
      <w:rFonts w:ascii="Cambria" w:eastAsiaTheme="minorEastAsia" w:hAnsi="Cambria" w:cs="Times New Roman"/>
      <w:lang w:val="en-US"/>
    </w:rPr>
  </w:style>
  <w:style w:type="paragraph" w:styleId="TOC3">
    <w:name w:val="toc 3"/>
    <w:basedOn w:val="Normal"/>
    <w:next w:val="Normal"/>
    <w:autoRedefine/>
    <w:uiPriority w:val="39"/>
    <w:unhideWhenUsed/>
    <w:rsid w:val="000846E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441F8-2417-4425-A123-BC2F1B7D5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3616</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36</cp:revision>
  <dcterms:created xsi:type="dcterms:W3CDTF">2019-03-09T17:55:00Z</dcterms:created>
  <dcterms:modified xsi:type="dcterms:W3CDTF">2019-03-09T18:43:00Z</dcterms:modified>
</cp:coreProperties>
</file>