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overflowPunct/>
        <w:topLinePunct w:val="0"/>
        <w:autoSpaceDE/>
        <w:autoSpaceDN/>
        <w:bidi w:val="0"/>
        <w:adjustRightIn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anchor distT="0" distB="0" distL="114300" distR="114300" simplePos="0" relativeHeight="251660288" behindDoc="1" locked="0" layoutInCell="1" allowOverlap="1">
            <wp:simplePos x="0" y="0"/>
            <wp:positionH relativeFrom="column">
              <wp:posOffset>3124200</wp:posOffset>
            </wp:positionH>
            <wp:positionV relativeFrom="paragraph">
              <wp:posOffset>0</wp:posOffset>
            </wp:positionV>
            <wp:extent cx="2752725" cy="835660"/>
            <wp:effectExtent l="0" t="0" r="15875" b="2540"/>
            <wp:wrapTight wrapText="bothSides">
              <wp:wrapPolygon>
                <wp:start x="0" y="0"/>
                <wp:lineTo x="0" y="21009"/>
                <wp:lineTo x="21326" y="21009"/>
                <wp:lineTo x="21326" y="0"/>
                <wp:lineTo x="0" y="0"/>
              </wp:wrapPolygon>
            </wp:wrapTight>
            <wp:docPr id="2" name="Picture 2" descr="Turnitin – The DT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urnitin – The DTL Guide"/>
                    <pic:cNvPicPr>
                      <a:picLocks noChangeAspect="1" noChangeArrowheads="1"/>
                    </pic:cNvPicPr>
                  </pic:nvPicPr>
                  <pic:blipFill>
                    <a:blip r:embed="rId5">
                      <a:extLst>
                        <a:ext uri="{28A0092B-C50C-407E-A947-70E740481C1C}">
                          <a14:useLocalDpi xmlns:a14="http://schemas.microsoft.com/office/drawing/2010/main" val="0"/>
                        </a:ext>
                      </a:extLst>
                    </a:blip>
                    <a:srcRect l="11965" t="27353" r="11423" b="28118"/>
                    <a:stretch>
                      <a:fillRect/>
                    </a:stretch>
                  </pic:blipFill>
                  <pic:spPr>
                    <a:xfrm>
                      <a:off x="0" y="0"/>
                      <a:ext cx="2752725" cy="835969"/>
                    </a:xfrm>
                    <a:prstGeom prst="rect">
                      <a:avLst/>
                    </a:prstGeom>
                    <a:noFill/>
                    <a:ln>
                      <a:noFill/>
                    </a:ln>
                  </pic:spPr>
                </pic:pic>
              </a:graphicData>
            </a:graphic>
          </wp:anchor>
        </w:drawing>
      </w:r>
      <w:r>
        <w:rPr>
          <w:rFonts w:hint="default" w:ascii="Times New Roman" w:hAnsi="Times New Roman" w:cs="Times New Roman"/>
          <w:sz w:val="24"/>
          <w:szCs w:val="24"/>
        </w:rPr>
        <w:drawing>
          <wp:inline distT="0" distB="0" distL="0" distR="0">
            <wp:extent cx="2699385" cy="895350"/>
            <wp:effectExtent l="0" t="0" r="18415" b="1905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709820" cy="898757"/>
                    </a:xfrm>
                    <a:prstGeom prst="rect">
                      <a:avLst/>
                    </a:prstGeom>
                    <a:noFill/>
                    <a:ln>
                      <a:noFill/>
                    </a:ln>
                  </pic:spPr>
                </pic:pic>
              </a:graphicData>
            </a:graphic>
          </wp:inline>
        </w:drawing>
      </w:r>
    </w:p>
    <w:p>
      <w:pPr>
        <w:keepNext w:val="0"/>
        <w:keepLines w:val="0"/>
        <w:pageBreakBefore w:val="0"/>
        <w:widowControl/>
        <w:kinsoku/>
        <w:overflowPunct/>
        <w:topLinePunct w:val="0"/>
        <w:autoSpaceDE/>
        <w:autoSpaceDN/>
        <w:bidi w:val="0"/>
        <w:adjustRightInd/>
        <w:spacing w:line="480" w:lineRule="auto"/>
        <w:textAlignment w:val="auto"/>
        <w:rPr>
          <w:rFonts w:hint="default" w:ascii="Times New Roman" w:hAnsi="Times New Roman" w:cs="Times New Roman"/>
          <w:sz w:val="24"/>
          <w:szCs w:val="24"/>
        </w:rPr>
      </w:pPr>
    </w:p>
    <w:p>
      <w:pPr>
        <w:keepNext w:val="0"/>
        <w:keepLines w:val="0"/>
        <w:pageBreakBefore w:val="0"/>
        <w:widowControl/>
        <w:kinsoku/>
        <w:overflowPunct/>
        <w:topLinePunct w:val="0"/>
        <w:autoSpaceDE/>
        <w:autoSpaceDN/>
        <w:bidi w:val="0"/>
        <w:adjustRightInd/>
        <w:spacing w:line="480" w:lineRule="auto"/>
        <w:jc w:val="center"/>
        <w:textAlignment w:val="auto"/>
        <w:outlineLvl w:val="0"/>
        <w:rPr>
          <w:rFonts w:hint="default" w:ascii="Times New Roman" w:hAnsi="Times New Roman" w:cs="Times New Roman"/>
          <w:sz w:val="24"/>
          <w:szCs w:val="24"/>
        </w:rPr>
      </w:pPr>
      <w:bookmarkStart w:id="0" w:name="_Toc31765"/>
      <w:r>
        <w:rPr>
          <w:rFonts w:hint="default" w:ascii="Times New Roman" w:hAnsi="Times New Roman" w:cs="Times New Roman"/>
          <w:sz w:val="24"/>
          <w:szCs w:val="24"/>
        </w:rPr>
        <w:t>BMMB7012 – Marketing Management</w:t>
      </w:r>
      <w:bookmarkEnd w:id="0"/>
    </w:p>
    <w:p>
      <w:pPr>
        <w:keepNext w:val="0"/>
        <w:keepLines w:val="0"/>
        <w:pageBreakBefore w:val="0"/>
        <w:widowControl/>
        <w:kinsoku/>
        <w:overflowPunct/>
        <w:topLinePunct w:val="0"/>
        <w:autoSpaceDE/>
        <w:autoSpaceDN/>
        <w:bidi w:val="0"/>
        <w:adjustRightInd/>
        <w:spacing w:line="480" w:lineRule="auto"/>
        <w:jc w:val="center"/>
        <w:textAlignment w:val="auto"/>
        <w:outlineLvl w:val="0"/>
        <w:rPr>
          <w:rFonts w:hint="default" w:ascii="Times New Roman" w:hAnsi="Times New Roman" w:cs="Times New Roman"/>
          <w:sz w:val="24"/>
          <w:szCs w:val="24"/>
        </w:rPr>
      </w:pPr>
      <w:bookmarkStart w:id="1" w:name="_Toc7136"/>
      <w:r>
        <w:rPr>
          <w:rFonts w:hint="default" w:ascii="Times New Roman" w:hAnsi="Times New Roman" w:cs="Times New Roman"/>
          <w:sz w:val="24"/>
          <w:szCs w:val="24"/>
        </w:rPr>
        <w:t>Assessment Component 2</w:t>
      </w:r>
      <w:bookmarkEnd w:id="1"/>
    </w:p>
    <w:p>
      <w:pPr>
        <w:pStyle w:val="2"/>
        <w:keepNext w:val="0"/>
        <w:keepLines w:val="0"/>
        <w:pageBreakBefore w:val="0"/>
        <w:widowControl/>
        <w:kinsoku/>
        <w:wordWrap/>
        <w:overflowPunct/>
        <w:topLinePunct w:val="0"/>
        <w:autoSpaceDE/>
        <w:autoSpaceDN/>
        <w:bidi w:val="0"/>
        <w:adjustRightInd/>
        <w:snapToGrid/>
        <w:spacing w:after="0" w:line="480" w:lineRule="auto"/>
        <w:jc w:val="center"/>
        <w:textAlignment w:val="auto"/>
        <w:outlineLvl w:val="0"/>
        <w:rPr>
          <w:rFonts w:hint="default" w:ascii="Times New Roman" w:hAnsi="Times New Roman" w:cs="Times New Roman"/>
          <w:b/>
          <w:bCs/>
          <w:sz w:val="24"/>
          <w:szCs w:val="24"/>
        </w:rPr>
      </w:pPr>
      <w:bookmarkStart w:id="2" w:name="_Toc18185"/>
      <w:r>
        <w:rPr>
          <w:rFonts w:hint="default" w:ascii="Times New Roman" w:hAnsi="Times New Roman" w:cs="Times New Roman"/>
          <w:b/>
          <w:bCs/>
          <w:sz w:val="24"/>
          <w:szCs w:val="24"/>
        </w:rPr>
        <w:t>Critical evaluation and suggestions on the marketing activities of Volkswagen</w:t>
      </w:r>
      <w:bookmarkEnd w:id="2"/>
    </w:p>
    <w:p>
      <w:pPr>
        <w:pStyle w:val="2"/>
        <w:rPr>
          <w:rFonts w:hint="default"/>
        </w:rPr>
      </w:pPr>
    </w:p>
    <w:p>
      <w:pPr>
        <w:keepNext w:val="0"/>
        <w:keepLines w:val="0"/>
        <w:pageBreakBefore w:val="0"/>
        <w:widowControl/>
        <w:kinsoku/>
        <w:overflowPunct/>
        <w:topLinePunct w:val="0"/>
        <w:autoSpaceDE/>
        <w:autoSpaceDN/>
        <w:bidi w:val="0"/>
        <w:adjustRightInd/>
        <w:spacing w:line="480" w:lineRule="auto"/>
        <w:jc w:val="center"/>
        <w:textAlignment w:val="auto"/>
        <w:rPr>
          <w:rFonts w:hint="default" w:ascii="Times New Roman" w:hAnsi="Times New Roman" w:cs="Times New Roman"/>
          <w:sz w:val="24"/>
          <w:szCs w:val="24"/>
        </w:rPr>
      </w:pPr>
    </w:p>
    <w:p>
      <w:pPr>
        <w:keepNext w:val="0"/>
        <w:keepLines w:val="0"/>
        <w:pageBreakBefore w:val="0"/>
        <w:widowControl/>
        <w:kinsoku/>
        <w:overflowPunct/>
        <w:topLinePunct w:val="0"/>
        <w:autoSpaceDE/>
        <w:autoSpaceDN/>
        <w:bidi w:val="0"/>
        <w:adjustRightInd/>
        <w:spacing w:line="480" w:lineRule="auto"/>
        <w:jc w:val="center"/>
        <w:textAlignment w:val="auto"/>
        <w:rPr>
          <w:rFonts w:hint="default" w:ascii="Times New Roman" w:hAnsi="Times New Roman" w:cs="Times New Roman"/>
          <w:sz w:val="24"/>
          <w:szCs w:val="24"/>
          <w:highlight w:val="yellow"/>
        </w:rPr>
      </w:pPr>
      <w:r>
        <w:rPr>
          <w:rFonts w:hint="default" w:ascii="Times New Roman" w:hAnsi="Times New Roman" w:cs="Times New Roman"/>
          <w:sz w:val="24"/>
          <w:szCs w:val="24"/>
          <w:highlight w:val="yellow"/>
        </w:rPr>
        <w:t>Printed Name: _ _ _ _ _ _ _ _ _ _ _ _ _ _ _ _ _ _ _ _ _ _ _ _ _</w:t>
      </w:r>
    </w:p>
    <w:p>
      <w:pPr>
        <w:keepNext w:val="0"/>
        <w:keepLines w:val="0"/>
        <w:pageBreakBefore w:val="0"/>
        <w:widowControl/>
        <w:kinsoku/>
        <w:overflowPunct/>
        <w:topLinePunct w:val="0"/>
        <w:autoSpaceDE/>
        <w:autoSpaceDN/>
        <w:bidi w:val="0"/>
        <w:adjustRightInd/>
        <w:spacing w:line="480" w:lineRule="auto"/>
        <w:jc w:val="center"/>
        <w:textAlignment w:val="auto"/>
        <w:rPr>
          <w:rFonts w:hint="default" w:ascii="Times New Roman" w:hAnsi="Times New Roman" w:cs="Times New Roman"/>
          <w:sz w:val="24"/>
          <w:szCs w:val="24"/>
          <w:highlight w:val="yellow"/>
        </w:rPr>
      </w:pPr>
    </w:p>
    <w:p>
      <w:pPr>
        <w:keepNext w:val="0"/>
        <w:keepLines w:val="0"/>
        <w:pageBreakBefore w:val="0"/>
        <w:widowControl/>
        <w:kinsoku/>
        <w:overflowPunct/>
        <w:topLinePunct w:val="0"/>
        <w:autoSpaceDE/>
        <w:autoSpaceDN/>
        <w:bidi w:val="0"/>
        <w:adjustRightInd/>
        <w:spacing w:line="480" w:lineRule="auto"/>
        <w:jc w:val="center"/>
        <w:textAlignment w:val="auto"/>
        <w:rPr>
          <w:rFonts w:hint="default" w:ascii="Times New Roman" w:hAnsi="Times New Roman" w:cs="Times New Roman"/>
          <w:sz w:val="24"/>
          <w:szCs w:val="24"/>
          <w:highlight w:val="yellow"/>
        </w:rPr>
        <w:sectPr>
          <w:footerReference r:id="rId3" w:type="default"/>
          <w:pgSz w:w="11906" w:h="16838"/>
          <w:pgMar w:top="1440" w:right="1440" w:bottom="1440" w:left="1440" w:header="708" w:footer="708" w:gutter="0"/>
          <w:pgNumType w:fmt="decimal"/>
          <w:cols w:space="708" w:num="1"/>
          <w:docGrid w:linePitch="360" w:charSpace="0"/>
        </w:sectPr>
      </w:pPr>
      <w:r>
        <w:rPr>
          <w:rFonts w:hint="default" w:ascii="Times New Roman" w:hAnsi="Times New Roman" w:cs="Times New Roman"/>
          <w:sz w:val="24"/>
          <w:szCs w:val="24"/>
          <w:highlight w:val="yellow"/>
        </w:rPr>
        <w:t>Signature: _ _ _ _ _ _ _ _ _ _ _ _ _ _ _ _ _ _ _ _ _ _ _ _ _ _ _</w:t>
      </w:r>
    </w:p>
    <w:p>
      <w:pPr>
        <w:pStyle w:val="3"/>
        <w:pageBreakBefore w:val="0"/>
        <w:widowControl w:val="0"/>
        <w:kinsoku/>
        <w:wordWrap/>
        <w:overflowPunct/>
        <w:topLinePunct w:val="0"/>
        <w:autoSpaceDE/>
        <w:autoSpaceDN/>
        <w:bidi w:val="0"/>
        <w:adjustRightInd/>
        <w:snapToGrid/>
        <w:spacing w:line="480" w:lineRule="auto"/>
        <w:jc w:val="center"/>
        <w:textAlignment w:val="auto"/>
        <w:rPr>
          <w:rFonts w:hint="default"/>
        </w:rPr>
      </w:pPr>
      <w:r>
        <w:rPr>
          <w:rFonts w:hint="default"/>
        </w:rPr>
        <w:t>Executive Summary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At present, when the epidemic seriously affected the market, FAW-Volkswagen was able to buck the trend of growth and continue to lead the Chinese market. Not only the reputation effect of German high value established over the years and consumption inertia, but also the active exploration under difficult circumstances, starting from marketing and innovation, and constantly stimulating consumer demand with new products. To further consolidate the advantage.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FAW-Volkswagen in China defines 2022 as the year of "public ambition". In terms of mobility, manufacturing, enterprise development and corporate ecological responsibility, it will accelerate transformation and upgrading, overcome the challenges brought by the epidemic and supply chain, and continue to lead the Chinese auto market in 2022. In the Chinese auto market in 2022, the potential competition between mainstream brands and emerging brands is particularly interesting. Some people even believe that with the replacement of two industrial eras -- the mechanical era to the digital intelligence era, the automobile industry will also be a big shuffle, and the position of traditional auto giants may even be replaced. But as it turns out, "Rome wasn't built in a day," and the influence of a car brand isn't easily achieved.</w:t>
      </w:r>
    </w:p>
    <w:p>
      <w:pPr>
        <w:rPr>
          <w:rFonts w:hint="default"/>
        </w:rPr>
      </w:pPr>
      <w:r>
        <w:rPr>
          <w:rFonts w:hint="default"/>
        </w:rPr>
        <w:br w:type="page"/>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br w:type="page"/>
      </w:r>
    </w:p>
    <w:p>
      <w:pPr>
        <w:pStyle w:val="3"/>
        <w:pageBreakBefore w:val="0"/>
        <w:widowControl w:val="0"/>
        <w:kinsoku/>
        <w:wordWrap/>
        <w:overflowPunct/>
        <w:topLinePunct w:val="0"/>
        <w:autoSpaceDE/>
        <w:autoSpaceDN/>
        <w:bidi w:val="0"/>
        <w:adjustRightInd/>
        <w:snapToGrid/>
        <w:spacing w:line="480" w:lineRule="auto"/>
        <w:textAlignment w:val="auto"/>
        <w:rPr>
          <w:rFonts w:hint="default"/>
        </w:rPr>
      </w:pPr>
      <w:r>
        <w:rPr>
          <w:rFonts w:hint="default"/>
        </w:rPr>
        <w:t>1</w:t>
      </w:r>
      <w:r>
        <w:rPr>
          <w:rFonts w:hint="default"/>
        </w:rPr>
        <w:t xml:space="preserve"> Introduction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epidemic in China in 2022 will have a huge impact on China's auto market. From the supply side, different from the previous epidemic areas, the epidemic areas and large-scale containment areas of this round are mainly concentrated in Jilin and Shanghai, two of the three major automobile industry centers, directly involving vehicle manufacturers such as SAIC Motor, FAW and Tesla Motor. Among the many links of the automobile industry chain, Shanghai and Jilin have industrial agglomeration effect, covering most of the upstream and downstream production capacity. Under the radiation of Shanghai, Jiangsu and Zhejiang regions are also greatly affected. There are 26 domestic auto parts enterprises with market value of more than 10 billion yuan, 12 of which have offices in Jiangsu, Zhejiang and Shanghai, accounting for nearly half of the total. Among the parts enterprises with registered capital of more than 50 million yuan, Jiangsu, Zhejiang and Shanghai account for more than 30%. At the level of listed enterprises, there are 17 autonomous parts enterprises in Shanghai and 4 in Changchun. There are 21 foreign component companies in the affected areas. At the same time, during the epidemic in Shanghai, although some enterprises closed the production loop, the sealing and control cut off the logistics system of the whole industrial chain, and the raw materials and core components such as chips could not be effectively transported, resulting in production stagnation and shipment delay, which affected the whole country. The annual loss of automobile production is expected to exceed that of the previous Wuhan epidemic, which will be more than 1.5 million vehicles. The vehicle production of FAW-Volkswagen was also greatly affected, and the expected number of finished cars could not be produced for sale.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impact of the number of finished cars is not fundamental, and the reduction of consumers' willingness to consume will exert great pressure on automobile enterprises. For any manufacturing enterprise, products are the foundation of its survival and growth. However, to do a good job of one hundred thousand millions of products, even thirty years a day to do one hundred thousand millions of products, but has considerable difficulty. When the product manufacturing chain scale, the user base is expanding day by day, how to ensure the high quality of batch products to win the market and users, has become the most important issue for enterprises to solve</w:t>
      </w:r>
    </w:p>
    <w:p>
      <w:pPr>
        <w:pStyle w:val="3"/>
        <w:bidi w:val="0"/>
        <w:rPr>
          <w:rFonts w:hint="default"/>
        </w:rPr>
      </w:pPr>
      <w:r>
        <w:rPr>
          <w:rFonts w:hint="default"/>
        </w:rPr>
        <w:t>2</w:t>
      </w:r>
      <w:r>
        <w:rPr>
          <w:rFonts w:hint="default"/>
        </w:rPr>
        <w:t xml:space="preserve"> Volkswagen's marketing situation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COVID-19 pandemic has severely impacted global industrial chains. The automobile industry is a long industrial chain. For example, at the most basic supply end, automobile enterprises need the supply of raw materials to support automobile production, while the suspension of production of enterprises in the chain will affect the normal production of downstream enterprises that have a dependent relationship. Many countries in the world have introduced a series of trade protective measures and restrictive measures during the epidemic, which has a great impact on automobile production, destroying the original automobile supply chain and affecting the normal supply of products. On the other hand, from the demand side, the epidemic has caused less and less money in the hands of ordinary consumers, the global economy has been severely backward, the demand market has also been extremely shrinking, and the cake of the whole market is shrinking. While the localisation of global supply chains has led to a sharp reduction in trade in intermediate goods, trade in final goods has also tended to decline due to the delay in buying caused by the macroeconomic recession.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At present, with the entry of some Internet enterprises into the field of automobile production, the production efficiency and market speed of products have become the focus of attention. In order to seize the "first opportunity" in the market, some enterprises greatly shorten the project approval and development time of their products, and hand over the product verification to the users. Although this move has gained a certain market share, the problems related to product safety and durability have become the bottleneck of their sustainable development.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At the national level, countries differ in the extent and location of their participation in the global industrial chain, and the mechanism and impact of the epidemic vary. As a global manufacturing center, China's supply chain security and value chain position have been severely impacted. High-end manufacturing industries such as automobile manufacturing, machinery and equipment, engines and aerospace are faced with the problem of supply shortage of imported components. Some industries are facing risks of foreign investment withdrawal and supply chain migration. The trend of some industries returning to developed countries in the US and Europe is intensifying. Some production links are shifting to developing countries in South Asia, Southeast Asia and South America at an accelerated pace.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globalized automobile production chain, countries in the world participate in the automobile manufacturing industry chain to different degrees and positions, and are affected by the epidemic to different degrees and at different times. For China, the global manufacturing center, both supply chain security and value chain status have been severely impacted. During the epidemic, many high-end manufacturing industries faced the problem of the shortage of imported components, which seriously affected the production schedule of products. Some industries are facing risks of foreign investment withdrawal and supply chain migration. The trend of some industries returning to developed countries in the US and Europe is intensifying. Some production links are shifting to developing countries in South Asia, Southeast Asia and South America at an accelerated pace.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Under the influence of the epidemic and the Russia-Ukraine conflict, the global economy began to cool down. The continuous price rise of global commodities led to increased inflationary pressure at home. At the same time, the Federal Reserve continued to raise interest rates and international assets gradually flowed to the United States. As foreign attitudes toward the epidemic change, China's export growth will continue to slow down.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From the perspective of the automobile industry, the impact of the epidemic on different links is closely related to its complexity and upstream and downstream. In the short term, the complex industrial chain is more severely affected than the simple industrial chain, mainly because of the multiple international and cross-border transfer of design components. As a typical capital-intensive and technology-intensive industry, the automobile industry is highly affected by the epidemic due to its unique technological attributes. The refined vertical division of labor has led to the fragility of the global industrial chain system. If the supply of any component is interrupted, the production of its upstream and downstream countries will be seriously affected. In 2020, the automobile production of major automobile producing countries all showed negative growth to varying degrees. Among the top 12 major auto producing countries, China's auto industry as a whole has been least affected by the epidemic, followed by South Korea. France's auto production has been the most affected by the epidemic, with a decrease of nearly 40 percent compared to 2019. By region, East Asian countries are relatively small affected by the epidemic, while North American countries and European countries are the most affected.</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impact of the volatility of the pandemic on China's economic and political environment has led to a sharp weakening of consumer demand and more cautious consumer behavior. For example, the outbreak of the epidemic in Shanghai, China in March caused domestic consumption to be dragged down again by the epidemic. Many cities closed down the restaurants, Shanghai and other cities entered the lockdown state, and the catering income showed a deep negative growth. The consumption of this round was affected by the epidemic in both time and depth, showing a negative growth trend. The impact of the epidemic on the sales of goods is very harmful, in terms of prices, PPI started to rebound month-on-month. The cost of raw materials continues to rise, the living conditions of small enterprises gradually deteriorate, the profit growth rate drops sharply, the number of loss-making enterprises increases, and the survival becomes increasingly difficult. Corporate production is often disrupted by policy, and cash flow dries up. However, the retaliatory consumption of consumers is inevitable after the epidemic. However, due to the employment difficulties and income decline caused by the epidemic, the decline of residents' disposable income will be difficult to support the retaliatory consumption after the epidemic.</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order to survive in the harsh environment, it is necessary to comply with the increasing demand of users for automobile customization. Faw-faw-volkswagen has developed the personalized model strategy and started the original factory customization mode. The pre-batch center undertakes the company's personalized sample cars and small batch customization tasks. In the past two years, we have successfully introduced new processes such as exterior matte paint, black light bag and interior embroidery and hot stamping, and created a series of special edition customized products, and assisted in batch import. In the future, the center will expand the range of customized products and improve the capacity of small-batch customization, so as to continuously meet the needs of users.</w:t>
      </w:r>
    </w:p>
    <w:p>
      <w:pPr>
        <w:pStyle w:val="3"/>
        <w:bidi w:val="0"/>
        <w:rPr>
          <w:rFonts w:hint="default"/>
        </w:rPr>
      </w:pPr>
      <w:r>
        <w:rPr>
          <w:rFonts w:hint="default"/>
        </w:rPr>
        <w:t>3</w:t>
      </w:r>
      <w:r>
        <w:rPr>
          <w:rFonts w:hint="default"/>
        </w:rPr>
        <w:t xml:space="preserve"> Conclusion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"User-oriented preventive quality management system" aims to quickly solve the problem of users using cars, extract the failure mode, form a user-oriented key feature parameter library, and transfer users' demands forward quickly through digital means. Through the development and formulation of product interception and process control schemes in the whole link, the system can avoid the flow of defective products to the market and prevent the recurrence of problems, which can realize the implementation and implementation of quality management in the whole link value stream from the research and development end, the manufacturing end, the after-sales end to the supplier end. This can not only continuously improve the quality of physical objects and processes, More can promote the continuous improvement of user satisfaction. Policy will be a key factor in the recovery of the car market.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Be clear about the law of market competition: questions determine the size of the market, and secrets determine the size of the venture. If the entrepreneur chooses the wrong social problem to solve, it is likely that the market is too small to make money. If you don't have enough secrets, you may not be able to make money or even survive, no matter how big the market is. Only by keeping secrets, can entrepreneurs have their own anti-risk weapons; The bigger the secret, the stronger the ability to resist risks, the stronger the core competitiveness. Therefore, FAW-Volkswagen needs to adhere to the quality content transmitted by users and create stronger attraction to new users through the scale of its advantages, so as to make itself more competitive and survive in the market competition.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global spread of the novel coronavirus pandemic has severely impacted the global automobile industry chain. The COVID-19 pandemic, combined with economic, technological and political factors, has accelerated the restructuring of the global automotive industry chain. The river fluctuates, and the boats on the river cannot move smoothly. FAW-Volkswagen is one of them. Especially in the Chinese market, the restructuring of the global automobile industry chain will greatly reduce the space for China to participate in the global industry chain, reduce the opportunity to acquire value, block the path to acquire advanced technology, and make FAW-Volkswagen auto industry upgrading face severe challenges. Therefore, it is urgent to adjust the industrial development strategy and policy focus of FAW-Volkswagen to better balance independent innovation and participation in international cooperation.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Reform is a necessary action in the face of huge challenges, but the reform is only a change of methods, the idea of "user first" is always firm. How to better meet the needs of customers, solve their troubles and create greater value for FAW-Volkswagen is the key issue.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p>
    <w:p>
      <w:pPr>
        <w:pStyle w:val="3"/>
        <w:bidi w:val="0"/>
        <w:rPr>
          <w:rFonts w:hint="default"/>
        </w:rPr>
      </w:pPr>
      <w:r>
        <w:rPr>
          <w:rFonts w:hint="default"/>
        </w:rPr>
        <w:t>4</w:t>
      </w:r>
      <w:r>
        <w:rPr>
          <w:rFonts w:hint="default"/>
        </w:rPr>
        <w:t xml:space="preserve"> Recommendations</w:t>
      </w:r>
    </w:p>
    <w:p>
      <w:pPr>
        <w:pStyle w:val="4"/>
        <w:bidi w:val="0"/>
        <w:rPr>
          <w:rFonts w:hint="default"/>
        </w:rPr>
      </w:pPr>
      <w:r>
        <w:rPr>
          <w:rFonts w:hint="default"/>
        </w:rPr>
        <w:t>4</w:t>
      </w:r>
      <w:r>
        <w:rPr>
          <w:rFonts w:hint="default"/>
        </w:rPr>
        <w:t>.1 New marketing model is imperative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the pandemic becomes more difficult to acquire customers, the first wave of the pandemic in 2020 has given a huge boost to the digitization process, with a lot of offline commerce, economic activities and personal consumption behaviors moving online. Online live delivery and other ways can improve the public awareness of FAW-Volkswagen and improve its performance. Moreover, it is difficult for consumers to buy cars just through a live broadcast when consumption is becoming more cautious. Gradually, most of the live broadcast sales of cars and online new car press conferences are still just a channel for brand promotion. However, it is also worth thinking about how to maximize the role of the Internet, such as making online group buying and offline car pickup an emerging form of consumption, and thus increasing terminal sales.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post-epidemic era, although automobiles are special commodities with low frequency and high price, even though the marketing focus is slowly shifted to online, the online marketing role is increasingly strengthened and the role of online marketing is increasingly important in the whole customer journey, the product experience, delivery and even maintenance cannot be separated from offline. When cars enter the stock market today, brand word-of-mouth plays an important role in marketing. The main source of brand reputation is the majority of car owners and fans, in today's information explosion, it is not enough to rely on them to influence the friends around, how to influence more people who pay attention to the brand through the Internet, is the fundamental development.</w:t>
      </w:r>
    </w:p>
    <w:p>
      <w:pPr>
        <w:pStyle w:val="4"/>
        <w:bidi w:val="0"/>
        <w:rPr>
          <w:rFonts w:hint="default"/>
        </w:rPr>
      </w:pPr>
      <w:r>
        <w:rPr>
          <w:rFonts w:hint="default"/>
        </w:rPr>
        <w:t>4</w:t>
      </w:r>
      <w:r>
        <w:rPr>
          <w:rFonts w:hint="default"/>
        </w:rPr>
        <w:t>.2 It is the general trend to adjust product layout and accelerate intelligent and personalized transformation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epidemic has reduced the consumption power of consumer groups, and consumers will also be less willing to buy low-frequency and high-price goods such as automobiles, further affecting automobile enterprises. Therefore, FAW-Volkswagen should go against the current trend, keep its original mind, adhere to the idea of customer orientation, take the initiative to meet the current new media communication mode, and change the traditional rigid thinking. The epidemic has led to more prudent and rational consumption, and the current Russia-Ukraine relationship has led to the high oil price rise, which further increases the cost performance advantage of new energy vehicles. New energy vehicles are expected to maintain growth in the entry level and high-end markets. According to the survey, 59.4 percent of potential new energy vehicle users are converted from fuel car users. However, the price sensitivity of new energy vehicle users is relatively low. Faced with the price increase of new energy vehicles, only 5. 5% of users will choose to consider replacing fuel vehicles. Catering to consumers can usher in the dawn of victory.</w:t>
      </w:r>
    </w:p>
    <w:p>
      <w:pPr>
        <w:pStyle w:val="3"/>
        <w:bidi w:val="0"/>
        <w:rPr>
          <w:rFonts w:hint="default"/>
          <w:lang w:val="en-GB"/>
        </w:rPr>
      </w:pPr>
      <w:r>
        <w:rPr>
          <w:rFonts w:hint="default"/>
        </w:rPr>
        <w:t>5</w:t>
      </w:r>
      <w:r>
        <w:rPr>
          <w:rFonts w:hint="default"/>
        </w:rPr>
        <w:t xml:space="preserve"> </w:t>
      </w:r>
      <w:r>
        <w:rPr>
          <w:rFonts w:hint="default"/>
          <w:lang w:val="en-GB"/>
        </w:rPr>
        <w:t>References</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i w:val="0"/>
          <w:iCs w:val="0"/>
          <w:caps w:val="0"/>
          <w:color w:val="333333"/>
          <w:spacing w:val="0"/>
          <w:sz w:val="24"/>
          <w:szCs w:val="24"/>
          <w:shd w:val="clear" w:fill="FFFFFF"/>
        </w:rPr>
      </w:pPr>
      <w:r>
        <w:rPr>
          <w:rFonts w:hint="default" w:ascii="Times New Roman" w:hAnsi="Times New Roman" w:cs="Times New Roman"/>
          <w:i w:val="0"/>
          <w:iCs w:val="0"/>
          <w:caps w:val="0"/>
          <w:color w:val="333333"/>
          <w:spacing w:val="0"/>
          <w:sz w:val="24"/>
          <w:szCs w:val="24"/>
          <w:shd w:val="clear" w:fill="FFFFFF"/>
        </w:rPr>
        <w:t xml:space="preserve">Zhu, Q., Sarkis, J. and Lai, K.-hung (2007) “Green Supply Chain Management: Pressures, practices and performance within the Chinese Automobile Industry,” </w:t>
      </w:r>
      <w:r>
        <w:rPr>
          <w:rFonts w:hint="default" w:ascii="Times New Roman Italic" w:hAnsi="Times New Roman Italic" w:cs="Times New Roman Italic"/>
          <w:i/>
          <w:iCs/>
          <w:caps w:val="0"/>
          <w:color w:val="333333"/>
          <w:spacing w:val="0"/>
          <w:sz w:val="24"/>
          <w:szCs w:val="24"/>
          <w:shd w:val="clear" w:fill="FFFFFF"/>
        </w:rPr>
        <w:t>Journal of Cleaner Production</w:t>
      </w:r>
      <w:r>
        <w:rPr>
          <w:rFonts w:hint="default" w:ascii="Times New Roman" w:hAnsi="Times New Roman" w:cs="Times New Roman"/>
          <w:i w:val="0"/>
          <w:iCs w:val="0"/>
          <w:caps w:val="0"/>
          <w:color w:val="333333"/>
          <w:spacing w:val="0"/>
          <w:sz w:val="24"/>
          <w:szCs w:val="24"/>
          <w:shd w:val="clear" w:fill="FFFFFF"/>
        </w:rPr>
        <w:t xml:space="preserve">, 15(11-12), pp. 1041–1052. Available at: https://doi.org/10.1016/j.jclepro.2006.05.021.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i w:val="0"/>
          <w:iCs w:val="0"/>
          <w:caps w:val="0"/>
          <w:color w:val="333333"/>
          <w:spacing w:val="0"/>
          <w:sz w:val="24"/>
          <w:szCs w:val="24"/>
          <w:shd w:val="clear" w:fill="FFFFFF"/>
        </w:rPr>
      </w:pPr>
      <w:r>
        <w:rPr>
          <w:rFonts w:hint="default" w:ascii="Times New Roman" w:hAnsi="Times New Roman" w:cs="Times New Roman"/>
          <w:i w:val="0"/>
          <w:iCs w:val="0"/>
          <w:caps w:val="0"/>
          <w:color w:val="333333"/>
          <w:spacing w:val="0"/>
          <w:sz w:val="24"/>
          <w:szCs w:val="24"/>
          <w:shd w:val="clear" w:fill="FFFFFF"/>
        </w:rPr>
        <w:t>Williams, A. (2007) “Product service systems in the automobile industry: Contribution to System Innovation?,”</w:t>
      </w:r>
      <w:r>
        <w:rPr>
          <w:rFonts w:hint="default" w:ascii="Times New Roman Italic" w:hAnsi="Times New Roman Italic" w:cs="Times New Roman Italic"/>
          <w:i/>
          <w:iCs/>
          <w:caps w:val="0"/>
          <w:color w:val="333333"/>
          <w:spacing w:val="0"/>
          <w:sz w:val="24"/>
          <w:szCs w:val="24"/>
          <w:shd w:val="clear" w:fill="FFFFFF"/>
        </w:rPr>
        <w:t xml:space="preserve"> Journal of Cleaner Production</w:t>
      </w:r>
      <w:r>
        <w:rPr>
          <w:rFonts w:hint="default" w:ascii="Times New Roman" w:hAnsi="Times New Roman" w:cs="Times New Roman"/>
          <w:i w:val="0"/>
          <w:iCs w:val="0"/>
          <w:caps w:val="0"/>
          <w:color w:val="333333"/>
          <w:spacing w:val="0"/>
          <w:sz w:val="24"/>
          <w:szCs w:val="24"/>
          <w:shd w:val="clear" w:fill="FFFFFF"/>
        </w:rPr>
        <w:t xml:space="preserve">, 15(11-12), pp. 1093–1103. Available at: https://doi.org/10.1016/j.jclepro.2006.05.034.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i w:val="0"/>
          <w:iCs w:val="0"/>
          <w:caps w:val="0"/>
          <w:color w:val="333333"/>
          <w:spacing w:val="0"/>
          <w:sz w:val="24"/>
          <w:szCs w:val="24"/>
          <w:shd w:val="clear" w:fill="FFFFFF"/>
        </w:rPr>
      </w:pPr>
      <w:r>
        <w:rPr>
          <w:rFonts w:hint="default" w:ascii="Times New Roman" w:hAnsi="Times New Roman" w:cs="Times New Roman"/>
          <w:i w:val="0"/>
          <w:iCs w:val="0"/>
          <w:caps w:val="0"/>
          <w:color w:val="333333"/>
          <w:spacing w:val="0"/>
          <w:sz w:val="24"/>
          <w:szCs w:val="24"/>
          <w:shd w:val="clear" w:fill="FFFFFF"/>
        </w:rPr>
        <w:t xml:space="preserve">Eisen, E.A. et al. (1994) “Mortality studies of machining fluid exposure in the automobile industry III: A case-control study of larynx cancer,” </w:t>
      </w:r>
      <w:r>
        <w:rPr>
          <w:rFonts w:hint="default" w:ascii="Times New Roman Italic" w:hAnsi="Times New Roman Italic" w:cs="Times New Roman Italic"/>
          <w:i/>
          <w:iCs/>
          <w:caps w:val="0"/>
          <w:color w:val="333333"/>
          <w:spacing w:val="0"/>
          <w:sz w:val="24"/>
          <w:szCs w:val="24"/>
          <w:shd w:val="clear" w:fill="FFFFFF"/>
        </w:rPr>
        <w:t>American Journal of Industrial Medicine</w:t>
      </w:r>
      <w:r>
        <w:rPr>
          <w:rFonts w:hint="default" w:ascii="Times New Roman" w:hAnsi="Times New Roman" w:cs="Times New Roman"/>
          <w:i w:val="0"/>
          <w:iCs w:val="0"/>
          <w:caps w:val="0"/>
          <w:color w:val="333333"/>
          <w:spacing w:val="0"/>
          <w:sz w:val="24"/>
          <w:szCs w:val="24"/>
          <w:shd w:val="clear" w:fill="FFFFFF"/>
        </w:rPr>
        <w:t xml:space="preserve">, 26(2), pp. 185–202. Available at: https://doi.org/10.1002/ajim.4700260205.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i w:val="0"/>
          <w:iCs w:val="0"/>
          <w:caps w:val="0"/>
          <w:color w:val="333333"/>
          <w:spacing w:val="0"/>
          <w:sz w:val="24"/>
          <w:szCs w:val="24"/>
          <w:shd w:val="clear" w:fill="FFFFFF"/>
        </w:rPr>
      </w:pPr>
      <w:r>
        <w:rPr>
          <w:rFonts w:hint="default" w:ascii="Times New Roman" w:hAnsi="Times New Roman" w:cs="Times New Roman"/>
          <w:i w:val="0"/>
          <w:iCs w:val="0"/>
          <w:caps w:val="0"/>
          <w:color w:val="333333"/>
          <w:spacing w:val="0"/>
          <w:sz w:val="24"/>
          <w:szCs w:val="24"/>
          <w:shd w:val="clear" w:fill="FFFFFF"/>
        </w:rPr>
        <w:t>James, A.T. et al. (2022) “Analysis of human resource management challenges in implementation of Industry 4.0 in Indian automobile industry,”</w:t>
      </w:r>
      <w:r>
        <w:rPr>
          <w:rFonts w:hint="default" w:ascii="Times New Roman Italic" w:hAnsi="Times New Roman Italic" w:cs="Times New Roman Italic"/>
          <w:i/>
          <w:iCs/>
          <w:caps w:val="0"/>
          <w:color w:val="333333"/>
          <w:spacing w:val="0"/>
          <w:sz w:val="24"/>
          <w:szCs w:val="24"/>
          <w:shd w:val="clear" w:fill="FFFFFF"/>
        </w:rPr>
        <w:t xml:space="preserve"> Technological Forecasting and Social Change</w:t>
      </w:r>
      <w:r>
        <w:rPr>
          <w:rFonts w:hint="default" w:ascii="Times New Roman" w:hAnsi="Times New Roman" w:cs="Times New Roman"/>
          <w:i w:val="0"/>
          <w:iCs w:val="0"/>
          <w:caps w:val="0"/>
          <w:color w:val="333333"/>
          <w:spacing w:val="0"/>
          <w:sz w:val="24"/>
          <w:szCs w:val="24"/>
          <w:shd w:val="clear" w:fill="FFFFFF"/>
        </w:rPr>
        <w:t xml:space="preserve">, 176, p. 121483. Available at: https://doi.org/10.1016/j.techfore.2022.121483.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i w:val="0"/>
          <w:iCs w:val="0"/>
          <w:caps w:val="0"/>
          <w:color w:val="333333"/>
          <w:spacing w:val="0"/>
          <w:sz w:val="24"/>
          <w:szCs w:val="24"/>
          <w:shd w:val="clear" w:fill="FFFFFF"/>
        </w:rPr>
      </w:pPr>
      <w:r>
        <w:rPr>
          <w:rFonts w:hint="default" w:ascii="Times New Roman" w:hAnsi="Times New Roman" w:cs="Times New Roman"/>
          <w:i w:val="0"/>
          <w:iCs w:val="0"/>
          <w:caps w:val="0"/>
          <w:color w:val="333333"/>
          <w:spacing w:val="0"/>
          <w:sz w:val="24"/>
          <w:szCs w:val="24"/>
          <w:shd w:val="clear" w:fill="FFFFFF"/>
        </w:rPr>
        <w:t xml:space="preserve">Ha, Y.-K. and Woo, S.-H. (2022) “Transportation Infrastructure or economic power? development of the automobile industry in the United States,” </w:t>
      </w:r>
      <w:bookmarkStart w:id="3" w:name="_GoBack"/>
      <w:r>
        <w:rPr>
          <w:rFonts w:hint="default" w:ascii="Times New Roman Italic" w:hAnsi="Times New Roman Italic" w:cs="Times New Roman Italic"/>
          <w:i/>
          <w:iCs/>
          <w:caps w:val="0"/>
          <w:color w:val="333333"/>
          <w:spacing w:val="0"/>
          <w:sz w:val="24"/>
          <w:szCs w:val="24"/>
          <w:shd w:val="clear" w:fill="FFFFFF"/>
        </w:rPr>
        <w:t>Sustainability</w:t>
      </w:r>
      <w:bookmarkEnd w:id="3"/>
      <w:r>
        <w:rPr>
          <w:rFonts w:hint="default" w:ascii="Times New Roman" w:hAnsi="Times New Roman" w:cs="Times New Roman"/>
          <w:i w:val="0"/>
          <w:iCs w:val="0"/>
          <w:caps w:val="0"/>
          <w:color w:val="333333"/>
          <w:spacing w:val="0"/>
          <w:sz w:val="24"/>
          <w:szCs w:val="24"/>
          <w:shd w:val="clear" w:fill="FFFFFF"/>
        </w:rPr>
        <w:t xml:space="preserve">, 14(3), p. 1649. Available at: https://doi.org/10.3390/su14031649.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Vince Bond Jr..(2020).Automotive marketing shifts amid uncertainty.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(6926).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Boienko O.,Statkevych K. &amp; Shapoval A..(2020).Development of Promotion Policy of Hybrid Technology of Cars as an Element of Social-Ethical Marketing. </w:t>
      </w:r>
      <w:r>
        <w:rPr>
          <w:rFonts w:hint="default" w:ascii="Times New Roman" w:hAnsi="Times New Roman" w:cs="Times New Roman"/>
          <w:i/>
          <w:iCs/>
          <w:caps w:val="0"/>
          <w:color w:val="333333"/>
          <w:spacing w:val="0"/>
          <w:sz w:val="24"/>
          <w:szCs w:val="24"/>
          <w:shd w:val="clear" w:fill="FFFFFF"/>
        </w:rPr>
        <w:t>Modern Economics</w:t>
      </w:r>
      <w:r>
        <w:rPr>
          <w:rFonts w:hint="default" w:ascii="Times New Roman" w:hAnsi="Times New Roman" w:cs="Times New Roman"/>
          <w:i w:val="0"/>
          <w:iCs w:val="0"/>
          <w:caps w:val="0"/>
          <w:color w:val="333333"/>
          <w:spacing w:val="0"/>
          <w:sz w:val="24"/>
          <w:szCs w:val="24"/>
          <w:shd w:val="clear" w:fill="FFFFFF"/>
        </w:rPr>
        <w:t>(1). doi:10.31521/modecon.v19(2020)-04.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Shafiee Majid Mohammad &amp; Shahin Arash.(2020).How Can Green Marketing Lead to Customer Trust and Green Intention Evidences from Automobile Industry. </w:t>
      </w:r>
      <w:r>
        <w:rPr>
          <w:rFonts w:hint="default" w:ascii="Times New Roman" w:hAnsi="Times New Roman" w:cs="Times New Roman"/>
          <w:i/>
          <w:iCs/>
          <w:caps w:val="0"/>
          <w:color w:val="333333"/>
          <w:spacing w:val="0"/>
          <w:sz w:val="24"/>
          <w:szCs w:val="24"/>
          <w:shd w:val="clear" w:fill="FFFFFF"/>
        </w:rPr>
        <w:t>International Journal of Business Excellence</w:t>
      </w:r>
      <w:r>
        <w:rPr>
          <w:rFonts w:hint="default" w:ascii="Times New Roman" w:hAnsi="Times New Roman" w:cs="Times New Roman"/>
          <w:i w:val="0"/>
          <w:iCs w:val="0"/>
          <w:caps w:val="0"/>
          <w:color w:val="333333"/>
          <w:spacing w:val="0"/>
          <w:sz w:val="24"/>
          <w:szCs w:val="24"/>
          <w:shd w:val="clear" w:fill="FFFFFF"/>
        </w:rPr>
        <w:t>(1). doi:10.1504/ijbex.2020.10025827.</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Moeser Kurt.(2020).Auto-Identities. Marketing, Consumption and Product Images of the Automobile after the Boom. </w:t>
      </w:r>
      <w:r>
        <w:rPr>
          <w:rFonts w:hint="default" w:ascii="Times New Roman" w:hAnsi="Times New Roman" w:cs="Times New Roman"/>
          <w:i/>
          <w:iCs/>
          <w:caps w:val="0"/>
          <w:color w:val="333333"/>
          <w:spacing w:val="0"/>
          <w:sz w:val="24"/>
          <w:szCs w:val="24"/>
          <w:shd w:val="clear" w:fill="FFFFFF"/>
        </w:rPr>
        <w:t>VSWG-VIERTELJAHRSCHRIFT FUR SOZIAL-UND WIRTSCHAFTSGESCHICHTE</w:t>
      </w:r>
      <w:r>
        <w:rPr>
          <w:rFonts w:hint="default" w:ascii="Times New Roman" w:hAnsi="Times New Roman" w:cs="Times New Roman"/>
          <w:i w:val="0"/>
          <w:iCs w:val="0"/>
          <w:caps w:val="0"/>
          <w:color w:val="333333"/>
          <w:spacing w:val="0"/>
          <w:sz w:val="24"/>
          <w:szCs w:val="24"/>
          <w:shd w:val="clear" w:fill="FFFFFF"/>
        </w:rPr>
        <w:t>(4).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Boonying Jiraporn &amp; Chantana Sujitra.(2019).Distribution Marketing Strategy of Goods from Manufacturers to the Consumer in the Auto Parts Industry in Thailand. </w:t>
      </w:r>
      <w:r>
        <w:rPr>
          <w:rFonts w:hint="default" w:ascii="Times New Roman" w:hAnsi="Times New Roman" w:cs="Times New Roman"/>
          <w:i/>
          <w:iCs/>
          <w:caps w:val="0"/>
          <w:color w:val="333333"/>
          <w:spacing w:val="0"/>
          <w:sz w:val="24"/>
          <w:szCs w:val="24"/>
          <w:shd w:val="clear" w:fill="FFFFFF"/>
        </w:rPr>
        <w:t>The Social Sciences</w:t>
      </w:r>
      <w:r>
        <w:rPr>
          <w:rFonts w:hint="default" w:ascii="Times New Roman" w:hAnsi="Times New Roman" w:cs="Times New Roman"/>
          <w:i w:val="0"/>
          <w:iCs w:val="0"/>
          <w:caps w:val="0"/>
          <w:color w:val="333333"/>
          <w:spacing w:val="0"/>
          <w:sz w:val="24"/>
          <w:szCs w:val="24"/>
          <w:shd w:val="clear" w:fill="FFFFFF"/>
        </w:rPr>
        <w:t>(9). doi:10.36478/sscience.2019.335.340.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Almoatazbillah S. Hassan.(2019).Evaluating the Marketing Communication Strategy of Volkswagen in Post-Crisis Period: Application of Image Repair Theory. </w:t>
      </w:r>
      <w:r>
        <w:rPr>
          <w:rFonts w:hint="default" w:ascii="Times New Roman" w:hAnsi="Times New Roman" w:cs="Times New Roman"/>
          <w:i/>
          <w:iCs/>
          <w:caps w:val="0"/>
          <w:color w:val="333333"/>
          <w:spacing w:val="0"/>
          <w:sz w:val="24"/>
          <w:szCs w:val="24"/>
          <w:shd w:val="clear" w:fill="FFFFFF"/>
        </w:rPr>
        <w:t>International Journal of Marketing Studies</w:t>
      </w:r>
      <w:r>
        <w:rPr>
          <w:rFonts w:hint="default" w:ascii="Times New Roman" w:hAnsi="Times New Roman" w:cs="Times New Roman"/>
          <w:i w:val="0"/>
          <w:iCs w:val="0"/>
          <w:caps w:val="0"/>
          <w:color w:val="333333"/>
          <w:spacing w:val="0"/>
          <w:sz w:val="24"/>
          <w:szCs w:val="24"/>
          <w:shd w:val="clear" w:fill="FFFFFF"/>
        </w:rPr>
        <w:t>(2). doi:10.5539/ijms.v11n2p87.</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Hannah Lutz.(2018).Chase Auto unifies marketing, direct lending.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(6855).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Byun Young si,Joo Hye Hwa &amp; Park Yeon Su.(2018).Effect of Experiential Marketing on Automotive User Interface: User Experience of Eco-Driving and Welcome System. </w:t>
      </w:r>
      <w:r>
        <w:rPr>
          <w:rFonts w:hint="default" w:ascii="Times New Roman" w:hAnsi="Times New Roman" w:cs="Times New Roman"/>
          <w:i/>
          <w:iCs/>
          <w:caps w:val="0"/>
          <w:color w:val="333333"/>
          <w:spacing w:val="0"/>
          <w:sz w:val="24"/>
          <w:szCs w:val="24"/>
          <w:shd w:val="clear" w:fill="FFFFFF"/>
        </w:rPr>
        <w:t>Design Convergence Study</w:t>
      </w:r>
      <w:r>
        <w:rPr>
          <w:rFonts w:hint="default" w:ascii="Times New Roman" w:hAnsi="Times New Roman" w:cs="Times New Roman"/>
          <w:i w:val="0"/>
          <w:iCs w:val="0"/>
          <w:caps w:val="0"/>
          <w:color w:val="333333"/>
          <w:spacing w:val="0"/>
          <w:sz w:val="24"/>
          <w:szCs w:val="24"/>
          <w:shd w:val="clear" w:fill="FFFFFF"/>
        </w:rPr>
        <w:t>(4). doi:10.31678/sdc.71.3.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Olena Lozhachevska &amp; Ruslan Hryhorenko.(2018).ANALYSIS OF MARKETING ACTIVITY AND COMMUNICATION POLICY OF CAR SERVICE ENTERPRISES OF UKRAINE. </w:t>
      </w:r>
      <w:r>
        <w:rPr>
          <w:rFonts w:hint="default" w:ascii="Times New Roman" w:hAnsi="Times New Roman" w:cs="Times New Roman"/>
          <w:i/>
          <w:iCs/>
          <w:caps w:val="0"/>
          <w:color w:val="333333"/>
          <w:spacing w:val="0"/>
          <w:sz w:val="24"/>
          <w:szCs w:val="24"/>
          <w:shd w:val="clear" w:fill="FFFFFF"/>
        </w:rPr>
        <w:t>Economic Analysis</w:t>
      </w:r>
      <w:r>
        <w:rPr>
          <w:rFonts w:hint="default" w:ascii="Times New Roman" w:hAnsi="Times New Roman" w:cs="Times New Roman"/>
          <w:i w:val="0"/>
          <w:iCs w:val="0"/>
          <w:caps w:val="0"/>
          <w:color w:val="333333"/>
          <w:spacing w:val="0"/>
          <w:sz w:val="24"/>
          <w:szCs w:val="24"/>
          <w:shd w:val="clear" w:fill="FFFFFF"/>
        </w:rPr>
        <w:t>(28(3)). doi:10.35774/econa2018.03.170.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Dahiya Rekha &amp; Gayatri.(2017).Investigating Indian Car Buyers’ Decision to Use Digital Marketing Communication: An Empirical Application of Decomposed TPB. </w:t>
      </w:r>
      <w:r>
        <w:rPr>
          <w:rFonts w:hint="default" w:ascii="Times New Roman" w:hAnsi="Times New Roman" w:cs="Times New Roman"/>
          <w:i/>
          <w:iCs/>
          <w:caps w:val="0"/>
          <w:color w:val="333333"/>
          <w:spacing w:val="0"/>
          <w:sz w:val="24"/>
          <w:szCs w:val="24"/>
          <w:shd w:val="clear" w:fill="FFFFFF"/>
        </w:rPr>
        <w:t>Vision: The Journal of Business Perspective</w:t>
      </w:r>
      <w:r>
        <w:rPr>
          <w:rFonts w:hint="default" w:ascii="Times New Roman" w:hAnsi="Times New Roman" w:cs="Times New Roman"/>
          <w:i w:val="0"/>
          <w:iCs w:val="0"/>
          <w:caps w:val="0"/>
          <w:color w:val="333333"/>
          <w:spacing w:val="0"/>
          <w:sz w:val="24"/>
          <w:szCs w:val="24"/>
          <w:shd w:val="clear" w:fill="FFFFFF"/>
        </w:rPr>
        <w:t>(4). doi:10.1177/0972262917733175.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Chris Beukes &amp; Gerhard van Wyk.(2016).An Investigation of the Marketing Performance Measurement Practices in Hatfield Volkswagen Group. </w:t>
      </w:r>
      <w:r>
        <w:rPr>
          <w:rFonts w:hint="default" w:ascii="Times New Roman" w:hAnsi="Times New Roman" w:cs="Times New Roman"/>
          <w:i/>
          <w:iCs/>
          <w:caps w:val="0"/>
          <w:color w:val="333333"/>
          <w:spacing w:val="0"/>
          <w:sz w:val="24"/>
          <w:szCs w:val="24"/>
          <w:shd w:val="clear" w:fill="FFFFFF"/>
        </w:rPr>
        <w:t>African Journal of Business Management</w:t>
      </w:r>
      <w:r>
        <w:rPr>
          <w:rFonts w:hint="default" w:ascii="Times New Roman" w:hAnsi="Times New Roman" w:cs="Times New Roman"/>
          <w:i w:val="0"/>
          <w:iCs w:val="0"/>
          <w:caps w:val="0"/>
          <w:color w:val="333333"/>
          <w:spacing w:val="0"/>
          <w:sz w:val="24"/>
          <w:szCs w:val="24"/>
          <w:shd w:val="clear" w:fill="FFFFFF"/>
        </w:rPr>
        <w:t>(6).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Eneizan , Bilal Mohammad,Abd Wahab ... &amp; Tareq Fayeq.(2016).Effects of Green Marketing Strategies on Sales Volume of Green Cars. </w:t>
      </w:r>
      <w:r>
        <w:rPr>
          <w:rFonts w:hint="default" w:ascii="Times New Roman" w:hAnsi="Times New Roman" w:cs="Times New Roman"/>
          <w:i/>
          <w:iCs/>
          <w:caps w:val="0"/>
          <w:color w:val="333333"/>
          <w:spacing w:val="0"/>
          <w:sz w:val="24"/>
          <w:szCs w:val="24"/>
          <w:shd w:val="clear" w:fill="FFFFFF"/>
        </w:rPr>
        <w:t>Singaporean Journal of Business, Economics and Management Studies</w:t>
      </w:r>
      <w:r>
        <w:rPr>
          <w:rFonts w:hint="default" w:ascii="Times New Roman" w:hAnsi="Times New Roman" w:cs="Times New Roman"/>
          <w:i w:val="0"/>
          <w:iCs w:val="0"/>
          <w:caps w:val="0"/>
          <w:color w:val="333333"/>
          <w:spacing w:val="0"/>
          <w:sz w:val="24"/>
          <w:szCs w:val="24"/>
          <w:shd w:val="clear" w:fill="FFFFFF"/>
        </w:rPr>
        <w:t>(3).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Barkholz, David.(2015).Hyundai, VW add dealer website options.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(6660).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SZILLAT PATRICK &amp; BETOV ALEXANDER.(2015).Marketing to multicultural audiences - Ethnic marketing for Turks in the German automotive and telecommunications industries. </w:t>
      </w:r>
      <w:r>
        <w:rPr>
          <w:rFonts w:hint="default" w:ascii="Times New Roman" w:hAnsi="Times New Roman" w:cs="Times New Roman"/>
          <w:i/>
          <w:iCs/>
          <w:caps w:val="0"/>
          <w:color w:val="333333"/>
          <w:spacing w:val="0"/>
          <w:sz w:val="24"/>
          <w:szCs w:val="24"/>
          <w:shd w:val="clear" w:fill="FFFFFF"/>
        </w:rPr>
        <w:t>International Journal of Business and Management</w:t>
      </w:r>
      <w:r>
        <w:rPr>
          <w:rFonts w:hint="default" w:ascii="Times New Roman" w:hAnsi="Times New Roman" w:cs="Times New Roman"/>
          <w:i w:val="0"/>
          <w:iCs w:val="0"/>
          <w:caps w:val="0"/>
          <w:color w:val="333333"/>
          <w:spacing w:val="0"/>
          <w:sz w:val="24"/>
          <w:szCs w:val="24"/>
          <w:shd w:val="clear" w:fill="FFFFFF"/>
        </w:rPr>
        <w:t>(2). doi:10.20472/bm.2015.3.2.006.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Bagga Teena &amp; Gupta Deepak.(2014).Internet Marketing by Automobile Industry: Special Reference of Indian Counterparts. </w:t>
      </w:r>
      <w:r>
        <w:rPr>
          <w:rFonts w:hint="default" w:ascii="Times New Roman" w:hAnsi="Times New Roman" w:cs="Times New Roman"/>
          <w:i/>
          <w:iCs/>
          <w:caps w:val="0"/>
          <w:color w:val="333333"/>
          <w:spacing w:val="0"/>
          <w:sz w:val="24"/>
          <w:szCs w:val="24"/>
          <w:shd w:val="clear" w:fill="FFFFFF"/>
        </w:rPr>
        <w:t>International Journal of Computer Applications</w:t>
      </w:r>
      <w:r>
        <w:rPr>
          <w:rFonts w:hint="default" w:ascii="Times New Roman" w:hAnsi="Times New Roman" w:cs="Times New Roman"/>
          <w:i w:val="0"/>
          <w:iCs w:val="0"/>
          <w:caps w:val="0"/>
          <w:color w:val="333333"/>
          <w:spacing w:val="0"/>
          <w:sz w:val="24"/>
          <w:szCs w:val="24"/>
          <w:shd w:val="clear" w:fill="FFFFFF"/>
        </w:rPr>
        <w:t>(6). doi:10.5120/17009-7219.</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Martine Robinson Beachboard &amp; John C. Beachboard.(2014).To Outsource Web Development or Not: A Small Automotive Company Considers Search Engine Marketing. </w:t>
      </w:r>
      <w:r>
        <w:rPr>
          <w:rFonts w:hint="default" w:ascii="Times New Roman" w:hAnsi="Times New Roman" w:cs="Times New Roman"/>
          <w:i/>
          <w:iCs/>
          <w:caps w:val="0"/>
          <w:color w:val="333333"/>
          <w:spacing w:val="0"/>
          <w:sz w:val="24"/>
          <w:szCs w:val="24"/>
          <w:shd w:val="clear" w:fill="FFFFFF"/>
        </w:rPr>
        <w:t>Journal of Information Technology Education: Discussion Cases (JITE: DC)</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Shauli Chaudhuri,CEO &amp; hoojook.(2014).A New Paradigm in Automotive Marketing. </w:t>
      </w:r>
      <w:r>
        <w:rPr>
          <w:rFonts w:hint="default" w:ascii="Times New Roman" w:hAnsi="Times New Roman" w:cs="Times New Roman"/>
          <w:i/>
          <w:iCs/>
          <w:caps w:val="0"/>
          <w:color w:val="333333"/>
          <w:spacing w:val="0"/>
          <w:sz w:val="24"/>
          <w:szCs w:val="24"/>
          <w:shd w:val="clear" w:fill="FFFFFF"/>
        </w:rPr>
        <w:t>Automotive Industries</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O. Yurynets &amp; O. Tomyuk.(2014).Optimization of marketing strategy’s selection processin automobile company. </w:t>
      </w:r>
      <w:r>
        <w:rPr>
          <w:rFonts w:hint="default" w:ascii="Times New Roman" w:hAnsi="Times New Roman" w:cs="Times New Roman"/>
          <w:i/>
          <w:iCs/>
          <w:caps w:val="0"/>
          <w:color w:val="333333"/>
          <w:spacing w:val="0"/>
          <w:sz w:val="24"/>
          <w:szCs w:val="24"/>
          <w:shd w:val="clear" w:fill="FFFFFF"/>
        </w:rPr>
        <w:t>ECONTECHMOD</w:t>
      </w:r>
      <w:r>
        <w:rPr>
          <w:rFonts w:hint="default" w:ascii="Times New Roman" w:hAnsi="Times New Roman" w:cs="Times New Roman"/>
          <w:i w:val="0"/>
          <w:iCs w:val="0"/>
          <w:caps w:val="0"/>
          <w:color w:val="333333"/>
          <w:spacing w:val="0"/>
          <w:sz w:val="24"/>
          <w:szCs w:val="24"/>
          <w:shd w:val="clear" w:fill="FFFFFF"/>
        </w:rPr>
        <w:t>(2).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Nelson, Gabe.(2013).VW dealer's viral video campaign generates buzz and wins customers.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Akgün V. Özlem,Zerenler Muammer &amp; Şahin Esen.(2013).Green Marketing Perception: A Study on Konya Automotıve Supplier Industry. </w:t>
      </w:r>
      <w:r>
        <w:rPr>
          <w:rFonts w:hint="default" w:ascii="Times New Roman" w:hAnsi="Times New Roman" w:cs="Times New Roman"/>
          <w:i/>
          <w:iCs/>
          <w:caps w:val="0"/>
          <w:color w:val="333333"/>
          <w:spacing w:val="0"/>
          <w:sz w:val="24"/>
          <w:szCs w:val="24"/>
          <w:shd w:val="clear" w:fill="FFFFFF"/>
        </w:rPr>
        <w:t>Mediterranean Journal of Social Sciences</w:t>
      </w:r>
      <w:r>
        <w:rPr>
          <w:rFonts w:hint="default" w:ascii="Times New Roman" w:hAnsi="Times New Roman" w:cs="Times New Roman"/>
          <w:i w:val="0"/>
          <w:iCs w:val="0"/>
          <w:caps w:val="0"/>
          <w:color w:val="333333"/>
          <w:spacing w:val="0"/>
          <w:sz w:val="24"/>
          <w:szCs w:val="24"/>
          <w:shd w:val="clear" w:fill="FFFFFF"/>
        </w:rPr>
        <w:t>. doi:10.5901/mjss.2013.v4n10p758.</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Beene, Ryan.(2013).Auto marketers flocking to Super Bowl.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(6552).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Palenchar, Joseph.(2013).Kenwood Outlines Marketing Initiatives For New Aftermarket Car Products. </w:t>
      </w:r>
      <w:r>
        <w:rPr>
          <w:rFonts w:hint="default" w:ascii="Times New Roman" w:hAnsi="Times New Roman" w:cs="Times New Roman"/>
          <w:i/>
          <w:iCs/>
          <w:caps w:val="0"/>
          <w:color w:val="333333"/>
          <w:spacing w:val="0"/>
          <w:sz w:val="24"/>
          <w:szCs w:val="24"/>
          <w:shd w:val="clear" w:fill="FFFFFF"/>
        </w:rPr>
        <w:t>TWICE</w:t>
      </w:r>
      <w:r>
        <w:rPr>
          <w:rFonts w:hint="default" w:ascii="Times New Roman" w:hAnsi="Times New Roman" w:cs="Times New Roman"/>
          <w:i w:val="0"/>
          <w:iCs w:val="0"/>
          <w:caps w:val="0"/>
          <w:color w:val="333333"/>
          <w:spacing w:val="0"/>
          <w:sz w:val="24"/>
          <w:szCs w:val="24"/>
          <w:shd w:val="clear" w:fill="FFFFFF"/>
        </w:rPr>
        <w:t>(1).</w:t>
      </w:r>
    </w:p>
    <w:p>
      <w:pPr>
        <w:pStyle w:val="2"/>
        <w:keepNext w:val="0"/>
        <w:keepLines w:val="0"/>
        <w:pageBreakBefore w:val="0"/>
        <w:widowControl/>
        <w:kinsoku/>
        <w:overflowPunct/>
        <w:topLinePunct w:val="0"/>
        <w:autoSpaceDE/>
        <w:autoSpaceDN/>
        <w:bidi w:val="0"/>
        <w:adjustRightInd/>
        <w:snapToGrid/>
        <w:spacing w:after="0" w:afterLines="0" w:line="480" w:lineRule="auto"/>
        <w:ind w:left="480" w:hanging="480" w:hangingChars="200"/>
        <w:textAlignment w:val="auto"/>
        <w:rPr>
          <w:rFonts w:hint="default" w:ascii="Times New Roman" w:hAnsi="Times New Roman" w:cs="Times New Roman"/>
          <w:sz w:val="24"/>
          <w:szCs w:val="24"/>
          <w:lang w:val="en-US" w:eastAsia="zh-CN"/>
        </w:rPr>
      </w:pPr>
    </w:p>
    <w:p>
      <w:pPr>
        <w:pStyle w:val="2"/>
        <w:rPr>
          <w:rFonts w:hint="default"/>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Calibri Light">
    <w:altName w:val="Helvetica Neue"/>
    <w:panose1 w:val="00000000000000000000"/>
    <w:charset w:val="00"/>
    <w:family w:val="auto"/>
    <w:pitch w:val="default"/>
    <w:sig w:usb0="00000000" w:usb1="00000000" w:usb2="00000000" w:usb3="00000000" w:csb0="00000000" w:csb1="00000000"/>
  </w:font>
  <w:font w:name="times">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Trattatello">
    <w:panose1 w:val="020F0403020200020303"/>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黑体">
    <w:altName w:val="汉仪中黑KW"/>
    <w:panose1 w:val="00000000000000000000"/>
    <w:charset w:val="00"/>
    <w:family w:val="auto"/>
    <w:pitch w:val="default"/>
    <w:sig w:usb0="00000000" w:usb1="00000000" w:usb2="00000000" w:usb3="00000000" w:csb0="00000000" w:csb1="00000000"/>
  </w:font>
  <w:font w:name="Times New Roman Italic">
    <w:panose1 w:val="0202060305040502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20"/>
                              <w:szCs w:val="24"/>
                            </w:rPr>
                          </w:pPr>
                          <w:r>
                            <w:rPr>
                              <w:rFonts w:hint="default" w:ascii="Times New Roman" w:hAnsi="Times New Roman" w:cs="Times New Roman"/>
                              <w:sz w:val="20"/>
                              <w:szCs w:val="24"/>
                            </w:rPr>
                            <w:fldChar w:fldCharType="begin"/>
                          </w:r>
                          <w:r>
                            <w:rPr>
                              <w:rFonts w:hint="default" w:ascii="Times New Roman" w:hAnsi="Times New Roman" w:cs="Times New Roman"/>
                              <w:sz w:val="20"/>
                              <w:szCs w:val="24"/>
                            </w:rPr>
                            <w:instrText xml:space="preserve"> PAGE  \* MERGEFORMAT </w:instrText>
                          </w:r>
                          <w:r>
                            <w:rPr>
                              <w:rFonts w:hint="default" w:ascii="Times New Roman" w:hAnsi="Times New Roman" w:cs="Times New Roman"/>
                              <w:sz w:val="20"/>
                              <w:szCs w:val="24"/>
                            </w:rPr>
                            <w:fldChar w:fldCharType="separate"/>
                          </w:r>
                          <w:r>
                            <w:rPr>
                              <w:rFonts w:hint="default" w:ascii="Times New Roman" w:hAnsi="Times New Roman" w:cs="Times New Roman"/>
                              <w:sz w:val="20"/>
                              <w:szCs w:val="24"/>
                            </w:rPr>
                            <w:t>1</w:t>
                          </w:r>
                          <w:r>
                            <w:rPr>
                              <w:rFonts w:hint="default" w:ascii="Times New Roman" w:hAnsi="Times New Roman" w:cs="Times New Roman"/>
                              <w:sz w:val="20"/>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20"/>
                        <w:szCs w:val="24"/>
                      </w:rPr>
                    </w:pPr>
                    <w:r>
                      <w:rPr>
                        <w:rFonts w:hint="default" w:ascii="Times New Roman" w:hAnsi="Times New Roman" w:cs="Times New Roman"/>
                        <w:sz w:val="20"/>
                        <w:szCs w:val="24"/>
                      </w:rPr>
                      <w:fldChar w:fldCharType="begin"/>
                    </w:r>
                    <w:r>
                      <w:rPr>
                        <w:rFonts w:hint="default" w:ascii="Times New Roman" w:hAnsi="Times New Roman" w:cs="Times New Roman"/>
                        <w:sz w:val="20"/>
                        <w:szCs w:val="24"/>
                      </w:rPr>
                      <w:instrText xml:space="preserve"> PAGE  \* MERGEFORMAT </w:instrText>
                    </w:r>
                    <w:r>
                      <w:rPr>
                        <w:rFonts w:hint="default" w:ascii="Times New Roman" w:hAnsi="Times New Roman" w:cs="Times New Roman"/>
                        <w:sz w:val="20"/>
                        <w:szCs w:val="24"/>
                      </w:rPr>
                      <w:fldChar w:fldCharType="separate"/>
                    </w:r>
                    <w:r>
                      <w:rPr>
                        <w:rFonts w:hint="default" w:ascii="Times New Roman" w:hAnsi="Times New Roman" w:cs="Times New Roman"/>
                        <w:sz w:val="20"/>
                        <w:szCs w:val="24"/>
                      </w:rPr>
                      <w:t>1</w:t>
                    </w:r>
                    <w:r>
                      <w:rPr>
                        <w:rFonts w:hint="default" w:ascii="Times New Roman" w:hAnsi="Times New Roman" w:cs="Times New Roman"/>
                        <w:sz w:val="20"/>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BEFB4"/>
    <w:rsid w:val="35F17908"/>
    <w:rsid w:val="3FFBEFB4"/>
    <w:rsid w:val="6687DECD"/>
    <w:rsid w:val="6FBBCD92"/>
    <w:rsid w:val="7FE67FB1"/>
    <w:rsid w:val="BBEE46B3"/>
    <w:rsid w:val="CA7DF9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Lines="0" w:beforeAutospacing="0" w:afterLines="0" w:afterAutospacing="0" w:line="480" w:lineRule="auto"/>
      <w:jc w:val="left"/>
      <w:outlineLvl w:val="0"/>
    </w:pPr>
    <w:rPr>
      <w:rFonts w:ascii="Times New Roman" w:hAnsi="Times New Roman" w:eastAsia="Times New Roman"/>
      <w:b/>
      <w:kern w:val="44"/>
      <w:sz w:val="28"/>
    </w:rPr>
  </w:style>
  <w:style w:type="paragraph" w:styleId="4">
    <w:name w:val="heading 2"/>
    <w:basedOn w:val="1"/>
    <w:next w:val="1"/>
    <w:unhideWhenUsed/>
    <w:qFormat/>
    <w:uiPriority w:val="0"/>
    <w:pPr>
      <w:keepNext/>
      <w:keepLines/>
      <w:spacing w:beforeLines="0" w:beforeAutospacing="0" w:afterLines="0" w:afterAutospacing="0" w:line="480" w:lineRule="auto"/>
      <w:jc w:val="left"/>
      <w:outlineLvl w:val="1"/>
    </w:pPr>
    <w:rPr>
      <w:rFonts w:ascii="Times New Roman" w:hAnsi="Times New Roman" w:eastAsia="Times New Roman"/>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5">
    <w:name w:val="footer"/>
    <w:basedOn w:val="1"/>
    <w:semiHidden/>
    <w:unhideWhenUsed/>
    <w:qFormat/>
    <w:uiPriority w:val="99"/>
    <w:pPr>
      <w:tabs>
        <w:tab w:val="center" w:pos="4153"/>
        <w:tab w:val="right" w:pos="8306"/>
      </w:tabs>
      <w:snapToGrid w:val="0"/>
      <w:jc w:val="left"/>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Office_4.4.1.7360_F1E327BC-269C-435d-A152-05C5408002CA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2018-12-13T23:06:00Z</dcterms:created>
  <dc:creator> </dc:creator>
  <cp:lastModifiedBy>Bling</cp:lastModifiedBy>
  <dcterms:modified xsi:type="dcterms:W3CDTF">2022-12-15T13:41:51Z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41870D8C6269D96D8FB58863F8A26D8B</vt:lpwstr>
  </property>
</Properties>
</file>