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153EAC" w14:textId="4DDE5BA7" w:rsidR="00747B8B" w:rsidRDefault="00747B8B" w:rsidP="00747B8B">
      <w:pPr>
        <w:pStyle w:val="NormalWeb"/>
        <w:rPr>
          <w:rFonts w:asciiTheme="minorHAnsi" w:hAnsiTheme="minorHAnsi" w:cstheme="minorHAnsi"/>
          <w:sz w:val="22"/>
          <w:szCs w:val="22"/>
        </w:rPr>
      </w:pPr>
      <w:r w:rsidRPr="00747B8B">
        <w:rPr>
          <w:rFonts w:asciiTheme="minorHAnsi" w:hAnsiTheme="minorHAnsi" w:cstheme="minorHAnsi"/>
          <w:sz w:val="22"/>
          <w:szCs w:val="22"/>
        </w:rPr>
        <w:t xml:space="preserve">Student ID: 2315036 </w:t>
      </w:r>
    </w:p>
    <w:p w14:paraId="76A08A05" w14:textId="7E5DB499" w:rsidR="00747B8B" w:rsidRDefault="00567B04" w:rsidP="00747B8B">
      <w:pPr>
        <w:spacing w:after="240" w:line="360" w:lineRule="auto"/>
        <w:jc w:val="both"/>
        <w:rPr>
          <w:rFonts w:eastAsia="Times New Roman" w:cstheme="minorHAnsi"/>
          <w:sz w:val="22"/>
          <w:szCs w:val="22"/>
        </w:rPr>
      </w:pPr>
      <w:r>
        <w:rPr>
          <w:rFonts w:eastAsia="Times New Roman" w:cstheme="minorHAnsi"/>
          <w:sz w:val="22"/>
          <w:szCs w:val="22"/>
        </w:rPr>
        <w:t xml:space="preserve">  </w:t>
      </w:r>
      <w:r w:rsidR="00747B8B" w:rsidRPr="00747B8B">
        <w:rPr>
          <w:rFonts w:eastAsia="Times New Roman" w:cstheme="minorHAnsi"/>
          <w:sz w:val="22"/>
          <w:szCs w:val="22"/>
        </w:rPr>
        <w:t>Diversity and welcoming everyone are important values in the law field. In this way, justice and the rule of law are kept up. Legal workers are becoming more and more aware of and supportive of diversity and inclusion efforts. This is because of many moral rules, such as the 2010 Equality Act and the 2019 Code of Conduct of the Solicitors Regulation Authority (SRA). This essay talks in depth about diversity and inclusion in the law field. This paper looks at the moral and legal bases, results, problems, and chances that come up with diversity and inclusion (</w:t>
      </w:r>
      <w:proofErr w:type="spellStart"/>
      <w:r w:rsidR="00747B8B" w:rsidRPr="00747B8B">
        <w:rPr>
          <w:rFonts w:cstheme="minorHAnsi"/>
          <w:color w:val="222222"/>
          <w:sz w:val="22"/>
          <w:szCs w:val="22"/>
          <w:shd w:val="clear" w:color="auto" w:fill="FFFFFF"/>
        </w:rPr>
        <w:t>Pataranutaporn</w:t>
      </w:r>
      <w:proofErr w:type="spellEnd"/>
      <w:r w:rsidR="00747B8B" w:rsidRPr="00747B8B">
        <w:rPr>
          <w:rFonts w:cstheme="minorHAnsi"/>
          <w:color w:val="222222"/>
          <w:sz w:val="22"/>
          <w:szCs w:val="22"/>
          <w:shd w:val="clear" w:color="auto" w:fill="FFFFFF"/>
        </w:rPr>
        <w:t>, 2020)</w:t>
      </w:r>
      <w:r w:rsidR="00747B8B" w:rsidRPr="00747B8B">
        <w:rPr>
          <w:rFonts w:eastAsia="Times New Roman" w:cstheme="minorHAnsi"/>
          <w:sz w:val="22"/>
          <w:szCs w:val="22"/>
        </w:rPr>
        <w:t>. Looking at different points of view and efforts to include everyone can help us understand how important equality and diversity are in the law field. The ABA brought up the fact that women are underrepresented in a number of legal areas. One of the main people who helped start the American Bar Association's Diversity &amp; Inclusion 360 Commission was Paulette Brown (</w:t>
      </w:r>
      <w:proofErr w:type="spellStart"/>
      <w:r w:rsidR="00747B8B" w:rsidRPr="00747B8B">
        <w:rPr>
          <w:rFonts w:cstheme="minorHAnsi"/>
          <w:color w:val="222222"/>
          <w:sz w:val="22"/>
          <w:szCs w:val="22"/>
          <w:shd w:val="clear" w:color="auto" w:fill="FFFFFF"/>
        </w:rPr>
        <w:t>Reguera</w:t>
      </w:r>
      <w:proofErr w:type="spellEnd"/>
      <w:r w:rsidR="00747B8B" w:rsidRPr="00747B8B">
        <w:rPr>
          <w:rFonts w:cstheme="minorHAnsi"/>
          <w:color w:val="222222"/>
          <w:sz w:val="22"/>
          <w:szCs w:val="22"/>
          <w:shd w:val="clear" w:color="auto" w:fill="FFFFFF"/>
        </w:rPr>
        <w:t>-Alvarado, 2017)</w:t>
      </w:r>
      <w:r w:rsidR="00747B8B" w:rsidRPr="00747B8B">
        <w:rPr>
          <w:rFonts w:eastAsia="Times New Roman" w:cstheme="minorHAnsi"/>
          <w:sz w:val="22"/>
          <w:szCs w:val="22"/>
        </w:rPr>
        <w:t xml:space="preserve">. The goal is to look into attempts to promote diversity and inclusion in the legal field. </w:t>
      </w:r>
    </w:p>
    <w:p w14:paraId="4B8FC083" w14:textId="64D92C37" w:rsidR="00747B8B" w:rsidRDefault="00747B8B" w:rsidP="00747B8B">
      <w:pPr>
        <w:spacing w:after="240" w:line="360" w:lineRule="auto"/>
        <w:jc w:val="both"/>
        <w:rPr>
          <w:rFonts w:eastAsia="Times New Roman" w:cstheme="minorHAnsi"/>
          <w:sz w:val="22"/>
          <w:szCs w:val="22"/>
        </w:rPr>
      </w:pPr>
    </w:p>
    <w:p w14:paraId="0FD20D6A" w14:textId="77777777" w:rsidR="00747B8B" w:rsidRPr="00567B04" w:rsidRDefault="00747B8B" w:rsidP="00747B8B">
      <w:pPr>
        <w:pStyle w:val="Heading1"/>
        <w:spacing w:line="360" w:lineRule="auto"/>
        <w:jc w:val="both"/>
        <w:rPr>
          <w:rFonts w:asciiTheme="minorHAnsi" w:hAnsiTheme="minorHAnsi" w:cstheme="minorHAnsi"/>
          <w:b/>
          <w:bCs/>
          <w:color w:val="000000" w:themeColor="text1"/>
          <w:sz w:val="22"/>
          <w:szCs w:val="22"/>
        </w:rPr>
      </w:pPr>
      <w:bookmarkStart w:id="0" w:name="_Toc160821051"/>
      <w:r w:rsidRPr="00567B04">
        <w:rPr>
          <w:rFonts w:asciiTheme="minorHAnsi" w:hAnsiTheme="minorHAnsi" w:cstheme="minorHAnsi"/>
          <w:b/>
          <w:bCs/>
          <w:color w:val="000000" w:themeColor="text1"/>
          <w:sz w:val="22"/>
          <w:szCs w:val="22"/>
        </w:rPr>
        <w:t>Legal Framework: Equality Act 2010</w:t>
      </w:r>
      <w:bookmarkEnd w:id="0"/>
    </w:p>
    <w:p w14:paraId="0859677D" w14:textId="7AF0FF63" w:rsidR="00747B8B" w:rsidRDefault="00567B04" w:rsidP="00747B8B">
      <w:pPr>
        <w:spacing w:line="360" w:lineRule="auto"/>
        <w:jc w:val="both"/>
        <w:rPr>
          <w:rFonts w:eastAsia="Times New Roman" w:cstheme="minorHAnsi"/>
          <w:sz w:val="22"/>
          <w:szCs w:val="22"/>
        </w:rPr>
      </w:pPr>
      <w:r>
        <w:rPr>
          <w:rFonts w:eastAsia="Times New Roman" w:cstheme="minorHAnsi"/>
          <w:sz w:val="22"/>
          <w:szCs w:val="22"/>
        </w:rPr>
        <w:t xml:space="preserve">  </w:t>
      </w:r>
      <w:r w:rsidR="00747B8B" w:rsidRPr="00747B8B">
        <w:rPr>
          <w:rFonts w:eastAsia="Times New Roman" w:cstheme="minorHAnsi"/>
          <w:sz w:val="22"/>
          <w:szCs w:val="22"/>
        </w:rPr>
        <w:t>The 2010 UK Equality Act is significant. The new rules, which replaced anti-discrimination laws, strengthened harassment, discrimination, and victimization protections. The Act promotes diversity and inclusivity by setting standards for employment, housing, education, public obligations, and products and services. The 2010 Equality Act guarantees equal treatment and employment for all, regardless of origin or appearance (</w:t>
      </w:r>
      <w:r w:rsidR="00747B8B" w:rsidRPr="00747B8B">
        <w:rPr>
          <w:rFonts w:cstheme="minorHAnsi"/>
          <w:color w:val="222222"/>
          <w:sz w:val="22"/>
          <w:szCs w:val="22"/>
          <w:shd w:val="clear" w:color="auto" w:fill="FFFFFF"/>
        </w:rPr>
        <w:t>Bayer, 2016)</w:t>
      </w:r>
      <w:r w:rsidR="00747B8B" w:rsidRPr="00747B8B">
        <w:rPr>
          <w:rFonts w:eastAsia="Times New Roman" w:cstheme="minorHAnsi"/>
          <w:sz w:val="22"/>
          <w:szCs w:val="22"/>
        </w:rPr>
        <w:t xml:space="preserve">. Employment discrimination based on age, handicap, gender, marital status, sexual orientation, religion, race, or national origin is illegal. This includes overt and subtle bias. The Act requires firms to accommodate disabled workers and pay equal wages. </w:t>
      </w:r>
      <w:r w:rsidR="00747B8B">
        <w:rPr>
          <w:rFonts w:eastAsia="Times New Roman" w:cstheme="minorHAnsi"/>
          <w:sz w:val="22"/>
          <w:szCs w:val="22"/>
        </w:rPr>
        <w:t xml:space="preserve">Nine categories are “protected characteristics” under the 2010 Equality Act. Act protects individuals from unjust treatment based on their inherent features and explicitly describes these characteristics to define banned discrimination. </w:t>
      </w:r>
      <w:r w:rsidR="00747B8B" w:rsidRPr="00747B8B">
        <w:rPr>
          <w:rFonts w:eastAsia="Times New Roman" w:cstheme="minorHAnsi"/>
          <w:sz w:val="22"/>
          <w:szCs w:val="22"/>
        </w:rPr>
        <w:t>In 2010, the Equality and Human Rights Commission created the Equality Act. It addresses Act violations and ensures compliance. The EHRC investigates complaints, makes recommendations, and sues lawbreakers. The EHRC prosecutes anti-discrimination and equality violators. The 2010 UK Equality Act promotes equality and diversity (</w:t>
      </w:r>
      <w:r w:rsidR="00747B8B" w:rsidRPr="00747B8B">
        <w:rPr>
          <w:rFonts w:cstheme="minorHAnsi"/>
          <w:color w:val="222222"/>
          <w:sz w:val="22"/>
          <w:szCs w:val="22"/>
          <w:shd w:val="clear" w:color="auto" w:fill="FFFFFF"/>
        </w:rPr>
        <w:t>Landry, 2018)</w:t>
      </w:r>
      <w:r w:rsidR="00747B8B" w:rsidRPr="00747B8B">
        <w:rPr>
          <w:rFonts w:eastAsia="Times New Roman" w:cstheme="minorHAnsi"/>
          <w:sz w:val="22"/>
          <w:szCs w:val="22"/>
        </w:rPr>
        <w:t>.</w:t>
      </w:r>
    </w:p>
    <w:p w14:paraId="5B1DCDD2" w14:textId="216DE548" w:rsidR="00747B8B" w:rsidRDefault="00747B8B" w:rsidP="00747B8B">
      <w:pPr>
        <w:spacing w:line="360" w:lineRule="auto"/>
        <w:jc w:val="both"/>
        <w:rPr>
          <w:rFonts w:eastAsia="Times New Roman" w:cstheme="minorHAnsi"/>
          <w:sz w:val="22"/>
          <w:szCs w:val="22"/>
        </w:rPr>
      </w:pPr>
    </w:p>
    <w:p w14:paraId="2C9DC2A0" w14:textId="77777777" w:rsidR="00747B8B" w:rsidRPr="00567B04" w:rsidRDefault="00747B8B" w:rsidP="00747B8B">
      <w:pPr>
        <w:pStyle w:val="Heading1"/>
        <w:spacing w:line="360" w:lineRule="auto"/>
        <w:jc w:val="both"/>
        <w:rPr>
          <w:rFonts w:asciiTheme="minorHAnsi" w:hAnsiTheme="minorHAnsi" w:cstheme="minorHAnsi"/>
          <w:b/>
          <w:bCs/>
          <w:color w:val="000000" w:themeColor="text1"/>
          <w:sz w:val="22"/>
          <w:szCs w:val="22"/>
        </w:rPr>
      </w:pPr>
      <w:bookmarkStart w:id="1" w:name="_Toc160821052"/>
      <w:r w:rsidRPr="00567B04">
        <w:rPr>
          <w:rFonts w:asciiTheme="minorHAnsi" w:hAnsiTheme="minorHAnsi" w:cstheme="minorHAnsi"/>
          <w:b/>
          <w:bCs/>
          <w:color w:val="000000" w:themeColor="text1"/>
          <w:sz w:val="22"/>
          <w:szCs w:val="22"/>
        </w:rPr>
        <w:t>SRA Code of Conduct (2019): Ethical Imperatives</w:t>
      </w:r>
      <w:bookmarkEnd w:id="1"/>
    </w:p>
    <w:p w14:paraId="3B405203" w14:textId="4B04B1A4" w:rsidR="00747B8B" w:rsidRDefault="00567B04" w:rsidP="00747B8B">
      <w:pPr>
        <w:spacing w:line="360" w:lineRule="auto"/>
        <w:jc w:val="both"/>
        <w:rPr>
          <w:rFonts w:eastAsia="Times New Roman" w:cstheme="minorHAnsi"/>
          <w:sz w:val="22"/>
          <w:szCs w:val="22"/>
        </w:rPr>
      </w:pPr>
      <w:r>
        <w:rPr>
          <w:rFonts w:eastAsia="Times New Roman" w:cstheme="minorHAnsi"/>
          <w:sz w:val="22"/>
          <w:szCs w:val="22"/>
        </w:rPr>
        <w:t xml:space="preserve">  </w:t>
      </w:r>
      <w:r w:rsidR="00747B8B" w:rsidRPr="00747B8B">
        <w:rPr>
          <w:rFonts w:eastAsia="Times New Roman" w:cstheme="minorHAnsi"/>
          <w:sz w:val="22"/>
          <w:szCs w:val="22"/>
        </w:rPr>
        <w:t xml:space="preserve">The Solicitors Regulation Authority (SRA) is responsible for monitoring all of the law firms that are located in England and Wales. The data collected by the SRA reveals patterns in the many categories of individuals who are employed in the legal area. These categories include aspects such as gender, </w:t>
      </w:r>
      <w:r w:rsidR="00747B8B" w:rsidRPr="00747B8B">
        <w:rPr>
          <w:rFonts w:eastAsia="Times New Roman" w:cstheme="minorHAnsi"/>
          <w:sz w:val="22"/>
          <w:szCs w:val="22"/>
        </w:rPr>
        <w:lastRenderedPageBreak/>
        <w:t>race, socioeconomic background, and level of education. Based on the findings of the study, the degree of variety that exists inside businesses is very variable with respect to their size. This serves as an illustration of how challenging it is for large corporations to achieve their many objectives. In accordance with the SRA Code of Conduct, solicitors are required to adhere to certain professional responsibilities and ethical standards (</w:t>
      </w:r>
      <w:r w:rsidR="00747B8B" w:rsidRPr="00747B8B">
        <w:rPr>
          <w:rFonts w:cstheme="minorHAnsi"/>
          <w:color w:val="222222"/>
          <w:sz w:val="22"/>
          <w:szCs w:val="22"/>
          <w:shd w:val="clear" w:color="auto" w:fill="FFFFFF"/>
        </w:rPr>
        <w:t>Coe, I.R., Wiley, 2019)</w:t>
      </w:r>
      <w:r w:rsidR="00747B8B" w:rsidRPr="00747B8B">
        <w:rPr>
          <w:rFonts w:eastAsia="Times New Roman" w:cstheme="minorHAnsi"/>
          <w:sz w:val="22"/>
          <w:szCs w:val="22"/>
        </w:rPr>
        <w:t>. With regard to Principle 9 of the Code, it is stated that one of the primary objectives is to establish a legal community that is inclusive, diverse, and equitable for all individuals. In the course of their work, attorneys are required to adhere to fundamental principles such as impartiality, respect, and the absence of discrimination. To ensure that the public continues to have faith in the judicial system, it is required by law that members of the SRA adhere to the Code of Conduct's guidelines (</w:t>
      </w:r>
      <w:r w:rsidR="00747B8B" w:rsidRPr="00747B8B">
        <w:rPr>
          <w:rFonts w:cstheme="minorHAnsi"/>
          <w:color w:val="222222"/>
          <w:sz w:val="22"/>
          <w:szCs w:val="22"/>
          <w:shd w:val="clear" w:color="auto" w:fill="FFFFFF"/>
        </w:rPr>
        <w:t>Kirton, 2015)</w:t>
      </w:r>
      <w:r w:rsidR="00747B8B" w:rsidRPr="00747B8B">
        <w:rPr>
          <w:rFonts w:eastAsia="Times New Roman" w:cstheme="minorHAnsi"/>
          <w:sz w:val="22"/>
          <w:szCs w:val="22"/>
        </w:rPr>
        <w:t>.</w:t>
      </w:r>
    </w:p>
    <w:p w14:paraId="0026DDB6" w14:textId="6E144596" w:rsidR="00747B8B" w:rsidRDefault="00747B8B" w:rsidP="00747B8B">
      <w:pPr>
        <w:spacing w:line="360" w:lineRule="auto"/>
        <w:jc w:val="both"/>
        <w:rPr>
          <w:rFonts w:eastAsia="Times New Roman" w:cstheme="minorHAnsi"/>
          <w:sz w:val="22"/>
          <w:szCs w:val="22"/>
        </w:rPr>
      </w:pPr>
    </w:p>
    <w:p w14:paraId="1B4FA83C" w14:textId="77777777" w:rsidR="00747B8B" w:rsidRPr="00567B04" w:rsidRDefault="00747B8B" w:rsidP="00747B8B">
      <w:pPr>
        <w:pStyle w:val="Heading2"/>
        <w:spacing w:line="360" w:lineRule="auto"/>
        <w:jc w:val="both"/>
        <w:rPr>
          <w:rFonts w:asciiTheme="minorHAnsi" w:eastAsia="Times New Roman" w:hAnsiTheme="minorHAnsi" w:cstheme="minorHAnsi"/>
          <w:b/>
          <w:bCs/>
          <w:color w:val="000000" w:themeColor="text1"/>
          <w:sz w:val="22"/>
          <w:szCs w:val="22"/>
        </w:rPr>
      </w:pPr>
      <w:bookmarkStart w:id="2" w:name="_Toc160821053"/>
      <w:r w:rsidRPr="00567B04">
        <w:rPr>
          <w:rFonts w:asciiTheme="minorHAnsi" w:eastAsia="Times New Roman" w:hAnsiTheme="minorHAnsi" w:cstheme="minorHAnsi"/>
          <w:b/>
          <w:bCs/>
          <w:color w:val="000000" w:themeColor="text1"/>
          <w:sz w:val="22"/>
          <w:szCs w:val="22"/>
        </w:rPr>
        <w:t>Significance of Equality and Diversity in the Legal Field</w:t>
      </w:r>
      <w:bookmarkEnd w:id="2"/>
    </w:p>
    <w:p w14:paraId="1ABE8DB9" w14:textId="759AE5DF" w:rsidR="00747B8B" w:rsidRDefault="00567B04" w:rsidP="00747B8B">
      <w:pPr>
        <w:spacing w:line="360" w:lineRule="auto"/>
        <w:jc w:val="both"/>
        <w:rPr>
          <w:rFonts w:eastAsia="Times New Roman" w:cstheme="minorHAnsi"/>
          <w:sz w:val="22"/>
          <w:szCs w:val="22"/>
        </w:rPr>
      </w:pPr>
      <w:r>
        <w:rPr>
          <w:rFonts w:eastAsia="Times New Roman" w:cstheme="minorHAnsi"/>
          <w:sz w:val="22"/>
          <w:szCs w:val="22"/>
        </w:rPr>
        <w:t xml:space="preserve">  </w:t>
      </w:r>
      <w:r w:rsidR="00747B8B" w:rsidRPr="00747B8B">
        <w:rPr>
          <w:rFonts w:eastAsia="Times New Roman" w:cstheme="minorHAnsi"/>
          <w:sz w:val="22"/>
          <w:szCs w:val="22"/>
        </w:rPr>
        <w:t>Equal rights and diversity are important for following the law, and they also make sure that a profession reflects the community's ideals and people. When the legal field actively supports equality and diversity, it can hire and keep smart people from all walks of life. These people will bring new ideas, views, and skills to the table (</w:t>
      </w:r>
      <w:r w:rsidR="00747B8B" w:rsidRPr="00747B8B">
        <w:rPr>
          <w:rFonts w:cstheme="minorHAnsi"/>
          <w:color w:val="222222"/>
          <w:sz w:val="22"/>
          <w:szCs w:val="22"/>
          <w:shd w:val="clear" w:color="auto" w:fill="FFFFFF"/>
        </w:rPr>
        <w:t>Rhode, 2017)</w:t>
      </w:r>
      <w:r w:rsidR="00747B8B" w:rsidRPr="00747B8B">
        <w:rPr>
          <w:rFonts w:eastAsia="Times New Roman" w:cstheme="minorHAnsi"/>
          <w:sz w:val="22"/>
          <w:szCs w:val="22"/>
        </w:rPr>
        <w:t>. To better understand and help a lot of different kinds of people, the legal field needs to be very diverse. This makes it easier for people who are already on the edges of society to get justice and legal help</w:t>
      </w:r>
      <w:r w:rsidR="00747B8B">
        <w:rPr>
          <w:rFonts w:eastAsia="Times New Roman" w:cstheme="minorHAnsi"/>
          <w:sz w:val="22"/>
          <w:szCs w:val="22"/>
        </w:rPr>
        <w:t>.</w:t>
      </w:r>
    </w:p>
    <w:p w14:paraId="022EBD27" w14:textId="561B24C2" w:rsidR="00747B8B" w:rsidRDefault="00747B8B" w:rsidP="00747B8B">
      <w:pPr>
        <w:spacing w:line="360" w:lineRule="auto"/>
        <w:jc w:val="both"/>
        <w:rPr>
          <w:rFonts w:eastAsia="Times New Roman" w:cstheme="minorHAnsi"/>
          <w:sz w:val="22"/>
          <w:szCs w:val="22"/>
        </w:rPr>
      </w:pPr>
    </w:p>
    <w:p w14:paraId="34DA199C" w14:textId="77777777" w:rsidR="00747B8B" w:rsidRPr="00567B04" w:rsidRDefault="00747B8B" w:rsidP="00747B8B">
      <w:pPr>
        <w:pStyle w:val="Heading2"/>
        <w:spacing w:line="360" w:lineRule="auto"/>
        <w:jc w:val="both"/>
        <w:rPr>
          <w:rFonts w:asciiTheme="minorHAnsi" w:hAnsiTheme="minorHAnsi" w:cstheme="minorHAnsi"/>
          <w:b/>
          <w:bCs/>
          <w:color w:val="000000" w:themeColor="text1"/>
          <w:sz w:val="22"/>
          <w:szCs w:val="22"/>
        </w:rPr>
      </w:pPr>
      <w:bookmarkStart w:id="3" w:name="_Toc160821054"/>
      <w:r w:rsidRPr="00567B04">
        <w:rPr>
          <w:rFonts w:asciiTheme="minorHAnsi" w:hAnsiTheme="minorHAnsi" w:cstheme="minorHAnsi"/>
          <w:b/>
          <w:bCs/>
          <w:color w:val="000000" w:themeColor="text1"/>
          <w:sz w:val="22"/>
          <w:szCs w:val="22"/>
        </w:rPr>
        <w:t>Promoting Equality and Diversity: Best Practices</w:t>
      </w:r>
      <w:bookmarkEnd w:id="3"/>
    </w:p>
    <w:p w14:paraId="2E153822" w14:textId="11190A8E" w:rsidR="00747B8B" w:rsidRDefault="00567B04" w:rsidP="00567B04">
      <w:pPr>
        <w:spacing w:line="360" w:lineRule="auto"/>
        <w:rPr>
          <w:rFonts w:eastAsia="Times New Roman" w:cstheme="minorHAnsi"/>
          <w:sz w:val="22"/>
          <w:szCs w:val="22"/>
        </w:rPr>
      </w:pPr>
      <w:r>
        <w:rPr>
          <w:rFonts w:eastAsia="Times New Roman" w:cstheme="minorHAnsi"/>
          <w:sz w:val="22"/>
          <w:szCs w:val="22"/>
        </w:rPr>
        <w:t xml:space="preserve">  </w:t>
      </w:r>
      <w:r w:rsidR="00747B8B" w:rsidRPr="00747B8B">
        <w:rPr>
          <w:rFonts w:eastAsia="Times New Roman" w:cstheme="minorHAnsi"/>
          <w:sz w:val="22"/>
          <w:szCs w:val="22"/>
        </w:rPr>
        <w:t xml:space="preserve">There are many things that law firms and people can do to make the legal field more diverse and welcoming. To make the workplace more welcoming, need to offer diversity awareness training, fair hiring practices, and equal chances for career growth to everyone. Mentorship and sponsorship programmes can help people from disadvantaged backgrounds do well in their careers by making it </w:t>
      </w:r>
      <w:r w:rsidRPr="00567B04">
        <w:rPr>
          <w:rFonts w:eastAsia="Times New Roman" w:cstheme="minorHAnsi"/>
          <w:sz w:val="22"/>
          <w:szCs w:val="22"/>
        </w:rPr>
        <w:t>easier for them to get started and move up in the law field (</w:t>
      </w:r>
      <w:r w:rsidRPr="00567B04">
        <w:rPr>
          <w:rFonts w:cstheme="minorHAnsi"/>
          <w:color w:val="222222"/>
          <w:sz w:val="22"/>
          <w:szCs w:val="22"/>
          <w:shd w:val="clear" w:color="auto" w:fill="FFFFFF"/>
        </w:rPr>
        <w:t>Jackson, 2015)</w:t>
      </w:r>
      <w:r w:rsidRPr="00567B04">
        <w:rPr>
          <w:rFonts w:eastAsia="Times New Roman" w:cstheme="minorHAnsi"/>
          <w:sz w:val="22"/>
          <w:szCs w:val="22"/>
        </w:rPr>
        <w:t>.</w:t>
      </w:r>
      <w:r>
        <w:rPr>
          <w:rFonts w:ascii="Times New Roman" w:eastAsia="Times New Roman" w:hAnsi="Times New Roman" w:cs="Times New Roman"/>
        </w:rPr>
        <w:t xml:space="preserve"> </w:t>
      </w:r>
      <w:r>
        <w:rPr>
          <w:rFonts w:ascii="Times New Roman" w:eastAsia="Times New Roman" w:hAnsi="Times New Roman" w:cs="Times New Roman"/>
        </w:rPr>
        <w:br/>
      </w:r>
      <w:r w:rsidR="00747B8B" w:rsidRPr="00747B8B">
        <w:rPr>
          <w:rFonts w:eastAsia="Times New Roman" w:cstheme="minorHAnsi"/>
          <w:sz w:val="22"/>
          <w:szCs w:val="22"/>
        </w:rPr>
        <w:br/>
      </w:r>
      <w:r w:rsidR="00747B8B" w:rsidRPr="00747B8B">
        <w:rPr>
          <w:rFonts w:eastAsia="Times New Roman" w:cstheme="minorHAnsi"/>
          <w:sz w:val="22"/>
          <w:szCs w:val="22"/>
        </w:rPr>
        <w:br/>
      </w:r>
      <w:r>
        <w:rPr>
          <w:rFonts w:eastAsia="Times New Roman" w:cstheme="minorHAnsi"/>
          <w:sz w:val="22"/>
          <w:szCs w:val="22"/>
        </w:rPr>
        <w:t xml:space="preserve">  </w:t>
      </w:r>
      <w:r w:rsidR="00747B8B" w:rsidRPr="00747B8B">
        <w:rPr>
          <w:rFonts w:eastAsia="Times New Roman" w:cstheme="minorHAnsi"/>
          <w:sz w:val="22"/>
          <w:szCs w:val="22"/>
        </w:rPr>
        <w:t>Legal companies can get more applicants and find a wider range of people to work for them by reaching out to the community and working with community groups. Promoting diversity and equality is a good way for lawyers to show that they care about society and want to be responsible leaders. Because of this, they will become better known in the field.</w:t>
      </w:r>
    </w:p>
    <w:p w14:paraId="34122D0F" w14:textId="3857774F" w:rsidR="00567B04" w:rsidRDefault="00567B04" w:rsidP="00567B04">
      <w:pPr>
        <w:spacing w:line="360" w:lineRule="auto"/>
        <w:rPr>
          <w:rFonts w:eastAsia="Times New Roman" w:cstheme="minorHAnsi"/>
          <w:sz w:val="22"/>
          <w:szCs w:val="22"/>
        </w:rPr>
      </w:pPr>
    </w:p>
    <w:p w14:paraId="294E9E3F" w14:textId="77777777" w:rsidR="00567B04" w:rsidRPr="00567B04" w:rsidRDefault="00567B04" w:rsidP="00567B04">
      <w:pPr>
        <w:pStyle w:val="Heading1"/>
        <w:spacing w:line="360" w:lineRule="auto"/>
        <w:jc w:val="both"/>
        <w:rPr>
          <w:rFonts w:asciiTheme="minorHAnsi" w:eastAsia="Times New Roman" w:hAnsiTheme="minorHAnsi" w:cstheme="minorHAnsi"/>
          <w:b/>
          <w:bCs/>
          <w:color w:val="000000" w:themeColor="text1"/>
          <w:sz w:val="22"/>
          <w:szCs w:val="22"/>
        </w:rPr>
      </w:pPr>
      <w:bookmarkStart w:id="4" w:name="_Toc160821055"/>
      <w:r w:rsidRPr="00567B04">
        <w:rPr>
          <w:rFonts w:asciiTheme="minorHAnsi" w:eastAsia="Times New Roman" w:hAnsiTheme="minorHAnsi" w:cstheme="minorHAnsi"/>
          <w:b/>
          <w:bCs/>
          <w:color w:val="000000" w:themeColor="text1"/>
          <w:sz w:val="22"/>
          <w:szCs w:val="22"/>
        </w:rPr>
        <w:lastRenderedPageBreak/>
        <w:t>Challenges and Barriers</w:t>
      </w:r>
      <w:bookmarkEnd w:id="4"/>
    </w:p>
    <w:p w14:paraId="48199BD2" w14:textId="4DFCAF44" w:rsidR="00567B04" w:rsidRDefault="00567B04" w:rsidP="00567B04">
      <w:pPr>
        <w:spacing w:line="360" w:lineRule="auto"/>
        <w:jc w:val="both"/>
        <w:rPr>
          <w:rFonts w:eastAsia="Times New Roman" w:cstheme="minorHAnsi"/>
          <w:sz w:val="22"/>
          <w:szCs w:val="22"/>
        </w:rPr>
      </w:pPr>
      <w:r>
        <w:rPr>
          <w:rFonts w:eastAsia="Times New Roman" w:cstheme="minorHAnsi"/>
          <w:sz w:val="22"/>
          <w:szCs w:val="22"/>
        </w:rPr>
        <w:t xml:space="preserve">  </w:t>
      </w:r>
      <w:r w:rsidRPr="00567B04">
        <w:rPr>
          <w:rFonts w:eastAsia="Times New Roman" w:cstheme="minorHAnsi"/>
          <w:sz w:val="22"/>
          <w:szCs w:val="22"/>
        </w:rPr>
        <w:t>It is hard to make the legal field completely fair and diverse, even though it is the law and the right thing to do. It is especially hard for people from groups that have been traditionally marginalised to get to executive-level jobs. This is because of unfair systems, unconscious bias, and built-in obstacles.</w:t>
      </w:r>
      <w:r w:rsidRPr="00567B04">
        <w:rPr>
          <w:rFonts w:cstheme="minorHAnsi"/>
          <w:sz w:val="22"/>
          <w:szCs w:val="22"/>
        </w:rPr>
        <w:t xml:space="preserve"> </w:t>
      </w:r>
      <w:r w:rsidRPr="00567B04">
        <w:rPr>
          <w:rFonts w:eastAsia="Times New Roman" w:cstheme="minorHAnsi"/>
          <w:sz w:val="22"/>
          <w:szCs w:val="22"/>
        </w:rPr>
        <w:t>Diversity and inclusion in the legal industry have faced obstacles that have hampered equality. Hidden prejudices, lack of representation, and networking issues plague minorities. Lawyers face major challenges like:</w:t>
      </w:r>
    </w:p>
    <w:p w14:paraId="71DCB511" w14:textId="3B1B468F" w:rsidR="00567B04" w:rsidRDefault="00567B04" w:rsidP="00567B04">
      <w:pPr>
        <w:spacing w:line="360" w:lineRule="auto"/>
        <w:jc w:val="both"/>
        <w:rPr>
          <w:rFonts w:eastAsia="Times New Roman" w:cstheme="minorHAnsi"/>
          <w:sz w:val="22"/>
          <w:szCs w:val="22"/>
        </w:rPr>
      </w:pPr>
    </w:p>
    <w:p w14:paraId="2AFEDD3C" w14:textId="5BB83691" w:rsidR="00567B04" w:rsidRPr="00567B04" w:rsidRDefault="00567B04" w:rsidP="00567B04">
      <w:pPr>
        <w:spacing w:line="360" w:lineRule="auto"/>
        <w:jc w:val="both"/>
        <w:rPr>
          <w:rFonts w:eastAsia="Times New Roman" w:cstheme="minorHAnsi"/>
          <w:sz w:val="22"/>
          <w:szCs w:val="22"/>
        </w:rPr>
      </w:pPr>
      <w:r w:rsidRPr="00567B04">
        <w:rPr>
          <w:rFonts w:eastAsia="Times New Roman" w:cstheme="minorHAnsi"/>
          <w:b/>
          <w:bCs/>
          <w:sz w:val="22"/>
          <w:szCs w:val="22"/>
        </w:rPr>
        <w:t>Implicit Bias</w:t>
      </w:r>
      <w:r w:rsidRPr="00567B04">
        <w:rPr>
          <w:rFonts w:eastAsia="Times New Roman" w:cstheme="minorHAnsi"/>
          <w:sz w:val="22"/>
          <w:szCs w:val="22"/>
        </w:rPr>
        <w:t>:</w:t>
      </w:r>
      <w:r>
        <w:rPr>
          <w:rFonts w:eastAsia="Times New Roman" w:cstheme="minorHAnsi"/>
          <w:sz w:val="22"/>
          <w:szCs w:val="22"/>
        </w:rPr>
        <w:t xml:space="preserve"> </w:t>
      </w:r>
      <w:r w:rsidRPr="00567B04">
        <w:rPr>
          <w:rFonts w:eastAsia="Times New Roman" w:cstheme="minorHAnsi"/>
          <w:sz w:val="22"/>
          <w:szCs w:val="22"/>
        </w:rPr>
        <w:t>In the process of decision-making, it is possible for people to be influenced by their unconscious biases or thoughts. Such bias is referred to as implicit bias. It is possible that this will result in accidental prejudice against communities of colour.</w:t>
      </w:r>
    </w:p>
    <w:p w14:paraId="0E7A00B8" w14:textId="77777777" w:rsidR="00567B04" w:rsidRPr="00567B04" w:rsidRDefault="00567B04" w:rsidP="00567B04">
      <w:pPr>
        <w:spacing w:line="360" w:lineRule="auto"/>
        <w:jc w:val="both"/>
        <w:rPr>
          <w:rFonts w:eastAsia="Times New Roman" w:cstheme="minorHAnsi"/>
          <w:sz w:val="22"/>
          <w:szCs w:val="22"/>
        </w:rPr>
      </w:pPr>
      <w:r w:rsidRPr="00567B04">
        <w:rPr>
          <w:rFonts w:eastAsia="Times New Roman" w:cstheme="minorHAnsi"/>
          <w:b/>
          <w:bCs/>
          <w:sz w:val="22"/>
          <w:szCs w:val="22"/>
        </w:rPr>
        <w:t xml:space="preserve">Lack of Representation: </w:t>
      </w:r>
      <w:r w:rsidRPr="00567B04">
        <w:rPr>
          <w:rFonts w:eastAsia="Times New Roman" w:cstheme="minorHAnsi"/>
          <w:sz w:val="22"/>
          <w:szCs w:val="22"/>
        </w:rPr>
        <w:t>Sometimes it might be difficult for minority lawyers to find mentors and role models who have experiences and backgrounds that are akin to their own. As a consequence of this, they are currently unable to make progress in the subject of law.</w:t>
      </w:r>
    </w:p>
    <w:p w14:paraId="65414E6E" w14:textId="45123DE7" w:rsidR="00567B04" w:rsidRPr="00567B04" w:rsidRDefault="00567B04" w:rsidP="00567B04">
      <w:pPr>
        <w:spacing w:after="240" w:line="360" w:lineRule="auto"/>
        <w:jc w:val="both"/>
        <w:rPr>
          <w:rFonts w:eastAsia="Times New Roman" w:cstheme="minorHAnsi"/>
          <w:sz w:val="22"/>
          <w:szCs w:val="22"/>
        </w:rPr>
      </w:pPr>
      <w:r w:rsidRPr="00567B04">
        <w:rPr>
          <w:rFonts w:eastAsia="Times New Roman" w:cstheme="minorHAnsi"/>
          <w:b/>
          <w:bCs/>
          <w:sz w:val="22"/>
          <w:szCs w:val="22"/>
        </w:rPr>
        <w:t xml:space="preserve">Senior positions requirement: </w:t>
      </w:r>
      <w:r w:rsidRPr="00567B04">
        <w:rPr>
          <w:rFonts w:eastAsia="Times New Roman" w:cstheme="minorHAnsi"/>
          <w:sz w:val="22"/>
          <w:szCs w:val="22"/>
        </w:rPr>
        <w:t xml:space="preserve">People who have worked in big private law firms often get hired for the highest levels of multinational companies. Different kinds of people have a harder time. </w:t>
      </w:r>
      <w:r w:rsidRPr="00567B04">
        <w:rPr>
          <w:rFonts w:eastAsia="Times New Roman" w:cstheme="minorHAnsi"/>
          <w:sz w:val="22"/>
          <w:szCs w:val="22"/>
        </w:rPr>
        <w:br/>
      </w:r>
      <w:r w:rsidRPr="00567B04">
        <w:rPr>
          <w:rFonts w:eastAsia="Times New Roman" w:cstheme="minorHAnsi"/>
          <w:b/>
          <w:bCs/>
          <w:sz w:val="22"/>
          <w:szCs w:val="22"/>
        </w:rPr>
        <w:t xml:space="preserve">Talent attraction and retention: </w:t>
      </w:r>
      <w:r w:rsidRPr="00567B04">
        <w:rPr>
          <w:rFonts w:eastAsia="Times New Roman" w:cstheme="minorHAnsi"/>
          <w:sz w:val="22"/>
          <w:szCs w:val="22"/>
        </w:rPr>
        <w:t>Maintaining a positive work environment and attracting and retaining talented people from varied backgrounds are both made more difficult by the rising cost of living and the rise of remote work (</w:t>
      </w:r>
      <w:r w:rsidRPr="00567B04">
        <w:rPr>
          <w:rFonts w:cstheme="minorHAnsi"/>
          <w:color w:val="222222"/>
          <w:sz w:val="22"/>
          <w:szCs w:val="22"/>
          <w:shd w:val="clear" w:color="auto" w:fill="FFFFFF"/>
        </w:rPr>
        <w:t>Moore, 2017)</w:t>
      </w:r>
      <w:r w:rsidRPr="00567B04">
        <w:rPr>
          <w:rFonts w:eastAsia="Times New Roman" w:cstheme="minorHAnsi"/>
          <w:sz w:val="22"/>
          <w:szCs w:val="22"/>
        </w:rPr>
        <w:t>.</w:t>
      </w:r>
    </w:p>
    <w:p w14:paraId="156AC07C" w14:textId="2F1AF700" w:rsidR="00567B04" w:rsidRDefault="00567B04" w:rsidP="00567B04">
      <w:pPr>
        <w:spacing w:line="360" w:lineRule="auto"/>
        <w:jc w:val="both"/>
        <w:rPr>
          <w:rFonts w:eastAsia="Times New Roman" w:cstheme="minorHAnsi"/>
          <w:sz w:val="22"/>
          <w:szCs w:val="22"/>
        </w:rPr>
      </w:pPr>
      <w:r w:rsidRPr="00567B04">
        <w:rPr>
          <w:rFonts w:eastAsia="Times New Roman" w:cstheme="minorHAnsi"/>
          <w:sz w:val="22"/>
          <w:szCs w:val="22"/>
        </w:rPr>
        <w:t>Since there aren't many different kinds of judges and law professors, problems in the field get worse. To fully deal with these problems, we need to make changes to the law, make improvements to how things work, and change the way people think about these problems. To promote variety and inclusion in the workplace, it is important for employers, professional groups, and the law to take action. To fight prejudice, bigotry, and unfair business practices in the legal field, education and public awareness programmers need to be run over and over again (</w:t>
      </w:r>
      <w:r w:rsidRPr="00567B04">
        <w:rPr>
          <w:rFonts w:cstheme="minorHAnsi"/>
          <w:color w:val="222222"/>
          <w:sz w:val="22"/>
          <w:szCs w:val="22"/>
          <w:shd w:val="clear" w:color="auto" w:fill="FFFFFF"/>
        </w:rPr>
        <w:t>Mitchell, 2015)</w:t>
      </w:r>
      <w:r w:rsidRPr="00567B04">
        <w:rPr>
          <w:rFonts w:eastAsia="Times New Roman" w:cstheme="minorHAnsi"/>
          <w:sz w:val="22"/>
          <w:szCs w:val="22"/>
        </w:rPr>
        <w:t>.</w:t>
      </w:r>
    </w:p>
    <w:p w14:paraId="3882888D" w14:textId="02BD62FE" w:rsidR="00567B04" w:rsidRDefault="00567B04" w:rsidP="00567B04">
      <w:pPr>
        <w:spacing w:line="360" w:lineRule="auto"/>
        <w:jc w:val="both"/>
        <w:rPr>
          <w:rFonts w:eastAsia="Times New Roman" w:cstheme="minorHAnsi"/>
          <w:sz w:val="22"/>
          <w:szCs w:val="22"/>
        </w:rPr>
      </w:pPr>
    </w:p>
    <w:p w14:paraId="1953BA8D" w14:textId="77777777" w:rsidR="00567B04" w:rsidRPr="00567B04" w:rsidRDefault="00567B04" w:rsidP="00567B04">
      <w:pPr>
        <w:pStyle w:val="Heading1"/>
        <w:spacing w:line="360" w:lineRule="auto"/>
        <w:jc w:val="both"/>
        <w:rPr>
          <w:rFonts w:asciiTheme="minorHAnsi" w:eastAsia="Times New Roman" w:hAnsiTheme="minorHAnsi" w:cstheme="minorHAnsi"/>
          <w:b/>
          <w:bCs/>
          <w:color w:val="000000" w:themeColor="text1"/>
          <w:sz w:val="22"/>
          <w:szCs w:val="22"/>
        </w:rPr>
      </w:pPr>
      <w:bookmarkStart w:id="5" w:name="_Toc160821056"/>
      <w:r w:rsidRPr="00567B04">
        <w:rPr>
          <w:rFonts w:asciiTheme="minorHAnsi" w:eastAsia="Times New Roman" w:hAnsiTheme="minorHAnsi" w:cstheme="minorHAnsi"/>
          <w:b/>
          <w:bCs/>
          <w:color w:val="000000" w:themeColor="text1"/>
          <w:sz w:val="22"/>
          <w:szCs w:val="22"/>
        </w:rPr>
        <w:t>Advancement Opportunities</w:t>
      </w:r>
      <w:bookmarkEnd w:id="5"/>
    </w:p>
    <w:p w14:paraId="3C2871B7" w14:textId="6FBFA53A" w:rsidR="00567B04" w:rsidRDefault="00567B04" w:rsidP="00567B04">
      <w:pPr>
        <w:spacing w:line="360" w:lineRule="auto"/>
        <w:jc w:val="both"/>
        <w:rPr>
          <w:rFonts w:eastAsia="SimSun" w:cstheme="minorHAnsi"/>
          <w:sz w:val="22"/>
          <w:szCs w:val="22"/>
          <w:lang w:eastAsia="zh-CN" w:bidi="ar"/>
        </w:rPr>
      </w:pPr>
      <w:r>
        <w:rPr>
          <w:rFonts w:eastAsia="SimSun" w:cstheme="minorHAnsi"/>
          <w:sz w:val="22"/>
          <w:szCs w:val="22"/>
          <w:lang w:eastAsia="zh-CN" w:bidi="ar"/>
        </w:rPr>
        <w:t xml:space="preserve">  </w:t>
      </w:r>
      <w:r w:rsidRPr="00567B04">
        <w:rPr>
          <w:rFonts w:eastAsia="SimSun" w:cstheme="minorHAnsi"/>
          <w:sz w:val="22"/>
          <w:szCs w:val="22"/>
          <w:lang w:eastAsia="zh-CN" w:bidi="ar"/>
        </w:rPr>
        <w:t xml:space="preserve">After things go badly, there are still chances to make the court system fairer and more open to public review. At the moment, law firms are making key performance indicators (KPIs) for things like diversity, accessibility, and responsibility. </w:t>
      </w:r>
      <w:proofErr w:type="spellStart"/>
      <w:r w:rsidRPr="00567B04">
        <w:rPr>
          <w:rFonts w:eastAsia="SimSun" w:cstheme="minorHAnsi"/>
          <w:sz w:val="22"/>
          <w:szCs w:val="22"/>
          <w:lang w:eastAsia="zh-CN" w:bidi="ar"/>
        </w:rPr>
        <w:t>Madhloom</w:t>
      </w:r>
      <w:proofErr w:type="spellEnd"/>
      <w:r w:rsidRPr="00567B04">
        <w:rPr>
          <w:rFonts w:eastAsia="SimSun" w:cstheme="minorHAnsi"/>
          <w:sz w:val="22"/>
          <w:szCs w:val="22"/>
          <w:lang w:eastAsia="zh-CN" w:bidi="ar"/>
        </w:rPr>
        <w:t xml:space="preserve"> (2019) says this is because supporting diversity and inclusion is getting more attention. </w:t>
      </w:r>
      <w:proofErr w:type="spellStart"/>
      <w:r w:rsidRPr="00567B04">
        <w:rPr>
          <w:rFonts w:eastAsia="SimSun" w:cstheme="minorHAnsi"/>
          <w:sz w:val="22"/>
          <w:szCs w:val="22"/>
          <w:lang w:eastAsia="zh-CN" w:bidi="ar"/>
        </w:rPr>
        <w:t>Smulowitz</w:t>
      </w:r>
      <w:proofErr w:type="spellEnd"/>
      <w:r w:rsidRPr="00567B04">
        <w:rPr>
          <w:rFonts w:eastAsia="SimSun" w:cstheme="minorHAnsi"/>
          <w:sz w:val="22"/>
          <w:szCs w:val="22"/>
          <w:lang w:eastAsia="zh-CN" w:bidi="ar"/>
        </w:rPr>
        <w:t xml:space="preserve"> (2019) says that law companies can use technology and data analytics to find and fix problems with how they hire people, keep them, and promote them. The need for all-around legal help and the growth of social justice non-governmental organisations </w:t>
      </w:r>
      <w:r w:rsidRPr="00567B04">
        <w:rPr>
          <w:rFonts w:eastAsia="SimSun" w:cstheme="minorHAnsi"/>
          <w:sz w:val="22"/>
          <w:szCs w:val="22"/>
          <w:lang w:eastAsia="zh-CN" w:bidi="ar"/>
        </w:rPr>
        <w:lastRenderedPageBreak/>
        <w:t xml:space="preserve">(NGOs) are connected. For people who work for justice and change, there are more chances. If lawyers of different backgrounds work together to solve problems, the legal field might become more open and easier for everyone to get into. </w:t>
      </w:r>
    </w:p>
    <w:p w14:paraId="12B581EC" w14:textId="5845FB8C" w:rsidR="00567B04" w:rsidRDefault="00567B04" w:rsidP="00567B04">
      <w:pPr>
        <w:spacing w:line="360" w:lineRule="auto"/>
        <w:jc w:val="both"/>
        <w:rPr>
          <w:rFonts w:eastAsia="SimSun" w:cstheme="minorHAnsi"/>
          <w:sz w:val="22"/>
          <w:szCs w:val="22"/>
          <w:lang w:eastAsia="zh-CN" w:bidi="ar"/>
        </w:rPr>
      </w:pPr>
    </w:p>
    <w:p w14:paraId="7AAEC702" w14:textId="77777777" w:rsidR="00567B04" w:rsidRPr="00567B04" w:rsidRDefault="00567B04" w:rsidP="00567B04">
      <w:pPr>
        <w:pStyle w:val="Heading1"/>
        <w:spacing w:line="360" w:lineRule="auto"/>
        <w:jc w:val="both"/>
        <w:rPr>
          <w:rFonts w:asciiTheme="minorHAnsi" w:hAnsiTheme="minorHAnsi" w:cstheme="minorHAnsi"/>
          <w:b/>
          <w:bCs/>
          <w:color w:val="000000" w:themeColor="text1"/>
          <w:sz w:val="22"/>
          <w:szCs w:val="22"/>
        </w:rPr>
      </w:pPr>
      <w:bookmarkStart w:id="6" w:name="_Toc160821057"/>
      <w:r w:rsidRPr="00567B04">
        <w:rPr>
          <w:rFonts w:asciiTheme="minorHAnsi" w:hAnsiTheme="minorHAnsi" w:cstheme="minorHAnsi"/>
          <w:b/>
          <w:bCs/>
          <w:color w:val="000000" w:themeColor="text1"/>
          <w:sz w:val="22"/>
          <w:szCs w:val="22"/>
        </w:rPr>
        <w:t>Conclusion</w:t>
      </w:r>
      <w:bookmarkEnd w:id="6"/>
      <w:r w:rsidRPr="00567B04">
        <w:rPr>
          <w:rFonts w:asciiTheme="minorHAnsi" w:hAnsiTheme="minorHAnsi" w:cstheme="minorHAnsi"/>
          <w:b/>
          <w:bCs/>
          <w:color w:val="000000" w:themeColor="text1"/>
          <w:sz w:val="22"/>
          <w:szCs w:val="22"/>
        </w:rPr>
        <w:t xml:space="preserve"> </w:t>
      </w:r>
    </w:p>
    <w:p w14:paraId="1E159E26" w14:textId="37599C77" w:rsidR="00567B04" w:rsidRDefault="00567B04" w:rsidP="00567B04">
      <w:pPr>
        <w:spacing w:line="360" w:lineRule="auto"/>
        <w:jc w:val="both"/>
        <w:rPr>
          <w:rFonts w:eastAsia="SimSun" w:cstheme="minorHAnsi"/>
          <w:sz w:val="22"/>
          <w:szCs w:val="22"/>
          <w:lang w:eastAsia="zh-CN" w:bidi="ar"/>
        </w:rPr>
      </w:pPr>
      <w:r>
        <w:rPr>
          <w:rFonts w:eastAsia="SimSun" w:cstheme="minorHAnsi"/>
          <w:sz w:val="22"/>
          <w:szCs w:val="22"/>
          <w:lang w:eastAsia="zh-CN" w:bidi="ar"/>
        </w:rPr>
        <w:t xml:space="preserve">  </w:t>
      </w:r>
      <w:r w:rsidRPr="00567B04">
        <w:rPr>
          <w:rFonts w:eastAsia="SimSun" w:cstheme="minorHAnsi"/>
          <w:sz w:val="22"/>
          <w:szCs w:val="22"/>
          <w:lang w:eastAsia="zh-CN" w:bidi="ar"/>
        </w:rPr>
        <w:t>This will simplify the legal system for all individuals to comprehend and utilise. We seek equitable legal protection and a diverse team of attorneys. Solicitors can advance the legal industry by adhering to regulations such as the Equality Act (2010) and the SRA Code of Conduct (2019). Some individuals aim to increase the inclusivity and variety within the legal profession. This could enhance people's trust in the system, foster innovation, and provide more access to justice. Leaders may navigate challenging situations and promote diversity and inclusion in the workplace by being truthful, exercising sound judgement, and implementing constructive adjustments. To foster an environment where law students can freely express themselves and think innovatively, it is essential to promote diversity and inclusion. It is also the most intelligent course of action. The ABA's Diversity &amp; Inclusion 360 project significantly contributes to promoting diversity in the legal sector. Utilise tools such as the Model Diversity Survey to enhance learning. To achieve this goal, the legal community and regulatory organisations need to continue advocating for crucial equality issues, such as achieving equal pay for male and female lawyers.</w:t>
      </w:r>
    </w:p>
    <w:p w14:paraId="03D4651D" w14:textId="0637C1E3" w:rsidR="00567B04" w:rsidRDefault="00567B04" w:rsidP="00567B04">
      <w:pPr>
        <w:spacing w:line="360" w:lineRule="auto"/>
        <w:jc w:val="both"/>
        <w:rPr>
          <w:rFonts w:eastAsia="SimSun" w:cstheme="minorHAnsi"/>
          <w:sz w:val="22"/>
          <w:szCs w:val="22"/>
          <w:lang w:eastAsia="zh-CN" w:bidi="ar"/>
        </w:rPr>
      </w:pPr>
    </w:p>
    <w:p w14:paraId="72410E1F" w14:textId="77777777" w:rsidR="00567B04" w:rsidRPr="00567B04" w:rsidRDefault="00567B04" w:rsidP="00567B04">
      <w:pPr>
        <w:pStyle w:val="Heading1"/>
        <w:spacing w:line="360" w:lineRule="auto"/>
        <w:rPr>
          <w:rFonts w:asciiTheme="minorHAnsi" w:hAnsiTheme="minorHAnsi" w:cstheme="minorHAnsi"/>
          <w:b/>
          <w:bCs/>
          <w:color w:val="000000" w:themeColor="text1"/>
          <w:sz w:val="22"/>
          <w:szCs w:val="22"/>
        </w:rPr>
      </w:pPr>
      <w:r w:rsidRPr="00567B04">
        <w:rPr>
          <w:rFonts w:asciiTheme="minorHAnsi" w:hAnsiTheme="minorHAnsi" w:cstheme="minorHAnsi"/>
          <w:b/>
          <w:bCs/>
          <w:color w:val="000000" w:themeColor="text1"/>
          <w:sz w:val="22"/>
          <w:szCs w:val="22"/>
        </w:rPr>
        <w:t>References</w:t>
      </w:r>
    </w:p>
    <w:p w14:paraId="44C7A1D7" w14:textId="77777777" w:rsidR="00567B04" w:rsidRPr="00567B04" w:rsidRDefault="00567B04" w:rsidP="00F519A9">
      <w:pPr>
        <w:spacing w:line="360" w:lineRule="auto"/>
        <w:rPr>
          <w:rFonts w:cstheme="minorHAnsi"/>
          <w:color w:val="222222"/>
          <w:sz w:val="22"/>
          <w:szCs w:val="22"/>
          <w:shd w:val="clear" w:color="auto" w:fill="FFFFFF"/>
        </w:rPr>
      </w:pPr>
      <w:r w:rsidRPr="00567B04">
        <w:rPr>
          <w:rFonts w:cstheme="minorHAnsi"/>
          <w:color w:val="222222"/>
          <w:sz w:val="22"/>
          <w:szCs w:val="22"/>
          <w:shd w:val="clear" w:color="auto" w:fill="FFFFFF"/>
        </w:rPr>
        <w:t>Bayer, A. and Rouse, C.E., 2016. Diversity in the economics profession: A new attack on an old problem. Journal of Economic Perspectives, 30(4), pp.221-242.</w:t>
      </w:r>
    </w:p>
    <w:p w14:paraId="39988235" w14:textId="77777777" w:rsidR="00567B04" w:rsidRPr="00567B04" w:rsidRDefault="00567B04" w:rsidP="00F519A9">
      <w:pPr>
        <w:spacing w:line="360" w:lineRule="auto"/>
        <w:rPr>
          <w:rFonts w:cstheme="minorHAnsi"/>
          <w:color w:val="222222"/>
          <w:sz w:val="22"/>
          <w:szCs w:val="22"/>
          <w:shd w:val="clear" w:color="auto" w:fill="FFFFFF"/>
        </w:rPr>
      </w:pPr>
      <w:r w:rsidRPr="00567B04">
        <w:rPr>
          <w:rFonts w:cstheme="minorHAnsi"/>
          <w:color w:val="222222"/>
          <w:sz w:val="22"/>
          <w:szCs w:val="22"/>
          <w:shd w:val="clear" w:color="auto" w:fill="FFFFFF"/>
        </w:rPr>
        <w:t xml:space="preserve">Coe, I.R., Wiley, R. and </w:t>
      </w:r>
      <w:proofErr w:type="spellStart"/>
      <w:r w:rsidRPr="00567B04">
        <w:rPr>
          <w:rFonts w:cstheme="minorHAnsi"/>
          <w:color w:val="222222"/>
          <w:sz w:val="22"/>
          <w:szCs w:val="22"/>
          <w:shd w:val="clear" w:color="auto" w:fill="FFFFFF"/>
        </w:rPr>
        <w:t>Bekker</w:t>
      </w:r>
      <w:proofErr w:type="spellEnd"/>
      <w:r w:rsidRPr="00567B04">
        <w:rPr>
          <w:rFonts w:cstheme="minorHAnsi"/>
          <w:color w:val="222222"/>
          <w:sz w:val="22"/>
          <w:szCs w:val="22"/>
          <w:shd w:val="clear" w:color="auto" w:fill="FFFFFF"/>
        </w:rPr>
        <w:t>, L.G., 2019. Organisational best practices towards gender equality in science and medicine. The Lancet, 393(10171), pp.587-593.</w:t>
      </w:r>
    </w:p>
    <w:p w14:paraId="2AC80193" w14:textId="77777777" w:rsidR="00567B04" w:rsidRPr="00567B04" w:rsidRDefault="00567B04" w:rsidP="00F519A9">
      <w:pPr>
        <w:spacing w:line="360" w:lineRule="auto"/>
        <w:rPr>
          <w:rFonts w:cstheme="minorHAnsi"/>
          <w:color w:val="222222"/>
          <w:sz w:val="22"/>
          <w:szCs w:val="22"/>
          <w:shd w:val="clear" w:color="auto" w:fill="FFFFFF"/>
        </w:rPr>
      </w:pPr>
      <w:r w:rsidRPr="00567B04">
        <w:rPr>
          <w:rFonts w:cstheme="minorHAnsi"/>
          <w:color w:val="222222"/>
          <w:sz w:val="22"/>
          <w:szCs w:val="22"/>
          <w:shd w:val="clear" w:color="auto" w:fill="FFFFFF"/>
        </w:rPr>
        <w:t>Jackson, D., 2015. Employability skill development in work-integrated learning: Barriers and best practice. Studies in higher education, 40(2), pp.350-367.</w:t>
      </w:r>
    </w:p>
    <w:p w14:paraId="55F12178" w14:textId="77777777" w:rsidR="00567B04" w:rsidRPr="00567B04" w:rsidRDefault="00567B04" w:rsidP="00F519A9">
      <w:pPr>
        <w:spacing w:line="360" w:lineRule="auto"/>
        <w:rPr>
          <w:rFonts w:cstheme="minorHAnsi"/>
          <w:color w:val="222222"/>
          <w:sz w:val="22"/>
          <w:szCs w:val="22"/>
          <w:shd w:val="clear" w:color="auto" w:fill="FFFFFF"/>
        </w:rPr>
      </w:pPr>
      <w:r w:rsidRPr="00567B04">
        <w:rPr>
          <w:rFonts w:cstheme="minorHAnsi"/>
          <w:color w:val="222222"/>
          <w:sz w:val="22"/>
          <w:szCs w:val="22"/>
          <w:shd w:val="clear" w:color="auto" w:fill="FFFFFF"/>
        </w:rPr>
        <w:t>Kirton, G. and Greene, A.M., 2015. The dynamics of managing diversity: A critical approach. Routledge.</w:t>
      </w:r>
    </w:p>
    <w:p w14:paraId="1E9DD3DC" w14:textId="77777777" w:rsidR="00567B04" w:rsidRPr="00567B04" w:rsidRDefault="00567B04" w:rsidP="00F519A9">
      <w:pPr>
        <w:spacing w:line="360" w:lineRule="auto"/>
        <w:rPr>
          <w:rFonts w:cstheme="minorHAnsi"/>
          <w:color w:val="222222"/>
          <w:sz w:val="22"/>
          <w:szCs w:val="22"/>
          <w:shd w:val="clear" w:color="auto" w:fill="FFFFFF"/>
        </w:rPr>
      </w:pPr>
      <w:r w:rsidRPr="00567B04">
        <w:rPr>
          <w:rFonts w:cstheme="minorHAnsi"/>
          <w:color w:val="222222"/>
          <w:sz w:val="22"/>
          <w:szCs w:val="22"/>
          <w:shd w:val="clear" w:color="auto" w:fill="FFFFFF"/>
        </w:rPr>
        <w:t>Landry, L.G., Ali, N., Williams, D.R., Rehm, H.L. and Bonham, V.L., 2018. Lack of diversity in genomic databases is a barrier to translating precision medicine research into practice. Health Affairs, 37(5), pp.780-785.</w:t>
      </w:r>
    </w:p>
    <w:p w14:paraId="27D55B8A" w14:textId="77777777" w:rsidR="00567B04" w:rsidRPr="00567B04" w:rsidRDefault="00567B04" w:rsidP="00F519A9">
      <w:pPr>
        <w:spacing w:line="360" w:lineRule="auto"/>
        <w:rPr>
          <w:rFonts w:cstheme="minorHAnsi"/>
          <w:color w:val="222222"/>
          <w:sz w:val="22"/>
          <w:szCs w:val="22"/>
          <w:shd w:val="clear" w:color="auto" w:fill="FFFFFF"/>
        </w:rPr>
      </w:pPr>
      <w:proofErr w:type="spellStart"/>
      <w:r w:rsidRPr="00567B04">
        <w:rPr>
          <w:rFonts w:cstheme="minorHAnsi"/>
          <w:color w:val="222222"/>
          <w:sz w:val="22"/>
          <w:szCs w:val="22"/>
          <w:shd w:val="clear" w:color="auto" w:fill="FFFFFF"/>
        </w:rPr>
        <w:t>Madhloom</w:t>
      </w:r>
      <w:proofErr w:type="spellEnd"/>
      <w:r w:rsidRPr="00567B04">
        <w:rPr>
          <w:rFonts w:cstheme="minorHAnsi"/>
          <w:color w:val="222222"/>
          <w:sz w:val="22"/>
          <w:szCs w:val="22"/>
          <w:shd w:val="clear" w:color="auto" w:fill="FFFFFF"/>
        </w:rPr>
        <w:t>, O., 2019. A normative approach to developing reflective legal practitioners: Kant and clinical legal education. The Law Teacher, 53(4), pp.416-430.</w:t>
      </w:r>
    </w:p>
    <w:p w14:paraId="3F2594F3" w14:textId="77777777" w:rsidR="00567B04" w:rsidRPr="00567B04" w:rsidRDefault="00567B04" w:rsidP="00F519A9">
      <w:pPr>
        <w:spacing w:line="360" w:lineRule="auto"/>
        <w:rPr>
          <w:rFonts w:cstheme="minorHAnsi"/>
          <w:color w:val="222222"/>
          <w:sz w:val="22"/>
          <w:szCs w:val="22"/>
          <w:shd w:val="clear" w:color="auto" w:fill="FFFFFF"/>
        </w:rPr>
      </w:pPr>
      <w:r w:rsidRPr="00567B04">
        <w:rPr>
          <w:rFonts w:cstheme="minorHAnsi"/>
          <w:color w:val="222222"/>
          <w:sz w:val="22"/>
          <w:szCs w:val="22"/>
          <w:shd w:val="clear" w:color="auto" w:fill="FFFFFF"/>
        </w:rPr>
        <w:lastRenderedPageBreak/>
        <w:t>Mitchell, R., Boyle, B., Parker, V., Giles, M., Chiang, V. and Joyce, P., 2015. Managing inclusiveness and diversity in teams: How leader inclusiveness affects performance through status and team identity. Human Resource Management, 54(2), pp.217-239.</w:t>
      </w:r>
    </w:p>
    <w:p w14:paraId="1FD0039F" w14:textId="77777777" w:rsidR="00567B04" w:rsidRPr="00567B04" w:rsidRDefault="00567B04" w:rsidP="00F519A9">
      <w:pPr>
        <w:spacing w:line="360" w:lineRule="auto"/>
        <w:rPr>
          <w:rFonts w:cstheme="minorHAnsi"/>
          <w:sz w:val="22"/>
          <w:szCs w:val="22"/>
        </w:rPr>
      </w:pPr>
      <w:r w:rsidRPr="00567B04">
        <w:rPr>
          <w:rFonts w:cstheme="minorHAnsi"/>
          <w:color w:val="222222"/>
          <w:sz w:val="22"/>
          <w:szCs w:val="22"/>
          <w:shd w:val="clear" w:color="auto" w:fill="FFFFFF"/>
        </w:rPr>
        <w:t xml:space="preserve">Moore, R., 2017. An analysis of Michelle Alexander's The New Jim Crow: Mass incarceration in the age of </w:t>
      </w:r>
      <w:proofErr w:type="spellStart"/>
      <w:r w:rsidRPr="00567B04">
        <w:rPr>
          <w:rFonts w:cstheme="minorHAnsi"/>
          <w:color w:val="222222"/>
          <w:sz w:val="22"/>
          <w:szCs w:val="22"/>
          <w:shd w:val="clear" w:color="auto" w:fill="FFFFFF"/>
        </w:rPr>
        <w:t>colorblindness</w:t>
      </w:r>
      <w:proofErr w:type="spellEnd"/>
      <w:r w:rsidRPr="00567B04">
        <w:rPr>
          <w:rFonts w:cstheme="minorHAnsi"/>
          <w:color w:val="222222"/>
          <w:sz w:val="22"/>
          <w:szCs w:val="22"/>
          <w:shd w:val="clear" w:color="auto" w:fill="FFFFFF"/>
        </w:rPr>
        <w:t xml:space="preserve">. </w:t>
      </w:r>
      <w:proofErr w:type="spellStart"/>
      <w:r w:rsidRPr="00567B04">
        <w:rPr>
          <w:rFonts w:cstheme="minorHAnsi"/>
          <w:color w:val="222222"/>
          <w:sz w:val="22"/>
          <w:szCs w:val="22"/>
          <w:shd w:val="clear" w:color="auto" w:fill="FFFFFF"/>
        </w:rPr>
        <w:t>Macat</w:t>
      </w:r>
      <w:proofErr w:type="spellEnd"/>
      <w:r w:rsidRPr="00567B04">
        <w:rPr>
          <w:rFonts w:cstheme="minorHAnsi"/>
          <w:color w:val="222222"/>
          <w:sz w:val="22"/>
          <w:szCs w:val="22"/>
          <w:shd w:val="clear" w:color="auto" w:fill="FFFFFF"/>
        </w:rPr>
        <w:t xml:space="preserve"> Library.</w:t>
      </w:r>
    </w:p>
    <w:p w14:paraId="0A27C055" w14:textId="77777777" w:rsidR="00567B04" w:rsidRPr="00567B04" w:rsidRDefault="00567B04" w:rsidP="00F519A9">
      <w:pPr>
        <w:spacing w:line="360" w:lineRule="auto"/>
        <w:rPr>
          <w:rFonts w:cstheme="minorHAnsi"/>
          <w:color w:val="222222"/>
          <w:sz w:val="22"/>
          <w:szCs w:val="22"/>
          <w:shd w:val="clear" w:color="auto" w:fill="FFFFFF"/>
        </w:rPr>
      </w:pPr>
      <w:proofErr w:type="spellStart"/>
      <w:r w:rsidRPr="00567B04">
        <w:rPr>
          <w:rFonts w:cstheme="minorHAnsi"/>
          <w:color w:val="222222"/>
          <w:sz w:val="22"/>
          <w:szCs w:val="22"/>
          <w:shd w:val="clear" w:color="auto" w:fill="FFFFFF"/>
        </w:rPr>
        <w:t>Ocloo</w:t>
      </w:r>
      <w:proofErr w:type="spellEnd"/>
      <w:r w:rsidRPr="00567B04">
        <w:rPr>
          <w:rFonts w:cstheme="minorHAnsi"/>
          <w:color w:val="222222"/>
          <w:sz w:val="22"/>
          <w:szCs w:val="22"/>
          <w:shd w:val="clear" w:color="auto" w:fill="FFFFFF"/>
        </w:rPr>
        <w:t>, J. and Matthews, R., 2016. From tokenism to empowerment: progressing patient and public involvement in healthcare improvement. BMJ quality &amp; safety, 25(8), pp.626-632.</w:t>
      </w:r>
    </w:p>
    <w:p w14:paraId="320A40FD" w14:textId="77777777" w:rsidR="00567B04" w:rsidRPr="00567B04" w:rsidRDefault="00567B04" w:rsidP="00F519A9">
      <w:pPr>
        <w:spacing w:line="360" w:lineRule="auto"/>
        <w:rPr>
          <w:rFonts w:cstheme="minorHAnsi"/>
          <w:color w:val="222222"/>
          <w:sz w:val="22"/>
          <w:szCs w:val="22"/>
          <w:shd w:val="clear" w:color="auto" w:fill="FFFFFF"/>
        </w:rPr>
      </w:pPr>
      <w:proofErr w:type="spellStart"/>
      <w:r w:rsidRPr="00567B04">
        <w:rPr>
          <w:rFonts w:cstheme="minorHAnsi"/>
          <w:color w:val="222222"/>
          <w:sz w:val="22"/>
          <w:szCs w:val="22"/>
          <w:shd w:val="clear" w:color="auto" w:fill="FFFFFF"/>
        </w:rPr>
        <w:t>Pataranutaporn</w:t>
      </w:r>
      <w:proofErr w:type="spellEnd"/>
      <w:r w:rsidRPr="00567B04">
        <w:rPr>
          <w:rFonts w:cstheme="minorHAnsi"/>
          <w:color w:val="222222"/>
          <w:sz w:val="22"/>
          <w:szCs w:val="22"/>
          <w:shd w:val="clear" w:color="auto" w:fill="FFFFFF"/>
        </w:rPr>
        <w:t xml:space="preserve">, P., </w:t>
      </w:r>
      <w:proofErr w:type="spellStart"/>
      <w:r w:rsidRPr="00567B04">
        <w:rPr>
          <w:rFonts w:cstheme="minorHAnsi"/>
          <w:color w:val="222222"/>
          <w:sz w:val="22"/>
          <w:szCs w:val="22"/>
          <w:shd w:val="clear" w:color="auto" w:fill="FFFFFF"/>
        </w:rPr>
        <w:t>Vujic</w:t>
      </w:r>
      <w:proofErr w:type="spellEnd"/>
      <w:r w:rsidRPr="00567B04">
        <w:rPr>
          <w:rFonts w:cstheme="minorHAnsi"/>
          <w:color w:val="222222"/>
          <w:sz w:val="22"/>
          <w:szCs w:val="22"/>
          <w:shd w:val="clear" w:color="auto" w:fill="FFFFFF"/>
        </w:rPr>
        <w:t xml:space="preserve">, A., Kong, D.S., </w:t>
      </w:r>
      <w:proofErr w:type="spellStart"/>
      <w:r w:rsidRPr="00567B04">
        <w:rPr>
          <w:rFonts w:cstheme="minorHAnsi"/>
          <w:color w:val="222222"/>
          <w:sz w:val="22"/>
          <w:szCs w:val="22"/>
          <w:shd w:val="clear" w:color="auto" w:fill="FFFFFF"/>
        </w:rPr>
        <w:t>Maes</w:t>
      </w:r>
      <w:proofErr w:type="spellEnd"/>
      <w:r w:rsidRPr="00567B04">
        <w:rPr>
          <w:rFonts w:cstheme="minorHAnsi"/>
          <w:color w:val="222222"/>
          <w:sz w:val="22"/>
          <w:szCs w:val="22"/>
          <w:shd w:val="clear" w:color="auto" w:fill="FFFFFF"/>
        </w:rPr>
        <w:t>, P. and Sra, M., 2020, March. Living bits: Opportunities and challenges for integrating living microorganisms in human-computer interaction. In Proceedings of the augmented humans international conference (pp. 1-12).</w:t>
      </w:r>
    </w:p>
    <w:p w14:paraId="4E6C0805" w14:textId="77777777" w:rsidR="00567B04" w:rsidRPr="00567B04" w:rsidRDefault="00567B04" w:rsidP="00F519A9">
      <w:pPr>
        <w:spacing w:line="360" w:lineRule="auto"/>
        <w:rPr>
          <w:rFonts w:cstheme="minorHAnsi"/>
          <w:color w:val="222222"/>
          <w:sz w:val="22"/>
          <w:szCs w:val="22"/>
          <w:shd w:val="clear" w:color="auto" w:fill="FFFFFF"/>
        </w:rPr>
      </w:pPr>
      <w:proofErr w:type="spellStart"/>
      <w:r w:rsidRPr="00567B04">
        <w:rPr>
          <w:rFonts w:cstheme="minorHAnsi"/>
          <w:color w:val="222222"/>
          <w:sz w:val="22"/>
          <w:szCs w:val="22"/>
          <w:shd w:val="clear" w:color="auto" w:fill="FFFFFF"/>
        </w:rPr>
        <w:t>Reguera</w:t>
      </w:r>
      <w:proofErr w:type="spellEnd"/>
      <w:r w:rsidRPr="00567B04">
        <w:rPr>
          <w:rFonts w:cstheme="minorHAnsi"/>
          <w:color w:val="222222"/>
          <w:sz w:val="22"/>
          <w:szCs w:val="22"/>
          <w:shd w:val="clear" w:color="auto" w:fill="FFFFFF"/>
        </w:rPr>
        <w:t xml:space="preserve">-Alvarado, N., De Fuentes, P. and </w:t>
      </w:r>
      <w:proofErr w:type="spellStart"/>
      <w:r w:rsidRPr="00567B04">
        <w:rPr>
          <w:rFonts w:cstheme="minorHAnsi"/>
          <w:color w:val="222222"/>
          <w:sz w:val="22"/>
          <w:szCs w:val="22"/>
          <w:shd w:val="clear" w:color="auto" w:fill="FFFFFF"/>
        </w:rPr>
        <w:t>Laffarga</w:t>
      </w:r>
      <w:proofErr w:type="spellEnd"/>
      <w:r w:rsidRPr="00567B04">
        <w:rPr>
          <w:rFonts w:cstheme="minorHAnsi"/>
          <w:color w:val="222222"/>
          <w:sz w:val="22"/>
          <w:szCs w:val="22"/>
          <w:shd w:val="clear" w:color="auto" w:fill="FFFFFF"/>
        </w:rPr>
        <w:t>, J., 2017. Does board gender diversity influence financial performance? Evidence from Spain. Journal of business ethics, 141, pp.337-350.</w:t>
      </w:r>
    </w:p>
    <w:p w14:paraId="217C870D" w14:textId="77777777" w:rsidR="00567B04" w:rsidRPr="00567B04" w:rsidRDefault="00567B04" w:rsidP="00F519A9">
      <w:pPr>
        <w:spacing w:line="360" w:lineRule="auto"/>
        <w:rPr>
          <w:rFonts w:cstheme="minorHAnsi"/>
          <w:color w:val="222222"/>
          <w:sz w:val="22"/>
          <w:szCs w:val="22"/>
          <w:shd w:val="clear" w:color="auto" w:fill="FFFFFF"/>
        </w:rPr>
      </w:pPr>
      <w:r w:rsidRPr="00567B04">
        <w:rPr>
          <w:rFonts w:cstheme="minorHAnsi"/>
          <w:color w:val="222222"/>
          <w:sz w:val="22"/>
          <w:szCs w:val="22"/>
          <w:shd w:val="clear" w:color="auto" w:fill="FFFFFF"/>
        </w:rPr>
        <w:t>Rhode, D.L., 2017. Women and leadership. Oxford University Press.</w:t>
      </w:r>
    </w:p>
    <w:p w14:paraId="4155D264" w14:textId="77777777" w:rsidR="00567B04" w:rsidRPr="00567B04" w:rsidRDefault="00567B04" w:rsidP="00F519A9">
      <w:pPr>
        <w:spacing w:line="360" w:lineRule="auto"/>
        <w:rPr>
          <w:rFonts w:cstheme="minorHAnsi"/>
          <w:color w:val="222222"/>
          <w:sz w:val="22"/>
          <w:szCs w:val="22"/>
          <w:shd w:val="clear" w:color="auto" w:fill="FFFFFF"/>
        </w:rPr>
      </w:pPr>
      <w:proofErr w:type="spellStart"/>
      <w:r w:rsidRPr="00567B04">
        <w:rPr>
          <w:rFonts w:cstheme="minorHAnsi"/>
          <w:color w:val="222222"/>
          <w:sz w:val="22"/>
          <w:szCs w:val="22"/>
          <w:shd w:val="clear" w:color="auto" w:fill="FFFFFF"/>
        </w:rPr>
        <w:t>Smulowitz</w:t>
      </w:r>
      <w:proofErr w:type="spellEnd"/>
      <w:r w:rsidRPr="00567B04">
        <w:rPr>
          <w:rFonts w:cstheme="minorHAnsi"/>
          <w:color w:val="222222"/>
          <w:sz w:val="22"/>
          <w:szCs w:val="22"/>
          <w:shd w:val="clear" w:color="auto" w:fill="FFFFFF"/>
        </w:rPr>
        <w:t>, S., Becerra, M. and Mayo, M., 2019. Racial diversity and its asymmetry within and across hierarchical levels: The effects on financial performance. Human Relations, 72(10), pp.1671-1696.</w:t>
      </w:r>
    </w:p>
    <w:p w14:paraId="2415C55C" w14:textId="77777777" w:rsidR="00567B04" w:rsidRPr="00567B04" w:rsidRDefault="00567B04" w:rsidP="00567B04">
      <w:pPr>
        <w:spacing w:line="360" w:lineRule="auto"/>
        <w:jc w:val="both"/>
        <w:rPr>
          <w:rFonts w:cstheme="minorHAnsi"/>
          <w:sz w:val="22"/>
          <w:szCs w:val="22"/>
        </w:rPr>
      </w:pPr>
    </w:p>
    <w:p w14:paraId="66D7AA57" w14:textId="77777777" w:rsidR="00567B04" w:rsidRPr="00567B04" w:rsidRDefault="00567B04" w:rsidP="00567B04">
      <w:pPr>
        <w:spacing w:line="360" w:lineRule="auto"/>
        <w:jc w:val="both"/>
        <w:rPr>
          <w:rFonts w:eastAsia="SimSun" w:cstheme="minorHAnsi"/>
          <w:sz w:val="22"/>
          <w:szCs w:val="22"/>
          <w:lang w:eastAsia="zh-CN" w:bidi="ar"/>
        </w:rPr>
      </w:pPr>
    </w:p>
    <w:p w14:paraId="368B4E9D" w14:textId="77777777" w:rsidR="00567B04" w:rsidRPr="00567B04" w:rsidRDefault="00567B04" w:rsidP="00567B04">
      <w:pPr>
        <w:spacing w:line="360" w:lineRule="auto"/>
        <w:jc w:val="both"/>
        <w:rPr>
          <w:rFonts w:eastAsia="Times New Roman" w:cstheme="minorHAnsi"/>
          <w:sz w:val="22"/>
          <w:szCs w:val="22"/>
        </w:rPr>
      </w:pPr>
    </w:p>
    <w:p w14:paraId="206EBFAE" w14:textId="77777777" w:rsidR="00567B04" w:rsidRPr="00567B04" w:rsidRDefault="00567B04" w:rsidP="00567B04">
      <w:pPr>
        <w:spacing w:line="360" w:lineRule="auto"/>
        <w:jc w:val="both"/>
        <w:rPr>
          <w:rFonts w:eastAsia="Times New Roman" w:cstheme="minorHAnsi"/>
          <w:sz w:val="22"/>
          <w:szCs w:val="22"/>
        </w:rPr>
      </w:pPr>
    </w:p>
    <w:p w14:paraId="0E88E9E5" w14:textId="77777777" w:rsidR="00567B04" w:rsidRPr="00747B8B" w:rsidRDefault="00567B04" w:rsidP="00567B04">
      <w:pPr>
        <w:spacing w:line="360" w:lineRule="auto"/>
        <w:rPr>
          <w:rFonts w:eastAsia="Times New Roman" w:cstheme="minorHAnsi"/>
          <w:sz w:val="22"/>
          <w:szCs w:val="22"/>
        </w:rPr>
      </w:pPr>
    </w:p>
    <w:p w14:paraId="6A5E0B08" w14:textId="77777777" w:rsidR="00747B8B" w:rsidRPr="00747B8B" w:rsidRDefault="00747B8B" w:rsidP="00747B8B">
      <w:pPr>
        <w:spacing w:line="360" w:lineRule="auto"/>
        <w:jc w:val="both"/>
        <w:rPr>
          <w:rFonts w:eastAsia="Times New Roman" w:cstheme="minorHAnsi"/>
          <w:sz w:val="22"/>
          <w:szCs w:val="22"/>
        </w:rPr>
      </w:pPr>
    </w:p>
    <w:p w14:paraId="1001B587" w14:textId="77777777" w:rsidR="00747B8B" w:rsidRPr="00747B8B" w:rsidRDefault="00747B8B" w:rsidP="00747B8B">
      <w:pPr>
        <w:spacing w:line="360" w:lineRule="auto"/>
        <w:jc w:val="both"/>
        <w:rPr>
          <w:rFonts w:eastAsia="Times New Roman" w:cstheme="minorHAnsi"/>
          <w:sz w:val="22"/>
          <w:szCs w:val="22"/>
        </w:rPr>
      </w:pPr>
    </w:p>
    <w:p w14:paraId="7A8236E2" w14:textId="77777777" w:rsidR="00747B8B" w:rsidRPr="00747B8B" w:rsidRDefault="00747B8B" w:rsidP="00747B8B">
      <w:pPr>
        <w:spacing w:after="240" w:line="360" w:lineRule="auto"/>
        <w:jc w:val="both"/>
        <w:rPr>
          <w:rFonts w:eastAsia="Times New Roman" w:cstheme="minorHAnsi"/>
          <w:sz w:val="22"/>
          <w:szCs w:val="22"/>
        </w:rPr>
      </w:pPr>
    </w:p>
    <w:p w14:paraId="666EE6D0" w14:textId="77777777" w:rsidR="00747B8B" w:rsidRPr="00747B8B" w:rsidRDefault="00747B8B" w:rsidP="00747B8B">
      <w:pPr>
        <w:pStyle w:val="NormalWeb"/>
        <w:rPr>
          <w:rFonts w:asciiTheme="minorHAnsi" w:hAnsiTheme="minorHAnsi" w:cstheme="minorHAnsi"/>
          <w:sz w:val="22"/>
          <w:szCs w:val="22"/>
        </w:rPr>
      </w:pPr>
    </w:p>
    <w:p w14:paraId="7BA9C178" w14:textId="6E124498" w:rsidR="00747B8B" w:rsidRDefault="00747B8B"/>
    <w:sectPr w:rsidR="00747B8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C40D0A" w14:textId="77777777" w:rsidR="00326F83" w:rsidRDefault="00326F83" w:rsidP="00747B8B">
      <w:r>
        <w:separator/>
      </w:r>
    </w:p>
  </w:endnote>
  <w:endnote w:type="continuationSeparator" w:id="0">
    <w:p w14:paraId="100344CE" w14:textId="77777777" w:rsidR="00326F83" w:rsidRDefault="00326F83" w:rsidP="00747B8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5E8243" w14:textId="77777777" w:rsidR="00326F83" w:rsidRDefault="00326F83" w:rsidP="00747B8B">
      <w:r>
        <w:separator/>
      </w:r>
    </w:p>
  </w:footnote>
  <w:footnote w:type="continuationSeparator" w:id="0">
    <w:p w14:paraId="5F0015A8" w14:textId="77777777" w:rsidR="00326F83" w:rsidRDefault="00326F83" w:rsidP="00747B8B">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7B8B"/>
    <w:rsid w:val="00326F83"/>
    <w:rsid w:val="00567B04"/>
    <w:rsid w:val="00747B8B"/>
    <w:rsid w:val="00933F52"/>
    <w:rsid w:val="00F519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A966EB7"/>
  <w15:chartTrackingRefBased/>
  <w15:docId w15:val="{389EED82-9005-E040-A5DF-5B03FD62EF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47B8B"/>
    <w:pPr>
      <w:keepNext/>
      <w:keepLines/>
      <w:spacing w:before="240" w:line="259" w:lineRule="auto"/>
      <w:outlineLvl w:val="0"/>
    </w:pPr>
    <w:rPr>
      <w:rFonts w:asciiTheme="majorHAnsi" w:eastAsiaTheme="majorEastAsia" w:hAnsiTheme="majorHAnsi" w:cstheme="majorBidi"/>
      <w:color w:val="2F5496" w:themeColor="accent1" w:themeShade="BF"/>
      <w:kern w:val="2"/>
      <w:sz w:val="32"/>
      <w:szCs w:val="32"/>
      <w:lang w:val="en-US"/>
      <w14:ligatures w14:val="standardContextual"/>
    </w:rPr>
  </w:style>
  <w:style w:type="paragraph" w:styleId="Heading2">
    <w:name w:val="heading 2"/>
    <w:basedOn w:val="Normal"/>
    <w:next w:val="Normal"/>
    <w:link w:val="Heading2Char"/>
    <w:uiPriority w:val="9"/>
    <w:unhideWhenUsed/>
    <w:qFormat/>
    <w:rsid w:val="00747B8B"/>
    <w:pPr>
      <w:keepNext/>
      <w:keepLines/>
      <w:spacing w:before="40" w:line="259" w:lineRule="auto"/>
      <w:outlineLvl w:val="1"/>
    </w:pPr>
    <w:rPr>
      <w:rFonts w:asciiTheme="majorHAnsi" w:eastAsiaTheme="majorEastAsia" w:hAnsiTheme="majorHAnsi" w:cstheme="majorBidi"/>
      <w:color w:val="2F5496" w:themeColor="accent1" w:themeShade="BF"/>
      <w:kern w:val="2"/>
      <w:sz w:val="26"/>
      <w:szCs w:val="26"/>
      <w:lang w:val="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47B8B"/>
    <w:pPr>
      <w:tabs>
        <w:tab w:val="center" w:pos="4513"/>
        <w:tab w:val="right" w:pos="9026"/>
      </w:tabs>
    </w:pPr>
  </w:style>
  <w:style w:type="character" w:customStyle="1" w:styleId="HeaderChar">
    <w:name w:val="Header Char"/>
    <w:basedOn w:val="DefaultParagraphFont"/>
    <w:link w:val="Header"/>
    <w:uiPriority w:val="99"/>
    <w:rsid w:val="00747B8B"/>
  </w:style>
  <w:style w:type="paragraph" w:styleId="Footer">
    <w:name w:val="footer"/>
    <w:basedOn w:val="Normal"/>
    <w:link w:val="FooterChar"/>
    <w:uiPriority w:val="99"/>
    <w:unhideWhenUsed/>
    <w:rsid w:val="00747B8B"/>
    <w:pPr>
      <w:tabs>
        <w:tab w:val="center" w:pos="4513"/>
        <w:tab w:val="right" w:pos="9026"/>
      </w:tabs>
    </w:pPr>
  </w:style>
  <w:style w:type="character" w:customStyle="1" w:styleId="FooterChar">
    <w:name w:val="Footer Char"/>
    <w:basedOn w:val="DefaultParagraphFont"/>
    <w:link w:val="Footer"/>
    <w:uiPriority w:val="99"/>
    <w:rsid w:val="00747B8B"/>
  </w:style>
  <w:style w:type="paragraph" w:styleId="NormalWeb">
    <w:name w:val="Normal (Web)"/>
    <w:basedOn w:val="Normal"/>
    <w:uiPriority w:val="99"/>
    <w:semiHidden/>
    <w:unhideWhenUsed/>
    <w:rsid w:val="00747B8B"/>
    <w:pPr>
      <w:spacing w:before="100" w:beforeAutospacing="1" w:after="100" w:afterAutospacing="1"/>
    </w:pPr>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747B8B"/>
    <w:rPr>
      <w:rFonts w:asciiTheme="majorHAnsi" w:eastAsiaTheme="majorEastAsia" w:hAnsiTheme="majorHAnsi" w:cstheme="majorBidi"/>
      <w:color w:val="2F5496" w:themeColor="accent1" w:themeShade="BF"/>
      <w:kern w:val="2"/>
      <w:sz w:val="32"/>
      <w:szCs w:val="32"/>
      <w:lang w:val="en-US"/>
      <w14:ligatures w14:val="standardContextual"/>
    </w:rPr>
  </w:style>
  <w:style w:type="character" w:customStyle="1" w:styleId="Heading2Char">
    <w:name w:val="Heading 2 Char"/>
    <w:basedOn w:val="DefaultParagraphFont"/>
    <w:link w:val="Heading2"/>
    <w:uiPriority w:val="9"/>
    <w:qFormat/>
    <w:rsid w:val="00747B8B"/>
    <w:rPr>
      <w:rFonts w:asciiTheme="majorHAnsi" w:eastAsiaTheme="majorEastAsia" w:hAnsiTheme="majorHAnsi" w:cstheme="majorBidi"/>
      <w:color w:val="2F5496" w:themeColor="accent1" w:themeShade="BF"/>
      <w:kern w:val="2"/>
      <w:sz w:val="26"/>
      <w:szCs w:val="26"/>
      <w:lang w:val="en-US"/>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8789011">
      <w:bodyDiv w:val="1"/>
      <w:marLeft w:val="0"/>
      <w:marRight w:val="0"/>
      <w:marTop w:val="0"/>
      <w:marBottom w:val="0"/>
      <w:divBdr>
        <w:top w:val="none" w:sz="0" w:space="0" w:color="auto"/>
        <w:left w:val="none" w:sz="0" w:space="0" w:color="auto"/>
        <w:bottom w:val="none" w:sz="0" w:space="0" w:color="auto"/>
        <w:right w:val="none" w:sz="0" w:space="0" w:color="auto"/>
      </w:divBdr>
      <w:divsChild>
        <w:div w:id="258566011">
          <w:marLeft w:val="0"/>
          <w:marRight w:val="0"/>
          <w:marTop w:val="0"/>
          <w:marBottom w:val="0"/>
          <w:divBdr>
            <w:top w:val="none" w:sz="0" w:space="0" w:color="auto"/>
            <w:left w:val="none" w:sz="0" w:space="0" w:color="auto"/>
            <w:bottom w:val="none" w:sz="0" w:space="0" w:color="auto"/>
            <w:right w:val="none" w:sz="0" w:space="0" w:color="auto"/>
          </w:divBdr>
          <w:divsChild>
            <w:div w:id="1071778784">
              <w:marLeft w:val="0"/>
              <w:marRight w:val="0"/>
              <w:marTop w:val="0"/>
              <w:marBottom w:val="0"/>
              <w:divBdr>
                <w:top w:val="none" w:sz="0" w:space="0" w:color="auto"/>
                <w:left w:val="none" w:sz="0" w:space="0" w:color="auto"/>
                <w:bottom w:val="none" w:sz="0" w:space="0" w:color="auto"/>
                <w:right w:val="none" w:sz="0" w:space="0" w:color="auto"/>
              </w:divBdr>
              <w:divsChild>
                <w:div w:id="900868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5721394">
      <w:bodyDiv w:val="1"/>
      <w:marLeft w:val="0"/>
      <w:marRight w:val="0"/>
      <w:marTop w:val="0"/>
      <w:marBottom w:val="0"/>
      <w:divBdr>
        <w:top w:val="none" w:sz="0" w:space="0" w:color="auto"/>
        <w:left w:val="none" w:sz="0" w:space="0" w:color="auto"/>
        <w:bottom w:val="none" w:sz="0" w:space="0" w:color="auto"/>
        <w:right w:val="none" w:sz="0" w:space="0" w:color="auto"/>
      </w:divBdr>
      <w:divsChild>
        <w:div w:id="736587974">
          <w:marLeft w:val="0"/>
          <w:marRight w:val="0"/>
          <w:marTop w:val="0"/>
          <w:marBottom w:val="0"/>
          <w:divBdr>
            <w:top w:val="none" w:sz="0" w:space="0" w:color="auto"/>
            <w:left w:val="none" w:sz="0" w:space="0" w:color="auto"/>
            <w:bottom w:val="none" w:sz="0" w:space="0" w:color="auto"/>
            <w:right w:val="none" w:sz="0" w:space="0" w:color="auto"/>
          </w:divBdr>
          <w:divsChild>
            <w:div w:id="332150228">
              <w:marLeft w:val="0"/>
              <w:marRight w:val="0"/>
              <w:marTop w:val="0"/>
              <w:marBottom w:val="0"/>
              <w:divBdr>
                <w:top w:val="none" w:sz="0" w:space="0" w:color="auto"/>
                <w:left w:val="none" w:sz="0" w:space="0" w:color="auto"/>
                <w:bottom w:val="none" w:sz="0" w:space="0" w:color="auto"/>
                <w:right w:val="none" w:sz="0" w:space="0" w:color="auto"/>
              </w:divBdr>
              <w:divsChild>
                <w:div w:id="2099863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TotalTime>
  <Pages>5</Pages>
  <Words>1747</Words>
  <Characters>9961</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Natalia Tokarova</dc:creator>
  <cp:keywords/>
  <dc:description/>
  <cp:lastModifiedBy>Natalia Tokarova</cp:lastModifiedBy>
  <cp:revision>2</cp:revision>
  <dcterms:created xsi:type="dcterms:W3CDTF">2024-03-12T19:32:00Z</dcterms:created>
  <dcterms:modified xsi:type="dcterms:W3CDTF">2024-03-12T20:18:00Z</dcterms:modified>
</cp:coreProperties>
</file>