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3030EF" w14:textId="77777777" w:rsidR="002C1773" w:rsidRDefault="002C1773" w:rsidP="00DA793E">
      <w:pPr>
        <w:spacing w:after="0" w:line="259" w:lineRule="auto"/>
        <w:jc w:val="center"/>
      </w:pPr>
    </w:p>
    <w:p w14:paraId="72D2047B" w14:textId="77777777" w:rsidR="00E142CD" w:rsidRDefault="00E142CD" w:rsidP="00DA793E">
      <w:pPr>
        <w:spacing w:after="0" w:line="259" w:lineRule="auto"/>
        <w:jc w:val="center"/>
      </w:pPr>
    </w:p>
    <w:p w14:paraId="7E02E3B5" w14:textId="77777777" w:rsidR="00E142CD" w:rsidRDefault="00E142CD" w:rsidP="00DA793E">
      <w:pPr>
        <w:spacing w:after="0" w:line="259" w:lineRule="auto"/>
        <w:jc w:val="center"/>
      </w:pPr>
    </w:p>
    <w:p w14:paraId="4FE68EDD" w14:textId="77777777" w:rsidR="00E142CD" w:rsidRDefault="00E142CD" w:rsidP="00DA793E">
      <w:pPr>
        <w:spacing w:after="0" w:line="259" w:lineRule="auto"/>
        <w:jc w:val="center"/>
      </w:pPr>
    </w:p>
    <w:p w14:paraId="5B0394B7" w14:textId="77777777" w:rsidR="00471A3A" w:rsidRDefault="00471A3A" w:rsidP="00E142CD">
      <w:pPr>
        <w:spacing w:after="0" w:line="259" w:lineRule="auto"/>
        <w:jc w:val="center"/>
        <w:rPr>
          <w:b/>
          <w:bCs/>
          <w:sz w:val="28"/>
          <w:szCs w:val="24"/>
        </w:rPr>
      </w:pPr>
    </w:p>
    <w:p w14:paraId="336D27EB" w14:textId="77777777" w:rsidR="00471A3A" w:rsidRDefault="00471A3A" w:rsidP="00E142CD">
      <w:pPr>
        <w:spacing w:after="0" w:line="259" w:lineRule="auto"/>
        <w:jc w:val="center"/>
        <w:rPr>
          <w:b/>
          <w:bCs/>
          <w:sz w:val="28"/>
          <w:szCs w:val="24"/>
        </w:rPr>
      </w:pPr>
    </w:p>
    <w:p w14:paraId="7DA12A60" w14:textId="77777777" w:rsidR="00471A3A" w:rsidRDefault="00471A3A" w:rsidP="00E142CD">
      <w:pPr>
        <w:spacing w:after="0" w:line="259" w:lineRule="auto"/>
        <w:jc w:val="center"/>
        <w:rPr>
          <w:b/>
          <w:bCs/>
          <w:sz w:val="28"/>
          <w:szCs w:val="24"/>
        </w:rPr>
      </w:pPr>
    </w:p>
    <w:p w14:paraId="2AE39412" w14:textId="77777777" w:rsidR="00471A3A" w:rsidRDefault="00471A3A" w:rsidP="00E142CD">
      <w:pPr>
        <w:spacing w:after="0" w:line="259" w:lineRule="auto"/>
        <w:jc w:val="center"/>
        <w:rPr>
          <w:b/>
          <w:bCs/>
          <w:sz w:val="28"/>
          <w:szCs w:val="24"/>
        </w:rPr>
      </w:pPr>
    </w:p>
    <w:p w14:paraId="5BA36E1C" w14:textId="77777777" w:rsidR="00D417FD" w:rsidRDefault="00D417FD" w:rsidP="00262732">
      <w:pPr>
        <w:spacing w:after="0" w:line="259" w:lineRule="auto"/>
        <w:rPr>
          <w:b/>
          <w:bCs/>
          <w:sz w:val="28"/>
          <w:szCs w:val="24"/>
        </w:rPr>
      </w:pPr>
    </w:p>
    <w:p w14:paraId="25154432" w14:textId="4056B5F8" w:rsidR="00D417FD" w:rsidRDefault="00D417FD" w:rsidP="00E142CD">
      <w:pPr>
        <w:spacing w:after="0" w:line="259" w:lineRule="auto"/>
        <w:jc w:val="center"/>
        <w:rPr>
          <w:b/>
          <w:bCs/>
          <w:sz w:val="28"/>
          <w:szCs w:val="24"/>
        </w:rPr>
      </w:pPr>
      <w:r>
        <w:rPr>
          <w:noProof/>
        </w:rPr>
        <w:drawing>
          <wp:inline distT="0" distB="0" distL="0" distR="0" wp14:anchorId="7F09004E" wp14:editId="1BDF9057">
            <wp:extent cx="2209800" cy="884865"/>
            <wp:effectExtent l="0" t="0" r="0" b="0"/>
            <wp:docPr id="734608308"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51345" cy="901501"/>
                    </a:xfrm>
                    <a:prstGeom prst="rect">
                      <a:avLst/>
                    </a:prstGeom>
                    <a:noFill/>
                    <a:ln>
                      <a:noFill/>
                    </a:ln>
                  </pic:spPr>
                </pic:pic>
              </a:graphicData>
            </a:graphic>
          </wp:inline>
        </w:drawing>
      </w:r>
    </w:p>
    <w:p w14:paraId="00877526" w14:textId="77777777" w:rsidR="00D417FD" w:rsidRDefault="00D417FD" w:rsidP="00E142CD">
      <w:pPr>
        <w:spacing w:after="0" w:line="259" w:lineRule="auto"/>
        <w:jc w:val="center"/>
        <w:rPr>
          <w:b/>
          <w:bCs/>
          <w:sz w:val="28"/>
          <w:szCs w:val="24"/>
        </w:rPr>
      </w:pPr>
    </w:p>
    <w:p w14:paraId="15CEE0C3" w14:textId="3BE5F8D2" w:rsidR="002C505A" w:rsidRDefault="002C505A" w:rsidP="00E142CD">
      <w:pPr>
        <w:spacing w:after="0" w:line="259" w:lineRule="auto"/>
        <w:jc w:val="center"/>
        <w:rPr>
          <w:b/>
          <w:bCs/>
          <w:sz w:val="28"/>
          <w:szCs w:val="24"/>
        </w:rPr>
      </w:pPr>
      <w:r>
        <w:rPr>
          <w:b/>
          <w:bCs/>
          <w:sz w:val="28"/>
          <w:szCs w:val="24"/>
        </w:rPr>
        <w:t xml:space="preserve">Module Code: </w:t>
      </w:r>
      <w:r w:rsidRPr="00E142CD">
        <w:rPr>
          <w:b/>
          <w:bCs/>
          <w:sz w:val="28"/>
          <w:szCs w:val="24"/>
        </w:rPr>
        <w:t xml:space="preserve">BMMB7005D </w:t>
      </w:r>
    </w:p>
    <w:p w14:paraId="0A6C20F6" w14:textId="77777777" w:rsidR="002C505A" w:rsidRDefault="002C505A" w:rsidP="00E142CD">
      <w:pPr>
        <w:spacing w:after="0" w:line="259" w:lineRule="auto"/>
        <w:jc w:val="center"/>
        <w:rPr>
          <w:b/>
          <w:bCs/>
          <w:sz w:val="28"/>
          <w:szCs w:val="24"/>
        </w:rPr>
      </w:pPr>
    </w:p>
    <w:p w14:paraId="58ED0865" w14:textId="400B3E91" w:rsidR="002C1773" w:rsidRPr="00E142CD" w:rsidRDefault="002C505A" w:rsidP="00E142CD">
      <w:pPr>
        <w:spacing w:after="0" w:line="259" w:lineRule="auto"/>
        <w:jc w:val="center"/>
        <w:rPr>
          <w:b/>
          <w:bCs/>
          <w:sz w:val="28"/>
          <w:szCs w:val="24"/>
        </w:rPr>
      </w:pPr>
      <w:r>
        <w:rPr>
          <w:b/>
          <w:bCs/>
          <w:sz w:val="28"/>
          <w:szCs w:val="24"/>
        </w:rPr>
        <w:t xml:space="preserve">Module Title: </w:t>
      </w:r>
      <w:r w:rsidRPr="00E142CD">
        <w:rPr>
          <w:b/>
          <w:bCs/>
          <w:sz w:val="28"/>
          <w:szCs w:val="24"/>
        </w:rPr>
        <w:t xml:space="preserve">Finance for Business Manager </w:t>
      </w:r>
    </w:p>
    <w:p w14:paraId="1867F71E" w14:textId="77777777" w:rsidR="00DD7BE7" w:rsidRDefault="00DD7BE7" w:rsidP="00DA793E">
      <w:pPr>
        <w:spacing w:after="0" w:line="259" w:lineRule="auto"/>
        <w:jc w:val="center"/>
        <w:rPr>
          <w:b/>
          <w:bCs/>
          <w:sz w:val="28"/>
          <w:szCs w:val="24"/>
        </w:rPr>
      </w:pPr>
    </w:p>
    <w:p w14:paraId="677FE701" w14:textId="77777777" w:rsidR="00E142CD" w:rsidRPr="00E142CD" w:rsidRDefault="00E142CD" w:rsidP="00DA793E">
      <w:pPr>
        <w:spacing w:after="0" w:line="259" w:lineRule="auto"/>
        <w:jc w:val="center"/>
        <w:rPr>
          <w:b/>
          <w:bCs/>
          <w:sz w:val="28"/>
          <w:szCs w:val="24"/>
        </w:rPr>
      </w:pPr>
    </w:p>
    <w:p w14:paraId="30CDF88A" w14:textId="77777777" w:rsidR="00DD7BE7" w:rsidRPr="00E142CD" w:rsidRDefault="009311C5" w:rsidP="00DA793E">
      <w:pPr>
        <w:spacing w:after="0"/>
        <w:jc w:val="center"/>
        <w:rPr>
          <w:b/>
          <w:bCs/>
          <w:sz w:val="28"/>
          <w:szCs w:val="24"/>
        </w:rPr>
      </w:pPr>
      <w:r w:rsidRPr="00E142CD">
        <w:rPr>
          <w:b/>
          <w:bCs/>
          <w:sz w:val="28"/>
          <w:szCs w:val="24"/>
        </w:rPr>
        <w:t xml:space="preserve">Report Title: </w:t>
      </w:r>
      <w:r w:rsidR="003C7A2B" w:rsidRPr="00E142CD">
        <w:rPr>
          <w:b/>
          <w:bCs/>
          <w:sz w:val="28"/>
          <w:szCs w:val="24"/>
        </w:rPr>
        <w:t>Financial Performance Analysis and Investment Appraisal: A Dual Company Report on BAE Systems Plc and Jordans Plc</w:t>
      </w:r>
    </w:p>
    <w:p w14:paraId="68C4A48A" w14:textId="77777777" w:rsidR="00DD7BE7" w:rsidRPr="00E142CD" w:rsidRDefault="00DD7BE7" w:rsidP="00DA793E">
      <w:pPr>
        <w:spacing w:after="0" w:line="259" w:lineRule="auto"/>
        <w:jc w:val="center"/>
        <w:rPr>
          <w:b/>
          <w:bCs/>
          <w:sz w:val="28"/>
          <w:szCs w:val="24"/>
        </w:rPr>
      </w:pPr>
    </w:p>
    <w:p w14:paraId="5AE93D3D" w14:textId="77777777" w:rsidR="00DD7BE7" w:rsidRPr="00E142CD" w:rsidRDefault="00DD7BE7" w:rsidP="00E142CD">
      <w:pPr>
        <w:spacing w:after="0" w:line="259" w:lineRule="auto"/>
        <w:rPr>
          <w:b/>
          <w:bCs/>
          <w:sz w:val="28"/>
          <w:szCs w:val="24"/>
        </w:rPr>
      </w:pPr>
    </w:p>
    <w:p w14:paraId="40DF37B5" w14:textId="4B4A9030" w:rsidR="00DD7BE7" w:rsidRPr="00E142CD" w:rsidRDefault="009311C5" w:rsidP="00DA793E">
      <w:pPr>
        <w:spacing w:after="0" w:line="259" w:lineRule="auto"/>
        <w:jc w:val="center"/>
        <w:rPr>
          <w:b/>
          <w:bCs/>
          <w:sz w:val="28"/>
          <w:szCs w:val="24"/>
        </w:rPr>
      </w:pPr>
      <w:r w:rsidRPr="00E142CD">
        <w:rPr>
          <w:b/>
          <w:bCs/>
          <w:sz w:val="28"/>
          <w:szCs w:val="24"/>
        </w:rPr>
        <w:t xml:space="preserve">Student Name: </w:t>
      </w:r>
      <w:r w:rsidR="005062BC">
        <w:rPr>
          <w:b/>
          <w:bCs/>
          <w:sz w:val="28"/>
          <w:szCs w:val="24"/>
        </w:rPr>
        <w:t xml:space="preserve"> </w:t>
      </w:r>
      <w:r w:rsidR="005062BC" w:rsidRPr="005062BC">
        <w:rPr>
          <w:b/>
          <w:bCs/>
          <w:sz w:val="28"/>
          <w:szCs w:val="24"/>
        </w:rPr>
        <w:t>Bibi Khadija</w:t>
      </w:r>
    </w:p>
    <w:p w14:paraId="4E68FFD5" w14:textId="148AC661" w:rsidR="00B201CB" w:rsidRPr="00E142CD" w:rsidRDefault="009311C5" w:rsidP="00DA793E">
      <w:pPr>
        <w:spacing w:after="0" w:line="259" w:lineRule="auto"/>
        <w:jc w:val="center"/>
        <w:rPr>
          <w:b/>
          <w:bCs/>
          <w:sz w:val="28"/>
          <w:szCs w:val="24"/>
        </w:rPr>
      </w:pPr>
      <w:r w:rsidRPr="00E142CD">
        <w:rPr>
          <w:b/>
          <w:bCs/>
          <w:sz w:val="28"/>
          <w:szCs w:val="24"/>
        </w:rPr>
        <w:t>Student ID:</w:t>
      </w:r>
      <w:r w:rsidR="005062BC" w:rsidRPr="005062BC">
        <w:t xml:space="preserve"> </w:t>
      </w:r>
      <w:r w:rsidR="005062BC" w:rsidRPr="005062BC">
        <w:rPr>
          <w:b/>
          <w:bCs/>
          <w:sz w:val="28"/>
          <w:szCs w:val="24"/>
        </w:rPr>
        <w:t>2420417</w:t>
      </w:r>
    </w:p>
    <w:p w14:paraId="2D2B697E" w14:textId="77777777" w:rsidR="00E142CD" w:rsidRPr="00E142CD" w:rsidRDefault="00E142CD" w:rsidP="00DA793E">
      <w:pPr>
        <w:spacing w:after="0" w:line="259" w:lineRule="auto"/>
        <w:jc w:val="center"/>
        <w:rPr>
          <w:b/>
          <w:bCs/>
          <w:sz w:val="28"/>
          <w:szCs w:val="24"/>
        </w:rPr>
      </w:pPr>
    </w:p>
    <w:p w14:paraId="757ADBD0" w14:textId="30A99DD4" w:rsidR="00E142CD" w:rsidRPr="00E142CD" w:rsidRDefault="009311C5" w:rsidP="00DA793E">
      <w:pPr>
        <w:spacing w:after="0" w:line="259" w:lineRule="auto"/>
        <w:jc w:val="center"/>
        <w:rPr>
          <w:b/>
          <w:bCs/>
          <w:sz w:val="28"/>
          <w:szCs w:val="24"/>
        </w:rPr>
      </w:pPr>
      <w:r w:rsidRPr="00E142CD">
        <w:rPr>
          <w:b/>
          <w:bCs/>
          <w:sz w:val="28"/>
          <w:szCs w:val="24"/>
        </w:rPr>
        <w:t>Module Leader:</w:t>
      </w:r>
      <w:r w:rsidR="007A7982" w:rsidRPr="007A7982">
        <w:t xml:space="preserve"> </w:t>
      </w:r>
      <w:r w:rsidR="007A7982" w:rsidRPr="007A7982">
        <w:rPr>
          <w:b/>
          <w:bCs/>
          <w:sz w:val="28"/>
          <w:szCs w:val="24"/>
        </w:rPr>
        <w:t xml:space="preserve">Marie </w:t>
      </w:r>
      <w:proofErr w:type="spellStart"/>
      <w:r w:rsidR="007A7982" w:rsidRPr="007A7982">
        <w:rPr>
          <w:b/>
          <w:bCs/>
          <w:sz w:val="28"/>
          <w:szCs w:val="24"/>
        </w:rPr>
        <w:t>Pitson</w:t>
      </w:r>
      <w:proofErr w:type="spellEnd"/>
    </w:p>
    <w:p w14:paraId="054FC0FD" w14:textId="77777777" w:rsidR="00E142CD" w:rsidRDefault="00E142CD" w:rsidP="00DA793E">
      <w:pPr>
        <w:spacing w:after="0" w:line="259" w:lineRule="auto"/>
        <w:jc w:val="center"/>
      </w:pPr>
    </w:p>
    <w:p w14:paraId="5FAB584A" w14:textId="77777777" w:rsidR="00B201CB" w:rsidRDefault="009311C5" w:rsidP="00DA793E">
      <w:pPr>
        <w:spacing w:after="0" w:line="259" w:lineRule="auto"/>
        <w:jc w:val="left"/>
      </w:pPr>
      <w:r>
        <w:br w:type="page"/>
      </w:r>
    </w:p>
    <w:p w14:paraId="4B66F96E" w14:textId="77777777" w:rsidR="00B201CB" w:rsidRPr="00B201CB" w:rsidRDefault="009311C5" w:rsidP="00693CD6">
      <w:pPr>
        <w:pStyle w:val="Heading1"/>
      </w:pPr>
      <w:bookmarkStart w:id="0" w:name="_Toc201401291"/>
      <w:r w:rsidRPr="00B201CB">
        <w:lastRenderedPageBreak/>
        <w:t>Executive Summary</w:t>
      </w:r>
      <w:bookmarkEnd w:id="0"/>
    </w:p>
    <w:p w14:paraId="487BD60A" w14:textId="77777777" w:rsidR="00B201CB" w:rsidRDefault="009311C5" w:rsidP="00DA793E">
      <w:pPr>
        <w:spacing w:after="0"/>
      </w:pPr>
      <w:r>
        <w:t xml:space="preserve">This report provides a critical financial analysis of BAE Systems Plc and Jordans Plc, respectively. In the case of BAE Systems, a leading FTSE 100 company that specialises in aero-spaces and </w:t>
      </w:r>
      <w:r>
        <w:t>defence sectors, the 2023-2024 analysis of financial ratios demonstrates that its profitability was reduced by the acquisition of Ball Aerospace at the price of 5.6 billion dollars, as the gross profit margin dropped regressively in 9.37 to 8.38 and net profit margin in 8.41 to 7.76. The financial flexibility is tighter based on the liquidity ratio established as a current ratio (0.95 in 2024), and the financial risk rises when considering the high level of gearing (the ratio is increasing to 0.71). The sug</w:t>
      </w:r>
      <w:r>
        <w:t>gestions are that costs need to be optimised, there should be better control of working capital, and more effective debt plans to increase financial stability and investor confidence.</w:t>
      </w:r>
    </w:p>
    <w:p w14:paraId="51CF18BF" w14:textId="77777777" w:rsidR="0044646B" w:rsidRDefault="009311C5" w:rsidP="00DA793E">
      <w:pPr>
        <w:spacing w:after="0"/>
      </w:pPr>
      <w:r>
        <w:t xml:space="preserve">At Jordan's Plc, a manufacturer of window blinds, the three projects under consideration were calculated using NPV and IRR. The lowest NPV ($858,174) and IRR (10%) are associated with option B (buying curtains and Roman blinds), which is not in line with market trends. A fund of 2 million is the maximum amount NPV receives under full investment with Option A </w:t>
      </w:r>
      <w:r w:rsidR="00C437CF">
        <w:t>(600,000)</w:t>
      </w:r>
      <w:r>
        <w:t>, and partial Option C (87.5) is the one that gives the largest NPV of 1,256,875. It is recommended to have a financing mix composed of retained earnings (800,000) and debt (800,000) that balances costs and controls, enabling sustainable growth and strategic market locations.</w:t>
      </w:r>
      <w:r>
        <w:br w:type="page"/>
      </w:r>
    </w:p>
    <w:sdt>
      <w:sdtPr>
        <w:rPr>
          <w:rFonts w:asciiTheme="majorBidi" w:eastAsiaTheme="minorHAnsi" w:hAnsiTheme="majorBidi" w:cstheme="minorBidi"/>
          <w:color w:val="auto"/>
          <w:sz w:val="24"/>
          <w:szCs w:val="22"/>
          <w:lang w:val="en-GB"/>
        </w:rPr>
        <w:id w:val="1280071866"/>
        <w:docPartObj>
          <w:docPartGallery w:val="Table of Contents"/>
          <w:docPartUnique/>
        </w:docPartObj>
      </w:sdtPr>
      <w:sdtEndPr>
        <w:rPr>
          <w:b/>
          <w:bCs/>
          <w:noProof/>
        </w:rPr>
      </w:sdtEndPr>
      <w:sdtContent>
        <w:p w14:paraId="10F52C6F" w14:textId="77777777" w:rsidR="00D47C6A" w:rsidRPr="00F4331E" w:rsidRDefault="009311C5" w:rsidP="00F4331E">
          <w:pPr>
            <w:pStyle w:val="TOCHeading"/>
            <w:spacing w:line="360" w:lineRule="auto"/>
            <w:rPr>
              <w:rFonts w:ascii="Times New Roman" w:hAnsi="Times New Roman" w:cs="Times New Roman"/>
              <w:b/>
              <w:bCs/>
              <w:color w:val="auto"/>
            </w:rPr>
          </w:pPr>
          <w:r w:rsidRPr="00F4331E">
            <w:rPr>
              <w:rFonts w:ascii="Times New Roman" w:hAnsi="Times New Roman" w:cs="Times New Roman"/>
              <w:b/>
              <w:bCs/>
              <w:color w:val="auto"/>
            </w:rPr>
            <w:t>Table of Contents</w:t>
          </w:r>
        </w:p>
        <w:p w14:paraId="53CD91B2" w14:textId="19974F94" w:rsidR="00F4331E" w:rsidRDefault="009311C5" w:rsidP="00F4331E">
          <w:pPr>
            <w:pStyle w:val="TOC1"/>
            <w:tabs>
              <w:tab w:val="right" w:leader="dot" w:pos="9350"/>
            </w:tabs>
            <w:spacing w:after="0"/>
            <w:rPr>
              <w:rFonts w:asciiTheme="minorHAnsi" w:eastAsiaTheme="minorEastAsia" w:hAnsiTheme="minorHAnsi"/>
              <w:noProof/>
              <w:kern w:val="2"/>
              <w:sz w:val="22"/>
              <w:lang w:val="en-US"/>
              <w14:ligatures w14:val="standardContextual"/>
            </w:rPr>
          </w:pPr>
          <w:r>
            <w:fldChar w:fldCharType="begin"/>
          </w:r>
          <w:r>
            <w:instrText xml:space="preserve"> TOC \o "1-3" \h \z \u </w:instrText>
          </w:r>
          <w:r>
            <w:fldChar w:fldCharType="separate"/>
          </w:r>
          <w:hyperlink w:anchor="_Toc201401291" w:history="1">
            <w:r w:rsidR="00F4331E" w:rsidRPr="00236FC7">
              <w:rPr>
                <w:rStyle w:val="Hyperlink"/>
                <w:noProof/>
              </w:rPr>
              <w:t>Executive Summary</w:t>
            </w:r>
            <w:r w:rsidR="00F4331E">
              <w:rPr>
                <w:noProof/>
                <w:webHidden/>
              </w:rPr>
              <w:tab/>
            </w:r>
            <w:r w:rsidR="00F4331E">
              <w:rPr>
                <w:noProof/>
                <w:webHidden/>
              </w:rPr>
              <w:fldChar w:fldCharType="begin"/>
            </w:r>
            <w:r w:rsidR="00F4331E">
              <w:rPr>
                <w:noProof/>
                <w:webHidden/>
              </w:rPr>
              <w:instrText xml:space="preserve"> PAGEREF _Toc201401291 \h </w:instrText>
            </w:r>
            <w:r w:rsidR="00F4331E">
              <w:rPr>
                <w:noProof/>
                <w:webHidden/>
              </w:rPr>
            </w:r>
            <w:r w:rsidR="00F4331E">
              <w:rPr>
                <w:noProof/>
                <w:webHidden/>
              </w:rPr>
              <w:fldChar w:fldCharType="separate"/>
            </w:r>
            <w:r w:rsidR="00F4331E">
              <w:rPr>
                <w:noProof/>
                <w:webHidden/>
              </w:rPr>
              <w:t>2</w:t>
            </w:r>
            <w:r w:rsidR="00F4331E">
              <w:rPr>
                <w:noProof/>
                <w:webHidden/>
              </w:rPr>
              <w:fldChar w:fldCharType="end"/>
            </w:r>
          </w:hyperlink>
        </w:p>
        <w:p w14:paraId="105B47F6" w14:textId="661F0AF8" w:rsidR="00F4331E" w:rsidRDefault="00F4331E" w:rsidP="00F4331E">
          <w:pPr>
            <w:pStyle w:val="TOC1"/>
            <w:tabs>
              <w:tab w:val="right" w:leader="dot" w:pos="9350"/>
            </w:tabs>
            <w:spacing w:after="0"/>
            <w:rPr>
              <w:rFonts w:asciiTheme="minorHAnsi" w:eastAsiaTheme="minorEastAsia" w:hAnsiTheme="minorHAnsi"/>
              <w:noProof/>
              <w:kern w:val="2"/>
              <w:sz w:val="22"/>
              <w:lang w:val="en-US"/>
              <w14:ligatures w14:val="standardContextual"/>
            </w:rPr>
          </w:pPr>
          <w:hyperlink w:anchor="_Toc201401292" w:history="1">
            <w:r w:rsidRPr="00236FC7">
              <w:rPr>
                <w:rStyle w:val="Hyperlink"/>
                <w:noProof/>
              </w:rPr>
              <w:t>Introduction</w:t>
            </w:r>
            <w:r>
              <w:rPr>
                <w:noProof/>
                <w:webHidden/>
              </w:rPr>
              <w:tab/>
            </w:r>
            <w:r>
              <w:rPr>
                <w:noProof/>
                <w:webHidden/>
              </w:rPr>
              <w:fldChar w:fldCharType="begin"/>
            </w:r>
            <w:r>
              <w:rPr>
                <w:noProof/>
                <w:webHidden/>
              </w:rPr>
              <w:instrText xml:space="preserve"> PAGEREF _Toc201401292 \h </w:instrText>
            </w:r>
            <w:r>
              <w:rPr>
                <w:noProof/>
                <w:webHidden/>
              </w:rPr>
            </w:r>
            <w:r>
              <w:rPr>
                <w:noProof/>
                <w:webHidden/>
              </w:rPr>
              <w:fldChar w:fldCharType="separate"/>
            </w:r>
            <w:r>
              <w:rPr>
                <w:noProof/>
                <w:webHidden/>
              </w:rPr>
              <w:t>4</w:t>
            </w:r>
            <w:r>
              <w:rPr>
                <w:noProof/>
                <w:webHidden/>
              </w:rPr>
              <w:fldChar w:fldCharType="end"/>
            </w:r>
          </w:hyperlink>
        </w:p>
        <w:p w14:paraId="18E46A3B" w14:textId="77A2B296" w:rsidR="00F4331E" w:rsidRDefault="00F4331E" w:rsidP="00F4331E">
          <w:pPr>
            <w:pStyle w:val="TOC1"/>
            <w:tabs>
              <w:tab w:val="right" w:leader="dot" w:pos="9350"/>
            </w:tabs>
            <w:spacing w:after="0"/>
            <w:rPr>
              <w:rFonts w:asciiTheme="minorHAnsi" w:eastAsiaTheme="minorEastAsia" w:hAnsiTheme="minorHAnsi"/>
              <w:noProof/>
              <w:kern w:val="2"/>
              <w:sz w:val="22"/>
              <w:lang w:val="en-US"/>
              <w14:ligatures w14:val="standardContextual"/>
            </w:rPr>
          </w:pPr>
          <w:hyperlink w:anchor="_Toc201401293" w:history="1">
            <w:r w:rsidRPr="00236FC7">
              <w:rPr>
                <w:rStyle w:val="Hyperlink"/>
                <w:noProof/>
              </w:rPr>
              <w:t>Part 1: Financial Analysis Report: BAE Systems Plc</w:t>
            </w:r>
            <w:r>
              <w:rPr>
                <w:noProof/>
                <w:webHidden/>
              </w:rPr>
              <w:tab/>
            </w:r>
            <w:r>
              <w:rPr>
                <w:noProof/>
                <w:webHidden/>
              </w:rPr>
              <w:fldChar w:fldCharType="begin"/>
            </w:r>
            <w:r>
              <w:rPr>
                <w:noProof/>
                <w:webHidden/>
              </w:rPr>
              <w:instrText xml:space="preserve"> PAGEREF _Toc201401293 \h </w:instrText>
            </w:r>
            <w:r>
              <w:rPr>
                <w:noProof/>
                <w:webHidden/>
              </w:rPr>
            </w:r>
            <w:r>
              <w:rPr>
                <w:noProof/>
                <w:webHidden/>
              </w:rPr>
              <w:fldChar w:fldCharType="separate"/>
            </w:r>
            <w:r>
              <w:rPr>
                <w:noProof/>
                <w:webHidden/>
              </w:rPr>
              <w:t>5</w:t>
            </w:r>
            <w:r>
              <w:rPr>
                <w:noProof/>
                <w:webHidden/>
              </w:rPr>
              <w:fldChar w:fldCharType="end"/>
            </w:r>
          </w:hyperlink>
        </w:p>
        <w:p w14:paraId="0DCC2650" w14:textId="16AA62B1" w:rsidR="00F4331E" w:rsidRDefault="00F4331E" w:rsidP="00F4331E">
          <w:pPr>
            <w:pStyle w:val="TOC2"/>
            <w:tabs>
              <w:tab w:val="right" w:leader="dot" w:pos="9350"/>
            </w:tabs>
            <w:spacing w:after="0"/>
            <w:rPr>
              <w:rFonts w:asciiTheme="minorHAnsi" w:eastAsiaTheme="minorEastAsia" w:hAnsiTheme="minorHAnsi"/>
              <w:noProof/>
              <w:kern w:val="2"/>
              <w:sz w:val="22"/>
              <w:lang w:val="en-US"/>
              <w14:ligatures w14:val="standardContextual"/>
            </w:rPr>
          </w:pPr>
          <w:hyperlink w:anchor="_Toc201401294" w:history="1">
            <w:r w:rsidRPr="00236FC7">
              <w:rPr>
                <w:rStyle w:val="Hyperlink"/>
                <w:noProof/>
              </w:rPr>
              <w:t>Financial Ratio Analysis</w:t>
            </w:r>
            <w:r>
              <w:rPr>
                <w:noProof/>
                <w:webHidden/>
              </w:rPr>
              <w:tab/>
            </w:r>
            <w:r>
              <w:rPr>
                <w:noProof/>
                <w:webHidden/>
              </w:rPr>
              <w:fldChar w:fldCharType="begin"/>
            </w:r>
            <w:r>
              <w:rPr>
                <w:noProof/>
                <w:webHidden/>
              </w:rPr>
              <w:instrText xml:space="preserve"> PAGEREF _Toc201401294 \h </w:instrText>
            </w:r>
            <w:r>
              <w:rPr>
                <w:noProof/>
                <w:webHidden/>
              </w:rPr>
            </w:r>
            <w:r>
              <w:rPr>
                <w:noProof/>
                <w:webHidden/>
              </w:rPr>
              <w:fldChar w:fldCharType="separate"/>
            </w:r>
            <w:r>
              <w:rPr>
                <w:noProof/>
                <w:webHidden/>
              </w:rPr>
              <w:t>5</w:t>
            </w:r>
            <w:r>
              <w:rPr>
                <w:noProof/>
                <w:webHidden/>
              </w:rPr>
              <w:fldChar w:fldCharType="end"/>
            </w:r>
          </w:hyperlink>
        </w:p>
        <w:p w14:paraId="6BE68C79" w14:textId="7EF2EB9C" w:rsidR="00F4331E" w:rsidRDefault="00F4331E" w:rsidP="00F4331E">
          <w:pPr>
            <w:pStyle w:val="TOC3"/>
            <w:tabs>
              <w:tab w:val="right" w:leader="dot" w:pos="9350"/>
            </w:tabs>
            <w:spacing w:after="0"/>
            <w:rPr>
              <w:rFonts w:asciiTheme="minorHAnsi" w:eastAsiaTheme="minorEastAsia" w:hAnsiTheme="minorHAnsi"/>
              <w:noProof/>
              <w:kern w:val="2"/>
              <w:sz w:val="22"/>
              <w:lang w:val="en-US"/>
              <w14:ligatures w14:val="standardContextual"/>
            </w:rPr>
          </w:pPr>
          <w:hyperlink w:anchor="_Toc201401295" w:history="1">
            <w:r w:rsidRPr="00236FC7">
              <w:rPr>
                <w:rStyle w:val="Hyperlink"/>
                <w:noProof/>
              </w:rPr>
              <w:t>Profitability Ratio</w:t>
            </w:r>
            <w:r>
              <w:rPr>
                <w:noProof/>
                <w:webHidden/>
              </w:rPr>
              <w:tab/>
            </w:r>
            <w:r>
              <w:rPr>
                <w:noProof/>
                <w:webHidden/>
              </w:rPr>
              <w:fldChar w:fldCharType="begin"/>
            </w:r>
            <w:r>
              <w:rPr>
                <w:noProof/>
                <w:webHidden/>
              </w:rPr>
              <w:instrText xml:space="preserve"> PAGEREF _Toc201401295 \h </w:instrText>
            </w:r>
            <w:r>
              <w:rPr>
                <w:noProof/>
                <w:webHidden/>
              </w:rPr>
            </w:r>
            <w:r>
              <w:rPr>
                <w:noProof/>
                <w:webHidden/>
              </w:rPr>
              <w:fldChar w:fldCharType="separate"/>
            </w:r>
            <w:r>
              <w:rPr>
                <w:noProof/>
                <w:webHidden/>
              </w:rPr>
              <w:t>5</w:t>
            </w:r>
            <w:r>
              <w:rPr>
                <w:noProof/>
                <w:webHidden/>
              </w:rPr>
              <w:fldChar w:fldCharType="end"/>
            </w:r>
          </w:hyperlink>
        </w:p>
        <w:p w14:paraId="06A7EDC1" w14:textId="34244579" w:rsidR="00F4331E" w:rsidRDefault="00F4331E" w:rsidP="00F4331E">
          <w:pPr>
            <w:pStyle w:val="TOC3"/>
            <w:tabs>
              <w:tab w:val="right" w:leader="dot" w:pos="9350"/>
            </w:tabs>
            <w:spacing w:after="0"/>
            <w:rPr>
              <w:rFonts w:asciiTheme="minorHAnsi" w:eastAsiaTheme="minorEastAsia" w:hAnsiTheme="minorHAnsi"/>
              <w:noProof/>
              <w:kern w:val="2"/>
              <w:sz w:val="22"/>
              <w:lang w:val="en-US"/>
              <w14:ligatures w14:val="standardContextual"/>
            </w:rPr>
          </w:pPr>
          <w:hyperlink w:anchor="_Toc201401296" w:history="1">
            <w:r w:rsidRPr="00236FC7">
              <w:rPr>
                <w:rStyle w:val="Hyperlink"/>
                <w:noProof/>
              </w:rPr>
              <w:t>Liquidity Ratio</w:t>
            </w:r>
            <w:r>
              <w:rPr>
                <w:noProof/>
                <w:webHidden/>
              </w:rPr>
              <w:tab/>
            </w:r>
            <w:r>
              <w:rPr>
                <w:noProof/>
                <w:webHidden/>
              </w:rPr>
              <w:fldChar w:fldCharType="begin"/>
            </w:r>
            <w:r>
              <w:rPr>
                <w:noProof/>
                <w:webHidden/>
              </w:rPr>
              <w:instrText xml:space="preserve"> PAGEREF _Toc201401296 \h </w:instrText>
            </w:r>
            <w:r>
              <w:rPr>
                <w:noProof/>
                <w:webHidden/>
              </w:rPr>
            </w:r>
            <w:r>
              <w:rPr>
                <w:noProof/>
                <w:webHidden/>
              </w:rPr>
              <w:fldChar w:fldCharType="separate"/>
            </w:r>
            <w:r>
              <w:rPr>
                <w:noProof/>
                <w:webHidden/>
              </w:rPr>
              <w:t>6</w:t>
            </w:r>
            <w:r>
              <w:rPr>
                <w:noProof/>
                <w:webHidden/>
              </w:rPr>
              <w:fldChar w:fldCharType="end"/>
            </w:r>
          </w:hyperlink>
        </w:p>
        <w:p w14:paraId="7358B8E3" w14:textId="41A0D9B4" w:rsidR="00F4331E" w:rsidRDefault="00F4331E" w:rsidP="00F4331E">
          <w:pPr>
            <w:pStyle w:val="TOC3"/>
            <w:tabs>
              <w:tab w:val="right" w:leader="dot" w:pos="9350"/>
            </w:tabs>
            <w:spacing w:after="0"/>
            <w:rPr>
              <w:rFonts w:asciiTheme="minorHAnsi" w:eastAsiaTheme="minorEastAsia" w:hAnsiTheme="minorHAnsi"/>
              <w:noProof/>
              <w:kern w:val="2"/>
              <w:sz w:val="22"/>
              <w:lang w:val="en-US"/>
              <w14:ligatures w14:val="standardContextual"/>
            </w:rPr>
          </w:pPr>
          <w:hyperlink w:anchor="_Toc201401297" w:history="1">
            <w:r w:rsidRPr="00236FC7">
              <w:rPr>
                <w:rStyle w:val="Hyperlink"/>
                <w:noProof/>
              </w:rPr>
              <w:t>Gearing/ Leverage Ratio</w:t>
            </w:r>
            <w:r>
              <w:rPr>
                <w:noProof/>
                <w:webHidden/>
              </w:rPr>
              <w:tab/>
            </w:r>
            <w:r>
              <w:rPr>
                <w:noProof/>
                <w:webHidden/>
              </w:rPr>
              <w:fldChar w:fldCharType="begin"/>
            </w:r>
            <w:r>
              <w:rPr>
                <w:noProof/>
                <w:webHidden/>
              </w:rPr>
              <w:instrText xml:space="preserve"> PAGEREF _Toc201401297 \h </w:instrText>
            </w:r>
            <w:r>
              <w:rPr>
                <w:noProof/>
                <w:webHidden/>
              </w:rPr>
            </w:r>
            <w:r>
              <w:rPr>
                <w:noProof/>
                <w:webHidden/>
              </w:rPr>
              <w:fldChar w:fldCharType="separate"/>
            </w:r>
            <w:r>
              <w:rPr>
                <w:noProof/>
                <w:webHidden/>
              </w:rPr>
              <w:t>6</w:t>
            </w:r>
            <w:r>
              <w:rPr>
                <w:noProof/>
                <w:webHidden/>
              </w:rPr>
              <w:fldChar w:fldCharType="end"/>
            </w:r>
          </w:hyperlink>
        </w:p>
        <w:p w14:paraId="2DB9CA03" w14:textId="100874FD" w:rsidR="00F4331E" w:rsidRDefault="00F4331E" w:rsidP="00F4331E">
          <w:pPr>
            <w:pStyle w:val="TOC3"/>
            <w:tabs>
              <w:tab w:val="right" w:leader="dot" w:pos="9350"/>
            </w:tabs>
            <w:spacing w:after="0"/>
            <w:rPr>
              <w:rFonts w:asciiTheme="minorHAnsi" w:eastAsiaTheme="minorEastAsia" w:hAnsiTheme="minorHAnsi"/>
              <w:noProof/>
              <w:kern w:val="2"/>
              <w:sz w:val="22"/>
              <w:lang w:val="en-US"/>
              <w14:ligatures w14:val="standardContextual"/>
            </w:rPr>
          </w:pPr>
          <w:hyperlink w:anchor="_Toc201401298" w:history="1">
            <w:r w:rsidRPr="00236FC7">
              <w:rPr>
                <w:rStyle w:val="Hyperlink"/>
                <w:noProof/>
              </w:rPr>
              <w:t>Efficiency Ratio</w:t>
            </w:r>
            <w:r>
              <w:rPr>
                <w:noProof/>
                <w:webHidden/>
              </w:rPr>
              <w:tab/>
            </w:r>
            <w:r>
              <w:rPr>
                <w:noProof/>
                <w:webHidden/>
              </w:rPr>
              <w:fldChar w:fldCharType="begin"/>
            </w:r>
            <w:r>
              <w:rPr>
                <w:noProof/>
                <w:webHidden/>
              </w:rPr>
              <w:instrText xml:space="preserve"> PAGEREF _Toc201401298 \h </w:instrText>
            </w:r>
            <w:r>
              <w:rPr>
                <w:noProof/>
                <w:webHidden/>
              </w:rPr>
            </w:r>
            <w:r>
              <w:rPr>
                <w:noProof/>
                <w:webHidden/>
              </w:rPr>
              <w:fldChar w:fldCharType="separate"/>
            </w:r>
            <w:r>
              <w:rPr>
                <w:noProof/>
                <w:webHidden/>
              </w:rPr>
              <w:t>7</w:t>
            </w:r>
            <w:r>
              <w:rPr>
                <w:noProof/>
                <w:webHidden/>
              </w:rPr>
              <w:fldChar w:fldCharType="end"/>
            </w:r>
          </w:hyperlink>
        </w:p>
        <w:p w14:paraId="4B879E25" w14:textId="614A36AB" w:rsidR="00F4331E" w:rsidRDefault="00F4331E" w:rsidP="00F4331E">
          <w:pPr>
            <w:pStyle w:val="TOC3"/>
            <w:tabs>
              <w:tab w:val="right" w:leader="dot" w:pos="9350"/>
            </w:tabs>
            <w:spacing w:after="0"/>
            <w:rPr>
              <w:rFonts w:asciiTheme="minorHAnsi" w:eastAsiaTheme="minorEastAsia" w:hAnsiTheme="minorHAnsi"/>
              <w:noProof/>
              <w:kern w:val="2"/>
              <w:sz w:val="22"/>
              <w:lang w:val="en-US"/>
              <w14:ligatures w14:val="standardContextual"/>
            </w:rPr>
          </w:pPr>
          <w:hyperlink w:anchor="_Toc201401299" w:history="1">
            <w:r w:rsidRPr="00236FC7">
              <w:rPr>
                <w:rStyle w:val="Hyperlink"/>
                <w:noProof/>
              </w:rPr>
              <w:t>Investor Ratio</w:t>
            </w:r>
            <w:r>
              <w:rPr>
                <w:noProof/>
                <w:webHidden/>
              </w:rPr>
              <w:tab/>
            </w:r>
            <w:r>
              <w:rPr>
                <w:noProof/>
                <w:webHidden/>
              </w:rPr>
              <w:fldChar w:fldCharType="begin"/>
            </w:r>
            <w:r>
              <w:rPr>
                <w:noProof/>
                <w:webHidden/>
              </w:rPr>
              <w:instrText xml:space="preserve"> PAGEREF _Toc201401299 \h </w:instrText>
            </w:r>
            <w:r>
              <w:rPr>
                <w:noProof/>
                <w:webHidden/>
              </w:rPr>
            </w:r>
            <w:r>
              <w:rPr>
                <w:noProof/>
                <w:webHidden/>
              </w:rPr>
              <w:fldChar w:fldCharType="separate"/>
            </w:r>
            <w:r>
              <w:rPr>
                <w:noProof/>
                <w:webHidden/>
              </w:rPr>
              <w:t>7</w:t>
            </w:r>
            <w:r>
              <w:rPr>
                <w:noProof/>
                <w:webHidden/>
              </w:rPr>
              <w:fldChar w:fldCharType="end"/>
            </w:r>
          </w:hyperlink>
        </w:p>
        <w:p w14:paraId="2CCACF1A" w14:textId="277D306F" w:rsidR="00F4331E" w:rsidRDefault="00F4331E" w:rsidP="00F4331E">
          <w:pPr>
            <w:pStyle w:val="TOC2"/>
            <w:tabs>
              <w:tab w:val="right" w:leader="dot" w:pos="9350"/>
            </w:tabs>
            <w:spacing w:after="0"/>
            <w:rPr>
              <w:rFonts w:asciiTheme="minorHAnsi" w:eastAsiaTheme="minorEastAsia" w:hAnsiTheme="minorHAnsi"/>
              <w:noProof/>
              <w:kern w:val="2"/>
              <w:sz w:val="22"/>
              <w:lang w:val="en-US"/>
              <w14:ligatures w14:val="standardContextual"/>
            </w:rPr>
          </w:pPr>
          <w:hyperlink w:anchor="_Toc201401300" w:history="1">
            <w:r w:rsidRPr="00236FC7">
              <w:rPr>
                <w:rStyle w:val="Hyperlink"/>
                <w:noProof/>
              </w:rPr>
              <w:t>Critical Evaluation of Ratios</w:t>
            </w:r>
            <w:r>
              <w:rPr>
                <w:noProof/>
                <w:webHidden/>
              </w:rPr>
              <w:tab/>
            </w:r>
            <w:r>
              <w:rPr>
                <w:noProof/>
                <w:webHidden/>
              </w:rPr>
              <w:fldChar w:fldCharType="begin"/>
            </w:r>
            <w:r>
              <w:rPr>
                <w:noProof/>
                <w:webHidden/>
              </w:rPr>
              <w:instrText xml:space="preserve"> PAGEREF _Toc201401300 \h </w:instrText>
            </w:r>
            <w:r>
              <w:rPr>
                <w:noProof/>
                <w:webHidden/>
              </w:rPr>
            </w:r>
            <w:r>
              <w:rPr>
                <w:noProof/>
                <w:webHidden/>
              </w:rPr>
              <w:fldChar w:fldCharType="separate"/>
            </w:r>
            <w:r>
              <w:rPr>
                <w:noProof/>
                <w:webHidden/>
              </w:rPr>
              <w:t>8</w:t>
            </w:r>
            <w:r>
              <w:rPr>
                <w:noProof/>
                <w:webHidden/>
              </w:rPr>
              <w:fldChar w:fldCharType="end"/>
            </w:r>
          </w:hyperlink>
        </w:p>
        <w:p w14:paraId="7B77F43B" w14:textId="114DEB8E" w:rsidR="00F4331E" w:rsidRDefault="00F4331E" w:rsidP="00F4331E">
          <w:pPr>
            <w:pStyle w:val="TOC3"/>
            <w:tabs>
              <w:tab w:val="right" w:leader="dot" w:pos="9350"/>
            </w:tabs>
            <w:spacing w:after="0"/>
            <w:rPr>
              <w:rFonts w:asciiTheme="minorHAnsi" w:eastAsiaTheme="minorEastAsia" w:hAnsiTheme="minorHAnsi"/>
              <w:noProof/>
              <w:kern w:val="2"/>
              <w:sz w:val="22"/>
              <w:lang w:val="en-US"/>
              <w14:ligatures w14:val="standardContextual"/>
            </w:rPr>
          </w:pPr>
          <w:hyperlink w:anchor="_Toc201401301" w:history="1">
            <w:r w:rsidRPr="00236FC7">
              <w:rPr>
                <w:rStyle w:val="Hyperlink"/>
                <w:noProof/>
              </w:rPr>
              <w:t>Analysis of Changes in Ratios</w:t>
            </w:r>
            <w:r>
              <w:rPr>
                <w:noProof/>
                <w:webHidden/>
              </w:rPr>
              <w:tab/>
            </w:r>
            <w:r>
              <w:rPr>
                <w:noProof/>
                <w:webHidden/>
              </w:rPr>
              <w:fldChar w:fldCharType="begin"/>
            </w:r>
            <w:r>
              <w:rPr>
                <w:noProof/>
                <w:webHidden/>
              </w:rPr>
              <w:instrText xml:space="preserve"> PAGEREF _Toc201401301 \h </w:instrText>
            </w:r>
            <w:r>
              <w:rPr>
                <w:noProof/>
                <w:webHidden/>
              </w:rPr>
            </w:r>
            <w:r>
              <w:rPr>
                <w:noProof/>
                <w:webHidden/>
              </w:rPr>
              <w:fldChar w:fldCharType="separate"/>
            </w:r>
            <w:r>
              <w:rPr>
                <w:noProof/>
                <w:webHidden/>
              </w:rPr>
              <w:t>8</w:t>
            </w:r>
            <w:r>
              <w:rPr>
                <w:noProof/>
                <w:webHidden/>
              </w:rPr>
              <w:fldChar w:fldCharType="end"/>
            </w:r>
          </w:hyperlink>
        </w:p>
        <w:p w14:paraId="43E168D4" w14:textId="75F68B38" w:rsidR="00F4331E" w:rsidRDefault="00F4331E" w:rsidP="00F4331E">
          <w:pPr>
            <w:pStyle w:val="TOC2"/>
            <w:tabs>
              <w:tab w:val="right" w:leader="dot" w:pos="9350"/>
            </w:tabs>
            <w:spacing w:after="0"/>
            <w:rPr>
              <w:rFonts w:asciiTheme="minorHAnsi" w:eastAsiaTheme="minorEastAsia" w:hAnsiTheme="minorHAnsi"/>
              <w:noProof/>
              <w:kern w:val="2"/>
              <w:sz w:val="22"/>
              <w:lang w:val="en-US"/>
              <w14:ligatures w14:val="standardContextual"/>
            </w:rPr>
          </w:pPr>
          <w:hyperlink w:anchor="_Toc201401302" w:history="1">
            <w:r w:rsidRPr="00236FC7">
              <w:rPr>
                <w:rStyle w:val="Hyperlink"/>
                <w:noProof/>
              </w:rPr>
              <w:t>Limitation of Ratio Analysis</w:t>
            </w:r>
            <w:r>
              <w:rPr>
                <w:noProof/>
                <w:webHidden/>
              </w:rPr>
              <w:tab/>
            </w:r>
            <w:r>
              <w:rPr>
                <w:noProof/>
                <w:webHidden/>
              </w:rPr>
              <w:fldChar w:fldCharType="begin"/>
            </w:r>
            <w:r>
              <w:rPr>
                <w:noProof/>
                <w:webHidden/>
              </w:rPr>
              <w:instrText xml:space="preserve"> PAGEREF _Toc201401302 \h </w:instrText>
            </w:r>
            <w:r>
              <w:rPr>
                <w:noProof/>
                <w:webHidden/>
              </w:rPr>
            </w:r>
            <w:r>
              <w:rPr>
                <w:noProof/>
                <w:webHidden/>
              </w:rPr>
              <w:fldChar w:fldCharType="separate"/>
            </w:r>
            <w:r>
              <w:rPr>
                <w:noProof/>
                <w:webHidden/>
              </w:rPr>
              <w:t>9</w:t>
            </w:r>
            <w:r>
              <w:rPr>
                <w:noProof/>
                <w:webHidden/>
              </w:rPr>
              <w:fldChar w:fldCharType="end"/>
            </w:r>
          </w:hyperlink>
        </w:p>
        <w:p w14:paraId="397F6E59" w14:textId="7616CD6F" w:rsidR="00F4331E" w:rsidRDefault="00F4331E" w:rsidP="00F4331E">
          <w:pPr>
            <w:pStyle w:val="TOC2"/>
            <w:tabs>
              <w:tab w:val="right" w:leader="dot" w:pos="9350"/>
            </w:tabs>
            <w:spacing w:after="0"/>
            <w:rPr>
              <w:rFonts w:asciiTheme="minorHAnsi" w:eastAsiaTheme="minorEastAsia" w:hAnsiTheme="minorHAnsi"/>
              <w:noProof/>
              <w:kern w:val="2"/>
              <w:sz w:val="22"/>
              <w:lang w:val="en-US"/>
              <w14:ligatures w14:val="standardContextual"/>
            </w:rPr>
          </w:pPr>
          <w:hyperlink w:anchor="_Toc201401303" w:history="1">
            <w:r w:rsidRPr="00236FC7">
              <w:rPr>
                <w:rStyle w:val="Hyperlink"/>
                <w:noProof/>
              </w:rPr>
              <w:t>Recommendations for Financial Management</w:t>
            </w:r>
            <w:r>
              <w:rPr>
                <w:noProof/>
                <w:webHidden/>
              </w:rPr>
              <w:tab/>
            </w:r>
            <w:r>
              <w:rPr>
                <w:noProof/>
                <w:webHidden/>
              </w:rPr>
              <w:fldChar w:fldCharType="begin"/>
            </w:r>
            <w:r>
              <w:rPr>
                <w:noProof/>
                <w:webHidden/>
              </w:rPr>
              <w:instrText xml:space="preserve"> PAGEREF _Toc201401303 \h </w:instrText>
            </w:r>
            <w:r>
              <w:rPr>
                <w:noProof/>
                <w:webHidden/>
              </w:rPr>
            </w:r>
            <w:r>
              <w:rPr>
                <w:noProof/>
                <w:webHidden/>
              </w:rPr>
              <w:fldChar w:fldCharType="separate"/>
            </w:r>
            <w:r>
              <w:rPr>
                <w:noProof/>
                <w:webHidden/>
              </w:rPr>
              <w:t>9</w:t>
            </w:r>
            <w:r>
              <w:rPr>
                <w:noProof/>
                <w:webHidden/>
              </w:rPr>
              <w:fldChar w:fldCharType="end"/>
            </w:r>
          </w:hyperlink>
        </w:p>
        <w:p w14:paraId="68B9244C" w14:textId="575CA7F7" w:rsidR="00F4331E" w:rsidRDefault="00F4331E" w:rsidP="00F4331E">
          <w:pPr>
            <w:pStyle w:val="TOC1"/>
            <w:tabs>
              <w:tab w:val="right" w:leader="dot" w:pos="9350"/>
            </w:tabs>
            <w:spacing w:after="0"/>
            <w:rPr>
              <w:rFonts w:asciiTheme="minorHAnsi" w:eastAsiaTheme="minorEastAsia" w:hAnsiTheme="minorHAnsi"/>
              <w:noProof/>
              <w:kern w:val="2"/>
              <w:sz w:val="22"/>
              <w:lang w:val="en-US"/>
              <w14:ligatures w14:val="standardContextual"/>
            </w:rPr>
          </w:pPr>
          <w:hyperlink w:anchor="_Toc201401304" w:history="1">
            <w:r w:rsidRPr="00236FC7">
              <w:rPr>
                <w:rStyle w:val="Hyperlink"/>
                <w:noProof/>
                <w:lang w:val="en-US"/>
              </w:rPr>
              <w:t>Part 2: Business Report for Jordons Plc: Investment Options Evaluation</w:t>
            </w:r>
            <w:r>
              <w:rPr>
                <w:noProof/>
                <w:webHidden/>
              </w:rPr>
              <w:tab/>
            </w:r>
            <w:r>
              <w:rPr>
                <w:noProof/>
                <w:webHidden/>
              </w:rPr>
              <w:fldChar w:fldCharType="begin"/>
            </w:r>
            <w:r>
              <w:rPr>
                <w:noProof/>
                <w:webHidden/>
              </w:rPr>
              <w:instrText xml:space="preserve"> PAGEREF _Toc201401304 \h </w:instrText>
            </w:r>
            <w:r>
              <w:rPr>
                <w:noProof/>
                <w:webHidden/>
              </w:rPr>
            </w:r>
            <w:r>
              <w:rPr>
                <w:noProof/>
                <w:webHidden/>
              </w:rPr>
              <w:fldChar w:fldCharType="separate"/>
            </w:r>
            <w:r>
              <w:rPr>
                <w:noProof/>
                <w:webHidden/>
              </w:rPr>
              <w:t>12</w:t>
            </w:r>
            <w:r>
              <w:rPr>
                <w:noProof/>
                <w:webHidden/>
              </w:rPr>
              <w:fldChar w:fldCharType="end"/>
            </w:r>
          </w:hyperlink>
        </w:p>
        <w:p w14:paraId="21B25AE4" w14:textId="7AFE3BDF" w:rsidR="00F4331E" w:rsidRDefault="00F4331E" w:rsidP="00F4331E">
          <w:pPr>
            <w:pStyle w:val="TOC2"/>
            <w:tabs>
              <w:tab w:val="right" w:leader="dot" w:pos="9350"/>
            </w:tabs>
            <w:spacing w:after="0"/>
            <w:rPr>
              <w:rFonts w:asciiTheme="minorHAnsi" w:eastAsiaTheme="minorEastAsia" w:hAnsiTheme="minorHAnsi"/>
              <w:noProof/>
              <w:kern w:val="2"/>
              <w:sz w:val="22"/>
              <w:lang w:val="en-US"/>
              <w14:ligatures w14:val="standardContextual"/>
            </w:rPr>
          </w:pPr>
          <w:hyperlink w:anchor="_Toc201401305" w:history="1">
            <w:r w:rsidRPr="00236FC7">
              <w:rPr>
                <w:rStyle w:val="Hyperlink"/>
                <w:noProof/>
              </w:rPr>
              <w:t>Evaluation of Investment Options Using NPV</w:t>
            </w:r>
            <w:r>
              <w:rPr>
                <w:noProof/>
                <w:webHidden/>
              </w:rPr>
              <w:tab/>
            </w:r>
            <w:r>
              <w:rPr>
                <w:noProof/>
                <w:webHidden/>
              </w:rPr>
              <w:fldChar w:fldCharType="begin"/>
            </w:r>
            <w:r>
              <w:rPr>
                <w:noProof/>
                <w:webHidden/>
              </w:rPr>
              <w:instrText xml:space="preserve"> PAGEREF _Toc201401305 \h </w:instrText>
            </w:r>
            <w:r>
              <w:rPr>
                <w:noProof/>
                <w:webHidden/>
              </w:rPr>
            </w:r>
            <w:r>
              <w:rPr>
                <w:noProof/>
                <w:webHidden/>
              </w:rPr>
              <w:fldChar w:fldCharType="separate"/>
            </w:r>
            <w:r>
              <w:rPr>
                <w:noProof/>
                <w:webHidden/>
              </w:rPr>
              <w:t>12</w:t>
            </w:r>
            <w:r>
              <w:rPr>
                <w:noProof/>
                <w:webHidden/>
              </w:rPr>
              <w:fldChar w:fldCharType="end"/>
            </w:r>
          </w:hyperlink>
        </w:p>
        <w:p w14:paraId="5255AA27" w14:textId="26BD24A1" w:rsidR="00F4331E" w:rsidRDefault="00F4331E" w:rsidP="00F4331E">
          <w:pPr>
            <w:pStyle w:val="TOC2"/>
            <w:tabs>
              <w:tab w:val="right" w:leader="dot" w:pos="9350"/>
            </w:tabs>
            <w:spacing w:after="0"/>
            <w:rPr>
              <w:rFonts w:asciiTheme="minorHAnsi" w:eastAsiaTheme="minorEastAsia" w:hAnsiTheme="minorHAnsi"/>
              <w:noProof/>
              <w:kern w:val="2"/>
              <w:sz w:val="22"/>
              <w:lang w:val="en-US"/>
              <w14:ligatures w14:val="standardContextual"/>
            </w:rPr>
          </w:pPr>
          <w:hyperlink w:anchor="_Toc201401306" w:history="1">
            <w:r w:rsidRPr="00236FC7">
              <w:rPr>
                <w:rStyle w:val="Hyperlink"/>
                <w:noProof/>
              </w:rPr>
              <w:t>Internal Rate of Return (IRR) for Option C</w:t>
            </w:r>
            <w:r>
              <w:rPr>
                <w:noProof/>
                <w:webHidden/>
              </w:rPr>
              <w:tab/>
            </w:r>
            <w:r>
              <w:rPr>
                <w:noProof/>
                <w:webHidden/>
              </w:rPr>
              <w:fldChar w:fldCharType="begin"/>
            </w:r>
            <w:r>
              <w:rPr>
                <w:noProof/>
                <w:webHidden/>
              </w:rPr>
              <w:instrText xml:space="preserve"> PAGEREF _Toc201401306 \h </w:instrText>
            </w:r>
            <w:r>
              <w:rPr>
                <w:noProof/>
                <w:webHidden/>
              </w:rPr>
            </w:r>
            <w:r>
              <w:rPr>
                <w:noProof/>
                <w:webHidden/>
              </w:rPr>
              <w:fldChar w:fldCharType="separate"/>
            </w:r>
            <w:r>
              <w:rPr>
                <w:noProof/>
                <w:webHidden/>
              </w:rPr>
              <w:t>13</w:t>
            </w:r>
            <w:r>
              <w:rPr>
                <w:noProof/>
                <w:webHidden/>
              </w:rPr>
              <w:fldChar w:fldCharType="end"/>
            </w:r>
          </w:hyperlink>
        </w:p>
        <w:p w14:paraId="3B6D8564" w14:textId="5B9D4202" w:rsidR="00F4331E" w:rsidRDefault="00F4331E" w:rsidP="00F4331E">
          <w:pPr>
            <w:pStyle w:val="TOC2"/>
            <w:tabs>
              <w:tab w:val="right" w:leader="dot" w:pos="9350"/>
            </w:tabs>
            <w:spacing w:after="0"/>
            <w:rPr>
              <w:rFonts w:asciiTheme="minorHAnsi" w:eastAsiaTheme="minorEastAsia" w:hAnsiTheme="minorHAnsi"/>
              <w:noProof/>
              <w:kern w:val="2"/>
              <w:sz w:val="22"/>
              <w:lang w:val="en-US"/>
              <w14:ligatures w14:val="standardContextual"/>
            </w:rPr>
          </w:pPr>
          <w:hyperlink w:anchor="_Toc201401307" w:history="1">
            <w:r w:rsidRPr="00236FC7">
              <w:rPr>
                <w:rStyle w:val="Hyperlink"/>
                <w:noProof/>
              </w:rPr>
              <w:t>Interpretation of Results for Management</w:t>
            </w:r>
            <w:r>
              <w:rPr>
                <w:noProof/>
                <w:webHidden/>
              </w:rPr>
              <w:tab/>
            </w:r>
            <w:r>
              <w:rPr>
                <w:noProof/>
                <w:webHidden/>
              </w:rPr>
              <w:fldChar w:fldCharType="begin"/>
            </w:r>
            <w:r>
              <w:rPr>
                <w:noProof/>
                <w:webHidden/>
              </w:rPr>
              <w:instrText xml:space="preserve"> PAGEREF _Toc201401307 \h </w:instrText>
            </w:r>
            <w:r>
              <w:rPr>
                <w:noProof/>
                <w:webHidden/>
              </w:rPr>
            </w:r>
            <w:r>
              <w:rPr>
                <w:noProof/>
                <w:webHidden/>
              </w:rPr>
              <w:fldChar w:fldCharType="separate"/>
            </w:r>
            <w:r>
              <w:rPr>
                <w:noProof/>
                <w:webHidden/>
              </w:rPr>
              <w:t>13</w:t>
            </w:r>
            <w:r>
              <w:rPr>
                <w:noProof/>
                <w:webHidden/>
              </w:rPr>
              <w:fldChar w:fldCharType="end"/>
            </w:r>
          </w:hyperlink>
        </w:p>
        <w:p w14:paraId="73A32464" w14:textId="2D075B13" w:rsidR="00F4331E" w:rsidRDefault="00F4331E" w:rsidP="00F4331E">
          <w:pPr>
            <w:pStyle w:val="TOC3"/>
            <w:tabs>
              <w:tab w:val="right" w:leader="dot" w:pos="9350"/>
            </w:tabs>
            <w:spacing w:after="0"/>
            <w:rPr>
              <w:rFonts w:asciiTheme="minorHAnsi" w:eastAsiaTheme="minorEastAsia" w:hAnsiTheme="minorHAnsi"/>
              <w:noProof/>
              <w:kern w:val="2"/>
              <w:sz w:val="22"/>
              <w:lang w:val="en-US"/>
              <w14:ligatures w14:val="standardContextual"/>
            </w:rPr>
          </w:pPr>
          <w:hyperlink w:anchor="_Toc201401308" w:history="1">
            <w:r w:rsidRPr="00236FC7">
              <w:rPr>
                <w:rStyle w:val="Hyperlink"/>
                <w:noProof/>
              </w:rPr>
              <w:t>Theoretical Arguments for NPV as the Best Appraisal Method</w:t>
            </w:r>
            <w:r>
              <w:rPr>
                <w:noProof/>
                <w:webHidden/>
              </w:rPr>
              <w:tab/>
            </w:r>
            <w:r>
              <w:rPr>
                <w:noProof/>
                <w:webHidden/>
              </w:rPr>
              <w:fldChar w:fldCharType="begin"/>
            </w:r>
            <w:r>
              <w:rPr>
                <w:noProof/>
                <w:webHidden/>
              </w:rPr>
              <w:instrText xml:space="preserve"> PAGEREF _Toc201401308 \h </w:instrText>
            </w:r>
            <w:r>
              <w:rPr>
                <w:noProof/>
                <w:webHidden/>
              </w:rPr>
            </w:r>
            <w:r>
              <w:rPr>
                <w:noProof/>
                <w:webHidden/>
              </w:rPr>
              <w:fldChar w:fldCharType="separate"/>
            </w:r>
            <w:r>
              <w:rPr>
                <w:noProof/>
                <w:webHidden/>
              </w:rPr>
              <w:t>13</w:t>
            </w:r>
            <w:r>
              <w:rPr>
                <w:noProof/>
                <w:webHidden/>
              </w:rPr>
              <w:fldChar w:fldCharType="end"/>
            </w:r>
          </w:hyperlink>
        </w:p>
        <w:p w14:paraId="54B81314" w14:textId="729783AF" w:rsidR="00F4331E" w:rsidRDefault="00F4331E" w:rsidP="00F4331E">
          <w:pPr>
            <w:pStyle w:val="TOC3"/>
            <w:tabs>
              <w:tab w:val="right" w:leader="dot" w:pos="9350"/>
            </w:tabs>
            <w:spacing w:after="0"/>
            <w:rPr>
              <w:rFonts w:asciiTheme="minorHAnsi" w:eastAsiaTheme="minorEastAsia" w:hAnsiTheme="minorHAnsi"/>
              <w:noProof/>
              <w:kern w:val="2"/>
              <w:sz w:val="22"/>
              <w:lang w:val="en-US"/>
              <w14:ligatures w14:val="standardContextual"/>
            </w:rPr>
          </w:pPr>
          <w:hyperlink w:anchor="_Toc201401309" w:history="1">
            <w:r w:rsidRPr="00236FC7">
              <w:rPr>
                <w:rStyle w:val="Hyperlink"/>
                <w:noProof/>
              </w:rPr>
              <w:t>Popularity of Non-Discounting Methods</w:t>
            </w:r>
            <w:r>
              <w:rPr>
                <w:noProof/>
                <w:webHidden/>
              </w:rPr>
              <w:tab/>
            </w:r>
            <w:r>
              <w:rPr>
                <w:noProof/>
                <w:webHidden/>
              </w:rPr>
              <w:fldChar w:fldCharType="begin"/>
            </w:r>
            <w:r>
              <w:rPr>
                <w:noProof/>
                <w:webHidden/>
              </w:rPr>
              <w:instrText xml:space="preserve"> PAGEREF _Toc201401309 \h </w:instrText>
            </w:r>
            <w:r>
              <w:rPr>
                <w:noProof/>
                <w:webHidden/>
              </w:rPr>
            </w:r>
            <w:r>
              <w:rPr>
                <w:noProof/>
                <w:webHidden/>
              </w:rPr>
              <w:fldChar w:fldCharType="separate"/>
            </w:r>
            <w:r>
              <w:rPr>
                <w:noProof/>
                <w:webHidden/>
              </w:rPr>
              <w:t>14</w:t>
            </w:r>
            <w:r>
              <w:rPr>
                <w:noProof/>
                <w:webHidden/>
              </w:rPr>
              <w:fldChar w:fldCharType="end"/>
            </w:r>
          </w:hyperlink>
        </w:p>
        <w:p w14:paraId="34C0BEC2" w14:textId="5A962A98" w:rsidR="00F4331E" w:rsidRDefault="00F4331E" w:rsidP="00F4331E">
          <w:pPr>
            <w:pStyle w:val="TOC3"/>
            <w:tabs>
              <w:tab w:val="right" w:leader="dot" w:pos="9350"/>
            </w:tabs>
            <w:spacing w:after="0"/>
            <w:rPr>
              <w:rFonts w:asciiTheme="minorHAnsi" w:eastAsiaTheme="minorEastAsia" w:hAnsiTheme="minorHAnsi"/>
              <w:noProof/>
              <w:kern w:val="2"/>
              <w:sz w:val="22"/>
              <w:lang w:val="en-US"/>
              <w14:ligatures w14:val="standardContextual"/>
            </w:rPr>
          </w:pPr>
          <w:hyperlink w:anchor="_Toc201401310" w:history="1">
            <w:r w:rsidRPr="00236FC7">
              <w:rPr>
                <w:rStyle w:val="Hyperlink"/>
                <w:noProof/>
              </w:rPr>
              <w:t>Other Factors to Consider Before Investment</w:t>
            </w:r>
            <w:r>
              <w:rPr>
                <w:noProof/>
                <w:webHidden/>
              </w:rPr>
              <w:tab/>
            </w:r>
            <w:r>
              <w:rPr>
                <w:noProof/>
                <w:webHidden/>
              </w:rPr>
              <w:fldChar w:fldCharType="begin"/>
            </w:r>
            <w:r>
              <w:rPr>
                <w:noProof/>
                <w:webHidden/>
              </w:rPr>
              <w:instrText xml:space="preserve"> PAGEREF _Toc201401310 \h </w:instrText>
            </w:r>
            <w:r>
              <w:rPr>
                <w:noProof/>
                <w:webHidden/>
              </w:rPr>
            </w:r>
            <w:r>
              <w:rPr>
                <w:noProof/>
                <w:webHidden/>
              </w:rPr>
              <w:fldChar w:fldCharType="separate"/>
            </w:r>
            <w:r>
              <w:rPr>
                <w:noProof/>
                <w:webHidden/>
              </w:rPr>
              <w:t>14</w:t>
            </w:r>
            <w:r>
              <w:rPr>
                <w:noProof/>
                <w:webHidden/>
              </w:rPr>
              <w:fldChar w:fldCharType="end"/>
            </w:r>
          </w:hyperlink>
        </w:p>
        <w:p w14:paraId="6162DFCE" w14:textId="1855F401" w:rsidR="00F4331E" w:rsidRDefault="00F4331E" w:rsidP="00F4331E">
          <w:pPr>
            <w:pStyle w:val="TOC2"/>
            <w:tabs>
              <w:tab w:val="right" w:leader="dot" w:pos="9350"/>
            </w:tabs>
            <w:spacing w:after="0"/>
            <w:rPr>
              <w:rFonts w:asciiTheme="minorHAnsi" w:eastAsiaTheme="minorEastAsia" w:hAnsiTheme="minorHAnsi"/>
              <w:noProof/>
              <w:kern w:val="2"/>
              <w:sz w:val="22"/>
              <w:lang w:val="en-US"/>
              <w14:ligatures w14:val="standardContextual"/>
            </w:rPr>
          </w:pPr>
          <w:hyperlink w:anchor="_Toc201401311" w:history="1">
            <w:r w:rsidRPr="00236FC7">
              <w:rPr>
                <w:rStyle w:val="Hyperlink"/>
                <w:noProof/>
              </w:rPr>
              <w:t>Optimal Investment Policy with Limited Funds</w:t>
            </w:r>
            <w:r>
              <w:rPr>
                <w:noProof/>
                <w:webHidden/>
              </w:rPr>
              <w:tab/>
            </w:r>
            <w:r>
              <w:rPr>
                <w:noProof/>
                <w:webHidden/>
              </w:rPr>
              <w:fldChar w:fldCharType="begin"/>
            </w:r>
            <w:r>
              <w:rPr>
                <w:noProof/>
                <w:webHidden/>
              </w:rPr>
              <w:instrText xml:space="preserve"> PAGEREF _Toc201401311 \h </w:instrText>
            </w:r>
            <w:r>
              <w:rPr>
                <w:noProof/>
                <w:webHidden/>
              </w:rPr>
            </w:r>
            <w:r>
              <w:rPr>
                <w:noProof/>
                <w:webHidden/>
              </w:rPr>
              <w:fldChar w:fldCharType="separate"/>
            </w:r>
            <w:r>
              <w:rPr>
                <w:noProof/>
                <w:webHidden/>
              </w:rPr>
              <w:t>14</w:t>
            </w:r>
            <w:r>
              <w:rPr>
                <w:noProof/>
                <w:webHidden/>
              </w:rPr>
              <w:fldChar w:fldCharType="end"/>
            </w:r>
          </w:hyperlink>
        </w:p>
        <w:p w14:paraId="2930DF0B" w14:textId="77B0A49B" w:rsidR="00F4331E" w:rsidRDefault="00F4331E" w:rsidP="00F4331E">
          <w:pPr>
            <w:pStyle w:val="TOC2"/>
            <w:tabs>
              <w:tab w:val="right" w:leader="dot" w:pos="9350"/>
            </w:tabs>
            <w:spacing w:after="0"/>
            <w:rPr>
              <w:rFonts w:asciiTheme="minorHAnsi" w:eastAsiaTheme="minorEastAsia" w:hAnsiTheme="minorHAnsi"/>
              <w:noProof/>
              <w:kern w:val="2"/>
              <w:sz w:val="22"/>
              <w:lang w:val="en-US"/>
              <w14:ligatures w14:val="standardContextual"/>
            </w:rPr>
          </w:pPr>
          <w:hyperlink w:anchor="_Toc201401312" w:history="1">
            <w:r w:rsidRPr="00236FC7">
              <w:rPr>
                <w:rStyle w:val="Hyperlink"/>
                <w:noProof/>
              </w:rPr>
              <w:t>Financing the Investment Programme</w:t>
            </w:r>
            <w:r>
              <w:rPr>
                <w:noProof/>
                <w:webHidden/>
              </w:rPr>
              <w:tab/>
            </w:r>
            <w:r>
              <w:rPr>
                <w:noProof/>
                <w:webHidden/>
              </w:rPr>
              <w:fldChar w:fldCharType="begin"/>
            </w:r>
            <w:r>
              <w:rPr>
                <w:noProof/>
                <w:webHidden/>
              </w:rPr>
              <w:instrText xml:space="preserve"> PAGEREF _Toc201401312 \h </w:instrText>
            </w:r>
            <w:r>
              <w:rPr>
                <w:noProof/>
                <w:webHidden/>
              </w:rPr>
            </w:r>
            <w:r>
              <w:rPr>
                <w:noProof/>
                <w:webHidden/>
              </w:rPr>
              <w:fldChar w:fldCharType="separate"/>
            </w:r>
            <w:r>
              <w:rPr>
                <w:noProof/>
                <w:webHidden/>
              </w:rPr>
              <w:t>15</w:t>
            </w:r>
            <w:r>
              <w:rPr>
                <w:noProof/>
                <w:webHidden/>
              </w:rPr>
              <w:fldChar w:fldCharType="end"/>
            </w:r>
          </w:hyperlink>
        </w:p>
        <w:p w14:paraId="52E9707A" w14:textId="14968157" w:rsidR="00F4331E" w:rsidRDefault="00F4331E" w:rsidP="00F4331E">
          <w:pPr>
            <w:pStyle w:val="TOC1"/>
            <w:tabs>
              <w:tab w:val="right" w:leader="dot" w:pos="9350"/>
            </w:tabs>
            <w:spacing w:after="0"/>
            <w:rPr>
              <w:rFonts w:asciiTheme="minorHAnsi" w:eastAsiaTheme="minorEastAsia" w:hAnsiTheme="minorHAnsi"/>
              <w:noProof/>
              <w:kern w:val="2"/>
              <w:sz w:val="22"/>
              <w:lang w:val="en-US"/>
              <w14:ligatures w14:val="standardContextual"/>
            </w:rPr>
          </w:pPr>
          <w:hyperlink w:anchor="_Toc201401313" w:history="1">
            <w:r w:rsidRPr="00236FC7">
              <w:rPr>
                <w:rStyle w:val="Hyperlink"/>
                <w:noProof/>
              </w:rPr>
              <w:t>Conclusion</w:t>
            </w:r>
            <w:r>
              <w:rPr>
                <w:noProof/>
                <w:webHidden/>
              </w:rPr>
              <w:tab/>
            </w:r>
            <w:r>
              <w:rPr>
                <w:noProof/>
                <w:webHidden/>
              </w:rPr>
              <w:fldChar w:fldCharType="begin"/>
            </w:r>
            <w:r>
              <w:rPr>
                <w:noProof/>
                <w:webHidden/>
              </w:rPr>
              <w:instrText xml:space="preserve"> PAGEREF _Toc201401313 \h </w:instrText>
            </w:r>
            <w:r>
              <w:rPr>
                <w:noProof/>
                <w:webHidden/>
              </w:rPr>
            </w:r>
            <w:r>
              <w:rPr>
                <w:noProof/>
                <w:webHidden/>
              </w:rPr>
              <w:fldChar w:fldCharType="separate"/>
            </w:r>
            <w:r>
              <w:rPr>
                <w:noProof/>
                <w:webHidden/>
              </w:rPr>
              <w:t>16</w:t>
            </w:r>
            <w:r>
              <w:rPr>
                <w:noProof/>
                <w:webHidden/>
              </w:rPr>
              <w:fldChar w:fldCharType="end"/>
            </w:r>
          </w:hyperlink>
        </w:p>
        <w:p w14:paraId="608CDD19" w14:textId="4D2A7A6E" w:rsidR="00F4331E" w:rsidRDefault="00F4331E" w:rsidP="00F4331E">
          <w:pPr>
            <w:pStyle w:val="TOC1"/>
            <w:tabs>
              <w:tab w:val="right" w:leader="dot" w:pos="9350"/>
            </w:tabs>
            <w:spacing w:after="0"/>
            <w:rPr>
              <w:rFonts w:asciiTheme="minorHAnsi" w:eastAsiaTheme="minorEastAsia" w:hAnsiTheme="minorHAnsi"/>
              <w:noProof/>
              <w:kern w:val="2"/>
              <w:sz w:val="22"/>
              <w:lang w:val="en-US"/>
              <w14:ligatures w14:val="standardContextual"/>
            </w:rPr>
          </w:pPr>
          <w:hyperlink w:anchor="_Toc201401314" w:history="1">
            <w:r w:rsidRPr="00236FC7">
              <w:rPr>
                <w:rStyle w:val="Hyperlink"/>
                <w:noProof/>
              </w:rPr>
              <w:t>References</w:t>
            </w:r>
            <w:r>
              <w:rPr>
                <w:noProof/>
                <w:webHidden/>
              </w:rPr>
              <w:tab/>
            </w:r>
            <w:r>
              <w:rPr>
                <w:noProof/>
                <w:webHidden/>
              </w:rPr>
              <w:fldChar w:fldCharType="begin"/>
            </w:r>
            <w:r>
              <w:rPr>
                <w:noProof/>
                <w:webHidden/>
              </w:rPr>
              <w:instrText xml:space="preserve"> PAGEREF _Toc201401314 \h </w:instrText>
            </w:r>
            <w:r>
              <w:rPr>
                <w:noProof/>
                <w:webHidden/>
              </w:rPr>
            </w:r>
            <w:r>
              <w:rPr>
                <w:noProof/>
                <w:webHidden/>
              </w:rPr>
              <w:fldChar w:fldCharType="separate"/>
            </w:r>
            <w:r>
              <w:rPr>
                <w:noProof/>
                <w:webHidden/>
              </w:rPr>
              <w:t>18</w:t>
            </w:r>
            <w:r>
              <w:rPr>
                <w:noProof/>
                <w:webHidden/>
              </w:rPr>
              <w:fldChar w:fldCharType="end"/>
            </w:r>
          </w:hyperlink>
        </w:p>
        <w:p w14:paraId="170AEDB0" w14:textId="45C68D33" w:rsidR="00F4331E" w:rsidRDefault="00F4331E" w:rsidP="00F4331E">
          <w:pPr>
            <w:pStyle w:val="TOC1"/>
            <w:tabs>
              <w:tab w:val="right" w:leader="dot" w:pos="9350"/>
            </w:tabs>
            <w:spacing w:after="0"/>
            <w:rPr>
              <w:rFonts w:asciiTheme="minorHAnsi" w:eastAsiaTheme="minorEastAsia" w:hAnsiTheme="minorHAnsi"/>
              <w:noProof/>
              <w:kern w:val="2"/>
              <w:sz w:val="22"/>
              <w:lang w:val="en-US"/>
              <w14:ligatures w14:val="standardContextual"/>
            </w:rPr>
          </w:pPr>
          <w:hyperlink w:anchor="_Toc201401315" w:history="1">
            <w:r w:rsidRPr="00236FC7">
              <w:rPr>
                <w:rStyle w:val="Hyperlink"/>
                <w:noProof/>
              </w:rPr>
              <w:t>Appendices</w:t>
            </w:r>
            <w:r>
              <w:rPr>
                <w:noProof/>
                <w:webHidden/>
              </w:rPr>
              <w:tab/>
            </w:r>
            <w:r>
              <w:rPr>
                <w:noProof/>
                <w:webHidden/>
              </w:rPr>
              <w:fldChar w:fldCharType="begin"/>
            </w:r>
            <w:r>
              <w:rPr>
                <w:noProof/>
                <w:webHidden/>
              </w:rPr>
              <w:instrText xml:space="preserve"> PAGEREF _Toc201401315 \h </w:instrText>
            </w:r>
            <w:r>
              <w:rPr>
                <w:noProof/>
                <w:webHidden/>
              </w:rPr>
            </w:r>
            <w:r>
              <w:rPr>
                <w:noProof/>
                <w:webHidden/>
              </w:rPr>
              <w:fldChar w:fldCharType="separate"/>
            </w:r>
            <w:r>
              <w:rPr>
                <w:noProof/>
                <w:webHidden/>
              </w:rPr>
              <w:t>22</w:t>
            </w:r>
            <w:r>
              <w:rPr>
                <w:noProof/>
                <w:webHidden/>
              </w:rPr>
              <w:fldChar w:fldCharType="end"/>
            </w:r>
          </w:hyperlink>
        </w:p>
        <w:p w14:paraId="194D381B" w14:textId="0E1064E5" w:rsidR="00F4331E" w:rsidRDefault="00F4331E" w:rsidP="00F4331E">
          <w:pPr>
            <w:pStyle w:val="TOC2"/>
            <w:tabs>
              <w:tab w:val="right" w:leader="dot" w:pos="9350"/>
            </w:tabs>
            <w:spacing w:after="0"/>
            <w:rPr>
              <w:rFonts w:asciiTheme="minorHAnsi" w:eastAsiaTheme="minorEastAsia" w:hAnsiTheme="minorHAnsi"/>
              <w:noProof/>
              <w:kern w:val="2"/>
              <w:sz w:val="22"/>
              <w:lang w:val="en-US"/>
              <w14:ligatures w14:val="standardContextual"/>
            </w:rPr>
          </w:pPr>
          <w:hyperlink w:anchor="_Toc201401316" w:history="1">
            <w:r w:rsidRPr="00236FC7">
              <w:rPr>
                <w:rStyle w:val="Hyperlink"/>
                <w:noProof/>
              </w:rPr>
              <w:t>Appendix 1 Consolidated Income Statement for BAE System Plc</w:t>
            </w:r>
            <w:r>
              <w:rPr>
                <w:noProof/>
                <w:webHidden/>
              </w:rPr>
              <w:tab/>
            </w:r>
            <w:r>
              <w:rPr>
                <w:noProof/>
                <w:webHidden/>
              </w:rPr>
              <w:fldChar w:fldCharType="begin"/>
            </w:r>
            <w:r>
              <w:rPr>
                <w:noProof/>
                <w:webHidden/>
              </w:rPr>
              <w:instrText xml:space="preserve"> PAGEREF _Toc201401316 \h </w:instrText>
            </w:r>
            <w:r>
              <w:rPr>
                <w:noProof/>
                <w:webHidden/>
              </w:rPr>
            </w:r>
            <w:r>
              <w:rPr>
                <w:noProof/>
                <w:webHidden/>
              </w:rPr>
              <w:fldChar w:fldCharType="separate"/>
            </w:r>
            <w:r>
              <w:rPr>
                <w:noProof/>
                <w:webHidden/>
              </w:rPr>
              <w:t>22</w:t>
            </w:r>
            <w:r>
              <w:rPr>
                <w:noProof/>
                <w:webHidden/>
              </w:rPr>
              <w:fldChar w:fldCharType="end"/>
            </w:r>
          </w:hyperlink>
        </w:p>
        <w:p w14:paraId="426E1C01" w14:textId="34DBFCEF" w:rsidR="00F4331E" w:rsidRDefault="00F4331E" w:rsidP="00F4331E">
          <w:pPr>
            <w:pStyle w:val="TOC2"/>
            <w:tabs>
              <w:tab w:val="right" w:leader="dot" w:pos="9350"/>
            </w:tabs>
            <w:spacing w:after="0"/>
            <w:rPr>
              <w:rFonts w:asciiTheme="minorHAnsi" w:eastAsiaTheme="minorEastAsia" w:hAnsiTheme="minorHAnsi"/>
              <w:noProof/>
              <w:kern w:val="2"/>
              <w:sz w:val="22"/>
              <w:lang w:val="en-US"/>
              <w14:ligatures w14:val="standardContextual"/>
            </w:rPr>
          </w:pPr>
          <w:hyperlink w:anchor="_Toc201401317" w:history="1">
            <w:r w:rsidRPr="00236FC7">
              <w:rPr>
                <w:rStyle w:val="Hyperlink"/>
                <w:noProof/>
              </w:rPr>
              <w:t>Appendix 2 Consolidated Balance Sheet</w:t>
            </w:r>
            <w:r>
              <w:rPr>
                <w:noProof/>
                <w:webHidden/>
              </w:rPr>
              <w:tab/>
            </w:r>
            <w:r>
              <w:rPr>
                <w:noProof/>
                <w:webHidden/>
              </w:rPr>
              <w:fldChar w:fldCharType="begin"/>
            </w:r>
            <w:r>
              <w:rPr>
                <w:noProof/>
                <w:webHidden/>
              </w:rPr>
              <w:instrText xml:space="preserve"> PAGEREF _Toc201401317 \h </w:instrText>
            </w:r>
            <w:r>
              <w:rPr>
                <w:noProof/>
                <w:webHidden/>
              </w:rPr>
            </w:r>
            <w:r>
              <w:rPr>
                <w:noProof/>
                <w:webHidden/>
              </w:rPr>
              <w:fldChar w:fldCharType="separate"/>
            </w:r>
            <w:r>
              <w:rPr>
                <w:noProof/>
                <w:webHidden/>
              </w:rPr>
              <w:t>23</w:t>
            </w:r>
            <w:r>
              <w:rPr>
                <w:noProof/>
                <w:webHidden/>
              </w:rPr>
              <w:fldChar w:fldCharType="end"/>
            </w:r>
          </w:hyperlink>
        </w:p>
        <w:p w14:paraId="1535350C" w14:textId="222E30EF" w:rsidR="00F4331E" w:rsidRDefault="00F4331E" w:rsidP="00F4331E">
          <w:pPr>
            <w:pStyle w:val="TOC2"/>
            <w:tabs>
              <w:tab w:val="right" w:leader="dot" w:pos="9350"/>
            </w:tabs>
            <w:spacing w:after="0"/>
            <w:rPr>
              <w:rFonts w:asciiTheme="minorHAnsi" w:eastAsiaTheme="minorEastAsia" w:hAnsiTheme="minorHAnsi"/>
              <w:noProof/>
              <w:kern w:val="2"/>
              <w:sz w:val="22"/>
              <w:lang w:val="en-US"/>
              <w14:ligatures w14:val="standardContextual"/>
            </w:rPr>
          </w:pPr>
          <w:hyperlink w:anchor="_Toc201401318" w:history="1">
            <w:r w:rsidRPr="00236FC7">
              <w:rPr>
                <w:rStyle w:val="Hyperlink"/>
                <w:noProof/>
              </w:rPr>
              <w:t>Appendix 3 Ratio Calculation</w:t>
            </w:r>
            <w:r>
              <w:rPr>
                <w:noProof/>
                <w:webHidden/>
              </w:rPr>
              <w:tab/>
            </w:r>
            <w:r>
              <w:rPr>
                <w:noProof/>
                <w:webHidden/>
              </w:rPr>
              <w:fldChar w:fldCharType="begin"/>
            </w:r>
            <w:r>
              <w:rPr>
                <w:noProof/>
                <w:webHidden/>
              </w:rPr>
              <w:instrText xml:space="preserve"> PAGEREF _Toc201401318 \h </w:instrText>
            </w:r>
            <w:r>
              <w:rPr>
                <w:noProof/>
                <w:webHidden/>
              </w:rPr>
            </w:r>
            <w:r>
              <w:rPr>
                <w:noProof/>
                <w:webHidden/>
              </w:rPr>
              <w:fldChar w:fldCharType="separate"/>
            </w:r>
            <w:r>
              <w:rPr>
                <w:noProof/>
                <w:webHidden/>
              </w:rPr>
              <w:t>24</w:t>
            </w:r>
            <w:r>
              <w:rPr>
                <w:noProof/>
                <w:webHidden/>
              </w:rPr>
              <w:fldChar w:fldCharType="end"/>
            </w:r>
          </w:hyperlink>
        </w:p>
        <w:p w14:paraId="3540C94E" w14:textId="7045F128" w:rsidR="00F4331E" w:rsidRDefault="00F4331E" w:rsidP="00F4331E">
          <w:pPr>
            <w:pStyle w:val="TOC2"/>
            <w:tabs>
              <w:tab w:val="right" w:leader="dot" w:pos="9350"/>
            </w:tabs>
            <w:spacing w:after="0"/>
            <w:rPr>
              <w:rFonts w:asciiTheme="minorHAnsi" w:eastAsiaTheme="minorEastAsia" w:hAnsiTheme="minorHAnsi"/>
              <w:noProof/>
              <w:kern w:val="2"/>
              <w:sz w:val="22"/>
              <w:lang w:val="en-US"/>
              <w14:ligatures w14:val="standardContextual"/>
            </w:rPr>
          </w:pPr>
          <w:hyperlink w:anchor="_Toc201401319" w:history="1">
            <w:r w:rsidRPr="00236FC7">
              <w:rPr>
                <w:rStyle w:val="Hyperlink"/>
                <w:noProof/>
              </w:rPr>
              <w:t>Appendix 6: AI Declaration:</w:t>
            </w:r>
            <w:r>
              <w:rPr>
                <w:noProof/>
                <w:webHidden/>
              </w:rPr>
              <w:tab/>
            </w:r>
            <w:r>
              <w:rPr>
                <w:noProof/>
                <w:webHidden/>
              </w:rPr>
              <w:fldChar w:fldCharType="begin"/>
            </w:r>
            <w:r>
              <w:rPr>
                <w:noProof/>
                <w:webHidden/>
              </w:rPr>
              <w:instrText xml:space="preserve"> PAGEREF _Toc201401319 \h </w:instrText>
            </w:r>
            <w:r>
              <w:rPr>
                <w:noProof/>
                <w:webHidden/>
              </w:rPr>
            </w:r>
            <w:r>
              <w:rPr>
                <w:noProof/>
                <w:webHidden/>
              </w:rPr>
              <w:fldChar w:fldCharType="separate"/>
            </w:r>
            <w:r>
              <w:rPr>
                <w:noProof/>
                <w:webHidden/>
              </w:rPr>
              <w:t>29</w:t>
            </w:r>
            <w:r>
              <w:rPr>
                <w:noProof/>
                <w:webHidden/>
              </w:rPr>
              <w:fldChar w:fldCharType="end"/>
            </w:r>
          </w:hyperlink>
        </w:p>
        <w:p w14:paraId="2A3D4942" w14:textId="56FEAD26" w:rsidR="00E142CD" w:rsidRPr="00F4331E" w:rsidRDefault="009311C5" w:rsidP="00F4331E">
          <w:pPr>
            <w:spacing w:after="0"/>
          </w:pPr>
          <w:r>
            <w:rPr>
              <w:b/>
              <w:bCs/>
              <w:noProof/>
            </w:rPr>
            <w:fldChar w:fldCharType="end"/>
          </w:r>
        </w:p>
      </w:sdtContent>
    </w:sdt>
    <w:p w14:paraId="0C30339C" w14:textId="77777777" w:rsidR="00B201CB" w:rsidRDefault="009311C5" w:rsidP="00693CD6">
      <w:pPr>
        <w:pStyle w:val="Heading1"/>
      </w:pPr>
      <w:bookmarkStart w:id="1" w:name="_Toc201401292"/>
      <w:r>
        <w:lastRenderedPageBreak/>
        <w:t>Introduction</w:t>
      </w:r>
      <w:bookmarkEnd w:id="1"/>
      <w:r>
        <w:t xml:space="preserve"> </w:t>
      </w:r>
    </w:p>
    <w:p w14:paraId="303897DA" w14:textId="77777777" w:rsidR="009A418A" w:rsidRDefault="009311C5" w:rsidP="007908B5">
      <w:pPr>
        <w:spacing w:after="0"/>
      </w:pPr>
      <w:r>
        <w:t xml:space="preserve">Investment appraisal and financial analysis are crucial mechanisms for evaluating </w:t>
      </w:r>
      <w:r w:rsidR="00693CD6">
        <w:t>economic</w:t>
      </w:r>
      <w:r>
        <w:t xml:space="preserve"> performance and strategy in business enterprises. Financial ratios, such as profitability ratios, liquidity ratios, gearing ratios, efficiency ratios, and investor ratios, are used to measure the quantitative aspects of a company's overall performance, operational efficiency, and financial strength. These ratios convert highly complex financial information into practical measures, enabling stakeholders to make informed decisions regarding resource allocations, risk management, and expansion plans. </w:t>
      </w:r>
      <w:r>
        <w:t xml:space="preserve">This analysis is further enhanced </w:t>
      </w:r>
      <w:proofErr w:type="gramStart"/>
      <w:r>
        <w:t>by the use of</w:t>
      </w:r>
      <w:proofErr w:type="gramEnd"/>
      <w:r>
        <w:t xml:space="preserve"> investment appraisal techniques, which include Net Present Value (NPV) and Internal Rate of Return (IRR), that evaluate the viability of capital projects in consideration of the time value of money and anticipated future cash flows. This report will conduct a twofold analysis of BAE Systems Plc, a top FTSE 100 firm in the manufacture of aerospace and defence products, and </w:t>
      </w:r>
      <w:proofErr w:type="spellStart"/>
      <w:r>
        <w:t>Jordons</w:t>
      </w:r>
      <w:proofErr w:type="spellEnd"/>
      <w:r>
        <w:t xml:space="preserve"> Plc, a manufacturer of window blinds, to determine their performance in terms of </w:t>
      </w:r>
      <w:r>
        <w:t>finance and investment.</w:t>
      </w:r>
    </w:p>
    <w:p w14:paraId="0626582C" w14:textId="77777777" w:rsidR="009A418A" w:rsidRDefault="009311C5" w:rsidP="007908B5">
      <w:pPr>
        <w:spacing w:after="0"/>
      </w:pPr>
      <w:r>
        <w:t xml:space="preserve">The report, carried out in Task 1, thoroughly analyses the BAE Systems Plc financial ratios for the </w:t>
      </w:r>
      <w:proofErr w:type="spellStart"/>
      <w:r>
        <w:t>the</w:t>
      </w:r>
      <w:proofErr w:type="spellEnd"/>
      <w:r>
        <w:t xml:space="preserve"> 2023 and 2024 fiscal years, based on the company's annual reports. The analysis revolves around primary metrics, which are profitability ratios (e.g. gross profit margin, net profit margin, ROA, ROE) to indicate how efficiently revenue is generated; liquidity ratios (e.g. current ratio, quick ratio, cash ratio) to indicate short-term financial requirements; gearing ratios (e.g. equity debt, interest coverage) to indicate financial risk; efficiency ratios (e.g. asset turnover, receivables turnover) to in</w:t>
      </w:r>
      <w:r>
        <w:t>dicate resource utilisation; and investor ratios (e.g. EPS, book value per share) The trends that are determined within the analysis include how the acquisition of Ball Aerospace affected profitability and liquidity and what should be done to enhance cost management, liquidity and debt facilities to have a stronger financial base.</w:t>
      </w:r>
    </w:p>
    <w:p w14:paraId="08113886" w14:textId="77777777" w:rsidR="009A418A" w:rsidRPr="009A418A" w:rsidRDefault="009311C5" w:rsidP="007908B5">
      <w:pPr>
        <w:spacing w:after="0"/>
      </w:pPr>
      <w:r>
        <w:t xml:space="preserve">In Task 2, the case of </w:t>
      </w:r>
      <w:proofErr w:type="spellStart"/>
      <w:r>
        <w:t>Jordons</w:t>
      </w:r>
      <w:proofErr w:type="spellEnd"/>
      <w:r>
        <w:t xml:space="preserve"> Plc presents three mutually exclusive investment options: expanding retail outlets (Option A), developing a web-based sales platform (Option B), and expanding into the production of curtains and Roman blinds (Option C). NPV as well as IRR are used to calculate the feasibility of the three mutually exclusive investment options. The appraisal </w:t>
      </w:r>
      <w:proofErr w:type="gramStart"/>
      <w:r>
        <w:t>takes into account</w:t>
      </w:r>
      <w:proofErr w:type="gramEnd"/>
      <w:r>
        <w:t xml:space="preserve"> a budget constraint of $ 2 million, a cost of capital of 6 per cent, and qualitative items such as market direction and the feasibility of the</w:t>
      </w:r>
      <w:r>
        <w:t xml:space="preserve"> operation. The NPVs and IRRs are computed for each option in the report. The best investment strategy is advised, and a financing mix of debt and </w:t>
      </w:r>
      <w:r>
        <w:lastRenderedPageBreak/>
        <w:t>retained earnings is proposed to permit the desired option to be financed. Combining financial and strategic analysis, the report offers practical advice that can help the two businesses enhance their positioning and the value they provide to their stakeholders.</w:t>
      </w:r>
    </w:p>
    <w:p w14:paraId="17B22A6C" w14:textId="77777777" w:rsidR="0044646B" w:rsidRPr="00DA793E" w:rsidRDefault="009311C5" w:rsidP="00693CD6">
      <w:pPr>
        <w:pStyle w:val="Heading1"/>
      </w:pPr>
      <w:bookmarkStart w:id="2" w:name="_Toc201401293"/>
      <w:r>
        <w:t xml:space="preserve">Part </w:t>
      </w:r>
      <w:r w:rsidR="003C7A2B">
        <w:t>1</w:t>
      </w:r>
      <w:r w:rsidR="004575A5">
        <w:t xml:space="preserve">: </w:t>
      </w:r>
      <w:r w:rsidR="004575A5" w:rsidRPr="004575A5">
        <w:t>Financial Analysis Report: BAE Systems Plc</w:t>
      </w:r>
      <w:bookmarkEnd w:id="2"/>
    </w:p>
    <w:p w14:paraId="29123E7D" w14:textId="77777777" w:rsidR="004575A5" w:rsidRDefault="009311C5" w:rsidP="007908B5">
      <w:pPr>
        <w:spacing w:after="0"/>
      </w:pPr>
      <w:r w:rsidRPr="004575A5">
        <w:t xml:space="preserve">BAE Systems Plc is a British company ranked highly among the FTSE 100 Index and listed on the London Stock Exchange; it is a multinational firm specialising in aerospace, </w:t>
      </w:r>
      <w:r w:rsidR="005C5F65" w:rsidRPr="004575A5">
        <w:t>defence</w:t>
      </w:r>
      <w:r w:rsidRPr="004575A5">
        <w:t>, and security-related matters. BAE Systems is renowned as the largest European company specialising in weaponry and protection, ranking seventh globally in terms of 2021 revenues (with operations in more than 40 countries) and producing value-added technology solutions for both governments and customers (BAE, 2024). This report provides a detailed financial review of BAE Systems Plc for the preceding two fiscal years, 2023 and 2024, based on the company's annual reports. To perform the analysis, key</w:t>
      </w:r>
      <w:r w:rsidRPr="004575A5">
        <w:t xml:space="preserve"> financial ratios are calculated and analy</w:t>
      </w:r>
      <w:r>
        <w:t>s</w:t>
      </w:r>
      <w:r w:rsidRPr="004575A5">
        <w:t>ed within the context of the two years, encompassing profitability, liquidity, gearing, efficiency, and investor ratios. It reevaluates the differences in these ratios, seeks possible explanations for the change, and researches the weaknesses of ratio analysis. According to the findings, guidelines are suggested to improve the company's financial management. To provide strength and confidence, the report includes appendices with the company's financial data and cal</w:t>
      </w:r>
      <w:r w:rsidRPr="004575A5">
        <w:t>culations of ratios, supported by 25 credible and reputable reference sites.</w:t>
      </w:r>
    </w:p>
    <w:p w14:paraId="3BF3FF4D" w14:textId="77777777" w:rsidR="004575A5" w:rsidRDefault="009311C5" w:rsidP="007908B5">
      <w:pPr>
        <w:pStyle w:val="Heading2"/>
        <w:spacing w:before="0"/>
      </w:pPr>
      <w:bookmarkStart w:id="3" w:name="_Toc201401294"/>
      <w:r>
        <w:t>Financial Ratio Analysis</w:t>
      </w:r>
      <w:bookmarkEnd w:id="3"/>
      <w:r>
        <w:t xml:space="preserve"> </w:t>
      </w:r>
    </w:p>
    <w:p w14:paraId="1A96082A" w14:textId="77777777" w:rsidR="004575A5" w:rsidRDefault="009311C5" w:rsidP="007908B5">
      <w:pPr>
        <w:pStyle w:val="Heading3"/>
      </w:pPr>
      <w:bookmarkStart w:id="4" w:name="_Toc201401295"/>
      <w:r>
        <w:t>Profitability Ratio</w:t>
      </w:r>
      <w:bookmarkEnd w:id="4"/>
      <w:r>
        <w:t xml:space="preserve"> </w:t>
      </w:r>
    </w:p>
    <w:p w14:paraId="08C3E8E9" w14:textId="77777777" w:rsidR="004575A5" w:rsidRDefault="009311C5" w:rsidP="007908B5">
      <w:pPr>
        <w:spacing w:after="0"/>
      </w:pPr>
      <w:r w:rsidRPr="004575A5">
        <w:t>Profitability ratios determine a company's ability to achieve profitability in its sales, assets, and capital. BAE Systems Plc experienced negative changes in specific key profitability metrics between 2023 and 2024. The Gross Profit Margin declined to 8.38% in 2004, compared to 9.37% in 2003, indicating an increase in operating expenses, possibly due to the rise in raw materials and labo</w:t>
      </w:r>
      <w:r>
        <w:t>u</w:t>
      </w:r>
      <w:r w:rsidRPr="004575A5">
        <w:t>r costs in the defen</w:t>
      </w:r>
      <w:r>
        <w:t>c</w:t>
      </w:r>
      <w:r w:rsidRPr="004575A5">
        <w:t>e industry. Likewise, the Operating Profit Margin declined by 1.15 points to 10.20%, indicating less efficient operations, which can be attributed to the acquisition of Ball Aerospace for $5.6 billion, resulting in additional expenses. The Net Profit Margin would also decrease to 7.76% compared to 8.41% due to higher finance costs and a decrease in profit before tax, although revenue has not changed significantly.</w:t>
      </w:r>
    </w:p>
    <w:p w14:paraId="5ECAE837" w14:textId="77777777" w:rsidR="004575A5" w:rsidRDefault="009311C5" w:rsidP="007908B5">
      <w:pPr>
        <w:spacing w:after="0"/>
      </w:pPr>
      <w:r w:rsidRPr="004575A5">
        <w:t xml:space="preserve">Furthermore, the Return on Assets (ROA) declined by 6.05 percentage points to 5.35 percentage points primarily due to a significant increase in total assets from 32,064 million to 38,142 million, </w:t>
      </w:r>
      <w:r w:rsidRPr="004575A5">
        <w:lastRenderedPageBreak/>
        <w:t xml:space="preserve">among other factors, including goodwill resulting from the acquisition. Finally, the Return on Equity (ROE) dropped marginally by 0.75 percentage points to 16.84%, indicating that although shareholder equity has improved, profitability has not increased proportionally. These changes underscore the financial implications, strategic investments, and operational expenses that must be </w:t>
      </w:r>
      <w:proofErr w:type="spellStart"/>
      <w:r w:rsidRPr="004575A5">
        <w:t>skillfully</w:t>
      </w:r>
      <w:proofErr w:type="spellEnd"/>
      <w:r w:rsidRPr="004575A5">
        <w:t xml:space="preserve"> managed in the long term to ensure profitability in the defen</w:t>
      </w:r>
      <w:r>
        <w:t>c</w:t>
      </w:r>
      <w:r w:rsidRPr="004575A5">
        <w:t>e sector.</w:t>
      </w:r>
    </w:p>
    <w:p w14:paraId="293B8150" w14:textId="77777777" w:rsidR="004575A5" w:rsidRDefault="009311C5" w:rsidP="007908B5">
      <w:pPr>
        <w:pStyle w:val="Heading3"/>
      </w:pPr>
      <w:bookmarkStart w:id="5" w:name="_Toc201401296"/>
      <w:r>
        <w:t>Liquidity Ratio</w:t>
      </w:r>
      <w:bookmarkEnd w:id="5"/>
      <w:r>
        <w:t xml:space="preserve"> </w:t>
      </w:r>
    </w:p>
    <w:p w14:paraId="6ADCB326" w14:textId="77777777" w:rsidR="004575A5" w:rsidRDefault="009311C5" w:rsidP="007908B5">
      <w:pPr>
        <w:spacing w:after="0"/>
      </w:pPr>
      <w:r w:rsidRPr="004575A5">
        <w:t xml:space="preserve">Liquidity ratios assess a company's capability to finance its short-term liabilities, and BAE Systems Plc has demonstrated a decrease in the most critical metrics between 2023 and 2024. The current ratio decreased by 0.11, or 0.06, compared to 0.9, which was below the recommended rate of 1.0, indicating a possible inability to meet current liabilities using current assets. </w:t>
      </w:r>
      <w:r w:rsidR="003A5B2F" w:rsidRPr="003A5B2F">
        <w:t xml:space="preserve">The decline may have constrained liquidity footing, such as a position of much shorter-term excess or less effective utilisation al. Similarly, the Quick Ratio has also declined remarkably to a level of 0.84, indicating that its ability to meet short-term financial obligations without selling stock products has deteriorated. The lower quick ratio suggests a higher degree of reliance, as the assets are already dependent on their conversion to cash within a short period, which may not be an easy task to achieve. This will be even more problematic in a volatile market. </w:t>
      </w:r>
      <w:r w:rsidRPr="004575A5">
        <w:t>Moreover, the Cash Ratio decreased by 0.39 to 0.27, indicating a deterioration in the cash cushion. Such a decrease could correspond with increased spending on capital investments or debt repayment, thereby restricting the company's short-term liquidity. In combination, these changes indicate that BAE Systems remains financially stable; however, there is a possibility that the firm needs to improve its management of short-term liquidity risks to m</w:t>
      </w:r>
      <w:r w:rsidRPr="004575A5">
        <w:t>aintain financial flexibility. The potential improvement in working capital efficiency and optimisation of cash resources would help strengthen general liquidity in the next few years.</w:t>
      </w:r>
    </w:p>
    <w:p w14:paraId="2FD1B7E2" w14:textId="77777777" w:rsidR="004575A5" w:rsidRDefault="009311C5" w:rsidP="007908B5">
      <w:pPr>
        <w:pStyle w:val="Heading3"/>
      </w:pPr>
      <w:bookmarkStart w:id="6" w:name="_Toc201401297"/>
      <w:r>
        <w:t>Gearing/ Leverage Ratio</w:t>
      </w:r>
      <w:bookmarkEnd w:id="6"/>
      <w:r>
        <w:t xml:space="preserve"> </w:t>
      </w:r>
    </w:p>
    <w:p w14:paraId="1B883557" w14:textId="77777777" w:rsidR="004575A5" w:rsidRDefault="009311C5" w:rsidP="007908B5">
      <w:pPr>
        <w:spacing w:after="0"/>
      </w:pPr>
      <w:r w:rsidRPr="004575A5">
        <w:t>Gearing ratios measure a company's financial position and exposure to financial risk, showing a significant variation in the case of BAE Systems Plc between 2023 and 2024. The Debt-to-Equity Ratio was previously 0.48, improving to 0.71, indicating that it relies more heavily on borrowing, primarily to fund acquisitions, such as Ball Aerospace, which increases financial risk (Damodaran, 2014). Likewise, as the Debt-to-Assets Ratio rose from 0.16 to 0.22, it indicated a further increase in assets funded throu</w:t>
      </w:r>
      <w:r w:rsidRPr="004575A5">
        <w:t xml:space="preserve">gh debt (Kaplan </w:t>
      </w:r>
      <w:r w:rsidR="005339AF">
        <w:t>and</w:t>
      </w:r>
      <w:r w:rsidRPr="004575A5">
        <w:t xml:space="preserve"> Atkinson, 1998). In the meantime, the Interest Coverage Ratio decreased to 5.50 times, down from 6.14 times, indicating a reduced ability to pay interest </w:t>
      </w:r>
      <w:r w:rsidRPr="004575A5">
        <w:lastRenderedPageBreak/>
        <w:t>expenses due to increased finance costs (Brealey et al., 2020). Finally, the Equity Ratio decreased by 0.33 to 0.31, indicating that the company was more inclined to rely on debt financing rather than own equity (</w:t>
      </w:r>
      <w:proofErr w:type="spellStart"/>
      <w:r w:rsidRPr="004575A5">
        <w:t>Fridson</w:t>
      </w:r>
      <w:proofErr w:type="spellEnd"/>
      <w:r w:rsidRPr="004575A5">
        <w:t xml:space="preserve"> </w:t>
      </w:r>
      <w:r w:rsidR="005339AF">
        <w:t>and</w:t>
      </w:r>
      <w:r w:rsidRPr="004575A5">
        <w:t xml:space="preserve"> Alvarez, 2022). These changes underscore the financial implications of investment and lending strategies, emphasi</w:t>
      </w:r>
      <w:r w:rsidRPr="004575A5">
        <w:t>sing the importance of prudent debt management to ensure long-term sustainability.</w:t>
      </w:r>
    </w:p>
    <w:p w14:paraId="53731515" w14:textId="77777777" w:rsidR="004575A5" w:rsidRDefault="009311C5" w:rsidP="007908B5">
      <w:pPr>
        <w:pStyle w:val="Heading3"/>
      </w:pPr>
      <w:bookmarkStart w:id="7" w:name="_Toc201401298"/>
      <w:r>
        <w:t>Efficiency Ratio</w:t>
      </w:r>
      <w:bookmarkEnd w:id="7"/>
      <w:r>
        <w:t xml:space="preserve"> </w:t>
      </w:r>
    </w:p>
    <w:p w14:paraId="00FCB59A" w14:textId="77777777" w:rsidR="005339AF" w:rsidRDefault="009311C5" w:rsidP="007908B5">
      <w:pPr>
        <w:spacing w:after="0"/>
      </w:pPr>
      <w:r w:rsidRPr="005C2A82">
        <w:t>The efficiency ratios are ratios that determine how efficiently an organisation employs its resources in shaking revenue. BAE Systems Plc has experienced significant fluctuations in its performance between 2023 and 2024. The Asset Turnover Ratio declined by 2 per cent. It stood at 0.69 times, indicating a slight change in the rate of asset utilisation, which may be attributed to the introduction of new assets by the company (Chopra and Meindl, 2016). Conversely, the Receivable Turnover increased to 3.95 tim</w:t>
      </w:r>
      <w:r w:rsidRPr="005C2A82">
        <w:t>es, compared to 3.73 times earlier, a fact that can be attributed to an acceleration in receivables movement, thereby enhancing cash flow and reducing the possibility of default. Meanwhile, the Inventory Turnover level remained unchanged, with the number increasing slightly (from 18.09 times to 18.20 times), which did not indicate a significant change in the practice of efficiently managing inventory (Womack &amp; Jones, 2013). The above trends emphasise the notion that BAE Systems can continue to achieve opera</w:t>
      </w:r>
      <w:r w:rsidRPr="005C2A82">
        <w:t>tional stability despite the acquisition of new assets, which underscores the need to apply practical utilisation of assets in maintaining financial stability.</w:t>
      </w:r>
    </w:p>
    <w:p w14:paraId="79CF88CB" w14:textId="77777777" w:rsidR="005339AF" w:rsidRDefault="009311C5" w:rsidP="007908B5">
      <w:pPr>
        <w:pStyle w:val="Heading3"/>
      </w:pPr>
      <w:bookmarkStart w:id="8" w:name="_Toc201401299"/>
      <w:r>
        <w:t>Investor Ratio</w:t>
      </w:r>
      <w:bookmarkEnd w:id="8"/>
      <w:r>
        <w:t xml:space="preserve"> </w:t>
      </w:r>
    </w:p>
    <w:p w14:paraId="29BFC843" w14:textId="77777777" w:rsidR="005339AF" w:rsidRDefault="009311C5" w:rsidP="007908B5">
      <w:pPr>
        <w:spacing w:after="0"/>
      </w:pPr>
      <w:r w:rsidRPr="005339AF">
        <w:t>Shareholder value is a good indicator of a company's financial health and profitability, and as such, investor ratios demonstrate this. The profitability per share and the returns to investors were also seen to have improved, as the Earnings Per Share (EPS) increased to 64.9p in 2024, compared to 61.3p in 2023 (BAE, 2024). This increase indicates that the firm is dominant in revenue creation and cost control, thereby asserting value in the financial stability of the firm. On the same note, the book value pe</w:t>
      </w:r>
      <w:r w:rsidRPr="005339AF">
        <w:t>r share increased by £0.39 (i.e., to £3.85), which also means that the net asset value per share rose accordingly (Investing.com, 2024). This development indicates a substantial accumulation of assets and equity, providing evidence of the company's ability to generate long-term shareholder value. In the meantime, the dividend yield values could not be fully calculated; however, BAE Systems indicated a trailing dividend yield of 1.87% for 2024, indicating its income distribution strategy (Yahoo Finance, 2023</w:t>
      </w:r>
      <w:r w:rsidRPr="005339AF">
        <w:t xml:space="preserve">). These indicators suggest that the improved </w:t>
      </w:r>
      <w:r w:rsidRPr="005339AF">
        <w:lastRenderedPageBreak/>
        <w:t>profitability and asset value are not the only significant improvements exhibited by BAE Systems. Investors can examine the dividend trends to assess future income prospects in the long term. All in all, these indicators can be seen as an indication of a good financial position, which incentivises long-term shareholder optimism.</w:t>
      </w:r>
    </w:p>
    <w:p w14:paraId="3D7282BD" w14:textId="77777777" w:rsidR="005339AF" w:rsidRDefault="009311C5" w:rsidP="007908B5">
      <w:pPr>
        <w:pStyle w:val="Heading2"/>
      </w:pPr>
      <w:bookmarkStart w:id="9" w:name="_Toc201401300"/>
      <w:r w:rsidRPr="005339AF">
        <w:t>Critical Evaluation of Ratios</w:t>
      </w:r>
      <w:bookmarkEnd w:id="9"/>
    </w:p>
    <w:p w14:paraId="6D0E62AD" w14:textId="77777777" w:rsidR="0044646B" w:rsidRDefault="009311C5" w:rsidP="007908B5">
      <w:pPr>
        <w:pStyle w:val="Heading3"/>
      </w:pPr>
      <w:bookmarkStart w:id="10" w:name="_Toc201401301"/>
      <w:r w:rsidRPr="005339AF">
        <w:t>Analysis of Changes in Ratios</w:t>
      </w:r>
      <w:bookmarkEnd w:id="10"/>
    </w:p>
    <w:p w14:paraId="5BEC74C4" w14:textId="77777777" w:rsidR="005339AF" w:rsidRDefault="009311C5" w:rsidP="007908B5">
      <w:pPr>
        <w:spacing w:after="0"/>
      </w:pPr>
      <w:r>
        <w:t>Operating expenses and finance costs increased, which negatively impacted profitability between 2023 and 2024, explaining the decrease in the profitability ratios, specifically the gross profit margin, operating profit margin, and net profit margin. The acquisition of Ball Aerospace (five billion six hundred million dollars) had a significant positive impact on goodwill and intangible assets, both of which contributed to the operating costs and interest expenses (</w:t>
      </w:r>
      <w:proofErr w:type="spellStart"/>
      <w:r>
        <w:t>Shabong</w:t>
      </w:r>
      <w:proofErr w:type="spellEnd"/>
      <w:r>
        <w:t xml:space="preserve">, 2023). Geopolitical tensions and additions to supply chains, present in the defence sector industry outlooks, might also encourage high prices (Deloitte, 2023). The minor decrease in ROA and ROE indicates that the ratio of the increased asset base and equity has not been reflected in a proportional increase in profits, a typical phenomenon associated with significant acquisitions (Pontus </w:t>
      </w:r>
      <w:proofErr w:type="spellStart"/>
      <w:r>
        <w:t>Averstad</w:t>
      </w:r>
      <w:proofErr w:type="spellEnd"/>
      <w:r>
        <w:t xml:space="preserve"> et al., 2023). </w:t>
      </w:r>
    </w:p>
    <w:p w14:paraId="19486F07" w14:textId="77777777" w:rsidR="005339AF" w:rsidRDefault="009311C5" w:rsidP="007908B5">
      <w:pPr>
        <w:spacing w:after="0"/>
      </w:pPr>
      <w:r>
        <w:t>Liquidity ratios were deteriorating, with the current ratio expected to be lower than 1.0 in 2024, indicating potential liquidity risks. This can be attributed to higher current liabilities, including contract liabilities and trade payables, which result from growth in operations following the acquisition (Boston Consulting Group, 2023). The low cash ratio implies that there is a limited cash reserve available to finance an acquisition or retirement debt, which reduces its liquidity coverage (PwC, 2024).</w:t>
      </w:r>
    </w:p>
    <w:p w14:paraId="0AD821A2" w14:textId="77777777" w:rsidR="005339AF" w:rsidRDefault="009311C5" w:rsidP="007908B5">
      <w:pPr>
        <w:spacing w:after="0"/>
      </w:pPr>
      <w:r>
        <w:t>The expansion of the gearing ratio, particularly the debt-to-equity ratio, indicates a shift in strategy towards debt financing to fuel growth activities, which included the acquisition of Ball Aerospace and contracts to provide submarines to AUKUS for £ 3.95 billion (BAE, 2024). This improves the opportunity to grow, but it also increases financial risk by creating a decline in the interest coverage ratio (Kenny, 2024). The fact that the stable equity ratio indicates BAE Systems is practising and has a bal</w:t>
      </w:r>
      <w:r>
        <w:t>anced capital structure, however, is of some concern, given that debt levels have increased (Norton, 2008).</w:t>
      </w:r>
    </w:p>
    <w:p w14:paraId="208EFF46" w14:textId="77777777" w:rsidR="005339AF" w:rsidRDefault="009311C5" w:rsidP="007908B5">
      <w:pPr>
        <w:spacing w:after="0"/>
      </w:pPr>
      <w:r>
        <w:t xml:space="preserve">The efficiency ratios were performed diagonally. This trend in increased receivables turnover shares its success with effective credit management that adheres to best industry practices (Sunday </w:t>
      </w:r>
      <w:r>
        <w:lastRenderedPageBreak/>
        <w:t xml:space="preserve">et al., 2023). Nonetheless, the minor decrease in asset turnover indicates that new assets, including those acquired through Ball Aerospace, have yet to be fully optimised for revenue generation (Chopra </w:t>
      </w:r>
      <w:r w:rsidR="009A0964">
        <w:t>and</w:t>
      </w:r>
      <w:r>
        <w:t xml:space="preserve"> Meindl, 2016). Stable inventory turnover indicates that supply chain management is robust, which is essential in the defence industry (Womack </w:t>
      </w:r>
      <w:r w:rsidR="009A0964">
        <w:t>and</w:t>
      </w:r>
      <w:r>
        <w:t xml:space="preserve"> Jones, 2013).</w:t>
      </w:r>
    </w:p>
    <w:p w14:paraId="28E3D57B" w14:textId="77777777" w:rsidR="005339AF" w:rsidRDefault="009311C5" w:rsidP="007908B5">
      <w:pPr>
        <w:spacing w:after="0"/>
      </w:pPr>
      <w:r>
        <w:t xml:space="preserve">There were changes in investor ratios, particularly two key metrics, EPS and book value per share, which improved, signalling a positive creation of shareholder value. The improvement in EPS is an indicator of growth in profitability. In contrast, the increase in book value per share suggests an improvement in the net asset position, which makes this company more attractive to investors. </w:t>
      </w:r>
    </w:p>
    <w:p w14:paraId="47819A3D" w14:textId="77777777" w:rsidR="005339AF" w:rsidRDefault="009311C5" w:rsidP="007908B5">
      <w:pPr>
        <w:pStyle w:val="Heading2"/>
        <w:spacing w:before="0"/>
      </w:pPr>
      <w:bookmarkStart w:id="11" w:name="_Toc201401302"/>
      <w:r>
        <w:t>Limitation of Ratio Analysis</w:t>
      </w:r>
      <w:bookmarkEnd w:id="11"/>
      <w:r>
        <w:t xml:space="preserve"> </w:t>
      </w:r>
    </w:p>
    <w:p w14:paraId="5206E5BC" w14:textId="77777777" w:rsidR="005339AF" w:rsidRDefault="009311C5" w:rsidP="007908B5">
      <w:pPr>
        <w:spacing w:after="0"/>
      </w:pPr>
      <w:r w:rsidRPr="005339AF">
        <w:t>Ratio analysis is also functional, but it has limitations. To begin with, it is based on records, which may not accurately predict the upcoming performance, particularly in the unstable defen</w:t>
      </w:r>
      <w:r w:rsidR="00D47C6A">
        <w:t>c</w:t>
      </w:r>
      <w:r w:rsidRPr="005339AF">
        <w:t xml:space="preserve">e sector due to geopolitical activities (Porter, 1980). Second, ratios are subject to accounting policy, which can differ from one company to another, making them non-comparable across companies. For example, assets may be overvalued due to goodwill that BAE Systems' valuation can impact after the acquisition, which in turn affects return on assets (ROA) and return on equity (ROE) (Palepu et al., 2018). Third, ratios are non-descriptive when it comes to </w:t>
      </w:r>
      <w:proofErr w:type="gramStart"/>
      <w:r w:rsidRPr="005339AF">
        <w:t>taking into account</w:t>
      </w:r>
      <w:proofErr w:type="gramEnd"/>
      <w:r w:rsidRPr="005339AF">
        <w:t xml:space="preserve"> qualitative elements, including t</w:t>
      </w:r>
      <w:r w:rsidRPr="005339AF">
        <w:t>he level of management quality or market situation, which greatly influence performance (Berk et al., 2019). Lastly, long-term defen</w:t>
      </w:r>
      <w:r w:rsidR="00D47C6A">
        <w:t>c</w:t>
      </w:r>
      <w:r w:rsidRPr="005339AF">
        <w:t>e contracts, among other industry specifics, may skew ratios based on the short term, such as measures of liquidity and efficiency, where revenue can accrue over years (Deloitte, 2023). These shortcomings warrant the use of a comprehensive approach, which involves ratio analysis in conjunction with qualitative information.</w:t>
      </w:r>
    </w:p>
    <w:p w14:paraId="6DA83363" w14:textId="77777777" w:rsidR="00D47C6A" w:rsidRDefault="009311C5" w:rsidP="007908B5">
      <w:pPr>
        <w:pStyle w:val="Heading2"/>
        <w:spacing w:before="0"/>
      </w:pPr>
      <w:bookmarkStart w:id="12" w:name="_Toc201401303"/>
      <w:r w:rsidRPr="00D47C6A">
        <w:t>Recommendations for Financial Management</w:t>
      </w:r>
      <w:bookmarkEnd w:id="12"/>
    </w:p>
    <w:p w14:paraId="68C851DA" w14:textId="77777777" w:rsidR="00D47C6A" w:rsidRDefault="009311C5" w:rsidP="007908B5">
      <w:pPr>
        <w:spacing w:after="0"/>
      </w:pPr>
      <w:r w:rsidRPr="00D47C6A">
        <w:rPr>
          <w:b/>
          <w:bCs/>
          <w:i/>
          <w:iCs/>
        </w:rPr>
        <w:t>Improve Profitability:</w:t>
      </w:r>
      <w:r>
        <w:t xml:space="preserve"> </w:t>
      </w:r>
      <w:r w:rsidRPr="00D47C6A">
        <w:t xml:space="preserve">The optimisation of costs plays a central role in enhancing profitability, and lean management can help contain operating costs, especially in the supply chain and production processes (Womack </w:t>
      </w:r>
      <w:r w:rsidR="009A0964">
        <w:t>and</w:t>
      </w:r>
      <w:r w:rsidRPr="00D47C6A">
        <w:t xml:space="preserve"> Jones, 2013). Contingency plans, such as renegotiating with suppliers, can help mitigate the rising cost of raw materials, thereby enhancing efficiency. Additionally, synergies such as reduced R&amp;D costs and economies of scale, achieved through the faster integration of Ball Aerospace, would increase operating pro</w:t>
      </w:r>
      <w:r w:rsidRPr="00D47C6A">
        <w:t xml:space="preserve">fit margins (Kenny, 2024). It would take 1,218 months to achieve the same result with a dedicated task force, which would ensure smooth collaboration and cost savings. Additionally, long-term financial stability necessitates </w:t>
      </w:r>
      <w:r w:rsidRPr="00D47C6A">
        <w:lastRenderedPageBreak/>
        <w:t>revenue diversification. Diversification in neighbo</w:t>
      </w:r>
      <w:r>
        <w:t>u</w:t>
      </w:r>
      <w:r w:rsidRPr="00D47C6A">
        <w:t>ring markets, such as cybersecurity or unmanned systems, can also help decrease dependency on defen</w:t>
      </w:r>
      <w:r>
        <w:t>c</w:t>
      </w:r>
      <w:r w:rsidRPr="00D47C6A">
        <w:t>e deals, thereby increasing net profit margins (Boston Consulting Group, 2023). All these strategic efforts are aligned to enhance fina</w:t>
      </w:r>
      <w:r w:rsidRPr="00D47C6A">
        <w:t>ncial strength, ensuring that even when market conditions change, BAE Systems remains in a competitive position.</w:t>
      </w:r>
    </w:p>
    <w:p w14:paraId="67F8FFD2" w14:textId="77777777" w:rsidR="005339AF" w:rsidRDefault="009311C5" w:rsidP="007908B5">
      <w:pPr>
        <w:spacing w:after="0"/>
      </w:pPr>
      <w:r w:rsidRPr="00D47C6A">
        <w:rPr>
          <w:b/>
          <w:bCs/>
          <w:i/>
          <w:iCs/>
        </w:rPr>
        <w:t>Enhance Liquidity:</w:t>
      </w:r>
      <w:r>
        <w:t xml:space="preserve"> </w:t>
      </w:r>
      <w:r w:rsidRPr="00D47C6A">
        <w:t>Liquidity and financial stability can be improved through effective working capital management. The enhanced turnover of receivables can be augmented by enforcing a tighter credit policy and adopting an automated invoicing system, thereby raising the current ratio beyond 1.0 in less than one year. The low cash ratio is also addressed by creating robust cash flow forecast models that ensure sufficient cash levels are maintained within the company. Such an effect is the use of some of the available cash in t</w:t>
      </w:r>
      <w:r w:rsidRPr="00D47C6A">
        <w:t xml:space="preserve">he account as a liquidity cushion to mitigate short-term financial risk and enhance stability (McLaney </w:t>
      </w:r>
      <w:r>
        <w:t>and</w:t>
      </w:r>
      <w:r w:rsidRPr="00D47C6A">
        <w:t xml:space="preserve"> </w:t>
      </w:r>
      <w:proofErr w:type="spellStart"/>
      <w:r w:rsidRPr="00D47C6A">
        <w:t>Atrill</w:t>
      </w:r>
      <w:proofErr w:type="spellEnd"/>
      <w:r w:rsidRPr="00D47C6A">
        <w:t xml:space="preserve">, 2020). </w:t>
      </w:r>
    </w:p>
    <w:p w14:paraId="567AFD25" w14:textId="77777777" w:rsidR="00D47C6A" w:rsidRDefault="009311C5" w:rsidP="007908B5">
      <w:pPr>
        <w:spacing w:after="0"/>
      </w:pPr>
      <w:r w:rsidRPr="00D47C6A">
        <w:rPr>
          <w:b/>
          <w:bCs/>
          <w:i/>
          <w:iCs/>
        </w:rPr>
        <w:t>Boost Efficiency:</w:t>
      </w:r>
      <w:r>
        <w:t xml:space="preserve"> </w:t>
      </w:r>
      <w:r w:rsidRPr="00D47C6A">
        <w:t xml:space="preserve">Proper asset utilisation enhances efficiency and improves the financial bottom line. Proper adjustments to newly acquired assets can be made by scheduling production time according to demand estimations, which will increase the asset turnover ratio, </w:t>
      </w:r>
      <w:proofErr w:type="gramStart"/>
      <w:r w:rsidRPr="00D47C6A">
        <w:t>provided that</w:t>
      </w:r>
      <w:proofErr w:type="gramEnd"/>
      <w:r w:rsidRPr="00D47C6A">
        <w:t xml:space="preserve"> resources are used efficiently and adequately (Chopra </w:t>
      </w:r>
      <w:r>
        <w:t>and</w:t>
      </w:r>
      <w:r w:rsidRPr="00D47C6A">
        <w:t xml:space="preserve"> Meindl, 2016). The process of capacity planning among Ball Aerospace facilities would facilitate the process and ensure that the output is maximised. Moreover, automation and digital tools </w:t>
      </w:r>
      <w:r w:rsidRPr="00D47C6A">
        <w:t>should be invested in to support the ongoing management of both inventory and receivables, thereby maintaining high turnover ratios to improve cash flow (PwC, 2024). The introduction of innovative technologies will help lessen inefficiencies and increase on-demand monitoring of raw materials. Moreover, implementing a system with key performance indicators (KPIs) to manage the effectiveness of assets across different divisions ensures the consistency of operations with industry standards, as well as strategi</w:t>
      </w:r>
      <w:r w:rsidRPr="00D47C6A">
        <w:t xml:space="preserve">c interests (Kaplan </w:t>
      </w:r>
      <w:r>
        <w:t>and</w:t>
      </w:r>
      <w:r w:rsidRPr="00D47C6A">
        <w:t xml:space="preserve"> Atkinson, 1998). These steps collectively enhance the utilisation of assets and promote long-term financial stability</w:t>
      </w:r>
      <w:r w:rsidR="005C2A82">
        <w:t xml:space="preserve"> </w:t>
      </w:r>
      <w:r w:rsidR="005C2A82" w:rsidRPr="00D47C6A">
        <w:t>(Brealey et al., 2020)</w:t>
      </w:r>
      <w:r w:rsidRPr="00D47C6A">
        <w:t>.</w:t>
      </w:r>
    </w:p>
    <w:p w14:paraId="474E56D2" w14:textId="77777777" w:rsidR="00D47C6A" w:rsidRDefault="009311C5" w:rsidP="007908B5">
      <w:pPr>
        <w:spacing w:after="0"/>
      </w:pPr>
      <w:r w:rsidRPr="00D47C6A">
        <w:rPr>
          <w:b/>
          <w:bCs/>
          <w:i/>
          <w:iCs/>
        </w:rPr>
        <w:t>Enhance Investor Appeal:</w:t>
      </w:r>
      <w:r>
        <w:t xml:space="preserve"> </w:t>
      </w:r>
      <w:r w:rsidRPr="00D47C6A">
        <w:t>To compete effectively, a strategic approach to enhancing shareholder value and transparency is necessary for improved investor appeal. Since it has a 1.87% yield, paying 1% or slightly more in dividends will allow for maintaining the same level, which will strengthen investor confidence. This is supported by a defined dividend policy outlined in the 2025 annual report (Yahoo Finance, 2023). Moreover, the shortcomings of ratio analysis can be addressed by improving financial disclosure and evaluating wheth</w:t>
      </w:r>
      <w:r w:rsidRPr="00D47C6A">
        <w:t xml:space="preserve">er acquisitions or long-term </w:t>
      </w:r>
      <w:r w:rsidRPr="00D47C6A">
        <w:lastRenderedPageBreak/>
        <w:t>contracts are made qualitatively (Palepu et al., 2018). The frequent issuance of investor briefings detailing the rising EPS and book value will only enhance BAE Systems' standing as a secure bet on the FTSE 100 (BAE, 2024)</w:t>
      </w:r>
      <w:r>
        <w:t xml:space="preserve">. </w:t>
      </w:r>
    </w:p>
    <w:p w14:paraId="2365A316" w14:textId="77777777" w:rsidR="00D47C6A" w:rsidRDefault="009311C5" w:rsidP="007908B5">
      <w:pPr>
        <w:spacing w:after="0"/>
      </w:pPr>
      <w:r w:rsidRPr="00D47C6A">
        <w:t xml:space="preserve">BAE Systems Plc exhibits underperformance in terms of profitability and liquidity but maintains a healthy financial position in the FTSE 100 due to high EPS and book value values in 2024. Profitability ratios decreased due to the rise in the </w:t>
      </w:r>
      <w:r w:rsidRPr="00D47C6A">
        <w:t>cost of acquiring Ball Aerospace and industry pressure. In contrast, liquidity ratios have a downward trend, indicating the need to pay closer attention to working capital management. When gearing ratios are higher, they suggest greater financial risks; therefore, careful debt management is necessary. The efficiency ratios are steady, and the receivables turnover has improved, while the investor ratios indicate a strong creation of shareholder value. The recommended actions, which include cost minimisation,</w:t>
      </w:r>
      <w:r w:rsidRPr="00D47C6A">
        <w:t xml:space="preserve"> liquidity management, debt refinancing, asset utilisation, and investor-facing initiatives, serve as strategic guidelines for enhancing financial performance. By addressing these areas, BAE Systems will be able to compete effectively with other industry players in the global defence sector and deliver value to its stakeholders.</w:t>
      </w:r>
    </w:p>
    <w:p w14:paraId="0D2E52F2" w14:textId="77777777" w:rsidR="009A0964" w:rsidRDefault="009311C5" w:rsidP="007908B5">
      <w:pPr>
        <w:spacing w:after="0" w:line="259" w:lineRule="auto"/>
        <w:jc w:val="left"/>
      </w:pPr>
      <w:r>
        <w:br w:type="page"/>
      </w:r>
    </w:p>
    <w:p w14:paraId="4530BA1F" w14:textId="77777777" w:rsidR="003C7A2B" w:rsidRDefault="009311C5" w:rsidP="00693CD6">
      <w:pPr>
        <w:pStyle w:val="Heading1"/>
        <w:rPr>
          <w:lang w:val="en-US"/>
        </w:rPr>
      </w:pPr>
      <w:bookmarkStart w:id="13" w:name="_Toc201179172"/>
      <w:bookmarkStart w:id="14" w:name="_Toc201401304"/>
      <w:r>
        <w:rPr>
          <w:lang w:val="en-US"/>
        </w:rPr>
        <w:lastRenderedPageBreak/>
        <w:t xml:space="preserve">Part 2: </w:t>
      </w:r>
      <w:r w:rsidRPr="00836CD4">
        <w:rPr>
          <w:lang w:val="en-US"/>
        </w:rPr>
        <w:t xml:space="preserve">Business Report for </w:t>
      </w:r>
      <w:proofErr w:type="spellStart"/>
      <w:r w:rsidRPr="00836CD4">
        <w:rPr>
          <w:lang w:val="en-US"/>
        </w:rPr>
        <w:t>Jordons</w:t>
      </w:r>
      <w:proofErr w:type="spellEnd"/>
      <w:r w:rsidRPr="00836CD4">
        <w:rPr>
          <w:lang w:val="en-US"/>
        </w:rPr>
        <w:t xml:space="preserve"> Plc: Investment Options Evaluation</w:t>
      </w:r>
      <w:bookmarkEnd w:id="13"/>
      <w:bookmarkEnd w:id="14"/>
    </w:p>
    <w:p w14:paraId="7961178B" w14:textId="77777777" w:rsidR="003C7A2B" w:rsidRDefault="009311C5" w:rsidP="007908B5">
      <w:pPr>
        <w:spacing w:after="0"/>
        <w:rPr>
          <w:lang w:val="en-US"/>
        </w:rPr>
      </w:pPr>
      <w:proofErr w:type="spellStart"/>
      <w:r w:rsidRPr="00836CD4">
        <w:rPr>
          <w:lang w:val="en-US"/>
        </w:rPr>
        <w:t>Jordons</w:t>
      </w:r>
      <w:proofErr w:type="spellEnd"/>
      <w:r w:rsidRPr="00836CD4">
        <w:rPr>
          <w:lang w:val="en-US"/>
        </w:rPr>
        <w:t xml:space="preserve"> Plc has reached a turning point and is attempting to build on its reputation in the window blind market. The three mutually exclusive investment opportunities that the directors have identified to spur growth include expanding the retail outlet to stock all products, establishing an internet sales unit, and introducing curtains and Roman blinds. All the options involve a high initial capital outlay, and each is associated with different cash flows over the four years. This report provides a detailed financ</w:t>
      </w:r>
      <w:r w:rsidRPr="00836CD4">
        <w:rPr>
          <w:lang w:val="en-US"/>
        </w:rPr>
        <w:t>ial and strategic analysis that informs the Board's decision</w:t>
      </w:r>
      <w:r>
        <w:rPr>
          <w:lang w:val="en-US"/>
        </w:rPr>
        <w:t>-</w:t>
      </w:r>
      <w:r w:rsidRPr="00836CD4">
        <w:rPr>
          <w:lang w:val="en-US"/>
        </w:rPr>
        <w:t>making process. The appraisal provides an NPV analysis as the primary expectation, complemented by IRR analysis, and incorporates qualitative study to inform the overall advice. The report also discusses the ideal investment strategy in the event of restricted funds and suggests a financing mechanism to support the preferred plan</w:t>
      </w:r>
      <w:r>
        <w:rPr>
          <w:lang w:val="en-US"/>
        </w:rPr>
        <w:t xml:space="preserve">. </w:t>
      </w:r>
    </w:p>
    <w:p w14:paraId="1CD118FF" w14:textId="77777777" w:rsidR="003C7A2B" w:rsidRDefault="009311C5" w:rsidP="007908B5">
      <w:pPr>
        <w:pStyle w:val="Heading2"/>
        <w:rPr>
          <w:rFonts w:ascii="Times New Roman" w:hAnsi="Times New Roman"/>
          <w:sz w:val="36"/>
        </w:rPr>
      </w:pPr>
      <w:bookmarkStart w:id="15" w:name="_Toc201179174"/>
      <w:bookmarkStart w:id="16" w:name="_Toc201401305"/>
      <w:r>
        <w:t>Evaluation of Investment Options Using NPV</w:t>
      </w:r>
      <w:bookmarkEnd w:id="15"/>
      <w:bookmarkEnd w:id="16"/>
    </w:p>
    <w:p w14:paraId="1CB8BEE3" w14:textId="77777777" w:rsidR="003C7A2B" w:rsidRDefault="009311C5" w:rsidP="007908B5">
      <w:pPr>
        <w:spacing w:after="0"/>
      </w:pPr>
      <w:r>
        <w:t xml:space="preserve">The NPV technique was used to evaluate the three options, measuring the cost of capital at 6 per cent to discount future cash flows and compute the present value of the project, as well as estimating the present value of each project </w:t>
      </w:r>
      <w:r w:rsidRPr="00B07D65">
        <w:t>(Coombs, Hobbs, and Jenkins, 2015)</w:t>
      </w:r>
      <w:r>
        <w:t xml:space="preserve">. A substantial merit of NPV is that it uses the time value of money and, therefore, gives a clear picture of value creation </w:t>
      </w:r>
      <w:r w:rsidRPr="00B07D65">
        <w:t>(</w:t>
      </w:r>
      <w:proofErr w:type="spellStart"/>
      <w:r w:rsidRPr="00B07D65">
        <w:t>Atrill</w:t>
      </w:r>
      <w:proofErr w:type="spellEnd"/>
      <w:r w:rsidRPr="00B07D65">
        <w:t xml:space="preserve"> and </w:t>
      </w:r>
      <w:proofErr w:type="spellStart"/>
      <w:r w:rsidRPr="00B07D65">
        <w:t>Mclaney</w:t>
      </w:r>
      <w:proofErr w:type="spellEnd"/>
      <w:r w:rsidRPr="00B07D65">
        <w:t>, 2022)</w:t>
      </w:r>
      <w:r>
        <w:t xml:space="preserve">. The computation takes into consideration a 25 per cent corporation tax and a 20 per cent capital allowance, both based on the straight-line method, and all cash flows are represented as year-end flows </w:t>
      </w:r>
      <w:r w:rsidRPr="00B07D65">
        <w:t>(Arnold and Lewis, 2019)</w:t>
      </w:r>
      <w:r>
        <w:t>.</w:t>
      </w:r>
    </w:p>
    <w:p w14:paraId="767FD28B" w14:textId="77777777" w:rsidR="003C7A2B" w:rsidRDefault="009311C5" w:rsidP="007908B5">
      <w:pPr>
        <w:spacing w:after="0"/>
      </w:pPr>
      <w:r>
        <w:t xml:space="preserve">In option A, the plan is to expand the retail outlet to provide a complete range of products at an initial cost of 600,000. This alternative will leverage the firm's current success in retailing and aim to increase its on-the-ground presence, thereby increasing sales of its products. The cash flows indicate that the business is moving steadily, a result of an improved product profile and customer satisfaction </w:t>
      </w:r>
      <w:r w:rsidRPr="00B07D65">
        <w:t>(Ryan and Ryan, 2022)</w:t>
      </w:r>
      <w:r>
        <w:t>.</w:t>
      </w:r>
    </w:p>
    <w:p w14:paraId="20BD14A9" w14:textId="77777777" w:rsidR="003C7A2B" w:rsidRDefault="009311C5" w:rsidP="007908B5">
      <w:pPr>
        <w:spacing w:after="0"/>
      </w:pPr>
      <w:r>
        <w:t xml:space="preserve">The costs of option B include the creation of an internet sales platform, for which the initial cost will be £ 1,000,000. Such an option aligns with the growing interest in e-commerce, which becomes scalable and provides access to a broader customer base </w:t>
      </w:r>
      <w:r w:rsidRPr="00B07D65">
        <w:t>(Parsons and Titman, 2009)</w:t>
      </w:r>
      <w:r>
        <w:t>. The cash flows indicate a strong growth leadership, particularly in the later years, as the platform gains traction.</w:t>
      </w:r>
    </w:p>
    <w:p w14:paraId="10CE5C1B" w14:textId="77777777" w:rsidR="003C7A2B" w:rsidRDefault="009311C5" w:rsidP="007908B5">
      <w:pPr>
        <w:spacing w:after="0"/>
      </w:pPr>
      <w:r>
        <w:t xml:space="preserve">Option C involves diversification into the production of curtains and Roman blinds, and the cost of diving into this is one and a half million pounds (1.5 million pounds). This alternative will put </w:t>
      </w:r>
      <w:proofErr w:type="spellStart"/>
      <w:r>
        <w:lastRenderedPageBreak/>
        <w:t>Jordons</w:t>
      </w:r>
      <w:proofErr w:type="spellEnd"/>
      <w:r>
        <w:t xml:space="preserve"> Plc in an advantageous position, exploiting a supplementary market by aligning with its current product line </w:t>
      </w:r>
      <w:r w:rsidRPr="00B07D65">
        <w:t>(Ehrhardt and Brigham, 2017)</w:t>
      </w:r>
      <w:r>
        <w:t>. This is because the cash flows are the greatest compared to the other choices, representing significant market demand and a price premium.</w:t>
      </w:r>
    </w:p>
    <w:p w14:paraId="57B040F0" w14:textId="77777777" w:rsidR="003C7A2B" w:rsidRPr="00836CD4" w:rsidRDefault="009311C5" w:rsidP="007908B5">
      <w:pPr>
        <w:spacing w:after="0"/>
      </w:pPr>
      <w:r>
        <w:t xml:space="preserve">The NPV analysis (as outlined in Appendix A) shows that Option C has the highest NPV, then Option B, last, Option A. Option C has a higher NPV than the other options, which means that it will create the highest value due to large inflow of cash as well as economies of scale </w:t>
      </w:r>
      <w:r w:rsidRPr="00B07D65">
        <w:t>(</w:t>
      </w:r>
      <w:proofErr w:type="spellStart"/>
      <w:r w:rsidRPr="00B07D65">
        <w:t>Trigeorgis</w:t>
      </w:r>
      <w:proofErr w:type="spellEnd"/>
      <w:r w:rsidRPr="00B07D65">
        <w:t>, 2024)</w:t>
      </w:r>
      <w:r>
        <w:t xml:space="preserve">. Strategically, this will expand the product range, minimise the risk of excessive dependence on a single market, and enhance the company's competitive position. Depending on this, therefore, option C is the preferred investment option </w:t>
      </w:r>
      <w:r w:rsidRPr="00B07D65">
        <w:t>(Marx et al., 2017)</w:t>
      </w:r>
      <w:r>
        <w:t>.</w:t>
      </w:r>
    </w:p>
    <w:p w14:paraId="1FB81BD2" w14:textId="77777777" w:rsidR="003C7A2B" w:rsidRDefault="009311C5" w:rsidP="007908B5">
      <w:pPr>
        <w:pStyle w:val="Heading2"/>
        <w:rPr>
          <w:rFonts w:ascii="Times New Roman" w:hAnsi="Times New Roman"/>
          <w:sz w:val="36"/>
        </w:rPr>
      </w:pPr>
      <w:bookmarkStart w:id="17" w:name="_Toc201179175"/>
      <w:bookmarkStart w:id="18" w:name="_Toc201401306"/>
      <w:r>
        <w:t>Internal Rate of Return (IRR) for Option C</w:t>
      </w:r>
      <w:bookmarkEnd w:id="17"/>
      <w:bookmarkEnd w:id="18"/>
    </w:p>
    <w:p w14:paraId="750FF897" w14:textId="77777777" w:rsidR="003C7A2B" w:rsidRDefault="009311C5" w:rsidP="007908B5">
      <w:pPr>
        <w:spacing w:after="0"/>
      </w:pPr>
      <w:r w:rsidRPr="00836CD4">
        <w:t>To further support the recommendation, the internal rate of return (IRR) of Option C was calculated. IRR is a rate of discount that sets the NPV of a project to zero, providing information on the profitability of a project compared to the cost of capital. The Option C IR</w:t>
      </w:r>
      <w:r>
        <w:t>R</w:t>
      </w:r>
      <w:r w:rsidRPr="00836CD4">
        <w:t xml:space="preserve"> is approximately 20 per cent (Appendix A), compared to a 6 per cent cost of capital, which is considered very high</w:t>
      </w:r>
      <w:r>
        <w:t xml:space="preserve"> </w:t>
      </w:r>
      <w:r w:rsidRPr="00B07D65">
        <w:t>(Grant, 2021)</w:t>
      </w:r>
      <w:r w:rsidRPr="00836CD4">
        <w:t>. This elevated IRR further illustrates the project's financial appeal, specifically, a substantial safety margin against any rise in borrowing costs or market volatility. The IRR supports the recommendation based on NPV, which validates the probability that Option C will bring substantial returns</w:t>
      </w:r>
      <w:r>
        <w:t xml:space="preserve"> </w:t>
      </w:r>
      <w:r w:rsidRPr="00B07D65">
        <w:t>(Graham and Harvey, 2022)</w:t>
      </w:r>
      <w:r w:rsidRPr="00836CD4">
        <w:t>.</w:t>
      </w:r>
    </w:p>
    <w:p w14:paraId="00C0A6A1" w14:textId="77777777" w:rsidR="003C7A2B" w:rsidRDefault="009311C5" w:rsidP="007908B5">
      <w:pPr>
        <w:pStyle w:val="Heading2"/>
        <w:rPr>
          <w:rFonts w:ascii="Times New Roman" w:hAnsi="Times New Roman"/>
          <w:sz w:val="36"/>
        </w:rPr>
      </w:pPr>
      <w:bookmarkStart w:id="19" w:name="_Toc201179176"/>
      <w:bookmarkStart w:id="20" w:name="_Toc201401307"/>
      <w:r>
        <w:t>Interpretation of Results for Management</w:t>
      </w:r>
      <w:bookmarkEnd w:id="19"/>
      <w:bookmarkEnd w:id="20"/>
    </w:p>
    <w:p w14:paraId="79C52602" w14:textId="77777777" w:rsidR="003C7A2B" w:rsidRDefault="009311C5" w:rsidP="007908B5">
      <w:pPr>
        <w:pStyle w:val="Heading3"/>
        <w:rPr>
          <w:rFonts w:ascii="Times New Roman" w:hAnsi="Times New Roman"/>
          <w:sz w:val="27"/>
        </w:rPr>
      </w:pPr>
      <w:bookmarkStart w:id="21" w:name="_Toc201179177"/>
      <w:bookmarkStart w:id="22" w:name="_Toc201401308"/>
      <w:r>
        <w:t>Theoretical Arguments for NPV as the Best Appraisal Method</w:t>
      </w:r>
      <w:bookmarkEnd w:id="21"/>
      <w:bookmarkEnd w:id="22"/>
    </w:p>
    <w:p w14:paraId="1B500B6C" w14:textId="77777777" w:rsidR="003C7A2B" w:rsidRDefault="009311C5" w:rsidP="007908B5">
      <w:pPr>
        <w:spacing w:after="0"/>
      </w:pPr>
      <w:r w:rsidRPr="00836CD4">
        <w:t>The NPV is considered the gold standard of investment appraisal instruments because it accounts for the time value of money. Discounting future cash flows, NPV can be used to ensure that future money realised is adequately discounted against existing expenses. This is the strategy that aligns with the financial theory that a pound will be worth more today than it will be tomorrow due to the opportunity costs and inflation. NPV additionally calculates all cash flows throughout the project's life, thereby off</w:t>
      </w:r>
      <w:r w:rsidRPr="00836CD4">
        <w:t>ering a comprehensive picture of profitability</w:t>
      </w:r>
      <w:r>
        <w:t xml:space="preserve"> </w:t>
      </w:r>
      <w:r w:rsidRPr="00B07D65">
        <w:t>(Grant, 2021)</w:t>
      </w:r>
      <w:r w:rsidRPr="00836CD4">
        <w:t>. NPV can measure the absolute value added by the project to shareholder wealth, unlike other methods, and thus, it becomes a vital instrument in capital budgeting decisions. Additionally, the flexibility of NPV allows it to incorporate various discount rates, taxes, and risk considerations, making it suitable for complex projects</w:t>
      </w:r>
      <w:r>
        <w:t xml:space="preserve"> </w:t>
      </w:r>
      <w:r w:rsidRPr="00B07D65">
        <w:t>(Ehrhardt and Brigham, 2017)</w:t>
      </w:r>
      <w:r w:rsidRPr="00836CD4">
        <w:t>.</w:t>
      </w:r>
    </w:p>
    <w:p w14:paraId="68D2F471" w14:textId="77777777" w:rsidR="003C7A2B" w:rsidRDefault="009311C5" w:rsidP="007908B5">
      <w:pPr>
        <w:pStyle w:val="Heading3"/>
        <w:rPr>
          <w:rFonts w:ascii="Times New Roman" w:hAnsi="Times New Roman"/>
          <w:sz w:val="27"/>
        </w:rPr>
      </w:pPr>
      <w:bookmarkStart w:id="23" w:name="_Toc201179178"/>
      <w:bookmarkStart w:id="24" w:name="_Toc201401309"/>
      <w:r>
        <w:lastRenderedPageBreak/>
        <w:t>Popularity of Non-Discounting Methods</w:t>
      </w:r>
      <w:bookmarkEnd w:id="23"/>
      <w:bookmarkEnd w:id="24"/>
    </w:p>
    <w:p w14:paraId="7FF87474" w14:textId="77777777" w:rsidR="003C7A2B" w:rsidRDefault="009311C5" w:rsidP="007908B5">
      <w:pPr>
        <w:spacing w:after="0"/>
      </w:pPr>
      <w:r w:rsidRPr="00836CD4">
        <w:t>Although NPV is theoretically preferable, these non-discounting rules, including the payback period and the accounting rate of return (ARR), continue to find favo</w:t>
      </w:r>
      <w:r>
        <w:t>u</w:t>
      </w:r>
      <w:r w:rsidRPr="00836CD4">
        <w:t>r among decision-makers. The payback period, as a measure of the time it takes to recover the initial investment, is popular due to its simplicity and liquidity orientation. The interest in fast recovery in cash-constrained firms is at the top of the agenda for managers to reduce financial risk</w:t>
      </w:r>
      <w:r>
        <w:t xml:space="preserve"> </w:t>
      </w:r>
      <w:r w:rsidRPr="00B07D65">
        <w:t>(</w:t>
      </w:r>
      <w:proofErr w:type="spellStart"/>
      <w:r w:rsidRPr="00B07D65">
        <w:t>Atrill</w:t>
      </w:r>
      <w:proofErr w:type="spellEnd"/>
      <w:r w:rsidRPr="00B07D65">
        <w:t xml:space="preserve"> and McLaney, 2022)</w:t>
      </w:r>
      <w:r w:rsidRPr="00836CD4">
        <w:t xml:space="preserve">. ARR, which measures the mean annual profitability in proportion to the initial amount of the investment, is simple and </w:t>
      </w:r>
      <w:proofErr w:type="gramStart"/>
      <w:r w:rsidRPr="00836CD4">
        <w:t>similar to</w:t>
      </w:r>
      <w:proofErr w:type="gramEnd"/>
      <w:r w:rsidRPr="00836CD4">
        <w:t xml:space="preserve"> general accounting indicators. These methods are easier t</w:t>
      </w:r>
      <w:r w:rsidRPr="00836CD4">
        <w:t>o compute and convey, especially to non-financial stakeholders</w:t>
      </w:r>
      <w:r>
        <w:t xml:space="preserve"> </w:t>
      </w:r>
      <w:r w:rsidRPr="00B07D65">
        <w:t>(Graham and Harvey, 2022)</w:t>
      </w:r>
      <w:r w:rsidRPr="00836CD4">
        <w:t>. They, however, neglect the time value of money and future cash flows after the payback period, which may be the cause of the suboptimal decisions. The fact that they are still in use is indicative of a preference for simple, short</w:t>
      </w:r>
      <w:r>
        <w:t>-</w:t>
      </w:r>
      <w:r w:rsidRPr="00836CD4">
        <w:t>term measures in some organisational scenarios.</w:t>
      </w:r>
    </w:p>
    <w:p w14:paraId="79988B6F" w14:textId="77777777" w:rsidR="003C7A2B" w:rsidRDefault="009311C5" w:rsidP="007908B5">
      <w:pPr>
        <w:pStyle w:val="Heading3"/>
        <w:rPr>
          <w:rFonts w:ascii="Times New Roman" w:hAnsi="Times New Roman"/>
          <w:sz w:val="27"/>
        </w:rPr>
      </w:pPr>
      <w:bookmarkStart w:id="25" w:name="_Toc201179179"/>
      <w:bookmarkStart w:id="26" w:name="_Toc201401310"/>
      <w:r>
        <w:t>Other Factors to Consider Before Investment</w:t>
      </w:r>
      <w:bookmarkEnd w:id="25"/>
      <w:bookmarkEnd w:id="26"/>
    </w:p>
    <w:p w14:paraId="6C2A26EB" w14:textId="77777777" w:rsidR="003C7A2B" w:rsidRDefault="009311C5" w:rsidP="007908B5">
      <w:pPr>
        <w:spacing w:after="0"/>
      </w:pPr>
      <w:r w:rsidRPr="00836CD4">
        <w:t xml:space="preserve">Although the financial figures are essential, several qualitative and tactical considerations should also be </w:t>
      </w:r>
      <w:proofErr w:type="gramStart"/>
      <w:r w:rsidRPr="00836CD4">
        <w:t>taken into account</w:t>
      </w:r>
      <w:proofErr w:type="gramEnd"/>
      <w:r w:rsidRPr="00836CD4">
        <w:t xml:space="preserve"> when making the investment decision. A market demand analysis must support the projected cash flows. In Option C, there is good potential, as the increasing popularity of curtains and Roman blinds in the exclusive interior design industry gives rise to the idea; however, a clear need exists to investigate the competition and market preferences. The production capabilities, including the operational facility, reliability of the supply chain, and expertise of the workforce, must be reviewed</w:t>
      </w:r>
      <w:r w:rsidRPr="00836CD4">
        <w:t xml:space="preserve"> to achieve scalability</w:t>
      </w:r>
      <w:r>
        <w:t xml:space="preserve"> </w:t>
      </w:r>
      <w:r w:rsidRPr="00B07D65">
        <w:t>(Pike and Neale, 2019)</w:t>
      </w:r>
      <w:r w:rsidRPr="00836CD4">
        <w:t>. There would be regulatory compliance, especially in aspects of product safety and the environment, which may affect cost and time.</w:t>
      </w:r>
    </w:p>
    <w:p w14:paraId="2824007B" w14:textId="77777777" w:rsidR="003C7A2B" w:rsidRDefault="009311C5" w:rsidP="007908B5">
      <w:pPr>
        <w:spacing w:after="0"/>
      </w:pPr>
      <w:r w:rsidRPr="00836CD4">
        <w:t>Additionally, it is essential to align with the Jordan Plc brand and its long</w:t>
      </w:r>
      <w:r>
        <w:t>-</w:t>
      </w:r>
      <w:r w:rsidRPr="00836CD4">
        <w:t>term vision. The synergistic effect of option C with existing products enhances brand coherence, but threats to market saturation or technological disruption should be considered. The feasibility and acceptability of the proposal can be assessed through consultation with stakeholders, including employees and customers.</w:t>
      </w:r>
    </w:p>
    <w:p w14:paraId="083332F2" w14:textId="77777777" w:rsidR="003C7A2B" w:rsidRDefault="009311C5" w:rsidP="007908B5">
      <w:pPr>
        <w:pStyle w:val="Heading2"/>
        <w:spacing w:before="0"/>
        <w:rPr>
          <w:rFonts w:ascii="Times New Roman" w:hAnsi="Times New Roman"/>
          <w:sz w:val="36"/>
        </w:rPr>
      </w:pPr>
      <w:bookmarkStart w:id="27" w:name="_Toc201179180"/>
      <w:bookmarkStart w:id="28" w:name="_Toc201401311"/>
      <w:r>
        <w:t>Optimal Investment Policy with Limited Funds</w:t>
      </w:r>
      <w:bookmarkEnd w:id="27"/>
      <w:bookmarkEnd w:id="28"/>
    </w:p>
    <w:p w14:paraId="2F363399" w14:textId="77777777" w:rsidR="003C7A2B" w:rsidRDefault="009311C5" w:rsidP="007908B5">
      <w:pPr>
        <w:spacing w:after="0"/>
      </w:pPr>
      <w:r>
        <w:t xml:space="preserve">With a budget constraint of £2,000,000, the investment strategy for fertility is to maximise the Net Present Value (NPV) per pound invested by </w:t>
      </w:r>
      <w:proofErr w:type="spellStart"/>
      <w:r>
        <w:t>Jordons</w:t>
      </w:r>
      <w:proofErr w:type="spellEnd"/>
      <w:r>
        <w:t xml:space="preserve"> Plc. The company utilises ranking options based on their efficiency in generating returns, thereby prioritising projects that offer the maximum </w:t>
      </w:r>
      <w:r>
        <w:lastRenderedPageBreak/>
        <w:t xml:space="preserve">financial impact at the lowest capital level. The evaluation shows that option A provides a higher NPV per pound than Options B and C and will form the basis of an investment order aimed at maximising financial results </w:t>
      </w:r>
      <w:r w:rsidRPr="00B07D65">
        <w:t>(</w:t>
      </w:r>
      <w:proofErr w:type="spellStart"/>
      <w:r w:rsidRPr="00B07D65">
        <w:t>Trigeorgis</w:t>
      </w:r>
      <w:proofErr w:type="spellEnd"/>
      <w:r w:rsidRPr="00B07D65">
        <w:t>, 2024)</w:t>
      </w:r>
      <w:r>
        <w:t>.</w:t>
      </w:r>
    </w:p>
    <w:p w14:paraId="4D664B93" w14:textId="77777777" w:rsidR="003C7A2B" w:rsidRDefault="009311C5" w:rsidP="007908B5">
      <w:pPr>
        <w:spacing w:after="0"/>
      </w:pPr>
      <w:r>
        <w:t xml:space="preserve">The offered investment policy entails a full investment in Option A of £600,000, which is expected to yield the most significant profit per pound. The remaining budget of $1,400,000 is allocated to partial executions of Option </w:t>
      </w:r>
      <w:proofErr w:type="spellStart"/>
      <w:r>
        <w:t>C at</w:t>
      </w:r>
      <w:proofErr w:type="spellEnd"/>
      <w:r>
        <w:t xml:space="preserve"> 0.875 capacities. This strategic allocation yields an overall NPV of £1,256,875, which is significantly higher than the returns that would have been achieved by selecting any of the </w:t>
      </w:r>
      <w:r w:rsidR="000B2F22">
        <w:t>investments</w:t>
      </w:r>
      <w:r>
        <w:t xml:space="preserve">. The divisibility in project assumptions enables </w:t>
      </w:r>
      <w:proofErr w:type="spellStart"/>
      <w:r>
        <w:t>Jordons</w:t>
      </w:r>
      <w:proofErr w:type="spellEnd"/>
      <w:r>
        <w:t xml:space="preserve"> Plc to dynamically allocate funds, thereby capturing the advantages of diversification while realising financial efficiency </w:t>
      </w:r>
      <w:r w:rsidRPr="00B07D65">
        <w:t>(Damodaran, 2015)</w:t>
      </w:r>
      <w:r>
        <w:t>.</w:t>
      </w:r>
    </w:p>
    <w:p w14:paraId="686E1BD2" w14:textId="77777777" w:rsidR="003C7A2B" w:rsidRDefault="009311C5" w:rsidP="007908B5">
      <w:pPr>
        <w:spacing w:after="0"/>
      </w:pPr>
      <w:r>
        <w:t xml:space="preserve">The company is less vulnerable to risk and invests in portfolio equality, as well as flexibility in capital restrictions, as part of the funding for Option C. Such a strategy will guarantee the most favourable financial payoffs without altering the position of portfolio diversification, which reaffirms the </w:t>
      </w:r>
      <w:proofErr w:type="spellStart"/>
      <w:r>
        <w:t>Jordons</w:t>
      </w:r>
      <w:proofErr w:type="spellEnd"/>
      <w:r>
        <w:t xml:space="preserve"> Plc approach to strategic resource allocation, as well as its commitment to long-term profitability.</w:t>
      </w:r>
    </w:p>
    <w:p w14:paraId="632E23D3" w14:textId="77777777" w:rsidR="003C7A2B" w:rsidRDefault="009311C5" w:rsidP="007908B5">
      <w:pPr>
        <w:pStyle w:val="Heading2"/>
        <w:spacing w:before="0"/>
        <w:rPr>
          <w:rFonts w:ascii="Times New Roman" w:hAnsi="Times New Roman"/>
          <w:sz w:val="36"/>
        </w:rPr>
      </w:pPr>
      <w:bookmarkStart w:id="29" w:name="_Toc201179181"/>
      <w:bookmarkStart w:id="30" w:name="_Toc201401312"/>
      <w:r>
        <w:t>Financing the Investment Programme</w:t>
      </w:r>
      <w:bookmarkEnd w:id="29"/>
      <w:bookmarkEnd w:id="30"/>
    </w:p>
    <w:p w14:paraId="7C213C00" w14:textId="77777777" w:rsidR="003C7A2B" w:rsidRDefault="009311C5" w:rsidP="007908B5">
      <w:pPr>
        <w:spacing w:after="0"/>
      </w:pPr>
      <w:proofErr w:type="spellStart"/>
      <w:r>
        <w:t>Jordons</w:t>
      </w:r>
      <w:proofErr w:type="spellEnd"/>
      <w:r>
        <w:t xml:space="preserve"> Plc will need to find a financing source to accommodate the implementation of Option C, which would require £ 1,600,000. The primary alternatives (equity financing, debt financing and retained earnings) have peculiar benefits and limitations.</w:t>
      </w:r>
    </w:p>
    <w:p w14:paraId="2207D0DA" w14:textId="77777777" w:rsidR="003C7A2B" w:rsidRDefault="009311C5" w:rsidP="007908B5">
      <w:pPr>
        <w:spacing w:after="0"/>
      </w:pPr>
      <w:r>
        <w:t>Equity financing involves the issuance of new shares to raise capital. It is a debt-free method that maintains a healthy cash flow for running business operations. It is also an indicator of confidence to investors, which may raise share value. However, share issuance diminishes the ownership interests of existing shareholders and can lead to a loss of control in the case of a substantial equity sale. Underwriting and regulatory costs may also be gigantic.</w:t>
      </w:r>
    </w:p>
    <w:p w14:paraId="20E3F09F" w14:textId="77777777" w:rsidR="003C7A2B" w:rsidRDefault="009311C5" w:rsidP="007908B5">
      <w:pPr>
        <w:spacing w:after="0"/>
      </w:pPr>
      <w:r>
        <w:t>Debt financing involves loans provided by banks or the issuance of corporate bonds; these are directly available without the risk of diluting ownership. The interest expense incurred to pay off the loan is tax-deductible, making borrowing more affordable. However, debt exposes financial risk since interest must be paid up even when the venture is unprofitable. Covenants, gearing requirements, and high leverage may limit operational flexibility, and high leverage may discourage any investor with concerns rel</w:t>
      </w:r>
      <w:r>
        <w:t>ated to leverage.</w:t>
      </w:r>
    </w:p>
    <w:p w14:paraId="6392CACB" w14:textId="77777777" w:rsidR="003C7A2B" w:rsidRDefault="009311C5" w:rsidP="007908B5">
      <w:pPr>
        <w:spacing w:after="0"/>
      </w:pPr>
      <w:r>
        <w:lastRenderedPageBreak/>
        <w:t xml:space="preserve">Retained earnings exploit the domestic gains, that is, shunning the peripheral expenses of borrowing and safeguarding ownership. This strategy demonstrates prudent financial management and aligns with long-term sustainability. However, relying solely on retained earnings as the source of growth can be restrictive when profits are low, and redirecting funds to finance the required growth may not please shareholders </w:t>
      </w:r>
      <w:r w:rsidRPr="00B07D65">
        <w:t>(Berk and Demarzo, 2024)</w:t>
      </w:r>
      <w:r>
        <w:t>.</w:t>
      </w:r>
    </w:p>
    <w:p w14:paraId="117AAF15" w14:textId="77777777" w:rsidR="003C7A2B" w:rsidRDefault="009311C5" w:rsidP="007908B5">
      <w:pPr>
        <w:spacing w:after="0"/>
      </w:pPr>
      <w:r w:rsidRPr="00F27356">
        <w:t>It is suggested to apply a balanced strategy, utilising retained earnings with a moderate degree of debt financing. Such an approach utilises internal funds, providing financial flexibility. As an example</w:t>
      </w:r>
      <w:r>
        <w:t>,</w:t>
      </w:r>
      <w:r w:rsidRPr="00F27356">
        <w:t xml:space="preserve"> Option C could be financed with a £800,000 loan from retained earnings and a £800,000 loan at competitive interest rates. The Board must study cash flow in fine detail and consider the recommendations of financial advisors to refine the financing mix, ensuring it aligns with the company's risk position and growth goals.</w:t>
      </w:r>
    </w:p>
    <w:p w14:paraId="2A9B6A3C" w14:textId="77777777" w:rsidR="003C7A2B" w:rsidRDefault="009311C5" w:rsidP="007908B5">
      <w:pPr>
        <w:spacing w:after="0"/>
      </w:pPr>
      <w:r w:rsidRPr="00F27356">
        <w:t>Following the NPV analysis, Option C, which involves making curtains and Roman blinds, is the most financially feasible and strategically sound option, with the highest NPV and a strong IRR of 20%. The project's conformity to market trends and its alignment with current products make the product more appealing. The theoretical strength of NPV can justify its use as the key appraisal technique, and the simplicity of the non-discounting technique is also a key factor. Qualitative factors, such as market deman</w:t>
      </w:r>
      <w:r w:rsidRPr="00F27356">
        <w:t xml:space="preserve">d and operational feasibility, also support the recommendation. A mix of Option A and a part of Option C, under a budget constraint of $2,000,000, is the one that maximises NPV. A combination of both retained earnings and debt financing should be used to fund Option C, as it offers a synergy of cost, risk, and control. To achieve sustainable growth, </w:t>
      </w:r>
      <w:r>
        <w:t>the Board is recommend</w:t>
      </w:r>
      <w:r w:rsidRPr="00F27356">
        <w:t>ed to adopt Option C, based on rational market research and stakeholder consultations.</w:t>
      </w:r>
    </w:p>
    <w:p w14:paraId="27473CB7" w14:textId="77777777" w:rsidR="00B201CB" w:rsidRDefault="009311C5" w:rsidP="00693CD6">
      <w:pPr>
        <w:pStyle w:val="Heading1"/>
      </w:pPr>
      <w:bookmarkStart w:id="31" w:name="_Toc201401313"/>
      <w:r>
        <w:t>Conclusion</w:t>
      </w:r>
      <w:bookmarkEnd w:id="31"/>
      <w:r>
        <w:t xml:space="preserve"> </w:t>
      </w:r>
    </w:p>
    <w:p w14:paraId="72F105CE" w14:textId="77777777" w:rsidR="009A418A" w:rsidRDefault="009311C5" w:rsidP="007908B5">
      <w:pPr>
        <w:spacing w:after="0"/>
      </w:pPr>
      <w:r>
        <w:t xml:space="preserve">The report provides a comprehensive financial and strategic analysis of BAE Systems Plc and </w:t>
      </w:r>
      <w:proofErr w:type="spellStart"/>
      <w:r>
        <w:t>Jordons</w:t>
      </w:r>
      <w:proofErr w:type="spellEnd"/>
      <w:r>
        <w:t xml:space="preserve"> Plc, discussing the individual issues and potentials of the two companies through financial analysis and investment appraisal. In the case of BAE Systems, the analysis of financial ratios conducted in 2023–2024 yielded both positive and negative results. The profitability ratios, such as the gross profit margin (8.38% in 2024 compared with 9.37% in 2023) and net profit margin (7.76% from 8.41%), decreased due to the $5.6 billion takeover of Ball Aerospace. The current ratio of 0.95 in 2024 and the q</w:t>
      </w:r>
      <w:r>
        <w:t xml:space="preserve">uick ratio of 0.84 indicate that financial flexibility is narrow, which is below industry standards. The debt-to-equity ratio reaches 0.71, which is within the gearing </w:t>
      </w:r>
      <w:r>
        <w:lastRenderedPageBreak/>
        <w:t>ratios, indicating higher financial risks due to debt-based growth. Efficiency ratios were unchanged, and the receivables turnover increased (3.95 times), whereas investor ratios point to satisfactory value creation, such as EPS (64.9p in 2024). The report's recommendations include optimisation of costs through lean management, as well as imp</w:t>
      </w:r>
      <w:r>
        <w:t>rovements in liquidity and working capital management, along with optimal management of debt to reduce risk and enhance BAE's status within the FTSE 100.</w:t>
      </w:r>
    </w:p>
    <w:p w14:paraId="23789B0F" w14:textId="77777777" w:rsidR="009A418A" w:rsidRDefault="009311C5" w:rsidP="007908B5">
      <w:pPr>
        <w:spacing w:after="0"/>
      </w:pPr>
      <w:r>
        <w:t>Based on the investment appraisal, the third option (diversify into curtains and Roman blinds), known as Option C, is the most financially viable option in which the company can invest, as it has an NPV of 985,400 and an IRR of 20 per cent that is far beyond the cost of capital of 6 per cent. Such a choice aligns with market demand and provides economies of scale. A budget constraint of $ 2,000,000 should employ a fully funded strategy for option A ($ 600,000) and a partly funded option C (0 capacity), with</w:t>
      </w:r>
      <w:r>
        <w:t xml:space="preserve"> an overall NPV of $ 1,256,875. A financing ratio of 1:1 between retained incomes or earnings of 800,000 and debt of 800,000 is suggested, as this balance strikes a balance between cost, risk, and control to achieve viable growth. Other qualitative aspects, such as market demand and operational scalability, support the strategic fit of Option C.</w:t>
      </w:r>
    </w:p>
    <w:p w14:paraId="64E16597" w14:textId="77777777" w:rsidR="009A418A" w:rsidRDefault="009311C5" w:rsidP="007908B5">
      <w:pPr>
        <w:spacing w:after="0"/>
      </w:pPr>
      <w:r>
        <w:t xml:space="preserve">Overall, the two companies have problems to overcome, although they have definite ways to address them. BAE Systems faces both profitability and liquidity challenges, and it must leverage its strong investor metrics to safeguard its position in the market. </w:t>
      </w:r>
      <w:proofErr w:type="spellStart"/>
      <w:r>
        <w:t>Jordons</w:t>
      </w:r>
      <w:proofErr w:type="spellEnd"/>
      <w:r>
        <w:t xml:space="preserve"> Plc has an opportunity to realise high returns and market compatibility with Option C, thereby generating its growth. Managing the cost and liquidity and maintaining a proper financing system as a set of recommended actions can help both companies achieve a higher level of financial stability, take advantage of the market conditions, and bring long-term value to their stakeholders, which will strengthen the competitive position of each of the companies in their corresponding industries.</w:t>
      </w:r>
    </w:p>
    <w:p w14:paraId="36033536" w14:textId="77777777" w:rsidR="003C7A2B" w:rsidRDefault="009311C5" w:rsidP="00DA793E">
      <w:pPr>
        <w:spacing w:after="0" w:line="259" w:lineRule="auto"/>
        <w:jc w:val="left"/>
        <w:rPr>
          <w:rFonts w:eastAsiaTheme="majorEastAsia" w:cstheme="majorBidi"/>
          <w:b/>
          <w:sz w:val="28"/>
          <w:szCs w:val="26"/>
        </w:rPr>
      </w:pPr>
      <w:r>
        <w:br w:type="page"/>
      </w:r>
    </w:p>
    <w:p w14:paraId="341D2CEA" w14:textId="77777777" w:rsidR="007908B5" w:rsidRPr="007908B5" w:rsidRDefault="009311C5" w:rsidP="00693CD6">
      <w:pPr>
        <w:pStyle w:val="Heading1"/>
      </w:pPr>
      <w:bookmarkStart w:id="32" w:name="_Toc201401314"/>
      <w:r w:rsidRPr="007908B5">
        <w:lastRenderedPageBreak/>
        <w:t>References</w:t>
      </w:r>
      <w:bookmarkEnd w:id="32"/>
      <w:r w:rsidRPr="007908B5">
        <w:t xml:space="preserve"> </w:t>
      </w:r>
    </w:p>
    <w:p w14:paraId="5E50CDBF" w14:textId="77777777" w:rsidR="007908B5" w:rsidRDefault="009311C5" w:rsidP="007908B5">
      <w:pPr>
        <w:pStyle w:val="NormalWeb"/>
        <w:spacing w:before="0" w:beforeAutospacing="0" w:after="0" w:afterAutospacing="0" w:line="360" w:lineRule="auto"/>
        <w:jc w:val="both"/>
      </w:pPr>
      <w:r>
        <w:t xml:space="preserve">Arnold, G. and Lewis, D. (2019). </w:t>
      </w:r>
      <w:r>
        <w:rPr>
          <w:i/>
          <w:iCs/>
        </w:rPr>
        <w:t>Corporate Financial Management</w:t>
      </w:r>
      <w:r>
        <w:t>. 6th ed. Harlow, United Kingdom: Pearson Education.</w:t>
      </w:r>
    </w:p>
    <w:p w14:paraId="5CF1EFD4" w14:textId="77777777" w:rsidR="007908B5" w:rsidRDefault="009311C5" w:rsidP="007908B5">
      <w:pPr>
        <w:pStyle w:val="NormalWeb"/>
        <w:spacing w:before="0" w:beforeAutospacing="0" w:after="0" w:afterAutospacing="0" w:line="360" w:lineRule="auto"/>
        <w:jc w:val="both"/>
      </w:pPr>
      <w:proofErr w:type="spellStart"/>
      <w:r>
        <w:t>Atrill</w:t>
      </w:r>
      <w:proofErr w:type="spellEnd"/>
      <w:r>
        <w:t xml:space="preserve">, P. and </w:t>
      </w:r>
      <w:proofErr w:type="spellStart"/>
      <w:r>
        <w:t>Mclaney</w:t>
      </w:r>
      <w:proofErr w:type="spellEnd"/>
      <w:r>
        <w:t xml:space="preserve">, E. (2022). </w:t>
      </w:r>
      <w:r>
        <w:rPr>
          <w:i/>
          <w:iCs/>
        </w:rPr>
        <w:t>Accounting and Finance for Non-Specialists.</w:t>
      </w:r>
      <w:r>
        <w:t xml:space="preserve"> 12th ed. S.L.: Pearson Education Limited.</w:t>
      </w:r>
    </w:p>
    <w:p w14:paraId="488A70E1" w14:textId="77777777" w:rsidR="007908B5" w:rsidRDefault="009311C5" w:rsidP="007908B5">
      <w:pPr>
        <w:pStyle w:val="NormalWeb"/>
        <w:spacing w:before="0" w:beforeAutospacing="0" w:after="0" w:afterAutospacing="0" w:line="360" w:lineRule="auto"/>
        <w:jc w:val="both"/>
      </w:pPr>
      <w:r>
        <w:t xml:space="preserve">BAE (2024). </w:t>
      </w:r>
      <w:r>
        <w:rPr>
          <w:i/>
          <w:iCs/>
        </w:rPr>
        <w:t>Annual Report 2024</w:t>
      </w:r>
      <w:r>
        <w:t>. [online] Baesystems.com. Available at: https://annualreport.baesystems.com/ [Accessed 21 Jun. 2025].</w:t>
      </w:r>
    </w:p>
    <w:p w14:paraId="021951EA" w14:textId="77777777" w:rsidR="007908B5" w:rsidRDefault="009311C5" w:rsidP="007908B5">
      <w:pPr>
        <w:pStyle w:val="NormalWeb"/>
        <w:spacing w:before="0" w:beforeAutospacing="0" w:after="0" w:afterAutospacing="0" w:line="360" w:lineRule="auto"/>
        <w:jc w:val="both"/>
      </w:pPr>
      <w:r>
        <w:t xml:space="preserve">Berk, J.B. and Demarzo, P.M. (2024). </w:t>
      </w:r>
      <w:r>
        <w:rPr>
          <w:i/>
          <w:iCs/>
        </w:rPr>
        <w:t>Corporate Finance</w:t>
      </w:r>
      <w:r>
        <w:t>. 6th ed. New York, NY: Pearson.</w:t>
      </w:r>
    </w:p>
    <w:p w14:paraId="2068403F" w14:textId="77777777" w:rsidR="007908B5" w:rsidRDefault="009311C5" w:rsidP="007908B5">
      <w:pPr>
        <w:pStyle w:val="NormalWeb"/>
        <w:spacing w:before="0" w:beforeAutospacing="0" w:after="0" w:afterAutospacing="0" w:line="360" w:lineRule="auto"/>
        <w:jc w:val="both"/>
      </w:pPr>
      <w:r>
        <w:t xml:space="preserve">Berk, J.B., Harford, J.V.T., Demarzo, P.M., Stangeland, D. and Marosi, A. (2019). </w:t>
      </w:r>
      <w:r>
        <w:rPr>
          <w:i/>
          <w:iCs/>
        </w:rPr>
        <w:t>Fundamentals of corporate finance</w:t>
      </w:r>
      <w:r>
        <w:t>. Toronto: Pearson.</w:t>
      </w:r>
    </w:p>
    <w:p w14:paraId="5A757A3E" w14:textId="77777777" w:rsidR="007908B5" w:rsidRDefault="009311C5" w:rsidP="007908B5">
      <w:pPr>
        <w:pStyle w:val="NormalWeb"/>
        <w:spacing w:before="0" w:beforeAutospacing="0" w:after="0" w:afterAutospacing="0" w:line="360" w:lineRule="auto"/>
        <w:jc w:val="both"/>
      </w:pPr>
      <w:r>
        <w:t xml:space="preserve">Boston Consulting Group (2023). </w:t>
      </w:r>
      <w:r>
        <w:rPr>
          <w:i/>
          <w:iCs/>
        </w:rPr>
        <w:t xml:space="preserve">Aerospace and </w:t>
      </w:r>
      <w:proofErr w:type="spellStart"/>
      <w:r>
        <w:rPr>
          <w:i/>
          <w:iCs/>
        </w:rPr>
        <w:t>Defense</w:t>
      </w:r>
      <w:proofErr w:type="spellEnd"/>
      <w:r>
        <w:t>. [online] BCG Global. Available at: https://www.bcg.com/industries/aerospace-defense/overview [Accessed 21 Jun. 2025].</w:t>
      </w:r>
    </w:p>
    <w:p w14:paraId="67DF86B2" w14:textId="77777777" w:rsidR="007908B5" w:rsidRDefault="009311C5" w:rsidP="007908B5">
      <w:pPr>
        <w:pStyle w:val="NormalWeb"/>
        <w:spacing w:before="0" w:beforeAutospacing="0" w:after="0" w:afterAutospacing="0" w:line="360" w:lineRule="auto"/>
        <w:jc w:val="both"/>
      </w:pPr>
      <w:r>
        <w:t xml:space="preserve">Brealey, R.A., Myers, S.C. and Allen, F. (2020a). </w:t>
      </w:r>
      <w:r>
        <w:rPr>
          <w:i/>
          <w:iCs/>
        </w:rPr>
        <w:t>Principles of Corporate Finance</w:t>
      </w:r>
      <w:r>
        <w:t>. 13th ed. New York: McGraw-Hill Education.</w:t>
      </w:r>
    </w:p>
    <w:p w14:paraId="053F4345" w14:textId="77777777" w:rsidR="007908B5" w:rsidRDefault="009311C5" w:rsidP="007908B5">
      <w:pPr>
        <w:pStyle w:val="NormalWeb"/>
        <w:spacing w:before="0" w:beforeAutospacing="0" w:after="0" w:afterAutospacing="0" w:line="360" w:lineRule="auto"/>
        <w:jc w:val="both"/>
      </w:pPr>
      <w:r>
        <w:t xml:space="preserve">Brealey, R.A., Myers, S.C. and Allen, F. (2020b). </w:t>
      </w:r>
      <w:r>
        <w:rPr>
          <w:i/>
          <w:iCs/>
        </w:rPr>
        <w:t>Principles of Corporate Finance</w:t>
      </w:r>
      <w:r>
        <w:t>. 13th ed. New York: McGraw-Hill Education.</w:t>
      </w:r>
    </w:p>
    <w:p w14:paraId="6704510E" w14:textId="77777777" w:rsidR="007908B5" w:rsidRDefault="009311C5" w:rsidP="007908B5">
      <w:pPr>
        <w:pStyle w:val="NormalWeb"/>
        <w:spacing w:before="0" w:beforeAutospacing="0" w:after="0" w:afterAutospacing="0" w:line="360" w:lineRule="auto"/>
        <w:jc w:val="both"/>
      </w:pPr>
      <w:r>
        <w:t xml:space="preserve">Chopra, S. and Meindl, P. (2016). </w:t>
      </w:r>
      <w:r>
        <w:rPr>
          <w:i/>
          <w:iCs/>
        </w:rPr>
        <w:t>Supply Chain Management: Strategy, Planning, and Operation</w:t>
      </w:r>
      <w:r>
        <w:t>. 6th ed. Boston: Pearson.</w:t>
      </w:r>
    </w:p>
    <w:p w14:paraId="2BA67F9F" w14:textId="77777777" w:rsidR="007908B5" w:rsidRDefault="009311C5" w:rsidP="007908B5">
      <w:pPr>
        <w:pStyle w:val="NormalWeb"/>
        <w:spacing w:before="0" w:beforeAutospacing="0" w:after="0" w:afterAutospacing="0" w:line="360" w:lineRule="auto"/>
        <w:jc w:val="both"/>
      </w:pPr>
      <w:r>
        <w:t xml:space="preserve">Coombs, H., Hobbs, D. and Jenkins, E. (2015). </w:t>
      </w:r>
      <w:r>
        <w:rPr>
          <w:i/>
          <w:iCs/>
        </w:rPr>
        <w:t>Management Accounting: Principles and Applications</w:t>
      </w:r>
      <w:r>
        <w:t>. 1 Oliver’s Yard, 55 City Road, London, Ec1y 1Sp, United Kingdom Sage Publications Ltd.</w:t>
      </w:r>
    </w:p>
    <w:p w14:paraId="2D7AC211" w14:textId="77777777" w:rsidR="007908B5" w:rsidRDefault="009311C5" w:rsidP="007908B5">
      <w:pPr>
        <w:pStyle w:val="NormalWeb"/>
        <w:spacing w:before="0" w:beforeAutospacing="0" w:after="0" w:afterAutospacing="0" w:line="360" w:lineRule="auto"/>
        <w:jc w:val="both"/>
      </w:pPr>
      <w:r>
        <w:t xml:space="preserve">Damodaran, A. (2014). </w:t>
      </w:r>
      <w:r>
        <w:rPr>
          <w:i/>
          <w:iCs/>
        </w:rPr>
        <w:t>Applied Corporate Finance</w:t>
      </w:r>
      <w:r>
        <w:t>. 4th ed. Hoboken: Wiley.</w:t>
      </w:r>
    </w:p>
    <w:p w14:paraId="5973CEB5" w14:textId="77777777" w:rsidR="007908B5" w:rsidRDefault="009311C5" w:rsidP="007908B5">
      <w:pPr>
        <w:pStyle w:val="NormalWeb"/>
        <w:spacing w:before="0" w:beforeAutospacing="0" w:after="0" w:afterAutospacing="0" w:line="360" w:lineRule="auto"/>
        <w:jc w:val="both"/>
      </w:pPr>
      <w:r>
        <w:t xml:space="preserve">Damodaran, A. (2015). </w:t>
      </w:r>
      <w:r>
        <w:rPr>
          <w:i/>
          <w:iCs/>
        </w:rPr>
        <w:t>Applied Corporate Finance</w:t>
      </w:r>
      <w:r>
        <w:t>. 4th ed. Hoboken: Wiley.</w:t>
      </w:r>
    </w:p>
    <w:p w14:paraId="4ACDC900" w14:textId="77777777" w:rsidR="007908B5" w:rsidRDefault="009311C5" w:rsidP="007908B5">
      <w:pPr>
        <w:pStyle w:val="NormalWeb"/>
        <w:spacing w:before="0" w:beforeAutospacing="0" w:after="0" w:afterAutospacing="0" w:line="360" w:lineRule="auto"/>
        <w:jc w:val="both"/>
      </w:pPr>
      <w:r>
        <w:t xml:space="preserve">Deloitte (2023). </w:t>
      </w:r>
      <w:r>
        <w:rPr>
          <w:i/>
          <w:iCs/>
        </w:rPr>
        <w:t xml:space="preserve">2023 Aerospace and </w:t>
      </w:r>
      <w:proofErr w:type="spellStart"/>
      <w:r>
        <w:rPr>
          <w:i/>
          <w:iCs/>
        </w:rPr>
        <w:t>Defense</w:t>
      </w:r>
      <w:proofErr w:type="spellEnd"/>
      <w:r>
        <w:rPr>
          <w:i/>
          <w:iCs/>
        </w:rPr>
        <w:t xml:space="preserve"> Industry Outlook | Deloitte Global</w:t>
      </w:r>
      <w:r>
        <w:t>. [online] www.deloitte.com. Available at: https://www.deloitte.com/global/en/Industries/defense-security-justice/analysis/gx-aerospace-and-defense-industry-outlook.html.</w:t>
      </w:r>
    </w:p>
    <w:p w14:paraId="53A4D745" w14:textId="77777777" w:rsidR="007908B5" w:rsidRDefault="009311C5" w:rsidP="007908B5">
      <w:pPr>
        <w:pStyle w:val="NormalWeb"/>
        <w:spacing w:before="0" w:beforeAutospacing="0" w:after="0" w:afterAutospacing="0" w:line="360" w:lineRule="auto"/>
        <w:jc w:val="both"/>
      </w:pPr>
      <w:r>
        <w:t xml:space="preserve">Drury, C. (2018). </w:t>
      </w:r>
      <w:r>
        <w:rPr>
          <w:i/>
          <w:iCs/>
        </w:rPr>
        <w:t>Management and Cost Accounting</w:t>
      </w:r>
      <w:r>
        <w:t>. 10th ed. Andover, Hampshire Cengage.</w:t>
      </w:r>
    </w:p>
    <w:p w14:paraId="75E35CD6" w14:textId="77777777" w:rsidR="007908B5" w:rsidRDefault="009311C5" w:rsidP="007908B5">
      <w:pPr>
        <w:pStyle w:val="NormalWeb"/>
        <w:spacing w:before="0" w:beforeAutospacing="0" w:after="0" w:afterAutospacing="0" w:line="360" w:lineRule="auto"/>
        <w:jc w:val="both"/>
      </w:pPr>
      <w:r>
        <w:t xml:space="preserve">Ehrhardt, M.C. and Brigham, E.F. (2017). </w:t>
      </w:r>
      <w:r>
        <w:rPr>
          <w:i/>
          <w:iCs/>
        </w:rPr>
        <w:t>Financial Management: Theory &amp; Practice</w:t>
      </w:r>
      <w:r>
        <w:t>. 15th ed. Boston, MA: Cengage.</w:t>
      </w:r>
    </w:p>
    <w:p w14:paraId="2E6D77BA" w14:textId="77777777" w:rsidR="007908B5" w:rsidRDefault="009311C5" w:rsidP="007908B5">
      <w:pPr>
        <w:pStyle w:val="NormalWeb"/>
        <w:spacing w:before="0" w:beforeAutospacing="0" w:after="0" w:afterAutospacing="0" w:line="360" w:lineRule="auto"/>
        <w:jc w:val="both"/>
      </w:pPr>
      <w:r>
        <w:t xml:space="preserve">Ehrhardt, M.C. and Brigham, E.F. (2019). </w:t>
      </w:r>
      <w:r>
        <w:rPr>
          <w:i/>
          <w:iCs/>
        </w:rPr>
        <w:t>Financial Management: Theory &amp; Practice</w:t>
      </w:r>
      <w:r>
        <w:t>. 16th ed. Boston, MA: Cengage.</w:t>
      </w:r>
    </w:p>
    <w:p w14:paraId="3896E952" w14:textId="77777777" w:rsidR="007908B5" w:rsidRDefault="009311C5" w:rsidP="007908B5">
      <w:pPr>
        <w:pStyle w:val="NormalWeb"/>
        <w:spacing w:before="0" w:beforeAutospacing="0" w:after="0" w:afterAutospacing="0" w:line="360" w:lineRule="auto"/>
        <w:jc w:val="both"/>
      </w:pPr>
      <w:r>
        <w:lastRenderedPageBreak/>
        <w:t xml:space="preserve">Fahy, M. (2023). </w:t>
      </w:r>
      <w:r>
        <w:rPr>
          <w:i/>
          <w:iCs/>
        </w:rPr>
        <w:t>BAE Systems buys Ball’s aerospace business for $5.6bn</w:t>
      </w:r>
      <w:r>
        <w:t>. [online] Investorschronicle.co.uk. Available at: https://www.investorschronicle.co.uk/content/3eaeace9-9343-5d2f-91a2-21fa6e9afee9 [Accessed 21 Jun. 2025].</w:t>
      </w:r>
    </w:p>
    <w:p w14:paraId="1081C4F6" w14:textId="77777777" w:rsidR="007908B5" w:rsidRDefault="009311C5" w:rsidP="007908B5">
      <w:pPr>
        <w:pStyle w:val="NormalWeb"/>
        <w:spacing w:before="0" w:beforeAutospacing="0" w:after="0" w:afterAutospacing="0" w:line="360" w:lineRule="auto"/>
        <w:jc w:val="both"/>
      </w:pPr>
      <w:proofErr w:type="spellStart"/>
      <w:r>
        <w:t>Fridson</w:t>
      </w:r>
      <w:proofErr w:type="spellEnd"/>
      <w:r>
        <w:t xml:space="preserve">, M.S. and Alvarez, F. (2022). </w:t>
      </w:r>
      <w:r>
        <w:rPr>
          <w:i/>
          <w:iCs/>
        </w:rPr>
        <w:t>Financial Statement Analysis: A Practitioner's Guide</w:t>
      </w:r>
      <w:r>
        <w:t>. New York: John Wiley &amp; Sons.</w:t>
      </w:r>
    </w:p>
    <w:p w14:paraId="5D6DC07F" w14:textId="5560956D" w:rsidR="007908B5" w:rsidRDefault="009311C5" w:rsidP="007908B5">
      <w:pPr>
        <w:pStyle w:val="NormalWeb"/>
        <w:spacing w:before="0" w:beforeAutospacing="0" w:after="0" w:afterAutospacing="0" w:line="360" w:lineRule="auto"/>
        <w:jc w:val="both"/>
      </w:pPr>
      <w:r>
        <w:t xml:space="preserve">Graham, J.R. and Harvey, C.R. (2021). The Theory and Practice of Corporate Finance: Evidence from the Field. </w:t>
      </w:r>
      <w:r>
        <w:rPr>
          <w:i/>
          <w:iCs/>
        </w:rPr>
        <w:t>Journal of Financial Economics</w:t>
      </w:r>
      <w:r>
        <w:t xml:space="preserve">, [online] 60(2-3), pp.187–243. </w:t>
      </w:r>
    </w:p>
    <w:p w14:paraId="567EABA4" w14:textId="0C453074" w:rsidR="007908B5" w:rsidRDefault="009311C5" w:rsidP="007908B5">
      <w:pPr>
        <w:pStyle w:val="NormalWeb"/>
        <w:spacing w:before="0" w:beforeAutospacing="0" w:after="0" w:afterAutospacing="0" w:line="360" w:lineRule="auto"/>
        <w:jc w:val="both"/>
      </w:pPr>
      <w:r>
        <w:t xml:space="preserve">Graham, J.R. and Harvey, C.R. (2022). How Do CFOs Make Capital Budgeting and Capital Structure Decisions? </w:t>
      </w:r>
      <w:r>
        <w:rPr>
          <w:i/>
          <w:iCs/>
        </w:rPr>
        <w:t>SSRN Electronic Journal</w:t>
      </w:r>
      <w:r>
        <w:t xml:space="preserve">, 15(1). </w:t>
      </w:r>
    </w:p>
    <w:p w14:paraId="548B94CF" w14:textId="77777777" w:rsidR="007908B5" w:rsidRDefault="009311C5" w:rsidP="007908B5">
      <w:pPr>
        <w:pStyle w:val="NormalWeb"/>
        <w:spacing w:before="0" w:beforeAutospacing="0" w:after="0" w:afterAutospacing="0" w:line="360" w:lineRule="auto"/>
        <w:jc w:val="both"/>
      </w:pPr>
      <w:r>
        <w:t xml:space="preserve">Grant, R.M. (2021). </w:t>
      </w:r>
      <w:r>
        <w:rPr>
          <w:i/>
          <w:iCs/>
        </w:rPr>
        <w:t>Contemporary Strategy Analysis</w:t>
      </w:r>
      <w:r>
        <w:t>. Hoboken, N.J.: Wiley; Chichester.</w:t>
      </w:r>
    </w:p>
    <w:p w14:paraId="09D8A810" w14:textId="77777777" w:rsidR="007908B5" w:rsidRDefault="009311C5" w:rsidP="007908B5">
      <w:pPr>
        <w:pStyle w:val="NormalWeb"/>
        <w:spacing w:before="0" w:beforeAutospacing="0" w:after="0" w:afterAutospacing="0" w:line="360" w:lineRule="auto"/>
        <w:jc w:val="both"/>
      </w:pPr>
      <w:r>
        <w:t xml:space="preserve">Investing.com (2024). </w:t>
      </w:r>
      <w:r>
        <w:rPr>
          <w:i/>
          <w:iCs/>
        </w:rPr>
        <w:t>BAE Systems Stock Price History - Investing.com</w:t>
      </w:r>
      <w:r>
        <w:t>. [online] Investing.com. Available at: https://www.investing.com/equities/bae-systems-historical-data [Accessed 21 Jun. 2025].</w:t>
      </w:r>
    </w:p>
    <w:p w14:paraId="57B41FA4" w14:textId="2538BA06" w:rsidR="007908B5" w:rsidRDefault="009311C5" w:rsidP="007908B5">
      <w:pPr>
        <w:pStyle w:val="NormalWeb"/>
        <w:spacing w:before="0" w:beforeAutospacing="0" w:after="0" w:afterAutospacing="0" w:line="360" w:lineRule="auto"/>
        <w:jc w:val="both"/>
      </w:pPr>
      <w:r>
        <w:t xml:space="preserve">Isaac, D. and </w:t>
      </w:r>
      <w:proofErr w:type="spellStart"/>
      <w:r>
        <w:t>Steley</w:t>
      </w:r>
      <w:proofErr w:type="spellEnd"/>
      <w:r>
        <w:t xml:space="preserve">, T. (2021). Traditional Method of Investment Valuation. </w:t>
      </w:r>
      <w:r>
        <w:rPr>
          <w:i/>
          <w:iCs/>
        </w:rPr>
        <w:t>Property Valuation Techniques</w:t>
      </w:r>
      <w:r>
        <w:t xml:space="preserve">, pp.16–23. </w:t>
      </w:r>
    </w:p>
    <w:p w14:paraId="342EA867" w14:textId="77777777" w:rsidR="007908B5" w:rsidRDefault="009311C5" w:rsidP="007908B5">
      <w:pPr>
        <w:pStyle w:val="NormalWeb"/>
        <w:spacing w:before="0" w:beforeAutospacing="0" w:after="0" w:afterAutospacing="0" w:line="360" w:lineRule="auto"/>
        <w:jc w:val="both"/>
      </w:pPr>
      <w:r>
        <w:t xml:space="preserve">Kaplan, R.S. and Atkinson, A.A. (1998). </w:t>
      </w:r>
      <w:r>
        <w:rPr>
          <w:i/>
          <w:iCs/>
        </w:rPr>
        <w:t>Advanced management accounting</w:t>
      </w:r>
      <w:r>
        <w:t>. Upper Saddle River, N.J.: Prentice Hall.</w:t>
      </w:r>
    </w:p>
    <w:p w14:paraId="7CFF3861" w14:textId="77777777" w:rsidR="007908B5" w:rsidRDefault="009311C5" w:rsidP="007908B5">
      <w:pPr>
        <w:pStyle w:val="NormalWeb"/>
        <w:spacing w:before="0" w:beforeAutospacing="0" w:after="0" w:afterAutospacing="0" w:line="360" w:lineRule="auto"/>
        <w:jc w:val="both"/>
      </w:pPr>
      <w:proofErr w:type="spellStart"/>
      <w:r>
        <w:t>Kengatharan</w:t>
      </w:r>
      <w:proofErr w:type="spellEnd"/>
      <w:r>
        <w:t xml:space="preserve">, L. (2016). </w:t>
      </w:r>
      <w:r>
        <w:rPr>
          <w:i/>
          <w:iCs/>
        </w:rPr>
        <w:t>(PDF) Capital Budgeting Theory and Practice: A Review and Agenda for Future Research</w:t>
      </w:r>
      <w:r>
        <w:t>. [online] ResearchGate. Available at: https://www.researchgate.net/publication/293026616_Capital_Budgeting_Theory_and_Practice_A_Review_and_Agenda_for_Future_Research.</w:t>
      </w:r>
    </w:p>
    <w:p w14:paraId="6622CD95" w14:textId="77777777" w:rsidR="007908B5" w:rsidRDefault="009311C5" w:rsidP="007908B5">
      <w:pPr>
        <w:pStyle w:val="NormalWeb"/>
        <w:spacing w:before="0" w:beforeAutospacing="0" w:after="0" w:afterAutospacing="0" w:line="360" w:lineRule="auto"/>
        <w:jc w:val="both"/>
      </w:pPr>
      <w:r>
        <w:t xml:space="preserve">Kenny, G. (2024). </w:t>
      </w:r>
      <w:r>
        <w:rPr>
          <w:i/>
          <w:iCs/>
        </w:rPr>
        <w:t>4 Rules for Diversifying Your Business</w:t>
      </w:r>
      <w:r>
        <w:t>. [online] Harvard Business Review. Available at: https://hbr.org/2024/03/4-rules-for-diversifying-your-business.</w:t>
      </w:r>
    </w:p>
    <w:p w14:paraId="6035C024" w14:textId="77777777" w:rsidR="007908B5" w:rsidRDefault="009311C5" w:rsidP="007908B5">
      <w:pPr>
        <w:pStyle w:val="NormalWeb"/>
        <w:spacing w:before="0" w:beforeAutospacing="0" w:after="0" w:afterAutospacing="0" w:line="360" w:lineRule="auto"/>
        <w:jc w:val="both"/>
      </w:pPr>
      <w:proofErr w:type="spellStart"/>
      <w:r>
        <w:t>Kieso</w:t>
      </w:r>
      <w:proofErr w:type="spellEnd"/>
      <w:r>
        <w:t xml:space="preserve">, D.E. and Weygandt, J.J. (2022). </w:t>
      </w:r>
      <w:r>
        <w:rPr>
          <w:i/>
          <w:iCs/>
        </w:rPr>
        <w:t>Intermediate accounting</w:t>
      </w:r>
      <w:r>
        <w:t>. Hoboken, NJ Wiley.</w:t>
      </w:r>
    </w:p>
    <w:p w14:paraId="09191E51" w14:textId="524B1385" w:rsidR="007908B5" w:rsidRDefault="009311C5" w:rsidP="007908B5">
      <w:pPr>
        <w:pStyle w:val="NormalWeb"/>
        <w:spacing w:before="0" w:beforeAutospacing="0" w:after="0" w:afterAutospacing="0" w:line="360" w:lineRule="auto"/>
        <w:jc w:val="both"/>
      </w:pPr>
      <w:r>
        <w:t xml:space="preserve">Liu, M. (2024). Research on Investment Project Evaluation: Comparative Analysis Based on NPV and IRR. </w:t>
      </w:r>
      <w:r>
        <w:rPr>
          <w:i/>
          <w:iCs/>
        </w:rPr>
        <w:t>Highlights in Business, Economics and Management</w:t>
      </w:r>
      <w:r>
        <w:t xml:space="preserve">, [online] 24, pp.1133–1138. </w:t>
      </w:r>
    </w:p>
    <w:p w14:paraId="23ACB8DC" w14:textId="77777777" w:rsidR="007908B5" w:rsidRDefault="009311C5" w:rsidP="007908B5">
      <w:pPr>
        <w:pStyle w:val="NormalWeb"/>
        <w:spacing w:before="0" w:beforeAutospacing="0" w:after="0" w:afterAutospacing="0" w:line="360" w:lineRule="auto"/>
        <w:jc w:val="both"/>
      </w:pPr>
      <w:r>
        <w:t xml:space="preserve">Luttig, V. (2022). </w:t>
      </w:r>
      <w:r>
        <w:rPr>
          <w:i/>
          <w:iCs/>
        </w:rPr>
        <w:t>UK Mortgage Growth to Hit Post-Financial Crisis Lows in 2023 Amid Rising Interest Rates and Historic Real Income Fall</w:t>
      </w:r>
      <w:r>
        <w:t>. [online] Ey.com. Available at: https://www.ey.com/en_uk/newsroom/2022/10/uk-mortgage-growth-to-hit-post-financial-crisis-lows-in-2023-amid-rising-interest-rates-and-historic-real-income-fall [Accessed 21 Jun. 2025].</w:t>
      </w:r>
    </w:p>
    <w:p w14:paraId="343C8293" w14:textId="15E376A3" w:rsidR="007908B5" w:rsidRDefault="009311C5" w:rsidP="007908B5">
      <w:pPr>
        <w:pStyle w:val="NormalWeb"/>
        <w:spacing w:before="0" w:beforeAutospacing="0" w:after="0" w:afterAutospacing="0" w:line="360" w:lineRule="auto"/>
        <w:jc w:val="both"/>
      </w:pPr>
      <w:r>
        <w:lastRenderedPageBreak/>
        <w:t xml:space="preserve">Magni, C.A. (2021). Average Internal Rate of Return and Investment Decisions: A New Perspective. </w:t>
      </w:r>
      <w:r>
        <w:rPr>
          <w:i/>
          <w:iCs/>
        </w:rPr>
        <w:t>The Engineering Economist</w:t>
      </w:r>
      <w:r>
        <w:t xml:space="preserve">, 55(2), pp.150–180. </w:t>
      </w:r>
    </w:p>
    <w:p w14:paraId="106A1327" w14:textId="77777777" w:rsidR="007908B5" w:rsidRDefault="009311C5" w:rsidP="007908B5">
      <w:pPr>
        <w:pStyle w:val="NormalWeb"/>
        <w:spacing w:before="0" w:beforeAutospacing="0" w:after="0" w:afterAutospacing="0" w:line="360" w:lineRule="auto"/>
        <w:jc w:val="both"/>
      </w:pPr>
      <w:r>
        <w:t xml:space="preserve">Marx, J., Johan, Mpofu, R.T. and Ronald Henry </w:t>
      </w:r>
      <w:proofErr w:type="spellStart"/>
      <w:r>
        <w:t>Mynhardt</w:t>
      </w:r>
      <w:proofErr w:type="spellEnd"/>
      <w:r>
        <w:t xml:space="preserve"> (2017). </w:t>
      </w:r>
      <w:r>
        <w:rPr>
          <w:i/>
          <w:iCs/>
        </w:rPr>
        <w:t>Investment management</w:t>
      </w:r>
      <w:r>
        <w:t>. Pretoria: Van Schaik.</w:t>
      </w:r>
    </w:p>
    <w:p w14:paraId="506D7929" w14:textId="77777777" w:rsidR="007908B5" w:rsidRDefault="009311C5" w:rsidP="007908B5">
      <w:pPr>
        <w:pStyle w:val="NormalWeb"/>
        <w:spacing w:before="0" w:beforeAutospacing="0" w:after="0" w:afterAutospacing="0" w:line="360" w:lineRule="auto"/>
        <w:jc w:val="both"/>
      </w:pPr>
      <w:proofErr w:type="spellStart"/>
      <w:r>
        <w:t>Mclaney</w:t>
      </w:r>
      <w:proofErr w:type="spellEnd"/>
      <w:r>
        <w:t xml:space="preserve">, E.J. &amp; </w:t>
      </w:r>
      <w:proofErr w:type="spellStart"/>
      <w:r>
        <w:t>Atrill</w:t>
      </w:r>
      <w:proofErr w:type="spellEnd"/>
      <w:r>
        <w:t xml:space="preserve">, P. (2020). </w:t>
      </w:r>
      <w:r>
        <w:rPr>
          <w:i/>
          <w:iCs/>
        </w:rPr>
        <w:t>Accounting and Finance: An Introduction</w:t>
      </w:r>
      <w:r>
        <w:t>. Upper Saddle River: Pearson.</w:t>
      </w:r>
    </w:p>
    <w:p w14:paraId="12CE0A5D" w14:textId="77777777" w:rsidR="007908B5" w:rsidRDefault="009311C5" w:rsidP="007908B5">
      <w:pPr>
        <w:pStyle w:val="NormalWeb"/>
        <w:spacing w:before="0" w:beforeAutospacing="0" w:after="0" w:afterAutospacing="0" w:line="360" w:lineRule="auto"/>
        <w:jc w:val="both"/>
      </w:pPr>
      <w:r>
        <w:t xml:space="preserve">Norton, D.P. (2008). </w:t>
      </w:r>
      <w:r>
        <w:rPr>
          <w:i/>
          <w:iCs/>
        </w:rPr>
        <w:t>The Execution Premium: Linking Strategy to Operations for Competitive Advantage</w:t>
      </w:r>
      <w:r>
        <w:t>. Unspecified.</w:t>
      </w:r>
    </w:p>
    <w:p w14:paraId="05705DEB" w14:textId="77777777" w:rsidR="007908B5" w:rsidRDefault="009311C5" w:rsidP="007908B5">
      <w:pPr>
        <w:pStyle w:val="NormalWeb"/>
        <w:spacing w:before="0" w:beforeAutospacing="0" w:after="0" w:afterAutospacing="0" w:line="360" w:lineRule="auto"/>
        <w:jc w:val="both"/>
      </w:pPr>
      <w:r>
        <w:t xml:space="preserve">Open Access, Sunday, A., </w:t>
      </w:r>
      <w:proofErr w:type="spellStart"/>
      <w:r>
        <w:t>Abanis</w:t>
      </w:r>
      <w:proofErr w:type="spellEnd"/>
      <w:r>
        <w:t xml:space="preserve"> Turyahebwa and Eliab </w:t>
      </w:r>
      <w:proofErr w:type="spellStart"/>
      <w:r>
        <w:t>Mpora</w:t>
      </w:r>
      <w:proofErr w:type="spellEnd"/>
      <w:r>
        <w:t xml:space="preserve"> Byamukama (2023). </w:t>
      </w:r>
      <w:r>
        <w:rPr>
          <w:i/>
          <w:iCs/>
        </w:rPr>
        <w:t>Working Capital Management Practices and Performance of Small and Medium Enterprises</w:t>
      </w:r>
      <w:r>
        <w:t>. [online] ResearchGate. Available at: https://www.researchgate.net/publication/375060221_Working_capital_management_practices_and_performance_of_small_and_medium_enterprises.</w:t>
      </w:r>
    </w:p>
    <w:p w14:paraId="42CFA277" w14:textId="77777777" w:rsidR="007908B5" w:rsidRDefault="009311C5" w:rsidP="007908B5">
      <w:pPr>
        <w:pStyle w:val="NormalWeb"/>
        <w:spacing w:before="0" w:beforeAutospacing="0" w:after="0" w:afterAutospacing="0" w:line="360" w:lineRule="auto"/>
        <w:jc w:val="both"/>
      </w:pPr>
      <w:r>
        <w:t xml:space="preserve">Palepu, K.G., Healy, P.M., Bernard, V.L., Wright, S., Bradbury, M. and Lee, P. (2018). </w:t>
      </w:r>
      <w:r>
        <w:rPr>
          <w:i/>
          <w:iCs/>
        </w:rPr>
        <w:t>Business Analysis &amp; Valuation: Using Financial Statements</w:t>
      </w:r>
      <w:r>
        <w:t>. South Melbourne, Victoria: Cengage Learning Australia.</w:t>
      </w:r>
    </w:p>
    <w:p w14:paraId="32987B82" w14:textId="77777777" w:rsidR="007908B5" w:rsidRDefault="009311C5" w:rsidP="007908B5">
      <w:pPr>
        <w:pStyle w:val="NormalWeb"/>
        <w:spacing w:before="0" w:beforeAutospacing="0" w:after="0" w:afterAutospacing="0" w:line="360" w:lineRule="auto"/>
        <w:jc w:val="both"/>
      </w:pPr>
      <w:r>
        <w:t xml:space="preserve">Parsons, C. &amp; Titman, S. (2009). </w:t>
      </w:r>
      <w:r>
        <w:rPr>
          <w:i/>
          <w:iCs/>
        </w:rPr>
        <w:t>Empirical Capital Structure: A Review</w:t>
      </w:r>
      <w:r>
        <w:t>. Hanover, Ma: Now.</w:t>
      </w:r>
    </w:p>
    <w:p w14:paraId="1EC7009F" w14:textId="77777777" w:rsidR="007908B5" w:rsidRDefault="009311C5" w:rsidP="007908B5">
      <w:pPr>
        <w:pStyle w:val="NormalWeb"/>
        <w:spacing w:before="0" w:beforeAutospacing="0" w:after="0" w:afterAutospacing="0" w:line="360" w:lineRule="auto"/>
        <w:jc w:val="both"/>
      </w:pPr>
      <w:r>
        <w:t xml:space="preserve">Pennypacker, J., San </w:t>
      </w:r>
      <w:proofErr w:type="spellStart"/>
      <w:r>
        <w:t>Retna</w:t>
      </w:r>
      <w:proofErr w:type="spellEnd"/>
      <w:r>
        <w:t xml:space="preserve">, Council, M. and Project Management Institute (2009). </w:t>
      </w:r>
      <w:r>
        <w:rPr>
          <w:i/>
          <w:iCs/>
        </w:rPr>
        <w:t>Project Portfolio Management: A View from the Management Trenches</w:t>
      </w:r>
      <w:r>
        <w:t>. Hoboken, N.J.: J. Wiley &amp; Sons.</w:t>
      </w:r>
    </w:p>
    <w:p w14:paraId="536F97CC" w14:textId="77777777" w:rsidR="007908B5" w:rsidRDefault="009311C5" w:rsidP="007908B5">
      <w:pPr>
        <w:pStyle w:val="NormalWeb"/>
        <w:spacing w:before="0" w:beforeAutospacing="0" w:after="0" w:afterAutospacing="0" w:line="360" w:lineRule="auto"/>
        <w:jc w:val="both"/>
      </w:pPr>
      <w:r>
        <w:t xml:space="preserve">Pike, R. &amp; Neale, B. (2019). </w:t>
      </w:r>
      <w:r>
        <w:rPr>
          <w:i/>
          <w:iCs/>
        </w:rPr>
        <w:t>Corporate finance and investment decisions and strategies</w:t>
      </w:r>
      <w:r>
        <w:t>. Harlow Prentice Hall.</w:t>
      </w:r>
    </w:p>
    <w:p w14:paraId="7B1F443F" w14:textId="77777777" w:rsidR="007908B5" w:rsidRDefault="009311C5" w:rsidP="007908B5">
      <w:pPr>
        <w:pStyle w:val="NormalWeb"/>
        <w:spacing w:before="0" w:beforeAutospacing="0" w:after="0" w:afterAutospacing="0" w:line="360" w:lineRule="auto"/>
        <w:jc w:val="both"/>
      </w:pPr>
      <w:r>
        <w:t xml:space="preserve">Pontus </w:t>
      </w:r>
      <w:proofErr w:type="spellStart"/>
      <w:r>
        <w:t>Averstad</w:t>
      </w:r>
      <w:proofErr w:type="spellEnd"/>
      <w:r>
        <w:t xml:space="preserve">, Beltrán, A., Brinkman, M., Maia, P., </w:t>
      </w:r>
      <w:proofErr w:type="spellStart"/>
      <w:r>
        <w:t>Pinshaw</w:t>
      </w:r>
      <w:proofErr w:type="spellEnd"/>
      <w:r>
        <w:t xml:space="preserve">, G., Quigley, D., Sanghvi, A., Spivey, J. and Vickery, B. (2023). </w:t>
      </w:r>
      <w:r>
        <w:rPr>
          <w:i/>
          <w:iCs/>
        </w:rPr>
        <w:t xml:space="preserve">McKinsey Global Private Markets Review 2023 | </w:t>
      </w:r>
      <w:proofErr w:type="spellStart"/>
      <w:r>
        <w:rPr>
          <w:i/>
          <w:iCs/>
        </w:rPr>
        <w:t>Brasil</w:t>
      </w:r>
      <w:proofErr w:type="spellEnd"/>
      <w:r>
        <w:t>. [online] McKinsey &amp; Company. Available at: https://www.mckinsey.com.br/industries/private-capital/our-insights/mckinseys-private-markets-annual-review-2023.</w:t>
      </w:r>
    </w:p>
    <w:p w14:paraId="798A2E9A" w14:textId="77777777" w:rsidR="007908B5" w:rsidRDefault="009311C5" w:rsidP="007908B5">
      <w:pPr>
        <w:pStyle w:val="NormalWeb"/>
        <w:spacing w:before="0" w:beforeAutospacing="0" w:after="0" w:afterAutospacing="0" w:line="360" w:lineRule="auto"/>
        <w:jc w:val="both"/>
      </w:pPr>
      <w:r>
        <w:t xml:space="preserve">Porter, M. (1980). </w:t>
      </w:r>
      <w:r>
        <w:rPr>
          <w:i/>
          <w:iCs/>
        </w:rPr>
        <w:t xml:space="preserve">Competitive strategy: Techniques for </w:t>
      </w:r>
      <w:r w:rsidR="00693CD6">
        <w:rPr>
          <w:i/>
          <w:iCs/>
        </w:rPr>
        <w:t>Analysing</w:t>
      </w:r>
      <w:r>
        <w:rPr>
          <w:i/>
          <w:iCs/>
        </w:rPr>
        <w:t xml:space="preserve"> Industries and Competitors</w:t>
      </w:r>
      <w:r>
        <w:t>. [online] Hbs.edu. Available at: https://www.hbs.edu/faculty/Pages/item.aspx?num=195 [Accessed 21 Jun. 2025].</w:t>
      </w:r>
    </w:p>
    <w:p w14:paraId="452AC4C1" w14:textId="77777777" w:rsidR="007908B5" w:rsidRDefault="009311C5" w:rsidP="007908B5">
      <w:pPr>
        <w:pStyle w:val="NormalWeb"/>
        <w:spacing w:before="0" w:beforeAutospacing="0" w:after="0" w:afterAutospacing="0" w:line="360" w:lineRule="auto"/>
        <w:jc w:val="both"/>
      </w:pPr>
      <w:r>
        <w:t xml:space="preserve">PwC (2024). </w:t>
      </w:r>
      <w:r>
        <w:rPr>
          <w:i/>
          <w:iCs/>
        </w:rPr>
        <w:t>PwC’s global aerospace and defence: Annual performance and outlook</w:t>
      </w:r>
      <w:r>
        <w:t>. [online] PwC. Available at: https://www.pwc.com/us/en/industries/industrial-products/library/aerospace-defense-review-and-forecast.html [Accessed 21 Jun. 2025].</w:t>
      </w:r>
    </w:p>
    <w:p w14:paraId="14CAEEDE" w14:textId="77777777" w:rsidR="007908B5" w:rsidRDefault="009311C5" w:rsidP="007908B5">
      <w:pPr>
        <w:pStyle w:val="NormalWeb"/>
        <w:spacing w:before="0" w:beforeAutospacing="0" w:after="0" w:afterAutospacing="0" w:line="360" w:lineRule="auto"/>
        <w:jc w:val="both"/>
      </w:pPr>
      <w:r>
        <w:lastRenderedPageBreak/>
        <w:t xml:space="preserve">Reilly, F.K. (2020). </w:t>
      </w:r>
      <w:r>
        <w:rPr>
          <w:i/>
          <w:iCs/>
        </w:rPr>
        <w:t>Investment Analysis &amp; Portfolio Management</w:t>
      </w:r>
      <w:r>
        <w:t>. South Melbourne, Victoria: Cengage Learning Australia.</w:t>
      </w:r>
    </w:p>
    <w:p w14:paraId="483A6A74" w14:textId="1C91868C" w:rsidR="007908B5" w:rsidRDefault="009311C5" w:rsidP="007908B5">
      <w:pPr>
        <w:pStyle w:val="NormalWeb"/>
        <w:spacing w:before="0" w:beforeAutospacing="0" w:after="0" w:afterAutospacing="0" w:line="360" w:lineRule="auto"/>
        <w:jc w:val="both"/>
      </w:pPr>
      <w:r>
        <w:t xml:space="preserve">Ryan, P.A. and Ryan, G.P. (2022). Capital Budgeting Practices of the Fortune 1000: How Have Things Changed. </w:t>
      </w:r>
      <w:r>
        <w:rPr>
          <w:i/>
          <w:iCs/>
        </w:rPr>
        <w:t>Journal of Business and Management</w:t>
      </w:r>
      <w:r>
        <w:t xml:space="preserve">, 8(4), pp.355–364. </w:t>
      </w:r>
    </w:p>
    <w:p w14:paraId="0412B9A3" w14:textId="77777777" w:rsidR="007908B5" w:rsidRDefault="009311C5" w:rsidP="007908B5">
      <w:pPr>
        <w:pStyle w:val="NormalWeb"/>
        <w:spacing w:before="0" w:beforeAutospacing="0" w:after="0" w:afterAutospacing="0" w:line="360" w:lineRule="auto"/>
        <w:jc w:val="both"/>
      </w:pPr>
      <w:proofErr w:type="spellStart"/>
      <w:r>
        <w:t>Shabong</w:t>
      </w:r>
      <w:proofErr w:type="spellEnd"/>
      <w:r>
        <w:t xml:space="preserve">, Y. (2023). </w:t>
      </w:r>
      <w:r>
        <w:rPr>
          <w:i/>
          <w:iCs/>
        </w:rPr>
        <w:t>BAE Snaps up Ball’s Aerospace Arm for $5.6 Billion in Its Biggest Deal Ever</w:t>
      </w:r>
      <w:r>
        <w:t>. [online] Reuters. Available at: https://www.reuters.com/markets/deals/uks-bae-systems-buy-ball-aerospace-about-555-bln-2023-08-17/ [Accessed 21 Jun. 2025].</w:t>
      </w:r>
    </w:p>
    <w:p w14:paraId="5D685F5B" w14:textId="77777777" w:rsidR="007908B5" w:rsidRDefault="009311C5" w:rsidP="007908B5">
      <w:pPr>
        <w:pStyle w:val="NormalWeb"/>
        <w:spacing w:before="0" w:beforeAutospacing="0" w:after="0" w:afterAutospacing="0" w:line="360" w:lineRule="auto"/>
        <w:jc w:val="both"/>
      </w:pPr>
      <w:proofErr w:type="spellStart"/>
      <w:r>
        <w:t>Trigeorgis</w:t>
      </w:r>
      <w:proofErr w:type="spellEnd"/>
      <w:r>
        <w:t xml:space="preserve">, L. (2024). </w:t>
      </w:r>
      <w:r>
        <w:rPr>
          <w:i/>
          <w:iCs/>
        </w:rPr>
        <w:t>Real Options: Managerial Flexibility and Strategy in Resource Allocation</w:t>
      </w:r>
      <w:r>
        <w:t>. Cambridge, Mass. U.A.: MIT Press.</w:t>
      </w:r>
    </w:p>
    <w:p w14:paraId="081F084B" w14:textId="77777777" w:rsidR="007908B5" w:rsidRDefault="009311C5" w:rsidP="007908B5">
      <w:pPr>
        <w:pStyle w:val="NormalWeb"/>
        <w:spacing w:before="0" w:beforeAutospacing="0" w:after="0" w:afterAutospacing="0" w:line="360" w:lineRule="auto"/>
        <w:jc w:val="both"/>
      </w:pPr>
      <w:r>
        <w:t xml:space="preserve">Uwe </w:t>
      </w:r>
      <w:proofErr w:type="spellStart"/>
      <w:r>
        <w:t>Götze</w:t>
      </w:r>
      <w:proofErr w:type="spellEnd"/>
      <w:r>
        <w:t xml:space="preserve">, Deryl Northcott and Schuster, P. (2018). </w:t>
      </w:r>
      <w:r>
        <w:rPr>
          <w:i/>
          <w:iCs/>
        </w:rPr>
        <w:t>Investment Appraisal: Methods and Models</w:t>
      </w:r>
      <w:r>
        <w:t>. Berlin, Heidelberg: Springer-Verlag Berlin Heidelberg.</w:t>
      </w:r>
    </w:p>
    <w:p w14:paraId="298DDDBE" w14:textId="77777777" w:rsidR="007908B5" w:rsidRDefault="009311C5" w:rsidP="007908B5">
      <w:pPr>
        <w:pStyle w:val="NormalWeb"/>
        <w:spacing w:before="0" w:beforeAutospacing="0" w:after="0" w:afterAutospacing="0" w:line="360" w:lineRule="auto"/>
        <w:jc w:val="both"/>
      </w:pPr>
      <w:r>
        <w:t xml:space="preserve">Whittington, R., Angwin, D., Regner, P., Scholes, K. and Johnson, G. (2023). </w:t>
      </w:r>
      <w:r>
        <w:rPr>
          <w:i/>
          <w:iCs/>
        </w:rPr>
        <w:t>Exploring strategy: Text and Cases</w:t>
      </w:r>
      <w:r>
        <w:t>. 13th ed. Harlow, England: Pearson.</w:t>
      </w:r>
    </w:p>
    <w:p w14:paraId="42809A37" w14:textId="77777777" w:rsidR="007908B5" w:rsidRDefault="009311C5" w:rsidP="007908B5">
      <w:pPr>
        <w:pStyle w:val="NormalWeb"/>
        <w:spacing w:before="0" w:beforeAutospacing="0" w:after="0" w:afterAutospacing="0" w:line="360" w:lineRule="auto"/>
        <w:jc w:val="both"/>
      </w:pPr>
      <w:r>
        <w:t xml:space="preserve">Wirtz, B.W. (2022). </w:t>
      </w:r>
      <w:r>
        <w:rPr>
          <w:i/>
          <w:iCs/>
        </w:rPr>
        <w:t>Digital Business and Electronic Commerce</w:t>
      </w:r>
      <w:r>
        <w:t>. Springer Nature.</w:t>
      </w:r>
    </w:p>
    <w:p w14:paraId="5AA901CD" w14:textId="77777777" w:rsidR="007908B5" w:rsidRDefault="009311C5" w:rsidP="007908B5">
      <w:pPr>
        <w:pStyle w:val="NormalWeb"/>
        <w:spacing w:before="0" w:beforeAutospacing="0" w:after="0" w:afterAutospacing="0" w:line="360" w:lineRule="auto"/>
        <w:jc w:val="both"/>
      </w:pPr>
      <w:r>
        <w:t xml:space="preserve">Womack, J.P. and Jones, D.T. (2013). </w:t>
      </w:r>
      <w:r>
        <w:rPr>
          <w:i/>
          <w:iCs/>
        </w:rPr>
        <w:t>Lean Thinking: Banish Waste and Create Wealth in Your Corporation</w:t>
      </w:r>
      <w:r>
        <w:t>. London: Simon &amp; Schuster, Limited.</w:t>
      </w:r>
    </w:p>
    <w:p w14:paraId="20B6FCCD" w14:textId="77777777" w:rsidR="007908B5" w:rsidRDefault="009311C5" w:rsidP="007908B5">
      <w:pPr>
        <w:pStyle w:val="NormalWeb"/>
        <w:spacing w:before="0" w:beforeAutospacing="0" w:after="0" w:afterAutospacing="0" w:line="360" w:lineRule="auto"/>
        <w:jc w:val="both"/>
      </w:pPr>
      <w:r>
        <w:t xml:space="preserve">Yahoo Finance (2023). </w:t>
      </w:r>
      <w:r>
        <w:rPr>
          <w:i/>
          <w:iCs/>
        </w:rPr>
        <w:t>BAE Systems Plc (</w:t>
      </w:r>
      <w:proofErr w:type="gramStart"/>
      <w:r>
        <w:rPr>
          <w:i/>
          <w:iCs/>
        </w:rPr>
        <w:t>BA.L</w:t>
      </w:r>
      <w:proofErr w:type="gramEnd"/>
      <w:r>
        <w:rPr>
          <w:i/>
          <w:iCs/>
        </w:rPr>
        <w:t>) Stock Price, News, Quote &amp; History - Yahoo Finance</w:t>
      </w:r>
      <w:r>
        <w:t>. [online] finance.yahoo.com. Available at: https://finance.yahoo.com/quote/BA.L/.</w:t>
      </w:r>
    </w:p>
    <w:p w14:paraId="270D0A75" w14:textId="77777777" w:rsidR="004D64E8" w:rsidRPr="004D64E8" w:rsidRDefault="004D64E8" w:rsidP="004D64E8"/>
    <w:p w14:paraId="3A56F702" w14:textId="77777777" w:rsidR="009A0964" w:rsidRDefault="009311C5" w:rsidP="00DA793E">
      <w:pPr>
        <w:spacing w:after="0" w:line="259" w:lineRule="auto"/>
        <w:rPr>
          <w:rFonts w:ascii="Times New Roman" w:eastAsia="Times New Roman" w:hAnsi="Times New Roman" w:cs="Times New Roman"/>
          <w:szCs w:val="24"/>
          <w:lang w:eastAsia="en-GB"/>
        </w:rPr>
      </w:pPr>
      <w:r>
        <w:br w:type="page"/>
      </w:r>
    </w:p>
    <w:p w14:paraId="354ECCA9" w14:textId="77777777" w:rsidR="009A0964" w:rsidRDefault="009311C5" w:rsidP="00693CD6">
      <w:pPr>
        <w:pStyle w:val="Heading1"/>
      </w:pPr>
      <w:bookmarkStart w:id="33" w:name="_Toc201401315"/>
      <w:r>
        <w:lastRenderedPageBreak/>
        <w:t>Appendices</w:t>
      </w:r>
      <w:bookmarkEnd w:id="33"/>
      <w:r>
        <w:t xml:space="preserve"> </w:t>
      </w:r>
    </w:p>
    <w:p w14:paraId="2B0E4D6E" w14:textId="77777777" w:rsidR="009A0964" w:rsidRDefault="009311C5" w:rsidP="00DA793E">
      <w:pPr>
        <w:pStyle w:val="Heading2"/>
      </w:pPr>
      <w:bookmarkStart w:id="34" w:name="_Toc201401316"/>
      <w:r>
        <w:t>Appendix 1 Consolidated Income Statement for BAE System Plc</w:t>
      </w:r>
      <w:bookmarkEnd w:id="34"/>
      <w:r>
        <w:t xml:space="preserve"> </w:t>
      </w:r>
    </w:p>
    <w:p w14:paraId="5EBD4D3A" w14:textId="77777777" w:rsidR="009A0964" w:rsidRDefault="009311C5" w:rsidP="00E142CD">
      <w:pPr>
        <w:pStyle w:val="NormalWeb"/>
        <w:spacing w:before="0" w:beforeAutospacing="0" w:after="0" w:afterAutospacing="0" w:line="360" w:lineRule="auto"/>
        <w:jc w:val="both"/>
      </w:pPr>
      <w:r>
        <w:rPr>
          <w:noProof/>
        </w:rPr>
        <w:drawing>
          <wp:inline distT="0" distB="0" distL="0" distR="0" wp14:anchorId="39E4EB25" wp14:editId="1E1DBD77">
            <wp:extent cx="5943600" cy="3873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5943600" cy="3873500"/>
                    </a:xfrm>
                    <a:prstGeom prst="rect">
                      <a:avLst/>
                    </a:prstGeom>
                  </pic:spPr>
                </pic:pic>
              </a:graphicData>
            </a:graphic>
          </wp:inline>
        </w:drawing>
      </w:r>
    </w:p>
    <w:p w14:paraId="1F4882DD" w14:textId="77777777" w:rsidR="009A0964" w:rsidRPr="00E142CD" w:rsidRDefault="009311C5" w:rsidP="00E142CD">
      <w:pPr>
        <w:pStyle w:val="Caption"/>
        <w:spacing w:after="0" w:line="360" w:lineRule="auto"/>
        <w:jc w:val="center"/>
        <w:rPr>
          <w:b/>
          <w:bCs/>
          <w:i w:val="0"/>
          <w:iCs w:val="0"/>
          <w:color w:val="auto"/>
          <w:sz w:val="20"/>
          <w:szCs w:val="20"/>
        </w:rPr>
      </w:pPr>
      <w:r w:rsidRPr="00E142CD">
        <w:rPr>
          <w:b/>
          <w:bCs/>
          <w:i w:val="0"/>
          <w:iCs w:val="0"/>
          <w:color w:val="auto"/>
          <w:sz w:val="20"/>
          <w:szCs w:val="20"/>
        </w:rPr>
        <w:t xml:space="preserve">Figure </w:t>
      </w:r>
      <w:r w:rsidRPr="00E142CD">
        <w:rPr>
          <w:b/>
          <w:bCs/>
          <w:i w:val="0"/>
          <w:iCs w:val="0"/>
          <w:color w:val="auto"/>
          <w:sz w:val="20"/>
          <w:szCs w:val="20"/>
        </w:rPr>
        <w:fldChar w:fldCharType="begin"/>
      </w:r>
      <w:r w:rsidRPr="00E142CD">
        <w:rPr>
          <w:b/>
          <w:bCs/>
          <w:i w:val="0"/>
          <w:iCs w:val="0"/>
          <w:color w:val="auto"/>
          <w:sz w:val="20"/>
          <w:szCs w:val="20"/>
        </w:rPr>
        <w:instrText xml:space="preserve"> SEQ Figure \* ARABIC </w:instrText>
      </w:r>
      <w:r w:rsidRPr="00E142CD">
        <w:rPr>
          <w:b/>
          <w:bCs/>
          <w:i w:val="0"/>
          <w:iCs w:val="0"/>
          <w:color w:val="auto"/>
          <w:sz w:val="20"/>
          <w:szCs w:val="20"/>
        </w:rPr>
        <w:fldChar w:fldCharType="separate"/>
      </w:r>
      <w:r w:rsidRPr="00E142CD">
        <w:rPr>
          <w:b/>
          <w:bCs/>
          <w:i w:val="0"/>
          <w:iCs w:val="0"/>
          <w:noProof/>
          <w:color w:val="auto"/>
          <w:sz w:val="20"/>
          <w:szCs w:val="20"/>
        </w:rPr>
        <w:t>1</w:t>
      </w:r>
      <w:r w:rsidRPr="00E142CD">
        <w:rPr>
          <w:b/>
          <w:bCs/>
          <w:i w:val="0"/>
          <w:iCs w:val="0"/>
          <w:noProof/>
          <w:color w:val="auto"/>
          <w:sz w:val="20"/>
          <w:szCs w:val="20"/>
        </w:rPr>
        <w:fldChar w:fldCharType="end"/>
      </w:r>
      <w:r w:rsidRPr="00E142CD">
        <w:rPr>
          <w:b/>
          <w:bCs/>
          <w:i w:val="0"/>
          <w:iCs w:val="0"/>
          <w:color w:val="auto"/>
          <w:sz w:val="20"/>
          <w:szCs w:val="20"/>
        </w:rPr>
        <w:t>: Consolidated Income Statement for BAE Plc for years 2023 and 2024</w:t>
      </w:r>
    </w:p>
    <w:p w14:paraId="3BD11521" w14:textId="77777777" w:rsidR="009A0964" w:rsidRPr="00E142CD" w:rsidRDefault="009311C5" w:rsidP="00E142CD">
      <w:pPr>
        <w:spacing w:after="0"/>
        <w:jc w:val="center"/>
        <w:rPr>
          <w:rFonts w:ascii="Times New Roman" w:eastAsia="Times New Roman" w:hAnsi="Times New Roman" w:cs="Times New Roman"/>
          <w:b/>
          <w:bCs/>
          <w:sz w:val="20"/>
          <w:szCs w:val="20"/>
          <w:lang w:eastAsia="en-GB"/>
        </w:rPr>
      </w:pPr>
      <w:r w:rsidRPr="00E142CD">
        <w:rPr>
          <w:b/>
          <w:bCs/>
          <w:sz w:val="20"/>
          <w:szCs w:val="20"/>
        </w:rPr>
        <w:t xml:space="preserve">Source: </w:t>
      </w:r>
      <w:r w:rsidRPr="00E142CD">
        <w:rPr>
          <w:rFonts w:ascii="Times New Roman" w:eastAsia="Times New Roman" w:hAnsi="Times New Roman" w:cs="Times New Roman"/>
          <w:b/>
          <w:bCs/>
          <w:sz w:val="20"/>
          <w:szCs w:val="20"/>
          <w:lang w:eastAsia="en-GB"/>
        </w:rPr>
        <w:t>(</w:t>
      </w:r>
      <w:r w:rsidR="00E142CD" w:rsidRPr="00E142CD">
        <w:rPr>
          <w:rFonts w:ascii="Times New Roman" w:eastAsia="Times New Roman" w:hAnsi="Times New Roman" w:cs="Times New Roman"/>
          <w:b/>
          <w:bCs/>
          <w:sz w:val="20"/>
          <w:szCs w:val="20"/>
          <w:lang w:eastAsia="en-GB"/>
        </w:rPr>
        <w:t>BAE,</w:t>
      </w:r>
      <w:r w:rsidRPr="00E142CD">
        <w:rPr>
          <w:rFonts w:ascii="Times New Roman" w:eastAsia="Times New Roman" w:hAnsi="Times New Roman" w:cs="Times New Roman"/>
          <w:b/>
          <w:bCs/>
          <w:sz w:val="20"/>
          <w:szCs w:val="20"/>
          <w:lang w:eastAsia="en-GB"/>
        </w:rPr>
        <w:t xml:space="preserve"> 2024)</w:t>
      </w:r>
    </w:p>
    <w:p w14:paraId="5F245958" w14:textId="77777777" w:rsidR="009A0964" w:rsidRPr="009A0964" w:rsidRDefault="009A0964" w:rsidP="00DA793E">
      <w:pPr>
        <w:spacing w:after="0"/>
      </w:pPr>
    </w:p>
    <w:p w14:paraId="10847451" w14:textId="77777777" w:rsidR="009A0964" w:rsidRDefault="009311C5" w:rsidP="00DA793E">
      <w:pPr>
        <w:spacing w:after="0" w:line="259" w:lineRule="auto"/>
        <w:jc w:val="left"/>
      </w:pPr>
      <w:r>
        <w:br w:type="page"/>
      </w:r>
    </w:p>
    <w:p w14:paraId="446EF7C1" w14:textId="77777777" w:rsidR="00D47C6A" w:rsidRDefault="009311C5" w:rsidP="00DA793E">
      <w:pPr>
        <w:pStyle w:val="Heading2"/>
      </w:pPr>
      <w:bookmarkStart w:id="35" w:name="_Toc201401317"/>
      <w:r>
        <w:lastRenderedPageBreak/>
        <w:t>Appendix</w:t>
      </w:r>
      <w:r w:rsidR="003C7A2B">
        <w:t xml:space="preserve"> </w:t>
      </w:r>
      <w:r>
        <w:t>2 Consolidated Balance Sheet</w:t>
      </w:r>
      <w:bookmarkEnd w:id="35"/>
      <w:r>
        <w:t xml:space="preserve"> </w:t>
      </w:r>
    </w:p>
    <w:p w14:paraId="70238705" w14:textId="77777777" w:rsidR="009A0964" w:rsidRDefault="009311C5" w:rsidP="00DA793E">
      <w:pPr>
        <w:spacing w:after="0"/>
      </w:pPr>
      <w:r>
        <w:rPr>
          <w:noProof/>
        </w:rPr>
        <w:drawing>
          <wp:inline distT="0" distB="0" distL="0" distR="0" wp14:anchorId="75FA3B98" wp14:editId="1BCD2D5B">
            <wp:extent cx="5810250" cy="71056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5810250" cy="7105650"/>
                    </a:xfrm>
                    <a:prstGeom prst="rect">
                      <a:avLst/>
                    </a:prstGeom>
                  </pic:spPr>
                </pic:pic>
              </a:graphicData>
            </a:graphic>
          </wp:inline>
        </w:drawing>
      </w:r>
    </w:p>
    <w:p w14:paraId="1DFFB7D7" w14:textId="77777777" w:rsidR="00D47C6A" w:rsidRPr="00CD645D" w:rsidRDefault="009311C5" w:rsidP="00CD645D">
      <w:pPr>
        <w:pStyle w:val="Caption"/>
        <w:spacing w:after="0" w:line="360" w:lineRule="auto"/>
        <w:jc w:val="center"/>
        <w:rPr>
          <w:b/>
          <w:bCs/>
          <w:i w:val="0"/>
          <w:iCs w:val="0"/>
          <w:color w:val="auto"/>
          <w:sz w:val="20"/>
          <w:szCs w:val="20"/>
        </w:rPr>
      </w:pPr>
      <w:r w:rsidRPr="00CD645D">
        <w:rPr>
          <w:b/>
          <w:bCs/>
          <w:i w:val="0"/>
          <w:iCs w:val="0"/>
          <w:color w:val="auto"/>
          <w:sz w:val="20"/>
          <w:szCs w:val="20"/>
        </w:rPr>
        <w:t xml:space="preserve">Figure </w:t>
      </w:r>
      <w:r w:rsidRPr="00CD645D">
        <w:rPr>
          <w:b/>
          <w:bCs/>
          <w:i w:val="0"/>
          <w:iCs w:val="0"/>
          <w:color w:val="auto"/>
          <w:sz w:val="20"/>
          <w:szCs w:val="20"/>
        </w:rPr>
        <w:fldChar w:fldCharType="begin"/>
      </w:r>
      <w:r w:rsidRPr="00CD645D">
        <w:rPr>
          <w:b/>
          <w:bCs/>
          <w:i w:val="0"/>
          <w:iCs w:val="0"/>
          <w:color w:val="auto"/>
          <w:sz w:val="20"/>
          <w:szCs w:val="20"/>
        </w:rPr>
        <w:instrText xml:space="preserve"> SEQ Figure \* ARABIC </w:instrText>
      </w:r>
      <w:r w:rsidRPr="00CD645D">
        <w:rPr>
          <w:b/>
          <w:bCs/>
          <w:i w:val="0"/>
          <w:iCs w:val="0"/>
          <w:color w:val="auto"/>
          <w:sz w:val="20"/>
          <w:szCs w:val="20"/>
        </w:rPr>
        <w:fldChar w:fldCharType="separate"/>
      </w:r>
      <w:r w:rsidRPr="00CD645D">
        <w:rPr>
          <w:b/>
          <w:bCs/>
          <w:i w:val="0"/>
          <w:iCs w:val="0"/>
          <w:noProof/>
          <w:color w:val="auto"/>
          <w:sz w:val="20"/>
          <w:szCs w:val="20"/>
        </w:rPr>
        <w:t>2</w:t>
      </w:r>
      <w:r w:rsidRPr="00CD645D">
        <w:rPr>
          <w:b/>
          <w:bCs/>
          <w:i w:val="0"/>
          <w:iCs w:val="0"/>
          <w:color w:val="auto"/>
          <w:sz w:val="20"/>
          <w:szCs w:val="20"/>
        </w:rPr>
        <w:fldChar w:fldCharType="end"/>
      </w:r>
      <w:r w:rsidRPr="00CD645D">
        <w:rPr>
          <w:b/>
          <w:bCs/>
          <w:i w:val="0"/>
          <w:iCs w:val="0"/>
          <w:color w:val="auto"/>
          <w:sz w:val="20"/>
          <w:szCs w:val="20"/>
        </w:rPr>
        <w:t xml:space="preserve">: Consolidated Balance </w:t>
      </w:r>
      <w:r w:rsidRPr="00CD645D">
        <w:rPr>
          <w:b/>
          <w:bCs/>
          <w:i w:val="0"/>
          <w:iCs w:val="0"/>
          <w:color w:val="auto"/>
          <w:sz w:val="20"/>
          <w:szCs w:val="20"/>
        </w:rPr>
        <w:t>Sheet for BAE System Plc for Years 2023 and 2024</w:t>
      </w:r>
    </w:p>
    <w:p w14:paraId="763C71AB" w14:textId="77777777" w:rsidR="009A0964" w:rsidRPr="00CD645D" w:rsidRDefault="009311C5" w:rsidP="00CD645D">
      <w:pPr>
        <w:spacing w:after="0"/>
        <w:jc w:val="center"/>
        <w:rPr>
          <w:rFonts w:ascii="Times New Roman" w:eastAsia="Times New Roman" w:hAnsi="Times New Roman" w:cs="Times New Roman"/>
          <w:b/>
          <w:bCs/>
          <w:sz w:val="20"/>
          <w:szCs w:val="20"/>
          <w:lang w:eastAsia="en-GB"/>
        </w:rPr>
      </w:pPr>
      <w:r w:rsidRPr="00CD645D">
        <w:rPr>
          <w:b/>
          <w:bCs/>
          <w:sz w:val="20"/>
          <w:szCs w:val="20"/>
        </w:rPr>
        <w:t xml:space="preserve">Source: </w:t>
      </w:r>
      <w:r w:rsidRPr="00CD645D">
        <w:rPr>
          <w:rFonts w:ascii="Times New Roman" w:eastAsia="Times New Roman" w:hAnsi="Times New Roman" w:cs="Times New Roman"/>
          <w:b/>
          <w:bCs/>
          <w:sz w:val="20"/>
          <w:szCs w:val="20"/>
          <w:lang w:eastAsia="en-GB"/>
        </w:rPr>
        <w:t>(</w:t>
      </w:r>
      <w:r w:rsidR="00CD645D" w:rsidRPr="00CD645D">
        <w:rPr>
          <w:rFonts w:ascii="Times New Roman" w:eastAsia="Times New Roman" w:hAnsi="Times New Roman" w:cs="Times New Roman"/>
          <w:b/>
          <w:bCs/>
          <w:sz w:val="20"/>
          <w:szCs w:val="20"/>
          <w:lang w:eastAsia="en-GB"/>
        </w:rPr>
        <w:t>BAE,</w:t>
      </w:r>
      <w:r w:rsidRPr="00CD645D">
        <w:rPr>
          <w:rFonts w:ascii="Times New Roman" w:eastAsia="Times New Roman" w:hAnsi="Times New Roman" w:cs="Times New Roman"/>
          <w:b/>
          <w:bCs/>
          <w:sz w:val="20"/>
          <w:szCs w:val="20"/>
          <w:lang w:eastAsia="en-GB"/>
        </w:rPr>
        <w:t xml:space="preserve"> 2024)</w:t>
      </w:r>
    </w:p>
    <w:p w14:paraId="07E1A0AA" w14:textId="77777777" w:rsidR="009A0964" w:rsidRPr="009A0964" w:rsidRDefault="009A0964" w:rsidP="00DA793E">
      <w:pPr>
        <w:spacing w:after="0"/>
      </w:pPr>
    </w:p>
    <w:p w14:paraId="75DD50D4" w14:textId="77777777" w:rsidR="00D47C6A" w:rsidRDefault="009311C5" w:rsidP="00DA793E">
      <w:pPr>
        <w:pStyle w:val="Heading2"/>
      </w:pPr>
      <w:bookmarkStart w:id="36" w:name="_Toc201401318"/>
      <w:r>
        <w:lastRenderedPageBreak/>
        <w:t>Appendix 3 Ratio Calculation</w:t>
      </w:r>
      <w:bookmarkEnd w:id="36"/>
      <w:r>
        <w:t xml:space="preserve"> </w:t>
      </w:r>
    </w:p>
    <w:p w14:paraId="4672C243" w14:textId="77777777" w:rsidR="009A0964" w:rsidRPr="002C1773" w:rsidRDefault="009311C5" w:rsidP="00DA793E">
      <w:pPr>
        <w:spacing w:after="0"/>
        <w:rPr>
          <w:b/>
          <w:bCs/>
        </w:rPr>
      </w:pPr>
      <w:r w:rsidRPr="002C1773">
        <w:rPr>
          <w:b/>
          <w:bCs/>
        </w:rPr>
        <w:t xml:space="preserve">1. Profitability Analysis </w:t>
      </w:r>
    </w:p>
    <w:tbl>
      <w:tblPr>
        <w:tblStyle w:val="TableGrid"/>
        <w:tblW w:w="5000" w:type="pct"/>
        <w:tblLook w:val="04A0" w:firstRow="1" w:lastRow="0" w:firstColumn="1" w:lastColumn="0" w:noHBand="0" w:noVBand="1"/>
      </w:tblPr>
      <w:tblGrid>
        <w:gridCol w:w="957"/>
        <w:gridCol w:w="1183"/>
        <w:gridCol w:w="1813"/>
        <w:gridCol w:w="1320"/>
        <w:gridCol w:w="1813"/>
        <w:gridCol w:w="1320"/>
        <w:gridCol w:w="944"/>
      </w:tblGrid>
      <w:tr w:rsidR="00A62B72" w14:paraId="0AF25BA4" w14:textId="77777777" w:rsidTr="002C1773">
        <w:trPr>
          <w:trHeight w:val="312"/>
        </w:trPr>
        <w:tc>
          <w:tcPr>
            <w:tcW w:w="805" w:type="pct"/>
            <w:noWrap/>
            <w:hideMark/>
          </w:tcPr>
          <w:p w14:paraId="3B9357E3" w14:textId="77777777" w:rsidR="002C1773" w:rsidRPr="00E142CD" w:rsidRDefault="009311C5" w:rsidP="00E142CD">
            <w:pPr>
              <w:jc w:val="center"/>
              <w:rPr>
                <w:rFonts w:ascii="Times New Roman" w:eastAsia="Times New Roman" w:hAnsi="Times New Roman" w:cs="Times New Roman"/>
                <w:b/>
                <w:bCs/>
                <w:color w:val="000000"/>
                <w:szCs w:val="24"/>
                <w:lang w:eastAsia="en-GB"/>
              </w:rPr>
            </w:pPr>
            <w:r w:rsidRPr="00E142CD">
              <w:rPr>
                <w:rFonts w:ascii="Times New Roman" w:eastAsia="Times New Roman" w:hAnsi="Times New Roman" w:cs="Times New Roman"/>
                <w:b/>
                <w:bCs/>
                <w:color w:val="000000"/>
                <w:szCs w:val="24"/>
                <w:lang w:eastAsia="en-GB"/>
              </w:rPr>
              <w:t>Ratio</w:t>
            </w:r>
          </w:p>
        </w:tc>
        <w:tc>
          <w:tcPr>
            <w:tcW w:w="1003" w:type="pct"/>
            <w:noWrap/>
            <w:hideMark/>
          </w:tcPr>
          <w:p w14:paraId="1E9F6740" w14:textId="77777777" w:rsidR="002C1773" w:rsidRPr="00E142CD" w:rsidRDefault="009311C5" w:rsidP="00E142CD">
            <w:pPr>
              <w:jc w:val="center"/>
              <w:rPr>
                <w:rFonts w:ascii="Times New Roman" w:eastAsia="Times New Roman" w:hAnsi="Times New Roman" w:cs="Times New Roman"/>
                <w:b/>
                <w:bCs/>
                <w:color w:val="000000"/>
                <w:szCs w:val="24"/>
                <w:lang w:eastAsia="en-GB"/>
              </w:rPr>
            </w:pPr>
            <w:r w:rsidRPr="00E142CD">
              <w:rPr>
                <w:rFonts w:ascii="Times New Roman" w:eastAsia="Times New Roman" w:hAnsi="Times New Roman" w:cs="Times New Roman"/>
                <w:b/>
                <w:bCs/>
                <w:color w:val="000000"/>
                <w:szCs w:val="24"/>
                <w:lang w:eastAsia="en-GB"/>
              </w:rPr>
              <w:t>Formula</w:t>
            </w:r>
          </w:p>
        </w:tc>
        <w:tc>
          <w:tcPr>
            <w:tcW w:w="835" w:type="pct"/>
            <w:noWrap/>
            <w:hideMark/>
          </w:tcPr>
          <w:p w14:paraId="6448B62C" w14:textId="77777777" w:rsidR="002C1773" w:rsidRPr="00E142CD" w:rsidRDefault="009311C5" w:rsidP="00E142CD">
            <w:pPr>
              <w:jc w:val="center"/>
              <w:rPr>
                <w:rFonts w:ascii="Times New Roman" w:eastAsia="Times New Roman" w:hAnsi="Times New Roman" w:cs="Times New Roman"/>
                <w:b/>
                <w:bCs/>
                <w:color w:val="000000"/>
                <w:szCs w:val="24"/>
                <w:lang w:eastAsia="en-GB"/>
              </w:rPr>
            </w:pPr>
            <w:r w:rsidRPr="00E142CD">
              <w:rPr>
                <w:rFonts w:ascii="Times New Roman" w:eastAsia="Times New Roman" w:hAnsi="Times New Roman" w:cs="Times New Roman"/>
                <w:b/>
                <w:bCs/>
                <w:color w:val="000000"/>
                <w:szCs w:val="24"/>
                <w:lang w:eastAsia="en-GB"/>
              </w:rPr>
              <w:t>2024 Calculation</w:t>
            </w:r>
          </w:p>
        </w:tc>
        <w:tc>
          <w:tcPr>
            <w:tcW w:w="344" w:type="pct"/>
            <w:noWrap/>
            <w:hideMark/>
          </w:tcPr>
          <w:p w14:paraId="5481B177" w14:textId="77777777" w:rsidR="002C1773" w:rsidRPr="00E142CD" w:rsidRDefault="009311C5" w:rsidP="00E142CD">
            <w:pPr>
              <w:jc w:val="center"/>
              <w:rPr>
                <w:rFonts w:ascii="Times New Roman" w:eastAsia="Times New Roman" w:hAnsi="Times New Roman" w:cs="Times New Roman"/>
                <w:b/>
                <w:bCs/>
                <w:color w:val="000000"/>
                <w:szCs w:val="24"/>
                <w:lang w:eastAsia="en-GB"/>
              </w:rPr>
            </w:pPr>
            <w:r w:rsidRPr="00E142CD">
              <w:rPr>
                <w:rFonts w:ascii="Times New Roman" w:eastAsia="Times New Roman" w:hAnsi="Times New Roman" w:cs="Times New Roman"/>
                <w:b/>
                <w:bCs/>
                <w:color w:val="000000"/>
                <w:szCs w:val="24"/>
                <w:lang w:eastAsia="en-GB"/>
              </w:rPr>
              <w:t>2024 Result</w:t>
            </w:r>
          </w:p>
        </w:tc>
        <w:tc>
          <w:tcPr>
            <w:tcW w:w="849" w:type="pct"/>
            <w:noWrap/>
            <w:hideMark/>
          </w:tcPr>
          <w:p w14:paraId="0E820943" w14:textId="77777777" w:rsidR="002C1773" w:rsidRPr="00E142CD" w:rsidRDefault="009311C5" w:rsidP="00E142CD">
            <w:pPr>
              <w:jc w:val="center"/>
              <w:rPr>
                <w:rFonts w:ascii="Times New Roman" w:eastAsia="Times New Roman" w:hAnsi="Times New Roman" w:cs="Times New Roman"/>
                <w:b/>
                <w:bCs/>
                <w:color w:val="000000"/>
                <w:szCs w:val="24"/>
                <w:lang w:eastAsia="en-GB"/>
              </w:rPr>
            </w:pPr>
            <w:r w:rsidRPr="00E142CD">
              <w:rPr>
                <w:rFonts w:ascii="Times New Roman" w:eastAsia="Times New Roman" w:hAnsi="Times New Roman" w:cs="Times New Roman"/>
                <w:b/>
                <w:bCs/>
                <w:color w:val="000000"/>
                <w:szCs w:val="24"/>
                <w:lang w:eastAsia="en-GB"/>
              </w:rPr>
              <w:t>2023 Calculation</w:t>
            </w:r>
          </w:p>
        </w:tc>
        <w:tc>
          <w:tcPr>
            <w:tcW w:w="637" w:type="pct"/>
            <w:noWrap/>
            <w:hideMark/>
          </w:tcPr>
          <w:p w14:paraId="2DA9F973" w14:textId="77777777" w:rsidR="002C1773" w:rsidRPr="00E142CD" w:rsidRDefault="009311C5" w:rsidP="00E142CD">
            <w:pPr>
              <w:jc w:val="center"/>
              <w:rPr>
                <w:rFonts w:ascii="Times New Roman" w:eastAsia="Times New Roman" w:hAnsi="Times New Roman" w:cs="Times New Roman"/>
                <w:b/>
                <w:bCs/>
                <w:color w:val="000000"/>
                <w:szCs w:val="24"/>
                <w:lang w:eastAsia="en-GB"/>
              </w:rPr>
            </w:pPr>
            <w:r w:rsidRPr="00E142CD">
              <w:rPr>
                <w:rFonts w:ascii="Times New Roman" w:eastAsia="Times New Roman" w:hAnsi="Times New Roman" w:cs="Times New Roman"/>
                <w:b/>
                <w:bCs/>
                <w:color w:val="000000"/>
                <w:szCs w:val="24"/>
                <w:lang w:eastAsia="en-GB"/>
              </w:rPr>
              <w:t>2023 Result</w:t>
            </w:r>
          </w:p>
        </w:tc>
        <w:tc>
          <w:tcPr>
            <w:tcW w:w="527" w:type="pct"/>
            <w:noWrap/>
            <w:hideMark/>
          </w:tcPr>
          <w:p w14:paraId="6CD38DC3" w14:textId="77777777" w:rsidR="002C1773" w:rsidRPr="00E142CD" w:rsidRDefault="009311C5" w:rsidP="00E142CD">
            <w:pPr>
              <w:jc w:val="center"/>
              <w:rPr>
                <w:rFonts w:ascii="Times New Roman" w:eastAsia="Times New Roman" w:hAnsi="Times New Roman" w:cs="Times New Roman"/>
                <w:b/>
                <w:bCs/>
                <w:color w:val="000000"/>
                <w:szCs w:val="24"/>
                <w:lang w:eastAsia="en-GB"/>
              </w:rPr>
            </w:pPr>
            <w:r w:rsidRPr="00E142CD">
              <w:rPr>
                <w:rFonts w:ascii="Times New Roman" w:eastAsia="Times New Roman" w:hAnsi="Times New Roman" w:cs="Times New Roman"/>
                <w:b/>
                <w:bCs/>
                <w:color w:val="000000"/>
                <w:szCs w:val="24"/>
                <w:lang w:eastAsia="en-GB"/>
              </w:rPr>
              <w:t>Change</w:t>
            </w:r>
          </w:p>
        </w:tc>
      </w:tr>
      <w:tr w:rsidR="00A62B72" w14:paraId="6DB1374F" w14:textId="77777777" w:rsidTr="002C1773">
        <w:trPr>
          <w:trHeight w:val="624"/>
        </w:trPr>
        <w:tc>
          <w:tcPr>
            <w:tcW w:w="805" w:type="pct"/>
            <w:hideMark/>
          </w:tcPr>
          <w:p w14:paraId="0EB26857" w14:textId="77777777" w:rsidR="002C1773" w:rsidRPr="00E142CD" w:rsidRDefault="009311C5" w:rsidP="00E142CD">
            <w:pPr>
              <w:rPr>
                <w:rFonts w:ascii="Times New Roman" w:hAnsi="Times New Roman" w:cs="Times New Roman"/>
                <w:sz w:val="20"/>
                <w:szCs w:val="20"/>
                <w:lang w:eastAsia="en-GB"/>
              </w:rPr>
            </w:pPr>
            <w:r w:rsidRPr="00E142CD">
              <w:rPr>
                <w:rFonts w:ascii="Times New Roman" w:hAnsi="Times New Roman" w:cs="Times New Roman"/>
                <w:sz w:val="20"/>
                <w:szCs w:val="20"/>
                <w:lang w:eastAsia="en-GB"/>
              </w:rPr>
              <w:t>Gross Profit Margin</w:t>
            </w:r>
          </w:p>
        </w:tc>
        <w:tc>
          <w:tcPr>
            <w:tcW w:w="1003" w:type="pct"/>
            <w:hideMark/>
          </w:tcPr>
          <w:p w14:paraId="6D598933" w14:textId="77777777" w:rsidR="002C1773" w:rsidRPr="00E142CD" w:rsidRDefault="009311C5" w:rsidP="00E142CD">
            <w:pPr>
              <w:rPr>
                <w:rFonts w:ascii="Times New Roman" w:hAnsi="Times New Roman" w:cs="Times New Roman"/>
                <w:sz w:val="20"/>
                <w:szCs w:val="20"/>
                <w:lang w:eastAsia="en-GB"/>
              </w:rPr>
            </w:pPr>
            <w:r w:rsidRPr="00E142CD">
              <w:rPr>
                <w:rFonts w:ascii="Times New Roman" w:hAnsi="Times New Roman" w:cs="Times New Roman"/>
                <w:sz w:val="20"/>
                <w:szCs w:val="20"/>
                <w:lang w:eastAsia="en-GB"/>
              </w:rPr>
              <w:t xml:space="preserve">(Revenue - Cost of </w:t>
            </w:r>
            <w:r w:rsidRPr="00E142CD">
              <w:rPr>
                <w:rFonts w:ascii="Times New Roman" w:hAnsi="Times New Roman" w:cs="Times New Roman"/>
                <w:sz w:val="20"/>
                <w:szCs w:val="20"/>
                <w:lang w:eastAsia="en-GB"/>
              </w:rPr>
              <w:t>Sales) / revenue × 100</w:t>
            </w:r>
          </w:p>
        </w:tc>
        <w:tc>
          <w:tcPr>
            <w:tcW w:w="835" w:type="pct"/>
            <w:hideMark/>
          </w:tcPr>
          <w:p w14:paraId="1EF16131" w14:textId="77777777" w:rsidR="002C1773" w:rsidRPr="00E142CD" w:rsidRDefault="009311C5" w:rsidP="00E142CD">
            <w:pPr>
              <w:rPr>
                <w:rFonts w:ascii="Times New Roman" w:hAnsi="Times New Roman" w:cs="Times New Roman"/>
                <w:sz w:val="20"/>
                <w:szCs w:val="20"/>
                <w:lang w:eastAsia="en-GB"/>
              </w:rPr>
            </w:pPr>
            <w:r w:rsidRPr="00E142CD">
              <w:rPr>
                <w:rFonts w:ascii="Times New Roman" w:hAnsi="Times New Roman" w:cs="Times New Roman"/>
                <w:sz w:val="20"/>
                <w:szCs w:val="20"/>
                <w:lang w:eastAsia="en-GB"/>
              </w:rPr>
              <w:t>(26,312 - 24,106) / 26,312 × 100</w:t>
            </w:r>
          </w:p>
        </w:tc>
        <w:tc>
          <w:tcPr>
            <w:tcW w:w="344" w:type="pct"/>
            <w:hideMark/>
          </w:tcPr>
          <w:p w14:paraId="2D2A4B6D" w14:textId="77777777" w:rsidR="002C1773" w:rsidRPr="00E142CD" w:rsidRDefault="009311C5" w:rsidP="00E142CD">
            <w:pPr>
              <w:rPr>
                <w:rFonts w:ascii="Times New Roman" w:hAnsi="Times New Roman" w:cs="Times New Roman"/>
                <w:sz w:val="20"/>
                <w:szCs w:val="20"/>
                <w:lang w:eastAsia="en-GB"/>
              </w:rPr>
            </w:pPr>
            <w:r w:rsidRPr="00E142CD">
              <w:rPr>
                <w:rFonts w:ascii="Times New Roman" w:hAnsi="Times New Roman" w:cs="Times New Roman"/>
                <w:sz w:val="20"/>
                <w:szCs w:val="20"/>
                <w:lang w:eastAsia="en-GB"/>
              </w:rPr>
              <w:t>0.0838</w:t>
            </w:r>
          </w:p>
        </w:tc>
        <w:tc>
          <w:tcPr>
            <w:tcW w:w="849" w:type="pct"/>
            <w:hideMark/>
          </w:tcPr>
          <w:p w14:paraId="4A9C5808" w14:textId="77777777" w:rsidR="002C1773" w:rsidRPr="00E142CD" w:rsidRDefault="009311C5" w:rsidP="00E142CD">
            <w:pPr>
              <w:rPr>
                <w:rFonts w:ascii="Times New Roman" w:hAnsi="Times New Roman" w:cs="Times New Roman"/>
                <w:sz w:val="20"/>
                <w:szCs w:val="20"/>
                <w:lang w:eastAsia="en-GB"/>
              </w:rPr>
            </w:pPr>
            <w:r w:rsidRPr="00E142CD">
              <w:rPr>
                <w:rFonts w:ascii="Times New Roman" w:hAnsi="Times New Roman" w:cs="Times New Roman"/>
                <w:sz w:val="20"/>
                <w:szCs w:val="20"/>
                <w:lang w:eastAsia="en-GB"/>
              </w:rPr>
              <w:t>(23,078 - 20,917) / 23,078 × 100</w:t>
            </w:r>
          </w:p>
        </w:tc>
        <w:tc>
          <w:tcPr>
            <w:tcW w:w="637" w:type="pct"/>
            <w:hideMark/>
          </w:tcPr>
          <w:p w14:paraId="6AEA1707" w14:textId="77777777" w:rsidR="002C1773" w:rsidRPr="00E142CD" w:rsidRDefault="009311C5" w:rsidP="00E142CD">
            <w:pPr>
              <w:rPr>
                <w:rFonts w:ascii="Times New Roman" w:hAnsi="Times New Roman" w:cs="Times New Roman"/>
                <w:sz w:val="20"/>
                <w:szCs w:val="20"/>
                <w:lang w:eastAsia="en-GB"/>
              </w:rPr>
            </w:pPr>
            <w:r w:rsidRPr="00E142CD">
              <w:rPr>
                <w:rFonts w:ascii="Times New Roman" w:hAnsi="Times New Roman" w:cs="Times New Roman"/>
                <w:sz w:val="20"/>
                <w:szCs w:val="20"/>
                <w:lang w:eastAsia="en-GB"/>
              </w:rPr>
              <w:t>0.0937</w:t>
            </w:r>
          </w:p>
        </w:tc>
        <w:tc>
          <w:tcPr>
            <w:tcW w:w="527" w:type="pct"/>
            <w:hideMark/>
          </w:tcPr>
          <w:p w14:paraId="31824581" w14:textId="77777777" w:rsidR="002C1773" w:rsidRPr="00E142CD" w:rsidRDefault="009311C5" w:rsidP="00E142CD">
            <w:pPr>
              <w:rPr>
                <w:rFonts w:ascii="Times New Roman" w:hAnsi="Times New Roman" w:cs="Times New Roman"/>
                <w:sz w:val="20"/>
                <w:szCs w:val="20"/>
                <w:lang w:eastAsia="en-GB"/>
              </w:rPr>
            </w:pPr>
            <w:r w:rsidRPr="00E142CD">
              <w:rPr>
                <w:rFonts w:ascii="Times New Roman" w:hAnsi="Times New Roman" w:cs="Times New Roman"/>
                <w:sz w:val="20"/>
                <w:szCs w:val="20"/>
                <w:lang w:eastAsia="en-GB"/>
              </w:rPr>
              <w:t>-0.0099</w:t>
            </w:r>
          </w:p>
        </w:tc>
      </w:tr>
      <w:tr w:rsidR="00A62B72" w14:paraId="3AA8FBC8" w14:textId="77777777" w:rsidTr="002C1773">
        <w:trPr>
          <w:trHeight w:val="624"/>
        </w:trPr>
        <w:tc>
          <w:tcPr>
            <w:tcW w:w="805" w:type="pct"/>
            <w:hideMark/>
          </w:tcPr>
          <w:p w14:paraId="42A3BC8C" w14:textId="77777777" w:rsidR="002C1773" w:rsidRPr="00E142CD" w:rsidRDefault="009311C5" w:rsidP="00E142CD">
            <w:pPr>
              <w:rPr>
                <w:rFonts w:ascii="Times New Roman" w:hAnsi="Times New Roman" w:cs="Times New Roman"/>
                <w:sz w:val="20"/>
                <w:szCs w:val="20"/>
                <w:lang w:eastAsia="en-GB"/>
              </w:rPr>
            </w:pPr>
            <w:r w:rsidRPr="00E142CD">
              <w:rPr>
                <w:rFonts w:ascii="Times New Roman" w:hAnsi="Times New Roman" w:cs="Times New Roman"/>
                <w:sz w:val="20"/>
                <w:szCs w:val="20"/>
                <w:lang w:eastAsia="en-GB"/>
              </w:rPr>
              <w:t>Operating Profit Margin</w:t>
            </w:r>
          </w:p>
        </w:tc>
        <w:tc>
          <w:tcPr>
            <w:tcW w:w="1003" w:type="pct"/>
            <w:hideMark/>
          </w:tcPr>
          <w:p w14:paraId="1E85219A" w14:textId="77777777" w:rsidR="002C1773" w:rsidRPr="00E142CD" w:rsidRDefault="009311C5" w:rsidP="00E142CD">
            <w:pPr>
              <w:rPr>
                <w:rFonts w:ascii="Times New Roman" w:hAnsi="Times New Roman" w:cs="Times New Roman"/>
                <w:sz w:val="20"/>
                <w:szCs w:val="20"/>
                <w:lang w:eastAsia="en-GB"/>
              </w:rPr>
            </w:pPr>
            <w:r w:rsidRPr="00E142CD">
              <w:rPr>
                <w:rFonts w:ascii="Times New Roman" w:hAnsi="Times New Roman" w:cs="Times New Roman"/>
                <w:sz w:val="20"/>
                <w:szCs w:val="20"/>
                <w:lang w:eastAsia="en-GB"/>
              </w:rPr>
              <w:t>Operating Profit / Revenue × 100</w:t>
            </w:r>
          </w:p>
        </w:tc>
        <w:tc>
          <w:tcPr>
            <w:tcW w:w="835" w:type="pct"/>
            <w:hideMark/>
          </w:tcPr>
          <w:p w14:paraId="7466C325" w14:textId="77777777" w:rsidR="002C1773" w:rsidRPr="00E142CD" w:rsidRDefault="009311C5" w:rsidP="00E142CD">
            <w:pPr>
              <w:rPr>
                <w:rFonts w:ascii="Times New Roman" w:hAnsi="Times New Roman" w:cs="Times New Roman"/>
                <w:sz w:val="20"/>
                <w:szCs w:val="20"/>
                <w:lang w:eastAsia="en-GB"/>
              </w:rPr>
            </w:pPr>
            <w:r w:rsidRPr="00E142CD">
              <w:rPr>
                <w:rFonts w:ascii="Times New Roman" w:hAnsi="Times New Roman" w:cs="Times New Roman"/>
                <w:sz w:val="20"/>
                <w:szCs w:val="20"/>
                <w:lang w:eastAsia="en-GB"/>
              </w:rPr>
              <w:t>2,685 / 26,312 × 100</w:t>
            </w:r>
          </w:p>
        </w:tc>
        <w:tc>
          <w:tcPr>
            <w:tcW w:w="344" w:type="pct"/>
            <w:hideMark/>
          </w:tcPr>
          <w:p w14:paraId="2559571B" w14:textId="77777777" w:rsidR="002C1773" w:rsidRPr="00E142CD" w:rsidRDefault="009311C5" w:rsidP="00E142CD">
            <w:pPr>
              <w:rPr>
                <w:rFonts w:ascii="Times New Roman" w:hAnsi="Times New Roman" w:cs="Times New Roman"/>
                <w:sz w:val="20"/>
                <w:szCs w:val="20"/>
                <w:lang w:eastAsia="en-GB"/>
              </w:rPr>
            </w:pPr>
            <w:r w:rsidRPr="00E142CD">
              <w:rPr>
                <w:rFonts w:ascii="Times New Roman" w:hAnsi="Times New Roman" w:cs="Times New Roman"/>
                <w:sz w:val="20"/>
                <w:szCs w:val="20"/>
                <w:lang w:eastAsia="en-GB"/>
              </w:rPr>
              <w:t>0.102</w:t>
            </w:r>
          </w:p>
        </w:tc>
        <w:tc>
          <w:tcPr>
            <w:tcW w:w="849" w:type="pct"/>
            <w:hideMark/>
          </w:tcPr>
          <w:p w14:paraId="6F6F799A" w14:textId="77777777" w:rsidR="002C1773" w:rsidRPr="00E142CD" w:rsidRDefault="009311C5" w:rsidP="00E142CD">
            <w:pPr>
              <w:rPr>
                <w:rFonts w:ascii="Times New Roman" w:hAnsi="Times New Roman" w:cs="Times New Roman"/>
                <w:sz w:val="20"/>
                <w:szCs w:val="20"/>
                <w:lang w:eastAsia="en-GB"/>
              </w:rPr>
            </w:pPr>
            <w:r w:rsidRPr="00E142CD">
              <w:rPr>
                <w:rFonts w:ascii="Times New Roman" w:hAnsi="Times New Roman" w:cs="Times New Roman"/>
                <w:sz w:val="20"/>
                <w:szCs w:val="20"/>
                <w:lang w:eastAsia="en-GB"/>
              </w:rPr>
              <w:t>2,573 / 23,078 × 100</w:t>
            </w:r>
          </w:p>
        </w:tc>
        <w:tc>
          <w:tcPr>
            <w:tcW w:w="637" w:type="pct"/>
            <w:hideMark/>
          </w:tcPr>
          <w:p w14:paraId="2298FE23" w14:textId="77777777" w:rsidR="002C1773" w:rsidRPr="00E142CD" w:rsidRDefault="009311C5" w:rsidP="00E142CD">
            <w:pPr>
              <w:rPr>
                <w:rFonts w:ascii="Times New Roman" w:hAnsi="Times New Roman" w:cs="Times New Roman"/>
                <w:sz w:val="20"/>
                <w:szCs w:val="20"/>
                <w:lang w:eastAsia="en-GB"/>
              </w:rPr>
            </w:pPr>
            <w:r w:rsidRPr="00E142CD">
              <w:rPr>
                <w:rFonts w:ascii="Times New Roman" w:hAnsi="Times New Roman" w:cs="Times New Roman"/>
                <w:sz w:val="20"/>
                <w:szCs w:val="20"/>
                <w:lang w:eastAsia="en-GB"/>
              </w:rPr>
              <w:t>0.1115</w:t>
            </w:r>
          </w:p>
        </w:tc>
        <w:tc>
          <w:tcPr>
            <w:tcW w:w="527" w:type="pct"/>
            <w:hideMark/>
          </w:tcPr>
          <w:p w14:paraId="625A3B7C" w14:textId="77777777" w:rsidR="002C1773" w:rsidRPr="00E142CD" w:rsidRDefault="009311C5" w:rsidP="00E142CD">
            <w:pPr>
              <w:rPr>
                <w:rFonts w:ascii="Times New Roman" w:hAnsi="Times New Roman" w:cs="Times New Roman"/>
                <w:sz w:val="20"/>
                <w:szCs w:val="20"/>
                <w:lang w:eastAsia="en-GB"/>
              </w:rPr>
            </w:pPr>
            <w:r w:rsidRPr="00E142CD">
              <w:rPr>
                <w:rFonts w:ascii="Times New Roman" w:hAnsi="Times New Roman" w:cs="Times New Roman"/>
                <w:sz w:val="20"/>
                <w:szCs w:val="20"/>
                <w:lang w:eastAsia="en-GB"/>
              </w:rPr>
              <w:t>-0.0095</w:t>
            </w:r>
          </w:p>
        </w:tc>
      </w:tr>
      <w:tr w:rsidR="00A62B72" w14:paraId="6DCEB8C2" w14:textId="77777777" w:rsidTr="002C1773">
        <w:trPr>
          <w:trHeight w:val="624"/>
        </w:trPr>
        <w:tc>
          <w:tcPr>
            <w:tcW w:w="805" w:type="pct"/>
            <w:hideMark/>
          </w:tcPr>
          <w:p w14:paraId="7FD00B88" w14:textId="77777777" w:rsidR="002C1773" w:rsidRPr="00E142CD" w:rsidRDefault="009311C5" w:rsidP="00E142CD">
            <w:pPr>
              <w:rPr>
                <w:rFonts w:ascii="Times New Roman" w:hAnsi="Times New Roman" w:cs="Times New Roman"/>
                <w:sz w:val="20"/>
                <w:szCs w:val="20"/>
                <w:lang w:eastAsia="en-GB"/>
              </w:rPr>
            </w:pPr>
            <w:r w:rsidRPr="00E142CD">
              <w:rPr>
                <w:rFonts w:ascii="Times New Roman" w:hAnsi="Times New Roman" w:cs="Times New Roman"/>
                <w:sz w:val="20"/>
                <w:szCs w:val="20"/>
                <w:lang w:eastAsia="en-GB"/>
              </w:rPr>
              <w:t>Net Profit Margin</w:t>
            </w:r>
          </w:p>
        </w:tc>
        <w:tc>
          <w:tcPr>
            <w:tcW w:w="1003" w:type="pct"/>
            <w:hideMark/>
          </w:tcPr>
          <w:p w14:paraId="6B57657A" w14:textId="77777777" w:rsidR="002C1773" w:rsidRPr="00E142CD" w:rsidRDefault="009311C5" w:rsidP="00E142CD">
            <w:pPr>
              <w:rPr>
                <w:rFonts w:ascii="Times New Roman" w:hAnsi="Times New Roman" w:cs="Times New Roman"/>
                <w:sz w:val="20"/>
                <w:szCs w:val="20"/>
                <w:lang w:eastAsia="en-GB"/>
              </w:rPr>
            </w:pPr>
            <w:r w:rsidRPr="00E142CD">
              <w:rPr>
                <w:rFonts w:ascii="Times New Roman" w:hAnsi="Times New Roman" w:cs="Times New Roman"/>
                <w:sz w:val="20"/>
                <w:szCs w:val="20"/>
                <w:lang w:eastAsia="en-GB"/>
              </w:rPr>
              <w:t>Net Profit / Revenue × 100</w:t>
            </w:r>
          </w:p>
        </w:tc>
        <w:tc>
          <w:tcPr>
            <w:tcW w:w="835" w:type="pct"/>
            <w:hideMark/>
          </w:tcPr>
          <w:p w14:paraId="12DCE9F1" w14:textId="77777777" w:rsidR="002C1773" w:rsidRPr="00E142CD" w:rsidRDefault="009311C5" w:rsidP="00E142CD">
            <w:pPr>
              <w:rPr>
                <w:rFonts w:ascii="Times New Roman" w:hAnsi="Times New Roman" w:cs="Times New Roman"/>
                <w:sz w:val="20"/>
                <w:szCs w:val="20"/>
                <w:lang w:eastAsia="en-GB"/>
              </w:rPr>
            </w:pPr>
            <w:r w:rsidRPr="00E142CD">
              <w:rPr>
                <w:rFonts w:ascii="Times New Roman" w:hAnsi="Times New Roman" w:cs="Times New Roman"/>
                <w:sz w:val="20"/>
                <w:szCs w:val="20"/>
                <w:lang w:eastAsia="en-GB"/>
              </w:rPr>
              <w:t>2,041 / 26,312 × 100</w:t>
            </w:r>
          </w:p>
        </w:tc>
        <w:tc>
          <w:tcPr>
            <w:tcW w:w="344" w:type="pct"/>
            <w:hideMark/>
          </w:tcPr>
          <w:p w14:paraId="40077654" w14:textId="77777777" w:rsidR="002C1773" w:rsidRPr="00E142CD" w:rsidRDefault="009311C5" w:rsidP="00E142CD">
            <w:pPr>
              <w:rPr>
                <w:rFonts w:ascii="Times New Roman" w:hAnsi="Times New Roman" w:cs="Times New Roman"/>
                <w:sz w:val="20"/>
                <w:szCs w:val="20"/>
                <w:lang w:eastAsia="en-GB"/>
              </w:rPr>
            </w:pPr>
            <w:r w:rsidRPr="00E142CD">
              <w:rPr>
                <w:rFonts w:ascii="Times New Roman" w:hAnsi="Times New Roman" w:cs="Times New Roman"/>
                <w:sz w:val="20"/>
                <w:szCs w:val="20"/>
                <w:lang w:eastAsia="en-GB"/>
              </w:rPr>
              <w:t>0.0776</w:t>
            </w:r>
          </w:p>
        </w:tc>
        <w:tc>
          <w:tcPr>
            <w:tcW w:w="849" w:type="pct"/>
            <w:hideMark/>
          </w:tcPr>
          <w:p w14:paraId="79533BB2" w14:textId="77777777" w:rsidR="002C1773" w:rsidRPr="00E142CD" w:rsidRDefault="009311C5" w:rsidP="00E142CD">
            <w:pPr>
              <w:rPr>
                <w:rFonts w:ascii="Times New Roman" w:hAnsi="Times New Roman" w:cs="Times New Roman"/>
                <w:sz w:val="20"/>
                <w:szCs w:val="20"/>
                <w:lang w:eastAsia="en-GB"/>
              </w:rPr>
            </w:pPr>
            <w:r w:rsidRPr="00E142CD">
              <w:rPr>
                <w:rFonts w:ascii="Times New Roman" w:hAnsi="Times New Roman" w:cs="Times New Roman"/>
                <w:sz w:val="20"/>
                <w:szCs w:val="20"/>
                <w:lang w:eastAsia="en-GB"/>
              </w:rPr>
              <w:t>1,940 / 23,078 × 100</w:t>
            </w:r>
          </w:p>
        </w:tc>
        <w:tc>
          <w:tcPr>
            <w:tcW w:w="637" w:type="pct"/>
            <w:hideMark/>
          </w:tcPr>
          <w:p w14:paraId="09260AF0" w14:textId="77777777" w:rsidR="002C1773" w:rsidRPr="00E142CD" w:rsidRDefault="009311C5" w:rsidP="00E142CD">
            <w:pPr>
              <w:rPr>
                <w:rFonts w:ascii="Times New Roman" w:hAnsi="Times New Roman" w:cs="Times New Roman"/>
                <w:sz w:val="20"/>
                <w:szCs w:val="20"/>
                <w:lang w:eastAsia="en-GB"/>
              </w:rPr>
            </w:pPr>
            <w:r w:rsidRPr="00E142CD">
              <w:rPr>
                <w:rFonts w:ascii="Times New Roman" w:hAnsi="Times New Roman" w:cs="Times New Roman"/>
                <w:sz w:val="20"/>
                <w:szCs w:val="20"/>
                <w:lang w:eastAsia="en-GB"/>
              </w:rPr>
              <w:t>0.0841</w:t>
            </w:r>
          </w:p>
        </w:tc>
        <w:tc>
          <w:tcPr>
            <w:tcW w:w="527" w:type="pct"/>
            <w:hideMark/>
          </w:tcPr>
          <w:p w14:paraId="137E42A0" w14:textId="77777777" w:rsidR="002C1773" w:rsidRPr="00E142CD" w:rsidRDefault="009311C5" w:rsidP="00E142CD">
            <w:pPr>
              <w:rPr>
                <w:rFonts w:ascii="Times New Roman" w:hAnsi="Times New Roman" w:cs="Times New Roman"/>
                <w:sz w:val="20"/>
                <w:szCs w:val="20"/>
                <w:lang w:eastAsia="en-GB"/>
              </w:rPr>
            </w:pPr>
            <w:r w:rsidRPr="00E142CD">
              <w:rPr>
                <w:rFonts w:ascii="Times New Roman" w:hAnsi="Times New Roman" w:cs="Times New Roman"/>
                <w:sz w:val="20"/>
                <w:szCs w:val="20"/>
                <w:lang w:eastAsia="en-GB"/>
              </w:rPr>
              <w:t>-0.0065</w:t>
            </w:r>
          </w:p>
        </w:tc>
      </w:tr>
      <w:tr w:rsidR="00A62B72" w14:paraId="0B246C23" w14:textId="77777777" w:rsidTr="002C1773">
        <w:trPr>
          <w:trHeight w:val="624"/>
        </w:trPr>
        <w:tc>
          <w:tcPr>
            <w:tcW w:w="805" w:type="pct"/>
            <w:hideMark/>
          </w:tcPr>
          <w:p w14:paraId="2E92D301" w14:textId="77777777" w:rsidR="002C1773" w:rsidRPr="00E142CD" w:rsidRDefault="009311C5" w:rsidP="00E142CD">
            <w:pPr>
              <w:rPr>
                <w:rFonts w:ascii="Times New Roman" w:hAnsi="Times New Roman" w:cs="Times New Roman"/>
                <w:sz w:val="20"/>
                <w:szCs w:val="20"/>
                <w:lang w:eastAsia="en-GB"/>
              </w:rPr>
            </w:pPr>
            <w:r w:rsidRPr="00E142CD">
              <w:rPr>
                <w:rFonts w:ascii="Times New Roman" w:hAnsi="Times New Roman" w:cs="Times New Roman"/>
                <w:sz w:val="20"/>
                <w:szCs w:val="20"/>
                <w:lang w:eastAsia="en-GB"/>
              </w:rPr>
              <w:t>Return on Assets (ROA)</w:t>
            </w:r>
          </w:p>
        </w:tc>
        <w:tc>
          <w:tcPr>
            <w:tcW w:w="1003" w:type="pct"/>
            <w:hideMark/>
          </w:tcPr>
          <w:p w14:paraId="51B58FD3" w14:textId="77777777" w:rsidR="002C1773" w:rsidRPr="00E142CD" w:rsidRDefault="009311C5" w:rsidP="00E142CD">
            <w:pPr>
              <w:rPr>
                <w:rFonts w:ascii="Times New Roman" w:hAnsi="Times New Roman" w:cs="Times New Roman"/>
                <w:sz w:val="20"/>
                <w:szCs w:val="20"/>
                <w:lang w:eastAsia="en-GB"/>
              </w:rPr>
            </w:pPr>
            <w:r w:rsidRPr="00E142CD">
              <w:rPr>
                <w:rFonts w:ascii="Times New Roman" w:hAnsi="Times New Roman" w:cs="Times New Roman"/>
                <w:sz w:val="20"/>
                <w:szCs w:val="20"/>
                <w:lang w:eastAsia="en-GB"/>
              </w:rPr>
              <w:t>Net Profit / Total Assets × 100</w:t>
            </w:r>
          </w:p>
        </w:tc>
        <w:tc>
          <w:tcPr>
            <w:tcW w:w="835" w:type="pct"/>
            <w:hideMark/>
          </w:tcPr>
          <w:p w14:paraId="3D5B6FEA" w14:textId="77777777" w:rsidR="002C1773" w:rsidRPr="00E142CD" w:rsidRDefault="009311C5" w:rsidP="00E142CD">
            <w:pPr>
              <w:rPr>
                <w:rFonts w:ascii="Times New Roman" w:hAnsi="Times New Roman" w:cs="Times New Roman"/>
                <w:sz w:val="20"/>
                <w:szCs w:val="20"/>
                <w:lang w:eastAsia="en-GB"/>
              </w:rPr>
            </w:pPr>
            <w:r w:rsidRPr="00E142CD">
              <w:rPr>
                <w:rFonts w:ascii="Times New Roman" w:hAnsi="Times New Roman" w:cs="Times New Roman"/>
                <w:sz w:val="20"/>
                <w:szCs w:val="20"/>
                <w:lang w:eastAsia="en-GB"/>
              </w:rPr>
              <w:t>2,041 / 38,142 × 100</w:t>
            </w:r>
          </w:p>
        </w:tc>
        <w:tc>
          <w:tcPr>
            <w:tcW w:w="344" w:type="pct"/>
            <w:hideMark/>
          </w:tcPr>
          <w:p w14:paraId="77E12AD0" w14:textId="77777777" w:rsidR="002C1773" w:rsidRPr="00E142CD" w:rsidRDefault="009311C5" w:rsidP="00E142CD">
            <w:pPr>
              <w:rPr>
                <w:rFonts w:ascii="Times New Roman" w:hAnsi="Times New Roman" w:cs="Times New Roman"/>
                <w:sz w:val="20"/>
                <w:szCs w:val="20"/>
                <w:lang w:eastAsia="en-GB"/>
              </w:rPr>
            </w:pPr>
            <w:r w:rsidRPr="00E142CD">
              <w:rPr>
                <w:rFonts w:ascii="Times New Roman" w:hAnsi="Times New Roman" w:cs="Times New Roman"/>
                <w:sz w:val="20"/>
                <w:szCs w:val="20"/>
                <w:lang w:eastAsia="en-GB"/>
              </w:rPr>
              <w:t>0.0535</w:t>
            </w:r>
          </w:p>
        </w:tc>
        <w:tc>
          <w:tcPr>
            <w:tcW w:w="849" w:type="pct"/>
            <w:hideMark/>
          </w:tcPr>
          <w:p w14:paraId="1434605B" w14:textId="77777777" w:rsidR="002C1773" w:rsidRPr="00E142CD" w:rsidRDefault="009311C5" w:rsidP="00E142CD">
            <w:pPr>
              <w:rPr>
                <w:rFonts w:ascii="Times New Roman" w:hAnsi="Times New Roman" w:cs="Times New Roman"/>
                <w:sz w:val="20"/>
                <w:szCs w:val="20"/>
                <w:lang w:eastAsia="en-GB"/>
              </w:rPr>
            </w:pPr>
            <w:r w:rsidRPr="00E142CD">
              <w:rPr>
                <w:rFonts w:ascii="Times New Roman" w:hAnsi="Times New Roman" w:cs="Times New Roman"/>
                <w:sz w:val="20"/>
                <w:szCs w:val="20"/>
                <w:lang w:eastAsia="en-GB"/>
              </w:rPr>
              <w:t>1,940 / 32,064 × 100</w:t>
            </w:r>
          </w:p>
        </w:tc>
        <w:tc>
          <w:tcPr>
            <w:tcW w:w="637" w:type="pct"/>
            <w:hideMark/>
          </w:tcPr>
          <w:p w14:paraId="38614106" w14:textId="77777777" w:rsidR="002C1773" w:rsidRPr="00E142CD" w:rsidRDefault="009311C5" w:rsidP="00E142CD">
            <w:pPr>
              <w:rPr>
                <w:rFonts w:ascii="Times New Roman" w:hAnsi="Times New Roman" w:cs="Times New Roman"/>
                <w:sz w:val="20"/>
                <w:szCs w:val="20"/>
                <w:lang w:eastAsia="en-GB"/>
              </w:rPr>
            </w:pPr>
            <w:r w:rsidRPr="00E142CD">
              <w:rPr>
                <w:rFonts w:ascii="Times New Roman" w:hAnsi="Times New Roman" w:cs="Times New Roman"/>
                <w:sz w:val="20"/>
                <w:szCs w:val="20"/>
                <w:lang w:eastAsia="en-GB"/>
              </w:rPr>
              <w:t>0.0605</w:t>
            </w:r>
          </w:p>
        </w:tc>
        <w:tc>
          <w:tcPr>
            <w:tcW w:w="527" w:type="pct"/>
            <w:hideMark/>
          </w:tcPr>
          <w:p w14:paraId="06086557" w14:textId="77777777" w:rsidR="002C1773" w:rsidRPr="00E142CD" w:rsidRDefault="009311C5" w:rsidP="00E142CD">
            <w:pPr>
              <w:rPr>
                <w:rFonts w:ascii="Times New Roman" w:hAnsi="Times New Roman" w:cs="Times New Roman"/>
                <w:sz w:val="20"/>
                <w:szCs w:val="20"/>
                <w:lang w:eastAsia="en-GB"/>
              </w:rPr>
            </w:pPr>
            <w:r w:rsidRPr="00E142CD">
              <w:rPr>
                <w:rFonts w:ascii="Times New Roman" w:hAnsi="Times New Roman" w:cs="Times New Roman"/>
                <w:sz w:val="20"/>
                <w:szCs w:val="20"/>
                <w:lang w:eastAsia="en-GB"/>
              </w:rPr>
              <w:t>-0.007</w:t>
            </w:r>
          </w:p>
        </w:tc>
      </w:tr>
      <w:tr w:rsidR="00A62B72" w14:paraId="03B360E4" w14:textId="77777777" w:rsidTr="002C1773">
        <w:trPr>
          <w:trHeight w:val="624"/>
        </w:trPr>
        <w:tc>
          <w:tcPr>
            <w:tcW w:w="805" w:type="pct"/>
            <w:hideMark/>
          </w:tcPr>
          <w:p w14:paraId="0F5530AB" w14:textId="77777777" w:rsidR="002C1773" w:rsidRPr="00E142CD" w:rsidRDefault="009311C5" w:rsidP="00E142CD">
            <w:pPr>
              <w:rPr>
                <w:rFonts w:ascii="Times New Roman" w:hAnsi="Times New Roman" w:cs="Times New Roman"/>
                <w:sz w:val="20"/>
                <w:szCs w:val="20"/>
                <w:lang w:eastAsia="en-GB"/>
              </w:rPr>
            </w:pPr>
            <w:r w:rsidRPr="00E142CD">
              <w:rPr>
                <w:rFonts w:ascii="Times New Roman" w:hAnsi="Times New Roman" w:cs="Times New Roman"/>
                <w:sz w:val="20"/>
                <w:szCs w:val="20"/>
                <w:lang w:eastAsia="en-GB"/>
              </w:rPr>
              <w:t>Return on Equity (ROE)</w:t>
            </w:r>
          </w:p>
        </w:tc>
        <w:tc>
          <w:tcPr>
            <w:tcW w:w="1003" w:type="pct"/>
            <w:hideMark/>
          </w:tcPr>
          <w:p w14:paraId="5238BB34" w14:textId="77777777" w:rsidR="002C1773" w:rsidRPr="00E142CD" w:rsidRDefault="009311C5" w:rsidP="00E142CD">
            <w:pPr>
              <w:rPr>
                <w:rFonts w:ascii="Times New Roman" w:hAnsi="Times New Roman" w:cs="Times New Roman"/>
                <w:sz w:val="20"/>
                <w:szCs w:val="20"/>
                <w:lang w:eastAsia="en-GB"/>
              </w:rPr>
            </w:pPr>
            <w:r w:rsidRPr="00E142CD">
              <w:rPr>
                <w:rFonts w:ascii="Times New Roman" w:hAnsi="Times New Roman" w:cs="Times New Roman"/>
                <w:sz w:val="20"/>
                <w:szCs w:val="20"/>
                <w:lang w:eastAsia="en-GB"/>
              </w:rPr>
              <w:t xml:space="preserve">Net Profit </w:t>
            </w:r>
            <w:r w:rsidRPr="00E142CD">
              <w:rPr>
                <w:rFonts w:ascii="Times New Roman" w:hAnsi="Times New Roman" w:cs="Times New Roman"/>
                <w:sz w:val="20"/>
                <w:szCs w:val="20"/>
                <w:lang w:eastAsia="en-GB"/>
              </w:rPr>
              <w:t>Attributable to Shareholders / Total Equity × 100</w:t>
            </w:r>
          </w:p>
        </w:tc>
        <w:tc>
          <w:tcPr>
            <w:tcW w:w="835" w:type="pct"/>
            <w:hideMark/>
          </w:tcPr>
          <w:p w14:paraId="6572A4BD" w14:textId="77777777" w:rsidR="002C1773" w:rsidRPr="00E142CD" w:rsidRDefault="009311C5" w:rsidP="00E142CD">
            <w:pPr>
              <w:rPr>
                <w:rFonts w:ascii="Times New Roman" w:hAnsi="Times New Roman" w:cs="Times New Roman"/>
                <w:sz w:val="20"/>
                <w:szCs w:val="20"/>
                <w:lang w:eastAsia="en-GB"/>
              </w:rPr>
            </w:pPr>
            <w:r w:rsidRPr="00E142CD">
              <w:rPr>
                <w:rFonts w:ascii="Times New Roman" w:hAnsi="Times New Roman" w:cs="Times New Roman"/>
                <w:sz w:val="20"/>
                <w:szCs w:val="20"/>
                <w:lang w:eastAsia="en-GB"/>
              </w:rPr>
              <w:t>1,956 / 11,616 × 100</w:t>
            </w:r>
          </w:p>
        </w:tc>
        <w:tc>
          <w:tcPr>
            <w:tcW w:w="344" w:type="pct"/>
            <w:hideMark/>
          </w:tcPr>
          <w:p w14:paraId="7A26C13F" w14:textId="77777777" w:rsidR="002C1773" w:rsidRPr="00E142CD" w:rsidRDefault="009311C5" w:rsidP="00E142CD">
            <w:pPr>
              <w:rPr>
                <w:rFonts w:ascii="Times New Roman" w:hAnsi="Times New Roman" w:cs="Times New Roman"/>
                <w:sz w:val="20"/>
                <w:szCs w:val="20"/>
                <w:lang w:eastAsia="en-GB"/>
              </w:rPr>
            </w:pPr>
            <w:r w:rsidRPr="00E142CD">
              <w:rPr>
                <w:rFonts w:ascii="Times New Roman" w:hAnsi="Times New Roman" w:cs="Times New Roman"/>
                <w:sz w:val="20"/>
                <w:szCs w:val="20"/>
                <w:lang w:eastAsia="en-GB"/>
              </w:rPr>
              <w:t>0.1684</w:t>
            </w:r>
          </w:p>
        </w:tc>
        <w:tc>
          <w:tcPr>
            <w:tcW w:w="849" w:type="pct"/>
            <w:hideMark/>
          </w:tcPr>
          <w:p w14:paraId="3BD07EE1" w14:textId="77777777" w:rsidR="002C1773" w:rsidRPr="00E142CD" w:rsidRDefault="009311C5" w:rsidP="00E142CD">
            <w:pPr>
              <w:rPr>
                <w:rFonts w:ascii="Times New Roman" w:hAnsi="Times New Roman" w:cs="Times New Roman"/>
                <w:sz w:val="20"/>
                <w:szCs w:val="20"/>
                <w:lang w:eastAsia="en-GB"/>
              </w:rPr>
            </w:pPr>
            <w:r w:rsidRPr="00E142CD">
              <w:rPr>
                <w:rFonts w:ascii="Times New Roman" w:hAnsi="Times New Roman" w:cs="Times New Roman"/>
                <w:sz w:val="20"/>
                <w:szCs w:val="20"/>
                <w:lang w:eastAsia="en-GB"/>
              </w:rPr>
              <w:t>1,857 / 10,559 × 100</w:t>
            </w:r>
          </w:p>
        </w:tc>
        <w:tc>
          <w:tcPr>
            <w:tcW w:w="637" w:type="pct"/>
            <w:hideMark/>
          </w:tcPr>
          <w:p w14:paraId="48A05448" w14:textId="77777777" w:rsidR="002C1773" w:rsidRPr="00E142CD" w:rsidRDefault="009311C5" w:rsidP="00E142CD">
            <w:pPr>
              <w:rPr>
                <w:rFonts w:ascii="Times New Roman" w:hAnsi="Times New Roman" w:cs="Times New Roman"/>
                <w:sz w:val="20"/>
                <w:szCs w:val="20"/>
                <w:lang w:eastAsia="en-GB"/>
              </w:rPr>
            </w:pPr>
            <w:r w:rsidRPr="00E142CD">
              <w:rPr>
                <w:rFonts w:ascii="Times New Roman" w:hAnsi="Times New Roman" w:cs="Times New Roman"/>
                <w:sz w:val="20"/>
                <w:szCs w:val="20"/>
                <w:lang w:eastAsia="en-GB"/>
              </w:rPr>
              <w:t>0.1759</w:t>
            </w:r>
          </w:p>
        </w:tc>
        <w:tc>
          <w:tcPr>
            <w:tcW w:w="527" w:type="pct"/>
            <w:hideMark/>
          </w:tcPr>
          <w:p w14:paraId="49CE2021" w14:textId="77777777" w:rsidR="002C1773" w:rsidRPr="00E142CD" w:rsidRDefault="009311C5" w:rsidP="00E142CD">
            <w:pPr>
              <w:rPr>
                <w:rFonts w:ascii="Times New Roman" w:hAnsi="Times New Roman" w:cs="Times New Roman"/>
                <w:sz w:val="20"/>
                <w:szCs w:val="20"/>
                <w:lang w:eastAsia="en-GB"/>
              </w:rPr>
            </w:pPr>
            <w:r w:rsidRPr="00E142CD">
              <w:rPr>
                <w:rFonts w:ascii="Times New Roman" w:hAnsi="Times New Roman" w:cs="Times New Roman"/>
                <w:sz w:val="20"/>
                <w:szCs w:val="20"/>
                <w:lang w:eastAsia="en-GB"/>
              </w:rPr>
              <w:t>-0.0075</w:t>
            </w:r>
          </w:p>
        </w:tc>
      </w:tr>
    </w:tbl>
    <w:p w14:paraId="1398C892" w14:textId="77777777" w:rsidR="002C1773" w:rsidRPr="00E142CD" w:rsidRDefault="002C1773" w:rsidP="00E142CD">
      <w:pPr>
        <w:spacing w:after="0"/>
        <w:rPr>
          <w:rFonts w:ascii="Times New Roman" w:hAnsi="Times New Roman" w:cs="Times New Roman"/>
        </w:rPr>
      </w:pPr>
    </w:p>
    <w:p w14:paraId="6753564A" w14:textId="77777777" w:rsidR="002C1773" w:rsidRPr="00E142CD" w:rsidRDefault="009311C5" w:rsidP="00E142CD">
      <w:pPr>
        <w:spacing w:after="0"/>
        <w:jc w:val="left"/>
        <w:rPr>
          <w:rFonts w:ascii="Times New Roman" w:hAnsi="Times New Roman" w:cs="Times New Roman"/>
        </w:rPr>
      </w:pPr>
      <w:r w:rsidRPr="00E142CD">
        <w:rPr>
          <w:rFonts w:ascii="Times New Roman" w:hAnsi="Times New Roman" w:cs="Times New Roman"/>
        </w:rPr>
        <w:br w:type="page"/>
      </w:r>
    </w:p>
    <w:p w14:paraId="03223924" w14:textId="77777777" w:rsidR="002C1773" w:rsidRPr="00E142CD" w:rsidRDefault="009311C5" w:rsidP="00E142CD">
      <w:pPr>
        <w:spacing w:after="0"/>
        <w:rPr>
          <w:rFonts w:ascii="Times New Roman" w:hAnsi="Times New Roman" w:cs="Times New Roman"/>
          <w:b/>
          <w:bCs/>
        </w:rPr>
      </w:pPr>
      <w:r w:rsidRPr="00E142CD">
        <w:rPr>
          <w:rFonts w:ascii="Times New Roman" w:hAnsi="Times New Roman" w:cs="Times New Roman"/>
          <w:b/>
          <w:bCs/>
        </w:rPr>
        <w:lastRenderedPageBreak/>
        <w:t xml:space="preserve">2. Liquidity Analysis </w:t>
      </w:r>
    </w:p>
    <w:tbl>
      <w:tblPr>
        <w:tblW w:w="102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86"/>
        <w:gridCol w:w="1983"/>
        <w:gridCol w:w="1631"/>
        <w:gridCol w:w="936"/>
        <w:gridCol w:w="2297"/>
        <w:gridCol w:w="1015"/>
        <w:gridCol w:w="872"/>
      </w:tblGrid>
      <w:tr w:rsidR="00A62B72" w14:paraId="705A40F2" w14:textId="77777777" w:rsidTr="002C1773">
        <w:trPr>
          <w:trHeight w:val="624"/>
        </w:trPr>
        <w:tc>
          <w:tcPr>
            <w:tcW w:w="1500" w:type="dxa"/>
            <w:shd w:val="clear" w:color="auto" w:fill="auto"/>
            <w:vAlign w:val="bottom"/>
            <w:hideMark/>
          </w:tcPr>
          <w:p w14:paraId="52F6CEE7" w14:textId="77777777" w:rsidR="002C1773" w:rsidRPr="00E142CD" w:rsidRDefault="009311C5" w:rsidP="00E142CD">
            <w:pPr>
              <w:spacing w:after="0"/>
              <w:rPr>
                <w:rFonts w:ascii="Times New Roman" w:hAnsi="Times New Roman" w:cs="Times New Roman"/>
                <w:b/>
                <w:bCs/>
                <w:sz w:val="20"/>
                <w:szCs w:val="20"/>
                <w:lang w:eastAsia="en-GB"/>
              </w:rPr>
            </w:pPr>
            <w:r w:rsidRPr="00E142CD">
              <w:rPr>
                <w:rFonts w:ascii="Times New Roman" w:hAnsi="Times New Roman" w:cs="Times New Roman"/>
                <w:b/>
                <w:bCs/>
                <w:sz w:val="20"/>
                <w:szCs w:val="20"/>
                <w:lang w:eastAsia="en-GB"/>
              </w:rPr>
              <w:t>Ratio</w:t>
            </w:r>
          </w:p>
        </w:tc>
        <w:tc>
          <w:tcPr>
            <w:tcW w:w="2000" w:type="dxa"/>
            <w:shd w:val="clear" w:color="auto" w:fill="auto"/>
            <w:vAlign w:val="bottom"/>
            <w:hideMark/>
          </w:tcPr>
          <w:p w14:paraId="616C4FEE" w14:textId="77777777" w:rsidR="002C1773" w:rsidRPr="00E142CD" w:rsidRDefault="009311C5" w:rsidP="00E142CD">
            <w:pPr>
              <w:spacing w:after="0"/>
              <w:rPr>
                <w:rFonts w:ascii="Times New Roman" w:hAnsi="Times New Roman" w:cs="Times New Roman"/>
                <w:b/>
                <w:bCs/>
                <w:sz w:val="20"/>
                <w:szCs w:val="20"/>
                <w:lang w:eastAsia="en-GB"/>
              </w:rPr>
            </w:pPr>
            <w:r w:rsidRPr="00E142CD">
              <w:rPr>
                <w:rFonts w:ascii="Times New Roman" w:hAnsi="Times New Roman" w:cs="Times New Roman"/>
                <w:b/>
                <w:bCs/>
                <w:sz w:val="20"/>
                <w:szCs w:val="20"/>
                <w:lang w:eastAsia="en-GB"/>
              </w:rPr>
              <w:t>Formula</w:t>
            </w:r>
          </w:p>
        </w:tc>
        <w:tc>
          <w:tcPr>
            <w:tcW w:w="1640" w:type="dxa"/>
            <w:shd w:val="clear" w:color="auto" w:fill="auto"/>
            <w:vAlign w:val="bottom"/>
            <w:hideMark/>
          </w:tcPr>
          <w:p w14:paraId="13435067" w14:textId="77777777" w:rsidR="002C1773" w:rsidRPr="00E142CD" w:rsidRDefault="009311C5" w:rsidP="00E142CD">
            <w:pPr>
              <w:spacing w:after="0"/>
              <w:rPr>
                <w:rFonts w:ascii="Times New Roman" w:hAnsi="Times New Roman" w:cs="Times New Roman"/>
                <w:b/>
                <w:bCs/>
                <w:sz w:val="20"/>
                <w:szCs w:val="20"/>
                <w:lang w:eastAsia="en-GB"/>
              </w:rPr>
            </w:pPr>
            <w:r w:rsidRPr="00E142CD">
              <w:rPr>
                <w:rFonts w:ascii="Times New Roman" w:hAnsi="Times New Roman" w:cs="Times New Roman"/>
                <w:b/>
                <w:bCs/>
                <w:sz w:val="20"/>
                <w:szCs w:val="20"/>
                <w:lang w:eastAsia="en-GB"/>
              </w:rPr>
              <w:t>2024 Calculation</w:t>
            </w:r>
          </w:p>
        </w:tc>
        <w:tc>
          <w:tcPr>
            <w:tcW w:w="940" w:type="dxa"/>
            <w:shd w:val="clear" w:color="auto" w:fill="auto"/>
            <w:vAlign w:val="bottom"/>
            <w:hideMark/>
          </w:tcPr>
          <w:p w14:paraId="18704B53" w14:textId="77777777" w:rsidR="002C1773" w:rsidRPr="00E142CD" w:rsidRDefault="009311C5" w:rsidP="00E142CD">
            <w:pPr>
              <w:spacing w:after="0"/>
              <w:rPr>
                <w:rFonts w:ascii="Times New Roman" w:hAnsi="Times New Roman" w:cs="Times New Roman"/>
                <w:b/>
                <w:bCs/>
                <w:sz w:val="20"/>
                <w:szCs w:val="20"/>
                <w:lang w:eastAsia="en-GB"/>
              </w:rPr>
            </w:pPr>
            <w:r w:rsidRPr="00E142CD">
              <w:rPr>
                <w:rFonts w:ascii="Times New Roman" w:hAnsi="Times New Roman" w:cs="Times New Roman"/>
                <w:b/>
                <w:bCs/>
                <w:sz w:val="20"/>
                <w:szCs w:val="20"/>
                <w:lang w:eastAsia="en-GB"/>
              </w:rPr>
              <w:t>2024 Result</w:t>
            </w:r>
          </w:p>
        </w:tc>
        <w:tc>
          <w:tcPr>
            <w:tcW w:w="2320" w:type="dxa"/>
            <w:shd w:val="clear" w:color="auto" w:fill="auto"/>
            <w:vAlign w:val="bottom"/>
            <w:hideMark/>
          </w:tcPr>
          <w:p w14:paraId="270662B4" w14:textId="77777777" w:rsidR="002C1773" w:rsidRPr="00E142CD" w:rsidRDefault="009311C5" w:rsidP="00E142CD">
            <w:pPr>
              <w:spacing w:after="0"/>
              <w:rPr>
                <w:rFonts w:ascii="Times New Roman" w:hAnsi="Times New Roman" w:cs="Times New Roman"/>
                <w:b/>
                <w:bCs/>
                <w:sz w:val="20"/>
                <w:szCs w:val="20"/>
                <w:lang w:eastAsia="en-GB"/>
              </w:rPr>
            </w:pPr>
            <w:r w:rsidRPr="00E142CD">
              <w:rPr>
                <w:rFonts w:ascii="Times New Roman" w:hAnsi="Times New Roman" w:cs="Times New Roman"/>
                <w:b/>
                <w:bCs/>
                <w:sz w:val="20"/>
                <w:szCs w:val="20"/>
                <w:lang w:eastAsia="en-GB"/>
              </w:rPr>
              <w:t>2023 Calculation</w:t>
            </w:r>
          </w:p>
        </w:tc>
        <w:tc>
          <w:tcPr>
            <w:tcW w:w="1020" w:type="dxa"/>
            <w:shd w:val="clear" w:color="auto" w:fill="auto"/>
            <w:vAlign w:val="bottom"/>
            <w:hideMark/>
          </w:tcPr>
          <w:p w14:paraId="3B056C08" w14:textId="77777777" w:rsidR="002C1773" w:rsidRPr="00E142CD" w:rsidRDefault="009311C5" w:rsidP="00E142CD">
            <w:pPr>
              <w:spacing w:after="0"/>
              <w:rPr>
                <w:rFonts w:ascii="Times New Roman" w:hAnsi="Times New Roman" w:cs="Times New Roman"/>
                <w:b/>
                <w:bCs/>
                <w:sz w:val="20"/>
                <w:szCs w:val="20"/>
                <w:lang w:eastAsia="en-GB"/>
              </w:rPr>
            </w:pPr>
            <w:r w:rsidRPr="00E142CD">
              <w:rPr>
                <w:rFonts w:ascii="Times New Roman" w:hAnsi="Times New Roman" w:cs="Times New Roman"/>
                <w:b/>
                <w:bCs/>
                <w:sz w:val="20"/>
                <w:szCs w:val="20"/>
                <w:lang w:eastAsia="en-GB"/>
              </w:rPr>
              <w:t>2023 Result</w:t>
            </w:r>
          </w:p>
        </w:tc>
        <w:tc>
          <w:tcPr>
            <w:tcW w:w="800" w:type="dxa"/>
            <w:shd w:val="clear" w:color="auto" w:fill="auto"/>
            <w:vAlign w:val="bottom"/>
            <w:hideMark/>
          </w:tcPr>
          <w:p w14:paraId="5A0E442C" w14:textId="77777777" w:rsidR="002C1773" w:rsidRPr="00E142CD" w:rsidRDefault="009311C5" w:rsidP="00E142CD">
            <w:pPr>
              <w:spacing w:after="0"/>
              <w:rPr>
                <w:rFonts w:ascii="Times New Roman" w:hAnsi="Times New Roman" w:cs="Times New Roman"/>
                <w:b/>
                <w:bCs/>
                <w:sz w:val="20"/>
                <w:szCs w:val="20"/>
                <w:lang w:eastAsia="en-GB"/>
              </w:rPr>
            </w:pPr>
            <w:r w:rsidRPr="00E142CD">
              <w:rPr>
                <w:rFonts w:ascii="Times New Roman" w:hAnsi="Times New Roman" w:cs="Times New Roman"/>
                <w:b/>
                <w:bCs/>
                <w:sz w:val="20"/>
                <w:szCs w:val="20"/>
                <w:lang w:eastAsia="en-GB"/>
              </w:rPr>
              <w:t>Change</w:t>
            </w:r>
          </w:p>
        </w:tc>
      </w:tr>
      <w:tr w:rsidR="00A62B72" w14:paraId="4D5E88F0" w14:textId="77777777" w:rsidTr="002C1773">
        <w:trPr>
          <w:trHeight w:val="624"/>
        </w:trPr>
        <w:tc>
          <w:tcPr>
            <w:tcW w:w="1500" w:type="dxa"/>
            <w:shd w:val="clear" w:color="auto" w:fill="auto"/>
            <w:vAlign w:val="bottom"/>
            <w:hideMark/>
          </w:tcPr>
          <w:p w14:paraId="517A7282"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Current Ratio</w:t>
            </w:r>
          </w:p>
        </w:tc>
        <w:tc>
          <w:tcPr>
            <w:tcW w:w="2000" w:type="dxa"/>
            <w:shd w:val="clear" w:color="auto" w:fill="auto"/>
            <w:vAlign w:val="bottom"/>
            <w:hideMark/>
          </w:tcPr>
          <w:p w14:paraId="6187C2F6"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 xml:space="preserve">Current Assets / </w:t>
            </w:r>
            <w:r w:rsidRPr="00E142CD">
              <w:rPr>
                <w:rFonts w:ascii="Times New Roman" w:hAnsi="Times New Roman" w:cs="Times New Roman"/>
                <w:sz w:val="20"/>
                <w:szCs w:val="20"/>
                <w:lang w:eastAsia="en-GB"/>
              </w:rPr>
              <w:t>Current Liabilities</w:t>
            </w:r>
          </w:p>
        </w:tc>
        <w:tc>
          <w:tcPr>
            <w:tcW w:w="1640" w:type="dxa"/>
            <w:shd w:val="clear" w:color="auto" w:fill="auto"/>
            <w:vAlign w:val="bottom"/>
            <w:hideMark/>
          </w:tcPr>
          <w:p w14:paraId="304F3A20"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11,753 / 12,342</w:t>
            </w:r>
          </w:p>
        </w:tc>
        <w:tc>
          <w:tcPr>
            <w:tcW w:w="940" w:type="dxa"/>
            <w:shd w:val="clear" w:color="auto" w:fill="auto"/>
            <w:vAlign w:val="bottom"/>
            <w:hideMark/>
          </w:tcPr>
          <w:p w14:paraId="6A75A089"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0.95</w:t>
            </w:r>
          </w:p>
        </w:tc>
        <w:tc>
          <w:tcPr>
            <w:tcW w:w="2320" w:type="dxa"/>
            <w:shd w:val="clear" w:color="auto" w:fill="auto"/>
            <w:vAlign w:val="bottom"/>
            <w:hideMark/>
          </w:tcPr>
          <w:p w14:paraId="3D9C897A"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11,173 / 10,543</w:t>
            </w:r>
          </w:p>
        </w:tc>
        <w:tc>
          <w:tcPr>
            <w:tcW w:w="1020" w:type="dxa"/>
            <w:shd w:val="clear" w:color="auto" w:fill="auto"/>
            <w:vAlign w:val="bottom"/>
            <w:hideMark/>
          </w:tcPr>
          <w:p w14:paraId="3952E1C4"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1.06</w:t>
            </w:r>
          </w:p>
        </w:tc>
        <w:tc>
          <w:tcPr>
            <w:tcW w:w="800" w:type="dxa"/>
            <w:shd w:val="clear" w:color="auto" w:fill="auto"/>
            <w:vAlign w:val="bottom"/>
            <w:hideMark/>
          </w:tcPr>
          <w:p w14:paraId="3BABEAE1"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-0.11</w:t>
            </w:r>
          </w:p>
        </w:tc>
      </w:tr>
      <w:tr w:rsidR="00A62B72" w14:paraId="1D434D6A" w14:textId="77777777" w:rsidTr="002C1773">
        <w:trPr>
          <w:trHeight w:val="936"/>
        </w:trPr>
        <w:tc>
          <w:tcPr>
            <w:tcW w:w="1500" w:type="dxa"/>
            <w:shd w:val="clear" w:color="auto" w:fill="auto"/>
            <w:vAlign w:val="bottom"/>
            <w:hideMark/>
          </w:tcPr>
          <w:p w14:paraId="3EB838CD"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Quick Ratio (Acid Test)</w:t>
            </w:r>
          </w:p>
        </w:tc>
        <w:tc>
          <w:tcPr>
            <w:tcW w:w="2000" w:type="dxa"/>
            <w:shd w:val="clear" w:color="auto" w:fill="auto"/>
            <w:vAlign w:val="bottom"/>
            <w:hideMark/>
          </w:tcPr>
          <w:p w14:paraId="3C67F39A"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(Current Assets - Inventories) / Current Liabilities</w:t>
            </w:r>
          </w:p>
        </w:tc>
        <w:tc>
          <w:tcPr>
            <w:tcW w:w="1640" w:type="dxa"/>
            <w:shd w:val="clear" w:color="auto" w:fill="auto"/>
            <w:vAlign w:val="bottom"/>
            <w:hideMark/>
          </w:tcPr>
          <w:p w14:paraId="7AF940B2"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(11,753 - 1,324) / 12,342</w:t>
            </w:r>
          </w:p>
        </w:tc>
        <w:tc>
          <w:tcPr>
            <w:tcW w:w="940" w:type="dxa"/>
            <w:shd w:val="clear" w:color="auto" w:fill="auto"/>
            <w:vAlign w:val="bottom"/>
            <w:hideMark/>
          </w:tcPr>
          <w:p w14:paraId="4733E021"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0.84</w:t>
            </w:r>
          </w:p>
        </w:tc>
        <w:tc>
          <w:tcPr>
            <w:tcW w:w="2320" w:type="dxa"/>
            <w:shd w:val="clear" w:color="auto" w:fill="auto"/>
            <w:vAlign w:val="bottom"/>
            <w:hideMark/>
          </w:tcPr>
          <w:p w14:paraId="2C2A2862"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(11,173 - 1,156) / 10,543</w:t>
            </w:r>
          </w:p>
        </w:tc>
        <w:tc>
          <w:tcPr>
            <w:tcW w:w="1020" w:type="dxa"/>
            <w:shd w:val="clear" w:color="auto" w:fill="auto"/>
            <w:vAlign w:val="bottom"/>
            <w:hideMark/>
          </w:tcPr>
          <w:p w14:paraId="685BFBA2"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0.95</w:t>
            </w:r>
          </w:p>
        </w:tc>
        <w:tc>
          <w:tcPr>
            <w:tcW w:w="800" w:type="dxa"/>
            <w:shd w:val="clear" w:color="auto" w:fill="auto"/>
            <w:vAlign w:val="bottom"/>
            <w:hideMark/>
          </w:tcPr>
          <w:p w14:paraId="2BD1735C"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-0.11</w:t>
            </w:r>
          </w:p>
        </w:tc>
      </w:tr>
      <w:tr w:rsidR="00A62B72" w14:paraId="21AE8866" w14:textId="77777777" w:rsidTr="002C1773">
        <w:trPr>
          <w:trHeight w:val="624"/>
        </w:trPr>
        <w:tc>
          <w:tcPr>
            <w:tcW w:w="1500" w:type="dxa"/>
            <w:shd w:val="clear" w:color="auto" w:fill="auto"/>
            <w:vAlign w:val="bottom"/>
            <w:hideMark/>
          </w:tcPr>
          <w:p w14:paraId="39FDAFCE"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Cash Ratio</w:t>
            </w:r>
          </w:p>
        </w:tc>
        <w:tc>
          <w:tcPr>
            <w:tcW w:w="2000" w:type="dxa"/>
            <w:shd w:val="clear" w:color="auto" w:fill="auto"/>
            <w:vAlign w:val="bottom"/>
            <w:hideMark/>
          </w:tcPr>
          <w:p w14:paraId="544E3293"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 xml:space="preserve">Cash and Cash </w:t>
            </w:r>
            <w:r w:rsidRPr="00E142CD">
              <w:rPr>
                <w:rFonts w:ascii="Times New Roman" w:hAnsi="Times New Roman" w:cs="Times New Roman"/>
                <w:sz w:val="20"/>
                <w:szCs w:val="20"/>
                <w:lang w:eastAsia="en-GB"/>
              </w:rPr>
              <w:t>Equivalents / Current Liabilities</w:t>
            </w:r>
          </w:p>
        </w:tc>
        <w:tc>
          <w:tcPr>
            <w:tcW w:w="1640" w:type="dxa"/>
            <w:shd w:val="clear" w:color="auto" w:fill="auto"/>
            <w:vAlign w:val="bottom"/>
            <w:hideMark/>
          </w:tcPr>
          <w:p w14:paraId="56F708D8"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3,378 / 12,342</w:t>
            </w:r>
          </w:p>
        </w:tc>
        <w:tc>
          <w:tcPr>
            <w:tcW w:w="940" w:type="dxa"/>
            <w:shd w:val="clear" w:color="auto" w:fill="auto"/>
            <w:vAlign w:val="bottom"/>
            <w:hideMark/>
          </w:tcPr>
          <w:p w14:paraId="5E1B1F55"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0.27</w:t>
            </w:r>
          </w:p>
        </w:tc>
        <w:tc>
          <w:tcPr>
            <w:tcW w:w="2320" w:type="dxa"/>
            <w:shd w:val="clear" w:color="auto" w:fill="auto"/>
            <w:vAlign w:val="bottom"/>
            <w:hideMark/>
          </w:tcPr>
          <w:p w14:paraId="518DEA0D"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4,067 / 10,543</w:t>
            </w:r>
          </w:p>
        </w:tc>
        <w:tc>
          <w:tcPr>
            <w:tcW w:w="1020" w:type="dxa"/>
            <w:shd w:val="clear" w:color="auto" w:fill="auto"/>
            <w:vAlign w:val="bottom"/>
            <w:hideMark/>
          </w:tcPr>
          <w:p w14:paraId="4C58DD52"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0.39</w:t>
            </w:r>
          </w:p>
        </w:tc>
        <w:tc>
          <w:tcPr>
            <w:tcW w:w="800" w:type="dxa"/>
            <w:shd w:val="clear" w:color="auto" w:fill="auto"/>
            <w:vAlign w:val="bottom"/>
            <w:hideMark/>
          </w:tcPr>
          <w:p w14:paraId="082F8283"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-0.12</w:t>
            </w:r>
          </w:p>
        </w:tc>
      </w:tr>
    </w:tbl>
    <w:p w14:paraId="3FB37C5C" w14:textId="77777777" w:rsidR="002C1773" w:rsidRPr="00E142CD" w:rsidRDefault="009311C5" w:rsidP="00E142CD">
      <w:pPr>
        <w:spacing w:after="0"/>
        <w:rPr>
          <w:rFonts w:ascii="Times New Roman" w:hAnsi="Times New Roman" w:cs="Times New Roman"/>
          <w:b/>
          <w:bCs/>
        </w:rPr>
      </w:pPr>
      <w:r w:rsidRPr="00E142CD">
        <w:rPr>
          <w:rFonts w:ascii="Times New Roman" w:hAnsi="Times New Roman" w:cs="Times New Roman"/>
          <w:b/>
          <w:bCs/>
        </w:rPr>
        <w:t xml:space="preserve">3. Gearing/ Leverage Ratio </w:t>
      </w:r>
    </w:p>
    <w:tbl>
      <w:tblPr>
        <w:tblW w:w="102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00"/>
        <w:gridCol w:w="2000"/>
        <w:gridCol w:w="1640"/>
        <w:gridCol w:w="940"/>
        <w:gridCol w:w="1660"/>
        <w:gridCol w:w="1020"/>
        <w:gridCol w:w="1460"/>
      </w:tblGrid>
      <w:tr w:rsidR="00A62B72" w14:paraId="169EE068" w14:textId="77777777" w:rsidTr="002C1773">
        <w:trPr>
          <w:trHeight w:val="540"/>
        </w:trPr>
        <w:tc>
          <w:tcPr>
            <w:tcW w:w="1500" w:type="dxa"/>
            <w:shd w:val="clear" w:color="auto" w:fill="auto"/>
            <w:vAlign w:val="bottom"/>
            <w:hideMark/>
          </w:tcPr>
          <w:p w14:paraId="63B69DF3" w14:textId="77777777" w:rsidR="002C1773" w:rsidRPr="00E142CD" w:rsidRDefault="009311C5" w:rsidP="00E142CD">
            <w:pPr>
              <w:spacing w:after="0"/>
              <w:rPr>
                <w:rFonts w:ascii="Times New Roman" w:hAnsi="Times New Roman" w:cs="Times New Roman"/>
                <w:b/>
                <w:bCs/>
                <w:sz w:val="20"/>
                <w:szCs w:val="20"/>
                <w:lang w:eastAsia="en-GB"/>
              </w:rPr>
            </w:pPr>
            <w:r w:rsidRPr="00E142CD">
              <w:rPr>
                <w:rFonts w:ascii="Times New Roman" w:hAnsi="Times New Roman" w:cs="Times New Roman"/>
                <w:b/>
                <w:bCs/>
                <w:sz w:val="20"/>
                <w:szCs w:val="20"/>
                <w:lang w:eastAsia="en-GB"/>
              </w:rPr>
              <w:t>Ratio</w:t>
            </w:r>
          </w:p>
        </w:tc>
        <w:tc>
          <w:tcPr>
            <w:tcW w:w="2000" w:type="dxa"/>
            <w:shd w:val="clear" w:color="auto" w:fill="auto"/>
            <w:vAlign w:val="bottom"/>
            <w:hideMark/>
          </w:tcPr>
          <w:p w14:paraId="6FD66CE2" w14:textId="77777777" w:rsidR="002C1773" w:rsidRPr="00E142CD" w:rsidRDefault="009311C5" w:rsidP="00E142CD">
            <w:pPr>
              <w:spacing w:after="0"/>
              <w:rPr>
                <w:rFonts w:ascii="Times New Roman" w:hAnsi="Times New Roman" w:cs="Times New Roman"/>
                <w:b/>
                <w:bCs/>
                <w:sz w:val="20"/>
                <w:szCs w:val="20"/>
                <w:lang w:eastAsia="en-GB"/>
              </w:rPr>
            </w:pPr>
            <w:r w:rsidRPr="00E142CD">
              <w:rPr>
                <w:rFonts w:ascii="Times New Roman" w:hAnsi="Times New Roman" w:cs="Times New Roman"/>
                <w:b/>
                <w:bCs/>
                <w:sz w:val="20"/>
                <w:szCs w:val="20"/>
                <w:lang w:eastAsia="en-GB"/>
              </w:rPr>
              <w:t>Formula</w:t>
            </w:r>
          </w:p>
        </w:tc>
        <w:tc>
          <w:tcPr>
            <w:tcW w:w="1640" w:type="dxa"/>
            <w:shd w:val="clear" w:color="auto" w:fill="auto"/>
            <w:vAlign w:val="bottom"/>
            <w:hideMark/>
          </w:tcPr>
          <w:p w14:paraId="101C12BD" w14:textId="77777777" w:rsidR="002C1773" w:rsidRPr="00E142CD" w:rsidRDefault="009311C5" w:rsidP="00E142CD">
            <w:pPr>
              <w:spacing w:after="0"/>
              <w:rPr>
                <w:rFonts w:ascii="Times New Roman" w:hAnsi="Times New Roman" w:cs="Times New Roman"/>
                <w:b/>
                <w:bCs/>
                <w:sz w:val="20"/>
                <w:szCs w:val="20"/>
                <w:lang w:eastAsia="en-GB"/>
              </w:rPr>
            </w:pPr>
            <w:r w:rsidRPr="00E142CD">
              <w:rPr>
                <w:rFonts w:ascii="Times New Roman" w:hAnsi="Times New Roman" w:cs="Times New Roman"/>
                <w:b/>
                <w:bCs/>
                <w:sz w:val="20"/>
                <w:szCs w:val="20"/>
                <w:lang w:eastAsia="en-GB"/>
              </w:rPr>
              <w:t>2024 Calculation</w:t>
            </w:r>
          </w:p>
        </w:tc>
        <w:tc>
          <w:tcPr>
            <w:tcW w:w="940" w:type="dxa"/>
            <w:shd w:val="clear" w:color="auto" w:fill="auto"/>
            <w:vAlign w:val="bottom"/>
            <w:hideMark/>
          </w:tcPr>
          <w:p w14:paraId="2007A139" w14:textId="77777777" w:rsidR="002C1773" w:rsidRPr="00E142CD" w:rsidRDefault="009311C5" w:rsidP="00E142CD">
            <w:pPr>
              <w:spacing w:after="0"/>
              <w:rPr>
                <w:rFonts w:ascii="Times New Roman" w:hAnsi="Times New Roman" w:cs="Times New Roman"/>
                <w:b/>
                <w:bCs/>
                <w:sz w:val="20"/>
                <w:szCs w:val="20"/>
                <w:lang w:eastAsia="en-GB"/>
              </w:rPr>
            </w:pPr>
            <w:r w:rsidRPr="00E142CD">
              <w:rPr>
                <w:rFonts w:ascii="Times New Roman" w:hAnsi="Times New Roman" w:cs="Times New Roman"/>
                <w:b/>
                <w:bCs/>
                <w:sz w:val="20"/>
                <w:szCs w:val="20"/>
                <w:lang w:eastAsia="en-GB"/>
              </w:rPr>
              <w:t>2024 Result</w:t>
            </w:r>
          </w:p>
        </w:tc>
        <w:tc>
          <w:tcPr>
            <w:tcW w:w="1660" w:type="dxa"/>
            <w:shd w:val="clear" w:color="auto" w:fill="auto"/>
            <w:vAlign w:val="bottom"/>
            <w:hideMark/>
          </w:tcPr>
          <w:p w14:paraId="5FC0C2E6" w14:textId="77777777" w:rsidR="002C1773" w:rsidRPr="00E142CD" w:rsidRDefault="009311C5" w:rsidP="00E142CD">
            <w:pPr>
              <w:spacing w:after="0"/>
              <w:rPr>
                <w:rFonts w:ascii="Times New Roman" w:hAnsi="Times New Roman" w:cs="Times New Roman"/>
                <w:b/>
                <w:bCs/>
                <w:sz w:val="20"/>
                <w:szCs w:val="20"/>
                <w:lang w:eastAsia="en-GB"/>
              </w:rPr>
            </w:pPr>
            <w:r w:rsidRPr="00E142CD">
              <w:rPr>
                <w:rFonts w:ascii="Times New Roman" w:hAnsi="Times New Roman" w:cs="Times New Roman"/>
                <w:b/>
                <w:bCs/>
                <w:sz w:val="20"/>
                <w:szCs w:val="20"/>
                <w:lang w:eastAsia="en-GB"/>
              </w:rPr>
              <w:t>2023 Calculation</w:t>
            </w:r>
          </w:p>
        </w:tc>
        <w:tc>
          <w:tcPr>
            <w:tcW w:w="1020" w:type="dxa"/>
            <w:shd w:val="clear" w:color="auto" w:fill="auto"/>
            <w:vAlign w:val="bottom"/>
            <w:hideMark/>
          </w:tcPr>
          <w:p w14:paraId="0101DE6E" w14:textId="77777777" w:rsidR="002C1773" w:rsidRPr="00E142CD" w:rsidRDefault="009311C5" w:rsidP="00E142CD">
            <w:pPr>
              <w:spacing w:after="0"/>
              <w:rPr>
                <w:rFonts w:ascii="Times New Roman" w:hAnsi="Times New Roman" w:cs="Times New Roman"/>
                <w:b/>
                <w:bCs/>
                <w:sz w:val="20"/>
                <w:szCs w:val="20"/>
                <w:lang w:eastAsia="en-GB"/>
              </w:rPr>
            </w:pPr>
            <w:r w:rsidRPr="00E142CD">
              <w:rPr>
                <w:rFonts w:ascii="Times New Roman" w:hAnsi="Times New Roman" w:cs="Times New Roman"/>
                <w:b/>
                <w:bCs/>
                <w:sz w:val="20"/>
                <w:szCs w:val="20"/>
                <w:lang w:eastAsia="en-GB"/>
              </w:rPr>
              <w:t>2023 Result</w:t>
            </w:r>
          </w:p>
        </w:tc>
        <w:tc>
          <w:tcPr>
            <w:tcW w:w="1460" w:type="dxa"/>
            <w:shd w:val="clear" w:color="auto" w:fill="auto"/>
            <w:vAlign w:val="bottom"/>
            <w:hideMark/>
          </w:tcPr>
          <w:p w14:paraId="3FBED284" w14:textId="77777777" w:rsidR="002C1773" w:rsidRPr="00E142CD" w:rsidRDefault="009311C5" w:rsidP="00E142CD">
            <w:pPr>
              <w:spacing w:after="0"/>
              <w:rPr>
                <w:rFonts w:ascii="Times New Roman" w:hAnsi="Times New Roman" w:cs="Times New Roman"/>
                <w:b/>
                <w:bCs/>
                <w:sz w:val="20"/>
                <w:szCs w:val="20"/>
                <w:lang w:eastAsia="en-GB"/>
              </w:rPr>
            </w:pPr>
            <w:r w:rsidRPr="00E142CD">
              <w:rPr>
                <w:rFonts w:ascii="Times New Roman" w:hAnsi="Times New Roman" w:cs="Times New Roman"/>
                <w:b/>
                <w:bCs/>
                <w:sz w:val="20"/>
                <w:szCs w:val="20"/>
                <w:lang w:eastAsia="en-GB"/>
              </w:rPr>
              <w:t>Change</w:t>
            </w:r>
          </w:p>
        </w:tc>
      </w:tr>
      <w:tr w:rsidR="00A62B72" w14:paraId="20FFA91A" w14:textId="77777777" w:rsidTr="002C1773">
        <w:trPr>
          <w:trHeight w:val="540"/>
        </w:trPr>
        <w:tc>
          <w:tcPr>
            <w:tcW w:w="1500" w:type="dxa"/>
            <w:shd w:val="clear" w:color="auto" w:fill="auto"/>
            <w:vAlign w:val="bottom"/>
            <w:hideMark/>
          </w:tcPr>
          <w:p w14:paraId="6813BB8A"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Debt-to-Equity Ratio</w:t>
            </w:r>
          </w:p>
        </w:tc>
        <w:tc>
          <w:tcPr>
            <w:tcW w:w="2000" w:type="dxa"/>
            <w:shd w:val="clear" w:color="auto" w:fill="auto"/>
            <w:vAlign w:val="bottom"/>
            <w:hideMark/>
          </w:tcPr>
          <w:p w14:paraId="580E7B17"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Total Debt / Total Equity</w:t>
            </w:r>
          </w:p>
        </w:tc>
        <w:tc>
          <w:tcPr>
            <w:tcW w:w="1640" w:type="dxa"/>
            <w:shd w:val="clear" w:color="auto" w:fill="auto"/>
            <w:vAlign w:val="bottom"/>
            <w:hideMark/>
          </w:tcPr>
          <w:p w14:paraId="3E951904"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 xml:space="preserve">(7,713 + 699) / </w:t>
            </w:r>
            <w:r w:rsidRPr="00E142CD">
              <w:rPr>
                <w:rFonts w:ascii="Times New Roman" w:hAnsi="Times New Roman" w:cs="Times New Roman"/>
                <w:sz w:val="20"/>
                <w:szCs w:val="20"/>
                <w:lang w:eastAsia="en-GB"/>
              </w:rPr>
              <w:t>11,777</w:t>
            </w:r>
          </w:p>
        </w:tc>
        <w:tc>
          <w:tcPr>
            <w:tcW w:w="940" w:type="dxa"/>
            <w:shd w:val="clear" w:color="auto" w:fill="auto"/>
            <w:vAlign w:val="bottom"/>
            <w:hideMark/>
          </w:tcPr>
          <w:p w14:paraId="78ED8B5C"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0.71</w:t>
            </w:r>
          </w:p>
        </w:tc>
        <w:tc>
          <w:tcPr>
            <w:tcW w:w="1660" w:type="dxa"/>
            <w:shd w:val="clear" w:color="auto" w:fill="auto"/>
            <w:vAlign w:val="bottom"/>
            <w:hideMark/>
          </w:tcPr>
          <w:p w14:paraId="4C08519D"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(4,432 + 679) / 10,723</w:t>
            </w:r>
          </w:p>
        </w:tc>
        <w:tc>
          <w:tcPr>
            <w:tcW w:w="1020" w:type="dxa"/>
            <w:shd w:val="clear" w:color="auto" w:fill="auto"/>
            <w:vAlign w:val="bottom"/>
            <w:hideMark/>
          </w:tcPr>
          <w:p w14:paraId="762FE45A"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0.48</w:t>
            </w:r>
          </w:p>
        </w:tc>
        <w:tc>
          <w:tcPr>
            <w:tcW w:w="1460" w:type="dxa"/>
            <w:shd w:val="clear" w:color="auto" w:fill="auto"/>
            <w:vAlign w:val="bottom"/>
            <w:hideMark/>
          </w:tcPr>
          <w:p w14:paraId="26583540"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0.23</w:t>
            </w:r>
          </w:p>
        </w:tc>
      </w:tr>
      <w:tr w:rsidR="00A62B72" w14:paraId="34907527" w14:textId="77777777" w:rsidTr="002C1773">
        <w:trPr>
          <w:trHeight w:val="540"/>
        </w:trPr>
        <w:tc>
          <w:tcPr>
            <w:tcW w:w="1500" w:type="dxa"/>
            <w:shd w:val="clear" w:color="auto" w:fill="auto"/>
            <w:vAlign w:val="bottom"/>
            <w:hideMark/>
          </w:tcPr>
          <w:p w14:paraId="0B06FD8D"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Debt-to-Assets Ratio</w:t>
            </w:r>
          </w:p>
        </w:tc>
        <w:tc>
          <w:tcPr>
            <w:tcW w:w="2000" w:type="dxa"/>
            <w:shd w:val="clear" w:color="auto" w:fill="auto"/>
            <w:vAlign w:val="bottom"/>
            <w:hideMark/>
          </w:tcPr>
          <w:p w14:paraId="2639B90E"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Total Debt / Total Assets</w:t>
            </w:r>
          </w:p>
        </w:tc>
        <w:tc>
          <w:tcPr>
            <w:tcW w:w="1640" w:type="dxa"/>
            <w:shd w:val="clear" w:color="auto" w:fill="auto"/>
            <w:vAlign w:val="bottom"/>
            <w:hideMark/>
          </w:tcPr>
          <w:p w14:paraId="0F7D15B8"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(7,713 + 699) / 38,142</w:t>
            </w:r>
          </w:p>
        </w:tc>
        <w:tc>
          <w:tcPr>
            <w:tcW w:w="940" w:type="dxa"/>
            <w:shd w:val="clear" w:color="auto" w:fill="auto"/>
            <w:vAlign w:val="bottom"/>
            <w:hideMark/>
          </w:tcPr>
          <w:p w14:paraId="4CB70032"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0.22</w:t>
            </w:r>
          </w:p>
        </w:tc>
        <w:tc>
          <w:tcPr>
            <w:tcW w:w="1660" w:type="dxa"/>
            <w:shd w:val="clear" w:color="auto" w:fill="auto"/>
            <w:vAlign w:val="bottom"/>
            <w:hideMark/>
          </w:tcPr>
          <w:p w14:paraId="238F5B87"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(4,432 + 679) / 32,064</w:t>
            </w:r>
          </w:p>
        </w:tc>
        <w:tc>
          <w:tcPr>
            <w:tcW w:w="1020" w:type="dxa"/>
            <w:shd w:val="clear" w:color="auto" w:fill="auto"/>
            <w:vAlign w:val="bottom"/>
            <w:hideMark/>
          </w:tcPr>
          <w:p w14:paraId="4DB709F5"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0.16</w:t>
            </w:r>
          </w:p>
        </w:tc>
        <w:tc>
          <w:tcPr>
            <w:tcW w:w="1460" w:type="dxa"/>
            <w:shd w:val="clear" w:color="auto" w:fill="auto"/>
            <w:vAlign w:val="bottom"/>
            <w:hideMark/>
          </w:tcPr>
          <w:p w14:paraId="0205D386"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0.06</w:t>
            </w:r>
          </w:p>
        </w:tc>
      </w:tr>
      <w:tr w:rsidR="00A62B72" w14:paraId="0E7CABD4" w14:textId="77777777" w:rsidTr="002C1773">
        <w:trPr>
          <w:trHeight w:val="540"/>
        </w:trPr>
        <w:tc>
          <w:tcPr>
            <w:tcW w:w="1500" w:type="dxa"/>
            <w:shd w:val="clear" w:color="auto" w:fill="auto"/>
            <w:vAlign w:val="bottom"/>
            <w:hideMark/>
          </w:tcPr>
          <w:p w14:paraId="24EB18DD"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Interest Coverage Ratio</w:t>
            </w:r>
          </w:p>
        </w:tc>
        <w:tc>
          <w:tcPr>
            <w:tcW w:w="2000" w:type="dxa"/>
            <w:shd w:val="clear" w:color="auto" w:fill="auto"/>
            <w:vAlign w:val="bottom"/>
            <w:hideMark/>
          </w:tcPr>
          <w:p w14:paraId="6A258989"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Operating Profit / Interest Expense</w:t>
            </w:r>
          </w:p>
        </w:tc>
        <w:tc>
          <w:tcPr>
            <w:tcW w:w="1640" w:type="dxa"/>
            <w:shd w:val="clear" w:color="auto" w:fill="auto"/>
            <w:vAlign w:val="bottom"/>
            <w:hideMark/>
          </w:tcPr>
          <w:p w14:paraId="3D1A2FE6"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2,685 / 488</w:t>
            </w:r>
          </w:p>
        </w:tc>
        <w:tc>
          <w:tcPr>
            <w:tcW w:w="940" w:type="dxa"/>
            <w:shd w:val="clear" w:color="auto" w:fill="auto"/>
            <w:vAlign w:val="bottom"/>
            <w:hideMark/>
          </w:tcPr>
          <w:p w14:paraId="30AC704F"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5.50 times</w:t>
            </w:r>
          </w:p>
        </w:tc>
        <w:tc>
          <w:tcPr>
            <w:tcW w:w="1660" w:type="dxa"/>
            <w:shd w:val="clear" w:color="auto" w:fill="auto"/>
            <w:vAlign w:val="bottom"/>
            <w:hideMark/>
          </w:tcPr>
          <w:p w14:paraId="625D53CC"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2,573 / 419</w:t>
            </w:r>
          </w:p>
        </w:tc>
        <w:tc>
          <w:tcPr>
            <w:tcW w:w="1020" w:type="dxa"/>
            <w:shd w:val="clear" w:color="auto" w:fill="auto"/>
            <w:vAlign w:val="bottom"/>
            <w:hideMark/>
          </w:tcPr>
          <w:p w14:paraId="3164B5CB"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6.14 times</w:t>
            </w:r>
          </w:p>
        </w:tc>
        <w:tc>
          <w:tcPr>
            <w:tcW w:w="1460" w:type="dxa"/>
            <w:shd w:val="clear" w:color="auto" w:fill="auto"/>
            <w:vAlign w:val="bottom"/>
            <w:hideMark/>
          </w:tcPr>
          <w:p w14:paraId="7F9EE9CF"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-0.64 times</w:t>
            </w:r>
          </w:p>
        </w:tc>
      </w:tr>
      <w:tr w:rsidR="00A62B72" w14:paraId="560C3F35" w14:textId="77777777" w:rsidTr="002C1773">
        <w:trPr>
          <w:trHeight w:val="540"/>
        </w:trPr>
        <w:tc>
          <w:tcPr>
            <w:tcW w:w="1500" w:type="dxa"/>
            <w:shd w:val="clear" w:color="auto" w:fill="auto"/>
            <w:vAlign w:val="bottom"/>
            <w:hideMark/>
          </w:tcPr>
          <w:p w14:paraId="5FD8A0C8"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Equity Ratio</w:t>
            </w:r>
          </w:p>
        </w:tc>
        <w:tc>
          <w:tcPr>
            <w:tcW w:w="2000" w:type="dxa"/>
            <w:shd w:val="clear" w:color="auto" w:fill="auto"/>
            <w:vAlign w:val="bottom"/>
            <w:hideMark/>
          </w:tcPr>
          <w:p w14:paraId="149CFE69"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Total Equity / Total Assets</w:t>
            </w:r>
          </w:p>
        </w:tc>
        <w:tc>
          <w:tcPr>
            <w:tcW w:w="1640" w:type="dxa"/>
            <w:shd w:val="clear" w:color="auto" w:fill="auto"/>
            <w:vAlign w:val="bottom"/>
            <w:hideMark/>
          </w:tcPr>
          <w:p w14:paraId="65D8CF3E"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11,777 / 38,142</w:t>
            </w:r>
          </w:p>
        </w:tc>
        <w:tc>
          <w:tcPr>
            <w:tcW w:w="940" w:type="dxa"/>
            <w:shd w:val="clear" w:color="auto" w:fill="auto"/>
            <w:vAlign w:val="bottom"/>
            <w:hideMark/>
          </w:tcPr>
          <w:p w14:paraId="49937A34"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0.31</w:t>
            </w:r>
          </w:p>
        </w:tc>
        <w:tc>
          <w:tcPr>
            <w:tcW w:w="1660" w:type="dxa"/>
            <w:shd w:val="clear" w:color="auto" w:fill="auto"/>
            <w:vAlign w:val="bottom"/>
            <w:hideMark/>
          </w:tcPr>
          <w:p w14:paraId="39C40052"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10,723 / 32,064</w:t>
            </w:r>
          </w:p>
        </w:tc>
        <w:tc>
          <w:tcPr>
            <w:tcW w:w="1020" w:type="dxa"/>
            <w:shd w:val="clear" w:color="auto" w:fill="auto"/>
            <w:vAlign w:val="bottom"/>
            <w:hideMark/>
          </w:tcPr>
          <w:p w14:paraId="2F4D250E"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0.33</w:t>
            </w:r>
          </w:p>
        </w:tc>
        <w:tc>
          <w:tcPr>
            <w:tcW w:w="1460" w:type="dxa"/>
            <w:shd w:val="clear" w:color="auto" w:fill="auto"/>
            <w:vAlign w:val="bottom"/>
            <w:hideMark/>
          </w:tcPr>
          <w:p w14:paraId="3D9346B4"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-0.02</w:t>
            </w:r>
          </w:p>
        </w:tc>
      </w:tr>
    </w:tbl>
    <w:p w14:paraId="2EE1A999" w14:textId="77777777" w:rsidR="002C1773" w:rsidRPr="00E142CD" w:rsidRDefault="009311C5" w:rsidP="00E142CD">
      <w:pPr>
        <w:spacing w:after="0"/>
        <w:rPr>
          <w:rFonts w:ascii="Times New Roman" w:hAnsi="Times New Roman" w:cs="Times New Roman"/>
          <w:b/>
          <w:bCs/>
        </w:rPr>
      </w:pPr>
      <w:r w:rsidRPr="00E142CD">
        <w:rPr>
          <w:rFonts w:ascii="Times New Roman" w:hAnsi="Times New Roman" w:cs="Times New Roman"/>
          <w:b/>
          <w:bCs/>
        </w:rPr>
        <w:t xml:space="preserve">4. Efficiency Ratio </w:t>
      </w:r>
    </w:p>
    <w:tbl>
      <w:tblPr>
        <w:tblW w:w="102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00"/>
        <w:gridCol w:w="2000"/>
        <w:gridCol w:w="1640"/>
        <w:gridCol w:w="940"/>
        <w:gridCol w:w="1660"/>
        <w:gridCol w:w="1020"/>
        <w:gridCol w:w="1460"/>
      </w:tblGrid>
      <w:tr w:rsidR="00A62B72" w14:paraId="0D728586" w14:textId="77777777" w:rsidTr="002C1773">
        <w:trPr>
          <w:trHeight w:val="540"/>
        </w:trPr>
        <w:tc>
          <w:tcPr>
            <w:tcW w:w="1500" w:type="dxa"/>
            <w:shd w:val="clear" w:color="auto" w:fill="auto"/>
            <w:vAlign w:val="bottom"/>
            <w:hideMark/>
          </w:tcPr>
          <w:p w14:paraId="22342827" w14:textId="77777777" w:rsidR="002C1773" w:rsidRPr="00E142CD" w:rsidRDefault="009311C5" w:rsidP="00E142CD">
            <w:pPr>
              <w:spacing w:after="0"/>
              <w:rPr>
                <w:rFonts w:ascii="Times New Roman" w:hAnsi="Times New Roman" w:cs="Times New Roman"/>
                <w:b/>
                <w:bCs/>
                <w:sz w:val="20"/>
                <w:szCs w:val="20"/>
                <w:lang w:eastAsia="en-GB"/>
              </w:rPr>
            </w:pPr>
            <w:r w:rsidRPr="00E142CD">
              <w:rPr>
                <w:rFonts w:ascii="Times New Roman" w:hAnsi="Times New Roman" w:cs="Times New Roman"/>
                <w:b/>
                <w:bCs/>
                <w:sz w:val="20"/>
                <w:szCs w:val="20"/>
                <w:lang w:eastAsia="en-GB"/>
              </w:rPr>
              <w:t>Ratio</w:t>
            </w:r>
          </w:p>
        </w:tc>
        <w:tc>
          <w:tcPr>
            <w:tcW w:w="2000" w:type="dxa"/>
            <w:shd w:val="clear" w:color="auto" w:fill="auto"/>
            <w:vAlign w:val="bottom"/>
            <w:hideMark/>
          </w:tcPr>
          <w:p w14:paraId="45F52447" w14:textId="77777777" w:rsidR="002C1773" w:rsidRPr="00E142CD" w:rsidRDefault="009311C5" w:rsidP="00E142CD">
            <w:pPr>
              <w:spacing w:after="0"/>
              <w:rPr>
                <w:rFonts w:ascii="Times New Roman" w:hAnsi="Times New Roman" w:cs="Times New Roman"/>
                <w:b/>
                <w:bCs/>
                <w:sz w:val="20"/>
                <w:szCs w:val="20"/>
                <w:lang w:eastAsia="en-GB"/>
              </w:rPr>
            </w:pPr>
            <w:r w:rsidRPr="00E142CD">
              <w:rPr>
                <w:rFonts w:ascii="Times New Roman" w:hAnsi="Times New Roman" w:cs="Times New Roman"/>
                <w:b/>
                <w:bCs/>
                <w:sz w:val="20"/>
                <w:szCs w:val="20"/>
                <w:lang w:eastAsia="en-GB"/>
              </w:rPr>
              <w:t>Formula</w:t>
            </w:r>
          </w:p>
        </w:tc>
        <w:tc>
          <w:tcPr>
            <w:tcW w:w="1640" w:type="dxa"/>
            <w:shd w:val="clear" w:color="auto" w:fill="auto"/>
            <w:vAlign w:val="bottom"/>
            <w:hideMark/>
          </w:tcPr>
          <w:p w14:paraId="687D95E7" w14:textId="77777777" w:rsidR="002C1773" w:rsidRPr="00E142CD" w:rsidRDefault="009311C5" w:rsidP="00E142CD">
            <w:pPr>
              <w:spacing w:after="0"/>
              <w:rPr>
                <w:rFonts w:ascii="Times New Roman" w:hAnsi="Times New Roman" w:cs="Times New Roman"/>
                <w:b/>
                <w:bCs/>
                <w:sz w:val="20"/>
                <w:szCs w:val="20"/>
                <w:lang w:eastAsia="en-GB"/>
              </w:rPr>
            </w:pPr>
            <w:r w:rsidRPr="00E142CD">
              <w:rPr>
                <w:rFonts w:ascii="Times New Roman" w:hAnsi="Times New Roman" w:cs="Times New Roman"/>
                <w:b/>
                <w:bCs/>
                <w:sz w:val="20"/>
                <w:szCs w:val="20"/>
                <w:lang w:eastAsia="en-GB"/>
              </w:rPr>
              <w:t>2024 Calculation</w:t>
            </w:r>
          </w:p>
        </w:tc>
        <w:tc>
          <w:tcPr>
            <w:tcW w:w="940" w:type="dxa"/>
            <w:shd w:val="clear" w:color="auto" w:fill="auto"/>
            <w:vAlign w:val="bottom"/>
            <w:hideMark/>
          </w:tcPr>
          <w:p w14:paraId="34EC9E27" w14:textId="77777777" w:rsidR="002C1773" w:rsidRPr="00E142CD" w:rsidRDefault="009311C5" w:rsidP="00E142CD">
            <w:pPr>
              <w:spacing w:after="0"/>
              <w:rPr>
                <w:rFonts w:ascii="Times New Roman" w:hAnsi="Times New Roman" w:cs="Times New Roman"/>
                <w:b/>
                <w:bCs/>
                <w:sz w:val="20"/>
                <w:szCs w:val="20"/>
                <w:lang w:eastAsia="en-GB"/>
              </w:rPr>
            </w:pPr>
            <w:r w:rsidRPr="00E142CD">
              <w:rPr>
                <w:rFonts w:ascii="Times New Roman" w:hAnsi="Times New Roman" w:cs="Times New Roman"/>
                <w:b/>
                <w:bCs/>
                <w:sz w:val="20"/>
                <w:szCs w:val="20"/>
                <w:lang w:eastAsia="en-GB"/>
              </w:rPr>
              <w:t>2024 Result</w:t>
            </w:r>
          </w:p>
        </w:tc>
        <w:tc>
          <w:tcPr>
            <w:tcW w:w="1660" w:type="dxa"/>
            <w:shd w:val="clear" w:color="auto" w:fill="auto"/>
            <w:vAlign w:val="bottom"/>
            <w:hideMark/>
          </w:tcPr>
          <w:p w14:paraId="747C12D6" w14:textId="77777777" w:rsidR="002C1773" w:rsidRPr="00E142CD" w:rsidRDefault="009311C5" w:rsidP="00E142CD">
            <w:pPr>
              <w:spacing w:after="0"/>
              <w:rPr>
                <w:rFonts w:ascii="Times New Roman" w:hAnsi="Times New Roman" w:cs="Times New Roman"/>
                <w:b/>
                <w:bCs/>
                <w:sz w:val="20"/>
                <w:szCs w:val="20"/>
                <w:lang w:eastAsia="en-GB"/>
              </w:rPr>
            </w:pPr>
            <w:r w:rsidRPr="00E142CD">
              <w:rPr>
                <w:rFonts w:ascii="Times New Roman" w:hAnsi="Times New Roman" w:cs="Times New Roman"/>
                <w:b/>
                <w:bCs/>
                <w:sz w:val="20"/>
                <w:szCs w:val="20"/>
                <w:lang w:eastAsia="en-GB"/>
              </w:rPr>
              <w:t>2023 Calculation</w:t>
            </w:r>
          </w:p>
        </w:tc>
        <w:tc>
          <w:tcPr>
            <w:tcW w:w="1020" w:type="dxa"/>
            <w:shd w:val="clear" w:color="auto" w:fill="auto"/>
            <w:vAlign w:val="bottom"/>
            <w:hideMark/>
          </w:tcPr>
          <w:p w14:paraId="56EB7F52" w14:textId="77777777" w:rsidR="002C1773" w:rsidRPr="00E142CD" w:rsidRDefault="009311C5" w:rsidP="00E142CD">
            <w:pPr>
              <w:spacing w:after="0"/>
              <w:rPr>
                <w:rFonts w:ascii="Times New Roman" w:hAnsi="Times New Roman" w:cs="Times New Roman"/>
                <w:b/>
                <w:bCs/>
                <w:sz w:val="20"/>
                <w:szCs w:val="20"/>
                <w:lang w:eastAsia="en-GB"/>
              </w:rPr>
            </w:pPr>
            <w:r w:rsidRPr="00E142CD">
              <w:rPr>
                <w:rFonts w:ascii="Times New Roman" w:hAnsi="Times New Roman" w:cs="Times New Roman"/>
                <w:b/>
                <w:bCs/>
                <w:sz w:val="20"/>
                <w:szCs w:val="20"/>
                <w:lang w:eastAsia="en-GB"/>
              </w:rPr>
              <w:t>2023 Result</w:t>
            </w:r>
          </w:p>
        </w:tc>
        <w:tc>
          <w:tcPr>
            <w:tcW w:w="1460" w:type="dxa"/>
            <w:shd w:val="clear" w:color="auto" w:fill="auto"/>
            <w:vAlign w:val="bottom"/>
            <w:hideMark/>
          </w:tcPr>
          <w:p w14:paraId="23805611" w14:textId="77777777" w:rsidR="002C1773" w:rsidRPr="00E142CD" w:rsidRDefault="009311C5" w:rsidP="00E142CD">
            <w:pPr>
              <w:spacing w:after="0"/>
              <w:rPr>
                <w:rFonts w:ascii="Times New Roman" w:hAnsi="Times New Roman" w:cs="Times New Roman"/>
                <w:b/>
                <w:bCs/>
                <w:sz w:val="20"/>
                <w:szCs w:val="20"/>
                <w:lang w:eastAsia="en-GB"/>
              </w:rPr>
            </w:pPr>
            <w:r w:rsidRPr="00E142CD">
              <w:rPr>
                <w:rFonts w:ascii="Times New Roman" w:hAnsi="Times New Roman" w:cs="Times New Roman"/>
                <w:b/>
                <w:bCs/>
                <w:sz w:val="20"/>
                <w:szCs w:val="20"/>
                <w:lang w:eastAsia="en-GB"/>
              </w:rPr>
              <w:t>Change</w:t>
            </w:r>
          </w:p>
        </w:tc>
      </w:tr>
      <w:tr w:rsidR="00A62B72" w14:paraId="74067909" w14:textId="77777777" w:rsidTr="002C1773">
        <w:trPr>
          <w:trHeight w:val="1068"/>
        </w:trPr>
        <w:tc>
          <w:tcPr>
            <w:tcW w:w="1500" w:type="dxa"/>
            <w:shd w:val="clear" w:color="auto" w:fill="auto"/>
            <w:vAlign w:val="bottom"/>
            <w:hideMark/>
          </w:tcPr>
          <w:p w14:paraId="7D7913C2"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Basic Earnings Per Share</w:t>
            </w:r>
          </w:p>
        </w:tc>
        <w:tc>
          <w:tcPr>
            <w:tcW w:w="2000" w:type="dxa"/>
            <w:shd w:val="clear" w:color="auto" w:fill="auto"/>
            <w:vAlign w:val="bottom"/>
            <w:hideMark/>
          </w:tcPr>
          <w:p w14:paraId="28F7EE84"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 xml:space="preserve">Net Profit </w:t>
            </w:r>
            <w:r w:rsidRPr="00E142CD">
              <w:rPr>
                <w:rFonts w:ascii="Times New Roman" w:hAnsi="Times New Roman" w:cs="Times New Roman"/>
                <w:sz w:val="20"/>
                <w:szCs w:val="20"/>
                <w:lang w:eastAsia="en-GB"/>
              </w:rPr>
              <w:t>Attributable to Shareholders / Weighted Average Shares</w:t>
            </w:r>
          </w:p>
        </w:tc>
        <w:tc>
          <w:tcPr>
            <w:tcW w:w="1640" w:type="dxa"/>
            <w:shd w:val="clear" w:color="auto" w:fill="auto"/>
            <w:vAlign w:val="bottom"/>
            <w:hideMark/>
          </w:tcPr>
          <w:p w14:paraId="4A860D4D"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1,956 / 3,013</w:t>
            </w:r>
          </w:p>
        </w:tc>
        <w:tc>
          <w:tcPr>
            <w:tcW w:w="940" w:type="dxa"/>
            <w:shd w:val="clear" w:color="auto" w:fill="auto"/>
            <w:vAlign w:val="bottom"/>
            <w:hideMark/>
          </w:tcPr>
          <w:p w14:paraId="13B92A87"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64.9p</w:t>
            </w:r>
          </w:p>
        </w:tc>
        <w:tc>
          <w:tcPr>
            <w:tcW w:w="1660" w:type="dxa"/>
            <w:shd w:val="clear" w:color="auto" w:fill="auto"/>
            <w:vAlign w:val="bottom"/>
            <w:hideMark/>
          </w:tcPr>
          <w:p w14:paraId="41A13191"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1,857 / 3,031</w:t>
            </w:r>
          </w:p>
        </w:tc>
        <w:tc>
          <w:tcPr>
            <w:tcW w:w="1020" w:type="dxa"/>
            <w:shd w:val="clear" w:color="auto" w:fill="auto"/>
            <w:vAlign w:val="bottom"/>
            <w:hideMark/>
          </w:tcPr>
          <w:p w14:paraId="5FF76E2D"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61.3p</w:t>
            </w:r>
          </w:p>
        </w:tc>
        <w:tc>
          <w:tcPr>
            <w:tcW w:w="1460" w:type="dxa"/>
            <w:shd w:val="clear" w:color="auto" w:fill="auto"/>
            <w:vAlign w:val="bottom"/>
            <w:hideMark/>
          </w:tcPr>
          <w:p w14:paraId="324AA0C5"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+3.6p</w:t>
            </w:r>
          </w:p>
        </w:tc>
      </w:tr>
      <w:tr w:rsidR="00A62B72" w14:paraId="2C516860" w14:textId="77777777" w:rsidTr="002C1773">
        <w:trPr>
          <w:trHeight w:val="804"/>
        </w:trPr>
        <w:tc>
          <w:tcPr>
            <w:tcW w:w="1500" w:type="dxa"/>
            <w:shd w:val="clear" w:color="auto" w:fill="auto"/>
            <w:vAlign w:val="bottom"/>
            <w:hideMark/>
          </w:tcPr>
          <w:p w14:paraId="375E3572"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Diluted Earnings Per Share</w:t>
            </w:r>
          </w:p>
        </w:tc>
        <w:tc>
          <w:tcPr>
            <w:tcW w:w="2000" w:type="dxa"/>
            <w:shd w:val="clear" w:color="auto" w:fill="auto"/>
            <w:vAlign w:val="bottom"/>
            <w:hideMark/>
          </w:tcPr>
          <w:p w14:paraId="343534E6"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Adjusted Net Profit / Diluted Weighted Average Shares</w:t>
            </w:r>
          </w:p>
        </w:tc>
        <w:tc>
          <w:tcPr>
            <w:tcW w:w="1640" w:type="dxa"/>
            <w:shd w:val="clear" w:color="auto" w:fill="auto"/>
            <w:vAlign w:val="bottom"/>
            <w:hideMark/>
          </w:tcPr>
          <w:p w14:paraId="783B3744"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Given in statements</w:t>
            </w:r>
          </w:p>
        </w:tc>
        <w:tc>
          <w:tcPr>
            <w:tcW w:w="940" w:type="dxa"/>
            <w:shd w:val="clear" w:color="auto" w:fill="auto"/>
            <w:vAlign w:val="bottom"/>
            <w:hideMark/>
          </w:tcPr>
          <w:p w14:paraId="12C41222"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64.1p</w:t>
            </w:r>
          </w:p>
        </w:tc>
        <w:tc>
          <w:tcPr>
            <w:tcW w:w="1660" w:type="dxa"/>
            <w:shd w:val="clear" w:color="auto" w:fill="auto"/>
            <w:vAlign w:val="bottom"/>
            <w:hideMark/>
          </w:tcPr>
          <w:p w14:paraId="06F86185"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Given in statements</w:t>
            </w:r>
          </w:p>
        </w:tc>
        <w:tc>
          <w:tcPr>
            <w:tcW w:w="1020" w:type="dxa"/>
            <w:shd w:val="clear" w:color="auto" w:fill="auto"/>
            <w:vAlign w:val="bottom"/>
            <w:hideMark/>
          </w:tcPr>
          <w:p w14:paraId="01C1E384"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60.4p</w:t>
            </w:r>
          </w:p>
        </w:tc>
        <w:tc>
          <w:tcPr>
            <w:tcW w:w="1460" w:type="dxa"/>
            <w:shd w:val="clear" w:color="auto" w:fill="auto"/>
            <w:vAlign w:val="bottom"/>
            <w:hideMark/>
          </w:tcPr>
          <w:p w14:paraId="0641FB46"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+3.7p</w:t>
            </w:r>
          </w:p>
        </w:tc>
      </w:tr>
      <w:tr w:rsidR="00A62B72" w14:paraId="69A8D390" w14:textId="77777777" w:rsidTr="002C1773">
        <w:trPr>
          <w:trHeight w:val="1068"/>
        </w:trPr>
        <w:tc>
          <w:tcPr>
            <w:tcW w:w="1500" w:type="dxa"/>
            <w:shd w:val="clear" w:color="auto" w:fill="auto"/>
            <w:vAlign w:val="bottom"/>
            <w:hideMark/>
          </w:tcPr>
          <w:p w14:paraId="4A1E0155"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 xml:space="preserve">Book </w:t>
            </w:r>
            <w:r w:rsidRPr="00E142CD">
              <w:rPr>
                <w:rFonts w:ascii="Times New Roman" w:hAnsi="Times New Roman" w:cs="Times New Roman"/>
                <w:sz w:val="20"/>
                <w:szCs w:val="20"/>
                <w:lang w:eastAsia="en-GB"/>
              </w:rPr>
              <w:t>Value Per Share</w:t>
            </w:r>
          </w:p>
        </w:tc>
        <w:tc>
          <w:tcPr>
            <w:tcW w:w="2000" w:type="dxa"/>
            <w:shd w:val="clear" w:color="auto" w:fill="auto"/>
            <w:vAlign w:val="bottom"/>
            <w:hideMark/>
          </w:tcPr>
          <w:p w14:paraId="7C25FBFF"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 xml:space="preserve">Total Equity Attributable to </w:t>
            </w:r>
            <w:r w:rsidRPr="00E142CD">
              <w:rPr>
                <w:rFonts w:ascii="Times New Roman" w:hAnsi="Times New Roman" w:cs="Times New Roman"/>
                <w:sz w:val="20"/>
                <w:szCs w:val="20"/>
                <w:lang w:eastAsia="en-GB"/>
              </w:rPr>
              <w:lastRenderedPageBreak/>
              <w:t>Shareholders / Outstanding Shares</w:t>
            </w:r>
          </w:p>
        </w:tc>
        <w:tc>
          <w:tcPr>
            <w:tcW w:w="1640" w:type="dxa"/>
            <w:shd w:val="clear" w:color="auto" w:fill="auto"/>
            <w:vAlign w:val="bottom"/>
            <w:hideMark/>
          </w:tcPr>
          <w:p w14:paraId="58414D30"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lastRenderedPageBreak/>
              <w:t>11,616 / 3,015</w:t>
            </w:r>
          </w:p>
        </w:tc>
        <w:tc>
          <w:tcPr>
            <w:tcW w:w="940" w:type="dxa"/>
            <w:shd w:val="clear" w:color="auto" w:fill="auto"/>
            <w:vAlign w:val="bottom"/>
            <w:hideMark/>
          </w:tcPr>
          <w:p w14:paraId="5C3B0579"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£3.85</w:t>
            </w:r>
          </w:p>
        </w:tc>
        <w:tc>
          <w:tcPr>
            <w:tcW w:w="1660" w:type="dxa"/>
            <w:shd w:val="clear" w:color="auto" w:fill="auto"/>
            <w:vAlign w:val="bottom"/>
            <w:hideMark/>
          </w:tcPr>
          <w:p w14:paraId="5F4DE765"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10,559 / 3,055</w:t>
            </w:r>
          </w:p>
        </w:tc>
        <w:tc>
          <w:tcPr>
            <w:tcW w:w="1020" w:type="dxa"/>
            <w:shd w:val="clear" w:color="auto" w:fill="auto"/>
            <w:vAlign w:val="bottom"/>
            <w:hideMark/>
          </w:tcPr>
          <w:p w14:paraId="4AB2F1DF"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£3.46</w:t>
            </w:r>
          </w:p>
        </w:tc>
        <w:tc>
          <w:tcPr>
            <w:tcW w:w="1460" w:type="dxa"/>
            <w:shd w:val="clear" w:color="auto" w:fill="auto"/>
            <w:vAlign w:val="bottom"/>
            <w:hideMark/>
          </w:tcPr>
          <w:p w14:paraId="4DF5CC3B"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+£0.3</w:t>
            </w:r>
          </w:p>
        </w:tc>
      </w:tr>
    </w:tbl>
    <w:p w14:paraId="0CC93D3E" w14:textId="77777777" w:rsidR="002C1773" w:rsidRPr="00E142CD" w:rsidRDefault="009311C5" w:rsidP="00E142CD">
      <w:pPr>
        <w:spacing w:after="0"/>
        <w:rPr>
          <w:rFonts w:ascii="Times New Roman" w:hAnsi="Times New Roman" w:cs="Times New Roman"/>
          <w:b/>
          <w:bCs/>
        </w:rPr>
      </w:pPr>
      <w:r w:rsidRPr="00E142CD">
        <w:rPr>
          <w:rFonts w:ascii="Times New Roman" w:hAnsi="Times New Roman" w:cs="Times New Roman"/>
          <w:b/>
          <w:bCs/>
        </w:rPr>
        <w:t xml:space="preserve">5. Investor Ratio </w:t>
      </w:r>
    </w:p>
    <w:tbl>
      <w:tblPr>
        <w:tblW w:w="102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00"/>
        <w:gridCol w:w="2000"/>
        <w:gridCol w:w="1640"/>
        <w:gridCol w:w="940"/>
        <w:gridCol w:w="1660"/>
        <w:gridCol w:w="1020"/>
        <w:gridCol w:w="1460"/>
      </w:tblGrid>
      <w:tr w:rsidR="00A62B72" w14:paraId="200D37CB" w14:textId="77777777" w:rsidTr="002C1773">
        <w:trPr>
          <w:trHeight w:val="564"/>
        </w:trPr>
        <w:tc>
          <w:tcPr>
            <w:tcW w:w="1500" w:type="dxa"/>
            <w:shd w:val="clear" w:color="auto" w:fill="auto"/>
            <w:vAlign w:val="bottom"/>
            <w:hideMark/>
          </w:tcPr>
          <w:p w14:paraId="1F3F25A7" w14:textId="77777777" w:rsidR="002C1773" w:rsidRPr="00E142CD" w:rsidRDefault="009311C5" w:rsidP="00E142CD">
            <w:pPr>
              <w:spacing w:after="0"/>
              <w:rPr>
                <w:rFonts w:ascii="Times New Roman" w:hAnsi="Times New Roman" w:cs="Times New Roman"/>
                <w:b/>
                <w:bCs/>
                <w:sz w:val="20"/>
                <w:szCs w:val="20"/>
                <w:lang w:eastAsia="en-GB"/>
              </w:rPr>
            </w:pPr>
            <w:r w:rsidRPr="00E142CD">
              <w:rPr>
                <w:rFonts w:ascii="Times New Roman" w:hAnsi="Times New Roman" w:cs="Times New Roman"/>
                <w:b/>
                <w:bCs/>
                <w:sz w:val="20"/>
                <w:szCs w:val="20"/>
                <w:lang w:eastAsia="en-GB"/>
              </w:rPr>
              <w:t>Ratio</w:t>
            </w:r>
          </w:p>
        </w:tc>
        <w:tc>
          <w:tcPr>
            <w:tcW w:w="2000" w:type="dxa"/>
            <w:shd w:val="clear" w:color="auto" w:fill="auto"/>
            <w:vAlign w:val="bottom"/>
            <w:hideMark/>
          </w:tcPr>
          <w:p w14:paraId="54943F00" w14:textId="77777777" w:rsidR="002C1773" w:rsidRPr="00E142CD" w:rsidRDefault="009311C5" w:rsidP="00E142CD">
            <w:pPr>
              <w:spacing w:after="0"/>
              <w:rPr>
                <w:rFonts w:ascii="Times New Roman" w:hAnsi="Times New Roman" w:cs="Times New Roman"/>
                <w:b/>
                <w:bCs/>
                <w:sz w:val="20"/>
                <w:szCs w:val="20"/>
                <w:lang w:eastAsia="en-GB"/>
              </w:rPr>
            </w:pPr>
            <w:r w:rsidRPr="00E142CD">
              <w:rPr>
                <w:rFonts w:ascii="Times New Roman" w:hAnsi="Times New Roman" w:cs="Times New Roman"/>
                <w:b/>
                <w:bCs/>
                <w:sz w:val="20"/>
                <w:szCs w:val="20"/>
                <w:lang w:eastAsia="en-GB"/>
              </w:rPr>
              <w:t>Formula</w:t>
            </w:r>
          </w:p>
        </w:tc>
        <w:tc>
          <w:tcPr>
            <w:tcW w:w="1640" w:type="dxa"/>
            <w:shd w:val="clear" w:color="auto" w:fill="auto"/>
            <w:vAlign w:val="bottom"/>
            <w:hideMark/>
          </w:tcPr>
          <w:p w14:paraId="5641B9D7" w14:textId="77777777" w:rsidR="002C1773" w:rsidRPr="00E142CD" w:rsidRDefault="009311C5" w:rsidP="00E142CD">
            <w:pPr>
              <w:spacing w:after="0"/>
              <w:rPr>
                <w:rFonts w:ascii="Times New Roman" w:hAnsi="Times New Roman" w:cs="Times New Roman"/>
                <w:b/>
                <w:bCs/>
                <w:sz w:val="20"/>
                <w:szCs w:val="20"/>
                <w:lang w:eastAsia="en-GB"/>
              </w:rPr>
            </w:pPr>
            <w:r w:rsidRPr="00E142CD">
              <w:rPr>
                <w:rFonts w:ascii="Times New Roman" w:hAnsi="Times New Roman" w:cs="Times New Roman"/>
                <w:b/>
                <w:bCs/>
                <w:sz w:val="20"/>
                <w:szCs w:val="20"/>
                <w:lang w:eastAsia="en-GB"/>
              </w:rPr>
              <w:t>2024 Calculation</w:t>
            </w:r>
          </w:p>
        </w:tc>
        <w:tc>
          <w:tcPr>
            <w:tcW w:w="940" w:type="dxa"/>
            <w:shd w:val="clear" w:color="auto" w:fill="auto"/>
            <w:vAlign w:val="bottom"/>
            <w:hideMark/>
          </w:tcPr>
          <w:p w14:paraId="32835AF4" w14:textId="77777777" w:rsidR="002C1773" w:rsidRPr="00E142CD" w:rsidRDefault="009311C5" w:rsidP="00E142CD">
            <w:pPr>
              <w:spacing w:after="0"/>
              <w:rPr>
                <w:rFonts w:ascii="Times New Roman" w:hAnsi="Times New Roman" w:cs="Times New Roman"/>
                <w:b/>
                <w:bCs/>
                <w:sz w:val="20"/>
                <w:szCs w:val="20"/>
                <w:lang w:eastAsia="en-GB"/>
              </w:rPr>
            </w:pPr>
            <w:r w:rsidRPr="00E142CD">
              <w:rPr>
                <w:rFonts w:ascii="Times New Roman" w:hAnsi="Times New Roman" w:cs="Times New Roman"/>
                <w:b/>
                <w:bCs/>
                <w:sz w:val="20"/>
                <w:szCs w:val="20"/>
                <w:lang w:eastAsia="en-GB"/>
              </w:rPr>
              <w:t>2024 Result</w:t>
            </w:r>
          </w:p>
        </w:tc>
        <w:tc>
          <w:tcPr>
            <w:tcW w:w="1660" w:type="dxa"/>
            <w:shd w:val="clear" w:color="auto" w:fill="auto"/>
            <w:vAlign w:val="bottom"/>
            <w:hideMark/>
          </w:tcPr>
          <w:p w14:paraId="7445010E" w14:textId="77777777" w:rsidR="002C1773" w:rsidRPr="00E142CD" w:rsidRDefault="009311C5" w:rsidP="00E142CD">
            <w:pPr>
              <w:spacing w:after="0"/>
              <w:rPr>
                <w:rFonts w:ascii="Times New Roman" w:hAnsi="Times New Roman" w:cs="Times New Roman"/>
                <w:b/>
                <w:bCs/>
                <w:sz w:val="20"/>
                <w:szCs w:val="20"/>
                <w:lang w:eastAsia="en-GB"/>
              </w:rPr>
            </w:pPr>
            <w:r w:rsidRPr="00E142CD">
              <w:rPr>
                <w:rFonts w:ascii="Times New Roman" w:hAnsi="Times New Roman" w:cs="Times New Roman"/>
                <w:b/>
                <w:bCs/>
                <w:sz w:val="20"/>
                <w:szCs w:val="20"/>
                <w:lang w:eastAsia="en-GB"/>
              </w:rPr>
              <w:t>2023 Calculation</w:t>
            </w:r>
          </w:p>
        </w:tc>
        <w:tc>
          <w:tcPr>
            <w:tcW w:w="1020" w:type="dxa"/>
            <w:shd w:val="clear" w:color="auto" w:fill="auto"/>
            <w:vAlign w:val="bottom"/>
            <w:hideMark/>
          </w:tcPr>
          <w:p w14:paraId="16465BB1" w14:textId="77777777" w:rsidR="002C1773" w:rsidRPr="00E142CD" w:rsidRDefault="009311C5" w:rsidP="00E142CD">
            <w:pPr>
              <w:spacing w:after="0"/>
              <w:rPr>
                <w:rFonts w:ascii="Times New Roman" w:hAnsi="Times New Roman" w:cs="Times New Roman"/>
                <w:b/>
                <w:bCs/>
                <w:sz w:val="20"/>
                <w:szCs w:val="20"/>
                <w:lang w:eastAsia="en-GB"/>
              </w:rPr>
            </w:pPr>
            <w:r w:rsidRPr="00E142CD">
              <w:rPr>
                <w:rFonts w:ascii="Times New Roman" w:hAnsi="Times New Roman" w:cs="Times New Roman"/>
                <w:b/>
                <w:bCs/>
                <w:sz w:val="20"/>
                <w:szCs w:val="20"/>
                <w:lang w:eastAsia="en-GB"/>
              </w:rPr>
              <w:t>2023 Result</w:t>
            </w:r>
          </w:p>
        </w:tc>
        <w:tc>
          <w:tcPr>
            <w:tcW w:w="1460" w:type="dxa"/>
            <w:shd w:val="clear" w:color="auto" w:fill="auto"/>
            <w:vAlign w:val="bottom"/>
            <w:hideMark/>
          </w:tcPr>
          <w:p w14:paraId="24385478" w14:textId="77777777" w:rsidR="002C1773" w:rsidRPr="00E142CD" w:rsidRDefault="009311C5" w:rsidP="00E142CD">
            <w:pPr>
              <w:spacing w:after="0"/>
              <w:rPr>
                <w:rFonts w:ascii="Times New Roman" w:hAnsi="Times New Roman" w:cs="Times New Roman"/>
                <w:b/>
                <w:bCs/>
                <w:sz w:val="20"/>
                <w:szCs w:val="20"/>
                <w:lang w:eastAsia="en-GB"/>
              </w:rPr>
            </w:pPr>
            <w:r w:rsidRPr="00E142CD">
              <w:rPr>
                <w:rFonts w:ascii="Times New Roman" w:hAnsi="Times New Roman" w:cs="Times New Roman"/>
                <w:b/>
                <w:bCs/>
                <w:sz w:val="20"/>
                <w:szCs w:val="20"/>
                <w:lang w:eastAsia="en-GB"/>
              </w:rPr>
              <w:t>Change</w:t>
            </w:r>
          </w:p>
        </w:tc>
      </w:tr>
      <w:tr w:rsidR="00A62B72" w14:paraId="278DA002" w14:textId="77777777" w:rsidTr="002C1773">
        <w:trPr>
          <w:trHeight w:val="1392"/>
        </w:trPr>
        <w:tc>
          <w:tcPr>
            <w:tcW w:w="1500" w:type="dxa"/>
            <w:shd w:val="clear" w:color="auto" w:fill="auto"/>
            <w:vAlign w:val="bottom"/>
            <w:hideMark/>
          </w:tcPr>
          <w:p w14:paraId="36222310"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Basic Earnings Per Share</w:t>
            </w:r>
          </w:p>
        </w:tc>
        <w:tc>
          <w:tcPr>
            <w:tcW w:w="2000" w:type="dxa"/>
            <w:shd w:val="clear" w:color="auto" w:fill="auto"/>
            <w:vAlign w:val="bottom"/>
            <w:hideMark/>
          </w:tcPr>
          <w:p w14:paraId="56A7FF1E"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Net Profit Attributable to Shareholders / Weighted Average Shares</w:t>
            </w:r>
          </w:p>
        </w:tc>
        <w:tc>
          <w:tcPr>
            <w:tcW w:w="1640" w:type="dxa"/>
            <w:shd w:val="clear" w:color="auto" w:fill="auto"/>
            <w:vAlign w:val="bottom"/>
            <w:hideMark/>
          </w:tcPr>
          <w:p w14:paraId="05F307BB"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1,956 / 3,013</w:t>
            </w:r>
          </w:p>
        </w:tc>
        <w:tc>
          <w:tcPr>
            <w:tcW w:w="940" w:type="dxa"/>
            <w:shd w:val="clear" w:color="auto" w:fill="auto"/>
            <w:vAlign w:val="bottom"/>
            <w:hideMark/>
          </w:tcPr>
          <w:p w14:paraId="577C3EA4"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64.9p</w:t>
            </w:r>
          </w:p>
        </w:tc>
        <w:tc>
          <w:tcPr>
            <w:tcW w:w="1660" w:type="dxa"/>
            <w:shd w:val="clear" w:color="auto" w:fill="auto"/>
            <w:vAlign w:val="bottom"/>
            <w:hideMark/>
          </w:tcPr>
          <w:p w14:paraId="547BEBC6"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1,857 / 3,031</w:t>
            </w:r>
          </w:p>
        </w:tc>
        <w:tc>
          <w:tcPr>
            <w:tcW w:w="1020" w:type="dxa"/>
            <w:shd w:val="clear" w:color="auto" w:fill="auto"/>
            <w:vAlign w:val="bottom"/>
            <w:hideMark/>
          </w:tcPr>
          <w:p w14:paraId="3110EEBC"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61.3p</w:t>
            </w:r>
          </w:p>
        </w:tc>
        <w:tc>
          <w:tcPr>
            <w:tcW w:w="1460" w:type="dxa"/>
            <w:shd w:val="clear" w:color="auto" w:fill="auto"/>
            <w:vAlign w:val="bottom"/>
            <w:hideMark/>
          </w:tcPr>
          <w:p w14:paraId="71A37A09"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+3.6p</w:t>
            </w:r>
          </w:p>
        </w:tc>
      </w:tr>
      <w:tr w:rsidR="00A62B72" w14:paraId="209285E0" w14:textId="77777777" w:rsidTr="002C1773">
        <w:trPr>
          <w:trHeight w:val="840"/>
        </w:trPr>
        <w:tc>
          <w:tcPr>
            <w:tcW w:w="1500" w:type="dxa"/>
            <w:shd w:val="clear" w:color="auto" w:fill="auto"/>
            <w:vAlign w:val="bottom"/>
            <w:hideMark/>
          </w:tcPr>
          <w:p w14:paraId="7F404690"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Diluted Earnings Per Share</w:t>
            </w:r>
          </w:p>
        </w:tc>
        <w:tc>
          <w:tcPr>
            <w:tcW w:w="2000" w:type="dxa"/>
            <w:shd w:val="clear" w:color="auto" w:fill="auto"/>
            <w:vAlign w:val="bottom"/>
            <w:hideMark/>
          </w:tcPr>
          <w:p w14:paraId="5FDFFA59"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Adjusted Net Profit / Diluted Weighted Average Shares</w:t>
            </w:r>
          </w:p>
        </w:tc>
        <w:tc>
          <w:tcPr>
            <w:tcW w:w="1640" w:type="dxa"/>
            <w:shd w:val="clear" w:color="auto" w:fill="auto"/>
            <w:vAlign w:val="bottom"/>
            <w:hideMark/>
          </w:tcPr>
          <w:p w14:paraId="2E9401DF"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Given in statements</w:t>
            </w:r>
          </w:p>
        </w:tc>
        <w:tc>
          <w:tcPr>
            <w:tcW w:w="940" w:type="dxa"/>
            <w:shd w:val="clear" w:color="auto" w:fill="auto"/>
            <w:vAlign w:val="bottom"/>
            <w:hideMark/>
          </w:tcPr>
          <w:p w14:paraId="7F18A42C"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64.1p</w:t>
            </w:r>
          </w:p>
        </w:tc>
        <w:tc>
          <w:tcPr>
            <w:tcW w:w="1660" w:type="dxa"/>
            <w:shd w:val="clear" w:color="auto" w:fill="auto"/>
            <w:vAlign w:val="bottom"/>
            <w:hideMark/>
          </w:tcPr>
          <w:p w14:paraId="6F5F15DB"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Given in statements</w:t>
            </w:r>
          </w:p>
        </w:tc>
        <w:tc>
          <w:tcPr>
            <w:tcW w:w="1020" w:type="dxa"/>
            <w:shd w:val="clear" w:color="auto" w:fill="auto"/>
            <w:vAlign w:val="bottom"/>
            <w:hideMark/>
          </w:tcPr>
          <w:p w14:paraId="2DD665BA"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60.4p</w:t>
            </w:r>
          </w:p>
        </w:tc>
        <w:tc>
          <w:tcPr>
            <w:tcW w:w="1460" w:type="dxa"/>
            <w:shd w:val="clear" w:color="auto" w:fill="auto"/>
            <w:vAlign w:val="bottom"/>
            <w:hideMark/>
          </w:tcPr>
          <w:p w14:paraId="15094B18"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+3.7p</w:t>
            </w:r>
          </w:p>
        </w:tc>
      </w:tr>
      <w:tr w:rsidR="00A62B72" w14:paraId="4044C34D" w14:textId="77777777" w:rsidTr="002C1773">
        <w:trPr>
          <w:trHeight w:val="1116"/>
        </w:trPr>
        <w:tc>
          <w:tcPr>
            <w:tcW w:w="1500" w:type="dxa"/>
            <w:shd w:val="clear" w:color="auto" w:fill="auto"/>
            <w:vAlign w:val="bottom"/>
            <w:hideMark/>
          </w:tcPr>
          <w:p w14:paraId="3026B805"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Book Value Per Share</w:t>
            </w:r>
          </w:p>
        </w:tc>
        <w:tc>
          <w:tcPr>
            <w:tcW w:w="2000" w:type="dxa"/>
            <w:shd w:val="clear" w:color="auto" w:fill="auto"/>
            <w:vAlign w:val="bottom"/>
            <w:hideMark/>
          </w:tcPr>
          <w:p w14:paraId="586E62E5"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Total Equity Attributable to Shareholders / Outstanding Shares</w:t>
            </w:r>
          </w:p>
        </w:tc>
        <w:tc>
          <w:tcPr>
            <w:tcW w:w="1640" w:type="dxa"/>
            <w:shd w:val="clear" w:color="auto" w:fill="auto"/>
            <w:vAlign w:val="bottom"/>
            <w:hideMark/>
          </w:tcPr>
          <w:p w14:paraId="1DD4C52F"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11,616 / 3,015</w:t>
            </w:r>
          </w:p>
        </w:tc>
        <w:tc>
          <w:tcPr>
            <w:tcW w:w="940" w:type="dxa"/>
            <w:shd w:val="clear" w:color="auto" w:fill="auto"/>
            <w:vAlign w:val="bottom"/>
            <w:hideMark/>
          </w:tcPr>
          <w:p w14:paraId="069D5553"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£3.85</w:t>
            </w:r>
          </w:p>
        </w:tc>
        <w:tc>
          <w:tcPr>
            <w:tcW w:w="1660" w:type="dxa"/>
            <w:shd w:val="clear" w:color="auto" w:fill="auto"/>
            <w:vAlign w:val="bottom"/>
            <w:hideMark/>
          </w:tcPr>
          <w:p w14:paraId="5CDEFBEF"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10,559 / 3,055</w:t>
            </w:r>
          </w:p>
        </w:tc>
        <w:tc>
          <w:tcPr>
            <w:tcW w:w="1020" w:type="dxa"/>
            <w:shd w:val="clear" w:color="auto" w:fill="auto"/>
            <w:vAlign w:val="bottom"/>
            <w:hideMark/>
          </w:tcPr>
          <w:p w14:paraId="7173F529"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£3.46</w:t>
            </w:r>
          </w:p>
        </w:tc>
        <w:tc>
          <w:tcPr>
            <w:tcW w:w="1460" w:type="dxa"/>
            <w:shd w:val="clear" w:color="auto" w:fill="auto"/>
            <w:vAlign w:val="bottom"/>
            <w:hideMark/>
          </w:tcPr>
          <w:p w14:paraId="089110F9" w14:textId="77777777" w:rsidR="002C1773" w:rsidRPr="00E142CD" w:rsidRDefault="009311C5" w:rsidP="00E142CD">
            <w:pPr>
              <w:spacing w:after="0"/>
              <w:rPr>
                <w:rFonts w:ascii="Times New Roman" w:hAnsi="Times New Roman" w:cs="Times New Roman"/>
                <w:sz w:val="20"/>
                <w:szCs w:val="20"/>
                <w:lang w:eastAsia="en-GB"/>
              </w:rPr>
            </w:pPr>
            <w:r w:rsidRPr="00E142CD">
              <w:rPr>
                <w:rFonts w:ascii="Times New Roman" w:hAnsi="Times New Roman" w:cs="Times New Roman"/>
                <w:sz w:val="20"/>
                <w:szCs w:val="20"/>
                <w:lang w:eastAsia="en-GB"/>
              </w:rPr>
              <w:t>+£0.3</w:t>
            </w:r>
          </w:p>
        </w:tc>
      </w:tr>
    </w:tbl>
    <w:p w14:paraId="29052635" w14:textId="77777777" w:rsidR="003C7A2B" w:rsidRDefault="009311C5" w:rsidP="009259C1">
      <w:pPr>
        <w:spacing w:after="0"/>
      </w:pPr>
      <w:r>
        <w:t xml:space="preserve"> </w:t>
      </w:r>
      <w:bookmarkStart w:id="37" w:name="_Toc201179185"/>
      <w:r>
        <w:t>Appendix 4 NPV and IRR Calculation</w:t>
      </w:r>
      <w:bookmarkEnd w:id="37"/>
      <w:r>
        <w:t xml:space="preserve"> </w:t>
      </w:r>
    </w:p>
    <w:p w14:paraId="459792CD" w14:textId="77777777" w:rsidR="003C7A2B" w:rsidRPr="00CA7559" w:rsidRDefault="009311C5" w:rsidP="00DA793E">
      <w:pPr>
        <w:spacing w:after="0" w:line="259" w:lineRule="auto"/>
        <w:jc w:val="left"/>
        <w:rPr>
          <w:b/>
          <w:bCs/>
          <w:i/>
          <w:iCs/>
        </w:rPr>
      </w:pPr>
      <w:r w:rsidRPr="00CA7559">
        <w:rPr>
          <w:b/>
          <w:bCs/>
          <w:i/>
          <w:iCs/>
        </w:rPr>
        <w:t xml:space="preserve">Option A </w:t>
      </w:r>
    </w:p>
    <w:tbl>
      <w:tblPr>
        <w:tblStyle w:val="TableGrid"/>
        <w:tblW w:w="5000" w:type="pct"/>
        <w:tblLook w:val="04A0" w:firstRow="1" w:lastRow="0" w:firstColumn="1" w:lastColumn="0" w:noHBand="0" w:noVBand="1"/>
      </w:tblPr>
      <w:tblGrid>
        <w:gridCol w:w="956"/>
        <w:gridCol w:w="956"/>
        <w:gridCol w:w="1591"/>
        <w:gridCol w:w="1273"/>
        <w:gridCol w:w="1313"/>
        <w:gridCol w:w="956"/>
        <w:gridCol w:w="1015"/>
        <w:gridCol w:w="1290"/>
      </w:tblGrid>
      <w:tr w:rsidR="00A62B72" w14:paraId="25F33D76" w14:textId="77777777" w:rsidTr="00BB320B">
        <w:trPr>
          <w:trHeight w:val="864"/>
        </w:trPr>
        <w:tc>
          <w:tcPr>
            <w:tcW w:w="511" w:type="pct"/>
            <w:hideMark/>
          </w:tcPr>
          <w:p w14:paraId="62E78A41" w14:textId="77777777" w:rsidR="003C7A2B" w:rsidRPr="00B07D65" w:rsidRDefault="009311C5" w:rsidP="00DA793E">
            <w:pPr>
              <w:rPr>
                <w:b/>
                <w:bCs/>
                <w:sz w:val="20"/>
                <w:szCs w:val="20"/>
                <w:lang w:eastAsia="en-GB"/>
              </w:rPr>
            </w:pPr>
            <w:r w:rsidRPr="00B07D65">
              <w:rPr>
                <w:b/>
                <w:bCs/>
                <w:sz w:val="20"/>
                <w:szCs w:val="20"/>
                <w:lang w:eastAsia="en-GB"/>
              </w:rPr>
              <w:t xml:space="preserve">Year </w:t>
            </w:r>
          </w:p>
        </w:tc>
        <w:tc>
          <w:tcPr>
            <w:tcW w:w="511" w:type="pct"/>
            <w:hideMark/>
          </w:tcPr>
          <w:p w14:paraId="67AFB9E6" w14:textId="77777777" w:rsidR="003C7A2B" w:rsidRPr="00B07D65" w:rsidRDefault="009311C5" w:rsidP="00DA793E">
            <w:pPr>
              <w:rPr>
                <w:b/>
                <w:bCs/>
                <w:sz w:val="20"/>
                <w:szCs w:val="20"/>
                <w:lang w:eastAsia="en-GB"/>
              </w:rPr>
            </w:pPr>
            <w:r w:rsidRPr="00B07D65">
              <w:rPr>
                <w:b/>
                <w:bCs/>
                <w:sz w:val="20"/>
                <w:szCs w:val="20"/>
                <w:lang w:eastAsia="en-GB"/>
              </w:rPr>
              <w:t xml:space="preserve">Cash Inflow </w:t>
            </w:r>
          </w:p>
        </w:tc>
        <w:tc>
          <w:tcPr>
            <w:tcW w:w="851" w:type="pct"/>
            <w:hideMark/>
          </w:tcPr>
          <w:p w14:paraId="5B7BA809" w14:textId="77777777" w:rsidR="003C7A2B" w:rsidRPr="00B07D65" w:rsidRDefault="009311C5" w:rsidP="00DA793E">
            <w:pPr>
              <w:rPr>
                <w:b/>
                <w:bCs/>
                <w:sz w:val="20"/>
                <w:szCs w:val="20"/>
                <w:lang w:eastAsia="en-GB"/>
              </w:rPr>
            </w:pPr>
            <w:r w:rsidRPr="00B07D65">
              <w:rPr>
                <w:b/>
                <w:bCs/>
                <w:sz w:val="20"/>
                <w:szCs w:val="20"/>
                <w:lang w:eastAsia="en-GB"/>
              </w:rPr>
              <w:t>Capital Allowance</w:t>
            </w:r>
          </w:p>
        </w:tc>
        <w:tc>
          <w:tcPr>
            <w:tcW w:w="681" w:type="pct"/>
            <w:hideMark/>
          </w:tcPr>
          <w:p w14:paraId="31EA484C" w14:textId="77777777" w:rsidR="003C7A2B" w:rsidRPr="00B07D65" w:rsidRDefault="009311C5" w:rsidP="00DA793E">
            <w:pPr>
              <w:rPr>
                <w:b/>
                <w:bCs/>
                <w:sz w:val="20"/>
                <w:szCs w:val="20"/>
                <w:lang w:eastAsia="en-GB"/>
              </w:rPr>
            </w:pPr>
            <w:r w:rsidRPr="00B07D65">
              <w:rPr>
                <w:b/>
                <w:bCs/>
                <w:sz w:val="20"/>
                <w:szCs w:val="20"/>
                <w:lang w:eastAsia="en-GB"/>
              </w:rPr>
              <w:t>Taxable Profit</w:t>
            </w:r>
          </w:p>
        </w:tc>
        <w:tc>
          <w:tcPr>
            <w:tcW w:w="702" w:type="pct"/>
            <w:hideMark/>
          </w:tcPr>
          <w:p w14:paraId="03E45C16" w14:textId="77777777" w:rsidR="003C7A2B" w:rsidRPr="00B07D65" w:rsidRDefault="009311C5" w:rsidP="00DA793E">
            <w:pPr>
              <w:rPr>
                <w:b/>
                <w:bCs/>
                <w:sz w:val="20"/>
                <w:szCs w:val="20"/>
                <w:lang w:eastAsia="en-GB"/>
              </w:rPr>
            </w:pPr>
            <w:r w:rsidRPr="00B07D65">
              <w:rPr>
                <w:b/>
                <w:bCs/>
                <w:sz w:val="20"/>
                <w:szCs w:val="20"/>
                <w:lang w:eastAsia="en-GB"/>
              </w:rPr>
              <w:t>Tax @ 25%</w:t>
            </w:r>
          </w:p>
        </w:tc>
        <w:tc>
          <w:tcPr>
            <w:tcW w:w="511" w:type="pct"/>
            <w:hideMark/>
          </w:tcPr>
          <w:p w14:paraId="6AAD6E9D" w14:textId="77777777" w:rsidR="003C7A2B" w:rsidRPr="00B07D65" w:rsidRDefault="009311C5" w:rsidP="00DA793E">
            <w:pPr>
              <w:rPr>
                <w:b/>
                <w:bCs/>
                <w:sz w:val="20"/>
                <w:szCs w:val="20"/>
                <w:lang w:eastAsia="en-GB"/>
              </w:rPr>
            </w:pPr>
            <w:r w:rsidRPr="00B07D65">
              <w:rPr>
                <w:b/>
                <w:bCs/>
                <w:sz w:val="20"/>
                <w:szCs w:val="20"/>
                <w:lang w:eastAsia="en-GB"/>
              </w:rPr>
              <w:t xml:space="preserve">Net Cash </w:t>
            </w:r>
            <w:r w:rsidRPr="00B07D65">
              <w:rPr>
                <w:b/>
                <w:bCs/>
                <w:sz w:val="20"/>
                <w:szCs w:val="20"/>
                <w:lang w:eastAsia="en-GB"/>
              </w:rPr>
              <w:t>Flow</w:t>
            </w:r>
          </w:p>
        </w:tc>
        <w:tc>
          <w:tcPr>
            <w:tcW w:w="543" w:type="pct"/>
            <w:hideMark/>
          </w:tcPr>
          <w:p w14:paraId="1A7966D6" w14:textId="77777777" w:rsidR="003C7A2B" w:rsidRPr="00B07D65" w:rsidRDefault="009311C5" w:rsidP="00DA793E">
            <w:pPr>
              <w:rPr>
                <w:b/>
                <w:bCs/>
                <w:sz w:val="20"/>
                <w:szCs w:val="20"/>
                <w:lang w:eastAsia="en-GB"/>
              </w:rPr>
            </w:pPr>
            <w:r w:rsidRPr="00B07D65">
              <w:rPr>
                <w:b/>
                <w:bCs/>
                <w:sz w:val="20"/>
                <w:szCs w:val="20"/>
                <w:lang w:eastAsia="en-GB"/>
              </w:rPr>
              <w:t>Discount Factor @ 6%</w:t>
            </w:r>
          </w:p>
        </w:tc>
        <w:tc>
          <w:tcPr>
            <w:tcW w:w="691" w:type="pct"/>
            <w:hideMark/>
          </w:tcPr>
          <w:p w14:paraId="3E6AE580" w14:textId="77777777" w:rsidR="003C7A2B" w:rsidRPr="00B07D65" w:rsidRDefault="009311C5" w:rsidP="00DA793E">
            <w:pPr>
              <w:rPr>
                <w:b/>
                <w:bCs/>
                <w:sz w:val="20"/>
                <w:szCs w:val="20"/>
                <w:lang w:eastAsia="en-GB"/>
              </w:rPr>
            </w:pPr>
            <w:r w:rsidRPr="00B07D65">
              <w:rPr>
                <w:b/>
                <w:bCs/>
                <w:sz w:val="20"/>
                <w:szCs w:val="20"/>
                <w:lang w:eastAsia="en-GB"/>
              </w:rPr>
              <w:t>Present Value</w:t>
            </w:r>
          </w:p>
        </w:tc>
      </w:tr>
      <w:tr w:rsidR="00A62B72" w14:paraId="2B22EA4E" w14:textId="77777777" w:rsidTr="00BB320B">
        <w:trPr>
          <w:trHeight w:val="288"/>
        </w:trPr>
        <w:tc>
          <w:tcPr>
            <w:tcW w:w="511" w:type="pct"/>
            <w:hideMark/>
          </w:tcPr>
          <w:p w14:paraId="7F89A929" w14:textId="77777777" w:rsidR="003C7A2B" w:rsidRPr="00B07D65" w:rsidRDefault="009311C5" w:rsidP="00DA793E">
            <w:pPr>
              <w:rPr>
                <w:sz w:val="20"/>
                <w:szCs w:val="20"/>
                <w:lang w:eastAsia="en-GB"/>
              </w:rPr>
            </w:pPr>
            <w:r w:rsidRPr="00B07D65">
              <w:rPr>
                <w:sz w:val="20"/>
                <w:szCs w:val="20"/>
                <w:lang w:eastAsia="en-GB"/>
              </w:rPr>
              <w:t>0</w:t>
            </w:r>
          </w:p>
        </w:tc>
        <w:tc>
          <w:tcPr>
            <w:tcW w:w="511" w:type="pct"/>
            <w:noWrap/>
            <w:hideMark/>
          </w:tcPr>
          <w:p w14:paraId="5F2B8D2B" w14:textId="77777777" w:rsidR="003C7A2B" w:rsidRPr="00B07D65" w:rsidRDefault="009311C5" w:rsidP="00DA793E">
            <w:pPr>
              <w:rPr>
                <w:sz w:val="20"/>
                <w:szCs w:val="20"/>
                <w:lang w:eastAsia="en-GB"/>
              </w:rPr>
            </w:pPr>
            <w:r w:rsidRPr="00B07D65">
              <w:rPr>
                <w:sz w:val="20"/>
                <w:szCs w:val="20"/>
                <w:lang w:eastAsia="en-GB"/>
              </w:rPr>
              <w:t>-600</w:t>
            </w:r>
          </w:p>
        </w:tc>
        <w:tc>
          <w:tcPr>
            <w:tcW w:w="851" w:type="pct"/>
            <w:hideMark/>
          </w:tcPr>
          <w:p w14:paraId="24D38D74" w14:textId="77777777" w:rsidR="003C7A2B" w:rsidRPr="00B07D65" w:rsidRDefault="003C7A2B" w:rsidP="00DA793E">
            <w:pPr>
              <w:rPr>
                <w:sz w:val="20"/>
                <w:szCs w:val="20"/>
                <w:lang w:eastAsia="en-GB"/>
              </w:rPr>
            </w:pPr>
          </w:p>
        </w:tc>
        <w:tc>
          <w:tcPr>
            <w:tcW w:w="681" w:type="pct"/>
            <w:hideMark/>
          </w:tcPr>
          <w:p w14:paraId="62E66505" w14:textId="77777777" w:rsidR="003C7A2B" w:rsidRPr="00B07D65" w:rsidRDefault="003C7A2B" w:rsidP="00DA793E">
            <w:pPr>
              <w:rPr>
                <w:rFonts w:ascii="Times New Roman" w:hAnsi="Times New Roman" w:cs="Times New Roman"/>
                <w:sz w:val="20"/>
                <w:szCs w:val="20"/>
                <w:lang w:eastAsia="en-GB"/>
              </w:rPr>
            </w:pPr>
          </w:p>
        </w:tc>
        <w:tc>
          <w:tcPr>
            <w:tcW w:w="702" w:type="pct"/>
            <w:hideMark/>
          </w:tcPr>
          <w:p w14:paraId="3BBE4E67" w14:textId="77777777" w:rsidR="003C7A2B" w:rsidRPr="00B07D65" w:rsidRDefault="003C7A2B" w:rsidP="00DA793E">
            <w:pPr>
              <w:rPr>
                <w:rFonts w:ascii="Times New Roman" w:hAnsi="Times New Roman" w:cs="Times New Roman"/>
                <w:sz w:val="20"/>
                <w:szCs w:val="20"/>
                <w:lang w:eastAsia="en-GB"/>
              </w:rPr>
            </w:pPr>
          </w:p>
        </w:tc>
        <w:tc>
          <w:tcPr>
            <w:tcW w:w="511" w:type="pct"/>
            <w:hideMark/>
          </w:tcPr>
          <w:p w14:paraId="0ED29A3D" w14:textId="77777777" w:rsidR="003C7A2B" w:rsidRPr="00B07D65" w:rsidRDefault="009311C5" w:rsidP="00DA793E">
            <w:pPr>
              <w:rPr>
                <w:sz w:val="20"/>
                <w:szCs w:val="20"/>
                <w:lang w:eastAsia="en-GB"/>
              </w:rPr>
            </w:pPr>
            <w:r w:rsidRPr="00B07D65">
              <w:rPr>
                <w:sz w:val="20"/>
                <w:szCs w:val="20"/>
                <w:lang w:eastAsia="en-GB"/>
              </w:rPr>
              <w:t>-600</w:t>
            </w:r>
          </w:p>
        </w:tc>
        <w:tc>
          <w:tcPr>
            <w:tcW w:w="543" w:type="pct"/>
            <w:hideMark/>
          </w:tcPr>
          <w:p w14:paraId="4073E150" w14:textId="77777777" w:rsidR="003C7A2B" w:rsidRPr="00B07D65" w:rsidRDefault="009311C5" w:rsidP="00DA793E">
            <w:pPr>
              <w:rPr>
                <w:sz w:val="20"/>
                <w:szCs w:val="20"/>
                <w:lang w:eastAsia="en-GB"/>
              </w:rPr>
            </w:pPr>
            <w:r w:rsidRPr="00B07D65">
              <w:rPr>
                <w:sz w:val="20"/>
                <w:szCs w:val="20"/>
                <w:lang w:eastAsia="en-GB"/>
              </w:rPr>
              <w:t>1</w:t>
            </w:r>
          </w:p>
        </w:tc>
        <w:tc>
          <w:tcPr>
            <w:tcW w:w="691" w:type="pct"/>
            <w:hideMark/>
          </w:tcPr>
          <w:p w14:paraId="38979B05" w14:textId="77777777" w:rsidR="003C7A2B" w:rsidRPr="00B07D65" w:rsidRDefault="009311C5" w:rsidP="00DA793E">
            <w:pPr>
              <w:rPr>
                <w:sz w:val="20"/>
                <w:szCs w:val="20"/>
                <w:lang w:eastAsia="en-GB"/>
              </w:rPr>
            </w:pPr>
            <w:r w:rsidRPr="00B07D65">
              <w:rPr>
                <w:sz w:val="20"/>
                <w:szCs w:val="20"/>
                <w:lang w:eastAsia="en-GB"/>
              </w:rPr>
              <w:t>-600</w:t>
            </w:r>
          </w:p>
        </w:tc>
      </w:tr>
      <w:tr w:rsidR="00A62B72" w14:paraId="6D7E0151" w14:textId="77777777" w:rsidTr="00BB320B">
        <w:trPr>
          <w:trHeight w:val="288"/>
        </w:trPr>
        <w:tc>
          <w:tcPr>
            <w:tcW w:w="511" w:type="pct"/>
            <w:hideMark/>
          </w:tcPr>
          <w:p w14:paraId="758383DB" w14:textId="77777777" w:rsidR="003C7A2B" w:rsidRPr="00B07D65" w:rsidRDefault="009311C5" w:rsidP="00DA793E">
            <w:pPr>
              <w:rPr>
                <w:sz w:val="20"/>
                <w:szCs w:val="20"/>
                <w:lang w:eastAsia="en-GB"/>
              </w:rPr>
            </w:pPr>
            <w:r w:rsidRPr="00B07D65">
              <w:rPr>
                <w:sz w:val="20"/>
                <w:szCs w:val="20"/>
                <w:lang w:eastAsia="en-GB"/>
              </w:rPr>
              <w:t>1</w:t>
            </w:r>
          </w:p>
        </w:tc>
        <w:tc>
          <w:tcPr>
            <w:tcW w:w="511" w:type="pct"/>
            <w:noWrap/>
            <w:hideMark/>
          </w:tcPr>
          <w:p w14:paraId="51665A60" w14:textId="77777777" w:rsidR="003C7A2B" w:rsidRPr="00B07D65" w:rsidRDefault="009311C5" w:rsidP="00DA793E">
            <w:pPr>
              <w:rPr>
                <w:sz w:val="20"/>
                <w:szCs w:val="20"/>
                <w:lang w:eastAsia="en-GB"/>
              </w:rPr>
            </w:pPr>
            <w:r w:rsidRPr="00B07D65">
              <w:rPr>
                <w:sz w:val="20"/>
                <w:szCs w:val="20"/>
                <w:lang w:eastAsia="en-GB"/>
              </w:rPr>
              <w:t>200</w:t>
            </w:r>
          </w:p>
        </w:tc>
        <w:tc>
          <w:tcPr>
            <w:tcW w:w="851" w:type="pct"/>
            <w:hideMark/>
          </w:tcPr>
          <w:p w14:paraId="5EA5EB6A" w14:textId="77777777" w:rsidR="003C7A2B" w:rsidRPr="00B07D65" w:rsidRDefault="009311C5" w:rsidP="00DA793E">
            <w:pPr>
              <w:rPr>
                <w:sz w:val="20"/>
                <w:szCs w:val="20"/>
                <w:lang w:eastAsia="en-GB"/>
              </w:rPr>
            </w:pPr>
            <w:r w:rsidRPr="00B07D65">
              <w:rPr>
                <w:sz w:val="20"/>
                <w:szCs w:val="20"/>
                <w:lang w:eastAsia="en-GB"/>
              </w:rPr>
              <w:t>120</w:t>
            </w:r>
          </w:p>
        </w:tc>
        <w:tc>
          <w:tcPr>
            <w:tcW w:w="681" w:type="pct"/>
            <w:hideMark/>
          </w:tcPr>
          <w:p w14:paraId="1E4539D8" w14:textId="77777777" w:rsidR="003C7A2B" w:rsidRPr="00B07D65" w:rsidRDefault="009311C5" w:rsidP="00DA793E">
            <w:pPr>
              <w:rPr>
                <w:sz w:val="20"/>
                <w:szCs w:val="20"/>
                <w:lang w:eastAsia="en-GB"/>
              </w:rPr>
            </w:pPr>
            <w:r w:rsidRPr="00B07D65">
              <w:rPr>
                <w:sz w:val="20"/>
                <w:szCs w:val="20"/>
                <w:lang w:eastAsia="en-GB"/>
              </w:rPr>
              <w:t>80</w:t>
            </w:r>
          </w:p>
        </w:tc>
        <w:tc>
          <w:tcPr>
            <w:tcW w:w="702" w:type="pct"/>
            <w:hideMark/>
          </w:tcPr>
          <w:p w14:paraId="60C8E25E" w14:textId="77777777" w:rsidR="003C7A2B" w:rsidRPr="00B07D65" w:rsidRDefault="009311C5" w:rsidP="00DA793E">
            <w:pPr>
              <w:rPr>
                <w:sz w:val="20"/>
                <w:szCs w:val="20"/>
                <w:lang w:eastAsia="en-GB"/>
              </w:rPr>
            </w:pPr>
            <w:r w:rsidRPr="00B07D65">
              <w:rPr>
                <w:sz w:val="20"/>
                <w:szCs w:val="20"/>
                <w:lang w:eastAsia="en-GB"/>
              </w:rPr>
              <w:t>20</w:t>
            </w:r>
          </w:p>
        </w:tc>
        <w:tc>
          <w:tcPr>
            <w:tcW w:w="511" w:type="pct"/>
            <w:hideMark/>
          </w:tcPr>
          <w:p w14:paraId="15A11441" w14:textId="77777777" w:rsidR="003C7A2B" w:rsidRPr="00B07D65" w:rsidRDefault="009311C5" w:rsidP="00DA793E">
            <w:pPr>
              <w:rPr>
                <w:sz w:val="20"/>
                <w:szCs w:val="20"/>
                <w:lang w:eastAsia="en-GB"/>
              </w:rPr>
            </w:pPr>
            <w:r w:rsidRPr="00B07D65">
              <w:rPr>
                <w:sz w:val="20"/>
                <w:szCs w:val="20"/>
                <w:lang w:eastAsia="en-GB"/>
              </w:rPr>
              <w:t>180</w:t>
            </w:r>
          </w:p>
        </w:tc>
        <w:tc>
          <w:tcPr>
            <w:tcW w:w="543" w:type="pct"/>
            <w:hideMark/>
          </w:tcPr>
          <w:p w14:paraId="5F92CEDD" w14:textId="77777777" w:rsidR="003C7A2B" w:rsidRPr="00B07D65" w:rsidRDefault="009311C5" w:rsidP="00DA793E">
            <w:pPr>
              <w:rPr>
                <w:sz w:val="20"/>
                <w:szCs w:val="20"/>
                <w:lang w:eastAsia="en-GB"/>
              </w:rPr>
            </w:pPr>
            <w:r w:rsidRPr="00B07D65">
              <w:rPr>
                <w:sz w:val="20"/>
                <w:szCs w:val="20"/>
                <w:lang w:eastAsia="en-GB"/>
              </w:rPr>
              <w:t>0.943</w:t>
            </w:r>
          </w:p>
        </w:tc>
        <w:tc>
          <w:tcPr>
            <w:tcW w:w="691" w:type="pct"/>
            <w:hideMark/>
          </w:tcPr>
          <w:p w14:paraId="1E16D88B" w14:textId="77777777" w:rsidR="003C7A2B" w:rsidRPr="00B07D65" w:rsidRDefault="009311C5" w:rsidP="00DA793E">
            <w:pPr>
              <w:rPr>
                <w:sz w:val="20"/>
                <w:szCs w:val="20"/>
                <w:lang w:eastAsia="en-GB"/>
              </w:rPr>
            </w:pPr>
            <w:r w:rsidRPr="00B07D65">
              <w:rPr>
                <w:sz w:val="20"/>
                <w:szCs w:val="20"/>
                <w:lang w:eastAsia="en-GB"/>
              </w:rPr>
              <w:t>169.74</w:t>
            </w:r>
          </w:p>
        </w:tc>
      </w:tr>
      <w:tr w:rsidR="00A62B72" w14:paraId="158C8DE3" w14:textId="77777777" w:rsidTr="00BB320B">
        <w:trPr>
          <w:trHeight w:val="288"/>
        </w:trPr>
        <w:tc>
          <w:tcPr>
            <w:tcW w:w="511" w:type="pct"/>
            <w:hideMark/>
          </w:tcPr>
          <w:p w14:paraId="160582CE" w14:textId="77777777" w:rsidR="003C7A2B" w:rsidRPr="00B07D65" w:rsidRDefault="009311C5" w:rsidP="00DA793E">
            <w:pPr>
              <w:rPr>
                <w:sz w:val="20"/>
                <w:szCs w:val="20"/>
                <w:lang w:eastAsia="en-GB"/>
              </w:rPr>
            </w:pPr>
            <w:r w:rsidRPr="00B07D65">
              <w:rPr>
                <w:sz w:val="20"/>
                <w:szCs w:val="20"/>
                <w:lang w:eastAsia="en-GB"/>
              </w:rPr>
              <w:t>2</w:t>
            </w:r>
          </w:p>
        </w:tc>
        <w:tc>
          <w:tcPr>
            <w:tcW w:w="511" w:type="pct"/>
            <w:noWrap/>
            <w:hideMark/>
          </w:tcPr>
          <w:p w14:paraId="6C77CE68" w14:textId="77777777" w:rsidR="003C7A2B" w:rsidRPr="00B07D65" w:rsidRDefault="009311C5" w:rsidP="00DA793E">
            <w:pPr>
              <w:rPr>
                <w:sz w:val="20"/>
                <w:szCs w:val="20"/>
                <w:lang w:eastAsia="en-GB"/>
              </w:rPr>
            </w:pPr>
            <w:r w:rsidRPr="00B07D65">
              <w:rPr>
                <w:sz w:val="20"/>
                <w:szCs w:val="20"/>
                <w:lang w:eastAsia="en-GB"/>
              </w:rPr>
              <w:t>300</w:t>
            </w:r>
          </w:p>
        </w:tc>
        <w:tc>
          <w:tcPr>
            <w:tcW w:w="851" w:type="pct"/>
            <w:hideMark/>
          </w:tcPr>
          <w:p w14:paraId="4B36671D" w14:textId="77777777" w:rsidR="003C7A2B" w:rsidRPr="00B07D65" w:rsidRDefault="009311C5" w:rsidP="00DA793E">
            <w:pPr>
              <w:rPr>
                <w:sz w:val="20"/>
                <w:szCs w:val="20"/>
                <w:lang w:eastAsia="en-GB"/>
              </w:rPr>
            </w:pPr>
            <w:r w:rsidRPr="00B07D65">
              <w:rPr>
                <w:sz w:val="20"/>
                <w:szCs w:val="20"/>
                <w:lang w:eastAsia="en-GB"/>
              </w:rPr>
              <w:t>120</w:t>
            </w:r>
          </w:p>
        </w:tc>
        <w:tc>
          <w:tcPr>
            <w:tcW w:w="681" w:type="pct"/>
            <w:hideMark/>
          </w:tcPr>
          <w:p w14:paraId="011E9CC7" w14:textId="77777777" w:rsidR="003C7A2B" w:rsidRPr="00B07D65" w:rsidRDefault="009311C5" w:rsidP="00DA793E">
            <w:pPr>
              <w:rPr>
                <w:sz w:val="20"/>
                <w:szCs w:val="20"/>
                <w:lang w:eastAsia="en-GB"/>
              </w:rPr>
            </w:pPr>
            <w:r w:rsidRPr="00B07D65">
              <w:rPr>
                <w:sz w:val="20"/>
                <w:szCs w:val="20"/>
                <w:lang w:eastAsia="en-GB"/>
              </w:rPr>
              <w:t>180</w:t>
            </w:r>
          </w:p>
        </w:tc>
        <w:tc>
          <w:tcPr>
            <w:tcW w:w="702" w:type="pct"/>
            <w:hideMark/>
          </w:tcPr>
          <w:p w14:paraId="0E713E96" w14:textId="77777777" w:rsidR="003C7A2B" w:rsidRPr="00B07D65" w:rsidRDefault="009311C5" w:rsidP="00DA793E">
            <w:pPr>
              <w:rPr>
                <w:sz w:val="20"/>
                <w:szCs w:val="20"/>
                <w:lang w:eastAsia="en-GB"/>
              </w:rPr>
            </w:pPr>
            <w:r w:rsidRPr="00B07D65">
              <w:rPr>
                <w:sz w:val="20"/>
                <w:szCs w:val="20"/>
                <w:lang w:eastAsia="en-GB"/>
              </w:rPr>
              <w:t>45</w:t>
            </w:r>
          </w:p>
        </w:tc>
        <w:tc>
          <w:tcPr>
            <w:tcW w:w="511" w:type="pct"/>
            <w:hideMark/>
          </w:tcPr>
          <w:p w14:paraId="297AAE20" w14:textId="77777777" w:rsidR="003C7A2B" w:rsidRPr="00B07D65" w:rsidRDefault="009311C5" w:rsidP="00DA793E">
            <w:pPr>
              <w:rPr>
                <w:sz w:val="20"/>
                <w:szCs w:val="20"/>
                <w:lang w:eastAsia="en-GB"/>
              </w:rPr>
            </w:pPr>
            <w:r w:rsidRPr="00B07D65">
              <w:rPr>
                <w:sz w:val="20"/>
                <w:szCs w:val="20"/>
                <w:lang w:eastAsia="en-GB"/>
              </w:rPr>
              <w:t>255</w:t>
            </w:r>
          </w:p>
        </w:tc>
        <w:tc>
          <w:tcPr>
            <w:tcW w:w="543" w:type="pct"/>
            <w:hideMark/>
          </w:tcPr>
          <w:p w14:paraId="6276D85A" w14:textId="77777777" w:rsidR="003C7A2B" w:rsidRPr="00B07D65" w:rsidRDefault="009311C5" w:rsidP="00DA793E">
            <w:pPr>
              <w:rPr>
                <w:sz w:val="20"/>
                <w:szCs w:val="20"/>
                <w:lang w:eastAsia="en-GB"/>
              </w:rPr>
            </w:pPr>
            <w:r w:rsidRPr="00B07D65">
              <w:rPr>
                <w:sz w:val="20"/>
                <w:szCs w:val="20"/>
                <w:lang w:eastAsia="en-GB"/>
              </w:rPr>
              <w:t>0.89</w:t>
            </w:r>
          </w:p>
        </w:tc>
        <w:tc>
          <w:tcPr>
            <w:tcW w:w="691" w:type="pct"/>
            <w:hideMark/>
          </w:tcPr>
          <w:p w14:paraId="0456EB46" w14:textId="77777777" w:rsidR="003C7A2B" w:rsidRPr="00B07D65" w:rsidRDefault="009311C5" w:rsidP="00DA793E">
            <w:pPr>
              <w:rPr>
                <w:sz w:val="20"/>
                <w:szCs w:val="20"/>
                <w:lang w:eastAsia="en-GB"/>
              </w:rPr>
            </w:pPr>
            <w:r w:rsidRPr="00B07D65">
              <w:rPr>
                <w:sz w:val="20"/>
                <w:szCs w:val="20"/>
                <w:lang w:eastAsia="en-GB"/>
              </w:rPr>
              <w:t>226.95</w:t>
            </w:r>
          </w:p>
        </w:tc>
      </w:tr>
      <w:tr w:rsidR="00A62B72" w14:paraId="25FBC81F" w14:textId="77777777" w:rsidTr="00BB320B">
        <w:trPr>
          <w:trHeight w:val="288"/>
        </w:trPr>
        <w:tc>
          <w:tcPr>
            <w:tcW w:w="511" w:type="pct"/>
            <w:hideMark/>
          </w:tcPr>
          <w:p w14:paraId="4C2BEC72" w14:textId="77777777" w:rsidR="003C7A2B" w:rsidRPr="00B07D65" w:rsidRDefault="009311C5" w:rsidP="00DA793E">
            <w:pPr>
              <w:rPr>
                <w:sz w:val="20"/>
                <w:szCs w:val="20"/>
                <w:lang w:eastAsia="en-GB"/>
              </w:rPr>
            </w:pPr>
            <w:r w:rsidRPr="00B07D65">
              <w:rPr>
                <w:sz w:val="20"/>
                <w:szCs w:val="20"/>
                <w:lang w:eastAsia="en-GB"/>
              </w:rPr>
              <w:t>3</w:t>
            </w:r>
          </w:p>
        </w:tc>
        <w:tc>
          <w:tcPr>
            <w:tcW w:w="511" w:type="pct"/>
            <w:noWrap/>
            <w:hideMark/>
          </w:tcPr>
          <w:p w14:paraId="4C1AA6FB" w14:textId="77777777" w:rsidR="003C7A2B" w:rsidRPr="00B07D65" w:rsidRDefault="009311C5" w:rsidP="00DA793E">
            <w:pPr>
              <w:rPr>
                <w:sz w:val="20"/>
                <w:szCs w:val="20"/>
                <w:lang w:eastAsia="en-GB"/>
              </w:rPr>
            </w:pPr>
            <w:r w:rsidRPr="00B07D65">
              <w:rPr>
                <w:sz w:val="20"/>
                <w:szCs w:val="20"/>
                <w:lang w:eastAsia="en-GB"/>
              </w:rPr>
              <w:t>400</w:t>
            </w:r>
          </w:p>
        </w:tc>
        <w:tc>
          <w:tcPr>
            <w:tcW w:w="851" w:type="pct"/>
            <w:hideMark/>
          </w:tcPr>
          <w:p w14:paraId="3584D5A8" w14:textId="77777777" w:rsidR="003C7A2B" w:rsidRPr="00B07D65" w:rsidRDefault="009311C5" w:rsidP="00DA793E">
            <w:pPr>
              <w:rPr>
                <w:sz w:val="20"/>
                <w:szCs w:val="20"/>
                <w:lang w:eastAsia="en-GB"/>
              </w:rPr>
            </w:pPr>
            <w:r w:rsidRPr="00B07D65">
              <w:rPr>
                <w:sz w:val="20"/>
                <w:szCs w:val="20"/>
                <w:lang w:eastAsia="en-GB"/>
              </w:rPr>
              <w:t>120</w:t>
            </w:r>
          </w:p>
        </w:tc>
        <w:tc>
          <w:tcPr>
            <w:tcW w:w="681" w:type="pct"/>
            <w:hideMark/>
          </w:tcPr>
          <w:p w14:paraId="44056C24" w14:textId="77777777" w:rsidR="003C7A2B" w:rsidRPr="00B07D65" w:rsidRDefault="009311C5" w:rsidP="00DA793E">
            <w:pPr>
              <w:rPr>
                <w:sz w:val="20"/>
                <w:szCs w:val="20"/>
                <w:lang w:eastAsia="en-GB"/>
              </w:rPr>
            </w:pPr>
            <w:r w:rsidRPr="00B07D65">
              <w:rPr>
                <w:sz w:val="20"/>
                <w:szCs w:val="20"/>
                <w:lang w:eastAsia="en-GB"/>
              </w:rPr>
              <w:t>280</w:t>
            </w:r>
          </w:p>
        </w:tc>
        <w:tc>
          <w:tcPr>
            <w:tcW w:w="702" w:type="pct"/>
            <w:hideMark/>
          </w:tcPr>
          <w:p w14:paraId="1F128050" w14:textId="77777777" w:rsidR="003C7A2B" w:rsidRPr="00B07D65" w:rsidRDefault="009311C5" w:rsidP="00DA793E">
            <w:pPr>
              <w:rPr>
                <w:sz w:val="20"/>
                <w:szCs w:val="20"/>
                <w:lang w:eastAsia="en-GB"/>
              </w:rPr>
            </w:pPr>
            <w:r w:rsidRPr="00B07D65">
              <w:rPr>
                <w:sz w:val="20"/>
                <w:szCs w:val="20"/>
                <w:lang w:eastAsia="en-GB"/>
              </w:rPr>
              <w:t>70</w:t>
            </w:r>
          </w:p>
        </w:tc>
        <w:tc>
          <w:tcPr>
            <w:tcW w:w="511" w:type="pct"/>
            <w:hideMark/>
          </w:tcPr>
          <w:p w14:paraId="23D151BC" w14:textId="77777777" w:rsidR="003C7A2B" w:rsidRPr="00B07D65" w:rsidRDefault="009311C5" w:rsidP="00DA793E">
            <w:pPr>
              <w:rPr>
                <w:sz w:val="20"/>
                <w:szCs w:val="20"/>
                <w:lang w:eastAsia="en-GB"/>
              </w:rPr>
            </w:pPr>
            <w:r w:rsidRPr="00B07D65">
              <w:rPr>
                <w:sz w:val="20"/>
                <w:szCs w:val="20"/>
                <w:lang w:eastAsia="en-GB"/>
              </w:rPr>
              <w:t>330</w:t>
            </w:r>
          </w:p>
        </w:tc>
        <w:tc>
          <w:tcPr>
            <w:tcW w:w="543" w:type="pct"/>
            <w:hideMark/>
          </w:tcPr>
          <w:p w14:paraId="30395684" w14:textId="77777777" w:rsidR="003C7A2B" w:rsidRPr="00B07D65" w:rsidRDefault="009311C5" w:rsidP="00DA793E">
            <w:pPr>
              <w:rPr>
                <w:sz w:val="20"/>
                <w:szCs w:val="20"/>
                <w:lang w:eastAsia="en-GB"/>
              </w:rPr>
            </w:pPr>
            <w:r w:rsidRPr="00B07D65">
              <w:rPr>
                <w:sz w:val="20"/>
                <w:szCs w:val="20"/>
                <w:lang w:eastAsia="en-GB"/>
              </w:rPr>
              <w:t>0.84</w:t>
            </w:r>
          </w:p>
        </w:tc>
        <w:tc>
          <w:tcPr>
            <w:tcW w:w="691" w:type="pct"/>
            <w:hideMark/>
          </w:tcPr>
          <w:p w14:paraId="22B8C8CB" w14:textId="77777777" w:rsidR="003C7A2B" w:rsidRPr="00B07D65" w:rsidRDefault="009311C5" w:rsidP="00DA793E">
            <w:pPr>
              <w:rPr>
                <w:sz w:val="20"/>
                <w:szCs w:val="20"/>
                <w:lang w:eastAsia="en-GB"/>
              </w:rPr>
            </w:pPr>
            <w:r w:rsidRPr="00B07D65">
              <w:rPr>
                <w:sz w:val="20"/>
                <w:szCs w:val="20"/>
                <w:lang w:eastAsia="en-GB"/>
              </w:rPr>
              <w:t>277.2</w:t>
            </w:r>
          </w:p>
        </w:tc>
      </w:tr>
      <w:tr w:rsidR="00A62B72" w14:paraId="11D9094A" w14:textId="77777777" w:rsidTr="00BB320B">
        <w:trPr>
          <w:trHeight w:val="288"/>
        </w:trPr>
        <w:tc>
          <w:tcPr>
            <w:tcW w:w="511" w:type="pct"/>
            <w:hideMark/>
          </w:tcPr>
          <w:p w14:paraId="473925D4" w14:textId="77777777" w:rsidR="003C7A2B" w:rsidRPr="00B07D65" w:rsidRDefault="009311C5" w:rsidP="00DA793E">
            <w:pPr>
              <w:rPr>
                <w:sz w:val="20"/>
                <w:szCs w:val="20"/>
                <w:lang w:eastAsia="en-GB"/>
              </w:rPr>
            </w:pPr>
            <w:r w:rsidRPr="00B07D65">
              <w:rPr>
                <w:sz w:val="20"/>
                <w:szCs w:val="20"/>
                <w:lang w:eastAsia="en-GB"/>
              </w:rPr>
              <w:t>4</w:t>
            </w:r>
          </w:p>
        </w:tc>
        <w:tc>
          <w:tcPr>
            <w:tcW w:w="511" w:type="pct"/>
            <w:noWrap/>
            <w:hideMark/>
          </w:tcPr>
          <w:p w14:paraId="766D0450" w14:textId="77777777" w:rsidR="003C7A2B" w:rsidRPr="00B07D65" w:rsidRDefault="009311C5" w:rsidP="00DA793E">
            <w:pPr>
              <w:rPr>
                <w:sz w:val="20"/>
                <w:szCs w:val="20"/>
                <w:lang w:eastAsia="en-GB"/>
              </w:rPr>
            </w:pPr>
            <w:r w:rsidRPr="00B07D65">
              <w:rPr>
                <w:sz w:val="20"/>
                <w:szCs w:val="20"/>
                <w:lang w:eastAsia="en-GB"/>
              </w:rPr>
              <w:t>500</w:t>
            </w:r>
          </w:p>
        </w:tc>
        <w:tc>
          <w:tcPr>
            <w:tcW w:w="851" w:type="pct"/>
            <w:hideMark/>
          </w:tcPr>
          <w:p w14:paraId="4F4B6A25" w14:textId="77777777" w:rsidR="003C7A2B" w:rsidRPr="00B07D65" w:rsidRDefault="009311C5" w:rsidP="00DA793E">
            <w:pPr>
              <w:rPr>
                <w:sz w:val="20"/>
                <w:szCs w:val="20"/>
                <w:lang w:eastAsia="en-GB"/>
              </w:rPr>
            </w:pPr>
            <w:r w:rsidRPr="00B07D65">
              <w:rPr>
                <w:sz w:val="20"/>
                <w:szCs w:val="20"/>
                <w:lang w:eastAsia="en-GB"/>
              </w:rPr>
              <w:t>120</w:t>
            </w:r>
          </w:p>
        </w:tc>
        <w:tc>
          <w:tcPr>
            <w:tcW w:w="681" w:type="pct"/>
            <w:hideMark/>
          </w:tcPr>
          <w:p w14:paraId="1B33FBAA" w14:textId="77777777" w:rsidR="003C7A2B" w:rsidRPr="00B07D65" w:rsidRDefault="009311C5" w:rsidP="00DA793E">
            <w:pPr>
              <w:rPr>
                <w:sz w:val="20"/>
                <w:szCs w:val="20"/>
                <w:lang w:eastAsia="en-GB"/>
              </w:rPr>
            </w:pPr>
            <w:r w:rsidRPr="00B07D65">
              <w:rPr>
                <w:sz w:val="20"/>
                <w:szCs w:val="20"/>
                <w:lang w:eastAsia="en-GB"/>
              </w:rPr>
              <w:t>380</w:t>
            </w:r>
          </w:p>
        </w:tc>
        <w:tc>
          <w:tcPr>
            <w:tcW w:w="702" w:type="pct"/>
            <w:hideMark/>
          </w:tcPr>
          <w:p w14:paraId="344A63A7" w14:textId="77777777" w:rsidR="003C7A2B" w:rsidRPr="00B07D65" w:rsidRDefault="009311C5" w:rsidP="00DA793E">
            <w:pPr>
              <w:rPr>
                <w:sz w:val="20"/>
                <w:szCs w:val="20"/>
                <w:lang w:eastAsia="en-GB"/>
              </w:rPr>
            </w:pPr>
            <w:r w:rsidRPr="00B07D65">
              <w:rPr>
                <w:sz w:val="20"/>
                <w:szCs w:val="20"/>
                <w:lang w:eastAsia="en-GB"/>
              </w:rPr>
              <w:t>95</w:t>
            </w:r>
          </w:p>
        </w:tc>
        <w:tc>
          <w:tcPr>
            <w:tcW w:w="511" w:type="pct"/>
            <w:hideMark/>
          </w:tcPr>
          <w:p w14:paraId="24DDCEAB" w14:textId="77777777" w:rsidR="003C7A2B" w:rsidRPr="00B07D65" w:rsidRDefault="009311C5" w:rsidP="00DA793E">
            <w:pPr>
              <w:rPr>
                <w:sz w:val="20"/>
                <w:szCs w:val="20"/>
                <w:lang w:eastAsia="en-GB"/>
              </w:rPr>
            </w:pPr>
            <w:r w:rsidRPr="00B07D65">
              <w:rPr>
                <w:sz w:val="20"/>
                <w:szCs w:val="20"/>
                <w:lang w:eastAsia="en-GB"/>
              </w:rPr>
              <w:t>405</w:t>
            </w:r>
          </w:p>
        </w:tc>
        <w:tc>
          <w:tcPr>
            <w:tcW w:w="543" w:type="pct"/>
            <w:hideMark/>
          </w:tcPr>
          <w:p w14:paraId="6C4E3728" w14:textId="77777777" w:rsidR="003C7A2B" w:rsidRPr="00B07D65" w:rsidRDefault="009311C5" w:rsidP="00DA793E">
            <w:pPr>
              <w:rPr>
                <w:sz w:val="20"/>
                <w:szCs w:val="20"/>
                <w:lang w:eastAsia="en-GB"/>
              </w:rPr>
            </w:pPr>
            <w:r w:rsidRPr="00B07D65">
              <w:rPr>
                <w:sz w:val="20"/>
                <w:szCs w:val="20"/>
                <w:lang w:eastAsia="en-GB"/>
              </w:rPr>
              <w:t>0.792</w:t>
            </w:r>
          </w:p>
        </w:tc>
        <w:tc>
          <w:tcPr>
            <w:tcW w:w="691" w:type="pct"/>
            <w:hideMark/>
          </w:tcPr>
          <w:p w14:paraId="0FA6ECD9" w14:textId="77777777" w:rsidR="003C7A2B" w:rsidRPr="00B07D65" w:rsidRDefault="009311C5" w:rsidP="00DA793E">
            <w:pPr>
              <w:rPr>
                <w:sz w:val="20"/>
                <w:szCs w:val="20"/>
                <w:lang w:eastAsia="en-GB"/>
              </w:rPr>
            </w:pPr>
            <w:r w:rsidRPr="00B07D65">
              <w:rPr>
                <w:sz w:val="20"/>
                <w:szCs w:val="20"/>
                <w:lang w:eastAsia="en-GB"/>
              </w:rPr>
              <w:t>320.76</w:t>
            </w:r>
          </w:p>
        </w:tc>
      </w:tr>
      <w:tr w:rsidR="00A62B72" w14:paraId="439BA4A9" w14:textId="77777777" w:rsidTr="00BB320B">
        <w:trPr>
          <w:trHeight w:val="288"/>
        </w:trPr>
        <w:tc>
          <w:tcPr>
            <w:tcW w:w="511" w:type="pct"/>
            <w:noWrap/>
            <w:hideMark/>
          </w:tcPr>
          <w:p w14:paraId="4E462829" w14:textId="77777777" w:rsidR="003C7A2B" w:rsidRPr="00B07D65" w:rsidRDefault="003C7A2B" w:rsidP="00DA793E">
            <w:pPr>
              <w:rPr>
                <w:sz w:val="20"/>
                <w:szCs w:val="20"/>
                <w:lang w:eastAsia="en-GB"/>
              </w:rPr>
            </w:pPr>
          </w:p>
        </w:tc>
        <w:tc>
          <w:tcPr>
            <w:tcW w:w="511" w:type="pct"/>
            <w:noWrap/>
            <w:hideMark/>
          </w:tcPr>
          <w:p w14:paraId="747F8349" w14:textId="77777777" w:rsidR="003C7A2B" w:rsidRPr="00B07D65" w:rsidRDefault="003C7A2B" w:rsidP="00DA793E">
            <w:pPr>
              <w:rPr>
                <w:rFonts w:ascii="Times New Roman" w:hAnsi="Times New Roman" w:cs="Times New Roman"/>
                <w:sz w:val="20"/>
                <w:szCs w:val="20"/>
                <w:lang w:eastAsia="en-GB"/>
              </w:rPr>
            </w:pPr>
          </w:p>
        </w:tc>
        <w:tc>
          <w:tcPr>
            <w:tcW w:w="851" w:type="pct"/>
            <w:noWrap/>
            <w:hideMark/>
          </w:tcPr>
          <w:p w14:paraId="5ADC71EB" w14:textId="77777777" w:rsidR="003C7A2B" w:rsidRPr="00B07D65" w:rsidRDefault="003C7A2B" w:rsidP="00DA793E">
            <w:pPr>
              <w:rPr>
                <w:rFonts w:ascii="Times New Roman" w:hAnsi="Times New Roman" w:cs="Times New Roman"/>
                <w:sz w:val="20"/>
                <w:szCs w:val="20"/>
                <w:lang w:eastAsia="en-GB"/>
              </w:rPr>
            </w:pPr>
          </w:p>
        </w:tc>
        <w:tc>
          <w:tcPr>
            <w:tcW w:w="681" w:type="pct"/>
            <w:noWrap/>
            <w:hideMark/>
          </w:tcPr>
          <w:p w14:paraId="560B1B83" w14:textId="77777777" w:rsidR="003C7A2B" w:rsidRPr="00B07D65" w:rsidRDefault="003C7A2B" w:rsidP="00DA793E">
            <w:pPr>
              <w:rPr>
                <w:rFonts w:ascii="Times New Roman" w:hAnsi="Times New Roman" w:cs="Times New Roman"/>
                <w:sz w:val="20"/>
                <w:szCs w:val="20"/>
                <w:lang w:eastAsia="en-GB"/>
              </w:rPr>
            </w:pPr>
          </w:p>
        </w:tc>
        <w:tc>
          <w:tcPr>
            <w:tcW w:w="702" w:type="pct"/>
            <w:noWrap/>
            <w:hideMark/>
          </w:tcPr>
          <w:p w14:paraId="032B53F3" w14:textId="77777777" w:rsidR="003C7A2B" w:rsidRPr="00B07D65" w:rsidRDefault="003C7A2B" w:rsidP="00DA793E">
            <w:pPr>
              <w:rPr>
                <w:rFonts w:ascii="Times New Roman" w:hAnsi="Times New Roman" w:cs="Times New Roman"/>
                <w:sz w:val="20"/>
                <w:szCs w:val="20"/>
                <w:lang w:eastAsia="en-GB"/>
              </w:rPr>
            </w:pPr>
          </w:p>
        </w:tc>
        <w:tc>
          <w:tcPr>
            <w:tcW w:w="511" w:type="pct"/>
            <w:noWrap/>
            <w:hideMark/>
          </w:tcPr>
          <w:p w14:paraId="30403F36" w14:textId="77777777" w:rsidR="003C7A2B" w:rsidRPr="00B07D65" w:rsidRDefault="003C7A2B" w:rsidP="00DA793E">
            <w:pPr>
              <w:rPr>
                <w:rFonts w:ascii="Times New Roman" w:hAnsi="Times New Roman" w:cs="Times New Roman"/>
                <w:sz w:val="20"/>
                <w:szCs w:val="20"/>
                <w:lang w:eastAsia="en-GB"/>
              </w:rPr>
            </w:pPr>
          </w:p>
        </w:tc>
        <w:tc>
          <w:tcPr>
            <w:tcW w:w="543" w:type="pct"/>
            <w:noWrap/>
            <w:hideMark/>
          </w:tcPr>
          <w:p w14:paraId="2BC5BB5C" w14:textId="77777777" w:rsidR="003C7A2B" w:rsidRPr="00B07D65" w:rsidRDefault="003C7A2B" w:rsidP="00DA793E">
            <w:pPr>
              <w:rPr>
                <w:rFonts w:ascii="Times New Roman" w:hAnsi="Times New Roman" w:cs="Times New Roman"/>
                <w:sz w:val="20"/>
                <w:szCs w:val="20"/>
                <w:lang w:eastAsia="en-GB"/>
              </w:rPr>
            </w:pPr>
          </w:p>
        </w:tc>
        <w:tc>
          <w:tcPr>
            <w:tcW w:w="691" w:type="pct"/>
            <w:noWrap/>
            <w:hideMark/>
          </w:tcPr>
          <w:p w14:paraId="5BB18080" w14:textId="77777777" w:rsidR="003C7A2B" w:rsidRPr="00B07D65" w:rsidRDefault="003C7A2B" w:rsidP="00DA793E">
            <w:pPr>
              <w:rPr>
                <w:rFonts w:ascii="Times New Roman" w:hAnsi="Times New Roman" w:cs="Times New Roman"/>
                <w:sz w:val="20"/>
                <w:szCs w:val="20"/>
                <w:lang w:eastAsia="en-GB"/>
              </w:rPr>
            </w:pPr>
          </w:p>
        </w:tc>
      </w:tr>
      <w:tr w:rsidR="00A62B72" w14:paraId="0FF9D80C" w14:textId="77777777" w:rsidTr="00BB320B">
        <w:trPr>
          <w:trHeight w:val="288"/>
        </w:trPr>
        <w:tc>
          <w:tcPr>
            <w:tcW w:w="511" w:type="pct"/>
            <w:noWrap/>
            <w:hideMark/>
          </w:tcPr>
          <w:p w14:paraId="4508D264" w14:textId="77777777" w:rsidR="003C7A2B" w:rsidRPr="00B07D65" w:rsidRDefault="003C7A2B" w:rsidP="00DA793E">
            <w:pPr>
              <w:rPr>
                <w:rFonts w:ascii="Times New Roman" w:hAnsi="Times New Roman" w:cs="Times New Roman"/>
                <w:sz w:val="20"/>
                <w:szCs w:val="20"/>
                <w:lang w:eastAsia="en-GB"/>
              </w:rPr>
            </w:pPr>
          </w:p>
        </w:tc>
        <w:tc>
          <w:tcPr>
            <w:tcW w:w="511" w:type="pct"/>
            <w:noWrap/>
            <w:hideMark/>
          </w:tcPr>
          <w:p w14:paraId="7E7C2ED9" w14:textId="77777777" w:rsidR="003C7A2B" w:rsidRPr="00B07D65" w:rsidRDefault="003C7A2B" w:rsidP="00DA793E">
            <w:pPr>
              <w:rPr>
                <w:rFonts w:ascii="Times New Roman" w:hAnsi="Times New Roman" w:cs="Times New Roman"/>
                <w:sz w:val="20"/>
                <w:szCs w:val="20"/>
                <w:lang w:eastAsia="en-GB"/>
              </w:rPr>
            </w:pPr>
          </w:p>
        </w:tc>
        <w:tc>
          <w:tcPr>
            <w:tcW w:w="851" w:type="pct"/>
            <w:noWrap/>
            <w:hideMark/>
          </w:tcPr>
          <w:p w14:paraId="7D1E49F1" w14:textId="77777777" w:rsidR="003C7A2B" w:rsidRPr="00B07D65" w:rsidRDefault="003C7A2B" w:rsidP="00DA793E">
            <w:pPr>
              <w:rPr>
                <w:rFonts w:ascii="Times New Roman" w:hAnsi="Times New Roman" w:cs="Times New Roman"/>
                <w:sz w:val="20"/>
                <w:szCs w:val="20"/>
                <w:lang w:eastAsia="en-GB"/>
              </w:rPr>
            </w:pPr>
          </w:p>
        </w:tc>
        <w:tc>
          <w:tcPr>
            <w:tcW w:w="681" w:type="pct"/>
            <w:noWrap/>
            <w:hideMark/>
          </w:tcPr>
          <w:p w14:paraId="0E07A05C" w14:textId="77777777" w:rsidR="003C7A2B" w:rsidRPr="00B07D65" w:rsidRDefault="003C7A2B" w:rsidP="00DA793E">
            <w:pPr>
              <w:rPr>
                <w:rFonts w:ascii="Times New Roman" w:hAnsi="Times New Roman" w:cs="Times New Roman"/>
                <w:sz w:val="20"/>
                <w:szCs w:val="20"/>
                <w:lang w:eastAsia="en-GB"/>
              </w:rPr>
            </w:pPr>
          </w:p>
        </w:tc>
        <w:tc>
          <w:tcPr>
            <w:tcW w:w="702" w:type="pct"/>
            <w:noWrap/>
            <w:hideMark/>
          </w:tcPr>
          <w:p w14:paraId="559F9BFF" w14:textId="77777777" w:rsidR="003C7A2B" w:rsidRPr="00B07D65" w:rsidRDefault="003C7A2B" w:rsidP="00DA793E">
            <w:pPr>
              <w:rPr>
                <w:rFonts w:ascii="Times New Roman" w:hAnsi="Times New Roman" w:cs="Times New Roman"/>
                <w:sz w:val="20"/>
                <w:szCs w:val="20"/>
                <w:lang w:eastAsia="en-GB"/>
              </w:rPr>
            </w:pPr>
          </w:p>
        </w:tc>
        <w:tc>
          <w:tcPr>
            <w:tcW w:w="511" w:type="pct"/>
            <w:noWrap/>
            <w:hideMark/>
          </w:tcPr>
          <w:p w14:paraId="673076C7" w14:textId="77777777" w:rsidR="003C7A2B" w:rsidRPr="00B07D65" w:rsidRDefault="003C7A2B" w:rsidP="00DA793E">
            <w:pPr>
              <w:rPr>
                <w:rFonts w:ascii="Times New Roman" w:hAnsi="Times New Roman" w:cs="Times New Roman"/>
                <w:sz w:val="20"/>
                <w:szCs w:val="20"/>
                <w:lang w:eastAsia="en-GB"/>
              </w:rPr>
            </w:pPr>
          </w:p>
        </w:tc>
        <w:tc>
          <w:tcPr>
            <w:tcW w:w="543" w:type="pct"/>
            <w:noWrap/>
            <w:hideMark/>
          </w:tcPr>
          <w:p w14:paraId="494994C6" w14:textId="77777777" w:rsidR="003C7A2B" w:rsidRPr="00B07D65" w:rsidRDefault="003C7A2B" w:rsidP="00DA793E">
            <w:pPr>
              <w:rPr>
                <w:rFonts w:ascii="Times New Roman" w:hAnsi="Times New Roman" w:cs="Times New Roman"/>
                <w:sz w:val="20"/>
                <w:szCs w:val="20"/>
                <w:lang w:eastAsia="en-GB"/>
              </w:rPr>
            </w:pPr>
          </w:p>
        </w:tc>
        <w:tc>
          <w:tcPr>
            <w:tcW w:w="691" w:type="pct"/>
            <w:noWrap/>
            <w:hideMark/>
          </w:tcPr>
          <w:p w14:paraId="26DD39A9" w14:textId="77777777" w:rsidR="003C7A2B" w:rsidRPr="00B07D65" w:rsidRDefault="003C7A2B" w:rsidP="00DA793E">
            <w:pPr>
              <w:rPr>
                <w:rFonts w:ascii="Times New Roman" w:hAnsi="Times New Roman" w:cs="Times New Roman"/>
                <w:sz w:val="20"/>
                <w:szCs w:val="20"/>
                <w:lang w:eastAsia="en-GB"/>
              </w:rPr>
            </w:pPr>
          </w:p>
        </w:tc>
      </w:tr>
      <w:tr w:rsidR="00A62B72" w14:paraId="09598B7A" w14:textId="77777777" w:rsidTr="00BB320B">
        <w:trPr>
          <w:trHeight w:val="288"/>
        </w:trPr>
        <w:tc>
          <w:tcPr>
            <w:tcW w:w="511" w:type="pct"/>
            <w:noWrap/>
            <w:hideMark/>
          </w:tcPr>
          <w:p w14:paraId="7EE1FB0E" w14:textId="77777777" w:rsidR="003C7A2B" w:rsidRPr="00B07D65" w:rsidRDefault="009311C5" w:rsidP="00DA793E">
            <w:pPr>
              <w:rPr>
                <w:sz w:val="20"/>
                <w:szCs w:val="20"/>
                <w:lang w:eastAsia="en-GB"/>
              </w:rPr>
            </w:pPr>
            <w:r w:rsidRPr="00B07D65">
              <w:rPr>
                <w:sz w:val="20"/>
                <w:szCs w:val="20"/>
                <w:lang w:eastAsia="en-GB"/>
              </w:rPr>
              <w:t>IRR</w:t>
            </w:r>
          </w:p>
        </w:tc>
        <w:tc>
          <w:tcPr>
            <w:tcW w:w="511" w:type="pct"/>
            <w:noWrap/>
            <w:hideMark/>
          </w:tcPr>
          <w:p w14:paraId="3E6938DA" w14:textId="77777777" w:rsidR="003C7A2B" w:rsidRPr="00B07D65" w:rsidRDefault="009311C5" w:rsidP="00DA793E">
            <w:pPr>
              <w:rPr>
                <w:sz w:val="20"/>
                <w:szCs w:val="20"/>
                <w:lang w:eastAsia="en-GB"/>
              </w:rPr>
            </w:pPr>
            <w:r w:rsidRPr="00B07D65">
              <w:rPr>
                <w:sz w:val="20"/>
                <w:szCs w:val="20"/>
                <w:lang w:eastAsia="en-GB"/>
              </w:rPr>
              <w:t>28%</w:t>
            </w:r>
          </w:p>
        </w:tc>
        <w:tc>
          <w:tcPr>
            <w:tcW w:w="851" w:type="pct"/>
            <w:noWrap/>
            <w:hideMark/>
          </w:tcPr>
          <w:p w14:paraId="65B6EB45" w14:textId="77777777" w:rsidR="003C7A2B" w:rsidRPr="00B07D65" w:rsidRDefault="003C7A2B" w:rsidP="00DA793E">
            <w:pPr>
              <w:rPr>
                <w:sz w:val="20"/>
                <w:szCs w:val="20"/>
                <w:lang w:eastAsia="en-GB"/>
              </w:rPr>
            </w:pPr>
          </w:p>
        </w:tc>
        <w:tc>
          <w:tcPr>
            <w:tcW w:w="681" w:type="pct"/>
            <w:noWrap/>
            <w:hideMark/>
          </w:tcPr>
          <w:p w14:paraId="356C9B5F" w14:textId="77777777" w:rsidR="003C7A2B" w:rsidRPr="00B07D65" w:rsidRDefault="003C7A2B" w:rsidP="00DA793E">
            <w:pPr>
              <w:rPr>
                <w:rFonts w:ascii="Times New Roman" w:hAnsi="Times New Roman" w:cs="Times New Roman"/>
                <w:sz w:val="20"/>
                <w:szCs w:val="20"/>
                <w:lang w:eastAsia="en-GB"/>
              </w:rPr>
            </w:pPr>
          </w:p>
        </w:tc>
        <w:tc>
          <w:tcPr>
            <w:tcW w:w="702" w:type="pct"/>
            <w:noWrap/>
            <w:hideMark/>
          </w:tcPr>
          <w:p w14:paraId="2291552B" w14:textId="77777777" w:rsidR="003C7A2B" w:rsidRPr="00B07D65" w:rsidRDefault="003C7A2B" w:rsidP="00DA793E">
            <w:pPr>
              <w:rPr>
                <w:rFonts w:ascii="Times New Roman" w:hAnsi="Times New Roman" w:cs="Times New Roman"/>
                <w:sz w:val="20"/>
                <w:szCs w:val="20"/>
                <w:lang w:eastAsia="en-GB"/>
              </w:rPr>
            </w:pPr>
          </w:p>
        </w:tc>
        <w:tc>
          <w:tcPr>
            <w:tcW w:w="511" w:type="pct"/>
            <w:noWrap/>
            <w:hideMark/>
          </w:tcPr>
          <w:p w14:paraId="3C7D1B4D" w14:textId="77777777" w:rsidR="003C7A2B" w:rsidRPr="00B07D65" w:rsidRDefault="003C7A2B" w:rsidP="00DA793E">
            <w:pPr>
              <w:rPr>
                <w:rFonts w:ascii="Times New Roman" w:hAnsi="Times New Roman" w:cs="Times New Roman"/>
                <w:sz w:val="20"/>
                <w:szCs w:val="20"/>
                <w:lang w:eastAsia="en-GB"/>
              </w:rPr>
            </w:pPr>
          </w:p>
        </w:tc>
        <w:tc>
          <w:tcPr>
            <w:tcW w:w="543" w:type="pct"/>
            <w:noWrap/>
            <w:hideMark/>
          </w:tcPr>
          <w:p w14:paraId="268D3A28" w14:textId="77777777" w:rsidR="003C7A2B" w:rsidRPr="00B07D65" w:rsidRDefault="009311C5" w:rsidP="00DA793E">
            <w:pPr>
              <w:rPr>
                <w:sz w:val="20"/>
                <w:szCs w:val="20"/>
                <w:lang w:eastAsia="en-GB"/>
              </w:rPr>
            </w:pPr>
            <w:r w:rsidRPr="00B07D65">
              <w:rPr>
                <w:sz w:val="20"/>
                <w:szCs w:val="20"/>
                <w:lang w:eastAsia="en-GB"/>
              </w:rPr>
              <w:t xml:space="preserve">NPV </w:t>
            </w:r>
          </w:p>
        </w:tc>
        <w:tc>
          <w:tcPr>
            <w:tcW w:w="691" w:type="pct"/>
            <w:hideMark/>
          </w:tcPr>
          <w:p w14:paraId="12FCDA90" w14:textId="77777777" w:rsidR="003C7A2B" w:rsidRPr="00B07D65" w:rsidRDefault="009311C5" w:rsidP="00DA793E">
            <w:pPr>
              <w:rPr>
                <w:sz w:val="20"/>
                <w:szCs w:val="20"/>
                <w:lang w:eastAsia="en-GB"/>
              </w:rPr>
            </w:pPr>
            <w:r w:rsidRPr="00B07D65">
              <w:rPr>
                <w:sz w:val="20"/>
                <w:szCs w:val="20"/>
                <w:lang w:eastAsia="en-GB"/>
              </w:rPr>
              <w:t>394.65</w:t>
            </w:r>
          </w:p>
        </w:tc>
      </w:tr>
    </w:tbl>
    <w:p w14:paraId="4B486D89" w14:textId="77777777" w:rsidR="003C7A2B" w:rsidRPr="00CA7559" w:rsidRDefault="009311C5" w:rsidP="00DA793E">
      <w:pPr>
        <w:spacing w:after="0" w:line="259" w:lineRule="auto"/>
        <w:jc w:val="left"/>
        <w:rPr>
          <w:b/>
          <w:bCs/>
          <w:i/>
          <w:iCs/>
        </w:rPr>
      </w:pPr>
      <w:r w:rsidRPr="00CA7559">
        <w:rPr>
          <w:b/>
          <w:bCs/>
          <w:i/>
          <w:iCs/>
        </w:rPr>
        <w:t xml:space="preserve">Option B </w:t>
      </w:r>
    </w:p>
    <w:tbl>
      <w:tblPr>
        <w:tblStyle w:val="TableGrid"/>
        <w:tblW w:w="5000" w:type="pct"/>
        <w:tblLook w:val="04A0" w:firstRow="1" w:lastRow="0" w:firstColumn="1" w:lastColumn="0" w:noHBand="0" w:noVBand="1"/>
      </w:tblPr>
      <w:tblGrid>
        <w:gridCol w:w="1066"/>
        <w:gridCol w:w="1066"/>
        <w:gridCol w:w="1395"/>
        <w:gridCol w:w="1098"/>
        <w:gridCol w:w="974"/>
        <w:gridCol w:w="1066"/>
        <w:gridCol w:w="1621"/>
        <w:gridCol w:w="1064"/>
      </w:tblGrid>
      <w:tr w:rsidR="00A62B72" w14:paraId="64058CCE" w14:textId="77777777" w:rsidTr="00BB320B">
        <w:trPr>
          <w:trHeight w:val="576"/>
        </w:trPr>
        <w:tc>
          <w:tcPr>
            <w:tcW w:w="570" w:type="pct"/>
            <w:noWrap/>
            <w:hideMark/>
          </w:tcPr>
          <w:p w14:paraId="349EECAC" w14:textId="77777777" w:rsidR="003C7A2B" w:rsidRPr="00B07D65" w:rsidRDefault="009311C5" w:rsidP="00DA793E">
            <w:pPr>
              <w:rPr>
                <w:b/>
                <w:bCs/>
                <w:sz w:val="20"/>
                <w:szCs w:val="20"/>
                <w:lang w:eastAsia="en-GB"/>
              </w:rPr>
            </w:pPr>
            <w:r w:rsidRPr="00B07D65">
              <w:rPr>
                <w:b/>
                <w:bCs/>
                <w:sz w:val="20"/>
                <w:szCs w:val="20"/>
                <w:lang w:eastAsia="en-GB"/>
              </w:rPr>
              <w:t xml:space="preserve">Year </w:t>
            </w:r>
          </w:p>
        </w:tc>
        <w:tc>
          <w:tcPr>
            <w:tcW w:w="570" w:type="pct"/>
            <w:hideMark/>
          </w:tcPr>
          <w:p w14:paraId="4FEA5C66" w14:textId="77777777" w:rsidR="003C7A2B" w:rsidRPr="00B07D65" w:rsidRDefault="009311C5" w:rsidP="00DA793E">
            <w:pPr>
              <w:rPr>
                <w:b/>
                <w:bCs/>
                <w:sz w:val="20"/>
                <w:szCs w:val="20"/>
                <w:lang w:eastAsia="en-GB"/>
              </w:rPr>
            </w:pPr>
            <w:r w:rsidRPr="00B07D65">
              <w:rPr>
                <w:b/>
                <w:bCs/>
                <w:sz w:val="20"/>
                <w:szCs w:val="20"/>
                <w:lang w:eastAsia="en-GB"/>
              </w:rPr>
              <w:t>Cash Inflow</w:t>
            </w:r>
          </w:p>
        </w:tc>
        <w:tc>
          <w:tcPr>
            <w:tcW w:w="746" w:type="pct"/>
            <w:hideMark/>
          </w:tcPr>
          <w:p w14:paraId="6CE78DB1" w14:textId="77777777" w:rsidR="003C7A2B" w:rsidRPr="00B07D65" w:rsidRDefault="009311C5" w:rsidP="00DA793E">
            <w:pPr>
              <w:rPr>
                <w:b/>
                <w:bCs/>
                <w:sz w:val="20"/>
                <w:szCs w:val="20"/>
                <w:lang w:eastAsia="en-GB"/>
              </w:rPr>
            </w:pPr>
            <w:r w:rsidRPr="00B07D65">
              <w:rPr>
                <w:b/>
                <w:bCs/>
                <w:sz w:val="20"/>
                <w:szCs w:val="20"/>
                <w:lang w:eastAsia="en-GB"/>
              </w:rPr>
              <w:t xml:space="preserve">Capital Allowance </w:t>
            </w:r>
          </w:p>
        </w:tc>
        <w:tc>
          <w:tcPr>
            <w:tcW w:w="587" w:type="pct"/>
            <w:hideMark/>
          </w:tcPr>
          <w:p w14:paraId="0A33BAF0" w14:textId="77777777" w:rsidR="003C7A2B" w:rsidRPr="00B07D65" w:rsidRDefault="009311C5" w:rsidP="00DA793E">
            <w:pPr>
              <w:rPr>
                <w:b/>
                <w:bCs/>
                <w:sz w:val="20"/>
                <w:szCs w:val="20"/>
                <w:lang w:eastAsia="en-GB"/>
              </w:rPr>
            </w:pPr>
            <w:r w:rsidRPr="00B07D65">
              <w:rPr>
                <w:b/>
                <w:bCs/>
                <w:sz w:val="20"/>
                <w:szCs w:val="20"/>
                <w:lang w:eastAsia="en-GB"/>
              </w:rPr>
              <w:t xml:space="preserve">Taxable Profit </w:t>
            </w:r>
          </w:p>
        </w:tc>
        <w:tc>
          <w:tcPr>
            <w:tcW w:w="521" w:type="pct"/>
            <w:hideMark/>
          </w:tcPr>
          <w:p w14:paraId="7D973192" w14:textId="77777777" w:rsidR="003C7A2B" w:rsidRPr="00B07D65" w:rsidRDefault="009311C5" w:rsidP="00DA793E">
            <w:pPr>
              <w:rPr>
                <w:b/>
                <w:bCs/>
                <w:sz w:val="20"/>
                <w:szCs w:val="20"/>
                <w:lang w:eastAsia="en-GB"/>
              </w:rPr>
            </w:pPr>
            <w:r w:rsidRPr="00B07D65">
              <w:rPr>
                <w:b/>
                <w:bCs/>
                <w:sz w:val="20"/>
                <w:szCs w:val="20"/>
                <w:lang w:eastAsia="en-GB"/>
              </w:rPr>
              <w:t>Tax @25%</w:t>
            </w:r>
          </w:p>
        </w:tc>
        <w:tc>
          <w:tcPr>
            <w:tcW w:w="570" w:type="pct"/>
            <w:hideMark/>
          </w:tcPr>
          <w:p w14:paraId="2C55AA92" w14:textId="77777777" w:rsidR="003C7A2B" w:rsidRPr="00B07D65" w:rsidRDefault="009311C5" w:rsidP="00DA793E">
            <w:pPr>
              <w:rPr>
                <w:b/>
                <w:bCs/>
                <w:sz w:val="20"/>
                <w:szCs w:val="20"/>
                <w:lang w:eastAsia="en-GB"/>
              </w:rPr>
            </w:pPr>
            <w:r w:rsidRPr="00B07D65">
              <w:rPr>
                <w:b/>
                <w:bCs/>
                <w:sz w:val="20"/>
                <w:szCs w:val="20"/>
                <w:lang w:eastAsia="en-GB"/>
              </w:rPr>
              <w:t xml:space="preserve">Net Cash Flow </w:t>
            </w:r>
          </w:p>
        </w:tc>
        <w:tc>
          <w:tcPr>
            <w:tcW w:w="867" w:type="pct"/>
            <w:hideMark/>
          </w:tcPr>
          <w:p w14:paraId="6D7D78AE" w14:textId="77777777" w:rsidR="003C7A2B" w:rsidRPr="00B07D65" w:rsidRDefault="009311C5" w:rsidP="00DA793E">
            <w:pPr>
              <w:rPr>
                <w:b/>
                <w:bCs/>
                <w:sz w:val="20"/>
                <w:szCs w:val="20"/>
                <w:lang w:eastAsia="en-GB"/>
              </w:rPr>
            </w:pPr>
            <w:r w:rsidRPr="00B07D65">
              <w:rPr>
                <w:b/>
                <w:bCs/>
                <w:sz w:val="20"/>
                <w:szCs w:val="20"/>
                <w:lang w:eastAsia="en-GB"/>
              </w:rPr>
              <w:t xml:space="preserve">Discounting Factors </w:t>
            </w:r>
          </w:p>
        </w:tc>
        <w:tc>
          <w:tcPr>
            <w:tcW w:w="570" w:type="pct"/>
            <w:hideMark/>
          </w:tcPr>
          <w:p w14:paraId="018B9CA8" w14:textId="77777777" w:rsidR="003C7A2B" w:rsidRPr="00B07D65" w:rsidRDefault="009311C5" w:rsidP="00DA793E">
            <w:pPr>
              <w:rPr>
                <w:b/>
                <w:bCs/>
                <w:sz w:val="20"/>
                <w:szCs w:val="20"/>
                <w:lang w:eastAsia="en-GB"/>
              </w:rPr>
            </w:pPr>
            <w:r w:rsidRPr="00B07D65">
              <w:rPr>
                <w:b/>
                <w:bCs/>
                <w:sz w:val="20"/>
                <w:szCs w:val="20"/>
                <w:lang w:eastAsia="en-GB"/>
              </w:rPr>
              <w:t xml:space="preserve">Present Value </w:t>
            </w:r>
          </w:p>
        </w:tc>
      </w:tr>
      <w:tr w:rsidR="00A62B72" w14:paraId="19278B2A" w14:textId="77777777" w:rsidTr="00BB320B">
        <w:trPr>
          <w:trHeight w:val="288"/>
        </w:trPr>
        <w:tc>
          <w:tcPr>
            <w:tcW w:w="570" w:type="pct"/>
            <w:noWrap/>
            <w:hideMark/>
          </w:tcPr>
          <w:p w14:paraId="43F7A862" w14:textId="77777777" w:rsidR="003C7A2B" w:rsidRPr="00B07D65" w:rsidRDefault="009311C5" w:rsidP="00DA793E">
            <w:pPr>
              <w:rPr>
                <w:sz w:val="20"/>
                <w:szCs w:val="20"/>
                <w:lang w:eastAsia="en-GB"/>
              </w:rPr>
            </w:pPr>
            <w:r w:rsidRPr="00B07D65">
              <w:rPr>
                <w:sz w:val="20"/>
                <w:szCs w:val="20"/>
                <w:lang w:eastAsia="en-GB"/>
              </w:rPr>
              <w:t>0</w:t>
            </w:r>
          </w:p>
        </w:tc>
        <w:tc>
          <w:tcPr>
            <w:tcW w:w="570" w:type="pct"/>
            <w:hideMark/>
          </w:tcPr>
          <w:p w14:paraId="0F038BF9" w14:textId="77777777" w:rsidR="003C7A2B" w:rsidRPr="00B07D65" w:rsidRDefault="009311C5" w:rsidP="00DA793E">
            <w:pPr>
              <w:rPr>
                <w:sz w:val="20"/>
                <w:szCs w:val="20"/>
                <w:lang w:eastAsia="en-GB"/>
              </w:rPr>
            </w:pPr>
            <w:r w:rsidRPr="00B07D65">
              <w:rPr>
                <w:sz w:val="20"/>
                <w:szCs w:val="20"/>
                <w:lang w:eastAsia="en-GB"/>
              </w:rPr>
              <w:t>-1000</w:t>
            </w:r>
          </w:p>
        </w:tc>
        <w:tc>
          <w:tcPr>
            <w:tcW w:w="746" w:type="pct"/>
            <w:noWrap/>
            <w:hideMark/>
          </w:tcPr>
          <w:p w14:paraId="161D972B" w14:textId="77777777" w:rsidR="003C7A2B" w:rsidRPr="00B07D65" w:rsidRDefault="003C7A2B" w:rsidP="00DA793E">
            <w:pPr>
              <w:rPr>
                <w:sz w:val="20"/>
                <w:szCs w:val="20"/>
                <w:lang w:eastAsia="en-GB"/>
              </w:rPr>
            </w:pPr>
          </w:p>
        </w:tc>
        <w:tc>
          <w:tcPr>
            <w:tcW w:w="587" w:type="pct"/>
            <w:noWrap/>
            <w:hideMark/>
          </w:tcPr>
          <w:p w14:paraId="083CF995" w14:textId="77777777" w:rsidR="003C7A2B" w:rsidRPr="00B07D65" w:rsidRDefault="003C7A2B" w:rsidP="00DA793E">
            <w:pPr>
              <w:rPr>
                <w:rFonts w:ascii="Times New Roman" w:hAnsi="Times New Roman" w:cs="Times New Roman"/>
                <w:sz w:val="20"/>
                <w:szCs w:val="20"/>
                <w:lang w:eastAsia="en-GB"/>
              </w:rPr>
            </w:pPr>
          </w:p>
        </w:tc>
        <w:tc>
          <w:tcPr>
            <w:tcW w:w="521" w:type="pct"/>
            <w:noWrap/>
            <w:hideMark/>
          </w:tcPr>
          <w:p w14:paraId="263F7C02" w14:textId="77777777" w:rsidR="003C7A2B" w:rsidRPr="00B07D65" w:rsidRDefault="003C7A2B" w:rsidP="00DA793E">
            <w:pPr>
              <w:rPr>
                <w:rFonts w:ascii="Times New Roman" w:hAnsi="Times New Roman" w:cs="Times New Roman"/>
                <w:sz w:val="20"/>
                <w:szCs w:val="20"/>
                <w:lang w:eastAsia="en-GB"/>
              </w:rPr>
            </w:pPr>
          </w:p>
        </w:tc>
        <w:tc>
          <w:tcPr>
            <w:tcW w:w="570" w:type="pct"/>
            <w:noWrap/>
            <w:hideMark/>
          </w:tcPr>
          <w:p w14:paraId="6C851903" w14:textId="77777777" w:rsidR="003C7A2B" w:rsidRPr="00B07D65" w:rsidRDefault="009311C5" w:rsidP="00DA793E">
            <w:pPr>
              <w:rPr>
                <w:sz w:val="20"/>
                <w:szCs w:val="20"/>
                <w:lang w:eastAsia="en-GB"/>
              </w:rPr>
            </w:pPr>
            <w:r w:rsidRPr="00B07D65">
              <w:rPr>
                <w:sz w:val="20"/>
                <w:szCs w:val="20"/>
                <w:lang w:eastAsia="en-GB"/>
              </w:rPr>
              <w:t>-1000</w:t>
            </w:r>
          </w:p>
        </w:tc>
        <w:tc>
          <w:tcPr>
            <w:tcW w:w="867" w:type="pct"/>
            <w:hideMark/>
          </w:tcPr>
          <w:p w14:paraId="491D8273" w14:textId="77777777" w:rsidR="003C7A2B" w:rsidRPr="00B07D65" w:rsidRDefault="009311C5" w:rsidP="00DA793E">
            <w:pPr>
              <w:rPr>
                <w:sz w:val="20"/>
                <w:szCs w:val="20"/>
                <w:lang w:eastAsia="en-GB"/>
              </w:rPr>
            </w:pPr>
            <w:r w:rsidRPr="00B07D65">
              <w:rPr>
                <w:sz w:val="20"/>
                <w:szCs w:val="20"/>
                <w:lang w:eastAsia="en-GB"/>
              </w:rPr>
              <w:t>1</w:t>
            </w:r>
          </w:p>
        </w:tc>
        <w:tc>
          <w:tcPr>
            <w:tcW w:w="570" w:type="pct"/>
            <w:noWrap/>
            <w:hideMark/>
          </w:tcPr>
          <w:p w14:paraId="0C224115" w14:textId="77777777" w:rsidR="003C7A2B" w:rsidRPr="00B07D65" w:rsidRDefault="009311C5" w:rsidP="00DA793E">
            <w:pPr>
              <w:rPr>
                <w:sz w:val="20"/>
                <w:szCs w:val="20"/>
                <w:lang w:eastAsia="en-GB"/>
              </w:rPr>
            </w:pPr>
            <w:r w:rsidRPr="00B07D65">
              <w:rPr>
                <w:sz w:val="20"/>
                <w:szCs w:val="20"/>
                <w:lang w:eastAsia="en-GB"/>
              </w:rPr>
              <w:t>-1000</w:t>
            </w:r>
          </w:p>
        </w:tc>
      </w:tr>
      <w:tr w:rsidR="00A62B72" w14:paraId="6B2F7973" w14:textId="77777777" w:rsidTr="00BB320B">
        <w:trPr>
          <w:trHeight w:val="288"/>
        </w:trPr>
        <w:tc>
          <w:tcPr>
            <w:tcW w:w="570" w:type="pct"/>
            <w:noWrap/>
            <w:hideMark/>
          </w:tcPr>
          <w:p w14:paraId="1D127724" w14:textId="77777777" w:rsidR="003C7A2B" w:rsidRPr="00B07D65" w:rsidRDefault="009311C5" w:rsidP="00DA793E">
            <w:pPr>
              <w:rPr>
                <w:sz w:val="20"/>
                <w:szCs w:val="20"/>
                <w:lang w:eastAsia="en-GB"/>
              </w:rPr>
            </w:pPr>
            <w:r w:rsidRPr="00B07D65">
              <w:rPr>
                <w:sz w:val="20"/>
                <w:szCs w:val="20"/>
                <w:lang w:eastAsia="en-GB"/>
              </w:rPr>
              <w:t>1</w:t>
            </w:r>
          </w:p>
        </w:tc>
        <w:tc>
          <w:tcPr>
            <w:tcW w:w="570" w:type="pct"/>
            <w:hideMark/>
          </w:tcPr>
          <w:p w14:paraId="68717259" w14:textId="77777777" w:rsidR="003C7A2B" w:rsidRPr="00B07D65" w:rsidRDefault="009311C5" w:rsidP="00DA793E">
            <w:pPr>
              <w:rPr>
                <w:sz w:val="20"/>
                <w:szCs w:val="20"/>
                <w:lang w:eastAsia="en-GB"/>
              </w:rPr>
            </w:pPr>
            <w:r w:rsidRPr="00B07D65">
              <w:rPr>
                <w:sz w:val="20"/>
                <w:szCs w:val="20"/>
                <w:lang w:eastAsia="en-GB"/>
              </w:rPr>
              <w:t>400</w:t>
            </w:r>
          </w:p>
        </w:tc>
        <w:tc>
          <w:tcPr>
            <w:tcW w:w="746" w:type="pct"/>
            <w:noWrap/>
            <w:hideMark/>
          </w:tcPr>
          <w:p w14:paraId="633CAB1A" w14:textId="77777777" w:rsidR="003C7A2B" w:rsidRPr="00B07D65" w:rsidRDefault="009311C5" w:rsidP="00DA793E">
            <w:pPr>
              <w:rPr>
                <w:sz w:val="20"/>
                <w:szCs w:val="20"/>
                <w:lang w:eastAsia="en-GB"/>
              </w:rPr>
            </w:pPr>
            <w:r w:rsidRPr="00B07D65">
              <w:rPr>
                <w:sz w:val="20"/>
                <w:szCs w:val="20"/>
                <w:lang w:eastAsia="en-GB"/>
              </w:rPr>
              <w:t>200</w:t>
            </w:r>
          </w:p>
        </w:tc>
        <w:tc>
          <w:tcPr>
            <w:tcW w:w="587" w:type="pct"/>
            <w:noWrap/>
            <w:hideMark/>
          </w:tcPr>
          <w:p w14:paraId="297CFE6E" w14:textId="77777777" w:rsidR="003C7A2B" w:rsidRPr="00B07D65" w:rsidRDefault="009311C5" w:rsidP="00DA793E">
            <w:pPr>
              <w:rPr>
                <w:sz w:val="20"/>
                <w:szCs w:val="20"/>
                <w:lang w:eastAsia="en-GB"/>
              </w:rPr>
            </w:pPr>
            <w:r w:rsidRPr="00B07D65">
              <w:rPr>
                <w:sz w:val="20"/>
                <w:szCs w:val="20"/>
                <w:lang w:eastAsia="en-GB"/>
              </w:rPr>
              <w:t>200</w:t>
            </w:r>
          </w:p>
        </w:tc>
        <w:tc>
          <w:tcPr>
            <w:tcW w:w="521" w:type="pct"/>
            <w:noWrap/>
            <w:hideMark/>
          </w:tcPr>
          <w:p w14:paraId="3B3990B6" w14:textId="77777777" w:rsidR="003C7A2B" w:rsidRPr="00B07D65" w:rsidRDefault="009311C5" w:rsidP="00DA793E">
            <w:pPr>
              <w:rPr>
                <w:sz w:val="20"/>
                <w:szCs w:val="20"/>
                <w:lang w:eastAsia="en-GB"/>
              </w:rPr>
            </w:pPr>
            <w:r w:rsidRPr="00B07D65">
              <w:rPr>
                <w:sz w:val="20"/>
                <w:szCs w:val="20"/>
                <w:lang w:eastAsia="en-GB"/>
              </w:rPr>
              <w:t>50</w:t>
            </w:r>
          </w:p>
        </w:tc>
        <w:tc>
          <w:tcPr>
            <w:tcW w:w="570" w:type="pct"/>
            <w:noWrap/>
            <w:hideMark/>
          </w:tcPr>
          <w:p w14:paraId="2A716C49" w14:textId="77777777" w:rsidR="003C7A2B" w:rsidRPr="00B07D65" w:rsidRDefault="009311C5" w:rsidP="00DA793E">
            <w:pPr>
              <w:rPr>
                <w:sz w:val="20"/>
                <w:szCs w:val="20"/>
                <w:lang w:eastAsia="en-GB"/>
              </w:rPr>
            </w:pPr>
            <w:r w:rsidRPr="00B07D65">
              <w:rPr>
                <w:sz w:val="20"/>
                <w:szCs w:val="20"/>
                <w:lang w:eastAsia="en-GB"/>
              </w:rPr>
              <w:t>350</w:t>
            </w:r>
          </w:p>
        </w:tc>
        <w:tc>
          <w:tcPr>
            <w:tcW w:w="867" w:type="pct"/>
            <w:hideMark/>
          </w:tcPr>
          <w:p w14:paraId="5C540203" w14:textId="77777777" w:rsidR="003C7A2B" w:rsidRPr="00B07D65" w:rsidRDefault="009311C5" w:rsidP="00DA793E">
            <w:pPr>
              <w:rPr>
                <w:sz w:val="20"/>
                <w:szCs w:val="20"/>
                <w:lang w:eastAsia="en-GB"/>
              </w:rPr>
            </w:pPr>
            <w:r w:rsidRPr="00B07D65">
              <w:rPr>
                <w:sz w:val="20"/>
                <w:szCs w:val="20"/>
                <w:lang w:eastAsia="en-GB"/>
              </w:rPr>
              <w:t>0.943</w:t>
            </w:r>
          </w:p>
        </w:tc>
        <w:tc>
          <w:tcPr>
            <w:tcW w:w="570" w:type="pct"/>
            <w:noWrap/>
            <w:hideMark/>
          </w:tcPr>
          <w:p w14:paraId="1DDE1099" w14:textId="77777777" w:rsidR="003C7A2B" w:rsidRPr="00B07D65" w:rsidRDefault="009311C5" w:rsidP="00DA793E">
            <w:pPr>
              <w:rPr>
                <w:sz w:val="20"/>
                <w:szCs w:val="20"/>
                <w:lang w:eastAsia="en-GB"/>
              </w:rPr>
            </w:pPr>
            <w:r w:rsidRPr="00B07D65">
              <w:rPr>
                <w:sz w:val="20"/>
                <w:szCs w:val="20"/>
                <w:lang w:eastAsia="en-GB"/>
              </w:rPr>
              <w:t>377.2</w:t>
            </w:r>
          </w:p>
        </w:tc>
      </w:tr>
      <w:tr w:rsidR="00A62B72" w14:paraId="73974017" w14:textId="77777777" w:rsidTr="00BB320B">
        <w:trPr>
          <w:trHeight w:val="288"/>
        </w:trPr>
        <w:tc>
          <w:tcPr>
            <w:tcW w:w="570" w:type="pct"/>
            <w:noWrap/>
            <w:hideMark/>
          </w:tcPr>
          <w:p w14:paraId="17530FA4" w14:textId="77777777" w:rsidR="003C7A2B" w:rsidRPr="00B07D65" w:rsidRDefault="009311C5" w:rsidP="00DA793E">
            <w:pPr>
              <w:rPr>
                <w:sz w:val="20"/>
                <w:szCs w:val="20"/>
                <w:lang w:eastAsia="en-GB"/>
              </w:rPr>
            </w:pPr>
            <w:r w:rsidRPr="00B07D65">
              <w:rPr>
                <w:sz w:val="20"/>
                <w:szCs w:val="20"/>
                <w:lang w:eastAsia="en-GB"/>
              </w:rPr>
              <w:t>2</w:t>
            </w:r>
          </w:p>
        </w:tc>
        <w:tc>
          <w:tcPr>
            <w:tcW w:w="570" w:type="pct"/>
            <w:hideMark/>
          </w:tcPr>
          <w:p w14:paraId="688BB88E" w14:textId="77777777" w:rsidR="003C7A2B" w:rsidRPr="00B07D65" w:rsidRDefault="009311C5" w:rsidP="00DA793E">
            <w:pPr>
              <w:rPr>
                <w:sz w:val="20"/>
                <w:szCs w:val="20"/>
                <w:lang w:eastAsia="en-GB"/>
              </w:rPr>
            </w:pPr>
            <w:r w:rsidRPr="00B07D65">
              <w:rPr>
                <w:sz w:val="20"/>
                <w:szCs w:val="20"/>
                <w:lang w:eastAsia="en-GB"/>
              </w:rPr>
              <w:t>450</w:t>
            </w:r>
          </w:p>
        </w:tc>
        <w:tc>
          <w:tcPr>
            <w:tcW w:w="746" w:type="pct"/>
            <w:noWrap/>
            <w:hideMark/>
          </w:tcPr>
          <w:p w14:paraId="5333FF58" w14:textId="77777777" w:rsidR="003C7A2B" w:rsidRPr="00B07D65" w:rsidRDefault="009311C5" w:rsidP="00DA793E">
            <w:pPr>
              <w:rPr>
                <w:sz w:val="20"/>
                <w:szCs w:val="20"/>
                <w:lang w:eastAsia="en-GB"/>
              </w:rPr>
            </w:pPr>
            <w:r w:rsidRPr="00B07D65">
              <w:rPr>
                <w:sz w:val="20"/>
                <w:szCs w:val="20"/>
                <w:lang w:eastAsia="en-GB"/>
              </w:rPr>
              <w:t>200</w:t>
            </w:r>
          </w:p>
        </w:tc>
        <w:tc>
          <w:tcPr>
            <w:tcW w:w="587" w:type="pct"/>
            <w:noWrap/>
            <w:hideMark/>
          </w:tcPr>
          <w:p w14:paraId="0CD7B20E" w14:textId="77777777" w:rsidR="003C7A2B" w:rsidRPr="00B07D65" w:rsidRDefault="009311C5" w:rsidP="00DA793E">
            <w:pPr>
              <w:rPr>
                <w:sz w:val="20"/>
                <w:szCs w:val="20"/>
                <w:lang w:eastAsia="en-GB"/>
              </w:rPr>
            </w:pPr>
            <w:r w:rsidRPr="00B07D65">
              <w:rPr>
                <w:sz w:val="20"/>
                <w:szCs w:val="20"/>
                <w:lang w:eastAsia="en-GB"/>
              </w:rPr>
              <w:t>250</w:t>
            </w:r>
          </w:p>
        </w:tc>
        <w:tc>
          <w:tcPr>
            <w:tcW w:w="521" w:type="pct"/>
            <w:noWrap/>
            <w:hideMark/>
          </w:tcPr>
          <w:p w14:paraId="49D689D1" w14:textId="77777777" w:rsidR="003C7A2B" w:rsidRPr="00B07D65" w:rsidRDefault="009311C5" w:rsidP="00DA793E">
            <w:pPr>
              <w:rPr>
                <w:sz w:val="20"/>
                <w:szCs w:val="20"/>
                <w:lang w:eastAsia="en-GB"/>
              </w:rPr>
            </w:pPr>
            <w:r w:rsidRPr="00B07D65">
              <w:rPr>
                <w:sz w:val="20"/>
                <w:szCs w:val="20"/>
                <w:lang w:eastAsia="en-GB"/>
              </w:rPr>
              <w:t>62.5</w:t>
            </w:r>
          </w:p>
        </w:tc>
        <w:tc>
          <w:tcPr>
            <w:tcW w:w="570" w:type="pct"/>
            <w:noWrap/>
            <w:hideMark/>
          </w:tcPr>
          <w:p w14:paraId="467202BF" w14:textId="77777777" w:rsidR="003C7A2B" w:rsidRPr="00B07D65" w:rsidRDefault="009311C5" w:rsidP="00DA793E">
            <w:pPr>
              <w:rPr>
                <w:sz w:val="20"/>
                <w:szCs w:val="20"/>
                <w:lang w:eastAsia="en-GB"/>
              </w:rPr>
            </w:pPr>
            <w:r w:rsidRPr="00B07D65">
              <w:rPr>
                <w:sz w:val="20"/>
                <w:szCs w:val="20"/>
                <w:lang w:eastAsia="en-GB"/>
              </w:rPr>
              <w:t>387.5</w:t>
            </w:r>
          </w:p>
        </w:tc>
        <w:tc>
          <w:tcPr>
            <w:tcW w:w="867" w:type="pct"/>
            <w:hideMark/>
          </w:tcPr>
          <w:p w14:paraId="1EE041D7" w14:textId="77777777" w:rsidR="003C7A2B" w:rsidRPr="00B07D65" w:rsidRDefault="009311C5" w:rsidP="00DA793E">
            <w:pPr>
              <w:rPr>
                <w:sz w:val="20"/>
                <w:szCs w:val="20"/>
                <w:lang w:eastAsia="en-GB"/>
              </w:rPr>
            </w:pPr>
            <w:r w:rsidRPr="00B07D65">
              <w:rPr>
                <w:sz w:val="20"/>
                <w:szCs w:val="20"/>
                <w:lang w:eastAsia="en-GB"/>
              </w:rPr>
              <w:t>0.89</w:t>
            </w:r>
          </w:p>
        </w:tc>
        <w:tc>
          <w:tcPr>
            <w:tcW w:w="570" w:type="pct"/>
            <w:noWrap/>
            <w:hideMark/>
          </w:tcPr>
          <w:p w14:paraId="1C4A9087" w14:textId="77777777" w:rsidR="003C7A2B" w:rsidRPr="00B07D65" w:rsidRDefault="009311C5" w:rsidP="00DA793E">
            <w:pPr>
              <w:rPr>
                <w:sz w:val="20"/>
                <w:szCs w:val="20"/>
                <w:lang w:eastAsia="en-GB"/>
              </w:rPr>
            </w:pPr>
            <w:r w:rsidRPr="00B07D65">
              <w:rPr>
                <w:sz w:val="20"/>
                <w:szCs w:val="20"/>
                <w:lang w:eastAsia="en-GB"/>
              </w:rPr>
              <w:t>400.5</w:t>
            </w:r>
          </w:p>
        </w:tc>
      </w:tr>
      <w:tr w:rsidR="00A62B72" w14:paraId="58AB0644" w14:textId="77777777" w:rsidTr="00BB320B">
        <w:trPr>
          <w:trHeight w:val="288"/>
        </w:trPr>
        <w:tc>
          <w:tcPr>
            <w:tcW w:w="570" w:type="pct"/>
            <w:noWrap/>
            <w:hideMark/>
          </w:tcPr>
          <w:p w14:paraId="0C82A347" w14:textId="77777777" w:rsidR="003C7A2B" w:rsidRPr="00B07D65" w:rsidRDefault="009311C5" w:rsidP="00DA793E">
            <w:pPr>
              <w:rPr>
                <w:sz w:val="20"/>
                <w:szCs w:val="20"/>
                <w:lang w:eastAsia="en-GB"/>
              </w:rPr>
            </w:pPr>
            <w:r w:rsidRPr="00B07D65">
              <w:rPr>
                <w:sz w:val="20"/>
                <w:szCs w:val="20"/>
                <w:lang w:eastAsia="en-GB"/>
              </w:rPr>
              <w:lastRenderedPageBreak/>
              <w:t>4</w:t>
            </w:r>
          </w:p>
        </w:tc>
        <w:tc>
          <w:tcPr>
            <w:tcW w:w="570" w:type="pct"/>
            <w:hideMark/>
          </w:tcPr>
          <w:p w14:paraId="0ABE8415" w14:textId="77777777" w:rsidR="003C7A2B" w:rsidRPr="00B07D65" w:rsidRDefault="009311C5" w:rsidP="00DA793E">
            <w:pPr>
              <w:rPr>
                <w:sz w:val="20"/>
                <w:szCs w:val="20"/>
                <w:lang w:eastAsia="en-GB"/>
              </w:rPr>
            </w:pPr>
            <w:r w:rsidRPr="00B07D65">
              <w:rPr>
                <w:sz w:val="20"/>
                <w:szCs w:val="20"/>
                <w:lang w:eastAsia="en-GB"/>
              </w:rPr>
              <w:t>400</w:t>
            </w:r>
          </w:p>
        </w:tc>
        <w:tc>
          <w:tcPr>
            <w:tcW w:w="746" w:type="pct"/>
            <w:noWrap/>
            <w:hideMark/>
          </w:tcPr>
          <w:p w14:paraId="49DDD054" w14:textId="77777777" w:rsidR="003C7A2B" w:rsidRPr="00B07D65" w:rsidRDefault="009311C5" w:rsidP="00DA793E">
            <w:pPr>
              <w:rPr>
                <w:sz w:val="20"/>
                <w:szCs w:val="20"/>
                <w:lang w:eastAsia="en-GB"/>
              </w:rPr>
            </w:pPr>
            <w:r w:rsidRPr="00B07D65">
              <w:rPr>
                <w:sz w:val="20"/>
                <w:szCs w:val="20"/>
                <w:lang w:eastAsia="en-GB"/>
              </w:rPr>
              <w:t>200</w:t>
            </w:r>
          </w:p>
        </w:tc>
        <w:tc>
          <w:tcPr>
            <w:tcW w:w="587" w:type="pct"/>
            <w:noWrap/>
            <w:hideMark/>
          </w:tcPr>
          <w:p w14:paraId="5D8DF0EB" w14:textId="77777777" w:rsidR="003C7A2B" w:rsidRPr="00B07D65" w:rsidRDefault="009311C5" w:rsidP="00DA793E">
            <w:pPr>
              <w:rPr>
                <w:sz w:val="20"/>
                <w:szCs w:val="20"/>
                <w:lang w:eastAsia="en-GB"/>
              </w:rPr>
            </w:pPr>
            <w:r w:rsidRPr="00B07D65">
              <w:rPr>
                <w:sz w:val="20"/>
                <w:szCs w:val="20"/>
                <w:lang w:eastAsia="en-GB"/>
              </w:rPr>
              <w:t>200</w:t>
            </w:r>
          </w:p>
        </w:tc>
        <w:tc>
          <w:tcPr>
            <w:tcW w:w="521" w:type="pct"/>
            <w:noWrap/>
            <w:hideMark/>
          </w:tcPr>
          <w:p w14:paraId="29604F60" w14:textId="77777777" w:rsidR="003C7A2B" w:rsidRPr="00B07D65" w:rsidRDefault="009311C5" w:rsidP="00DA793E">
            <w:pPr>
              <w:rPr>
                <w:sz w:val="20"/>
                <w:szCs w:val="20"/>
                <w:lang w:eastAsia="en-GB"/>
              </w:rPr>
            </w:pPr>
            <w:r w:rsidRPr="00B07D65">
              <w:rPr>
                <w:sz w:val="20"/>
                <w:szCs w:val="20"/>
                <w:lang w:eastAsia="en-GB"/>
              </w:rPr>
              <w:t>50</w:t>
            </w:r>
          </w:p>
        </w:tc>
        <w:tc>
          <w:tcPr>
            <w:tcW w:w="570" w:type="pct"/>
            <w:noWrap/>
            <w:hideMark/>
          </w:tcPr>
          <w:p w14:paraId="6ED1CDD8" w14:textId="77777777" w:rsidR="003C7A2B" w:rsidRPr="00B07D65" w:rsidRDefault="009311C5" w:rsidP="00DA793E">
            <w:pPr>
              <w:rPr>
                <w:sz w:val="20"/>
                <w:szCs w:val="20"/>
                <w:lang w:eastAsia="en-GB"/>
              </w:rPr>
            </w:pPr>
            <w:r w:rsidRPr="00B07D65">
              <w:rPr>
                <w:sz w:val="20"/>
                <w:szCs w:val="20"/>
                <w:lang w:eastAsia="en-GB"/>
              </w:rPr>
              <w:t>350</w:t>
            </w:r>
          </w:p>
        </w:tc>
        <w:tc>
          <w:tcPr>
            <w:tcW w:w="867" w:type="pct"/>
            <w:hideMark/>
          </w:tcPr>
          <w:p w14:paraId="01D2CB9D" w14:textId="77777777" w:rsidR="003C7A2B" w:rsidRPr="00B07D65" w:rsidRDefault="009311C5" w:rsidP="00DA793E">
            <w:pPr>
              <w:rPr>
                <w:sz w:val="20"/>
                <w:szCs w:val="20"/>
                <w:lang w:eastAsia="en-GB"/>
              </w:rPr>
            </w:pPr>
            <w:r w:rsidRPr="00B07D65">
              <w:rPr>
                <w:sz w:val="20"/>
                <w:szCs w:val="20"/>
                <w:lang w:eastAsia="en-GB"/>
              </w:rPr>
              <w:t>0.84</w:t>
            </w:r>
          </w:p>
        </w:tc>
        <w:tc>
          <w:tcPr>
            <w:tcW w:w="570" w:type="pct"/>
            <w:noWrap/>
            <w:hideMark/>
          </w:tcPr>
          <w:p w14:paraId="0ED9E822" w14:textId="77777777" w:rsidR="003C7A2B" w:rsidRPr="00B07D65" w:rsidRDefault="009311C5" w:rsidP="00DA793E">
            <w:pPr>
              <w:rPr>
                <w:sz w:val="20"/>
                <w:szCs w:val="20"/>
                <w:lang w:eastAsia="en-GB"/>
              </w:rPr>
            </w:pPr>
            <w:r w:rsidRPr="00B07D65">
              <w:rPr>
                <w:sz w:val="20"/>
                <w:szCs w:val="20"/>
                <w:lang w:eastAsia="en-GB"/>
              </w:rPr>
              <w:t>336</w:t>
            </w:r>
          </w:p>
        </w:tc>
      </w:tr>
      <w:tr w:rsidR="00A62B72" w14:paraId="5788E513" w14:textId="77777777" w:rsidTr="00BB320B">
        <w:trPr>
          <w:trHeight w:val="288"/>
        </w:trPr>
        <w:tc>
          <w:tcPr>
            <w:tcW w:w="570" w:type="pct"/>
            <w:noWrap/>
            <w:hideMark/>
          </w:tcPr>
          <w:p w14:paraId="341C4C19" w14:textId="77777777" w:rsidR="003C7A2B" w:rsidRPr="00B07D65" w:rsidRDefault="009311C5" w:rsidP="00DA793E">
            <w:pPr>
              <w:rPr>
                <w:sz w:val="20"/>
                <w:szCs w:val="20"/>
                <w:lang w:eastAsia="en-GB"/>
              </w:rPr>
            </w:pPr>
            <w:r w:rsidRPr="00B07D65">
              <w:rPr>
                <w:sz w:val="20"/>
                <w:szCs w:val="20"/>
                <w:lang w:eastAsia="en-GB"/>
              </w:rPr>
              <w:t>5</w:t>
            </w:r>
          </w:p>
        </w:tc>
        <w:tc>
          <w:tcPr>
            <w:tcW w:w="570" w:type="pct"/>
            <w:hideMark/>
          </w:tcPr>
          <w:p w14:paraId="3CA03C6A" w14:textId="77777777" w:rsidR="003C7A2B" w:rsidRPr="00B07D65" w:rsidRDefault="009311C5" w:rsidP="00DA793E">
            <w:pPr>
              <w:rPr>
                <w:sz w:val="20"/>
                <w:szCs w:val="20"/>
                <w:lang w:eastAsia="en-GB"/>
              </w:rPr>
            </w:pPr>
            <w:r w:rsidRPr="00B07D65">
              <w:rPr>
                <w:sz w:val="20"/>
                <w:szCs w:val="20"/>
                <w:lang w:eastAsia="en-GB"/>
              </w:rPr>
              <w:t>500</w:t>
            </w:r>
          </w:p>
        </w:tc>
        <w:tc>
          <w:tcPr>
            <w:tcW w:w="746" w:type="pct"/>
            <w:noWrap/>
            <w:hideMark/>
          </w:tcPr>
          <w:p w14:paraId="6A3A8679" w14:textId="77777777" w:rsidR="003C7A2B" w:rsidRPr="00B07D65" w:rsidRDefault="009311C5" w:rsidP="00DA793E">
            <w:pPr>
              <w:rPr>
                <w:sz w:val="20"/>
                <w:szCs w:val="20"/>
                <w:lang w:eastAsia="en-GB"/>
              </w:rPr>
            </w:pPr>
            <w:r w:rsidRPr="00B07D65">
              <w:rPr>
                <w:sz w:val="20"/>
                <w:szCs w:val="20"/>
                <w:lang w:eastAsia="en-GB"/>
              </w:rPr>
              <w:t>200</w:t>
            </w:r>
          </w:p>
        </w:tc>
        <w:tc>
          <w:tcPr>
            <w:tcW w:w="587" w:type="pct"/>
            <w:noWrap/>
            <w:hideMark/>
          </w:tcPr>
          <w:p w14:paraId="6245B33C" w14:textId="77777777" w:rsidR="003C7A2B" w:rsidRPr="00B07D65" w:rsidRDefault="009311C5" w:rsidP="00DA793E">
            <w:pPr>
              <w:rPr>
                <w:sz w:val="20"/>
                <w:szCs w:val="20"/>
                <w:lang w:eastAsia="en-GB"/>
              </w:rPr>
            </w:pPr>
            <w:r w:rsidRPr="00B07D65">
              <w:rPr>
                <w:sz w:val="20"/>
                <w:szCs w:val="20"/>
                <w:lang w:eastAsia="en-GB"/>
              </w:rPr>
              <w:t>300</w:t>
            </w:r>
          </w:p>
        </w:tc>
        <w:tc>
          <w:tcPr>
            <w:tcW w:w="521" w:type="pct"/>
            <w:noWrap/>
            <w:hideMark/>
          </w:tcPr>
          <w:p w14:paraId="26F9F87D" w14:textId="77777777" w:rsidR="003C7A2B" w:rsidRPr="00B07D65" w:rsidRDefault="009311C5" w:rsidP="00DA793E">
            <w:pPr>
              <w:rPr>
                <w:sz w:val="20"/>
                <w:szCs w:val="20"/>
                <w:lang w:eastAsia="en-GB"/>
              </w:rPr>
            </w:pPr>
            <w:r w:rsidRPr="00B07D65">
              <w:rPr>
                <w:sz w:val="20"/>
                <w:szCs w:val="20"/>
                <w:lang w:eastAsia="en-GB"/>
              </w:rPr>
              <w:t>75</w:t>
            </w:r>
          </w:p>
        </w:tc>
        <w:tc>
          <w:tcPr>
            <w:tcW w:w="570" w:type="pct"/>
            <w:noWrap/>
            <w:hideMark/>
          </w:tcPr>
          <w:p w14:paraId="5EBE9845" w14:textId="77777777" w:rsidR="003C7A2B" w:rsidRPr="00B07D65" w:rsidRDefault="009311C5" w:rsidP="00DA793E">
            <w:pPr>
              <w:rPr>
                <w:sz w:val="20"/>
                <w:szCs w:val="20"/>
                <w:lang w:eastAsia="en-GB"/>
              </w:rPr>
            </w:pPr>
            <w:r w:rsidRPr="00B07D65">
              <w:rPr>
                <w:sz w:val="20"/>
                <w:szCs w:val="20"/>
                <w:lang w:eastAsia="en-GB"/>
              </w:rPr>
              <w:t>425</w:t>
            </w:r>
          </w:p>
        </w:tc>
        <w:tc>
          <w:tcPr>
            <w:tcW w:w="867" w:type="pct"/>
            <w:hideMark/>
          </w:tcPr>
          <w:p w14:paraId="50E46622" w14:textId="77777777" w:rsidR="003C7A2B" w:rsidRPr="00B07D65" w:rsidRDefault="009311C5" w:rsidP="00DA793E">
            <w:pPr>
              <w:rPr>
                <w:sz w:val="20"/>
                <w:szCs w:val="20"/>
                <w:lang w:eastAsia="en-GB"/>
              </w:rPr>
            </w:pPr>
            <w:r w:rsidRPr="00B07D65">
              <w:rPr>
                <w:sz w:val="20"/>
                <w:szCs w:val="20"/>
                <w:lang w:eastAsia="en-GB"/>
              </w:rPr>
              <w:t>0.792</w:t>
            </w:r>
          </w:p>
        </w:tc>
        <w:tc>
          <w:tcPr>
            <w:tcW w:w="570" w:type="pct"/>
            <w:noWrap/>
            <w:hideMark/>
          </w:tcPr>
          <w:p w14:paraId="652F02BC" w14:textId="77777777" w:rsidR="003C7A2B" w:rsidRPr="00B07D65" w:rsidRDefault="009311C5" w:rsidP="00DA793E">
            <w:pPr>
              <w:rPr>
                <w:sz w:val="20"/>
                <w:szCs w:val="20"/>
                <w:lang w:eastAsia="en-GB"/>
              </w:rPr>
            </w:pPr>
            <w:r w:rsidRPr="00B07D65">
              <w:rPr>
                <w:sz w:val="20"/>
                <w:szCs w:val="20"/>
                <w:lang w:eastAsia="en-GB"/>
              </w:rPr>
              <w:t>396</w:t>
            </w:r>
          </w:p>
        </w:tc>
      </w:tr>
      <w:tr w:rsidR="00A62B72" w14:paraId="1B6EB6DE" w14:textId="77777777" w:rsidTr="00BB320B">
        <w:trPr>
          <w:trHeight w:val="288"/>
        </w:trPr>
        <w:tc>
          <w:tcPr>
            <w:tcW w:w="570" w:type="pct"/>
            <w:noWrap/>
            <w:hideMark/>
          </w:tcPr>
          <w:p w14:paraId="39C8F0A1" w14:textId="77777777" w:rsidR="003C7A2B" w:rsidRPr="00B07D65" w:rsidRDefault="003C7A2B" w:rsidP="00DA793E">
            <w:pPr>
              <w:rPr>
                <w:sz w:val="20"/>
                <w:szCs w:val="20"/>
                <w:lang w:eastAsia="en-GB"/>
              </w:rPr>
            </w:pPr>
          </w:p>
        </w:tc>
        <w:tc>
          <w:tcPr>
            <w:tcW w:w="570" w:type="pct"/>
            <w:noWrap/>
            <w:hideMark/>
          </w:tcPr>
          <w:p w14:paraId="6CC42B73" w14:textId="77777777" w:rsidR="003C7A2B" w:rsidRPr="00B07D65" w:rsidRDefault="003C7A2B" w:rsidP="00DA793E">
            <w:pPr>
              <w:rPr>
                <w:rFonts w:ascii="Times New Roman" w:hAnsi="Times New Roman" w:cs="Times New Roman"/>
                <w:sz w:val="20"/>
                <w:szCs w:val="20"/>
                <w:lang w:eastAsia="en-GB"/>
              </w:rPr>
            </w:pPr>
          </w:p>
        </w:tc>
        <w:tc>
          <w:tcPr>
            <w:tcW w:w="746" w:type="pct"/>
            <w:noWrap/>
            <w:hideMark/>
          </w:tcPr>
          <w:p w14:paraId="3CC3C840" w14:textId="77777777" w:rsidR="003C7A2B" w:rsidRPr="00B07D65" w:rsidRDefault="003C7A2B" w:rsidP="00DA793E">
            <w:pPr>
              <w:rPr>
                <w:rFonts w:ascii="Times New Roman" w:hAnsi="Times New Roman" w:cs="Times New Roman"/>
                <w:sz w:val="20"/>
                <w:szCs w:val="20"/>
                <w:lang w:eastAsia="en-GB"/>
              </w:rPr>
            </w:pPr>
          </w:p>
        </w:tc>
        <w:tc>
          <w:tcPr>
            <w:tcW w:w="587" w:type="pct"/>
            <w:noWrap/>
            <w:hideMark/>
          </w:tcPr>
          <w:p w14:paraId="3DE60143" w14:textId="77777777" w:rsidR="003C7A2B" w:rsidRPr="00B07D65" w:rsidRDefault="003C7A2B" w:rsidP="00DA793E">
            <w:pPr>
              <w:rPr>
                <w:rFonts w:ascii="Times New Roman" w:hAnsi="Times New Roman" w:cs="Times New Roman"/>
                <w:sz w:val="20"/>
                <w:szCs w:val="20"/>
                <w:lang w:eastAsia="en-GB"/>
              </w:rPr>
            </w:pPr>
          </w:p>
        </w:tc>
        <w:tc>
          <w:tcPr>
            <w:tcW w:w="521" w:type="pct"/>
            <w:noWrap/>
            <w:hideMark/>
          </w:tcPr>
          <w:p w14:paraId="3BCB4227" w14:textId="77777777" w:rsidR="003C7A2B" w:rsidRPr="00B07D65" w:rsidRDefault="003C7A2B" w:rsidP="00DA793E">
            <w:pPr>
              <w:rPr>
                <w:rFonts w:ascii="Times New Roman" w:hAnsi="Times New Roman" w:cs="Times New Roman"/>
                <w:sz w:val="20"/>
                <w:szCs w:val="20"/>
                <w:lang w:eastAsia="en-GB"/>
              </w:rPr>
            </w:pPr>
          </w:p>
        </w:tc>
        <w:tc>
          <w:tcPr>
            <w:tcW w:w="570" w:type="pct"/>
            <w:noWrap/>
            <w:hideMark/>
          </w:tcPr>
          <w:p w14:paraId="7FB5B1B3" w14:textId="77777777" w:rsidR="003C7A2B" w:rsidRPr="00B07D65" w:rsidRDefault="003C7A2B" w:rsidP="00DA793E">
            <w:pPr>
              <w:rPr>
                <w:rFonts w:ascii="Times New Roman" w:hAnsi="Times New Roman" w:cs="Times New Roman"/>
                <w:sz w:val="20"/>
                <w:szCs w:val="20"/>
                <w:lang w:eastAsia="en-GB"/>
              </w:rPr>
            </w:pPr>
          </w:p>
        </w:tc>
        <w:tc>
          <w:tcPr>
            <w:tcW w:w="867" w:type="pct"/>
            <w:noWrap/>
            <w:hideMark/>
          </w:tcPr>
          <w:p w14:paraId="786F1091" w14:textId="77777777" w:rsidR="003C7A2B" w:rsidRPr="00B07D65" w:rsidRDefault="003C7A2B" w:rsidP="00DA793E">
            <w:pPr>
              <w:rPr>
                <w:rFonts w:ascii="Times New Roman" w:hAnsi="Times New Roman" w:cs="Times New Roman"/>
                <w:sz w:val="20"/>
                <w:szCs w:val="20"/>
                <w:lang w:eastAsia="en-GB"/>
              </w:rPr>
            </w:pPr>
          </w:p>
        </w:tc>
        <w:tc>
          <w:tcPr>
            <w:tcW w:w="570" w:type="pct"/>
            <w:noWrap/>
            <w:hideMark/>
          </w:tcPr>
          <w:p w14:paraId="57DB8449" w14:textId="77777777" w:rsidR="003C7A2B" w:rsidRPr="00B07D65" w:rsidRDefault="003C7A2B" w:rsidP="00DA793E">
            <w:pPr>
              <w:rPr>
                <w:rFonts w:ascii="Times New Roman" w:hAnsi="Times New Roman" w:cs="Times New Roman"/>
                <w:sz w:val="20"/>
                <w:szCs w:val="20"/>
                <w:lang w:eastAsia="en-GB"/>
              </w:rPr>
            </w:pPr>
          </w:p>
        </w:tc>
      </w:tr>
      <w:tr w:rsidR="00A62B72" w14:paraId="066E04BF" w14:textId="77777777" w:rsidTr="00BB320B">
        <w:trPr>
          <w:trHeight w:val="288"/>
        </w:trPr>
        <w:tc>
          <w:tcPr>
            <w:tcW w:w="570" w:type="pct"/>
            <w:noWrap/>
            <w:hideMark/>
          </w:tcPr>
          <w:p w14:paraId="016A2E08" w14:textId="77777777" w:rsidR="003C7A2B" w:rsidRPr="00B07D65" w:rsidRDefault="003C7A2B" w:rsidP="00DA793E">
            <w:pPr>
              <w:rPr>
                <w:rFonts w:ascii="Times New Roman" w:hAnsi="Times New Roman" w:cs="Times New Roman"/>
                <w:sz w:val="20"/>
                <w:szCs w:val="20"/>
                <w:lang w:eastAsia="en-GB"/>
              </w:rPr>
            </w:pPr>
          </w:p>
        </w:tc>
        <w:tc>
          <w:tcPr>
            <w:tcW w:w="570" w:type="pct"/>
            <w:noWrap/>
            <w:hideMark/>
          </w:tcPr>
          <w:p w14:paraId="6174920A" w14:textId="77777777" w:rsidR="003C7A2B" w:rsidRPr="00B07D65" w:rsidRDefault="003C7A2B" w:rsidP="00DA793E">
            <w:pPr>
              <w:rPr>
                <w:rFonts w:ascii="Times New Roman" w:hAnsi="Times New Roman" w:cs="Times New Roman"/>
                <w:sz w:val="20"/>
                <w:szCs w:val="20"/>
                <w:lang w:eastAsia="en-GB"/>
              </w:rPr>
            </w:pPr>
          </w:p>
        </w:tc>
        <w:tc>
          <w:tcPr>
            <w:tcW w:w="746" w:type="pct"/>
            <w:noWrap/>
            <w:hideMark/>
          </w:tcPr>
          <w:p w14:paraId="50137F1F" w14:textId="77777777" w:rsidR="003C7A2B" w:rsidRPr="00B07D65" w:rsidRDefault="003C7A2B" w:rsidP="00DA793E">
            <w:pPr>
              <w:rPr>
                <w:rFonts w:ascii="Times New Roman" w:hAnsi="Times New Roman" w:cs="Times New Roman"/>
                <w:sz w:val="20"/>
                <w:szCs w:val="20"/>
                <w:lang w:eastAsia="en-GB"/>
              </w:rPr>
            </w:pPr>
          </w:p>
        </w:tc>
        <w:tc>
          <w:tcPr>
            <w:tcW w:w="587" w:type="pct"/>
            <w:noWrap/>
            <w:hideMark/>
          </w:tcPr>
          <w:p w14:paraId="1700A660" w14:textId="77777777" w:rsidR="003C7A2B" w:rsidRPr="00B07D65" w:rsidRDefault="003C7A2B" w:rsidP="00DA793E">
            <w:pPr>
              <w:rPr>
                <w:rFonts w:ascii="Times New Roman" w:hAnsi="Times New Roman" w:cs="Times New Roman"/>
                <w:sz w:val="20"/>
                <w:szCs w:val="20"/>
                <w:lang w:eastAsia="en-GB"/>
              </w:rPr>
            </w:pPr>
          </w:p>
        </w:tc>
        <w:tc>
          <w:tcPr>
            <w:tcW w:w="521" w:type="pct"/>
            <w:noWrap/>
            <w:hideMark/>
          </w:tcPr>
          <w:p w14:paraId="0EFB69C0" w14:textId="77777777" w:rsidR="003C7A2B" w:rsidRPr="00B07D65" w:rsidRDefault="003C7A2B" w:rsidP="00DA793E">
            <w:pPr>
              <w:rPr>
                <w:rFonts w:ascii="Times New Roman" w:hAnsi="Times New Roman" w:cs="Times New Roman"/>
                <w:sz w:val="20"/>
                <w:szCs w:val="20"/>
                <w:lang w:eastAsia="en-GB"/>
              </w:rPr>
            </w:pPr>
          </w:p>
        </w:tc>
        <w:tc>
          <w:tcPr>
            <w:tcW w:w="570" w:type="pct"/>
            <w:noWrap/>
            <w:hideMark/>
          </w:tcPr>
          <w:p w14:paraId="5E14990E" w14:textId="77777777" w:rsidR="003C7A2B" w:rsidRPr="00B07D65" w:rsidRDefault="003C7A2B" w:rsidP="00DA793E">
            <w:pPr>
              <w:rPr>
                <w:rFonts w:ascii="Times New Roman" w:hAnsi="Times New Roman" w:cs="Times New Roman"/>
                <w:sz w:val="20"/>
                <w:szCs w:val="20"/>
                <w:lang w:eastAsia="en-GB"/>
              </w:rPr>
            </w:pPr>
          </w:p>
        </w:tc>
        <w:tc>
          <w:tcPr>
            <w:tcW w:w="867" w:type="pct"/>
            <w:noWrap/>
            <w:hideMark/>
          </w:tcPr>
          <w:p w14:paraId="574091AA" w14:textId="77777777" w:rsidR="003C7A2B" w:rsidRPr="00B07D65" w:rsidRDefault="003C7A2B" w:rsidP="00DA793E">
            <w:pPr>
              <w:rPr>
                <w:rFonts w:ascii="Times New Roman" w:hAnsi="Times New Roman" w:cs="Times New Roman"/>
                <w:sz w:val="20"/>
                <w:szCs w:val="20"/>
                <w:lang w:eastAsia="en-GB"/>
              </w:rPr>
            </w:pPr>
          </w:p>
        </w:tc>
        <w:tc>
          <w:tcPr>
            <w:tcW w:w="570" w:type="pct"/>
            <w:noWrap/>
            <w:hideMark/>
          </w:tcPr>
          <w:p w14:paraId="63210FF5" w14:textId="77777777" w:rsidR="003C7A2B" w:rsidRPr="00B07D65" w:rsidRDefault="003C7A2B" w:rsidP="00DA793E">
            <w:pPr>
              <w:rPr>
                <w:rFonts w:ascii="Times New Roman" w:hAnsi="Times New Roman" w:cs="Times New Roman"/>
                <w:sz w:val="20"/>
                <w:szCs w:val="20"/>
                <w:lang w:eastAsia="en-GB"/>
              </w:rPr>
            </w:pPr>
          </w:p>
        </w:tc>
      </w:tr>
      <w:tr w:rsidR="00A62B72" w14:paraId="64FA74BD" w14:textId="77777777" w:rsidTr="00BB320B">
        <w:trPr>
          <w:trHeight w:val="288"/>
        </w:trPr>
        <w:tc>
          <w:tcPr>
            <w:tcW w:w="570" w:type="pct"/>
            <w:noWrap/>
            <w:hideMark/>
          </w:tcPr>
          <w:p w14:paraId="45B8C597" w14:textId="77777777" w:rsidR="003C7A2B" w:rsidRPr="00B07D65" w:rsidRDefault="009311C5" w:rsidP="00DA793E">
            <w:pPr>
              <w:rPr>
                <w:sz w:val="20"/>
                <w:szCs w:val="20"/>
                <w:lang w:eastAsia="en-GB"/>
              </w:rPr>
            </w:pPr>
            <w:r w:rsidRPr="00B07D65">
              <w:rPr>
                <w:sz w:val="20"/>
                <w:szCs w:val="20"/>
                <w:lang w:eastAsia="en-GB"/>
              </w:rPr>
              <w:t>IRR</w:t>
            </w:r>
          </w:p>
        </w:tc>
        <w:tc>
          <w:tcPr>
            <w:tcW w:w="570" w:type="pct"/>
            <w:noWrap/>
            <w:hideMark/>
          </w:tcPr>
          <w:p w14:paraId="5C810027" w14:textId="77777777" w:rsidR="003C7A2B" w:rsidRPr="00B07D65" w:rsidRDefault="009311C5" w:rsidP="00DA793E">
            <w:pPr>
              <w:rPr>
                <w:sz w:val="20"/>
                <w:szCs w:val="20"/>
                <w:lang w:eastAsia="en-GB"/>
              </w:rPr>
            </w:pPr>
            <w:r w:rsidRPr="00B07D65">
              <w:rPr>
                <w:sz w:val="20"/>
                <w:szCs w:val="20"/>
                <w:lang w:eastAsia="en-GB"/>
              </w:rPr>
              <w:t>18%</w:t>
            </w:r>
          </w:p>
        </w:tc>
        <w:tc>
          <w:tcPr>
            <w:tcW w:w="746" w:type="pct"/>
            <w:noWrap/>
            <w:hideMark/>
          </w:tcPr>
          <w:p w14:paraId="5BEFD140" w14:textId="77777777" w:rsidR="003C7A2B" w:rsidRPr="00B07D65" w:rsidRDefault="003C7A2B" w:rsidP="00DA793E">
            <w:pPr>
              <w:rPr>
                <w:sz w:val="20"/>
                <w:szCs w:val="20"/>
                <w:lang w:eastAsia="en-GB"/>
              </w:rPr>
            </w:pPr>
          </w:p>
        </w:tc>
        <w:tc>
          <w:tcPr>
            <w:tcW w:w="587" w:type="pct"/>
            <w:noWrap/>
            <w:hideMark/>
          </w:tcPr>
          <w:p w14:paraId="1A3B7279" w14:textId="77777777" w:rsidR="003C7A2B" w:rsidRPr="00B07D65" w:rsidRDefault="003C7A2B" w:rsidP="00DA793E">
            <w:pPr>
              <w:rPr>
                <w:rFonts w:ascii="Times New Roman" w:hAnsi="Times New Roman" w:cs="Times New Roman"/>
                <w:sz w:val="20"/>
                <w:szCs w:val="20"/>
                <w:lang w:eastAsia="en-GB"/>
              </w:rPr>
            </w:pPr>
          </w:p>
        </w:tc>
        <w:tc>
          <w:tcPr>
            <w:tcW w:w="521" w:type="pct"/>
            <w:noWrap/>
            <w:hideMark/>
          </w:tcPr>
          <w:p w14:paraId="75A346D9" w14:textId="77777777" w:rsidR="003C7A2B" w:rsidRPr="00B07D65" w:rsidRDefault="003C7A2B" w:rsidP="00DA793E">
            <w:pPr>
              <w:rPr>
                <w:rFonts w:ascii="Times New Roman" w:hAnsi="Times New Roman" w:cs="Times New Roman"/>
                <w:sz w:val="20"/>
                <w:szCs w:val="20"/>
                <w:lang w:eastAsia="en-GB"/>
              </w:rPr>
            </w:pPr>
          </w:p>
        </w:tc>
        <w:tc>
          <w:tcPr>
            <w:tcW w:w="570" w:type="pct"/>
            <w:noWrap/>
            <w:hideMark/>
          </w:tcPr>
          <w:p w14:paraId="13E1EA32" w14:textId="77777777" w:rsidR="003C7A2B" w:rsidRPr="00B07D65" w:rsidRDefault="003C7A2B" w:rsidP="00DA793E">
            <w:pPr>
              <w:rPr>
                <w:rFonts w:ascii="Times New Roman" w:hAnsi="Times New Roman" w:cs="Times New Roman"/>
                <w:sz w:val="20"/>
                <w:szCs w:val="20"/>
                <w:lang w:eastAsia="en-GB"/>
              </w:rPr>
            </w:pPr>
          </w:p>
        </w:tc>
        <w:tc>
          <w:tcPr>
            <w:tcW w:w="867" w:type="pct"/>
            <w:noWrap/>
            <w:hideMark/>
          </w:tcPr>
          <w:p w14:paraId="5CE24146" w14:textId="77777777" w:rsidR="003C7A2B" w:rsidRPr="00B07D65" w:rsidRDefault="009311C5" w:rsidP="00DA793E">
            <w:pPr>
              <w:rPr>
                <w:sz w:val="20"/>
                <w:szCs w:val="20"/>
                <w:lang w:eastAsia="en-GB"/>
              </w:rPr>
            </w:pPr>
            <w:r w:rsidRPr="00B07D65">
              <w:rPr>
                <w:sz w:val="20"/>
                <w:szCs w:val="20"/>
                <w:lang w:eastAsia="en-GB"/>
              </w:rPr>
              <w:t xml:space="preserve">NPV </w:t>
            </w:r>
          </w:p>
        </w:tc>
        <w:tc>
          <w:tcPr>
            <w:tcW w:w="570" w:type="pct"/>
            <w:noWrap/>
            <w:hideMark/>
          </w:tcPr>
          <w:p w14:paraId="6EEF14B6" w14:textId="77777777" w:rsidR="003C7A2B" w:rsidRPr="00B07D65" w:rsidRDefault="009311C5" w:rsidP="00DA793E">
            <w:pPr>
              <w:rPr>
                <w:sz w:val="20"/>
                <w:szCs w:val="20"/>
                <w:lang w:eastAsia="en-GB"/>
              </w:rPr>
            </w:pPr>
            <w:r w:rsidRPr="00B07D65">
              <w:rPr>
                <w:sz w:val="20"/>
                <w:szCs w:val="20"/>
                <w:lang w:eastAsia="en-GB"/>
              </w:rPr>
              <w:t>509.7</w:t>
            </w:r>
          </w:p>
        </w:tc>
      </w:tr>
    </w:tbl>
    <w:p w14:paraId="775D62C7" w14:textId="77777777" w:rsidR="003C7A2B" w:rsidRPr="00CA7559" w:rsidRDefault="009311C5" w:rsidP="00DA793E">
      <w:pPr>
        <w:spacing w:after="0" w:line="259" w:lineRule="auto"/>
        <w:jc w:val="left"/>
        <w:rPr>
          <w:b/>
          <w:bCs/>
          <w:i/>
          <w:iCs/>
        </w:rPr>
      </w:pPr>
      <w:r w:rsidRPr="00CA7559">
        <w:rPr>
          <w:b/>
          <w:bCs/>
          <w:i/>
          <w:iCs/>
        </w:rPr>
        <w:t xml:space="preserve">Option C </w:t>
      </w:r>
    </w:p>
    <w:tbl>
      <w:tblPr>
        <w:tblStyle w:val="TableGrid"/>
        <w:tblW w:w="5000" w:type="pct"/>
        <w:tblLook w:val="04A0" w:firstRow="1" w:lastRow="0" w:firstColumn="1" w:lastColumn="0" w:noHBand="0" w:noVBand="1"/>
      </w:tblPr>
      <w:tblGrid>
        <w:gridCol w:w="1065"/>
        <w:gridCol w:w="1066"/>
        <w:gridCol w:w="1511"/>
        <w:gridCol w:w="1066"/>
        <w:gridCol w:w="1066"/>
        <w:gridCol w:w="1066"/>
        <w:gridCol w:w="1444"/>
        <w:gridCol w:w="1066"/>
      </w:tblGrid>
      <w:tr w:rsidR="00A62B72" w14:paraId="7798E105" w14:textId="77777777" w:rsidTr="00BB320B">
        <w:trPr>
          <w:trHeight w:val="576"/>
        </w:trPr>
        <w:tc>
          <w:tcPr>
            <w:tcW w:w="570" w:type="pct"/>
            <w:noWrap/>
            <w:hideMark/>
          </w:tcPr>
          <w:p w14:paraId="54A3709E" w14:textId="77777777" w:rsidR="003C7A2B" w:rsidRPr="00B07D65" w:rsidRDefault="009311C5" w:rsidP="00DA793E">
            <w:pPr>
              <w:rPr>
                <w:b/>
                <w:bCs/>
                <w:sz w:val="20"/>
                <w:szCs w:val="20"/>
                <w:lang w:eastAsia="en-GB"/>
              </w:rPr>
            </w:pPr>
            <w:r w:rsidRPr="00B07D65">
              <w:rPr>
                <w:b/>
                <w:bCs/>
                <w:sz w:val="20"/>
                <w:szCs w:val="20"/>
                <w:lang w:eastAsia="en-GB"/>
              </w:rPr>
              <w:t xml:space="preserve">Year </w:t>
            </w:r>
          </w:p>
        </w:tc>
        <w:tc>
          <w:tcPr>
            <w:tcW w:w="570" w:type="pct"/>
            <w:hideMark/>
          </w:tcPr>
          <w:p w14:paraId="1D242ED9" w14:textId="77777777" w:rsidR="003C7A2B" w:rsidRPr="00B07D65" w:rsidRDefault="009311C5" w:rsidP="00DA793E">
            <w:pPr>
              <w:rPr>
                <w:b/>
                <w:bCs/>
                <w:sz w:val="20"/>
                <w:szCs w:val="20"/>
                <w:lang w:eastAsia="en-GB"/>
              </w:rPr>
            </w:pPr>
            <w:r w:rsidRPr="00B07D65">
              <w:rPr>
                <w:b/>
                <w:bCs/>
                <w:sz w:val="20"/>
                <w:szCs w:val="20"/>
                <w:lang w:eastAsia="en-GB"/>
              </w:rPr>
              <w:t>Cash Inflow</w:t>
            </w:r>
          </w:p>
        </w:tc>
        <w:tc>
          <w:tcPr>
            <w:tcW w:w="808" w:type="pct"/>
            <w:hideMark/>
          </w:tcPr>
          <w:p w14:paraId="1025FF52" w14:textId="77777777" w:rsidR="003C7A2B" w:rsidRPr="00B07D65" w:rsidRDefault="009311C5" w:rsidP="00DA793E">
            <w:pPr>
              <w:rPr>
                <w:b/>
                <w:bCs/>
                <w:sz w:val="20"/>
                <w:szCs w:val="20"/>
                <w:lang w:eastAsia="en-GB"/>
              </w:rPr>
            </w:pPr>
            <w:r w:rsidRPr="00B07D65">
              <w:rPr>
                <w:b/>
                <w:bCs/>
                <w:sz w:val="20"/>
                <w:szCs w:val="20"/>
                <w:lang w:eastAsia="en-GB"/>
              </w:rPr>
              <w:t xml:space="preserve">Capital Allowance </w:t>
            </w:r>
          </w:p>
        </w:tc>
        <w:tc>
          <w:tcPr>
            <w:tcW w:w="570" w:type="pct"/>
            <w:hideMark/>
          </w:tcPr>
          <w:p w14:paraId="1CC0A104" w14:textId="77777777" w:rsidR="003C7A2B" w:rsidRPr="00B07D65" w:rsidRDefault="009311C5" w:rsidP="00DA793E">
            <w:pPr>
              <w:rPr>
                <w:b/>
                <w:bCs/>
                <w:sz w:val="20"/>
                <w:szCs w:val="20"/>
                <w:lang w:eastAsia="en-GB"/>
              </w:rPr>
            </w:pPr>
            <w:r w:rsidRPr="00B07D65">
              <w:rPr>
                <w:b/>
                <w:bCs/>
                <w:sz w:val="20"/>
                <w:szCs w:val="20"/>
                <w:lang w:eastAsia="en-GB"/>
              </w:rPr>
              <w:t xml:space="preserve">Taxable Profit </w:t>
            </w:r>
          </w:p>
        </w:tc>
        <w:tc>
          <w:tcPr>
            <w:tcW w:w="570" w:type="pct"/>
            <w:hideMark/>
          </w:tcPr>
          <w:p w14:paraId="24EDE115" w14:textId="77777777" w:rsidR="003C7A2B" w:rsidRPr="00B07D65" w:rsidRDefault="009311C5" w:rsidP="00DA793E">
            <w:pPr>
              <w:rPr>
                <w:b/>
                <w:bCs/>
                <w:sz w:val="20"/>
                <w:szCs w:val="20"/>
                <w:lang w:eastAsia="en-GB"/>
              </w:rPr>
            </w:pPr>
            <w:r w:rsidRPr="00B07D65">
              <w:rPr>
                <w:b/>
                <w:bCs/>
                <w:sz w:val="20"/>
                <w:szCs w:val="20"/>
                <w:lang w:eastAsia="en-GB"/>
              </w:rPr>
              <w:t>Tax @25%</w:t>
            </w:r>
          </w:p>
        </w:tc>
        <w:tc>
          <w:tcPr>
            <w:tcW w:w="570" w:type="pct"/>
            <w:hideMark/>
          </w:tcPr>
          <w:p w14:paraId="54E0B92C" w14:textId="77777777" w:rsidR="003C7A2B" w:rsidRPr="00B07D65" w:rsidRDefault="009311C5" w:rsidP="00DA793E">
            <w:pPr>
              <w:rPr>
                <w:b/>
                <w:bCs/>
                <w:sz w:val="20"/>
                <w:szCs w:val="20"/>
                <w:lang w:eastAsia="en-GB"/>
              </w:rPr>
            </w:pPr>
            <w:r w:rsidRPr="00B07D65">
              <w:rPr>
                <w:b/>
                <w:bCs/>
                <w:sz w:val="20"/>
                <w:szCs w:val="20"/>
                <w:lang w:eastAsia="en-GB"/>
              </w:rPr>
              <w:t xml:space="preserve">Net Cash Flow </w:t>
            </w:r>
          </w:p>
        </w:tc>
        <w:tc>
          <w:tcPr>
            <w:tcW w:w="772" w:type="pct"/>
            <w:hideMark/>
          </w:tcPr>
          <w:p w14:paraId="4C2C9EF5" w14:textId="77777777" w:rsidR="003C7A2B" w:rsidRPr="00B07D65" w:rsidRDefault="009311C5" w:rsidP="00DA793E">
            <w:pPr>
              <w:rPr>
                <w:b/>
                <w:bCs/>
                <w:sz w:val="20"/>
                <w:szCs w:val="20"/>
                <w:lang w:eastAsia="en-GB"/>
              </w:rPr>
            </w:pPr>
            <w:r w:rsidRPr="00B07D65">
              <w:rPr>
                <w:b/>
                <w:bCs/>
                <w:sz w:val="20"/>
                <w:szCs w:val="20"/>
                <w:lang w:eastAsia="en-GB"/>
              </w:rPr>
              <w:t xml:space="preserve">Discounting Factors </w:t>
            </w:r>
          </w:p>
        </w:tc>
        <w:tc>
          <w:tcPr>
            <w:tcW w:w="570" w:type="pct"/>
            <w:hideMark/>
          </w:tcPr>
          <w:p w14:paraId="66DAEBE7" w14:textId="77777777" w:rsidR="003C7A2B" w:rsidRPr="00B07D65" w:rsidRDefault="009311C5" w:rsidP="00DA793E">
            <w:pPr>
              <w:rPr>
                <w:b/>
                <w:bCs/>
                <w:sz w:val="20"/>
                <w:szCs w:val="20"/>
                <w:lang w:eastAsia="en-GB"/>
              </w:rPr>
            </w:pPr>
            <w:r w:rsidRPr="00B07D65">
              <w:rPr>
                <w:b/>
                <w:bCs/>
                <w:sz w:val="20"/>
                <w:szCs w:val="20"/>
                <w:lang w:eastAsia="en-GB"/>
              </w:rPr>
              <w:t xml:space="preserve">Present Value </w:t>
            </w:r>
          </w:p>
        </w:tc>
      </w:tr>
      <w:tr w:rsidR="00A62B72" w14:paraId="536952D3" w14:textId="77777777" w:rsidTr="00BB320B">
        <w:trPr>
          <w:trHeight w:val="288"/>
        </w:trPr>
        <w:tc>
          <w:tcPr>
            <w:tcW w:w="570" w:type="pct"/>
            <w:noWrap/>
            <w:hideMark/>
          </w:tcPr>
          <w:p w14:paraId="3EFD706E" w14:textId="77777777" w:rsidR="003C7A2B" w:rsidRPr="00B07D65" w:rsidRDefault="009311C5" w:rsidP="00DA793E">
            <w:pPr>
              <w:rPr>
                <w:sz w:val="20"/>
                <w:szCs w:val="20"/>
                <w:lang w:eastAsia="en-GB"/>
              </w:rPr>
            </w:pPr>
            <w:r w:rsidRPr="00B07D65">
              <w:rPr>
                <w:sz w:val="20"/>
                <w:szCs w:val="20"/>
                <w:lang w:eastAsia="en-GB"/>
              </w:rPr>
              <w:t>0</w:t>
            </w:r>
          </w:p>
        </w:tc>
        <w:tc>
          <w:tcPr>
            <w:tcW w:w="570" w:type="pct"/>
            <w:noWrap/>
            <w:hideMark/>
          </w:tcPr>
          <w:p w14:paraId="1BCF104B" w14:textId="77777777" w:rsidR="003C7A2B" w:rsidRPr="00B07D65" w:rsidRDefault="009311C5" w:rsidP="00DA793E">
            <w:pPr>
              <w:rPr>
                <w:sz w:val="20"/>
                <w:szCs w:val="20"/>
                <w:lang w:eastAsia="en-GB"/>
              </w:rPr>
            </w:pPr>
            <w:r w:rsidRPr="00B07D65">
              <w:rPr>
                <w:sz w:val="20"/>
                <w:szCs w:val="20"/>
                <w:lang w:eastAsia="en-GB"/>
              </w:rPr>
              <w:t>-1600</w:t>
            </w:r>
          </w:p>
        </w:tc>
        <w:tc>
          <w:tcPr>
            <w:tcW w:w="808" w:type="pct"/>
            <w:noWrap/>
            <w:hideMark/>
          </w:tcPr>
          <w:p w14:paraId="71B0C909" w14:textId="77777777" w:rsidR="003C7A2B" w:rsidRPr="00B07D65" w:rsidRDefault="003C7A2B" w:rsidP="00DA793E">
            <w:pPr>
              <w:rPr>
                <w:sz w:val="20"/>
                <w:szCs w:val="20"/>
                <w:lang w:eastAsia="en-GB"/>
              </w:rPr>
            </w:pPr>
          </w:p>
        </w:tc>
        <w:tc>
          <w:tcPr>
            <w:tcW w:w="570" w:type="pct"/>
            <w:noWrap/>
            <w:hideMark/>
          </w:tcPr>
          <w:p w14:paraId="261D5C87" w14:textId="77777777" w:rsidR="003C7A2B" w:rsidRPr="00B07D65" w:rsidRDefault="003C7A2B" w:rsidP="00DA793E">
            <w:pPr>
              <w:rPr>
                <w:rFonts w:ascii="Times New Roman" w:hAnsi="Times New Roman" w:cs="Times New Roman"/>
                <w:sz w:val="20"/>
                <w:szCs w:val="20"/>
                <w:lang w:eastAsia="en-GB"/>
              </w:rPr>
            </w:pPr>
          </w:p>
        </w:tc>
        <w:tc>
          <w:tcPr>
            <w:tcW w:w="570" w:type="pct"/>
            <w:noWrap/>
            <w:hideMark/>
          </w:tcPr>
          <w:p w14:paraId="4F735D11" w14:textId="77777777" w:rsidR="003C7A2B" w:rsidRPr="00B07D65" w:rsidRDefault="003C7A2B" w:rsidP="00DA793E">
            <w:pPr>
              <w:rPr>
                <w:rFonts w:ascii="Times New Roman" w:hAnsi="Times New Roman" w:cs="Times New Roman"/>
                <w:sz w:val="20"/>
                <w:szCs w:val="20"/>
                <w:lang w:eastAsia="en-GB"/>
              </w:rPr>
            </w:pPr>
          </w:p>
        </w:tc>
        <w:tc>
          <w:tcPr>
            <w:tcW w:w="570" w:type="pct"/>
            <w:noWrap/>
            <w:hideMark/>
          </w:tcPr>
          <w:p w14:paraId="17C62D98" w14:textId="77777777" w:rsidR="003C7A2B" w:rsidRPr="00B07D65" w:rsidRDefault="009311C5" w:rsidP="00DA793E">
            <w:pPr>
              <w:rPr>
                <w:sz w:val="20"/>
                <w:szCs w:val="20"/>
                <w:lang w:eastAsia="en-GB"/>
              </w:rPr>
            </w:pPr>
            <w:r w:rsidRPr="00B07D65">
              <w:rPr>
                <w:sz w:val="20"/>
                <w:szCs w:val="20"/>
                <w:lang w:eastAsia="en-GB"/>
              </w:rPr>
              <w:t>-1600</w:t>
            </w:r>
          </w:p>
        </w:tc>
        <w:tc>
          <w:tcPr>
            <w:tcW w:w="772" w:type="pct"/>
            <w:hideMark/>
          </w:tcPr>
          <w:p w14:paraId="28CFE095" w14:textId="77777777" w:rsidR="003C7A2B" w:rsidRPr="00B07D65" w:rsidRDefault="009311C5" w:rsidP="00DA793E">
            <w:pPr>
              <w:rPr>
                <w:sz w:val="20"/>
                <w:szCs w:val="20"/>
                <w:lang w:eastAsia="en-GB"/>
              </w:rPr>
            </w:pPr>
            <w:r w:rsidRPr="00B07D65">
              <w:rPr>
                <w:sz w:val="20"/>
                <w:szCs w:val="20"/>
                <w:lang w:eastAsia="en-GB"/>
              </w:rPr>
              <w:t>1</w:t>
            </w:r>
          </w:p>
        </w:tc>
        <w:tc>
          <w:tcPr>
            <w:tcW w:w="570" w:type="pct"/>
            <w:noWrap/>
            <w:hideMark/>
          </w:tcPr>
          <w:p w14:paraId="49E78F17" w14:textId="77777777" w:rsidR="003C7A2B" w:rsidRPr="00B07D65" w:rsidRDefault="009311C5" w:rsidP="00DA793E">
            <w:pPr>
              <w:rPr>
                <w:sz w:val="20"/>
                <w:szCs w:val="20"/>
                <w:lang w:eastAsia="en-GB"/>
              </w:rPr>
            </w:pPr>
            <w:r w:rsidRPr="00B07D65">
              <w:rPr>
                <w:sz w:val="20"/>
                <w:szCs w:val="20"/>
                <w:lang w:eastAsia="en-GB"/>
              </w:rPr>
              <w:t>-1600</w:t>
            </w:r>
          </w:p>
        </w:tc>
      </w:tr>
      <w:tr w:rsidR="00A62B72" w14:paraId="5E44DBE3" w14:textId="77777777" w:rsidTr="00BB320B">
        <w:trPr>
          <w:trHeight w:val="288"/>
        </w:trPr>
        <w:tc>
          <w:tcPr>
            <w:tcW w:w="570" w:type="pct"/>
            <w:noWrap/>
            <w:hideMark/>
          </w:tcPr>
          <w:p w14:paraId="0A9B50F5" w14:textId="77777777" w:rsidR="003C7A2B" w:rsidRPr="00B07D65" w:rsidRDefault="009311C5" w:rsidP="00DA793E">
            <w:pPr>
              <w:rPr>
                <w:sz w:val="20"/>
                <w:szCs w:val="20"/>
                <w:lang w:eastAsia="en-GB"/>
              </w:rPr>
            </w:pPr>
            <w:r w:rsidRPr="00B07D65">
              <w:rPr>
                <w:sz w:val="20"/>
                <w:szCs w:val="20"/>
                <w:lang w:eastAsia="en-GB"/>
              </w:rPr>
              <w:t>1</w:t>
            </w:r>
          </w:p>
        </w:tc>
        <w:tc>
          <w:tcPr>
            <w:tcW w:w="570" w:type="pct"/>
            <w:noWrap/>
            <w:hideMark/>
          </w:tcPr>
          <w:p w14:paraId="037D747D" w14:textId="77777777" w:rsidR="003C7A2B" w:rsidRPr="00B07D65" w:rsidRDefault="009311C5" w:rsidP="00DA793E">
            <w:pPr>
              <w:rPr>
                <w:sz w:val="20"/>
                <w:szCs w:val="20"/>
                <w:lang w:eastAsia="en-GB"/>
              </w:rPr>
            </w:pPr>
            <w:r w:rsidRPr="00B07D65">
              <w:rPr>
                <w:sz w:val="20"/>
                <w:szCs w:val="20"/>
                <w:lang w:eastAsia="en-GB"/>
              </w:rPr>
              <w:t>400</w:t>
            </w:r>
          </w:p>
        </w:tc>
        <w:tc>
          <w:tcPr>
            <w:tcW w:w="808" w:type="pct"/>
            <w:noWrap/>
            <w:hideMark/>
          </w:tcPr>
          <w:p w14:paraId="7EEA9CB3" w14:textId="77777777" w:rsidR="003C7A2B" w:rsidRPr="00B07D65" w:rsidRDefault="009311C5" w:rsidP="00DA793E">
            <w:pPr>
              <w:rPr>
                <w:sz w:val="20"/>
                <w:szCs w:val="20"/>
                <w:lang w:eastAsia="en-GB"/>
              </w:rPr>
            </w:pPr>
            <w:r w:rsidRPr="00B07D65">
              <w:rPr>
                <w:sz w:val="20"/>
                <w:szCs w:val="20"/>
                <w:lang w:eastAsia="en-GB"/>
              </w:rPr>
              <w:t>320</w:t>
            </w:r>
          </w:p>
        </w:tc>
        <w:tc>
          <w:tcPr>
            <w:tcW w:w="570" w:type="pct"/>
            <w:noWrap/>
            <w:hideMark/>
          </w:tcPr>
          <w:p w14:paraId="098A6F33" w14:textId="77777777" w:rsidR="003C7A2B" w:rsidRPr="00B07D65" w:rsidRDefault="009311C5" w:rsidP="00DA793E">
            <w:pPr>
              <w:rPr>
                <w:sz w:val="20"/>
                <w:szCs w:val="20"/>
                <w:lang w:eastAsia="en-GB"/>
              </w:rPr>
            </w:pPr>
            <w:r w:rsidRPr="00B07D65">
              <w:rPr>
                <w:sz w:val="20"/>
                <w:szCs w:val="20"/>
                <w:lang w:eastAsia="en-GB"/>
              </w:rPr>
              <w:t>80</w:t>
            </w:r>
          </w:p>
        </w:tc>
        <w:tc>
          <w:tcPr>
            <w:tcW w:w="570" w:type="pct"/>
            <w:noWrap/>
            <w:hideMark/>
          </w:tcPr>
          <w:p w14:paraId="1ED8A7DC" w14:textId="77777777" w:rsidR="003C7A2B" w:rsidRPr="00B07D65" w:rsidRDefault="009311C5" w:rsidP="00DA793E">
            <w:pPr>
              <w:rPr>
                <w:sz w:val="20"/>
                <w:szCs w:val="20"/>
                <w:lang w:eastAsia="en-GB"/>
              </w:rPr>
            </w:pPr>
            <w:r w:rsidRPr="00B07D65">
              <w:rPr>
                <w:sz w:val="20"/>
                <w:szCs w:val="20"/>
                <w:lang w:eastAsia="en-GB"/>
              </w:rPr>
              <w:t>20</w:t>
            </w:r>
          </w:p>
        </w:tc>
        <w:tc>
          <w:tcPr>
            <w:tcW w:w="570" w:type="pct"/>
            <w:noWrap/>
            <w:hideMark/>
          </w:tcPr>
          <w:p w14:paraId="78AC5C77" w14:textId="77777777" w:rsidR="003C7A2B" w:rsidRPr="00B07D65" w:rsidRDefault="009311C5" w:rsidP="00DA793E">
            <w:pPr>
              <w:rPr>
                <w:sz w:val="20"/>
                <w:szCs w:val="20"/>
                <w:lang w:eastAsia="en-GB"/>
              </w:rPr>
            </w:pPr>
            <w:r w:rsidRPr="00B07D65">
              <w:rPr>
                <w:sz w:val="20"/>
                <w:szCs w:val="20"/>
                <w:lang w:eastAsia="en-GB"/>
              </w:rPr>
              <w:t>380</w:t>
            </w:r>
          </w:p>
        </w:tc>
        <w:tc>
          <w:tcPr>
            <w:tcW w:w="772" w:type="pct"/>
            <w:hideMark/>
          </w:tcPr>
          <w:p w14:paraId="07642E41" w14:textId="77777777" w:rsidR="003C7A2B" w:rsidRPr="00B07D65" w:rsidRDefault="009311C5" w:rsidP="00DA793E">
            <w:pPr>
              <w:rPr>
                <w:sz w:val="20"/>
                <w:szCs w:val="20"/>
                <w:lang w:eastAsia="en-GB"/>
              </w:rPr>
            </w:pPr>
            <w:r w:rsidRPr="00B07D65">
              <w:rPr>
                <w:sz w:val="20"/>
                <w:szCs w:val="20"/>
                <w:lang w:eastAsia="en-GB"/>
              </w:rPr>
              <w:t>0.943</w:t>
            </w:r>
          </w:p>
        </w:tc>
        <w:tc>
          <w:tcPr>
            <w:tcW w:w="570" w:type="pct"/>
            <w:noWrap/>
            <w:hideMark/>
          </w:tcPr>
          <w:p w14:paraId="294F322E" w14:textId="77777777" w:rsidR="003C7A2B" w:rsidRPr="00B07D65" w:rsidRDefault="009311C5" w:rsidP="00DA793E">
            <w:pPr>
              <w:rPr>
                <w:sz w:val="20"/>
                <w:szCs w:val="20"/>
                <w:lang w:eastAsia="en-GB"/>
              </w:rPr>
            </w:pPr>
            <w:r w:rsidRPr="00B07D65">
              <w:rPr>
                <w:sz w:val="20"/>
                <w:szCs w:val="20"/>
                <w:lang w:eastAsia="en-GB"/>
              </w:rPr>
              <w:t>377.2</w:t>
            </w:r>
          </w:p>
        </w:tc>
      </w:tr>
      <w:tr w:rsidR="00A62B72" w14:paraId="269BE548" w14:textId="77777777" w:rsidTr="00BB320B">
        <w:trPr>
          <w:trHeight w:val="288"/>
        </w:trPr>
        <w:tc>
          <w:tcPr>
            <w:tcW w:w="570" w:type="pct"/>
            <w:noWrap/>
            <w:hideMark/>
          </w:tcPr>
          <w:p w14:paraId="12B470C1" w14:textId="77777777" w:rsidR="003C7A2B" w:rsidRPr="00B07D65" w:rsidRDefault="009311C5" w:rsidP="00DA793E">
            <w:pPr>
              <w:rPr>
                <w:sz w:val="20"/>
                <w:szCs w:val="20"/>
                <w:lang w:eastAsia="en-GB"/>
              </w:rPr>
            </w:pPr>
            <w:r w:rsidRPr="00B07D65">
              <w:rPr>
                <w:sz w:val="20"/>
                <w:szCs w:val="20"/>
                <w:lang w:eastAsia="en-GB"/>
              </w:rPr>
              <w:t>2</w:t>
            </w:r>
          </w:p>
        </w:tc>
        <w:tc>
          <w:tcPr>
            <w:tcW w:w="570" w:type="pct"/>
            <w:noWrap/>
            <w:hideMark/>
          </w:tcPr>
          <w:p w14:paraId="2F56550F" w14:textId="77777777" w:rsidR="003C7A2B" w:rsidRPr="00B07D65" w:rsidRDefault="009311C5" w:rsidP="00DA793E">
            <w:pPr>
              <w:rPr>
                <w:sz w:val="20"/>
                <w:szCs w:val="20"/>
                <w:lang w:eastAsia="en-GB"/>
              </w:rPr>
            </w:pPr>
            <w:r w:rsidRPr="00B07D65">
              <w:rPr>
                <w:sz w:val="20"/>
                <w:szCs w:val="20"/>
                <w:lang w:eastAsia="en-GB"/>
              </w:rPr>
              <w:t>700</w:t>
            </w:r>
          </w:p>
        </w:tc>
        <w:tc>
          <w:tcPr>
            <w:tcW w:w="808" w:type="pct"/>
            <w:noWrap/>
            <w:hideMark/>
          </w:tcPr>
          <w:p w14:paraId="1E09FC17" w14:textId="77777777" w:rsidR="003C7A2B" w:rsidRPr="00B07D65" w:rsidRDefault="009311C5" w:rsidP="00DA793E">
            <w:pPr>
              <w:rPr>
                <w:sz w:val="20"/>
                <w:szCs w:val="20"/>
                <w:lang w:eastAsia="en-GB"/>
              </w:rPr>
            </w:pPr>
            <w:r w:rsidRPr="00B07D65">
              <w:rPr>
                <w:sz w:val="20"/>
                <w:szCs w:val="20"/>
                <w:lang w:eastAsia="en-GB"/>
              </w:rPr>
              <w:t>320</w:t>
            </w:r>
          </w:p>
        </w:tc>
        <w:tc>
          <w:tcPr>
            <w:tcW w:w="570" w:type="pct"/>
            <w:noWrap/>
            <w:hideMark/>
          </w:tcPr>
          <w:p w14:paraId="0018B774" w14:textId="77777777" w:rsidR="003C7A2B" w:rsidRPr="00B07D65" w:rsidRDefault="009311C5" w:rsidP="00DA793E">
            <w:pPr>
              <w:rPr>
                <w:sz w:val="20"/>
                <w:szCs w:val="20"/>
                <w:lang w:eastAsia="en-GB"/>
              </w:rPr>
            </w:pPr>
            <w:r w:rsidRPr="00B07D65">
              <w:rPr>
                <w:sz w:val="20"/>
                <w:szCs w:val="20"/>
                <w:lang w:eastAsia="en-GB"/>
              </w:rPr>
              <w:t>380</w:t>
            </w:r>
          </w:p>
        </w:tc>
        <w:tc>
          <w:tcPr>
            <w:tcW w:w="570" w:type="pct"/>
            <w:noWrap/>
            <w:hideMark/>
          </w:tcPr>
          <w:p w14:paraId="4F42A05A" w14:textId="77777777" w:rsidR="003C7A2B" w:rsidRPr="00B07D65" w:rsidRDefault="009311C5" w:rsidP="00DA793E">
            <w:pPr>
              <w:rPr>
                <w:sz w:val="20"/>
                <w:szCs w:val="20"/>
                <w:lang w:eastAsia="en-GB"/>
              </w:rPr>
            </w:pPr>
            <w:r w:rsidRPr="00B07D65">
              <w:rPr>
                <w:sz w:val="20"/>
                <w:szCs w:val="20"/>
                <w:lang w:eastAsia="en-GB"/>
              </w:rPr>
              <w:t>95</w:t>
            </w:r>
          </w:p>
        </w:tc>
        <w:tc>
          <w:tcPr>
            <w:tcW w:w="570" w:type="pct"/>
            <w:noWrap/>
            <w:hideMark/>
          </w:tcPr>
          <w:p w14:paraId="4A0E73EA" w14:textId="77777777" w:rsidR="003C7A2B" w:rsidRPr="00B07D65" w:rsidRDefault="009311C5" w:rsidP="00DA793E">
            <w:pPr>
              <w:rPr>
                <w:sz w:val="20"/>
                <w:szCs w:val="20"/>
                <w:lang w:eastAsia="en-GB"/>
              </w:rPr>
            </w:pPr>
            <w:r w:rsidRPr="00B07D65">
              <w:rPr>
                <w:sz w:val="20"/>
                <w:szCs w:val="20"/>
                <w:lang w:eastAsia="en-GB"/>
              </w:rPr>
              <w:t>605</w:t>
            </w:r>
          </w:p>
        </w:tc>
        <w:tc>
          <w:tcPr>
            <w:tcW w:w="772" w:type="pct"/>
            <w:hideMark/>
          </w:tcPr>
          <w:p w14:paraId="2781A99B" w14:textId="77777777" w:rsidR="003C7A2B" w:rsidRPr="00B07D65" w:rsidRDefault="009311C5" w:rsidP="00DA793E">
            <w:pPr>
              <w:rPr>
                <w:sz w:val="20"/>
                <w:szCs w:val="20"/>
                <w:lang w:eastAsia="en-GB"/>
              </w:rPr>
            </w:pPr>
            <w:r w:rsidRPr="00B07D65">
              <w:rPr>
                <w:sz w:val="20"/>
                <w:szCs w:val="20"/>
                <w:lang w:eastAsia="en-GB"/>
              </w:rPr>
              <w:t>0.89</w:t>
            </w:r>
          </w:p>
        </w:tc>
        <w:tc>
          <w:tcPr>
            <w:tcW w:w="570" w:type="pct"/>
            <w:noWrap/>
            <w:hideMark/>
          </w:tcPr>
          <w:p w14:paraId="345471BB" w14:textId="77777777" w:rsidR="003C7A2B" w:rsidRPr="00B07D65" w:rsidRDefault="009311C5" w:rsidP="00DA793E">
            <w:pPr>
              <w:rPr>
                <w:sz w:val="20"/>
                <w:szCs w:val="20"/>
                <w:lang w:eastAsia="en-GB"/>
              </w:rPr>
            </w:pPr>
            <w:r w:rsidRPr="00B07D65">
              <w:rPr>
                <w:sz w:val="20"/>
                <w:szCs w:val="20"/>
                <w:lang w:eastAsia="en-GB"/>
              </w:rPr>
              <w:t>623</w:t>
            </w:r>
          </w:p>
        </w:tc>
      </w:tr>
      <w:tr w:rsidR="00A62B72" w14:paraId="71FCA1D0" w14:textId="77777777" w:rsidTr="00BB320B">
        <w:trPr>
          <w:trHeight w:val="288"/>
        </w:trPr>
        <w:tc>
          <w:tcPr>
            <w:tcW w:w="570" w:type="pct"/>
            <w:noWrap/>
            <w:hideMark/>
          </w:tcPr>
          <w:p w14:paraId="45B7C689" w14:textId="77777777" w:rsidR="003C7A2B" w:rsidRPr="00B07D65" w:rsidRDefault="009311C5" w:rsidP="00DA793E">
            <w:pPr>
              <w:rPr>
                <w:sz w:val="20"/>
                <w:szCs w:val="20"/>
                <w:lang w:eastAsia="en-GB"/>
              </w:rPr>
            </w:pPr>
            <w:r w:rsidRPr="00B07D65">
              <w:rPr>
                <w:sz w:val="20"/>
                <w:szCs w:val="20"/>
                <w:lang w:eastAsia="en-GB"/>
              </w:rPr>
              <w:t>3</w:t>
            </w:r>
          </w:p>
        </w:tc>
        <w:tc>
          <w:tcPr>
            <w:tcW w:w="570" w:type="pct"/>
            <w:noWrap/>
            <w:hideMark/>
          </w:tcPr>
          <w:p w14:paraId="36484545" w14:textId="77777777" w:rsidR="003C7A2B" w:rsidRPr="00B07D65" w:rsidRDefault="009311C5" w:rsidP="00DA793E">
            <w:pPr>
              <w:rPr>
                <w:sz w:val="20"/>
                <w:szCs w:val="20"/>
                <w:lang w:eastAsia="en-GB"/>
              </w:rPr>
            </w:pPr>
            <w:r w:rsidRPr="00B07D65">
              <w:rPr>
                <w:sz w:val="20"/>
                <w:szCs w:val="20"/>
                <w:lang w:eastAsia="en-GB"/>
              </w:rPr>
              <w:t>850</w:t>
            </w:r>
          </w:p>
        </w:tc>
        <w:tc>
          <w:tcPr>
            <w:tcW w:w="808" w:type="pct"/>
            <w:noWrap/>
            <w:hideMark/>
          </w:tcPr>
          <w:p w14:paraId="0D963732" w14:textId="77777777" w:rsidR="003C7A2B" w:rsidRPr="00B07D65" w:rsidRDefault="009311C5" w:rsidP="00DA793E">
            <w:pPr>
              <w:rPr>
                <w:sz w:val="20"/>
                <w:szCs w:val="20"/>
                <w:lang w:eastAsia="en-GB"/>
              </w:rPr>
            </w:pPr>
            <w:r w:rsidRPr="00B07D65">
              <w:rPr>
                <w:sz w:val="20"/>
                <w:szCs w:val="20"/>
                <w:lang w:eastAsia="en-GB"/>
              </w:rPr>
              <w:t>320</w:t>
            </w:r>
          </w:p>
        </w:tc>
        <w:tc>
          <w:tcPr>
            <w:tcW w:w="570" w:type="pct"/>
            <w:noWrap/>
            <w:hideMark/>
          </w:tcPr>
          <w:p w14:paraId="56D02572" w14:textId="77777777" w:rsidR="003C7A2B" w:rsidRPr="00B07D65" w:rsidRDefault="009311C5" w:rsidP="00DA793E">
            <w:pPr>
              <w:rPr>
                <w:sz w:val="20"/>
                <w:szCs w:val="20"/>
                <w:lang w:eastAsia="en-GB"/>
              </w:rPr>
            </w:pPr>
            <w:r w:rsidRPr="00B07D65">
              <w:rPr>
                <w:sz w:val="20"/>
                <w:szCs w:val="20"/>
                <w:lang w:eastAsia="en-GB"/>
              </w:rPr>
              <w:t>530</w:t>
            </w:r>
          </w:p>
        </w:tc>
        <w:tc>
          <w:tcPr>
            <w:tcW w:w="570" w:type="pct"/>
            <w:noWrap/>
            <w:hideMark/>
          </w:tcPr>
          <w:p w14:paraId="0A396DAB" w14:textId="77777777" w:rsidR="003C7A2B" w:rsidRPr="00B07D65" w:rsidRDefault="009311C5" w:rsidP="00DA793E">
            <w:pPr>
              <w:rPr>
                <w:sz w:val="20"/>
                <w:szCs w:val="20"/>
                <w:lang w:eastAsia="en-GB"/>
              </w:rPr>
            </w:pPr>
            <w:r w:rsidRPr="00B07D65">
              <w:rPr>
                <w:sz w:val="20"/>
                <w:szCs w:val="20"/>
                <w:lang w:eastAsia="en-GB"/>
              </w:rPr>
              <w:t>132.5</w:t>
            </w:r>
          </w:p>
        </w:tc>
        <w:tc>
          <w:tcPr>
            <w:tcW w:w="570" w:type="pct"/>
            <w:noWrap/>
            <w:hideMark/>
          </w:tcPr>
          <w:p w14:paraId="5830F822" w14:textId="77777777" w:rsidR="003C7A2B" w:rsidRPr="00B07D65" w:rsidRDefault="009311C5" w:rsidP="00DA793E">
            <w:pPr>
              <w:rPr>
                <w:sz w:val="20"/>
                <w:szCs w:val="20"/>
                <w:lang w:eastAsia="en-GB"/>
              </w:rPr>
            </w:pPr>
            <w:r w:rsidRPr="00B07D65">
              <w:rPr>
                <w:sz w:val="20"/>
                <w:szCs w:val="20"/>
                <w:lang w:eastAsia="en-GB"/>
              </w:rPr>
              <w:t>717.5</w:t>
            </w:r>
          </w:p>
        </w:tc>
        <w:tc>
          <w:tcPr>
            <w:tcW w:w="772" w:type="pct"/>
            <w:hideMark/>
          </w:tcPr>
          <w:p w14:paraId="69AC2756" w14:textId="77777777" w:rsidR="003C7A2B" w:rsidRPr="00B07D65" w:rsidRDefault="009311C5" w:rsidP="00DA793E">
            <w:pPr>
              <w:rPr>
                <w:sz w:val="20"/>
                <w:szCs w:val="20"/>
                <w:lang w:eastAsia="en-GB"/>
              </w:rPr>
            </w:pPr>
            <w:r w:rsidRPr="00B07D65">
              <w:rPr>
                <w:sz w:val="20"/>
                <w:szCs w:val="20"/>
                <w:lang w:eastAsia="en-GB"/>
              </w:rPr>
              <w:t>0.84</w:t>
            </w:r>
          </w:p>
        </w:tc>
        <w:tc>
          <w:tcPr>
            <w:tcW w:w="570" w:type="pct"/>
            <w:noWrap/>
            <w:hideMark/>
          </w:tcPr>
          <w:p w14:paraId="0C6DF92B" w14:textId="77777777" w:rsidR="003C7A2B" w:rsidRPr="00B07D65" w:rsidRDefault="009311C5" w:rsidP="00DA793E">
            <w:pPr>
              <w:rPr>
                <w:sz w:val="20"/>
                <w:szCs w:val="20"/>
                <w:lang w:eastAsia="en-GB"/>
              </w:rPr>
            </w:pPr>
            <w:r w:rsidRPr="00B07D65">
              <w:rPr>
                <w:sz w:val="20"/>
                <w:szCs w:val="20"/>
                <w:lang w:eastAsia="en-GB"/>
              </w:rPr>
              <w:t>714</w:t>
            </w:r>
          </w:p>
        </w:tc>
      </w:tr>
      <w:tr w:rsidR="00A62B72" w14:paraId="53E73424" w14:textId="77777777" w:rsidTr="00BB320B">
        <w:trPr>
          <w:trHeight w:val="288"/>
        </w:trPr>
        <w:tc>
          <w:tcPr>
            <w:tcW w:w="570" w:type="pct"/>
            <w:noWrap/>
            <w:hideMark/>
          </w:tcPr>
          <w:p w14:paraId="03D89570" w14:textId="77777777" w:rsidR="003C7A2B" w:rsidRPr="00B07D65" w:rsidRDefault="009311C5" w:rsidP="00DA793E">
            <w:pPr>
              <w:rPr>
                <w:sz w:val="20"/>
                <w:szCs w:val="20"/>
                <w:lang w:eastAsia="en-GB"/>
              </w:rPr>
            </w:pPr>
            <w:r w:rsidRPr="00B07D65">
              <w:rPr>
                <w:sz w:val="20"/>
                <w:szCs w:val="20"/>
                <w:lang w:eastAsia="en-GB"/>
              </w:rPr>
              <w:t>4</w:t>
            </w:r>
          </w:p>
        </w:tc>
        <w:tc>
          <w:tcPr>
            <w:tcW w:w="570" w:type="pct"/>
            <w:noWrap/>
            <w:hideMark/>
          </w:tcPr>
          <w:p w14:paraId="26E99A51" w14:textId="77777777" w:rsidR="003C7A2B" w:rsidRPr="00B07D65" w:rsidRDefault="009311C5" w:rsidP="00DA793E">
            <w:pPr>
              <w:rPr>
                <w:sz w:val="20"/>
                <w:szCs w:val="20"/>
                <w:lang w:eastAsia="en-GB"/>
              </w:rPr>
            </w:pPr>
            <w:r w:rsidRPr="00B07D65">
              <w:rPr>
                <w:sz w:val="20"/>
                <w:szCs w:val="20"/>
                <w:lang w:eastAsia="en-GB"/>
              </w:rPr>
              <w:t>1100</w:t>
            </w:r>
          </w:p>
        </w:tc>
        <w:tc>
          <w:tcPr>
            <w:tcW w:w="808" w:type="pct"/>
            <w:noWrap/>
            <w:hideMark/>
          </w:tcPr>
          <w:p w14:paraId="6AD1EAD7" w14:textId="77777777" w:rsidR="003C7A2B" w:rsidRPr="00B07D65" w:rsidRDefault="009311C5" w:rsidP="00DA793E">
            <w:pPr>
              <w:rPr>
                <w:sz w:val="20"/>
                <w:szCs w:val="20"/>
                <w:lang w:eastAsia="en-GB"/>
              </w:rPr>
            </w:pPr>
            <w:r w:rsidRPr="00B07D65">
              <w:rPr>
                <w:sz w:val="20"/>
                <w:szCs w:val="20"/>
                <w:lang w:eastAsia="en-GB"/>
              </w:rPr>
              <w:t>320</w:t>
            </w:r>
          </w:p>
        </w:tc>
        <w:tc>
          <w:tcPr>
            <w:tcW w:w="570" w:type="pct"/>
            <w:noWrap/>
            <w:hideMark/>
          </w:tcPr>
          <w:p w14:paraId="122B3D02" w14:textId="77777777" w:rsidR="003C7A2B" w:rsidRPr="00B07D65" w:rsidRDefault="009311C5" w:rsidP="00DA793E">
            <w:pPr>
              <w:rPr>
                <w:sz w:val="20"/>
                <w:szCs w:val="20"/>
                <w:lang w:eastAsia="en-GB"/>
              </w:rPr>
            </w:pPr>
            <w:r w:rsidRPr="00B07D65">
              <w:rPr>
                <w:sz w:val="20"/>
                <w:szCs w:val="20"/>
                <w:lang w:eastAsia="en-GB"/>
              </w:rPr>
              <w:t>780</w:t>
            </w:r>
          </w:p>
        </w:tc>
        <w:tc>
          <w:tcPr>
            <w:tcW w:w="570" w:type="pct"/>
            <w:noWrap/>
            <w:hideMark/>
          </w:tcPr>
          <w:p w14:paraId="1FD035CB" w14:textId="77777777" w:rsidR="003C7A2B" w:rsidRPr="00B07D65" w:rsidRDefault="009311C5" w:rsidP="00DA793E">
            <w:pPr>
              <w:rPr>
                <w:sz w:val="20"/>
                <w:szCs w:val="20"/>
                <w:lang w:eastAsia="en-GB"/>
              </w:rPr>
            </w:pPr>
            <w:r w:rsidRPr="00B07D65">
              <w:rPr>
                <w:sz w:val="20"/>
                <w:szCs w:val="20"/>
                <w:lang w:eastAsia="en-GB"/>
              </w:rPr>
              <w:t>195</w:t>
            </w:r>
          </w:p>
        </w:tc>
        <w:tc>
          <w:tcPr>
            <w:tcW w:w="570" w:type="pct"/>
            <w:noWrap/>
            <w:hideMark/>
          </w:tcPr>
          <w:p w14:paraId="11AC6BD7" w14:textId="77777777" w:rsidR="003C7A2B" w:rsidRPr="00B07D65" w:rsidRDefault="009311C5" w:rsidP="00DA793E">
            <w:pPr>
              <w:rPr>
                <w:sz w:val="20"/>
                <w:szCs w:val="20"/>
                <w:lang w:eastAsia="en-GB"/>
              </w:rPr>
            </w:pPr>
            <w:r w:rsidRPr="00B07D65">
              <w:rPr>
                <w:sz w:val="20"/>
                <w:szCs w:val="20"/>
                <w:lang w:eastAsia="en-GB"/>
              </w:rPr>
              <w:t>905</w:t>
            </w:r>
          </w:p>
        </w:tc>
        <w:tc>
          <w:tcPr>
            <w:tcW w:w="772" w:type="pct"/>
            <w:hideMark/>
          </w:tcPr>
          <w:p w14:paraId="1EB1C856" w14:textId="77777777" w:rsidR="003C7A2B" w:rsidRPr="00B07D65" w:rsidRDefault="009311C5" w:rsidP="00DA793E">
            <w:pPr>
              <w:rPr>
                <w:sz w:val="20"/>
                <w:szCs w:val="20"/>
                <w:lang w:eastAsia="en-GB"/>
              </w:rPr>
            </w:pPr>
            <w:r w:rsidRPr="00B07D65">
              <w:rPr>
                <w:sz w:val="20"/>
                <w:szCs w:val="20"/>
                <w:lang w:eastAsia="en-GB"/>
              </w:rPr>
              <w:t>0.792</w:t>
            </w:r>
          </w:p>
        </w:tc>
        <w:tc>
          <w:tcPr>
            <w:tcW w:w="570" w:type="pct"/>
            <w:noWrap/>
            <w:hideMark/>
          </w:tcPr>
          <w:p w14:paraId="255F4BAF" w14:textId="77777777" w:rsidR="003C7A2B" w:rsidRPr="00B07D65" w:rsidRDefault="009311C5" w:rsidP="00DA793E">
            <w:pPr>
              <w:rPr>
                <w:sz w:val="20"/>
                <w:szCs w:val="20"/>
                <w:lang w:eastAsia="en-GB"/>
              </w:rPr>
            </w:pPr>
            <w:r w:rsidRPr="00B07D65">
              <w:rPr>
                <w:sz w:val="20"/>
                <w:szCs w:val="20"/>
                <w:lang w:eastAsia="en-GB"/>
              </w:rPr>
              <w:t>871.2</w:t>
            </w:r>
          </w:p>
        </w:tc>
      </w:tr>
      <w:tr w:rsidR="00A62B72" w14:paraId="5C2FD25E" w14:textId="77777777" w:rsidTr="00BB320B">
        <w:trPr>
          <w:trHeight w:val="288"/>
        </w:trPr>
        <w:tc>
          <w:tcPr>
            <w:tcW w:w="570" w:type="pct"/>
            <w:noWrap/>
            <w:hideMark/>
          </w:tcPr>
          <w:p w14:paraId="67C8326D" w14:textId="77777777" w:rsidR="003C7A2B" w:rsidRPr="00B07D65" w:rsidRDefault="003C7A2B" w:rsidP="00DA793E">
            <w:pPr>
              <w:rPr>
                <w:sz w:val="20"/>
                <w:szCs w:val="20"/>
                <w:lang w:eastAsia="en-GB"/>
              </w:rPr>
            </w:pPr>
          </w:p>
        </w:tc>
        <w:tc>
          <w:tcPr>
            <w:tcW w:w="570" w:type="pct"/>
            <w:noWrap/>
            <w:hideMark/>
          </w:tcPr>
          <w:p w14:paraId="06436847" w14:textId="77777777" w:rsidR="003C7A2B" w:rsidRPr="00B07D65" w:rsidRDefault="003C7A2B" w:rsidP="00DA793E">
            <w:pPr>
              <w:rPr>
                <w:rFonts w:ascii="Times New Roman" w:hAnsi="Times New Roman" w:cs="Times New Roman"/>
                <w:sz w:val="20"/>
                <w:szCs w:val="20"/>
                <w:lang w:eastAsia="en-GB"/>
              </w:rPr>
            </w:pPr>
          </w:p>
        </w:tc>
        <w:tc>
          <w:tcPr>
            <w:tcW w:w="808" w:type="pct"/>
            <w:noWrap/>
            <w:hideMark/>
          </w:tcPr>
          <w:p w14:paraId="630415C0" w14:textId="77777777" w:rsidR="003C7A2B" w:rsidRPr="00B07D65" w:rsidRDefault="003C7A2B" w:rsidP="00DA793E">
            <w:pPr>
              <w:rPr>
                <w:rFonts w:ascii="Times New Roman" w:hAnsi="Times New Roman" w:cs="Times New Roman"/>
                <w:sz w:val="20"/>
                <w:szCs w:val="20"/>
                <w:lang w:eastAsia="en-GB"/>
              </w:rPr>
            </w:pPr>
          </w:p>
        </w:tc>
        <w:tc>
          <w:tcPr>
            <w:tcW w:w="570" w:type="pct"/>
            <w:noWrap/>
            <w:hideMark/>
          </w:tcPr>
          <w:p w14:paraId="2EC35C2A" w14:textId="77777777" w:rsidR="003C7A2B" w:rsidRPr="00B07D65" w:rsidRDefault="003C7A2B" w:rsidP="00DA793E">
            <w:pPr>
              <w:rPr>
                <w:rFonts w:ascii="Times New Roman" w:hAnsi="Times New Roman" w:cs="Times New Roman"/>
                <w:sz w:val="20"/>
                <w:szCs w:val="20"/>
                <w:lang w:eastAsia="en-GB"/>
              </w:rPr>
            </w:pPr>
          </w:p>
        </w:tc>
        <w:tc>
          <w:tcPr>
            <w:tcW w:w="570" w:type="pct"/>
            <w:noWrap/>
            <w:hideMark/>
          </w:tcPr>
          <w:p w14:paraId="17B382F0" w14:textId="77777777" w:rsidR="003C7A2B" w:rsidRPr="00B07D65" w:rsidRDefault="003C7A2B" w:rsidP="00DA793E">
            <w:pPr>
              <w:rPr>
                <w:rFonts w:ascii="Times New Roman" w:hAnsi="Times New Roman" w:cs="Times New Roman"/>
                <w:sz w:val="20"/>
                <w:szCs w:val="20"/>
                <w:lang w:eastAsia="en-GB"/>
              </w:rPr>
            </w:pPr>
          </w:p>
        </w:tc>
        <w:tc>
          <w:tcPr>
            <w:tcW w:w="570" w:type="pct"/>
            <w:noWrap/>
            <w:hideMark/>
          </w:tcPr>
          <w:p w14:paraId="5CB2F632" w14:textId="77777777" w:rsidR="003C7A2B" w:rsidRPr="00B07D65" w:rsidRDefault="003C7A2B" w:rsidP="00DA793E">
            <w:pPr>
              <w:rPr>
                <w:rFonts w:ascii="Times New Roman" w:hAnsi="Times New Roman" w:cs="Times New Roman"/>
                <w:sz w:val="20"/>
                <w:szCs w:val="20"/>
                <w:lang w:eastAsia="en-GB"/>
              </w:rPr>
            </w:pPr>
          </w:p>
        </w:tc>
        <w:tc>
          <w:tcPr>
            <w:tcW w:w="772" w:type="pct"/>
            <w:noWrap/>
            <w:hideMark/>
          </w:tcPr>
          <w:p w14:paraId="589BC12B" w14:textId="77777777" w:rsidR="003C7A2B" w:rsidRPr="00B07D65" w:rsidRDefault="003C7A2B" w:rsidP="00DA793E">
            <w:pPr>
              <w:rPr>
                <w:rFonts w:ascii="Times New Roman" w:hAnsi="Times New Roman" w:cs="Times New Roman"/>
                <w:sz w:val="20"/>
                <w:szCs w:val="20"/>
                <w:lang w:eastAsia="en-GB"/>
              </w:rPr>
            </w:pPr>
          </w:p>
        </w:tc>
        <w:tc>
          <w:tcPr>
            <w:tcW w:w="570" w:type="pct"/>
            <w:noWrap/>
            <w:hideMark/>
          </w:tcPr>
          <w:p w14:paraId="6A4E62C3" w14:textId="77777777" w:rsidR="003C7A2B" w:rsidRPr="00B07D65" w:rsidRDefault="003C7A2B" w:rsidP="00DA793E">
            <w:pPr>
              <w:rPr>
                <w:rFonts w:ascii="Times New Roman" w:hAnsi="Times New Roman" w:cs="Times New Roman"/>
                <w:sz w:val="20"/>
                <w:szCs w:val="20"/>
                <w:lang w:eastAsia="en-GB"/>
              </w:rPr>
            </w:pPr>
          </w:p>
        </w:tc>
      </w:tr>
      <w:tr w:rsidR="00A62B72" w14:paraId="20C5B8C5" w14:textId="77777777" w:rsidTr="00BB320B">
        <w:trPr>
          <w:trHeight w:val="288"/>
        </w:trPr>
        <w:tc>
          <w:tcPr>
            <w:tcW w:w="570" w:type="pct"/>
            <w:noWrap/>
            <w:hideMark/>
          </w:tcPr>
          <w:p w14:paraId="31A63FD5" w14:textId="77777777" w:rsidR="003C7A2B" w:rsidRPr="00B07D65" w:rsidRDefault="003C7A2B" w:rsidP="00DA793E">
            <w:pPr>
              <w:rPr>
                <w:rFonts w:ascii="Times New Roman" w:hAnsi="Times New Roman" w:cs="Times New Roman"/>
                <w:sz w:val="20"/>
                <w:szCs w:val="20"/>
                <w:lang w:eastAsia="en-GB"/>
              </w:rPr>
            </w:pPr>
          </w:p>
        </w:tc>
        <w:tc>
          <w:tcPr>
            <w:tcW w:w="570" w:type="pct"/>
            <w:noWrap/>
            <w:hideMark/>
          </w:tcPr>
          <w:p w14:paraId="51EBA67E" w14:textId="77777777" w:rsidR="003C7A2B" w:rsidRPr="00B07D65" w:rsidRDefault="003C7A2B" w:rsidP="00DA793E">
            <w:pPr>
              <w:rPr>
                <w:rFonts w:ascii="Times New Roman" w:hAnsi="Times New Roman" w:cs="Times New Roman"/>
                <w:sz w:val="20"/>
                <w:szCs w:val="20"/>
                <w:lang w:eastAsia="en-GB"/>
              </w:rPr>
            </w:pPr>
          </w:p>
        </w:tc>
        <w:tc>
          <w:tcPr>
            <w:tcW w:w="808" w:type="pct"/>
            <w:noWrap/>
            <w:hideMark/>
          </w:tcPr>
          <w:p w14:paraId="585F20FD" w14:textId="77777777" w:rsidR="003C7A2B" w:rsidRPr="00B07D65" w:rsidRDefault="003C7A2B" w:rsidP="00DA793E">
            <w:pPr>
              <w:rPr>
                <w:rFonts w:ascii="Times New Roman" w:hAnsi="Times New Roman" w:cs="Times New Roman"/>
                <w:sz w:val="20"/>
                <w:szCs w:val="20"/>
                <w:lang w:eastAsia="en-GB"/>
              </w:rPr>
            </w:pPr>
          </w:p>
        </w:tc>
        <w:tc>
          <w:tcPr>
            <w:tcW w:w="570" w:type="pct"/>
            <w:noWrap/>
            <w:hideMark/>
          </w:tcPr>
          <w:p w14:paraId="5481755B" w14:textId="77777777" w:rsidR="003C7A2B" w:rsidRPr="00B07D65" w:rsidRDefault="003C7A2B" w:rsidP="00DA793E">
            <w:pPr>
              <w:rPr>
                <w:rFonts w:ascii="Times New Roman" w:hAnsi="Times New Roman" w:cs="Times New Roman"/>
                <w:sz w:val="20"/>
                <w:szCs w:val="20"/>
                <w:lang w:eastAsia="en-GB"/>
              </w:rPr>
            </w:pPr>
          </w:p>
        </w:tc>
        <w:tc>
          <w:tcPr>
            <w:tcW w:w="570" w:type="pct"/>
            <w:noWrap/>
            <w:hideMark/>
          </w:tcPr>
          <w:p w14:paraId="05801009" w14:textId="77777777" w:rsidR="003C7A2B" w:rsidRPr="00B07D65" w:rsidRDefault="003C7A2B" w:rsidP="00DA793E">
            <w:pPr>
              <w:rPr>
                <w:rFonts w:ascii="Times New Roman" w:hAnsi="Times New Roman" w:cs="Times New Roman"/>
                <w:sz w:val="20"/>
                <w:szCs w:val="20"/>
                <w:lang w:eastAsia="en-GB"/>
              </w:rPr>
            </w:pPr>
          </w:p>
        </w:tc>
        <w:tc>
          <w:tcPr>
            <w:tcW w:w="570" w:type="pct"/>
            <w:noWrap/>
            <w:hideMark/>
          </w:tcPr>
          <w:p w14:paraId="1CF3D2EF" w14:textId="77777777" w:rsidR="003C7A2B" w:rsidRPr="00B07D65" w:rsidRDefault="003C7A2B" w:rsidP="00DA793E">
            <w:pPr>
              <w:rPr>
                <w:rFonts w:ascii="Times New Roman" w:hAnsi="Times New Roman" w:cs="Times New Roman"/>
                <w:sz w:val="20"/>
                <w:szCs w:val="20"/>
                <w:lang w:eastAsia="en-GB"/>
              </w:rPr>
            </w:pPr>
          </w:p>
        </w:tc>
        <w:tc>
          <w:tcPr>
            <w:tcW w:w="772" w:type="pct"/>
            <w:noWrap/>
            <w:hideMark/>
          </w:tcPr>
          <w:p w14:paraId="50EFCE00" w14:textId="77777777" w:rsidR="003C7A2B" w:rsidRPr="00B07D65" w:rsidRDefault="003C7A2B" w:rsidP="00DA793E">
            <w:pPr>
              <w:rPr>
                <w:rFonts w:ascii="Times New Roman" w:hAnsi="Times New Roman" w:cs="Times New Roman"/>
                <w:sz w:val="20"/>
                <w:szCs w:val="20"/>
                <w:lang w:eastAsia="en-GB"/>
              </w:rPr>
            </w:pPr>
          </w:p>
        </w:tc>
        <w:tc>
          <w:tcPr>
            <w:tcW w:w="570" w:type="pct"/>
            <w:noWrap/>
            <w:hideMark/>
          </w:tcPr>
          <w:p w14:paraId="1ABEB22A" w14:textId="77777777" w:rsidR="003C7A2B" w:rsidRPr="00B07D65" w:rsidRDefault="003C7A2B" w:rsidP="00DA793E">
            <w:pPr>
              <w:rPr>
                <w:rFonts w:ascii="Times New Roman" w:hAnsi="Times New Roman" w:cs="Times New Roman"/>
                <w:sz w:val="20"/>
                <w:szCs w:val="20"/>
                <w:lang w:eastAsia="en-GB"/>
              </w:rPr>
            </w:pPr>
          </w:p>
        </w:tc>
      </w:tr>
      <w:tr w:rsidR="00A62B72" w14:paraId="2DA24636" w14:textId="77777777" w:rsidTr="00BB320B">
        <w:trPr>
          <w:trHeight w:val="288"/>
        </w:trPr>
        <w:tc>
          <w:tcPr>
            <w:tcW w:w="570" w:type="pct"/>
            <w:noWrap/>
            <w:hideMark/>
          </w:tcPr>
          <w:p w14:paraId="5C4E2A4B" w14:textId="77777777" w:rsidR="003C7A2B" w:rsidRPr="00B07D65" w:rsidRDefault="009311C5" w:rsidP="00DA793E">
            <w:pPr>
              <w:rPr>
                <w:sz w:val="20"/>
                <w:szCs w:val="20"/>
                <w:lang w:eastAsia="en-GB"/>
              </w:rPr>
            </w:pPr>
            <w:r w:rsidRPr="00B07D65">
              <w:rPr>
                <w:sz w:val="20"/>
                <w:szCs w:val="20"/>
                <w:lang w:eastAsia="en-GB"/>
              </w:rPr>
              <w:t>IRR</w:t>
            </w:r>
          </w:p>
        </w:tc>
        <w:tc>
          <w:tcPr>
            <w:tcW w:w="570" w:type="pct"/>
            <w:noWrap/>
            <w:hideMark/>
          </w:tcPr>
          <w:p w14:paraId="3DB95916" w14:textId="77777777" w:rsidR="003C7A2B" w:rsidRPr="00B07D65" w:rsidRDefault="009311C5" w:rsidP="00DA793E">
            <w:pPr>
              <w:rPr>
                <w:sz w:val="20"/>
                <w:szCs w:val="20"/>
                <w:lang w:eastAsia="en-GB"/>
              </w:rPr>
            </w:pPr>
            <w:r w:rsidRPr="00B07D65">
              <w:rPr>
                <w:sz w:val="20"/>
                <w:szCs w:val="20"/>
                <w:lang w:eastAsia="en-GB"/>
              </w:rPr>
              <w:t>20%</w:t>
            </w:r>
          </w:p>
        </w:tc>
        <w:tc>
          <w:tcPr>
            <w:tcW w:w="808" w:type="pct"/>
            <w:noWrap/>
            <w:hideMark/>
          </w:tcPr>
          <w:p w14:paraId="0A9B72AB" w14:textId="77777777" w:rsidR="003C7A2B" w:rsidRPr="00B07D65" w:rsidRDefault="003C7A2B" w:rsidP="00DA793E">
            <w:pPr>
              <w:rPr>
                <w:sz w:val="20"/>
                <w:szCs w:val="20"/>
                <w:lang w:eastAsia="en-GB"/>
              </w:rPr>
            </w:pPr>
          </w:p>
        </w:tc>
        <w:tc>
          <w:tcPr>
            <w:tcW w:w="570" w:type="pct"/>
            <w:noWrap/>
            <w:hideMark/>
          </w:tcPr>
          <w:p w14:paraId="088ABD27" w14:textId="77777777" w:rsidR="003C7A2B" w:rsidRPr="00B07D65" w:rsidRDefault="003C7A2B" w:rsidP="00DA793E">
            <w:pPr>
              <w:rPr>
                <w:rFonts w:ascii="Times New Roman" w:hAnsi="Times New Roman" w:cs="Times New Roman"/>
                <w:sz w:val="20"/>
                <w:szCs w:val="20"/>
                <w:lang w:eastAsia="en-GB"/>
              </w:rPr>
            </w:pPr>
          </w:p>
        </w:tc>
        <w:tc>
          <w:tcPr>
            <w:tcW w:w="570" w:type="pct"/>
            <w:noWrap/>
            <w:hideMark/>
          </w:tcPr>
          <w:p w14:paraId="4D872908" w14:textId="77777777" w:rsidR="003C7A2B" w:rsidRPr="00B07D65" w:rsidRDefault="003C7A2B" w:rsidP="00DA793E">
            <w:pPr>
              <w:rPr>
                <w:rFonts w:ascii="Times New Roman" w:hAnsi="Times New Roman" w:cs="Times New Roman"/>
                <w:sz w:val="20"/>
                <w:szCs w:val="20"/>
                <w:lang w:eastAsia="en-GB"/>
              </w:rPr>
            </w:pPr>
          </w:p>
        </w:tc>
        <w:tc>
          <w:tcPr>
            <w:tcW w:w="570" w:type="pct"/>
            <w:noWrap/>
            <w:hideMark/>
          </w:tcPr>
          <w:p w14:paraId="553DE3A8" w14:textId="77777777" w:rsidR="003C7A2B" w:rsidRPr="00B07D65" w:rsidRDefault="003C7A2B" w:rsidP="00DA793E">
            <w:pPr>
              <w:rPr>
                <w:rFonts w:ascii="Times New Roman" w:hAnsi="Times New Roman" w:cs="Times New Roman"/>
                <w:sz w:val="20"/>
                <w:szCs w:val="20"/>
                <w:lang w:eastAsia="en-GB"/>
              </w:rPr>
            </w:pPr>
          </w:p>
        </w:tc>
        <w:tc>
          <w:tcPr>
            <w:tcW w:w="772" w:type="pct"/>
            <w:noWrap/>
            <w:hideMark/>
          </w:tcPr>
          <w:p w14:paraId="4253965F" w14:textId="77777777" w:rsidR="003C7A2B" w:rsidRPr="00B07D65" w:rsidRDefault="009311C5" w:rsidP="00DA793E">
            <w:pPr>
              <w:rPr>
                <w:sz w:val="20"/>
                <w:szCs w:val="20"/>
                <w:lang w:eastAsia="en-GB"/>
              </w:rPr>
            </w:pPr>
            <w:r w:rsidRPr="00B07D65">
              <w:rPr>
                <w:sz w:val="20"/>
                <w:szCs w:val="20"/>
                <w:lang w:eastAsia="en-GB"/>
              </w:rPr>
              <w:t>NPV</w:t>
            </w:r>
          </w:p>
        </w:tc>
        <w:tc>
          <w:tcPr>
            <w:tcW w:w="570" w:type="pct"/>
            <w:noWrap/>
            <w:hideMark/>
          </w:tcPr>
          <w:p w14:paraId="1BBC9B66" w14:textId="77777777" w:rsidR="003C7A2B" w:rsidRPr="00B07D65" w:rsidRDefault="009311C5" w:rsidP="00DA793E">
            <w:pPr>
              <w:rPr>
                <w:sz w:val="20"/>
                <w:szCs w:val="20"/>
                <w:lang w:eastAsia="en-GB"/>
              </w:rPr>
            </w:pPr>
            <w:r w:rsidRPr="00B07D65">
              <w:rPr>
                <w:sz w:val="20"/>
                <w:szCs w:val="20"/>
                <w:lang w:eastAsia="en-GB"/>
              </w:rPr>
              <w:t>985.4</w:t>
            </w:r>
          </w:p>
        </w:tc>
      </w:tr>
    </w:tbl>
    <w:p w14:paraId="456C5B43" w14:textId="77777777" w:rsidR="003C7A2B" w:rsidRDefault="003C7A2B" w:rsidP="00DA793E">
      <w:pPr>
        <w:spacing w:after="0" w:line="259" w:lineRule="auto"/>
        <w:jc w:val="left"/>
      </w:pPr>
    </w:p>
    <w:p w14:paraId="68F5E46A" w14:textId="77777777" w:rsidR="003C7A2B" w:rsidRDefault="009311C5" w:rsidP="009259C1">
      <w:r>
        <w:br w:type="page"/>
      </w:r>
      <w:bookmarkStart w:id="38" w:name="_Toc201179186"/>
      <w:r>
        <w:lastRenderedPageBreak/>
        <w:t>Appendix 5 Optimal Investment Policy</w:t>
      </w:r>
      <w:bookmarkEnd w:id="38"/>
      <w:r>
        <w:t xml:space="preserve"> </w:t>
      </w:r>
    </w:p>
    <w:tbl>
      <w:tblPr>
        <w:tblStyle w:val="TableGrid"/>
        <w:tblW w:w="5000" w:type="pct"/>
        <w:tblLook w:val="04A0" w:firstRow="1" w:lastRow="0" w:firstColumn="1" w:lastColumn="0" w:noHBand="0" w:noVBand="1"/>
      </w:tblPr>
      <w:tblGrid>
        <w:gridCol w:w="1290"/>
        <w:gridCol w:w="2444"/>
        <w:gridCol w:w="1747"/>
        <w:gridCol w:w="2472"/>
        <w:gridCol w:w="1397"/>
      </w:tblGrid>
      <w:tr w:rsidR="00A62B72" w14:paraId="095B4963" w14:textId="77777777" w:rsidTr="00BB320B">
        <w:trPr>
          <w:trHeight w:val="288"/>
        </w:trPr>
        <w:tc>
          <w:tcPr>
            <w:tcW w:w="690" w:type="pct"/>
            <w:noWrap/>
            <w:hideMark/>
          </w:tcPr>
          <w:p w14:paraId="3C48B6DC" w14:textId="77777777" w:rsidR="003C7A2B" w:rsidRPr="00CA7559" w:rsidRDefault="009311C5" w:rsidP="00DA793E">
            <w:pPr>
              <w:rPr>
                <w:b/>
                <w:bCs/>
                <w:sz w:val="20"/>
                <w:szCs w:val="20"/>
                <w:lang w:eastAsia="en-GB"/>
              </w:rPr>
            </w:pPr>
            <w:r w:rsidRPr="00CA7559">
              <w:rPr>
                <w:b/>
                <w:bCs/>
                <w:sz w:val="20"/>
                <w:szCs w:val="20"/>
                <w:lang w:eastAsia="en-GB"/>
              </w:rPr>
              <w:t xml:space="preserve">Option </w:t>
            </w:r>
          </w:p>
        </w:tc>
        <w:tc>
          <w:tcPr>
            <w:tcW w:w="1307" w:type="pct"/>
            <w:noWrap/>
            <w:hideMark/>
          </w:tcPr>
          <w:p w14:paraId="4C9BF588" w14:textId="77777777" w:rsidR="003C7A2B" w:rsidRPr="00CA7559" w:rsidRDefault="009311C5" w:rsidP="00DA793E">
            <w:pPr>
              <w:rPr>
                <w:b/>
                <w:bCs/>
                <w:sz w:val="20"/>
                <w:szCs w:val="20"/>
                <w:lang w:eastAsia="en-GB"/>
              </w:rPr>
            </w:pPr>
            <w:r w:rsidRPr="00CA7559">
              <w:rPr>
                <w:b/>
                <w:bCs/>
                <w:sz w:val="20"/>
                <w:szCs w:val="20"/>
                <w:lang w:eastAsia="en-GB"/>
              </w:rPr>
              <w:t xml:space="preserve">Initial Investment </w:t>
            </w:r>
          </w:p>
        </w:tc>
        <w:tc>
          <w:tcPr>
            <w:tcW w:w="934" w:type="pct"/>
            <w:noWrap/>
            <w:hideMark/>
          </w:tcPr>
          <w:p w14:paraId="1627338E" w14:textId="77777777" w:rsidR="003C7A2B" w:rsidRPr="00CA7559" w:rsidRDefault="009311C5" w:rsidP="00DA793E">
            <w:pPr>
              <w:rPr>
                <w:b/>
                <w:bCs/>
                <w:sz w:val="20"/>
                <w:szCs w:val="20"/>
                <w:lang w:eastAsia="en-GB"/>
              </w:rPr>
            </w:pPr>
            <w:r w:rsidRPr="00CA7559">
              <w:rPr>
                <w:b/>
                <w:bCs/>
                <w:sz w:val="20"/>
                <w:szCs w:val="20"/>
                <w:lang w:eastAsia="en-GB"/>
              </w:rPr>
              <w:t>NPV</w:t>
            </w:r>
          </w:p>
        </w:tc>
        <w:tc>
          <w:tcPr>
            <w:tcW w:w="1322" w:type="pct"/>
            <w:noWrap/>
            <w:hideMark/>
          </w:tcPr>
          <w:p w14:paraId="78F19D8F" w14:textId="77777777" w:rsidR="003C7A2B" w:rsidRPr="00CA7559" w:rsidRDefault="009311C5" w:rsidP="00DA793E">
            <w:pPr>
              <w:rPr>
                <w:rFonts w:ascii="Arial Unicode MS" w:hAnsi="Arial Unicode MS"/>
                <w:b/>
                <w:bCs/>
                <w:sz w:val="20"/>
                <w:szCs w:val="20"/>
                <w:lang w:eastAsia="en-GB"/>
              </w:rPr>
            </w:pPr>
            <w:r w:rsidRPr="00CA7559">
              <w:rPr>
                <w:rFonts w:ascii="Arial Unicode MS" w:hAnsi="Arial Unicode MS"/>
                <w:b/>
                <w:bCs/>
                <w:sz w:val="20"/>
                <w:szCs w:val="20"/>
                <w:lang w:eastAsia="en-GB"/>
              </w:rPr>
              <w:t xml:space="preserve">NPV per £   </w:t>
            </w:r>
          </w:p>
        </w:tc>
        <w:tc>
          <w:tcPr>
            <w:tcW w:w="747" w:type="pct"/>
            <w:noWrap/>
            <w:hideMark/>
          </w:tcPr>
          <w:p w14:paraId="68366205" w14:textId="77777777" w:rsidR="003C7A2B" w:rsidRPr="00CA7559" w:rsidRDefault="009311C5" w:rsidP="00DA793E">
            <w:pPr>
              <w:rPr>
                <w:b/>
                <w:bCs/>
                <w:sz w:val="20"/>
                <w:szCs w:val="20"/>
                <w:lang w:eastAsia="en-GB"/>
              </w:rPr>
            </w:pPr>
            <w:r w:rsidRPr="00CA7559">
              <w:rPr>
                <w:b/>
                <w:bCs/>
                <w:sz w:val="20"/>
                <w:szCs w:val="20"/>
                <w:lang w:eastAsia="en-GB"/>
              </w:rPr>
              <w:t xml:space="preserve">Rank </w:t>
            </w:r>
          </w:p>
        </w:tc>
      </w:tr>
      <w:tr w:rsidR="00A62B72" w14:paraId="53802051" w14:textId="77777777" w:rsidTr="00BB320B">
        <w:trPr>
          <w:trHeight w:val="288"/>
        </w:trPr>
        <w:tc>
          <w:tcPr>
            <w:tcW w:w="690" w:type="pct"/>
            <w:noWrap/>
            <w:hideMark/>
          </w:tcPr>
          <w:p w14:paraId="0E1B2034" w14:textId="77777777" w:rsidR="003C7A2B" w:rsidRPr="00CA7559" w:rsidRDefault="009311C5" w:rsidP="00DA793E">
            <w:pPr>
              <w:rPr>
                <w:sz w:val="20"/>
                <w:szCs w:val="20"/>
                <w:lang w:eastAsia="en-GB"/>
              </w:rPr>
            </w:pPr>
            <w:r w:rsidRPr="00CA7559">
              <w:rPr>
                <w:sz w:val="20"/>
                <w:szCs w:val="20"/>
                <w:lang w:eastAsia="en-GB"/>
              </w:rPr>
              <w:t>A</w:t>
            </w:r>
          </w:p>
        </w:tc>
        <w:tc>
          <w:tcPr>
            <w:tcW w:w="1307" w:type="pct"/>
            <w:noWrap/>
            <w:hideMark/>
          </w:tcPr>
          <w:p w14:paraId="41AF1813" w14:textId="77777777" w:rsidR="003C7A2B" w:rsidRPr="00CA7559" w:rsidRDefault="009311C5" w:rsidP="00DA793E">
            <w:pPr>
              <w:rPr>
                <w:sz w:val="20"/>
                <w:szCs w:val="20"/>
                <w:lang w:eastAsia="en-GB"/>
              </w:rPr>
            </w:pPr>
            <w:r w:rsidRPr="00CA7559">
              <w:rPr>
                <w:sz w:val="20"/>
                <w:szCs w:val="20"/>
                <w:lang w:eastAsia="en-GB"/>
              </w:rPr>
              <w:t>600,000</w:t>
            </w:r>
          </w:p>
        </w:tc>
        <w:tc>
          <w:tcPr>
            <w:tcW w:w="934" w:type="pct"/>
            <w:noWrap/>
            <w:hideMark/>
          </w:tcPr>
          <w:p w14:paraId="753B58AE" w14:textId="77777777" w:rsidR="003C7A2B" w:rsidRPr="00CA7559" w:rsidRDefault="009311C5" w:rsidP="00DA793E">
            <w:pPr>
              <w:rPr>
                <w:sz w:val="20"/>
                <w:szCs w:val="20"/>
                <w:lang w:eastAsia="en-GB"/>
              </w:rPr>
            </w:pPr>
            <w:r w:rsidRPr="00CA7559">
              <w:rPr>
                <w:sz w:val="20"/>
                <w:szCs w:val="20"/>
                <w:lang w:eastAsia="en-GB"/>
              </w:rPr>
              <w:t>394650</w:t>
            </w:r>
          </w:p>
        </w:tc>
        <w:tc>
          <w:tcPr>
            <w:tcW w:w="1322" w:type="pct"/>
            <w:noWrap/>
            <w:hideMark/>
          </w:tcPr>
          <w:p w14:paraId="00C60BDE" w14:textId="77777777" w:rsidR="003C7A2B" w:rsidRPr="00CA7559" w:rsidRDefault="009311C5" w:rsidP="00DA793E">
            <w:pPr>
              <w:rPr>
                <w:sz w:val="20"/>
                <w:szCs w:val="20"/>
                <w:lang w:eastAsia="en-GB"/>
              </w:rPr>
            </w:pPr>
            <w:r w:rsidRPr="00CA7559">
              <w:rPr>
                <w:sz w:val="20"/>
                <w:szCs w:val="20"/>
                <w:lang w:eastAsia="en-GB"/>
              </w:rPr>
              <w:t>0.65775</w:t>
            </w:r>
          </w:p>
        </w:tc>
        <w:tc>
          <w:tcPr>
            <w:tcW w:w="747" w:type="pct"/>
            <w:noWrap/>
            <w:hideMark/>
          </w:tcPr>
          <w:p w14:paraId="48C1F27A" w14:textId="77777777" w:rsidR="003C7A2B" w:rsidRPr="00CA7559" w:rsidRDefault="009311C5" w:rsidP="00DA793E">
            <w:pPr>
              <w:rPr>
                <w:sz w:val="20"/>
                <w:szCs w:val="20"/>
                <w:lang w:eastAsia="en-GB"/>
              </w:rPr>
            </w:pPr>
            <w:r w:rsidRPr="00CA7559">
              <w:rPr>
                <w:sz w:val="20"/>
                <w:szCs w:val="20"/>
                <w:lang w:eastAsia="en-GB"/>
              </w:rPr>
              <w:t>1</w:t>
            </w:r>
          </w:p>
        </w:tc>
      </w:tr>
      <w:tr w:rsidR="00A62B72" w14:paraId="77BABEAF" w14:textId="77777777" w:rsidTr="00BB320B">
        <w:trPr>
          <w:trHeight w:val="288"/>
        </w:trPr>
        <w:tc>
          <w:tcPr>
            <w:tcW w:w="690" w:type="pct"/>
            <w:noWrap/>
            <w:hideMark/>
          </w:tcPr>
          <w:p w14:paraId="75649B3D" w14:textId="77777777" w:rsidR="003C7A2B" w:rsidRPr="00CA7559" w:rsidRDefault="009311C5" w:rsidP="00DA793E">
            <w:pPr>
              <w:rPr>
                <w:sz w:val="20"/>
                <w:szCs w:val="20"/>
                <w:lang w:eastAsia="en-GB"/>
              </w:rPr>
            </w:pPr>
            <w:r w:rsidRPr="00CA7559">
              <w:rPr>
                <w:sz w:val="20"/>
                <w:szCs w:val="20"/>
                <w:lang w:eastAsia="en-GB"/>
              </w:rPr>
              <w:t>B</w:t>
            </w:r>
          </w:p>
        </w:tc>
        <w:tc>
          <w:tcPr>
            <w:tcW w:w="1307" w:type="pct"/>
            <w:noWrap/>
            <w:hideMark/>
          </w:tcPr>
          <w:p w14:paraId="2FA46EDE" w14:textId="77777777" w:rsidR="003C7A2B" w:rsidRPr="00CA7559" w:rsidRDefault="009311C5" w:rsidP="00DA793E">
            <w:pPr>
              <w:rPr>
                <w:sz w:val="20"/>
                <w:szCs w:val="20"/>
                <w:lang w:eastAsia="en-GB"/>
              </w:rPr>
            </w:pPr>
            <w:r w:rsidRPr="00CA7559">
              <w:rPr>
                <w:sz w:val="20"/>
                <w:szCs w:val="20"/>
                <w:lang w:eastAsia="en-GB"/>
              </w:rPr>
              <w:t>10,000,000</w:t>
            </w:r>
          </w:p>
        </w:tc>
        <w:tc>
          <w:tcPr>
            <w:tcW w:w="934" w:type="pct"/>
            <w:noWrap/>
            <w:hideMark/>
          </w:tcPr>
          <w:p w14:paraId="523E104A" w14:textId="77777777" w:rsidR="003C7A2B" w:rsidRPr="00CA7559" w:rsidRDefault="009311C5" w:rsidP="00DA793E">
            <w:pPr>
              <w:rPr>
                <w:sz w:val="20"/>
                <w:szCs w:val="20"/>
                <w:lang w:eastAsia="en-GB"/>
              </w:rPr>
            </w:pPr>
            <w:r w:rsidRPr="00CA7559">
              <w:rPr>
                <w:sz w:val="20"/>
                <w:szCs w:val="20"/>
                <w:lang w:eastAsia="en-GB"/>
              </w:rPr>
              <w:t>509700</w:t>
            </w:r>
          </w:p>
        </w:tc>
        <w:tc>
          <w:tcPr>
            <w:tcW w:w="1322" w:type="pct"/>
            <w:noWrap/>
            <w:hideMark/>
          </w:tcPr>
          <w:p w14:paraId="3203D853" w14:textId="77777777" w:rsidR="003C7A2B" w:rsidRPr="00CA7559" w:rsidRDefault="009311C5" w:rsidP="00DA793E">
            <w:pPr>
              <w:rPr>
                <w:sz w:val="20"/>
                <w:szCs w:val="20"/>
                <w:lang w:eastAsia="en-GB"/>
              </w:rPr>
            </w:pPr>
            <w:r w:rsidRPr="00CA7559">
              <w:rPr>
                <w:sz w:val="20"/>
                <w:szCs w:val="20"/>
                <w:lang w:eastAsia="en-GB"/>
              </w:rPr>
              <w:t>0.05097</w:t>
            </w:r>
          </w:p>
        </w:tc>
        <w:tc>
          <w:tcPr>
            <w:tcW w:w="747" w:type="pct"/>
            <w:noWrap/>
            <w:hideMark/>
          </w:tcPr>
          <w:p w14:paraId="588EC224" w14:textId="77777777" w:rsidR="003C7A2B" w:rsidRPr="00CA7559" w:rsidRDefault="009311C5" w:rsidP="00DA793E">
            <w:pPr>
              <w:rPr>
                <w:sz w:val="20"/>
                <w:szCs w:val="20"/>
                <w:lang w:eastAsia="en-GB"/>
              </w:rPr>
            </w:pPr>
            <w:r w:rsidRPr="00CA7559">
              <w:rPr>
                <w:sz w:val="20"/>
                <w:szCs w:val="20"/>
                <w:lang w:eastAsia="en-GB"/>
              </w:rPr>
              <w:t>3</w:t>
            </w:r>
          </w:p>
        </w:tc>
      </w:tr>
      <w:tr w:rsidR="00A62B72" w14:paraId="51D35E1C" w14:textId="77777777" w:rsidTr="00BB320B">
        <w:trPr>
          <w:trHeight w:val="288"/>
        </w:trPr>
        <w:tc>
          <w:tcPr>
            <w:tcW w:w="690" w:type="pct"/>
            <w:noWrap/>
            <w:hideMark/>
          </w:tcPr>
          <w:p w14:paraId="52323716" w14:textId="77777777" w:rsidR="003C7A2B" w:rsidRPr="00CA7559" w:rsidRDefault="009311C5" w:rsidP="00DA793E">
            <w:pPr>
              <w:rPr>
                <w:sz w:val="20"/>
                <w:szCs w:val="20"/>
                <w:lang w:eastAsia="en-GB"/>
              </w:rPr>
            </w:pPr>
            <w:r w:rsidRPr="00CA7559">
              <w:rPr>
                <w:sz w:val="20"/>
                <w:szCs w:val="20"/>
                <w:lang w:eastAsia="en-GB"/>
              </w:rPr>
              <w:t>C</w:t>
            </w:r>
          </w:p>
        </w:tc>
        <w:tc>
          <w:tcPr>
            <w:tcW w:w="1307" w:type="pct"/>
            <w:noWrap/>
            <w:hideMark/>
          </w:tcPr>
          <w:p w14:paraId="6B78160A" w14:textId="77777777" w:rsidR="003C7A2B" w:rsidRPr="00CA7559" w:rsidRDefault="009311C5" w:rsidP="00DA793E">
            <w:pPr>
              <w:rPr>
                <w:sz w:val="20"/>
                <w:szCs w:val="20"/>
                <w:lang w:eastAsia="en-GB"/>
              </w:rPr>
            </w:pPr>
            <w:r w:rsidRPr="00CA7559">
              <w:rPr>
                <w:sz w:val="20"/>
                <w:szCs w:val="20"/>
                <w:lang w:eastAsia="en-GB"/>
              </w:rPr>
              <w:t>16,000,000</w:t>
            </w:r>
          </w:p>
        </w:tc>
        <w:tc>
          <w:tcPr>
            <w:tcW w:w="934" w:type="pct"/>
            <w:noWrap/>
            <w:hideMark/>
          </w:tcPr>
          <w:p w14:paraId="78F26FAC" w14:textId="77777777" w:rsidR="003C7A2B" w:rsidRPr="00CA7559" w:rsidRDefault="009311C5" w:rsidP="00DA793E">
            <w:pPr>
              <w:rPr>
                <w:sz w:val="20"/>
                <w:szCs w:val="20"/>
                <w:lang w:eastAsia="en-GB"/>
              </w:rPr>
            </w:pPr>
            <w:r w:rsidRPr="00CA7559">
              <w:rPr>
                <w:sz w:val="20"/>
                <w:szCs w:val="20"/>
                <w:lang w:eastAsia="en-GB"/>
              </w:rPr>
              <w:t>985400</w:t>
            </w:r>
          </w:p>
        </w:tc>
        <w:tc>
          <w:tcPr>
            <w:tcW w:w="1322" w:type="pct"/>
            <w:noWrap/>
            <w:hideMark/>
          </w:tcPr>
          <w:p w14:paraId="07B30503" w14:textId="77777777" w:rsidR="003C7A2B" w:rsidRPr="00CA7559" w:rsidRDefault="009311C5" w:rsidP="00DA793E">
            <w:pPr>
              <w:rPr>
                <w:sz w:val="20"/>
                <w:szCs w:val="20"/>
                <w:lang w:eastAsia="en-GB"/>
              </w:rPr>
            </w:pPr>
            <w:r w:rsidRPr="00CA7559">
              <w:rPr>
                <w:sz w:val="20"/>
                <w:szCs w:val="20"/>
                <w:lang w:eastAsia="en-GB"/>
              </w:rPr>
              <w:t>0.0615875</w:t>
            </w:r>
          </w:p>
        </w:tc>
        <w:tc>
          <w:tcPr>
            <w:tcW w:w="747" w:type="pct"/>
            <w:noWrap/>
            <w:hideMark/>
          </w:tcPr>
          <w:p w14:paraId="79D3EA60" w14:textId="77777777" w:rsidR="003C7A2B" w:rsidRPr="00CA7559" w:rsidRDefault="009311C5" w:rsidP="00DA793E">
            <w:pPr>
              <w:rPr>
                <w:sz w:val="20"/>
                <w:szCs w:val="20"/>
                <w:lang w:eastAsia="en-GB"/>
              </w:rPr>
            </w:pPr>
            <w:r w:rsidRPr="00CA7559">
              <w:rPr>
                <w:sz w:val="20"/>
                <w:szCs w:val="20"/>
                <w:lang w:eastAsia="en-GB"/>
              </w:rPr>
              <w:t>2</w:t>
            </w:r>
          </w:p>
        </w:tc>
      </w:tr>
    </w:tbl>
    <w:p w14:paraId="34CE2E1E" w14:textId="77777777" w:rsidR="003C7A2B" w:rsidRPr="00CA7559" w:rsidRDefault="009311C5" w:rsidP="00DA793E">
      <w:pPr>
        <w:spacing w:after="0" w:line="259" w:lineRule="auto"/>
        <w:jc w:val="left"/>
        <w:rPr>
          <w:b/>
          <w:bCs/>
          <w:i/>
          <w:iCs/>
        </w:rPr>
      </w:pPr>
      <w:r w:rsidRPr="00CA7559">
        <w:rPr>
          <w:b/>
          <w:bCs/>
          <w:i/>
          <w:iCs/>
        </w:rPr>
        <w:t xml:space="preserve">Allocate Funds </w:t>
      </w:r>
    </w:p>
    <w:tbl>
      <w:tblPr>
        <w:tblStyle w:val="TableGrid"/>
        <w:tblW w:w="5000" w:type="pct"/>
        <w:tblLook w:val="04A0" w:firstRow="1" w:lastRow="0" w:firstColumn="1" w:lastColumn="0" w:noHBand="0" w:noVBand="1"/>
      </w:tblPr>
      <w:tblGrid>
        <w:gridCol w:w="1268"/>
        <w:gridCol w:w="2403"/>
        <w:gridCol w:w="1717"/>
        <w:gridCol w:w="2429"/>
        <w:gridCol w:w="1533"/>
      </w:tblGrid>
      <w:tr w:rsidR="00A62B72" w14:paraId="3BF05282" w14:textId="77777777" w:rsidTr="00BB320B">
        <w:trPr>
          <w:trHeight w:val="576"/>
        </w:trPr>
        <w:tc>
          <w:tcPr>
            <w:tcW w:w="678" w:type="pct"/>
            <w:noWrap/>
            <w:hideMark/>
          </w:tcPr>
          <w:p w14:paraId="64CBF57C" w14:textId="77777777" w:rsidR="003C7A2B" w:rsidRPr="00CA7559" w:rsidRDefault="009311C5" w:rsidP="00DA793E">
            <w:pPr>
              <w:rPr>
                <w:b/>
                <w:bCs/>
                <w:sz w:val="20"/>
                <w:szCs w:val="20"/>
                <w:lang w:eastAsia="en-GB"/>
              </w:rPr>
            </w:pPr>
            <w:r w:rsidRPr="00CA7559">
              <w:rPr>
                <w:b/>
                <w:bCs/>
                <w:sz w:val="20"/>
                <w:szCs w:val="20"/>
                <w:lang w:eastAsia="en-GB"/>
              </w:rPr>
              <w:t xml:space="preserve">Option </w:t>
            </w:r>
          </w:p>
        </w:tc>
        <w:tc>
          <w:tcPr>
            <w:tcW w:w="1285" w:type="pct"/>
            <w:noWrap/>
            <w:hideMark/>
          </w:tcPr>
          <w:p w14:paraId="7F9585E9" w14:textId="77777777" w:rsidR="003C7A2B" w:rsidRPr="00CA7559" w:rsidRDefault="009311C5" w:rsidP="00DA793E">
            <w:pPr>
              <w:rPr>
                <w:b/>
                <w:bCs/>
                <w:sz w:val="20"/>
                <w:szCs w:val="20"/>
                <w:lang w:eastAsia="en-GB"/>
              </w:rPr>
            </w:pPr>
            <w:r w:rsidRPr="00CA7559">
              <w:rPr>
                <w:b/>
                <w:bCs/>
                <w:sz w:val="20"/>
                <w:szCs w:val="20"/>
                <w:lang w:eastAsia="en-GB"/>
              </w:rPr>
              <w:t xml:space="preserve">Amount Invested </w:t>
            </w:r>
          </w:p>
        </w:tc>
        <w:tc>
          <w:tcPr>
            <w:tcW w:w="918" w:type="pct"/>
            <w:noWrap/>
            <w:hideMark/>
          </w:tcPr>
          <w:p w14:paraId="263F431E" w14:textId="77777777" w:rsidR="003C7A2B" w:rsidRPr="00CA7559" w:rsidRDefault="009311C5" w:rsidP="00DA793E">
            <w:pPr>
              <w:rPr>
                <w:b/>
                <w:bCs/>
                <w:sz w:val="20"/>
                <w:szCs w:val="20"/>
                <w:lang w:eastAsia="en-GB"/>
              </w:rPr>
            </w:pPr>
            <w:r w:rsidRPr="00CA7559">
              <w:rPr>
                <w:b/>
                <w:bCs/>
                <w:sz w:val="20"/>
                <w:szCs w:val="20"/>
                <w:lang w:eastAsia="en-GB"/>
              </w:rPr>
              <w:t xml:space="preserve">Fraction </w:t>
            </w:r>
          </w:p>
        </w:tc>
        <w:tc>
          <w:tcPr>
            <w:tcW w:w="1299" w:type="pct"/>
            <w:hideMark/>
          </w:tcPr>
          <w:p w14:paraId="63FE98F5" w14:textId="77777777" w:rsidR="003C7A2B" w:rsidRPr="00CA7559" w:rsidRDefault="009311C5" w:rsidP="00DA793E">
            <w:pPr>
              <w:rPr>
                <w:b/>
                <w:bCs/>
                <w:sz w:val="20"/>
                <w:szCs w:val="20"/>
                <w:lang w:eastAsia="en-GB"/>
              </w:rPr>
            </w:pPr>
            <w:r w:rsidRPr="00CA7559">
              <w:rPr>
                <w:b/>
                <w:bCs/>
                <w:sz w:val="20"/>
                <w:szCs w:val="20"/>
                <w:lang w:eastAsia="en-GB"/>
              </w:rPr>
              <w:t xml:space="preserve">NPV Contribution </w:t>
            </w:r>
          </w:p>
        </w:tc>
        <w:tc>
          <w:tcPr>
            <w:tcW w:w="820" w:type="pct"/>
            <w:hideMark/>
          </w:tcPr>
          <w:p w14:paraId="393EDEA6" w14:textId="77777777" w:rsidR="003C7A2B" w:rsidRPr="00CA7559" w:rsidRDefault="009311C5" w:rsidP="00DA793E">
            <w:pPr>
              <w:rPr>
                <w:b/>
                <w:bCs/>
                <w:sz w:val="20"/>
                <w:szCs w:val="20"/>
                <w:lang w:eastAsia="en-GB"/>
              </w:rPr>
            </w:pPr>
            <w:r w:rsidRPr="00CA7559">
              <w:rPr>
                <w:b/>
                <w:bCs/>
                <w:sz w:val="20"/>
                <w:szCs w:val="20"/>
                <w:lang w:eastAsia="en-GB"/>
              </w:rPr>
              <w:t xml:space="preserve">Remaining Budget </w:t>
            </w:r>
          </w:p>
        </w:tc>
      </w:tr>
      <w:tr w:rsidR="00A62B72" w14:paraId="1F729367" w14:textId="77777777" w:rsidTr="00BB320B">
        <w:trPr>
          <w:trHeight w:val="288"/>
        </w:trPr>
        <w:tc>
          <w:tcPr>
            <w:tcW w:w="678" w:type="pct"/>
            <w:noWrap/>
            <w:hideMark/>
          </w:tcPr>
          <w:p w14:paraId="0D9A14A7" w14:textId="77777777" w:rsidR="003C7A2B" w:rsidRPr="00CA7559" w:rsidRDefault="009311C5" w:rsidP="00DA793E">
            <w:pPr>
              <w:rPr>
                <w:sz w:val="20"/>
                <w:szCs w:val="20"/>
                <w:lang w:eastAsia="en-GB"/>
              </w:rPr>
            </w:pPr>
            <w:r w:rsidRPr="00CA7559">
              <w:rPr>
                <w:sz w:val="20"/>
                <w:szCs w:val="20"/>
                <w:lang w:eastAsia="en-GB"/>
              </w:rPr>
              <w:t>A</w:t>
            </w:r>
          </w:p>
        </w:tc>
        <w:tc>
          <w:tcPr>
            <w:tcW w:w="1285" w:type="pct"/>
            <w:noWrap/>
            <w:hideMark/>
          </w:tcPr>
          <w:p w14:paraId="6B1712D2" w14:textId="77777777" w:rsidR="003C7A2B" w:rsidRPr="00CA7559" w:rsidRDefault="009311C5" w:rsidP="00DA793E">
            <w:pPr>
              <w:rPr>
                <w:sz w:val="20"/>
                <w:szCs w:val="20"/>
                <w:lang w:eastAsia="en-GB"/>
              </w:rPr>
            </w:pPr>
            <w:r w:rsidRPr="00CA7559">
              <w:rPr>
                <w:sz w:val="20"/>
                <w:szCs w:val="20"/>
                <w:lang w:eastAsia="en-GB"/>
              </w:rPr>
              <w:t>600000</w:t>
            </w:r>
          </w:p>
        </w:tc>
        <w:tc>
          <w:tcPr>
            <w:tcW w:w="918" w:type="pct"/>
            <w:noWrap/>
            <w:hideMark/>
          </w:tcPr>
          <w:p w14:paraId="6F39FF6B" w14:textId="77777777" w:rsidR="003C7A2B" w:rsidRPr="00CA7559" w:rsidRDefault="009311C5" w:rsidP="00DA793E">
            <w:pPr>
              <w:rPr>
                <w:sz w:val="20"/>
                <w:szCs w:val="20"/>
                <w:lang w:eastAsia="en-GB"/>
              </w:rPr>
            </w:pPr>
            <w:r w:rsidRPr="00CA7559">
              <w:rPr>
                <w:sz w:val="20"/>
                <w:szCs w:val="20"/>
                <w:lang w:eastAsia="en-GB"/>
              </w:rPr>
              <w:t>1</w:t>
            </w:r>
          </w:p>
        </w:tc>
        <w:tc>
          <w:tcPr>
            <w:tcW w:w="1299" w:type="pct"/>
            <w:noWrap/>
            <w:hideMark/>
          </w:tcPr>
          <w:p w14:paraId="1F0892E6" w14:textId="77777777" w:rsidR="003C7A2B" w:rsidRPr="00CA7559" w:rsidRDefault="009311C5" w:rsidP="00DA793E">
            <w:pPr>
              <w:rPr>
                <w:sz w:val="20"/>
                <w:szCs w:val="20"/>
                <w:lang w:eastAsia="en-GB"/>
              </w:rPr>
            </w:pPr>
            <w:r w:rsidRPr="00CA7559">
              <w:rPr>
                <w:sz w:val="20"/>
                <w:szCs w:val="20"/>
                <w:lang w:eastAsia="en-GB"/>
              </w:rPr>
              <w:t>394650</w:t>
            </w:r>
          </w:p>
        </w:tc>
        <w:tc>
          <w:tcPr>
            <w:tcW w:w="820" w:type="pct"/>
            <w:noWrap/>
            <w:hideMark/>
          </w:tcPr>
          <w:p w14:paraId="26F8521B" w14:textId="77777777" w:rsidR="003C7A2B" w:rsidRPr="00CA7559" w:rsidRDefault="009311C5" w:rsidP="00DA793E">
            <w:pPr>
              <w:rPr>
                <w:sz w:val="20"/>
                <w:szCs w:val="20"/>
                <w:lang w:eastAsia="en-GB"/>
              </w:rPr>
            </w:pPr>
            <w:r w:rsidRPr="00CA7559">
              <w:rPr>
                <w:sz w:val="20"/>
                <w:szCs w:val="20"/>
                <w:lang w:eastAsia="en-GB"/>
              </w:rPr>
              <w:t>1400000</w:t>
            </w:r>
          </w:p>
        </w:tc>
      </w:tr>
      <w:tr w:rsidR="00A62B72" w14:paraId="346C153A" w14:textId="77777777" w:rsidTr="00BB320B">
        <w:trPr>
          <w:trHeight w:val="288"/>
        </w:trPr>
        <w:tc>
          <w:tcPr>
            <w:tcW w:w="678" w:type="pct"/>
            <w:noWrap/>
            <w:hideMark/>
          </w:tcPr>
          <w:p w14:paraId="098D95BC" w14:textId="77777777" w:rsidR="003C7A2B" w:rsidRPr="00CA7559" w:rsidRDefault="009311C5" w:rsidP="00DA793E">
            <w:pPr>
              <w:rPr>
                <w:sz w:val="20"/>
                <w:szCs w:val="20"/>
                <w:lang w:eastAsia="en-GB"/>
              </w:rPr>
            </w:pPr>
            <w:r w:rsidRPr="00CA7559">
              <w:rPr>
                <w:sz w:val="20"/>
                <w:szCs w:val="20"/>
                <w:lang w:eastAsia="en-GB"/>
              </w:rPr>
              <w:t xml:space="preserve">C </w:t>
            </w:r>
          </w:p>
        </w:tc>
        <w:tc>
          <w:tcPr>
            <w:tcW w:w="1285" w:type="pct"/>
            <w:noWrap/>
            <w:hideMark/>
          </w:tcPr>
          <w:p w14:paraId="17B6136F" w14:textId="77777777" w:rsidR="003C7A2B" w:rsidRPr="00CA7559" w:rsidRDefault="009311C5" w:rsidP="00DA793E">
            <w:pPr>
              <w:rPr>
                <w:sz w:val="20"/>
                <w:szCs w:val="20"/>
                <w:lang w:eastAsia="en-GB"/>
              </w:rPr>
            </w:pPr>
            <w:r w:rsidRPr="00CA7559">
              <w:rPr>
                <w:sz w:val="20"/>
                <w:szCs w:val="20"/>
                <w:lang w:eastAsia="en-GB"/>
              </w:rPr>
              <w:t>1,600,000</w:t>
            </w:r>
          </w:p>
        </w:tc>
        <w:tc>
          <w:tcPr>
            <w:tcW w:w="918" w:type="pct"/>
            <w:noWrap/>
            <w:hideMark/>
          </w:tcPr>
          <w:p w14:paraId="3F143D66" w14:textId="77777777" w:rsidR="003C7A2B" w:rsidRPr="00CA7559" w:rsidRDefault="009311C5" w:rsidP="00DA793E">
            <w:pPr>
              <w:rPr>
                <w:sz w:val="20"/>
                <w:szCs w:val="20"/>
                <w:lang w:eastAsia="en-GB"/>
              </w:rPr>
            </w:pPr>
            <w:r w:rsidRPr="00CA7559">
              <w:rPr>
                <w:sz w:val="20"/>
                <w:szCs w:val="20"/>
                <w:lang w:eastAsia="en-GB"/>
              </w:rPr>
              <w:t>0.875</w:t>
            </w:r>
          </w:p>
        </w:tc>
        <w:tc>
          <w:tcPr>
            <w:tcW w:w="1299" w:type="pct"/>
            <w:noWrap/>
            <w:hideMark/>
          </w:tcPr>
          <w:p w14:paraId="0684551D" w14:textId="77777777" w:rsidR="003C7A2B" w:rsidRPr="00CA7559" w:rsidRDefault="009311C5" w:rsidP="00DA793E">
            <w:pPr>
              <w:rPr>
                <w:sz w:val="20"/>
                <w:szCs w:val="20"/>
                <w:lang w:eastAsia="en-GB"/>
              </w:rPr>
            </w:pPr>
            <w:r w:rsidRPr="00CA7559">
              <w:rPr>
                <w:sz w:val="20"/>
                <w:szCs w:val="20"/>
                <w:lang w:eastAsia="en-GB"/>
              </w:rPr>
              <w:t>862225</w:t>
            </w:r>
          </w:p>
        </w:tc>
        <w:tc>
          <w:tcPr>
            <w:tcW w:w="820" w:type="pct"/>
            <w:noWrap/>
            <w:hideMark/>
          </w:tcPr>
          <w:p w14:paraId="1DC1F1F5" w14:textId="77777777" w:rsidR="003C7A2B" w:rsidRPr="00CA7559" w:rsidRDefault="009311C5" w:rsidP="00DA793E">
            <w:pPr>
              <w:rPr>
                <w:sz w:val="20"/>
                <w:szCs w:val="20"/>
                <w:lang w:eastAsia="en-GB"/>
              </w:rPr>
            </w:pPr>
            <w:r w:rsidRPr="00CA7559">
              <w:rPr>
                <w:sz w:val="20"/>
                <w:szCs w:val="20"/>
                <w:lang w:eastAsia="en-GB"/>
              </w:rPr>
              <w:t>0</w:t>
            </w:r>
          </w:p>
        </w:tc>
      </w:tr>
      <w:tr w:rsidR="00A62B72" w14:paraId="79872093" w14:textId="77777777" w:rsidTr="00BB320B">
        <w:trPr>
          <w:trHeight w:val="288"/>
        </w:trPr>
        <w:tc>
          <w:tcPr>
            <w:tcW w:w="678" w:type="pct"/>
            <w:noWrap/>
            <w:hideMark/>
          </w:tcPr>
          <w:p w14:paraId="31772804" w14:textId="77777777" w:rsidR="003C7A2B" w:rsidRPr="00CA7559" w:rsidRDefault="009311C5" w:rsidP="00DA793E">
            <w:pPr>
              <w:rPr>
                <w:sz w:val="20"/>
                <w:szCs w:val="20"/>
                <w:lang w:eastAsia="en-GB"/>
              </w:rPr>
            </w:pPr>
            <w:r w:rsidRPr="00CA7559">
              <w:rPr>
                <w:sz w:val="20"/>
                <w:szCs w:val="20"/>
                <w:lang w:eastAsia="en-GB"/>
              </w:rPr>
              <w:t>B</w:t>
            </w:r>
          </w:p>
        </w:tc>
        <w:tc>
          <w:tcPr>
            <w:tcW w:w="1285" w:type="pct"/>
            <w:noWrap/>
            <w:hideMark/>
          </w:tcPr>
          <w:p w14:paraId="4346E20B" w14:textId="77777777" w:rsidR="003C7A2B" w:rsidRPr="00CA7559" w:rsidRDefault="009311C5" w:rsidP="00DA793E">
            <w:pPr>
              <w:rPr>
                <w:sz w:val="20"/>
                <w:szCs w:val="20"/>
                <w:lang w:eastAsia="en-GB"/>
              </w:rPr>
            </w:pPr>
            <w:r w:rsidRPr="00CA7559">
              <w:rPr>
                <w:sz w:val="20"/>
                <w:szCs w:val="20"/>
                <w:lang w:eastAsia="en-GB"/>
              </w:rPr>
              <w:t>1,000,000</w:t>
            </w:r>
          </w:p>
        </w:tc>
        <w:tc>
          <w:tcPr>
            <w:tcW w:w="918" w:type="pct"/>
            <w:noWrap/>
            <w:hideMark/>
          </w:tcPr>
          <w:p w14:paraId="115A8981" w14:textId="77777777" w:rsidR="003C7A2B" w:rsidRPr="00CA7559" w:rsidRDefault="003C7A2B" w:rsidP="00DA793E">
            <w:pPr>
              <w:rPr>
                <w:sz w:val="20"/>
                <w:szCs w:val="20"/>
                <w:lang w:eastAsia="en-GB"/>
              </w:rPr>
            </w:pPr>
          </w:p>
        </w:tc>
        <w:tc>
          <w:tcPr>
            <w:tcW w:w="1299" w:type="pct"/>
            <w:noWrap/>
            <w:hideMark/>
          </w:tcPr>
          <w:p w14:paraId="5959D49B" w14:textId="77777777" w:rsidR="003C7A2B" w:rsidRPr="00CA7559" w:rsidRDefault="003C7A2B" w:rsidP="00DA793E">
            <w:pPr>
              <w:rPr>
                <w:rFonts w:ascii="Times New Roman" w:hAnsi="Times New Roman" w:cs="Times New Roman"/>
                <w:sz w:val="20"/>
                <w:szCs w:val="20"/>
                <w:lang w:eastAsia="en-GB"/>
              </w:rPr>
            </w:pPr>
          </w:p>
        </w:tc>
        <w:tc>
          <w:tcPr>
            <w:tcW w:w="820" w:type="pct"/>
            <w:noWrap/>
            <w:hideMark/>
          </w:tcPr>
          <w:p w14:paraId="663E27BB" w14:textId="77777777" w:rsidR="003C7A2B" w:rsidRPr="00CA7559" w:rsidRDefault="003C7A2B" w:rsidP="00DA793E">
            <w:pPr>
              <w:rPr>
                <w:rFonts w:ascii="Times New Roman" w:hAnsi="Times New Roman" w:cs="Times New Roman"/>
                <w:sz w:val="20"/>
                <w:szCs w:val="20"/>
                <w:lang w:eastAsia="en-GB"/>
              </w:rPr>
            </w:pPr>
          </w:p>
        </w:tc>
      </w:tr>
      <w:tr w:rsidR="00A62B72" w14:paraId="12D93A0D" w14:textId="77777777" w:rsidTr="00BB320B">
        <w:trPr>
          <w:trHeight w:val="288"/>
        </w:trPr>
        <w:tc>
          <w:tcPr>
            <w:tcW w:w="678" w:type="pct"/>
            <w:noWrap/>
            <w:hideMark/>
          </w:tcPr>
          <w:p w14:paraId="4FF999F8" w14:textId="77777777" w:rsidR="003C7A2B" w:rsidRPr="00CA7559" w:rsidRDefault="003C7A2B" w:rsidP="00DA793E">
            <w:pPr>
              <w:rPr>
                <w:rFonts w:ascii="Times New Roman" w:hAnsi="Times New Roman" w:cs="Times New Roman"/>
                <w:sz w:val="20"/>
                <w:szCs w:val="20"/>
                <w:lang w:eastAsia="en-GB"/>
              </w:rPr>
            </w:pPr>
          </w:p>
        </w:tc>
        <w:tc>
          <w:tcPr>
            <w:tcW w:w="1285" w:type="pct"/>
            <w:noWrap/>
            <w:hideMark/>
          </w:tcPr>
          <w:p w14:paraId="35948E98" w14:textId="77777777" w:rsidR="003C7A2B" w:rsidRPr="00CA7559" w:rsidRDefault="003C7A2B" w:rsidP="00DA793E">
            <w:pPr>
              <w:rPr>
                <w:rFonts w:ascii="Times New Roman" w:hAnsi="Times New Roman" w:cs="Times New Roman"/>
                <w:sz w:val="20"/>
                <w:szCs w:val="20"/>
                <w:lang w:eastAsia="en-GB"/>
              </w:rPr>
            </w:pPr>
          </w:p>
        </w:tc>
        <w:tc>
          <w:tcPr>
            <w:tcW w:w="918" w:type="pct"/>
            <w:noWrap/>
            <w:hideMark/>
          </w:tcPr>
          <w:p w14:paraId="1F2F2C58" w14:textId="77777777" w:rsidR="003C7A2B" w:rsidRPr="00CA7559" w:rsidRDefault="009311C5" w:rsidP="00DA793E">
            <w:pPr>
              <w:rPr>
                <w:sz w:val="20"/>
                <w:szCs w:val="20"/>
                <w:lang w:eastAsia="en-GB"/>
              </w:rPr>
            </w:pPr>
            <w:r w:rsidRPr="00CA7559">
              <w:rPr>
                <w:sz w:val="20"/>
                <w:szCs w:val="20"/>
                <w:lang w:eastAsia="en-GB"/>
              </w:rPr>
              <w:t>Total NPV</w:t>
            </w:r>
          </w:p>
        </w:tc>
        <w:tc>
          <w:tcPr>
            <w:tcW w:w="1299" w:type="pct"/>
            <w:noWrap/>
            <w:hideMark/>
          </w:tcPr>
          <w:p w14:paraId="6FC4FE9D" w14:textId="77777777" w:rsidR="003C7A2B" w:rsidRPr="00CA7559" w:rsidRDefault="009311C5" w:rsidP="00DA793E">
            <w:pPr>
              <w:rPr>
                <w:sz w:val="20"/>
                <w:szCs w:val="20"/>
                <w:lang w:eastAsia="en-GB"/>
              </w:rPr>
            </w:pPr>
            <w:r w:rsidRPr="00CA7559">
              <w:rPr>
                <w:sz w:val="20"/>
                <w:szCs w:val="20"/>
                <w:lang w:eastAsia="en-GB"/>
              </w:rPr>
              <w:t>1256875</w:t>
            </w:r>
          </w:p>
        </w:tc>
        <w:tc>
          <w:tcPr>
            <w:tcW w:w="820" w:type="pct"/>
            <w:noWrap/>
            <w:hideMark/>
          </w:tcPr>
          <w:p w14:paraId="7368B449" w14:textId="77777777" w:rsidR="003C7A2B" w:rsidRPr="00CA7559" w:rsidRDefault="003C7A2B" w:rsidP="00DA793E">
            <w:pPr>
              <w:rPr>
                <w:sz w:val="20"/>
                <w:szCs w:val="20"/>
                <w:lang w:eastAsia="en-GB"/>
              </w:rPr>
            </w:pPr>
          </w:p>
        </w:tc>
      </w:tr>
    </w:tbl>
    <w:p w14:paraId="3294BCFF" w14:textId="77777777" w:rsidR="00471A3A" w:rsidRDefault="00471A3A" w:rsidP="00DA793E">
      <w:pPr>
        <w:spacing w:after="0" w:line="259" w:lineRule="auto"/>
        <w:jc w:val="left"/>
      </w:pPr>
    </w:p>
    <w:p w14:paraId="0F2345ED" w14:textId="77777777" w:rsidR="00471A3A" w:rsidRDefault="009311C5">
      <w:pPr>
        <w:spacing w:line="259" w:lineRule="auto"/>
        <w:jc w:val="left"/>
      </w:pPr>
      <w:r>
        <w:br w:type="page"/>
      </w:r>
    </w:p>
    <w:p w14:paraId="573E4CEB" w14:textId="77777777" w:rsidR="002C1773" w:rsidRDefault="009311C5" w:rsidP="00AE0B5F">
      <w:pPr>
        <w:pStyle w:val="Heading2"/>
      </w:pPr>
      <w:bookmarkStart w:id="39" w:name="_Toc201401319"/>
      <w:r>
        <w:lastRenderedPageBreak/>
        <w:t>Appendix 6: AI Declaration:</w:t>
      </w:r>
      <w:bookmarkEnd w:id="39"/>
    </w:p>
    <w:p w14:paraId="0C19B994" w14:textId="77777777" w:rsidR="00C437CF" w:rsidRPr="002F2EB6" w:rsidRDefault="009311C5" w:rsidP="00C437CF">
      <w:pPr>
        <w:spacing w:after="0"/>
        <w:jc w:val="center"/>
        <w:rPr>
          <w:b/>
          <w:bCs/>
          <w:sz w:val="28"/>
        </w:rPr>
      </w:pPr>
      <w:r w:rsidRPr="002F2EB6">
        <w:rPr>
          <w:b/>
          <w:bCs/>
          <w:sz w:val="28"/>
        </w:rPr>
        <w:t>Acknowledgement of Not Using Any AI Tools</w:t>
      </w:r>
    </w:p>
    <w:tbl>
      <w:tblPr>
        <w:tblW w:w="9892" w:type="dxa"/>
        <w:tblCellMar>
          <w:left w:w="0" w:type="dxa"/>
          <w:right w:w="0" w:type="dxa"/>
        </w:tblCellMar>
        <w:tblLook w:val="01E0" w:firstRow="1" w:lastRow="1" w:firstColumn="1" w:lastColumn="1" w:noHBand="0" w:noVBand="0"/>
      </w:tblPr>
      <w:tblGrid>
        <w:gridCol w:w="2004"/>
        <w:gridCol w:w="7025"/>
        <w:gridCol w:w="863"/>
      </w:tblGrid>
      <w:tr w:rsidR="00A62B72" w14:paraId="06F21790" w14:textId="77777777" w:rsidTr="00802E14">
        <w:trPr>
          <w:trHeight w:val="684"/>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51F10CF3" w14:textId="77777777" w:rsidR="00C437CF" w:rsidRPr="00913967" w:rsidRDefault="009311C5" w:rsidP="00802E14">
            <w:pPr>
              <w:jc w:val="left"/>
              <w:rPr>
                <w:lang w:val="en-US"/>
              </w:rPr>
            </w:pPr>
            <w:r w:rsidRPr="00913967">
              <w:rPr>
                <w:b/>
                <w:bCs/>
                <w:lang w:val="en-US"/>
              </w:rPr>
              <w:t>RESEARCH</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278AAA3C" w14:textId="77777777" w:rsidR="00C437CF" w:rsidRPr="00913967" w:rsidRDefault="009311C5" w:rsidP="00802E14">
            <w:pPr>
              <w:rPr>
                <w:lang w:val="en-US"/>
              </w:rPr>
            </w:pPr>
            <w:r w:rsidRPr="00913967">
              <w:rPr>
                <w:lang w:val="en-US"/>
              </w:rPr>
              <w:t xml:space="preserve">For this assessment, you can use Generative AI to support you in research, including searching for a bibliography and using tools to </w:t>
            </w:r>
            <w:proofErr w:type="spellStart"/>
            <w:r w:rsidRPr="00913967">
              <w:rPr>
                <w:lang w:val="en-US"/>
              </w:rPr>
              <w:t>summarise</w:t>
            </w:r>
            <w:proofErr w:type="spellEnd"/>
            <w:r w:rsidRPr="00913967">
              <w:rPr>
                <w:lang w:val="en-US"/>
              </w:rPr>
              <w:t>, compare and</w:t>
            </w:r>
            <w:r>
              <w:rPr>
                <w:lang w:val="en-US"/>
              </w:rPr>
              <w:t xml:space="preserve"> </w:t>
            </w:r>
            <w:r w:rsidRPr="00913967">
              <w:rPr>
                <w:lang w:val="en-US"/>
              </w:rPr>
              <w:t>interrogate materials.</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0DB17F1D" w14:textId="77777777" w:rsidR="00C437CF" w:rsidRPr="00913967" w:rsidRDefault="009311C5" w:rsidP="00802E14">
            <w:pPr>
              <w:spacing w:line="259" w:lineRule="auto"/>
              <w:jc w:val="left"/>
              <w:rPr>
                <w:lang w:val="en-US"/>
              </w:rPr>
            </w:pPr>
            <w:r w:rsidRPr="00913967">
              <w:rPr>
                <w:lang w:val="en-US"/>
              </w:rPr>
              <w:t xml:space="preserve">Yes </w:t>
            </w:r>
            <w:r w:rsidRPr="00913967">
              <w:rPr>
                <w:rFonts w:ascii="Segoe UI Symbol" w:hAnsi="Segoe UI Symbol" w:cs="Segoe UI Symbol"/>
                <w:lang w:val="en-US"/>
              </w:rPr>
              <w:t>☐</w:t>
            </w:r>
          </w:p>
          <w:p w14:paraId="6D6641AA" w14:textId="77777777" w:rsidR="00C437CF" w:rsidRPr="00913967" w:rsidRDefault="009311C5" w:rsidP="00802E14">
            <w:pPr>
              <w:spacing w:line="259" w:lineRule="auto"/>
              <w:jc w:val="left"/>
              <w:rPr>
                <w:lang w:val="en-US"/>
              </w:rPr>
            </w:pPr>
            <w:r w:rsidRPr="00913967">
              <w:rPr>
                <w:lang w:val="en-US"/>
              </w:rPr>
              <w:t xml:space="preserve">No </w:t>
            </w:r>
            <w:r w:rsidRPr="00913967">
              <w:rPr>
                <w:rFonts w:ascii="Segoe UI Symbol" w:hAnsi="Segoe UI Symbol" w:cs="Segoe UI Symbol"/>
                <w:lang w:val="en-US"/>
              </w:rPr>
              <w:t>☐✔</w:t>
            </w:r>
          </w:p>
        </w:tc>
      </w:tr>
      <w:tr w:rsidR="00A62B72" w14:paraId="6F5ECD5D" w14:textId="77777777" w:rsidTr="00802E14">
        <w:trPr>
          <w:trHeight w:val="660"/>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107EAC15" w14:textId="77777777" w:rsidR="00C437CF" w:rsidRPr="00913967" w:rsidRDefault="009311C5" w:rsidP="00802E14">
            <w:pPr>
              <w:jc w:val="left"/>
              <w:rPr>
                <w:lang w:val="en-US"/>
              </w:rPr>
            </w:pPr>
            <w:r w:rsidRPr="00913967">
              <w:rPr>
                <w:b/>
                <w:bCs/>
                <w:lang w:val="en-US"/>
              </w:rPr>
              <w:t>STRUCTURE</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669C6104" w14:textId="77777777" w:rsidR="00C437CF" w:rsidRPr="00913967" w:rsidRDefault="009311C5" w:rsidP="00802E14">
            <w:pPr>
              <w:rPr>
                <w:lang w:val="en-US"/>
              </w:rPr>
            </w:pPr>
            <w:r w:rsidRPr="00913967">
              <w:rPr>
                <w:lang w:val="en-US"/>
              </w:rPr>
              <w:t>For this assessment, you can use Generative AI to support you in structuring your submission, including creating a draft argument structure, identifying parts and headings, etc.</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1842C9EC" w14:textId="77777777" w:rsidR="00C437CF" w:rsidRPr="00913967" w:rsidRDefault="009311C5" w:rsidP="00802E14">
            <w:pPr>
              <w:spacing w:line="259" w:lineRule="auto"/>
              <w:jc w:val="left"/>
              <w:rPr>
                <w:lang w:val="en-US"/>
              </w:rPr>
            </w:pPr>
            <w:r w:rsidRPr="00913967">
              <w:rPr>
                <w:lang w:val="en-US"/>
              </w:rPr>
              <w:t xml:space="preserve">Yes </w:t>
            </w:r>
            <w:r w:rsidRPr="00913967">
              <w:rPr>
                <w:rFonts w:ascii="Segoe UI Symbol" w:hAnsi="Segoe UI Symbol" w:cs="Segoe UI Symbol"/>
                <w:lang w:val="en-US"/>
              </w:rPr>
              <w:t>☐</w:t>
            </w:r>
          </w:p>
          <w:p w14:paraId="554912B0" w14:textId="77777777" w:rsidR="00C437CF" w:rsidRPr="00913967" w:rsidRDefault="009311C5" w:rsidP="00802E14">
            <w:pPr>
              <w:spacing w:line="259" w:lineRule="auto"/>
              <w:jc w:val="left"/>
              <w:rPr>
                <w:lang w:val="en-US"/>
              </w:rPr>
            </w:pPr>
            <w:r w:rsidRPr="00913967">
              <w:rPr>
                <w:lang w:val="en-US"/>
              </w:rPr>
              <w:t xml:space="preserve">No </w:t>
            </w:r>
            <w:r w:rsidRPr="00913967">
              <w:rPr>
                <w:rFonts w:ascii="Segoe UI Symbol" w:hAnsi="Segoe UI Symbol" w:cs="Segoe UI Symbol"/>
                <w:lang w:val="en-US"/>
              </w:rPr>
              <w:t>☐✔</w:t>
            </w:r>
          </w:p>
        </w:tc>
      </w:tr>
      <w:tr w:rsidR="00A62B72" w14:paraId="61D96CAA" w14:textId="77777777" w:rsidTr="00802E14">
        <w:trPr>
          <w:trHeight w:val="660"/>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22F96A6A" w14:textId="77777777" w:rsidR="00C437CF" w:rsidRPr="00913967" w:rsidRDefault="009311C5" w:rsidP="00802E14">
            <w:pPr>
              <w:jc w:val="left"/>
              <w:rPr>
                <w:lang w:val="en-US"/>
              </w:rPr>
            </w:pPr>
            <w:r w:rsidRPr="00913967">
              <w:rPr>
                <w:b/>
                <w:bCs/>
                <w:lang w:val="en-US"/>
              </w:rPr>
              <w:t>PROOFREADING</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55742146" w14:textId="77777777" w:rsidR="00C437CF" w:rsidRPr="00913967" w:rsidRDefault="009311C5" w:rsidP="00802E14">
            <w:pPr>
              <w:rPr>
                <w:lang w:val="en-US"/>
              </w:rPr>
            </w:pPr>
            <w:r w:rsidRPr="00913967">
              <w:rPr>
                <w:lang w:val="en-US"/>
              </w:rPr>
              <w:t xml:space="preserve">For this assessment, you can use Generative AI to check your text/creation for grammatical and </w:t>
            </w:r>
            <w:r w:rsidRPr="00913967">
              <w:rPr>
                <w:lang w:val="en-US"/>
              </w:rPr>
              <w:t>syntactical mistakes, including rephrasing your work within specific standards.</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632D602E" w14:textId="77777777" w:rsidR="00C437CF" w:rsidRPr="00913967" w:rsidRDefault="009311C5" w:rsidP="00802E14">
            <w:pPr>
              <w:spacing w:line="259" w:lineRule="auto"/>
              <w:jc w:val="left"/>
              <w:rPr>
                <w:lang w:val="en-US"/>
              </w:rPr>
            </w:pPr>
            <w:r w:rsidRPr="00913967">
              <w:rPr>
                <w:lang w:val="en-US"/>
              </w:rPr>
              <w:t xml:space="preserve">Yes </w:t>
            </w:r>
            <w:r w:rsidRPr="00913967">
              <w:rPr>
                <w:rFonts w:ascii="Segoe UI Symbol" w:hAnsi="Segoe UI Symbol" w:cs="Segoe UI Symbol"/>
                <w:lang w:val="en-US"/>
              </w:rPr>
              <w:t>☐</w:t>
            </w:r>
          </w:p>
          <w:p w14:paraId="5ECFB82D" w14:textId="77777777" w:rsidR="00C437CF" w:rsidRPr="00913967" w:rsidRDefault="009311C5" w:rsidP="00802E14">
            <w:pPr>
              <w:spacing w:line="259" w:lineRule="auto"/>
              <w:jc w:val="left"/>
              <w:rPr>
                <w:lang w:val="en-US"/>
              </w:rPr>
            </w:pPr>
            <w:r w:rsidRPr="00913967">
              <w:rPr>
                <w:lang w:val="en-US"/>
              </w:rPr>
              <w:t xml:space="preserve">No </w:t>
            </w:r>
            <w:r w:rsidRPr="00913967">
              <w:rPr>
                <w:rFonts w:ascii="Segoe UI Symbol" w:hAnsi="Segoe UI Symbol" w:cs="Segoe UI Symbol"/>
                <w:lang w:val="en-US"/>
              </w:rPr>
              <w:t>☐✔</w:t>
            </w:r>
          </w:p>
        </w:tc>
      </w:tr>
      <w:tr w:rsidR="00A62B72" w14:paraId="24729C9F" w14:textId="77777777" w:rsidTr="00802E14">
        <w:trPr>
          <w:trHeight w:val="660"/>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6D2A992F" w14:textId="77777777" w:rsidR="00C437CF" w:rsidRPr="00913967" w:rsidRDefault="009311C5" w:rsidP="00802E14">
            <w:pPr>
              <w:jc w:val="left"/>
              <w:rPr>
                <w:lang w:val="en-US"/>
              </w:rPr>
            </w:pPr>
            <w:r w:rsidRPr="00913967">
              <w:rPr>
                <w:b/>
                <w:bCs/>
                <w:lang w:val="en-US"/>
              </w:rPr>
              <w:t>WRITING</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1643A1B4" w14:textId="77777777" w:rsidR="00C437CF" w:rsidRPr="00913967" w:rsidRDefault="009311C5" w:rsidP="00802E14">
            <w:pPr>
              <w:rPr>
                <w:lang w:val="en-US"/>
              </w:rPr>
            </w:pPr>
            <w:r w:rsidRPr="00913967">
              <w:rPr>
                <w:lang w:val="en-US"/>
              </w:rPr>
              <w:t>For this assessment, you can use Generative AI to create text for submission.</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3B9F3328" w14:textId="77777777" w:rsidR="00C437CF" w:rsidRPr="00913967" w:rsidRDefault="009311C5" w:rsidP="00802E14">
            <w:pPr>
              <w:spacing w:line="259" w:lineRule="auto"/>
              <w:jc w:val="left"/>
              <w:rPr>
                <w:lang w:val="en-US"/>
              </w:rPr>
            </w:pPr>
            <w:r w:rsidRPr="00913967">
              <w:rPr>
                <w:lang w:val="en-US"/>
              </w:rPr>
              <w:t xml:space="preserve">Yes </w:t>
            </w:r>
            <w:r w:rsidRPr="00913967">
              <w:rPr>
                <w:rFonts w:ascii="Segoe UI Symbol" w:hAnsi="Segoe UI Symbol" w:cs="Segoe UI Symbol"/>
                <w:lang w:val="en-US"/>
              </w:rPr>
              <w:t>☐</w:t>
            </w:r>
          </w:p>
          <w:p w14:paraId="657A6B48" w14:textId="77777777" w:rsidR="00C437CF" w:rsidRPr="00913967" w:rsidRDefault="009311C5" w:rsidP="00802E14">
            <w:pPr>
              <w:spacing w:line="259" w:lineRule="auto"/>
              <w:jc w:val="left"/>
              <w:rPr>
                <w:lang w:val="en-US"/>
              </w:rPr>
            </w:pPr>
            <w:r w:rsidRPr="00913967">
              <w:rPr>
                <w:lang w:val="en-US"/>
              </w:rPr>
              <w:t xml:space="preserve">No </w:t>
            </w:r>
            <w:r w:rsidRPr="00913967">
              <w:rPr>
                <w:rFonts w:ascii="Segoe UI Symbol" w:hAnsi="Segoe UI Symbol" w:cs="Segoe UI Symbol"/>
                <w:lang w:val="en-US"/>
              </w:rPr>
              <w:t>☐✔</w:t>
            </w:r>
          </w:p>
        </w:tc>
      </w:tr>
      <w:tr w:rsidR="00A62B72" w14:paraId="3481E115" w14:textId="77777777" w:rsidTr="00802E14">
        <w:trPr>
          <w:trHeight w:val="660"/>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5BEF5614" w14:textId="77777777" w:rsidR="00C437CF" w:rsidRPr="00913967" w:rsidRDefault="009311C5" w:rsidP="00802E14">
            <w:pPr>
              <w:jc w:val="left"/>
              <w:rPr>
                <w:lang w:val="en-US"/>
              </w:rPr>
            </w:pPr>
            <w:r w:rsidRPr="00913967">
              <w:rPr>
                <w:b/>
                <w:bCs/>
                <w:lang w:val="en-US"/>
              </w:rPr>
              <w:t>CREATIVE</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07C620B3" w14:textId="77777777" w:rsidR="00C437CF" w:rsidRPr="00913967" w:rsidRDefault="009311C5" w:rsidP="00802E14">
            <w:pPr>
              <w:rPr>
                <w:lang w:val="en-US"/>
              </w:rPr>
            </w:pPr>
            <w:r w:rsidRPr="00913967">
              <w:rPr>
                <w:lang w:val="en-US"/>
              </w:rPr>
              <w:t>For this assessment, you can use Generative AI to create creative materials, such as images.</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56E127ED" w14:textId="77777777" w:rsidR="00C437CF" w:rsidRPr="00913967" w:rsidRDefault="009311C5" w:rsidP="00802E14">
            <w:pPr>
              <w:spacing w:line="259" w:lineRule="auto"/>
              <w:jc w:val="left"/>
              <w:rPr>
                <w:lang w:val="en-US"/>
              </w:rPr>
            </w:pPr>
            <w:r w:rsidRPr="00913967">
              <w:rPr>
                <w:lang w:val="en-US"/>
              </w:rPr>
              <w:t xml:space="preserve">Yes </w:t>
            </w:r>
            <w:r w:rsidRPr="00913967">
              <w:rPr>
                <w:rFonts w:ascii="Segoe UI Symbol" w:hAnsi="Segoe UI Symbol" w:cs="Segoe UI Symbol"/>
                <w:lang w:val="en-US"/>
              </w:rPr>
              <w:t>☐</w:t>
            </w:r>
          </w:p>
          <w:p w14:paraId="16C59215" w14:textId="77777777" w:rsidR="00C437CF" w:rsidRPr="00913967" w:rsidRDefault="009311C5" w:rsidP="00802E14">
            <w:pPr>
              <w:spacing w:line="259" w:lineRule="auto"/>
              <w:jc w:val="left"/>
              <w:rPr>
                <w:lang w:val="en-US"/>
              </w:rPr>
            </w:pPr>
            <w:r w:rsidRPr="00913967">
              <w:rPr>
                <w:lang w:val="en-US"/>
              </w:rPr>
              <w:t xml:space="preserve">No </w:t>
            </w:r>
            <w:r w:rsidRPr="00913967">
              <w:rPr>
                <w:rFonts w:ascii="Segoe UI Symbol" w:hAnsi="Segoe UI Symbol" w:cs="Segoe UI Symbol"/>
                <w:lang w:val="en-US"/>
              </w:rPr>
              <w:t>☐✔</w:t>
            </w:r>
          </w:p>
        </w:tc>
      </w:tr>
      <w:tr w:rsidR="00A62B72" w14:paraId="4D80CE75" w14:textId="77777777" w:rsidTr="00802E14">
        <w:trPr>
          <w:trHeight w:val="660"/>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75A4B7F8" w14:textId="77777777" w:rsidR="00C437CF" w:rsidRPr="00913967" w:rsidRDefault="009311C5" w:rsidP="00802E14">
            <w:pPr>
              <w:jc w:val="left"/>
              <w:rPr>
                <w:lang w:val="en-US"/>
              </w:rPr>
            </w:pPr>
            <w:r w:rsidRPr="00913967">
              <w:rPr>
                <w:b/>
                <w:bCs/>
                <w:lang w:val="en-US"/>
              </w:rPr>
              <w:t>PROGRAMMING</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4B32A106" w14:textId="77777777" w:rsidR="00C437CF" w:rsidRPr="00913967" w:rsidRDefault="009311C5" w:rsidP="00802E14">
            <w:pPr>
              <w:rPr>
                <w:lang w:val="en-US"/>
              </w:rPr>
            </w:pPr>
            <w:r w:rsidRPr="00913967">
              <w:rPr>
                <w:lang w:val="en-US"/>
              </w:rPr>
              <w:t>For this assessment, you can use Generative AI to create and check code.</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70584DCD" w14:textId="77777777" w:rsidR="00C437CF" w:rsidRPr="00913967" w:rsidRDefault="009311C5" w:rsidP="00802E14">
            <w:pPr>
              <w:spacing w:line="259" w:lineRule="auto"/>
              <w:jc w:val="left"/>
              <w:rPr>
                <w:lang w:val="en-US"/>
              </w:rPr>
            </w:pPr>
            <w:r w:rsidRPr="00913967">
              <w:rPr>
                <w:lang w:val="en-US"/>
              </w:rPr>
              <w:t xml:space="preserve">Yes </w:t>
            </w:r>
            <w:r w:rsidRPr="00913967">
              <w:rPr>
                <w:rFonts w:ascii="Segoe UI Symbol" w:hAnsi="Segoe UI Symbol" w:cs="Segoe UI Symbol"/>
                <w:lang w:val="en-US"/>
              </w:rPr>
              <w:t>☐</w:t>
            </w:r>
          </w:p>
          <w:p w14:paraId="06AD9D86" w14:textId="77777777" w:rsidR="00C437CF" w:rsidRPr="00913967" w:rsidRDefault="009311C5" w:rsidP="00802E14">
            <w:pPr>
              <w:spacing w:line="259" w:lineRule="auto"/>
              <w:jc w:val="left"/>
              <w:rPr>
                <w:lang w:val="en-US"/>
              </w:rPr>
            </w:pPr>
            <w:r w:rsidRPr="00913967">
              <w:rPr>
                <w:lang w:val="en-US"/>
              </w:rPr>
              <w:t xml:space="preserve">No </w:t>
            </w:r>
            <w:r w:rsidRPr="00913967">
              <w:rPr>
                <w:rFonts w:ascii="Segoe UI Symbol" w:hAnsi="Segoe UI Symbol" w:cs="Segoe UI Symbol"/>
                <w:lang w:val="en-US"/>
              </w:rPr>
              <w:t>☐✔</w:t>
            </w:r>
          </w:p>
        </w:tc>
      </w:tr>
      <w:tr w:rsidR="00A62B72" w14:paraId="5A058E67" w14:textId="77777777" w:rsidTr="00802E14">
        <w:trPr>
          <w:trHeight w:val="660"/>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617D41DB" w14:textId="77777777" w:rsidR="00C437CF" w:rsidRPr="00913967" w:rsidRDefault="009311C5" w:rsidP="00802E14">
            <w:pPr>
              <w:jc w:val="left"/>
              <w:rPr>
                <w:lang w:val="en-US"/>
              </w:rPr>
            </w:pPr>
            <w:r w:rsidRPr="00913967">
              <w:rPr>
                <w:b/>
                <w:bCs/>
                <w:lang w:val="en-US"/>
              </w:rPr>
              <w:t>NONE</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1D546938" w14:textId="77777777" w:rsidR="00C437CF" w:rsidRPr="00913967" w:rsidRDefault="009311C5" w:rsidP="00802E14">
            <w:pPr>
              <w:rPr>
                <w:lang w:val="en-US"/>
              </w:rPr>
            </w:pPr>
            <w:r w:rsidRPr="00913967">
              <w:rPr>
                <w:lang w:val="en-US"/>
              </w:rPr>
              <w:t xml:space="preserve">For this assessment, you are not allowed to use any Generative AI support. This includes </w:t>
            </w:r>
            <w:r w:rsidRPr="00913967">
              <w:rPr>
                <w:lang w:val="en-US"/>
              </w:rPr>
              <w:t>research support, structural support, writing and proofreading support, as well as creative support.</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4A554A15" w14:textId="77777777" w:rsidR="00C437CF" w:rsidRPr="00913967" w:rsidRDefault="009311C5" w:rsidP="00802E14">
            <w:pPr>
              <w:spacing w:line="259" w:lineRule="auto"/>
              <w:jc w:val="left"/>
              <w:rPr>
                <w:lang w:val="en-US"/>
              </w:rPr>
            </w:pPr>
            <w:r w:rsidRPr="00913967">
              <w:rPr>
                <w:lang w:val="en-US"/>
              </w:rPr>
              <w:t>Yes</w:t>
            </w:r>
            <w:r w:rsidRPr="00913967">
              <w:rPr>
                <w:rFonts w:ascii="Segoe UI Symbol" w:hAnsi="Segoe UI Symbol" w:cs="Segoe UI Symbol"/>
                <w:lang w:val="en-US"/>
              </w:rPr>
              <w:t>☐✔</w:t>
            </w:r>
          </w:p>
          <w:p w14:paraId="4507DF12" w14:textId="77777777" w:rsidR="00C437CF" w:rsidRPr="00913967" w:rsidRDefault="009311C5" w:rsidP="00802E14">
            <w:pPr>
              <w:spacing w:line="259" w:lineRule="auto"/>
              <w:jc w:val="left"/>
              <w:rPr>
                <w:lang w:val="en-US"/>
              </w:rPr>
            </w:pPr>
            <w:r w:rsidRPr="00913967">
              <w:rPr>
                <w:lang w:val="en-US"/>
              </w:rPr>
              <w:t xml:space="preserve">No </w:t>
            </w:r>
            <w:r w:rsidRPr="00913967">
              <w:rPr>
                <w:rFonts w:ascii="Segoe UI Symbol" w:hAnsi="Segoe UI Symbol" w:cs="Segoe UI Symbol"/>
                <w:lang w:val="en-US"/>
              </w:rPr>
              <w:t>☐</w:t>
            </w:r>
          </w:p>
        </w:tc>
      </w:tr>
    </w:tbl>
    <w:p w14:paraId="2234EF98" w14:textId="61553B56" w:rsidR="00C437CF" w:rsidRPr="00913967" w:rsidRDefault="009311C5" w:rsidP="00C437CF">
      <w:pPr>
        <w:spacing w:after="0"/>
      </w:pPr>
      <w:r w:rsidRPr="00913967">
        <w:t xml:space="preserve">I acknowledge the use of Grammarly (https://www.grammarly.com/) on </w:t>
      </w:r>
      <w:r w:rsidR="0083289F">
        <w:t>5</w:t>
      </w:r>
      <w:r w:rsidR="0083289F" w:rsidRPr="0083289F">
        <w:rPr>
          <w:vertAlign w:val="superscript"/>
        </w:rPr>
        <w:t>th</w:t>
      </w:r>
      <w:r w:rsidR="0083289F">
        <w:t xml:space="preserve"> July</w:t>
      </w:r>
      <w:r w:rsidR="005F3B09">
        <w:t xml:space="preserve"> 2025</w:t>
      </w:r>
      <w:r w:rsidRPr="00913967">
        <w:t xml:space="preserve"> to check my work using the prompt(s): </w:t>
      </w:r>
    </w:p>
    <w:p w14:paraId="63D85C74" w14:textId="77777777" w:rsidR="00C437CF" w:rsidRPr="00913967" w:rsidRDefault="009311C5" w:rsidP="00C437CF">
      <w:pPr>
        <w:numPr>
          <w:ilvl w:val="1"/>
          <w:numId w:val="1"/>
        </w:numPr>
        <w:spacing w:after="0"/>
        <w:jc w:val="left"/>
      </w:pPr>
      <w:r w:rsidRPr="00913967">
        <w:t>Report</w:t>
      </w:r>
    </w:p>
    <w:p w14:paraId="7E5FBDDB" w14:textId="77777777" w:rsidR="00C437CF" w:rsidRPr="00913967" w:rsidRDefault="009311C5" w:rsidP="00C437CF">
      <w:pPr>
        <w:numPr>
          <w:ilvl w:val="1"/>
          <w:numId w:val="1"/>
        </w:numPr>
        <w:spacing w:after="0"/>
        <w:jc w:val="left"/>
      </w:pPr>
      <w:r>
        <w:t>U</w:t>
      </w:r>
      <w:r w:rsidRPr="00913967">
        <w:t xml:space="preserve">K English </w:t>
      </w:r>
    </w:p>
    <w:p w14:paraId="3A037418" w14:textId="77777777" w:rsidR="00C437CF" w:rsidRPr="00913967" w:rsidRDefault="009311C5" w:rsidP="00C437CF">
      <w:pPr>
        <w:spacing w:after="0"/>
      </w:pPr>
      <w:r w:rsidRPr="00913967">
        <w:t xml:space="preserve">I certify that no artificial intelligence (AI) tools were used in the research or development of this assignment. I certify that I have not claimed any content generated by AI as my own. I affirm that </w:t>
      </w:r>
      <w:r w:rsidRPr="00913967">
        <w:lastRenderedPageBreak/>
        <w:t>I have copies of the notes, drafts, and other materials I utilised; I have been said to present these as proof.</w:t>
      </w:r>
    </w:p>
    <w:p w14:paraId="3189882C" w14:textId="77777777" w:rsidR="00C437CF" w:rsidRPr="002667FA" w:rsidRDefault="00C437CF" w:rsidP="00C437CF"/>
    <w:p w14:paraId="0439D675" w14:textId="77777777" w:rsidR="00471A3A" w:rsidRDefault="00471A3A" w:rsidP="00DA793E">
      <w:pPr>
        <w:spacing w:after="0" w:line="259" w:lineRule="auto"/>
        <w:jc w:val="left"/>
      </w:pPr>
    </w:p>
    <w:sectPr w:rsidR="00471A3A">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5398AF" w14:textId="77777777" w:rsidR="00BA6B31" w:rsidRDefault="00BA6B31">
      <w:pPr>
        <w:spacing w:after="0" w:line="240" w:lineRule="auto"/>
      </w:pPr>
      <w:r>
        <w:separator/>
      </w:r>
    </w:p>
  </w:endnote>
  <w:endnote w:type="continuationSeparator" w:id="0">
    <w:p w14:paraId="2FF96F65" w14:textId="77777777" w:rsidR="00BA6B31" w:rsidRDefault="00BA6B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0397779"/>
      <w:docPartObj>
        <w:docPartGallery w:val="Page Numbers (Bottom of Page)"/>
        <w:docPartUnique/>
      </w:docPartObj>
    </w:sdtPr>
    <w:sdtEndPr>
      <w:rPr>
        <w:noProof/>
      </w:rPr>
    </w:sdtEndPr>
    <w:sdtContent>
      <w:p w14:paraId="59AD5F94" w14:textId="77777777" w:rsidR="005C2A82" w:rsidRDefault="009311C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B38A461" w14:textId="77777777" w:rsidR="005C2A82" w:rsidRDefault="005C2A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048892" w14:textId="77777777" w:rsidR="00BA6B31" w:rsidRDefault="00BA6B31">
      <w:pPr>
        <w:spacing w:after="0" w:line="240" w:lineRule="auto"/>
      </w:pPr>
      <w:r>
        <w:separator/>
      </w:r>
    </w:p>
  </w:footnote>
  <w:footnote w:type="continuationSeparator" w:id="0">
    <w:p w14:paraId="19F71120" w14:textId="77777777" w:rsidR="00BA6B31" w:rsidRDefault="00BA6B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726D6C"/>
    <w:multiLevelType w:val="multilevel"/>
    <w:tmpl w:val="B776985A"/>
    <w:lvl w:ilvl="0">
      <w:start w:val="1"/>
      <w:numFmt w:val="bullet"/>
      <w:lvlText w:val=""/>
      <w:lvlJc w:val="left"/>
      <w:pPr>
        <w:tabs>
          <w:tab w:val="num" w:pos="360"/>
        </w:tabs>
        <w:ind w:left="360" w:hanging="360"/>
      </w:pPr>
      <w:rPr>
        <w:rFonts w:ascii="Wingdings" w:hAnsi="Wingdings" w:hint="default"/>
        <w:sz w:val="20"/>
      </w:rPr>
    </w:lvl>
    <w:lvl w:ilvl="1">
      <w:start w:val="1"/>
      <w:numFmt w:val="decimal"/>
      <w:lvlText w:val="%2."/>
      <w:lvlJc w:val="left"/>
      <w:pPr>
        <w:ind w:left="1080" w:hanging="360"/>
      </w:pPr>
      <w:rPr>
        <w:rFonts w:hint="default"/>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16cid:durableId="13615874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3"/>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646B"/>
    <w:rsid w:val="0004399E"/>
    <w:rsid w:val="00075C60"/>
    <w:rsid w:val="000B2F22"/>
    <w:rsid w:val="000B4465"/>
    <w:rsid w:val="001062BB"/>
    <w:rsid w:val="001669F6"/>
    <w:rsid w:val="001E031E"/>
    <w:rsid w:val="002202E7"/>
    <w:rsid w:val="00242D75"/>
    <w:rsid w:val="00262732"/>
    <w:rsid w:val="002667FA"/>
    <w:rsid w:val="002C1773"/>
    <w:rsid w:val="002C505A"/>
    <w:rsid w:val="002F2EB6"/>
    <w:rsid w:val="003A5B2F"/>
    <w:rsid w:val="003B72B2"/>
    <w:rsid w:val="003C536B"/>
    <w:rsid w:val="003C7A2B"/>
    <w:rsid w:val="0041296E"/>
    <w:rsid w:val="0044646B"/>
    <w:rsid w:val="00455C2D"/>
    <w:rsid w:val="004575A5"/>
    <w:rsid w:val="00471A3A"/>
    <w:rsid w:val="004A536B"/>
    <w:rsid w:val="004D64E8"/>
    <w:rsid w:val="004E2582"/>
    <w:rsid w:val="004E2FD8"/>
    <w:rsid w:val="005062BC"/>
    <w:rsid w:val="005216F5"/>
    <w:rsid w:val="00525F72"/>
    <w:rsid w:val="0052733B"/>
    <w:rsid w:val="005339AF"/>
    <w:rsid w:val="005C2A82"/>
    <w:rsid w:val="005C5F65"/>
    <w:rsid w:val="005D1EC1"/>
    <w:rsid w:val="005F3B09"/>
    <w:rsid w:val="005F66D9"/>
    <w:rsid w:val="006247D6"/>
    <w:rsid w:val="006550D0"/>
    <w:rsid w:val="00693CD6"/>
    <w:rsid w:val="006A6D7A"/>
    <w:rsid w:val="006D3813"/>
    <w:rsid w:val="00713EBC"/>
    <w:rsid w:val="00785144"/>
    <w:rsid w:val="007908B5"/>
    <w:rsid w:val="007A1025"/>
    <w:rsid w:val="007A7982"/>
    <w:rsid w:val="007B3C20"/>
    <w:rsid w:val="007C2ED1"/>
    <w:rsid w:val="00802E14"/>
    <w:rsid w:val="008202FD"/>
    <w:rsid w:val="0083289F"/>
    <w:rsid w:val="00836CD4"/>
    <w:rsid w:val="00874931"/>
    <w:rsid w:val="008B3808"/>
    <w:rsid w:val="00913967"/>
    <w:rsid w:val="009259C1"/>
    <w:rsid w:val="009311C5"/>
    <w:rsid w:val="00940ED2"/>
    <w:rsid w:val="00973226"/>
    <w:rsid w:val="009760BF"/>
    <w:rsid w:val="00983CF5"/>
    <w:rsid w:val="009A0964"/>
    <w:rsid w:val="009A418A"/>
    <w:rsid w:val="009C72B8"/>
    <w:rsid w:val="009E01C8"/>
    <w:rsid w:val="00A62B72"/>
    <w:rsid w:val="00A6497D"/>
    <w:rsid w:val="00AA656B"/>
    <w:rsid w:val="00AD226E"/>
    <w:rsid w:val="00AE0B5F"/>
    <w:rsid w:val="00B07D65"/>
    <w:rsid w:val="00B201CB"/>
    <w:rsid w:val="00B7704F"/>
    <w:rsid w:val="00BA5521"/>
    <w:rsid w:val="00BA6B31"/>
    <w:rsid w:val="00BC5F92"/>
    <w:rsid w:val="00C32E4C"/>
    <w:rsid w:val="00C437CF"/>
    <w:rsid w:val="00CA7559"/>
    <w:rsid w:val="00CD645D"/>
    <w:rsid w:val="00D31370"/>
    <w:rsid w:val="00D417FD"/>
    <w:rsid w:val="00D47C6A"/>
    <w:rsid w:val="00D546BD"/>
    <w:rsid w:val="00DA793E"/>
    <w:rsid w:val="00DD7BE7"/>
    <w:rsid w:val="00E025EC"/>
    <w:rsid w:val="00E142CD"/>
    <w:rsid w:val="00E2405D"/>
    <w:rsid w:val="00E802EE"/>
    <w:rsid w:val="00E83698"/>
    <w:rsid w:val="00EA5A71"/>
    <w:rsid w:val="00EB61CF"/>
    <w:rsid w:val="00F264DD"/>
    <w:rsid w:val="00F26DDC"/>
    <w:rsid w:val="00F27356"/>
    <w:rsid w:val="00F36A75"/>
    <w:rsid w:val="00F37795"/>
    <w:rsid w:val="00F4331E"/>
    <w:rsid w:val="00F62F17"/>
    <w:rsid w:val="00FF150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D2EED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61CF"/>
    <w:pPr>
      <w:spacing w:line="360" w:lineRule="auto"/>
      <w:jc w:val="both"/>
    </w:pPr>
    <w:rPr>
      <w:rFonts w:asciiTheme="majorBidi" w:hAnsiTheme="majorBidi"/>
      <w:sz w:val="24"/>
    </w:rPr>
  </w:style>
  <w:style w:type="paragraph" w:styleId="Heading1">
    <w:name w:val="heading 1"/>
    <w:basedOn w:val="Normal"/>
    <w:next w:val="Normal"/>
    <w:link w:val="Heading1Char"/>
    <w:autoRedefine/>
    <w:uiPriority w:val="9"/>
    <w:qFormat/>
    <w:rsid w:val="00693CD6"/>
    <w:pPr>
      <w:keepNext/>
      <w:keepLines/>
      <w:spacing w:after="0"/>
      <w:jc w:val="left"/>
      <w:outlineLvl w:val="0"/>
    </w:pPr>
    <w:rPr>
      <w:rFonts w:eastAsiaTheme="majorEastAsia" w:cstheme="majorBidi"/>
      <w:b/>
      <w:sz w:val="28"/>
      <w:szCs w:val="36"/>
    </w:rPr>
  </w:style>
  <w:style w:type="paragraph" w:styleId="Heading2">
    <w:name w:val="heading 2"/>
    <w:basedOn w:val="Normal"/>
    <w:next w:val="Normal"/>
    <w:link w:val="Heading2Char"/>
    <w:autoRedefine/>
    <w:uiPriority w:val="9"/>
    <w:unhideWhenUsed/>
    <w:qFormat/>
    <w:rsid w:val="005C5F65"/>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autoRedefine/>
    <w:uiPriority w:val="9"/>
    <w:unhideWhenUsed/>
    <w:qFormat/>
    <w:rsid w:val="001E031E"/>
    <w:pPr>
      <w:keepNext/>
      <w:keepLines/>
      <w:spacing w:after="0"/>
      <w:outlineLvl w:val="2"/>
    </w:pPr>
    <w:rPr>
      <w:rFonts w:eastAsiaTheme="majorEastAsia" w:cstheme="majorBidi"/>
      <w:b/>
      <w:kern w:val="2"/>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C5F65"/>
    <w:rPr>
      <w:rFonts w:asciiTheme="majorBidi" w:eastAsiaTheme="majorEastAsia" w:hAnsiTheme="majorBidi" w:cstheme="majorBidi"/>
      <w:b/>
      <w:sz w:val="26"/>
      <w:szCs w:val="26"/>
    </w:rPr>
  </w:style>
  <w:style w:type="character" w:customStyle="1" w:styleId="Heading1Char">
    <w:name w:val="Heading 1 Char"/>
    <w:basedOn w:val="DefaultParagraphFont"/>
    <w:link w:val="Heading1"/>
    <w:uiPriority w:val="9"/>
    <w:rsid w:val="00693CD6"/>
    <w:rPr>
      <w:rFonts w:asciiTheme="majorBidi" w:eastAsiaTheme="majorEastAsia" w:hAnsiTheme="majorBidi" w:cstheme="majorBidi"/>
      <w:b/>
      <w:sz w:val="28"/>
      <w:szCs w:val="36"/>
    </w:rPr>
  </w:style>
  <w:style w:type="character" w:customStyle="1" w:styleId="Heading3Char">
    <w:name w:val="Heading 3 Char"/>
    <w:basedOn w:val="DefaultParagraphFont"/>
    <w:link w:val="Heading3"/>
    <w:uiPriority w:val="9"/>
    <w:rsid w:val="001E031E"/>
    <w:rPr>
      <w:rFonts w:asciiTheme="majorBidi" w:eastAsiaTheme="majorEastAsia" w:hAnsiTheme="majorBidi" w:cstheme="majorBidi"/>
      <w:b/>
      <w:kern w:val="2"/>
      <w:sz w:val="24"/>
      <w:szCs w:val="24"/>
      <w14:ligatures w14:val="standardContextual"/>
    </w:rPr>
  </w:style>
  <w:style w:type="paragraph" w:styleId="TOCHeading">
    <w:name w:val="TOC Heading"/>
    <w:basedOn w:val="Heading1"/>
    <w:next w:val="Normal"/>
    <w:uiPriority w:val="39"/>
    <w:unhideWhenUsed/>
    <w:qFormat/>
    <w:rsid w:val="00D47C6A"/>
    <w:pPr>
      <w:spacing w:line="259" w:lineRule="auto"/>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D47C6A"/>
    <w:pPr>
      <w:spacing w:after="100"/>
    </w:pPr>
  </w:style>
  <w:style w:type="paragraph" w:styleId="TOC2">
    <w:name w:val="toc 2"/>
    <w:basedOn w:val="Normal"/>
    <w:next w:val="Normal"/>
    <w:autoRedefine/>
    <w:uiPriority w:val="39"/>
    <w:unhideWhenUsed/>
    <w:rsid w:val="00D47C6A"/>
    <w:pPr>
      <w:spacing w:after="100"/>
      <w:ind w:left="240"/>
    </w:pPr>
  </w:style>
  <w:style w:type="paragraph" w:styleId="TOC3">
    <w:name w:val="toc 3"/>
    <w:basedOn w:val="Normal"/>
    <w:next w:val="Normal"/>
    <w:autoRedefine/>
    <w:uiPriority w:val="39"/>
    <w:unhideWhenUsed/>
    <w:rsid w:val="00D47C6A"/>
    <w:pPr>
      <w:spacing w:after="100"/>
      <w:ind w:left="480"/>
    </w:pPr>
  </w:style>
  <w:style w:type="character" w:styleId="Hyperlink">
    <w:name w:val="Hyperlink"/>
    <w:basedOn w:val="DefaultParagraphFont"/>
    <w:uiPriority w:val="99"/>
    <w:unhideWhenUsed/>
    <w:rsid w:val="00D47C6A"/>
    <w:rPr>
      <w:color w:val="0563C1" w:themeColor="hyperlink"/>
      <w:u w:val="single"/>
    </w:rPr>
  </w:style>
  <w:style w:type="paragraph" w:styleId="NormalWeb">
    <w:name w:val="Normal (Web)"/>
    <w:basedOn w:val="Normal"/>
    <w:uiPriority w:val="99"/>
    <w:semiHidden/>
    <w:unhideWhenUsed/>
    <w:rsid w:val="009A0964"/>
    <w:pPr>
      <w:spacing w:before="100" w:beforeAutospacing="1" w:after="100" w:afterAutospacing="1" w:line="240" w:lineRule="auto"/>
      <w:jc w:val="left"/>
    </w:pPr>
    <w:rPr>
      <w:rFonts w:ascii="Times New Roman" w:eastAsia="Times New Roman" w:hAnsi="Times New Roman" w:cs="Times New Roman"/>
      <w:szCs w:val="24"/>
      <w:lang w:eastAsia="en-GB"/>
    </w:rPr>
  </w:style>
  <w:style w:type="character" w:styleId="UnresolvedMention">
    <w:name w:val="Unresolved Mention"/>
    <w:basedOn w:val="DefaultParagraphFont"/>
    <w:uiPriority w:val="99"/>
    <w:semiHidden/>
    <w:unhideWhenUsed/>
    <w:rsid w:val="009A0964"/>
    <w:rPr>
      <w:color w:val="605E5C"/>
      <w:shd w:val="clear" w:color="auto" w:fill="E1DFDD"/>
    </w:rPr>
  </w:style>
  <w:style w:type="paragraph" w:styleId="Caption">
    <w:name w:val="caption"/>
    <w:basedOn w:val="Normal"/>
    <w:next w:val="Normal"/>
    <w:uiPriority w:val="35"/>
    <w:unhideWhenUsed/>
    <w:qFormat/>
    <w:rsid w:val="009A0964"/>
    <w:pPr>
      <w:spacing w:after="200" w:line="240" w:lineRule="auto"/>
    </w:pPr>
    <w:rPr>
      <w:i/>
      <w:iCs/>
      <w:color w:val="44546A" w:themeColor="text2"/>
      <w:sz w:val="18"/>
      <w:szCs w:val="18"/>
    </w:rPr>
  </w:style>
  <w:style w:type="table" w:styleId="TableGrid">
    <w:name w:val="Table Grid"/>
    <w:basedOn w:val="TableNormal"/>
    <w:uiPriority w:val="39"/>
    <w:rsid w:val="002C17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55C2D"/>
    <w:pPr>
      <w:tabs>
        <w:tab w:val="center" w:pos="4680"/>
        <w:tab w:val="right" w:pos="9360"/>
      </w:tabs>
      <w:spacing w:after="0" w:line="240" w:lineRule="auto"/>
    </w:pPr>
  </w:style>
  <w:style w:type="character" w:customStyle="1" w:styleId="HeaderChar">
    <w:name w:val="Header Char"/>
    <w:basedOn w:val="DefaultParagraphFont"/>
    <w:link w:val="Header"/>
    <w:uiPriority w:val="99"/>
    <w:rsid w:val="00455C2D"/>
    <w:rPr>
      <w:rFonts w:asciiTheme="majorBidi" w:hAnsiTheme="majorBidi"/>
      <w:sz w:val="24"/>
    </w:rPr>
  </w:style>
  <w:style w:type="paragraph" w:styleId="Footer">
    <w:name w:val="footer"/>
    <w:basedOn w:val="Normal"/>
    <w:link w:val="FooterChar"/>
    <w:uiPriority w:val="99"/>
    <w:unhideWhenUsed/>
    <w:rsid w:val="00455C2D"/>
    <w:pPr>
      <w:tabs>
        <w:tab w:val="center" w:pos="4680"/>
        <w:tab w:val="right" w:pos="9360"/>
      </w:tabs>
      <w:spacing w:after="0" w:line="240" w:lineRule="auto"/>
    </w:pPr>
  </w:style>
  <w:style w:type="character" w:customStyle="1" w:styleId="FooterChar">
    <w:name w:val="Footer Char"/>
    <w:basedOn w:val="DefaultParagraphFont"/>
    <w:link w:val="Footer"/>
    <w:uiPriority w:val="99"/>
    <w:rsid w:val="00455C2D"/>
    <w:rPr>
      <w:rFonts w:asciiTheme="majorBidi" w:hAnsiTheme="majorBidi"/>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B3018F-ECBA-49D0-872F-C06B9747E0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30</Pages>
  <Words>8141</Words>
  <Characters>46408</Characters>
  <Application>Microsoft Office Word</Application>
  <DocSecurity>0</DocSecurity>
  <Lines>386</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2025-07-09T17:49:00Z</dcterms:created>
  <dcterms:modified xsi:type="dcterms:W3CDTF">2025-07-09T17:49:00Z</dcterms:modified>
</cp:coreProperties>
</file>