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03BF" w:rsidRDefault="007045E0" w:rsidP="007045E0">
      <w:r w:rsidRPr="007045E0">
        <w:t>Should the moral worth of our actions be judged solely on the basis of the consequences that stem from them?</w:t>
      </w:r>
    </w:p>
    <w:p w:rsidR="00862C6F" w:rsidRDefault="00862C6F" w:rsidP="00862C6F">
      <w:r>
        <w:t xml:space="preserve">In the following I am going to discuss whether the moral worth of our actions should be judged solely on the basis of the consequences that stem from them. I will begin by outlining consequentialism with supporting examples. I will then pose some issues with consequentialism and finish by concluding that </w:t>
      </w:r>
      <w:r w:rsidR="009053EE">
        <w:t>consequences alone are not sufficient</w:t>
      </w:r>
      <w:r w:rsidR="001D2323">
        <w:t xml:space="preserve"> to solely judge our action’s moral worth.</w:t>
      </w:r>
    </w:p>
    <w:p w:rsidR="00862C6F" w:rsidRDefault="00862C6F" w:rsidP="00862C6F">
      <w:r>
        <w:t xml:space="preserve">Consequentialism is </w:t>
      </w:r>
      <w:r w:rsidR="00352021">
        <w:t>the</w:t>
      </w:r>
      <w:r>
        <w:t xml:space="preserve"> form of moral theory that </w:t>
      </w:r>
      <w:r w:rsidR="00352021">
        <w:t xml:space="preserve">states </w:t>
      </w:r>
      <w:r w:rsidR="00832B24">
        <w:t xml:space="preserve">the </w:t>
      </w:r>
      <w:r w:rsidR="00832B24" w:rsidRPr="00832B24">
        <w:t>moral worth of an action is determined by the</w:t>
      </w:r>
      <w:r w:rsidR="00832B24">
        <w:t xml:space="preserve"> consequences</w:t>
      </w:r>
      <w:r w:rsidR="00832B24" w:rsidRPr="00832B24">
        <w:t xml:space="preserve"> that result from it</w:t>
      </w:r>
      <w:r w:rsidR="00832B24">
        <w:t>.</w:t>
      </w:r>
      <w:r w:rsidR="00665F4F">
        <w:t xml:space="preserve"> </w:t>
      </w:r>
      <w:r w:rsidR="00D23B94">
        <w:t xml:space="preserve">The most known theory of Consequentialism is Utilitarianism. </w:t>
      </w:r>
      <w:r w:rsidR="004F52A7">
        <w:t>Utilitarianism</w:t>
      </w:r>
      <w:r w:rsidR="008960EC">
        <w:rPr>
          <w:rStyle w:val="FootnoteReference"/>
        </w:rPr>
        <w:footnoteReference w:id="1"/>
      </w:r>
      <w:r w:rsidR="004F52A7">
        <w:t xml:space="preserve"> is the theory that judges the moral worth of an action based on the amount of utility that results from it. Utility is often taken to be pleasure or happiness, so an action has a higher moral worth if its consequences leads to greater happiness or pleasure. An example that motivates the Utilitarian position might be a parent telling their child that their dog has gone to live on a farm, when </w:t>
      </w:r>
      <w:r w:rsidR="00D3604E">
        <w:t>the</w:t>
      </w:r>
      <w:r w:rsidR="004F52A7">
        <w:t xml:space="preserve"> dog has passed. </w:t>
      </w:r>
      <w:r w:rsidR="00D3604E">
        <w:t xml:space="preserve">It is clear to see the benefits in this act because the child arguably is happier than they would be if they knew the truth. </w:t>
      </w:r>
    </w:p>
    <w:p w:rsidR="0031106A" w:rsidRDefault="00D3604E" w:rsidP="00862C6F">
      <w:r>
        <w:t xml:space="preserve">An issue that can be taken with the proposal that an action’s moral worth can be judged solely on the consequences that stem from it is that it does not allow for the intention of an action to be considered alongside. The above example of a white lie </w:t>
      </w:r>
      <w:r w:rsidR="00D05639">
        <w:t>shows how both intention and consequence can both be positive. A parent’s good intention not to upset their child ending with a good consequence, the child not being upset. However, this is not always the case. It is possible for a person to act with bad intentions leading to a good consequence. Take for example, a situation in which a person saves another person’s life by pushing them out of the way of an oncoming bullet</w:t>
      </w:r>
      <w:r w:rsidR="0031106A">
        <w:t xml:space="preserve">. One would assume that person one did a good deed with a good outcome, but it transpires that person one intended to harm person two by pushing them into oncoming traffic and it was merely coincidence that they prevented harm from the bullet. </w:t>
      </w:r>
    </w:p>
    <w:p w:rsidR="004C1556" w:rsidRDefault="0031106A" w:rsidP="00862C6F">
      <w:r>
        <w:t>Could this action still be considered of good moral worth? A consequentialist would be committed in saying that this action is moral</w:t>
      </w:r>
      <w:r w:rsidR="001D2323">
        <w:t>ly good</w:t>
      </w:r>
      <w:r>
        <w:t xml:space="preserve"> because of the outcome. To the non-consequentialist it seems that the intention of wishing harm to another and indeed committing an action that would bring harm to that person would overwrite the outcome of the action. </w:t>
      </w:r>
      <w:r w:rsidR="00832752">
        <w:t>Although</w:t>
      </w:r>
      <w:r>
        <w:t xml:space="preserve"> their action cancelled out a potentially worse </w:t>
      </w:r>
      <w:r w:rsidR="001D2323">
        <w:t>consequence</w:t>
      </w:r>
      <w:bookmarkStart w:id="0" w:name="_GoBack"/>
      <w:bookmarkEnd w:id="0"/>
      <w:r>
        <w:t>.</w:t>
      </w:r>
      <w:r w:rsidR="00832752">
        <w:t xml:space="preserve"> So, because of this it does not seem convincing that an action’s moral worth lies solely in the consequence. </w:t>
      </w:r>
    </w:p>
    <w:p w:rsidR="00832752" w:rsidRDefault="00832752" w:rsidP="00862C6F">
      <w:r>
        <w:t>A further issue for consequentialism can be highlighted in the ‘Trolley Problem’ by Philippa Foot</w:t>
      </w:r>
      <w:r w:rsidR="00D44333">
        <w:rPr>
          <w:rStyle w:val="FootnoteReference"/>
        </w:rPr>
        <w:footnoteReference w:id="2"/>
      </w:r>
      <w:r>
        <w:t xml:space="preserve"> who offers an ethical dilemma in which a train track splits in two </w:t>
      </w:r>
      <w:r>
        <w:lastRenderedPageBreak/>
        <w:t xml:space="preserve">with one person on one track and five people on the other track, a trolley is hurtling towards the track with five people on and you are in control of whether it continues on this trajectory or whether it changes to the track with one person on. The utilitarian would say to change direction and kill the one person to save </w:t>
      </w:r>
      <w:r w:rsidR="00F87819">
        <w:t>five people</w:t>
      </w:r>
      <w:r>
        <w:t xml:space="preserve"> as it brings the greatest utility of that situation</w:t>
      </w:r>
      <w:r w:rsidR="00F87819">
        <w:t>. Because of this, it is not only permissible for the utilitarian to act this way but morally preferable. A related problem has been outlined by Judith Jarvis Thomson</w:t>
      </w:r>
      <w:r w:rsidR="00D44333">
        <w:rPr>
          <w:rStyle w:val="FootnoteReference"/>
        </w:rPr>
        <w:footnoteReference w:id="3"/>
      </w:r>
      <w:r w:rsidR="005D30EA">
        <w:t xml:space="preserve"> who offers up a situation in which a doctor oversees five ailing patients all of whom require an organ transplant without which they would die, when one day a healthy tourist comes in for a routine health check and the doctor finds that he is a suitable organ candidate for all five of his patients. The moral problem posed here is should he kill this healthy man to save his five patients from death? He muses that if the young man were to disappear no one would suspect the </w:t>
      </w:r>
      <w:r w:rsidR="00753F07">
        <w:t>doctor,</w:t>
      </w:r>
      <w:r w:rsidR="005D30EA">
        <w:t xml:space="preserve"> so he would get away with it.</w:t>
      </w:r>
      <w:r w:rsidR="0061712D">
        <w:t xml:space="preserve"> Similarly</w:t>
      </w:r>
      <w:r w:rsidR="00D37369">
        <w:t>,</w:t>
      </w:r>
      <w:r w:rsidR="0061712D">
        <w:t xml:space="preserve"> to Foot’s dilemma there are five people </w:t>
      </w:r>
      <w:r w:rsidR="00B704B4">
        <w:t xml:space="preserve">that </w:t>
      </w:r>
      <w:r w:rsidR="0061712D">
        <w:t>would be saved from the action of one person losing their life</w:t>
      </w:r>
      <w:r w:rsidR="00D37369">
        <w:t>. However, unlike the Trolley Problem it would be difficult to argue the action of killing the one person in the second problem as morally permissible. It would not be accepted as morally correct if a doctor took this course of action even if the consequences do lead to higher overall utility.</w:t>
      </w:r>
    </w:p>
    <w:p w:rsidR="00D44333" w:rsidRDefault="00D44333" w:rsidP="00862C6F">
      <w:r>
        <w:t>To surmise,</w:t>
      </w:r>
      <w:r w:rsidR="00D37369">
        <w:t xml:space="preserve"> the moral worth of our actions should not be judged solely by the consequences that stem from them. I believe this is because of the lack of interest given to the intentions of one’s actions. For the Utilitarian one can act with evil intent so long as the consequences of their action always led to the greatest utility. Added to this, the weight given to the importance of consequences when deciding the moral worth of an action seems to change depending on the context in which the action is taken. This is shown clearly in the comparison between Foot and Jarvis Dawson’s dilemmas where the same consequences clearly do not lead to the same moral worth. </w:t>
      </w:r>
      <w:r>
        <w:t xml:space="preserve">In conclusion, </w:t>
      </w:r>
      <w:r w:rsidR="00D37369">
        <w:t xml:space="preserve">consequences may play a role in the judgement of an action’s moral </w:t>
      </w:r>
      <w:r>
        <w:t>worth,</w:t>
      </w:r>
      <w:r w:rsidR="00D37369">
        <w:t xml:space="preserve"> but it is not a wholly sufficient condition. </w:t>
      </w:r>
    </w:p>
    <w:p w:rsidR="00D44333" w:rsidRDefault="00D44333" w:rsidP="00862C6F"/>
    <w:p w:rsidR="00D44333" w:rsidRPr="006671C8" w:rsidRDefault="00D44333" w:rsidP="00862C6F">
      <w:pPr>
        <w:rPr>
          <w:u w:val="single"/>
        </w:rPr>
      </w:pPr>
      <w:r w:rsidRPr="006671C8">
        <w:rPr>
          <w:u w:val="single"/>
        </w:rPr>
        <w:t>References</w:t>
      </w:r>
    </w:p>
    <w:p w:rsidR="008960EC" w:rsidRDefault="008960EC" w:rsidP="00862C6F">
      <w:r>
        <w:t>Bentham J</w:t>
      </w:r>
      <w:r w:rsidR="00A865E5">
        <w:t>.</w:t>
      </w:r>
      <w:r>
        <w:t>, Principles of Morals and Legislation, 1789, Dover Publishing (2007) Chapter 1 ‘</w:t>
      </w:r>
      <w:r w:rsidRPr="008960EC">
        <w:rPr>
          <w:i/>
        </w:rPr>
        <w:t>The Principle of Utility</w:t>
      </w:r>
      <w:r>
        <w:t>’</w:t>
      </w:r>
    </w:p>
    <w:p w:rsidR="00D44333" w:rsidRDefault="00D44333" w:rsidP="00862C6F">
      <w:r>
        <w:t xml:space="preserve">Foot </w:t>
      </w:r>
      <w:r w:rsidR="00A865E5">
        <w:t xml:space="preserve">P., </w:t>
      </w:r>
      <w:r w:rsidRPr="008960EC">
        <w:rPr>
          <w:i/>
        </w:rPr>
        <w:t>'The Problem of Abortion and the Doctrine of the Double Effect'</w:t>
      </w:r>
      <w:r w:rsidR="008960EC" w:rsidRPr="008960EC">
        <w:rPr>
          <w:i/>
        </w:rPr>
        <w:t xml:space="preserve"> </w:t>
      </w:r>
      <w:r w:rsidRPr="008960EC">
        <w:rPr>
          <w:i/>
        </w:rPr>
        <w:t>Oxford Review</w:t>
      </w:r>
      <w:r>
        <w:t>, Number 5, 1967.</w:t>
      </w:r>
    </w:p>
    <w:p w:rsidR="00D44333" w:rsidRDefault="00D44333" w:rsidP="00862C6F">
      <w:r>
        <w:t>Jarvis Dawson</w:t>
      </w:r>
      <w:r w:rsidR="00A865E5">
        <w:t xml:space="preserve"> J.,</w:t>
      </w:r>
      <w:r>
        <w:t xml:space="preserve"> </w:t>
      </w:r>
      <w:r w:rsidR="008960EC" w:rsidRPr="008960EC">
        <w:rPr>
          <w:i/>
        </w:rPr>
        <w:t>‘The Trolley Problem’</w:t>
      </w:r>
      <w:r w:rsidR="008960EC">
        <w:t xml:space="preserve"> </w:t>
      </w:r>
      <w:r>
        <w:t>The Yale Law Journal, Vol. 94, No. 6 (May</w:t>
      </w:r>
      <w:r w:rsidR="00A865E5">
        <w:t xml:space="preserve"> </w:t>
      </w:r>
      <w:r>
        <w:t>1985), pp. 1395-1415</w:t>
      </w:r>
    </w:p>
    <w:p w:rsidR="00D37369" w:rsidRPr="007045E0" w:rsidRDefault="00D37369" w:rsidP="00862C6F">
      <w:r>
        <w:lastRenderedPageBreak/>
        <w:t xml:space="preserve"> </w:t>
      </w:r>
    </w:p>
    <w:sectPr w:rsidR="00D37369" w:rsidRPr="007045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098E" w:rsidRDefault="00C3098E" w:rsidP="00D44333">
      <w:pPr>
        <w:spacing w:after="0" w:line="240" w:lineRule="auto"/>
      </w:pPr>
      <w:r>
        <w:separator/>
      </w:r>
    </w:p>
  </w:endnote>
  <w:endnote w:type="continuationSeparator" w:id="0">
    <w:p w:rsidR="00C3098E" w:rsidRDefault="00C3098E" w:rsidP="00D4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098E" w:rsidRDefault="00C3098E" w:rsidP="00D44333">
      <w:pPr>
        <w:spacing w:after="0" w:line="240" w:lineRule="auto"/>
      </w:pPr>
      <w:r>
        <w:separator/>
      </w:r>
    </w:p>
  </w:footnote>
  <w:footnote w:type="continuationSeparator" w:id="0">
    <w:p w:rsidR="00C3098E" w:rsidRDefault="00C3098E" w:rsidP="00D44333">
      <w:pPr>
        <w:spacing w:after="0" w:line="240" w:lineRule="auto"/>
      </w:pPr>
      <w:r>
        <w:continuationSeparator/>
      </w:r>
    </w:p>
  </w:footnote>
  <w:footnote w:id="1">
    <w:p w:rsidR="008960EC" w:rsidRDefault="008960EC">
      <w:pPr>
        <w:pStyle w:val="FootnoteText"/>
      </w:pPr>
      <w:r>
        <w:rPr>
          <w:rStyle w:val="FootnoteReference"/>
        </w:rPr>
        <w:footnoteRef/>
      </w:r>
      <w:r>
        <w:t xml:space="preserve"> Bentham J, 1789, Principles of Morals and Legislation CH 1‘The Principle of Utility’ </w:t>
      </w:r>
    </w:p>
  </w:footnote>
  <w:footnote w:id="2">
    <w:p w:rsidR="00D44333" w:rsidRDefault="00D44333">
      <w:pPr>
        <w:pStyle w:val="FootnoteText"/>
      </w:pPr>
      <w:r>
        <w:rPr>
          <w:rStyle w:val="FootnoteReference"/>
        </w:rPr>
        <w:footnoteRef/>
      </w:r>
      <w:r>
        <w:t xml:space="preserve"> Foot P, 1967, ‘The Trolley Problem’, </w:t>
      </w:r>
      <w:r>
        <w:t>The Problem of Abortion and the Doctrine of the Double Effect</w:t>
      </w:r>
      <w:r>
        <w:t>.</w:t>
      </w:r>
    </w:p>
  </w:footnote>
  <w:footnote w:id="3">
    <w:p w:rsidR="00D44333" w:rsidRDefault="00D44333">
      <w:pPr>
        <w:pStyle w:val="FootnoteText"/>
      </w:pPr>
      <w:r>
        <w:rPr>
          <w:rStyle w:val="FootnoteReference"/>
        </w:rPr>
        <w:footnoteRef/>
      </w:r>
      <w:r>
        <w:t xml:space="preserve"> Jarvis Thomson J, 1985, </w:t>
      </w:r>
      <w:r w:rsidR="008960EC">
        <w:t>‘</w:t>
      </w:r>
      <w:r w:rsidRPr="008960EC">
        <w:rPr>
          <w:i/>
        </w:rPr>
        <w:t>The Trolley Problem</w:t>
      </w:r>
      <w:r w:rsidR="008960EC">
        <w:t>’ The Yale Law Journal, Vol. 94 No. 6 pg 1395-1415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E1C62"/>
    <w:multiLevelType w:val="hybridMultilevel"/>
    <w:tmpl w:val="7A627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5E0"/>
    <w:rsid w:val="00022D9F"/>
    <w:rsid w:val="00187F8F"/>
    <w:rsid w:val="001D2323"/>
    <w:rsid w:val="0031106A"/>
    <w:rsid w:val="00352021"/>
    <w:rsid w:val="004C1556"/>
    <w:rsid w:val="004F52A7"/>
    <w:rsid w:val="005D30EA"/>
    <w:rsid w:val="0061712D"/>
    <w:rsid w:val="0063307D"/>
    <w:rsid w:val="00665F4F"/>
    <w:rsid w:val="006671C8"/>
    <w:rsid w:val="007045E0"/>
    <w:rsid w:val="00753F07"/>
    <w:rsid w:val="0082653E"/>
    <w:rsid w:val="00832752"/>
    <w:rsid w:val="00832B24"/>
    <w:rsid w:val="00862C6F"/>
    <w:rsid w:val="008960EC"/>
    <w:rsid w:val="009053EE"/>
    <w:rsid w:val="009548A8"/>
    <w:rsid w:val="009F7DC4"/>
    <w:rsid w:val="00A40229"/>
    <w:rsid w:val="00A865E5"/>
    <w:rsid w:val="00B704B4"/>
    <w:rsid w:val="00C3098E"/>
    <w:rsid w:val="00D05639"/>
    <w:rsid w:val="00D23B94"/>
    <w:rsid w:val="00D3604E"/>
    <w:rsid w:val="00D37369"/>
    <w:rsid w:val="00D44333"/>
    <w:rsid w:val="00F87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1BA82"/>
  <w15:chartTrackingRefBased/>
  <w15:docId w15:val="{CC911EE7-E3A2-4ED7-A224-A61FD41C8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pacing w:val="20"/>
        <w:sz w:val="22"/>
        <w:szCs w:val="22"/>
        <w:lang w:val="en-GB" w:eastAsia="en-US" w:bidi="ar-SA"/>
      </w:rPr>
    </w:rPrDefault>
    <w:pPrDefault>
      <w:pPr>
        <w:spacing w:after="20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5E0"/>
    <w:pPr>
      <w:ind w:left="720"/>
      <w:contextualSpacing/>
    </w:pPr>
  </w:style>
  <w:style w:type="paragraph" w:styleId="EndnoteText">
    <w:name w:val="endnote text"/>
    <w:basedOn w:val="Normal"/>
    <w:link w:val="EndnoteTextChar"/>
    <w:uiPriority w:val="99"/>
    <w:semiHidden/>
    <w:unhideWhenUsed/>
    <w:rsid w:val="00D443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44333"/>
    <w:rPr>
      <w:sz w:val="20"/>
      <w:szCs w:val="20"/>
    </w:rPr>
  </w:style>
  <w:style w:type="character" w:styleId="EndnoteReference">
    <w:name w:val="endnote reference"/>
    <w:basedOn w:val="DefaultParagraphFont"/>
    <w:uiPriority w:val="99"/>
    <w:semiHidden/>
    <w:unhideWhenUsed/>
    <w:rsid w:val="00D44333"/>
    <w:rPr>
      <w:vertAlign w:val="superscript"/>
    </w:rPr>
  </w:style>
  <w:style w:type="paragraph" w:styleId="FootnoteText">
    <w:name w:val="footnote text"/>
    <w:basedOn w:val="Normal"/>
    <w:link w:val="FootnoteTextChar"/>
    <w:uiPriority w:val="99"/>
    <w:semiHidden/>
    <w:unhideWhenUsed/>
    <w:rsid w:val="00D443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4333"/>
    <w:rPr>
      <w:sz w:val="20"/>
      <w:szCs w:val="20"/>
    </w:rPr>
  </w:style>
  <w:style w:type="character" w:styleId="FootnoteReference">
    <w:name w:val="footnote reference"/>
    <w:basedOn w:val="DefaultParagraphFont"/>
    <w:uiPriority w:val="99"/>
    <w:semiHidden/>
    <w:unhideWhenUsed/>
    <w:rsid w:val="00D443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639077">
      <w:bodyDiv w:val="1"/>
      <w:marLeft w:val="0"/>
      <w:marRight w:val="0"/>
      <w:marTop w:val="0"/>
      <w:marBottom w:val="0"/>
      <w:divBdr>
        <w:top w:val="none" w:sz="0" w:space="0" w:color="auto"/>
        <w:left w:val="none" w:sz="0" w:space="0" w:color="auto"/>
        <w:bottom w:val="none" w:sz="0" w:space="0" w:color="auto"/>
        <w:right w:val="none" w:sz="0" w:space="0" w:color="auto"/>
      </w:divBdr>
    </w:div>
    <w:div w:id="932014078">
      <w:bodyDiv w:val="1"/>
      <w:marLeft w:val="0"/>
      <w:marRight w:val="0"/>
      <w:marTop w:val="0"/>
      <w:marBottom w:val="0"/>
      <w:divBdr>
        <w:top w:val="none" w:sz="0" w:space="0" w:color="auto"/>
        <w:left w:val="none" w:sz="0" w:space="0" w:color="auto"/>
        <w:bottom w:val="none" w:sz="0" w:space="0" w:color="auto"/>
        <w:right w:val="none" w:sz="0" w:space="0" w:color="auto"/>
      </w:divBdr>
      <w:divsChild>
        <w:div w:id="127356848">
          <w:marLeft w:val="965"/>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740C7-58D5-4DBC-B37C-EE698E0BE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O'sullivan (1604459)</dc:creator>
  <cp:keywords/>
  <dc:description/>
  <cp:lastModifiedBy>Raleigh O'sullivan (1604459)</cp:lastModifiedBy>
  <cp:revision>12</cp:revision>
  <dcterms:created xsi:type="dcterms:W3CDTF">2018-01-24T00:44:00Z</dcterms:created>
  <dcterms:modified xsi:type="dcterms:W3CDTF">2018-01-24T05:13:00Z</dcterms:modified>
</cp:coreProperties>
</file>