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5CBD0D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5044A">
              <w:rPr>
                <w:rFonts w:ascii="Times New Roman" w:hAnsi="Times New Roman" w:cs="Times New Roman"/>
                <w:b/>
                <w:color w:val="auto"/>
                <w:sz w:val="48"/>
              </w:rPr>
              <w:t>Lauren Vaughan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1E08CE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10A77">
              <w:rPr>
                <w:rFonts w:ascii="Times New Roman" w:hAnsi="Times New Roman" w:cs="Times New Roman"/>
                <w:b/>
                <w:color w:val="auto"/>
                <w:sz w:val="48"/>
              </w:rPr>
              <w:t xml:space="preserve"> L</w:t>
            </w:r>
            <w:r w:rsidR="0095044A">
              <w:rPr>
                <w:rFonts w:ascii="Times New Roman" w:hAnsi="Times New Roman" w:cs="Times New Roman"/>
                <w:b/>
                <w:color w:val="auto"/>
                <w:sz w:val="48"/>
              </w:rPr>
              <w:t>.vaughan@npt.gov.uk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AFCE43E" w14:textId="77777777" w:rsidR="00B10A77" w:rsidRDefault="0085230E" w:rsidP="00B10A77">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10A77">
              <w:rPr>
                <w:rFonts w:ascii="Times New Roman" w:hAnsi="Times New Roman" w:cs="Times New Roman"/>
                <w:b/>
                <w:color w:val="auto"/>
                <w:sz w:val="48"/>
              </w:rPr>
              <w:t xml:space="preserve"> </w:t>
            </w:r>
          </w:p>
          <w:p w14:paraId="3A85264F" w14:textId="3EFB551C" w:rsidR="00B10A77" w:rsidRPr="005D3F07" w:rsidRDefault="00B10A77" w:rsidP="00B10A77">
            <w:pPr>
              <w:ind w:right="-957"/>
              <w:rPr>
                <w:rFonts w:ascii="Times New Roman" w:hAnsi="Times New Roman" w:cs="Times New Roman"/>
                <w:b/>
                <w:sz w:val="48"/>
              </w:rPr>
            </w:pPr>
            <w:r>
              <w:rPr>
                <w:rFonts w:ascii="Times New Roman" w:hAnsi="Times New Roman" w:cs="Times New Roman"/>
                <w:b/>
                <w:sz w:val="48"/>
              </w:rPr>
              <w:t>2432434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1FBB09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9F77F6">
              <w:rPr>
                <w:rFonts w:ascii="Times New Roman" w:hAnsi="Times New Roman" w:cs="Times New Roman"/>
                <w:b/>
                <w:color w:val="auto"/>
                <w:sz w:val="48"/>
              </w:rPr>
              <w:t>5</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59437840" w14:textId="2629C515" w:rsidR="006038ED" w:rsidRPr="006038ED" w:rsidRDefault="006038ED" w:rsidP="006038ED">
            <w:pPr>
              <w:jc w:val="both"/>
              <w:rPr>
                <w:sz w:val="24"/>
                <w:szCs w:val="24"/>
                <w:lang w:val="en-US"/>
              </w:rPr>
            </w:pPr>
            <w:r w:rsidRPr="006038ED">
              <w:rPr>
                <w:sz w:val="24"/>
                <w:szCs w:val="24"/>
                <w:lang w:val="en-US"/>
              </w:rPr>
              <w:t xml:space="preserve">As my main area of work is with adults, I focus here on children’s safeguarding in Wales. Practice is </w:t>
            </w:r>
            <w:r w:rsidR="004553E4">
              <w:rPr>
                <w:sz w:val="24"/>
                <w:szCs w:val="24"/>
                <w:lang w:val="en-US"/>
              </w:rPr>
              <w:t>grounded</w:t>
            </w:r>
            <w:r w:rsidRPr="006038ED">
              <w:rPr>
                <w:sz w:val="24"/>
                <w:szCs w:val="24"/>
                <w:lang w:val="en-US"/>
              </w:rPr>
              <w:t xml:space="preserve"> by the Social Services and Well</w:t>
            </w:r>
            <w:r w:rsidRPr="006038ED">
              <w:rPr>
                <w:sz w:val="24"/>
                <w:szCs w:val="24"/>
                <w:lang w:val="en-US"/>
              </w:rPr>
              <w:noBreakHyphen/>
              <w:t xml:space="preserve">being (Wales) Act 2014 (SSWBA), which provides the overarching framework and defines a child at risk as a person under 18 who is experiencing, or is at risk of experiencing, </w:t>
            </w:r>
            <w:r>
              <w:rPr>
                <w:sz w:val="24"/>
                <w:szCs w:val="24"/>
                <w:lang w:val="en-US"/>
              </w:rPr>
              <w:t>“</w:t>
            </w:r>
            <w:r w:rsidRPr="006038ED">
              <w:rPr>
                <w:sz w:val="24"/>
                <w:szCs w:val="24"/>
                <w:lang w:val="en-US"/>
              </w:rPr>
              <w:t>abuse, neglect or other kinds of harm</w:t>
            </w:r>
            <w:r>
              <w:rPr>
                <w:sz w:val="24"/>
                <w:szCs w:val="24"/>
                <w:lang w:val="en-US"/>
              </w:rPr>
              <w:t>”</w:t>
            </w:r>
            <w:r w:rsidRPr="006038ED">
              <w:rPr>
                <w:sz w:val="24"/>
                <w:szCs w:val="24"/>
                <w:lang w:val="en-US"/>
              </w:rPr>
              <w:t>, and who has care and support needs. The Act creates duties to report concerns, make enquiries where appropriate, and cooperate across agencies to protect children (Welsh Parliament, 2014, Part 7; s.130).</w:t>
            </w:r>
          </w:p>
          <w:p w14:paraId="0051FD66" w14:textId="77777777" w:rsidR="0058051F" w:rsidRDefault="0058051F" w:rsidP="00D65DCA">
            <w:pPr>
              <w:jc w:val="both"/>
              <w:rPr>
                <w:sz w:val="24"/>
                <w:szCs w:val="24"/>
                <w:lang w:val="en-US"/>
              </w:rPr>
            </w:pPr>
          </w:p>
          <w:p w14:paraId="2EA6F95A" w14:textId="606AE7F8" w:rsidR="00D65DCA" w:rsidRPr="00D65DCA" w:rsidRDefault="006038ED" w:rsidP="00D65DCA">
            <w:pPr>
              <w:jc w:val="both"/>
              <w:rPr>
                <w:sz w:val="24"/>
                <w:szCs w:val="24"/>
              </w:rPr>
            </w:pPr>
            <w:r w:rsidRPr="006038ED">
              <w:rPr>
                <w:sz w:val="24"/>
                <w:szCs w:val="24"/>
                <w:lang w:val="en-US"/>
              </w:rPr>
              <w:t>The Children Act 1989 establishes the paramountcy principle, making a child’s welfare the court’s primary consideration, and requires Section 47 enquiries where there is reasonable cause to suspect significant harm. The Children Act 2004 strengthens multi</w:t>
            </w:r>
            <w:r w:rsidRPr="006038ED">
              <w:rPr>
                <w:sz w:val="24"/>
                <w:szCs w:val="24"/>
                <w:lang w:val="en-US"/>
              </w:rPr>
              <w:noBreakHyphen/>
              <w:t>agency responsibilities</w:t>
            </w:r>
            <w:r w:rsidR="0058051F">
              <w:rPr>
                <w:sz w:val="24"/>
                <w:szCs w:val="24"/>
                <w:lang w:val="en-US"/>
              </w:rPr>
              <w:t xml:space="preserve"> and</w:t>
            </w:r>
            <w:r w:rsidRPr="006038ED">
              <w:rPr>
                <w:sz w:val="24"/>
                <w:szCs w:val="24"/>
                <w:lang w:val="en-US"/>
              </w:rPr>
              <w:t xml:space="preserve"> in Wales these are delivered through Regional Safeguarding Boards, which coordinate local multi</w:t>
            </w:r>
            <w:r w:rsidRPr="006038ED">
              <w:rPr>
                <w:sz w:val="24"/>
                <w:szCs w:val="24"/>
                <w:lang w:val="en-US"/>
              </w:rPr>
              <w:noBreakHyphen/>
              <w:t>agency arrangements and align them with national guidance (Children Act 1989; Welsh Government, 2019).</w:t>
            </w:r>
            <w:r w:rsidR="00D65DCA">
              <w:rPr>
                <w:sz w:val="24"/>
                <w:szCs w:val="24"/>
                <w:lang w:val="en-US"/>
              </w:rPr>
              <w:t xml:space="preserve"> </w:t>
            </w:r>
            <w:r w:rsidR="00D65DCA" w:rsidRPr="00D65DCA">
              <w:rPr>
                <w:sz w:val="24"/>
                <w:szCs w:val="24"/>
              </w:rPr>
              <w:t>These Boards implement the Wales Safeguarding Procedures locally and coordinate thresholds, escalation and information</w:t>
            </w:r>
            <w:r w:rsidR="00D65DCA" w:rsidRPr="00D65DCA">
              <w:rPr>
                <w:sz w:val="24"/>
                <w:szCs w:val="24"/>
              </w:rPr>
              <w:noBreakHyphen/>
              <w:t>sharing</w:t>
            </w:r>
            <w:r w:rsidR="00EE77E6">
              <w:rPr>
                <w:sz w:val="24"/>
                <w:szCs w:val="24"/>
              </w:rPr>
              <w:t xml:space="preserve"> (Welsh Government, 2019)</w:t>
            </w:r>
            <w:r w:rsidR="00D65DCA">
              <w:rPr>
                <w:sz w:val="24"/>
                <w:szCs w:val="24"/>
              </w:rPr>
              <w:t>.</w:t>
            </w:r>
          </w:p>
          <w:p w14:paraId="185154D7" w14:textId="77777777" w:rsidR="006038ED" w:rsidRPr="006038ED" w:rsidRDefault="006038ED" w:rsidP="006038ED">
            <w:pPr>
              <w:jc w:val="both"/>
              <w:rPr>
                <w:sz w:val="24"/>
                <w:szCs w:val="24"/>
                <w:lang w:val="en-US"/>
              </w:rPr>
            </w:pPr>
          </w:p>
          <w:p w14:paraId="0330761B" w14:textId="77777777" w:rsidR="006038ED" w:rsidRPr="006038ED" w:rsidRDefault="006038ED" w:rsidP="006038ED">
            <w:pPr>
              <w:jc w:val="both"/>
              <w:rPr>
                <w:sz w:val="24"/>
                <w:szCs w:val="24"/>
                <w:lang w:val="en-US"/>
              </w:rPr>
            </w:pPr>
            <w:r w:rsidRPr="006038ED">
              <w:rPr>
                <w:sz w:val="24"/>
                <w:szCs w:val="24"/>
                <w:lang w:val="en-US"/>
              </w:rPr>
              <w:t>Children’s rights also shape safeguarding in Wales. The UN Convention on the Rights of the Child (UNCRC) underpins emphasis on life, development and participation (Articles 6 and 12), and the Children (Abolition of Defence of Reasonable Punishment) (Wales) Act 2020 strengthens protection by prohibiting physical punishment (UNICEF, 1989; Welsh Parliament, 2020).</w:t>
            </w:r>
          </w:p>
          <w:p w14:paraId="752F8D8C" w14:textId="77777777" w:rsidR="006038ED" w:rsidRPr="006038ED" w:rsidRDefault="006038ED" w:rsidP="006038ED">
            <w:pPr>
              <w:jc w:val="both"/>
              <w:rPr>
                <w:sz w:val="24"/>
                <w:szCs w:val="24"/>
                <w:lang w:val="en-US"/>
              </w:rPr>
            </w:pPr>
          </w:p>
          <w:p w14:paraId="3C56265A" w14:textId="77777777" w:rsidR="006038ED" w:rsidRPr="006038ED" w:rsidRDefault="006038ED" w:rsidP="006038ED">
            <w:pPr>
              <w:jc w:val="both"/>
              <w:rPr>
                <w:sz w:val="24"/>
                <w:szCs w:val="24"/>
                <w:lang w:val="en-US"/>
              </w:rPr>
            </w:pPr>
            <w:r w:rsidRPr="006038ED">
              <w:rPr>
                <w:sz w:val="24"/>
                <w:szCs w:val="24"/>
                <w:lang w:val="en-US"/>
              </w:rPr>
              <w:t>Operationally, the Wales Safeguarding Procedures (2019) provide a single national procedural framework. They describe the pathway from referral and strategy discussion/meeting, through Section 47 enquiry, to an Initial Child Protection Conference within 15 working days, where decisions about registration are made and a care and support protection plan is agreed and reviewed. Welsh local authorities also maintain a live Child Protection Register alongside the plan to support oversight and information</w:t>
            </w:r>
            <w:r w:rsidRPr="006038ED">
              <w:rPr>
                <w:sz w:val="24"/>
                <w:szCs w:val="24"/>
                <w:lang w:val="en-US"/>
              </w:rPr>
              <w:noBreakHyphen/>
              <w:t>sharing (Welsh Government, 2019).</w:t>
            </w:r>
          </w:p>
          <w:p w14:paraId="500A2A3A" w14:textId="77777777" w:rsidR="006038ED" w:rsidRPr="006038ED" w:rsidRDefault="006038ED" w:rsidP="006038ED">
            <w:pPr>
              <w:jc w:val="both"/>
              <w:rPr>
                <w:sz w:val="24"/>
                <w:szCs w:val="24"/>
                <w:lang w:val="en-US"/>
              </w:rPr>
            </w:pPr>
          </w:p>
          <w:p w14:paraId="3102E39D" w14:textId="69194688" w:rsidR="006038ED" w:rsidRPr="00D57084" w:rsidRDefault="00D57084" w:rsidP="006038ED">
            <w:pPr>
              <w:jc w:val="both"/>
              <w:rPr>
                <w:sz w:val="24"/>
                <w:szCs w:val="24"/>
              </w:rPr>
            </w:pPr>
            <w:r w:rsidRPr="00D57084">
              <w:rPr>
                <w:sz w:val="24"/>
                <w:szCs w:val="24"/>
              </w:rPr>
              <w:t>Gillick competence and the Fraser guidelines (NSPCC Learning, 2022) are used in practice where decision</w:t>
            </w:r>
            <w:r w:rsidRPr="00D57084">
              <w:rPr>
                <w:sz w:val="24"/>
                <w:szCs w:val="24"/>
              </w:rPr>
              <w:noBreakHyphen/>
              <w:t>making capacity for specific issues (for example, treatment or sexual health) must be considered.</w:t>
            </w:r>
            <w:r>
              <w:rPr>
                <w:sz w:val="24"/>
                <w:szCs w:val="24"/>
              </w:rPr>
              <w:t xml:space="preserve"> </w:t>
            </w:r>
            <w:r w:rsidR="006038ED" w:rsidRPr="006038ED">
              <w:rPr>
                <w:sz w:val="24"/>
                <w:szCs w:val="24"/>
                <w:lang w:val="en-US"/>
              </w:rPr>
              <w:t>In line with case law, Gillick provides a framework to assess whether a child under 16 has sufficient understanding and intelligence to make a particular decision, while Fraser applies specifically to contraception and sexual health; both must be applied alongside statutory safeguarding duties and information</w:t>
            </w:r>
            <w:r w:rsidR="006038ED" w:rsidRPr="006038ED">
              <w:rPr>
                <w:sz w:val="24"/>
                <w:szCs w:val="24"/>
                <w:lang w:val="en-US"/>
              </w:rPr>
              <w:noBreakHyphen/>
              <w:t>sharing where risk is identified (NSPCC Learning, 2022).</w:t>
            </w:r>
          </w:p>
          <w:p w14:paraId="56E2D121" w14:textId="77777777" w:rsidR="006038ED" w:rsidRPr="006038ED" w:rsidRDefault="006038ED" w:rsidP="006038ED">
            <w:pPr>
              <w:jc w:val="both"/>
              <w:rPr>
                <w:sz w:val="24"/>
                <w:szCs w:val="24"/>
                <w:lang w:val="en-US"/>
              </w:rPr>
            </w:pPr>
          </w:p>
          <w:p w14:paraId="567DC9AF" w14:textId="2AE4A564" w:rsidR="006038ED" w:rsidRPr="006038ED" w:rsidRDefault="006038ED" w:rsidP="006038ED">
            <w:pPr>
              <w:jc w:val="both"/>
              <w:rPr>
                <w:sz w:val="24"/>
                <w:szCs w:val="24"/>
                <w:lang w:val="en-US"/>
              </w:rPr>
            </w:pPr>
            <w:r w:rsidRPr="006038ED">
              <w:rPr>
                <w:sz w:val="24"/>
                <w:szCs w:val="24"/>
                <w:lang w:val="en-US"/>
              </w:rPr>
              <w:t>Language rights are integral to safe and effective safeguarding. Under the Welsh Language (Wales) Measure 2011 and More than just words 2022–27, practitioners must make a proactive Active Offer of Welsh</w:t>
            </w:r>
            <w:r w:rsidR="004E154D">
              <w:rPr>
                <w:sz w:val="24"/>
                <w:szCs w:val="24"/>
                <w:lang w:val="en-US"/>
              </w:rPr>
              <w:t xml:space="preserve"> </w:t>
            </w:r>
            <w:r w:rsidRPr="006038ED">
              <w:rPr>
                <w:sz w:val="24"/>
                <w:szCs w:val="24"/>
                <w:lang w:val="en-US"/>
              </w:rPr>
              <w:t>language services, so families are not expected to ask. Recording language preferences, providing assessments and meetings in Welsh where appropriate, and supplying bilingual information improve understanding, reduce barriers to disclosure and support meaningful participation in safeguarding processes (Welsh Government, 2022).</w:t>
            </w:r>
          </w:p>
          <w:p w14:paraId="32AF3197" w14:textId="77777777" w:rsidR="006038ED" w:rsidRPr="006038ED" w:rsidRDefault="006038ED" w:rsidP="006038ED">
            <w:pPr>
              <w:jc w:val="both"/>
              <w:rPr>
                <w:sz w:val="24"/>
                <w:szCs w:val="24"/>
                <w:lang w:val="en-US"/>
              </w:rPr>
            </w:pPr>
          </w:p>
          <w:p w14:paraId="060E40BB" w14:textId="77777777" w:rsidR="006038ED" w:rsidRPr="006038ED" w:rsidRDefault="006038ED" w:rsidP="006038ED">
            <w:pPr>
              <w:jc w:val="both"/>
              <w:rPr>
                <w:sz w:val="24"/>
                <w:szCs w:val="24"/>
                <w:lang w:val="en-US"/>
              </w:rPr>
            </w:pPr>
            <w:r w:rsidRPr="006038ED">
              <w:rPr>
                <w:sz w:val="24"/>
                <w:szCs w:val="24"/>
                <w:lang w:val="en-US"/>
              </w:rPr>
              <w:t>Local and organisational procedures align to the national framework via the Regional Safeguarding Boards, which coordinate thresholds, escalation, information</w:t>
            </w:r>
            <w:r w:rsidRPr="006038ED">
              <w:rPr>
                <w:sz w:val="24"/>
                <w:szCs w:val="24"/>
                <w:lang w:val="en-US"/>
              </w:rPr>
              <w:noBreakHyphen/>
              <w:t>sharing and professional</w:t>
            </w:r>
            <w:r w:rsidRPr="006038ED">
              <w:rPr>
                <w:sz w:val="24"/>
                <w:szCs w:val="24"/>
                <w:lang w:val="en-US"/>
              </w:rPr>
              <w:noBreakHyphen/>
              <w:t>disagreement routes. These sit alongside local authority child</w:t>
            </w:r>
            <w:r w:rsidRPr="006038ED">
              <w:rPr>
                <w:sz w:val="24"/>
                <w:szCs w:val="24"/>
                <w:lang w:val="en-US"/>
              </w:rPr>
              <w:noBreakHyphen/>
              <w:t>protection procedures, Early Help pathways and domestic</w:t>
            </w:r>
            <w:r w:rsidRPr="006038ED">
              <w:rPr>
                <w:sz w:val="24"/>
                <w:szCs w:val="24"/>
                <w:lang w:val="en-US"/>
              </w:rPr>
              <w:noBreakHyphen/>
              <w:t>abuse responses, ensuring consistency from early intervention through to protection and review (Welsh Government, 2019).</w:t>
            </w:r>
          </w:p>
          <w:p w14:paraId="6BDB9B00" w14:textId="77777777" w:rsidR="004B5044" w:rsidRDefault="004B5044" w:rsidP="0095044A">
            <w:pPr>
              <w:jc w:val="both"/>
              <w:rPr>
                <w:sz w:val="24"/>
                <w:szCs w:val="24"/>
                <w:lang w:val="en-US"/>
              </w:rPr>
            </w:pPr>
          </w:p>
          <w:p w14:paraId="0539C0A6" w14:textId="77777777" w:rsidR="004B5044" w:rsidRPr="004B5044" w:rsidRDefault="004B5044" w:rsidP="004B5044">
            <w:pPr>
              <w:jc w:val="both"/>
              <w:rPr>
                <w:sz w:val="24"/>
                <w:szCs w:val="24"/>
              </w:rPr>
            </w:pPr>
          </w:p>
          <w:p w14:paraId="737DE3BE" w14:textId="0390CF58" w:rsidR="0095044A" w:rsidRPr="0095044A" w:rsidRDefault="0095044A" w:rsidP="0095044A">
            <w:pPr>
              <w:jc w:val="both"/>
              <w:rPr>
                <w:sz w:val="24"/>
                <w:szCs w:val="24"/>
                <w:lang w:val="en-US"/>
              </w:rPr>
            </w:pPr>
            <w:r w:rsidRPr="0095044A">
              <w:rPr>
                <w:sz w:val="24"/>
                <w:szCs w:val="24"/>
                <w:lang w:val="en-US"/>
              </w:rPr>
              <w:t xml:space="preserve"> (Word count: </w:t>
            </w:r>
            <w:r w:rsidR="00FF7698">
              <w:rPr>
                <w:sz w:val="24"/>
                <w:szCs w:val="24"/>
                <w:lang w:val="en-US"/>
              </w:rPr>
              <w:t>4</w:t>
            </w:r>
            <w:r w:rsidR="003B114A">
              <w:rPr>
                <w:sz w:val="24"/>
                <w:szCs w:val="24"/>
                <w:lang w:val="en-US"/>
              </w:rPr>
              <w:t>9</w:t>
            </w:r>
            <w:r w:rsidR="004E154D">
              <w:rPr>
                <w:sz w:val="24"/>
                <w:szCs w:val="24"/>
                <w:lang w:val="en-US"/>
              </w:rPr>
              <w:t>8</w:t>
            </w:r>
            <w:r w:rsidRPr="0095044A">
              <w:rPr>
                <w:sz w:val="24"/>
                <w:szCs w:val="24"/>
                <w:lang w:val="en-US"/>
              </w:rPr>
              <w:t>)</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6AA979F" w14:textId="77777777" w:rsidR="009F77F6" w:rsidRDefault="009F77F6" w:rsidP="00FF7EBB">
            <w:pPr>
              <w:jc w:val="both"/>
              <w:rPr>
                <w:sz w:val="24"/>
                <w:szCs w:val="24"/>
              </w:rPr>
            </w:pPr>
          </w:p>
          <w:p w14:paraId="21117C4A" w14:textId="77777777" w:rsidR="009F77F6" w:rsidRDefault="009F77F6" w:rsidP="00FF7EBB">
            <w:pPr>
              <w:jc w:val="both"/>
              <w:rPr>
                <w:sz w:val="24"/>
                <w:szCs w:val="24"/>
              </w:rPr>
            </w:pPr>
          </w:p>
          <w:p w14:paraId="616B31C7" w14:textId="77777777" w:rsidR="009F77F6" w:rsidRDefault="009F77F6" w:rsidP="00FF7EBB">
            <w:pPr>
              <w:jc w:val="both"/>
              <w:rPr>
                <w:sz w:val="24"/>
                <w:szCs w:val="24"/>
              </w:rPr>
            </w:pPr>
          </w:p>
          <w:p w14:paraId="0059890B" w14:textId="77777777" w:rsidR="009F77F6" w:rsidRDefault="009F77F6" w:rsidP="00FF7EBB">
            <w:pPr>
              <w:jc w:val="both"/>
              <w:rPr>
                <w:sz w:val="24"/>
                <w:szCs w:val="24"/>
              </w:rPr>
            </w:pPr>
          </w:p>
          <w:p w14:paraId="266A6BBD" w14:textId="77777777" w:rsidR="009F77F6" w:rsidRDefault="009F77F6" w:rsidP="00FF7EBB">
            <w:pPr>
              <w:jc w:val="both"/>
              <w:rPr>
                <w:sz w:val="24"/>
                <w:szCs w:val="24"/>
              </w:rPr>
            </w:pPr>
          </w:p>
          <w:p w14:paraId="21B9DCC4" w14:textId="77777777" w:rsidR="009F77F6" w:rsidRDefault="009F77F6" w:rsidP="00FF7EBB">
            <w:pPr>
              <w:jc w:val="both"/>
              <w:rPr>
                <w:sz w:val="24"/>
                <w:szCs w:val="24"/>
              </w:rPr>
            </w:pPr>
          </w:p>
          <w:p w14:paraId="546AF35C" w14:textId="77777777" w:rsidR="0058051F" w:rsidRDefault="0058051F" w:rsidP="00FF7EBB">
            <w:pPr>
              <w:jc w:val="both"/>
              <w:rPr>
                <w:sz w:val="24"/>
                <w:szCs w:val="24"/>
              </w:rPr>
            </w:pPr>
          </w:p>
          <w:p w14:paraId="73390ACC" w14:textId="77777777" w:rsidR="0058051F" w:rsidRDefault="0058051F"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1D1D933" w14:textId="22213FDD" w:rsidR="00C32089" w:rsidRDefault="00C32089" w:rsidP="00C32089">
            <w:pPr>
              <w:jc w:val="both"/>
              <w:rPr>
                <w:sz w:val="24"/>
                <w:szCs w:val="24"/>
              </w:rPr>
            </w:pPr>
            <w:r w:rsidRPr="00C32089">
              <w:rPr>
                <w:sz w:val="24"/>
                <w:szCs w:val="24"/>
              </w:rPr>
              <w:t xml:space="preserve">Safeguarding adults and children share the overarching aim of preventing harm, yet the ethical, legal, and practical approaches differ significantly. For adults, autonomy and self-determination are central principles under the Mental Capacity Act 2005 (MCA), meaning that even when risks are high, an adult with capacity can refuse intervention (Welsh </w:t>
            </w:r>
            <w:r w:rsidR="00980180">
              <w:rPr>
                <w:sz w:val="24"/>
                <w:szCs w:val="24"/>
              </w:rPr>
              <w:t>Parliament</w:t>
            </w:r>
            <w:r w:rsidRPr="00C32089">
              <w:rPr>
                <w:sz w:val="24"/>
                <w:szCs w:val="24"/>
              </w:rPr>
              <w:t>, 2014). In contrast, child safeguarding prioritises the paramountcy principle from the Children Act 1989, placing welfare above all other considerations (Children Act 1989). This creates a fundamental tension: adult safeguarding often negotiates the balance between empowerment and protection, whereas child safeguarding assumes a protective stance from the outset.</w:t>
            </w:r>
          </w:p>
          <w:p w14:paraId="7D0AA3C6" w14:textId="77777777" w:rsidR="00F5405B" w:rsidRDefault="00F5405B" w:rsidP="00C32089">
            <w:pPr>
              <w:jc w:val="both"/>
              <w:rPr>
                <w:sz w:val="24"/>
                <w:szCs w:val="24"/>
              </w:rPr>
            </w:pPr>
          </w:p>
          <w:p w14:paraId="178E4AF1" w14:textId="588E5E98" w:rsidR="00F5405B" w:rsidRPr="00F5405B" w:rsidRDefault="00F5405B" w:rsidP="00F5405B">
            <w:pPr>
              <w:jc w:val="both"/>
              <w:rPr>
                <w:sz w:val="24"/>
                <w:szCs w:val="24"/>
              </w:rPr>
            </w:pPr>
            <w:r w:rsidRPr="00F5405B">
              <w:rPr>
                <w:sz w:val="24"/>
                <w:szCs w:val="24"/>
              </w:rPr>
              <w:t>Consent and capacity illustrate this divergence. Adults are presumed to have capacity unless assessed otherwise. For children, consent is nuanced;</w:t>
            </w:r>
            <w:r>
              <w:rPr>
                <w:sz w:val="24"/>
                <w:szCs w:val="24"/>
              </w:rPr>
              <w:t xml:space="preserve"> </w:t>
            </w:r>
            <w:r w:rsidRPr="00F5405B">
              <w:rPr>
                <w:sz w:val="24"/>
                <w:szCs w:val="24"/>
              </w:rPr>
              <w:t>Gillick competence and Fraser guidelines (NSPCC Learning, 2022) determine decision</w:t>
            </w:r>
            <w:r w:rsidRPr="00F5405B">
              <w:rPr>
                <w:sz w:val="24"/>
                <w:szCs w:val="24"/>
              </w:rPr>
              <w:noBreakHyphen/>
              <w:t>making ability. However, parental responsibility and statutory duties often override a child’s wishes when safety is at risk.</w:t>
            </w:r>
          </w:p>
          <w:p w14:paraId="458BE1ED" w14:textId="77777777" w:rsidR="002C3A42" w:rsidRDefault="002C3A42" w:rsidP="00C32089">
            <w:pPr>
              <w:jc w:val="both"/>
              <w:rPr>
                <w:sz w:val="24"/>
                <w:szCs w:val="24"/>
              </w:rPr>
            </w:pPr>
          </w:p>
          <w:p w14:paraId="12AAAD6D" w14:textId="2A9856BD" w:rsidR="002C3A42" w:rsidRDefault="002C3A42" w:rsidP="00C32089">
            <w:pPr>
              <w:jc w:val="both"/>
              <w:rPr>
                <w:sz w:val="24"/>
                <w:szCs w:val="24"/>
              </w:rPr>
            </w:pPr>
            <w:r w:rsidRPr="002C3A42">
              <w:rPr>
                <w:sz w:val="24"/>
                <w:szCs w:val="24"/>
              </w:rPr>
              <w:t>For example, if a 12</w:t>
            </w:r>
            <w:r w:rsidRPr="002C3A42">
              <w:rPr>
                <w:sz w:val="24"/>
                <w:szCs w:val="24"/>
              </w:rPr>
              <w:noBreakHyphen/>
              <w:t>year</w:t>
            </w:r>
            <w:r w:rsidRPr="002C3A42">
              <w:rPr>
                <w:sz w:val="24"/>
                <w:szCs w:val="24"/>
              </w:rPr>
              <w:noBreakHyphen/>
              <w:t>old disclosed domestic abuse, I would follow the Wales Safeguarding Procedures to convene a strategy discussion and progress s47 enquiries (recording PR and language needs), whereas with an adult who has capacity I would begin with MCA</w:t>
            </w:r>
            <w:r w:rsidRPr="002C3A42">
              <w:rPr>
                <w:sz w:val="24"/>
                <w:szCs w:val="24"/>
              </w:rPr>
              <w:noBreakHyphen/>
              <w:t xml:space="preserve">aligned conversations, </w:t>
            </w:r>
            <w:r w:rsidR="0058051F">
              <w:rPr>
                <w:sz w:val="24"/>
                <w:szCs w:val="24"/>
              </w:rPr>
              <w:t>check</w:t>
            </w:r>
            <w:r w:rsidRPr="002C3A42">
              <w:rPr>
                <w:sz w:val="24"/>
                <w:szCs w:val="24"/>
              </w:rPr>
              <w:t xml:space="preserve"> for coercion/undue influence and agree proportionate support unless statutory grounds required intervention</w:t>
            </w:r>
            <w:r>
              <w:rPr>
                <w:sz w:val="24"/>
                <w:szCs w:val="24"/>
              </w:rPr>
              <w:t>.</w:t>
            </w:r>
          </w:p>
          <w:p w14:paraId="21217167" w14:textId="77777777" w:rsidR="003F4FCE" w:rsidRPr="00C32089" w:rsidRDefault="003F4FCE" w:rsidP="00C32089">
            <w:pPr>
              <w:jc w:val="both"/>
              <w:rPr>
                <w:sz w:val="24"/>
                <w:szCs w:val="24"/>
              </w:rPr>
            </w:pPr>
          </w:p>
          <w:p w14:paraId="1FB19DE2" w14:textId="77777777" w:rsidR="00C32089" w:rsidRDefault="00C32089" w:rsidP="00C32089">
            <w:pPr>
              <w:jc w:val="both"/>
              <w:rPr>
                <w:sz w:val="24"/>
                <w:szCs w:val="24"/>
              </w:rPr>
            </w:pPr>
            <w:r w:rsidRPr="00C32089">
              <w:rPr>
                <w:sz w:val="24"/>
                <w:szCs w:val="24"/>
              </w:rPr>
              <w:t>Thresholds for intervention also differ. Adult safeguarding under Part 7 of the SSWBA focuses on ‘adults at risk’ where abuse or neglect is suspected, often requiring evidence of coercion or inability to protect oneself. Child safeguarding thresholds are lower, reflecting developmental vulnerability; Section 47 enquiries can be triggered by significant harm indicators without proof of incapacity (Wales Safeguarding Procedures, 2019).</w:t>
            </w:r>
          </w:p>
          <w:p w14:paraId="4C8C24BF" w14:textId="77777777" w:rsidR="00B75025" w:rsidRDefault="00B75025" w:rsidP="00C32089">
            <w:pPr>
              <w:jc w:val="both"/>
              <w:rPr>
                <w:sz w:val="24"/>
                <w:szCs w:val="24"/>
              </w:rPr>
            </w:pPr>
          </w:p>
          <w:p w14:paraId="2BACF885" w14:textId="03096425" w:rsidR="00B75025" w:rsidRPr="00B75025" w:rsidRDefault="00B75025" w:rsidP="00B75025">
            <w:pPr>
              <w:jc w:val="both"/>
              <w:rPr>
                <w:sz w:val="24"/>
                <w:szCs w:val="24"/>
              </w:rPr>
            </w:pPr>
            <w:r w:rsidRPr="00B75025">
              <w:rPr>
                <w:sz w:val="24"/>
                <w:szCs w:val="24"/>
              </w:rPr>
              <w:t>Advocacy is another key distinction: adults have statutory rights to independent advocacy under Part 10 of the SSWBA. Children’s advocacy in Wales is also underpinned by statutory and policy duties, but access routes differ (e.g., looked</w:t>
            </w:r>
            <w:r w:rsidRPr="00B75025">
              <w:rPr>
                <w:sz w:val="24"/>
                <w:szCs w:val="24"/>
              </w:rPr>
              <w:noBreakHyphen/>
              <w:t>after children, child protection processes, participation duties), making pathways more context</w:t>
            </w:r>
            <w:r w:rsidRPr="00B75025">
              <w:rPr>
                <w:sz w:val="24"/>
                <w:szCs w:val="24"/>
              </w:rPr>
              <w:noBreakHyphen/>
              <w:t>specific.</w:t>
            </w:r>
          </w:p>
          <w:p w14:paraId="104DDE00" w14:textId="77777777" w:rsidR="00B75025" w:rsidRDefault="00B75025" w:rsidP="00C32089">
            <w:pPr>
              <w:jc w:val="both"/>
              <w:rPr>
                <w:sz w:val="24"/>
                <w:szCs w:val="24"/>
              </w:rPr>
            </w:pPr>
          </w:p>
          <w:p w14:paraId="5BCBF05A" w14:textId="10DFBAC5" w:rsidR="008F1954" w:rsidRDefault="00C32089" w:rsidP="008F1954">
            <w:pPr>
              <w:jc w:val="both"/>
              <w:rPr>
                <w:sz w:val="24"/>
                <w:szCs w:val="24"/>
                <w:lang w:val="en-US"/>
              </w:rPr>
            </w:pPr>
            <w:r w:rsidRPr="00C32089">
              <w:rPr>
                <w:sz w:val="24"/>
                <w:szCs w:val="24"/>
              </w:rPr>
              <w:t xml:space="preserve">Cultural and linguistic considerations intersect differently. For adults, respecting language choice under the Welsh Language (Wales) Measure 2011 aligns with autonomy and dignity. </w:t>
            </w:r>
            <w:r w:rsidR="008F1954" w:rsidRPr="009B472F">
              <w:rPr>
                <w:sz w:val="24"/>
                <w:szCs w:val="24"/>
                <w:lang w:val="en-US"/>
              </w:rPr>
              <w:t xml:space="preserve"> For children, the Active Offer supports understanding, reduces barriers to disclosure and strengthens participation, but safeguarding duties may require practitioners to override parental objections where safety is at risk (Welsh Government, 2022).</w:t>
            </w:r>
          </w:p>
          <w:p w14:paraId="727C9825" w14:textId="77777777" w:rsidR="008F1954" w:rsidRPr="009B472F" w:rsidRDefault="008F1954" w:rsidP="008F1954">
            <w:pPr>
              <w:jc w:val="both"/>
              <w:rPr>
                <w:sz w:val="24"/>
                <w:szCs w:val="24"/>
                <w:lang w:val="en-US"/>
              </w:rPr>
            </w:pPr>
          </w:p>
          <w:p w14:paraId="0A755701" w14:textId="2634C4CA" w:rsidR="00C32089" w:rsidRDefault="00C32089" w:rsidP="00C32089">
            <w:pPr>
              <w:jc w:val="both"/>
              <w:rPr>
                <w:sz w:val="24"/>
                <w:szCs w:val="24"/>
              </w:rPr>
            </w:pPr>
            <w:r w:rsidRPr="00C32089">
              <w:rPr>
                <w:sz w:val="24"/>
                <w:szCs w:val="24"/>
              </w:rPr>
              <w:t>These contrasts underscore the need for practitioners to adapt their approach, applying legal frameworks and values proportionately to context while maintaining a rights-based perspective (Welsh Government, 2022).</w:t>
            </w:r>
          </w:p>
          <w:p w14:paraId="0B206112" w14:textId="77777777" w:rsidR="008F1954" w:rsidRPr="00C32089" w:rsidRDefault="008F1954" w:rsidP="00C32089">
            <w:pPr>
              <w:jc w:val="both"/>
              <w:rPr>
                <w:sz w:val="24"/>
                <w:szCs w:val="24"/>
              </w:rPr>
            </w:pPr>
          </w:p>
          <w:p w14:paraId="277805A4" w14:textId="375F70FD" w:rsidR="0095044A" w:rsidRDefault="0095044A" w:rsidP="0095044A">
            <w:pPr>
              <w:jc w:val="both"/>
              <w:rPr>
                <w:sz w:val="24"/>
                <w:szCs w:val="24"/>
                <w:lang w:val="en-US"/>
              </w:rPr>
            </w:pPr>
            <w:r w:rsidRPr="0095044A">
              <w:rPr>
                <w:sz w:val="24"/>
                <w:szCs w:val="24"/>
                <w:lang w:val="en-US"/>
              </w:rPr>
              <w:t>Word count</w:t>
            </w:r>
            <w:r w:rsidR="00C32089">
              <w:rPr>
                <w:sz w:val="24"/>
                <w:szCs w:val="24"/>
                <w:lang w:val="en-US"/>
              </w:rPr>
              <w:t xml:space="preserve"> </w:t>
            </w:r>
            <w:r w:rsidR="004D03BC">
              <w:rPr>
                <w:sz w:val="24"/>
                <w:szCs w:val="24"/>
                <w:lang w:val="en-US"/>
              </w:rPr>
              <w:t>389</w:t>
            </w:r>
          </w:p>
          <w:p w14:paraId="56888658" w14:textId="77777777" w:rsidR="005F44FE" w:rsidRDefault="005F44FE" w:rsidP="0095044A">
            <w:pPr>
              <w:jc w:val="both"/>
              <w:rPr>
                <w:sz w:val="24"/>
                <w:szCs w:val="24"/>
                <w:lang w:val="en-US"/>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FE97C7D" w14:textId="77777777" w:rsidR="00D65DCA" w:rsidRDefault="00D65DCA" w:rsidP="00FC0334">
            <w:pPr>
              <w:jc w:val="both"/>
              <w:rPr>
                <w:i/>
                <w:sz w:val="24"/>
                <w:szCs w:val="24"/>
              </w:rPr>
            </w:pPr>
          </w:p>
          <w:p w14:paraId="08760B3D" w14:textId="77777777" w:rsidR="00FC0334" w:rsidRPr="006108C9" w:rsidRDefault="00FC0334" w:rsidP="009F77F6">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092"/>
    <w:rsid w:val="000045B8"/>
    <w:rsid w:val="00011F6E"/>
    <w:rsid w:val="00012B16"/>
    <w:rsid w:val="00020EEC"/>
    <w:rsid w:val="0002440E"/>
    <w:rsid w:val="000253A4"/>
    <w:rsid w:val="0002759A"/>
    <w:rsid w:val="00027B1F"/>
    <w:rsid w:val="0003088B"/>
    <w:rsid w:val="000325D9"/>
    <w:rsid w:val="000372B2"/>
    <w:rsid w:val="0004079F"/>
    <w:rsid w:val="00043543"/>
    <w:rsid w:val="00045B87"/>
    <w:rsid w:val="00045C07"/>
    <w:rsid w:val="00045C40"/>
    <w:rsid w:val="00046861"/>
    <w:rsid w:val="0005334C"/>
    <w:rsid w:val="00054A07"/>
    <w:rsid w:val="00055D43"/>
    <w:rsid w:val="00056FAC"/>
    <w:rsid w:val="00057751"/>
    <w:rsid w:val="00062E39"/>
    <w:rsid w:val="00064063"/>
    <w:rsid w:val="0006581A"/>
    <w:rsid w:val="00074461"/>
    <w:rsid w:val="000766EC"/>
    <w:rsid w:val="00080E58"/>
    <w:rsid w:val="00081D0B"/>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A42"/>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4F4E"/>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928"/>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B48"/>
    <w:rsid w:val="00392F73"/>
    <w:rsid w:val="00392FCB"/>
    <w:rsid w:val="00393600"/>
    <w:rsid w:val="0039762B"/>
    <w:rsid w:val="003A0C37"/>
    <w:rsid w:val="003A1B6B"/>
    <w:rsid w:val="003A46C0"/>
    <w:rsid w:val="003A600E"/>
    <w:rsid w:val="003A6513"/>
    <w:rsid w:val="003B114A"/>
    <w:rsid w:val="003B16C7"/>
    <w:rsid w:val="003B3115"/>
    <w:rsid w:val="003C19F1"/>
    <w:rsid w:val="003C3C67"/>
    <w:rsid w:val="003C4186"/>
    <w:rsid w:val="003C4E60"/>
    <w:rsid w:val="003C6185"/>
    <w:rsid w:val="003D0D2D"/>
    <w:rsid w:val="003D1885"/>
    <w:rsid w:val="003D1BC0"/>
    <w:rsid w:val="003D20F1"/>
    <w:rsid w:val="003D4710"/>
    <w:rsid w:val="003E16D7"/>
    <w:rsid w:val="003E197E"/>
    <w:rsid w:val="003E4B70"/>
    <w:rsid w:val="003E54CF"/>
    <w:rsid w:val="003E5FBA"/>
    <w:rsid w:val="003F1233"/>
    <w:rsid w:val="003F4FCE"/>
    <w:rsid w:val="003F67A4"/>
    <w:rsid w:val="00400786"/>
    <w:rsid w:val="00401FDA"/>
    <w:rsid w:val="00403FA3"/>
    <w:rsid w:val="004046F0"/>
    <w:rsid w:val="0040668F"/>
    <w:rsid w:val="00411EF7"/>
    <w:rsid w:val="00412677"/>
    <w:rsid w:val="00425160"/>
    <w:rsid w:val="00425AA8"/>
    <w:rsid w:val="0043027B"/>
    <w:rsid w:val="00430DE3"/>
    <w:rsid w:val="004348AE"/>
    <w:rsid w:val="004376C0"/>
    <w:rsid w:val="00437B72"/>
    <w:rsid w:val="0044223A"/>
    <w:rsid w:val="00450B67"/>
    <w:rsid w:val="00451851"/>
    <w:rsid w:val="0045189A"/>
    <w:rsid w:val="00453343"/>
    <w:rsid w:val="004538C3"/>
    <w:rsid w:val="004553E4"/>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044"/>
    <w:rsid w:val="004B5553"/>
    <w:rsid w:val="004B600B"/>
    <w:rsid w:val="004B6822"/>
    <w:rsid w:val="004B69F6"/>
    <w:rsid w:val="004C2D3A"/>
    <w:rsid w:val="004D03BC"/>
    <w:rsid w:val="004D03C4"/>
    <w:rsid w:val="004D0BF1"/>
    <w:rsid w:val="004D0F4E"/>
    <w:rsid w:val="004D3278"/>
    <w:rsid w:val="004D35A4"/>
    <w:rsid w:val="004D445F"/>
    <w:rsid w:val="004E087B"/>
    <w:rsid w:val="004E154D"/>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3934"/>
    <w:rsid w:val="00557D77"/>
    <w:rsid w:val="00562EAA"/>
    <w:rsid w:val="00563B58"/>
    <w:rsid w:val="005640C4"/>
    <w:rsid w:val="0056684C"/>
    <w:rsid w:val="00574A0C"/>
    <w:rsid w:val="0057780F"/>
    <w:rsid w:val="0058051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44FE"/>
    <w:rsid w:val="005F6336"/>
    <w:rsid w:val="005F64AA"/>
    <w:rsid w:val="005F7851"/>
    <w:rsid w:val="006038ED"/>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779F"/>
    <w:rsid w:val="0078112D"/>
    <w:rsid w:val="007872F2"/>
    <w:rsid w:val="007873F9"/>
    <w:rsid w:val="007908E0"/>
    <w:rsid w:val="00793EB3"/>
    <w:rsid w:val="00794205"/>
    <w:rsid w:val="0079422A"/>
    <w:rsid w:val="007A1F6A"/>
    <w:rsid w:val="007A628F"/>
    <w:rsid w:val="007B02D9"/>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5AF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1954"/>
    <w:rsid w:val="008F32D9"/>
    <w:rsid w:val="00902A65"/>
    <w:rsid w:val="00903932"/>
    <w:rsid w:val="009079BD"/>
    <w:rsid w:val="00912BD9"/>
    <w:rsid w:val="00916FB2"/>
    <w:rsid w:val="00920E5B"/>
    <w:rsid w:val="00926436"/>
    <w:rsid w:val="00926C53"/>
    <w:rsid w:val="0093018C"/>
    <w:rsid w:val="0094495F"/>
    <w:rsid w:val="0095044A"/>
    <w:rsid w:val="009544C0"/>
    <w:rsid w:val="00954FA4"/>
    <w:rsid w:val="00956AE9"/>
    <w:rsid w:val="00964CC6"/>
    <w:rsid w:val="00967BFA"/>
    <w:rsid w:val="00980180"/>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72F"/>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7F6"/>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3DB2"/>
    <w:rsid w:val="00A85039"/>
    <w:rsid w:val="00A859BA"/>
    <w:rsid w:val="00A906AA"/>
    <w:rsid w:val="00A94C5E"/>
    <w:rsid w:val="00AA252C"/>
    <w:rsid w:val="00AA666E"/>
    <w:rsid w:val="00AA7960"/>
    <w:rsid w:val="00AB5518"/>
    <w:rsid w:val="00AC3A0E"/>
    <w:rsid w:val="00AC4A04"/>
    <w:rsid w:val="00AC5679"/>
    <w:rsid w:val="00AD07C7"/>
    <w:rsid w:val="00AD336F"/>
    <w:rsid w:val="00AE134C"/>
    <w:rsid w:val="00AE1868"/>
    <w:rsid w:val="00AE2564"/>
    <w:rsid w:val="00AE301F"/>
    <w:rsid w:val="00AE3302"/>
    <w:rsid w:val="00AE5BA6"/>
    <w:rsid w:val="00AE6231"/>
    <w:rsid w:val="00AE7077"/>
    <w:rsid w:val="00AF55ED"/>
    <w:rsid w:val="00AF61C2"/>
    <w:rsid w:val="00AF6CC6"/>
    <w:rsid w:val="00B0296A"/>
    <w:rsid w:val="00B07E79"/>
    <w:rsid w:val="00B10A77"/>
    <w:rsid w:val="00B12295"/>
    <w:rsid w:val="00B137BE"/>
    <w:rsid w:val="00B15998"/>
    <w:rsid w:val="00B170A1"/>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5"/>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089"/>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52C"/>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BAF"/>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57084"/>
    <w:rsid w:val="00D607EF"/>
    <w:rsid w:val="00D60F88"/>
    <w:rsid w:val="00D646BD"/>
    <w:rsid w:val="00D65558"/>
    <w:rsid w:val="00D65DCA"/>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7FE2"/>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2476"/>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7E6"/>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2B1"/>
    <w:rsid w:val="00F53F27"/>
    <w:rsid w:val="00F5405B"/>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A74D2"/>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24A1"/>
    <w:rsid w:val="00FF5F6A"/>
    <w:rsid w:val="00FF7698"/>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78289">
      <w:bodyDiv w:val="1"/>
      <w:marLeft w:val="0"/>
      <w:marRight w:val="0"/>
      <w:marTop w:val="0"/>
      <w:marBottom w:val="0"/>
      <w:divBdr>
        <w:top w:val="none" w:sz="0" w:space="0" w:color="auto"/>
        <w:left w:val="none" w:sz="0" w:space="0" w:color="auto"/>
        <w:bottom w:val="none" w:sz="0" w:space="0" w:color="auto"/>
        <w:right w:val="none" w:sz="0" w:space="0" w:color="auto"/>
      </w:divBdr>
    </w:div>
    <w:div w:id="88699735">
      <w:bodyDiv w:val="1"/>
      <w:marLeft w:val="0"/>
      <w:marRight w:val="0"/>
      <w:marTop w:val="0"/>
      <w:marBottom w:val="0"/>
      <w:divBdr>
        <w:top w:val="none" w:sz="0" w:space="0" w:color="auto"/>
        <w:left w:val="none" w:sz="0" w:space="0" w:color="auto"/>
        <w:bottom w:val="none" w:sz="0" w:space="0" w:color="auto"/>
        <w:right w:val="none" w:sz="0" w:space="0" w:color="auto"/>
      </w:divBdr>
      <w:divsChild>
        <w:div w:id="1204555197">
          <w:marLeft w:val="0"/>
          <w:marRight w:val="0"/>
          <w:marTop w:val="0"/>
          <w:marBottom w:val="0"/>
          <w:divBdr>
            <w:top w:val="none" w:sz="0" w:space="0" w:color="auto"/>
            <w:left w:val="none" w:sz="0" w:space="0" w:color="auto"/>
            <w:bottom w:val="none" w:sz="0" w:space="0" w:color="auto"/>
            <w:right w:val="none" w:sz="0" w:space="0" w:color="auto"/>
          </w:divBdr>
        </w:div>
      </w:divsChild>
    </w:div>
    <w:div w:id="533007103">
      <w:bodyDiv w:val="1"/>
      <w:marLeft w:val="0"/>
      <w:marRight w:val="0"/>
      <w:marTop w:val="0"/>
      <w:marBottom w:val="0"/>
      <w:divBdr>
        <w:top w:val="none" w:sz="0" w:space="0" w:color="auto"/>
        <w:left w:val="none" w:sz="0" w:space="0" w:color="auto"/>
        <w:bottom w:val="none" w:sz="0" w:space="0" w:color="auto"/>
        <w:right w:val="none" w:sz="0" w:space="0" w:color="auto"/>
      </w:divBdr>
      <w:divsChild>
        <w:div w:id="110637300">
          <w:marLeft w:val="0"/>
          <w:marRight w:val="0"/>
          <w:marTop w:val="0"/>
          <w:marBottom w:val="0"/>
          <w:divBdr>
            <w:top w:val="none" w:sz="0" w:space="0" w:color="auto"/>
            <w:left w:val="none" w:sz="0" w:space="0" w:color="auto"/>
            <w:bottom w:val="none" w:sz="0" w:space="0" w:color="auto"/>
            <w:right w:val="none" w:sz="0" w:space="0" w:color="auto"/>
          </w:divBdr>
        </w:div>
      </w:divsChild>
    </w:div>
    <w:div w:id="627710804">
      <w:bodyDiv w:val="1"/>
      <w:marLeft w:val="0"/>
      <w:marRight w:val="0"/>
      <w:marTop w:val="0"/>
      <w:marBottom w:val="0"/>
      <w:divBdr>
        <w:top w:val="none" w:sz="0" w:space="0" w:color="auto"/>
        <w:left w:val="none" w:sz="0" w:space="0" w:color="auto"/>
        <w:bottom w:val="none" w:sz="0" w:space="0" w:color="auto"/>
        <w:right w:val="none" w:sz="0" w:space="0" w:color="auto"/>
      </w:divBdr>
    </w:div>
    <w:div w:id="690106841">
      <w:bodyDiv w:val="1"/>
      <w:marLeft w:val="0"/>
      <w:marRight w:val="0"/>
      <w:marTop w:val="0"/>
      <w:marBottom w:val="0"/>
      <w:divBdr>
        <w:top w:val="none" w:sz="0" w:space="0" w:color="auto"/>
        <w:left w:val="none" w:sz="0" w:space="0" w:color="auto"/>
        <w:bottom w:val="none" w:sz="0" w:space="0" w:color="auto"/>
        <w:right w:val="none" w:sz="0" w:space="0" w:color="auto"/>
      </w:divBdr>
      <w:divsChild>
        <w:div w:id="1051273260">
          <w:marLeft w:val="0"/>
          <w:marRight w:val="0"/>
          <w:marTop w:val="0"/>
          <w:marBottom w:val="0"/>
          <w:divBdr>
            <w:top w:val="none" w:sz="0" w:space="0" w:color="auto"/>
            <w:left w:val="none" w:sz="0" w:space="0" w:color="auto"/>
            <w:bottom w:val="none" w:sz="0" w:space="0" w:color="auto"/>
            <w:right w:val="none" w:sz="0" w:space="0" w:color="auto"/>
          </w:divBdr>
        </w:div>
      </w:divsChild>
    </w:div>
    <w:div w:id="693387336">
      <w:bodyDiv w:val="1"/>
      <w:marLeft w:val="0"/>
      <w:marRight w:val="0"/>
      <w:marTop w:val="0"/>
      <w:marBottom w:val="0"/>
      <w:divBdr>
        <w:top w:val="none" w:sz="0" w:space="0" w:color="auto"/>
        <w:left w:val="none" w:sz="0" w:space="0" w:color="auto"/>
        <w:bottom w:val="none" w:sz="0" w:space="0" w:color="auto"/>
        <w:right w:val="none" w:sz="0" w:space="0" w:color="auto"/>
      </w:divBdr>
    </w:div>
    <w:div w:id="836116344">
      <w:bodyDiv w:val="1"/>
      <w:marLeft w:val="0"/>
      <w:marRight w:val="0"/>
      <w:marTop w:val="0"/>
      <w:marBottom w:val="0"/>
      <w:divBdr>
        <w:top w:val="none" w:sz="0" w:space="0" w:color="auto"/>
        <w:left w:val="none" w:sz="0" w:space="0" w:color="auto"/>
        <w:bottom w:val="none" w:sz="0" w:space="0" w:color="auto"/>
        <w:right w:val="none" w:sz="0" w:space="0" w:color="auto"/>
      </w:divBdr>
      <w:divsChild>
        <w:div w:id="1405034072">
          <w:marLeft w:val="0"/>
          <w:marRight w:val="0"/>
          <w:marTop w:val="0"/>
          <w:marBottom w:val="0"/>
          <w:divBdr>
            <w:top w:val="none" w:sz="0" w:space="0" w:color="auto"/>
            <w:left w:val="none" w:sz="0" w:space="0" w:color="auto"/>
            <w:bottom w:val="none" w:sz="0" w:space="0" w:color="auto"/>
            <w:right w:val="none" w:sz="0" w:space="0" w:color="auto"/>
          </w:divBdr>
        </w:div>
      </w:divsChild>
    </w:div>
    <w:div w:id="863860917">
      <w:bodyDiv w:val="1"/>
      <w:marLeft w:val="0"/>
      <w:marRight w:val="0"/>
      <w:marTop w:val="0"/>
      <w:marBottom w:val="0"/>
      <w:divBdr>
        <w:top w:val="none" w:sz="0" w:space="0" w:color="auto"/>
        <w:left w:val="none" w:sz="0" w:space="0" w:color="auto"/>
        <w:bottom w:val="none" w:sz="0" w:space="0" w:color="auto"/>
        <w:right w:val="none" w:sz="0" w:space="0" w:color="auto"/>
      </w:divBdr>
    </w:div>
    <w:div w:id="942227370">
      <w:bodyDiv w:val="1"/>
      <w:marLeft w:val="0"/>
      <w:marRight w:val="0"/>
      <w:marTop w:val="0"/>
      <w:marBottom w:val="0"/>
      <w:divBdr>
        <w:top w:val="none" w:sz="0" w:space="0" w:color="auto"/>
        <w:left w:val="none" w:sz="0" w:space="0" w:color="auto"/>
        <w:bottom w:val="none" w:sz="0" w:space="0" w:color="auto"/>
        <w:right w:val="none" w:sz="0" w:space="0" w:color="auto"/>
      </w:divBdr>
      <w:divsChild>
        <w:div w:id="1024209625">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78744687">
      <w:bodyDiv w:val="1"/>
      <w:marLeft w:val="0"/>
      <w:marRight w:val="0"/>
      <w:marTop w:val="0"/>
      <w:marBottom w:val="0"/>
      <w:divBdr>
        <w:top w:val="none" w:sz="0" w:space="0" w:color="auto"/>
        <w:left w:val="none" w:sz="0" w:space="0" w:color="auto"/>
        <w:bottom w:val="none" w:sz="0" w:space="0" w:color="auto"/>
        <w:right w:val="none" w:sz="0" w:space="0" w:color="auto"/>
      </w:divBdr>
      <w:divsChild>
        <w:div w:id="1318263284">
          <w:marLeft w:val="0"/>
          <w:marRight w:val="0"/>
          <w:marTop w:val="0"/>
          <w:marBottom w:val="0"/>
          <w:divBdr>
            <w:top w:val="none" w:sz="0" w:space="0" w:color="auto"/>
            <w:left w:val="none" w:sz="0" w:space="0" w:color="auto"/>
            <w:bottom w:val="none" w:sz="0" w:space="0" w:color="auto"/>
            <w:right w:val="none" w:sz="0" w:space="0" w:color="auto"/>
          </w:divBdr>
        </w:div>
      </w:divsChild>
    </w:div>
    <w:div w:id="1088968989">
      <w:bodyDiv w:val="1"/>
      <w:marLeft w:val="0"/>
      <w:marRight w:val="0"/>
      <w:marTop w:val="0"/>
      <w:marBottom w:val="0"/>
      <w:divBdr>
        <w:top w:val="none" w:sz="0" w:space="0" w:color="auto"/>
        <w:left w:val="none" w:sz="0" w:space="0" w:color="auto"/>
        <w:bottom w:val="none" w:sz="0" w:space="0" w:color="auto"/>
        <w:right w:val="none" w:sz="0" w:space="0" w:color="auto"/>
      </w:divBdr>
      <w:divsChild>
        <w:div w:id="170266503">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834968">
      <w:bodyDiv w:val="1"/>
      <w:marLeft w:val="0"/>
      <w:marRight w:val="0"/>
      <w:marTop w:val="0"/>
      <w:marBottom w:val="0"/>
      <w:divBdr>
        <w:top w:val="none" w:sz="0" w:space="0" w:color="auto"/>
        <w:left w:val="none" w:sz="0" w:space="0" w:color="auto"/>
        <w:bottom w:val="none" w:sz="0" w:space="0" w:color="auto"/>
        <w:right w:val="none" w:sz="0" w:space="0" w:color="auto"/>
      </w:divBdr>
      <w:divsChild>
        <w:div w:id="945506347">
          <w:marLeft w:val="0"/>
          <w:marRight w:val="0"/>
          <w:marTop w:val="0"/>
          <w:marBottom w:val="0"/>
          <w:divBdr>
            <w:top w:val="none" w:sz="0" w:space="0" w:color="auto"/>
            <w:left w:val="none" w:sz="0" w:space="0" w:color="auto"/>
            <w:bottom w:val="none" w:sz="0" w:space="0" w:color="auto"/>
            <w:right w:val="none" w:sz="0" w:space="0" w:color="auto"/>
          </w:divBdr>
        </w:div>
      </w:divsChild>
    </w:div>
    <w:div w:id="1230923714">
      <w:bodyDiv w:val="1"/>
      <w:marLeft w:val="0"/>
      <w:marRight w:val="0"/>
      <w:marTop w:val="0"/>
      <w:marBottom w:val="0"/>
      <w:divBdr>
        <w:top w:val="none" w:sz="0" w:space="0" w:color="auto"/>
        <w:left w:val="none" w:sz="0" w:space="0" w:color="auto"/>
        <w:bottom w:val="none" w:sz="0" w:space="0" w:color="auto"/>
        <w:right w:val="none" w:sz="0" w:space="0" w:color="auto"/>
      </w:divBdr>
      <w:divsChild>
        <w:div w:id="146630935">
          <w:marLeft w:val="0"/>
          <w:marRight w:val="0"/>
          <w:marTop w:val="0"/>
          <w:marBottom w:val="0"/>
          <w:divBdr>
            <w:top w:val="none" w:sz="0" w:space="0" w:color="auto"/>
            <w:left w:val="none" w:sz="0" w:space="0" w:color="auto"/>
            <w:bottom w:val="none" w:sz="0" w:space="0" w:color="auto"/>
            <w:right w:val="none" w:sz="0" w:space="0" w:color="auto"/>
          </w:divBdr>
        </w:div>
      </w:divsChild>
    </w:div>
    <w:div w:id="1250968998">
      <w:bodyDiv w:val="1"/>
      <w:marLeft w:val="0"/>
      <w:marRight w:val="0"/>
      <w:marTop w:val="0"/>
      <w:marBottom w:val="0"/>
      <w:divBdr>
        <w:top w:val="none" w:sz="0" w:space="0" w:color="auto"/>
        <w:left w:val="none" w:sz="0" w:space="0" w:color="auto"/>
        <w:bottom w:val="none" w:sz="0" w:space="0" w:color="auto"/>
        <w:right w:val="none" w:sz="0" w:space="0" w:color="auto"/>
      </w:divBdr>
      <w:divsChild>
        <w:div w:id="509175133">
          <w:marLeft w:val="0"/>
          <w:marRight w:val="0"/>
          <w:marTop w:val="0"/>
          <w:marBottom w:val="0"/>
          <w:divBdr>
            <w:top w:val="none" w:sz="0" w:space="0" w:color="auto"/>
            <w:left w:val="none" w:sz="0" w:space="0" w:color="auto"/>
            <w:bottom w:val="none" w:sz="0" w:space="0" w:color="auto"/>
            <w:right w:val="none" w:sz="0" w:space="0" w:color="auto"/>
          </w:divBdr>
        </w:div>
      </w:divsChild>
    </w:div>
    <w:div w:id="1383021106">
      <w:bodyDiv w:val="1"/>
      <w:marLeft w:val="0"/>
      <w:marRight w:val="0"/>
      <w:marTop w:val="0"/>
      <w:marBottom w:val="0"/>
      <w:divBdr>
        <w:top w:val="none" w:sz="0" w:space="0" w:color="auto"/>
        <w:left w:val="none" w:sz="0" w:space="0" w:color="auto"/>
        <w:bottom w:val="none" w:sz="0" w:space="0" w:color="auto"/>
        <w:right w:val="none" w:sz="0" w:space="0" w:color="auto"/>
      </w:divBdr>
      <w:divsChild>
        <w:div w:id="2094010228">
          <w:marLeft w:val="0"/>
          <w:marRight w:val="0"/>
          <w:marTop w:val="0"/>
          <w:marBottom w:val="0"/>
          <w:divBdr>
            <w:top w:val="none" w:sz="0" w:space="0" w:color="auto"/>
            <w:left w:val="none" w:sz="0" w:space="0" w:color="auto"/>
            <w:bottom w:val="none" w:sz="0" w:space="0" w:color="auto"/>
            <w:right w:val="none" w:sz="0" w:space="0" w:color="auto"/>
          </w:divBdr>
        </w:div>
      </w:divsChild>
    </w:div>
    <w:div w:id="1389691804">
      <w:bodyDiv w:val="1"/>
      <w:marLeft w:val="0"/>
      <w:marRight w:val="0"/>
      <w:marTop w:val="0"/>
      <w:marBottom w:val="0"/>
      <w:divBdr>
        <w:top w:val="none" w:sz="0" w:space="0" w:color="auto"/>
        <w:left w:val="none" w:sz="0" w:space="0" w:color="auto"/>
        <w:bottom w:val="none" w:sz="0" w:space="0" w:color="auto"/>
        <w:right w:val="none" w:sz="0" w:space="0" w:color="auto"/>
      </w:divBdr>
      <w:divsChild>
        <w:div w:id="1616208515">
          <w:marLeft w:val="0"/>
          <w:marRight w:val="0"/>
          <w:marTop w:val="0"/>
          <w:marBottom w:val="0"/>
          <w:divBdr>
            <w:top w:val="none" w:sz="0" w:space="0" w:color="auto"/>
            <w:left w:val="none" w:sz="0" w:space="0" w:color="auto"/>
            <w:bottom w:val="none" w:sz="0" w:space="0" w:color="auto"/>
            <w:right w:val="none" w:sz="0" w:space="0" w:color="auto"/>
          </w:divBdr>
        </w:div>
      </w:divsChild>
    </w:div>
    <w:div w:id="1431778862">
      <w:bodyDiv w:val="1"/>
      <w:marLeft w:val="0"/>
      <w:marRight w:val="0"/>
      <w:marTop w:val="0"/>
      <w:marBottom w:val="0"/>
      <w:divBdr>
        <w:top w:val="none" w:sz="0" w:space="0" w:color="auto"/>
        <w:left w:val="none" w:sz="0" w:space="0" w:color="auto"/>
        <w:bottom w:val="none" w:sz="0" w:space="0" w:color="auto"/>
        <w:right w:val="none" w:sz="0" w:space="0" w:color="auto"/>
      </w:divBdr>
    </w:div>
    <w:div w:id="1451437771">
      <w:bodyDiv w:val="1"/>
      <w:marLeft w:val="0"/>
      <w:marRight w:val="0"/>
      <w:marTop w:val="0"/>
      <w:marBottom w:val="0"/>
      <w:divBdr>
        <w:top w:val="none" w:sz="0" w:space="0" w:color="auto"/>
        <w:left w:val="none" w:sz="0" w:space="0" w:color="auto"/>
        <w:bottom w:val="none" w:sz="0" w:space="0" w:color="auto"/>
        <w:right w:val="none" w:sz="0" w:space="0" w:color="auto"/>
      </w:divBdr>
      <w:divsChild>
        <w:div w:id="154229315">
          <w:marLeft w:val="0"/>
          <w:marRight w:val="0"/>
          <w:marTop w:val="0"/>
          <w:marBottom w:val="0"/>
          <w:divBdr>
            <w:top w:val="none" w:sz="0" w:space="0" w:color="auto"/>
            <w:left w:val="none" w:sz="0" w:space="0" w:color="auto"/>
            <w:bottom w:val="none" w:sz="0" w:space="0" w:color="auto"/>
            <w:right w:val="none" w:sz="0" w:space="0" w:color="auto"/>
          </w:divBdr>
        </w:div>
      </w:divsChild>
    </w:div>
    <w:div w:id="1626620345">
      <w:bodyDiv w:val="1"/>
      <w:marLeft w:val="0"/>
      <w:marRight w:val="0"/>
      <w:marTop w:val="0"/>
      <w:marBottom w:val="0"/>
      <w:divBdr>
        <w:top w:val="none" w:sz="0" w:space="0" w:color="auto"/>
        <w:left w:val="none" w:sz="0" w:space="0" w:color="auto"/>
        <w:bottom w:val="none" w:sz="0" w:space="0" w:color="auto"/>
        <w:right w:val="none" w:sz="0" w:space="0" w:color="auto"/>
      </w:divBdr>
      <w:divsChild>
        <w:div w:id="734204865">
          <w:marLeft w:val="0"/>
          <w:marRight w:val="0"/>
          <w:marTop w:val="0"/>
          <w:marBottom w:val="0"/>
          <w:divBdr>
            <w:top w:val="none" w:sz="0" w:space="0" w:color="auto"/>
            <w:left w:val="none" w:sz="0" w:space="0" w:color="auto"/>
            <w:bottom w:val="none" w:sz="0" w:space="0" w:color="auto"/>
            <w:right w:val="none" w:sz="0" w:space="0" w:color="auto"/>
          </w:divBdr>
        </w:div>
      </w:divsChild>
    </w:div>
    <w:div w:id="1687440000">
      <w:bodyDiv w:val="1"/>
      <w:marLeft w:val="0"/>
      <w:marRight w:val="0"/>
      <w:marTop w:val="0"/>
      <w:marBottom w:val="0"/>
      <w:divBdr>
        <w:top w:val="none" w:sz="0" w:space="0" w:color="auto"/>
        <w:left w:val="none" w:sz="0" w:space="0" w:color="auto"/>
        <w:bottom w:val="none" w:sz="0" w:space="0" w:color="auto"/>
        <w:right w:val="none" w:sz="0" w:space="0" w:color="auto"/>
      </w:divBdr>
      <w:divsChild>
        <w:div w:id="1143306014">
          <w:marLeft w:val="0"/>
          <w:marRight w:val="0"/>
          <w:marTop w:val="0"/>
          <w:marBottom w:val="0"/>
          <w:divBdr>
            <w:top w:val="none" w:sz="0" w:space="0" w:color="auto"/>
            <w:left w:val="none" w:sz="0" w:space="0" w:color="auto"/>
            <w:bottom w:val="none" w:sz="0" w:space="0" w:color="auto"/>
            <w:right w:val="none" w:sz="0" w:space="0" w:color="auto"/>
          </w:divBdr>
        </w:div>
      </w:divsChild>
    </w:div>
    <w:div w:id="1711413186">
      <w:bodyDiv w:val="1"/>
      <w:marLeft w:val="0"/>
      <w:marRight w:val="0"/>
      <w:marTop w:val="0"/>
      <w:marBottom w:val="0"/>
      <w:divBdr>
        <w:top w:val="none" w:sz="0" w:space="0" w:color="auto"/>
        <w:left w:val="none" w:sz="0" w:space="0" w:color="auto"/>
        <w:bottom w:val="none" w:sz="0" w:space="0" w:color="auto"/>
        <w:right w:val="none" w:sz="0" w:space="0" w:color="auto"/>
      </w:divBdr>
    </w:div>
    <w:div w:id="1713307725">
      <w:bodyDiv w:val="1"/>
      <w:marLeft w:val="0"/>
      <w:marRight w:val="0"/>
      <w:marTop w:val="0"/>
      <w:marBottom w:val="0"/>
      <w:divBdr>
        <w:top w:val="none" w:sz="0" w:space="0" w:color="auto"/>
        <w:left w:val="none" w:sz="0" w:space="0" w:color="auto"/>
        <w:bottom w:val="none" w:sz="0" w:space="0" w:color="auto"/>
        <w:right w:val="none" w:sz="0" w:space="0" w:color="auto"/>
      </w:divBdr>
    </w:div>
    <w:div w:id="1717270723">
      <w:bodyDiv w:val="1"/>
      <w:marLeft w:val="0"/>
      <w:marRight w:val="0"/>
      <w:marTop w:val="0"/>
      <w:marBottom w:val="0"/>
      <w:divBdr>
        <w:top w:val="none" w:sz="0" w:space="0" w:color="auto"/>
        <w:left w:val="none" w:sz="0" w:space="0" w:color="auto"/>
        <w:bottom w:val="none" w:sz="0" w:space="0" w:color="auto"/>
        <w:right w:val="none" w:sz="0" w:space="0" w:color="auto"/>
      </w:divBdr>
      <w:divsChild>
        <w:div w:id="1007561420">
          <w:marLeft w:val="0"/>
          <w:marRight w:val="0"/>
          <w:marTop w:val="0"/>
          <w:marBottom w:val="0"/>
          <w:divBdr>
            <w:top w:val="none" w:sz="0" w:space="0" w:color="auto"/>
            <w:left w:val="none" w:sz="0" w:space="0" w:color="auto"/>
            <w:bottom w:val="none" w:sz="0" w:space="0" w:color="auto"/>
            <w:right w:val="none" w:sz="0" w:space="0" w:color="auto"/>
          </w:divBdr>
        </w:div>
      </w:divsChild>
    </w:div>
    <w:div w:id="1726831096">
      <w:bodyDiv w:val="1"/>
      <w:marLeft w:val="0"/>
      <w:marRight w:val="0"/>
      <w:marTop w:val="0"/>
      <w:marBottom w:val="0"/>
      <w:divBdr>
        <w:top w:val="none" w:sz="0" w:space="0" w:color="auto"/>
        <w:left w:val="none" w:sz="0" w:space="0" w:color="auto"/>
        <w:bottom w:val="none" w:sz="0" w:space="0" w:color="auto"/>
        <w:right w:val="none" w:sz="0" w:space="0" w:color="auto"/>
      </w:divBdr>
    </w:div>
    <w:div w:id="1762675915">
      <w:bodyDiv w:val="1"/>
      <w:marLeft w:val="0"/>
      <w:marRight w:val="0"/>
      <w:marTop w:val="0"/>
      <w:marBottom w:val="0"/>
      <w:divBdr>
        <w:top w:val="none" w:sz="0" w:space="0" w:color="auto"/>
        <w:left w:val="none" w:sz="0" w:space="0" w:color="auto"/>
        <w:bottom w:val="none" w:sz="0" w:space="0" w:color="auto"/>
        <w:right w:val="none" w:sz="0" w:space="0" w:color="auto"/>
      </w:divBdr>
      <w:divsChild>
        <w:div w:id="2139179416">
          <w:marLeft w:val="0"/>
          <w:marRight w:val="0"/>
          <w:marTop w:val="0"/>
          <w:marBottom w:val="0"/>
          <w:divBdr>
            <w:top w:val="none" w:sz="0" w:space="0" w:color="auto"/>
            <w:left w:val="none" w:sz="0" w:space="0" w:color="auto"/>
            <w:bottom w:val="none" w:sz="0" w:space="0" w:color="auto"/>
            <w:right w:val="none" w:sz="0" w:space="0" w:color="auto"/>
          </w:divBdr>
        </w:div>
      </w:divsChild>
    </w:div>
    <w:div w:id="1832214033">
      <w:bodyDiv w:val="1"/>
      <w:marLeft w:val="0"/>
      <w:marRight w:val="0"/>
      <w:marTop w:val="0"/>
      <w:marBottom w:val="0"/>
      <w:divBdr>
        <w:top w:val="none" w:sz="0" w:space="0" w:color="auto"/>
        <w:left w:val="none" w:sz="0" w:space="0" w:color="auto"/>
        <w:bottom w:val="none" w:sz="0" w:space="0" w:color="auto"/>
        <w:right w:val="none" w:sz="0" w:space="0" w:color="auto"/>
      </w:divBdr>
      <w:divsChild>
        <w:div w:id="373390824">
          <w:marLeft w:val="0"/>
          <w:marRight w:val="0"/>
          <w:marTop w:val="0"/>
          <w:marBottom w:val="0"/>
          <w:divBdr>
            <w:top w:val="none" w:sz="0" w:space="0" w:color="auto"/>
            <w:left w:val="none" w:sz="0" w:space="0" w:color="auto"/>
            <w:bottom w:val="none" w:sz="0" w:space="0" w:color="auto"/>
            <w:right w:val="none" w:sz="0" w:space="0" w:color="auto"/>
          </w:divBdr>
        </w:div>
      </w:divsChild>
    </w:div>
    <w:div w:id="1848786777">
      <w:bodyDiv w:val="1"/>
      <w:marLeft w:val="0"/>
      <w:marRight w:val="0"/>
      <w:marTop w:val="0"/>
      <w:marBottom w:val="0"/>
      <w:divBdr>
        <w:top w:val="none" w:sz="0" w:space="0" w:color="auto"/>
        <w:left w:val="none" w:sz="0" w:space="0" w:color="auto"/>
        <w:bottom w:val="none" w:sz="0" w:space="0" w:color="auto"/>
        <w:right w:val="none" w:sz="0" w:space="0" w:color="auto"/>
      </w:divBdr>
      <w:divsChild>
        <w:div w:id="1738239070">
          <w:marLeft w:val="0"/>
          <w:marRight w:val="0"/>
          <w:marTop w:val="0"/>
          <w:marBottom w:val="0"/>
          <w:divBdr>
            <w:top w:val="none" w:sz="0" w:space="0" w:color="auto"/>
            <w:left w:val="none" w:sz="0" w:space="0" w:color="auto"/>
            <w:bottom w:val="none" w:sz="0" w:space="0" w:color="auto"/>
            <w:right w:val="none" w:sz="0" w:space="0" w:color="auto"/>
          </w:divBdr>
        </w:div>
      </w:divsChild>
    </w:div>
    <w:div w:id="1850171783">
      <w:bodyDiv w:val="1"/>
      <w:marLeft w:val="0"/>
      <w:marRight w:val="0"/>
      <w:marTop w:val="0"/>
      <w:marBottom w:val="0"/>
      <w:divBdr>
        <w:top w:val="none" w:sz="0" w:space="0" w:color="auto"/>
        <w:left w:val="none" w:sz="0" w:space="0" w:color="auto"/>
        <w:bottom w:val="none" w:sz="0" w:space="0" w:color="auto"/>
        <w:right w:val="none" w:sz="0" w:space="0" w:color="auto"/>
      </w:divBdr>
      <w:divsChild>
        <w:div w:id="282469581">
          <w:marLeft w:val="0"/>
          <w:marRight w:val="0"/>
          <w:marTop w:val="0"/>
          <w:marBottom w:val="0"/>
          <w:divBdr>
            <w:top w:val="none" w:sz="0" w:space="0" w:color="auto"/>
            <w:left w:val="none" w:sz="0" w:space="0" w:color="auto"/>
            <w:bottom w:val="none" w:sz="0" w:space="0" w:color="auto"/>
            <w:right w:val="none" w:sz="0" w:space="0" w:color="auto"/>
          </w:divBdr>
        </w:div>
      </w:divsChild>
    </w:div>
    <w:div w:id="1889031143">
      <w:bodyDiv w:val="1"/>
      <w:marLeft w:val="0"/>
      <w:marRight w:val="0"/>
      <w:marTop w:val="0"/>
      <w:marBottom w:val="0"/>
      <w:divBdr>
        <w:top w:val="none" w:sz="0" w:space="0" w:color="auto"/>
        <w:left w:val="none" w:sz="0" w:space="0" w:color="auto"/>
        <w:bottom w:val="none" w:sz="0" w:space="0" w:color="auto"/>
        <w:right w:val="none" w:sz="0" w:space="0" w:color="auto"/>
      </w:divBdr>
    </w:div>
    <w:div w:id="1891915892">
      <w:bodyDiv w:val="1"/>
      <w:marLeft w:val="0"/>
      <w:marRight w:val="0"/>
      <w:marTop w:val="0"/>
      <w:marBottom w:val="0"/>
      <w:divBdr>
        <w:top w:val="none" w:sz="0" w:space="0" w:color="auto"/>
        <w:left w:val="none" w:sz="0" w:space="0" w:color="auto"/>
        <w:bottom w:val="none" w:sz="0" w:space="0" w:color="auto"/>
        <w:right w:val="none" w:sz="0" w:space="0" w:color="auto"/>
      </w:divBdr>
      <w:divsChild>
        <w:div w:id="350256590">
          <w:marLeft w:val="0"/>
          <w:marRight w:val="0"/>
          <w:marTop w:val="0"/>
          <w:marBottom w:val="0"/>
          <w:divBdr>
            <w:top w:val="none" w:sz="0" w:space="0" w:color="auto"/>
            <w:left w:val="none" w:sz="0" w:space="0" w:color="auto"/>
            <w:bottom w:val="none" w:sz="0" w:space="0" w:color="auto"/>
            <w:right w:val="none" w:sz="0" w:space="0" w:color="auto"/>
          </w:divBdr>
        </w:div>
      </w:divsChild>
    </w:div>
    <w:div w:id="1903324226">
      <w:bodyDiv w:val="1"/>
      <w:marLeft w:val="0"/>
      <w:marRight w:val="0"/>
      <w:marTop w:val="0"/>
      <w:marBottom w:val="0"/>
      <w:divBdr>
        <w:top w:val="none" w:sz="0" w:space="0" w:color="auto"/>
        <w:left w:val="none" w:sz="0" w:space="0" w:color="auto"/>
        <w:bottom w:val="none" w:sz="0" w:space="0" w:color="auto"/>
        <w:right w:val="none" w:sz="0" w:space="0" w:color="auto"/>
      </w:divBdr>
    </w:div>
    <w:div w:id="1934118717">
      <w:bodyDiv w:val="1"/>
      <w:marLeft w:val="0"/>
      <w:marRight w:val="0"/>
      <w:marTop w:val="0"/>
      <w:marBottom w:val="0"/>
      <w:divBdr>
        <w:top w:val="none" w:sz="0" w:space="0" w:color="auto"/>
        <w:left w:val="none" w:sz="0" w:space="0" w:color="auto"/>
        <w:bottom w:val="none" w:sz="0" w:space="0" w:color="auto"/>
        <w:right w:val="none" w:sz="0" w:space="0" w:color="auto"/>
      </w:divBdr>
      <w:divsChild>
        <w:div w:id="1566794095">
          <w:marLeft w:val="0"/>
          <w:marRight w:val="0"/>
          <w:marTop w:val="0"/>
          <w:marBottom w:val="0"/>
          <w:divBdr>
            <w:top w:val="none" w:sz="0" w:space="0" w:color="auto"/>
            <w:left w:val="none" w:sz="0" w:space="0" w:color="auto"/>
            <w:bottom w:val="none" w:sz="0" w:space="0" w:color="auto"/>
            <w:right w:val="none" w:sz="0" w:space="0" w:color="auto"/>
          </w:divBdr>
        </w:div>
      </w:divsChild>
    </w:div>
    <w:div w:id="1990089179">
      <w:bodyDiv w:val="1"/>
      <w:marLeft w:val="0"/>
      <w:marRight w:val="0"/>
      <w:marTop w:val="0"/>
      <w:marBottom w:val="0"/>
      <w:divBdr>
        <w:top w:val="none" w:sz="0" w:space="0" w:color="auto"/>
        <w:left w:val="none" w:sz="0" w:space="0" w:color="auto"/>
        <w:bottom w:val="none" w:sz="0" w:space="0" w:color="auto"/>
        <w:right w:val="none" w:sz="0" w:space="0" w:color="auto"/>
      </w:divBdr>
      <w:divsChild>
        <w:div w:id="115345083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5856013">
      <w:bodyDiv w:val="1"/>
      <w:marLeft w:val="0"/>
      <w:marRight w:val="0"/>
      <w:marTop w:val="0"/>
      <w:marBottom w:val="0"/>
      <w:divBdr>
        <w:top w:val="none" w:sz="0" w:space="0" w:color="auto"/>
        <w:left w:val="none" w:sz="0" w:space="0" w:color="auto"/>
        <w:bottom w:val="none" w:sz="0" w:space="0" w:color="auto"/>
        <w:right w:val="none" w:sz="0" w:space="0" w:color="auto"/>
      </w:divBdr>
      <w:divsChild>
        <w:div w:id="527062712">
          <w:marLeft w:val="0"/>
          <w:marRight w:val="0"/>
          <w:marTop w:val="0"/>
          <w:marBottom w:val="0"/>
          <w:divBdr>
            <w:top w:val="none" w:sz="0" w:space="0" w:color="auto"/>
            <w:left w:val="none" w:sz="0" w:space="0" w:color="auto"/>
            <w:bottom w:val="none" w:sz="0" w:space="0" w:color="auto"/>
            <w:right w:val="none" w:sz="0" w:space="0" w:color="auto"/>
          </w:divBdr>
        </w:div>
      </w:divsChild>
    </w:div>
    <w:div w:id="2076661073">
      <w:bodyDiv w:val="1"/>
      <w:marLeft w:val="0"/>
      <w:marRight w:val="0"/>
      <w:marTop w:val="0"/>
      <w:marBottom w:val="0"/>
      <w:divBdr>
        <w:top w:val="none" w:sz="0" w:space="0" w:color="auto"/>
        <w:left w:val="none" w:sz="0" w:space="0" w:color="auto"/>
        <w:bottom w:val="none" w:sz="0" w:space="0" w:color="auto"/>
        <w:right w:val="none" w:sz="0" w:space="0" w:color="auto"/>
      </w:divBdr>
      <w:divsChild>
        <w:div w:id="1276794062">
          <w:marLeft w:val="0"/>
          <w:marRight w:val="0"/>
          <w:marTop w:val="0"/>
          <w:marBottom w:val="0"/>
          <w:divBdr>
            <w:top w:val="none" w:sz="0" w:space="0" w:color="auto"/>
            <w:left w:val="none" w:sz="0" w:space="0" w:color="auto"/>
            <w:bottom w:val="none" w:sz="0" w:space="0" w:color="auto"/>
            <w:right w:val="none" w:sz="0" w:space="0" w:color="auto"/>
          </w:divBdr>
        </w:div>
      </w:divsChild>
    </w:div>
    <w:div w:id="2140300320">
      <w:bodyDiv w:val="1"/>
      <w:marLeft w:val="0"/>
      <w:marRight w:val="0"/>
      <w:marTop w:val="0"/>
      <w:marBottom w:val="0"/>
      <w:divBdr>
        <w:top w:val="none" w:sz="0" w:space="0" w:color="auto"/>
        <w:left w:val="none" w:sz="0" w:space="0" w:color="auto"/>
        <w:bottom w:val="none" w:sz="0" w:space="0" w:color="auto"/>
        <w:right w:val="none" w:sz="0" w:space="0" w:color="auto"/>
      </w:divBdr>
      <w:divsChild>
        <w:div w:id="6036148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5</Pages>
  <Words>1093</Words>
  <Characters>6824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Vaughan</cp:lastModifiedBy>
  <cp:revision>11</cp:revision>
  <cp:lastPrinted>2020-02-11T19:20:00Z</cp:lastPrinted>
  <dcterms:created xsi:type="dcterms:W3CDTF">2026-02-04T16:47:00Z</dcterms:created>
  <dcterms:modified xsi:type="dcterms:W3CDTF">2026-02-08T20:35:00Z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