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53844525"/>
        <w:docPartObj>
          <w:docPartGallery w:val="Cover Pages"/>
          <w:docPartUnique/>
        </w:docPartObj>
      </w:sdtPr>
      <w:sdtEndPr/>
      <w:sdtContent>
        <w:p w14:paraId="2B7FD8E5" w14:textId="32FC7070" w:rsidR="00445342" w:rsidRDefault="00445342">
          <w:r>
            <w:rPr>
              <w:noProof/>
            </w:rPr>
            <mc:AlternateContent>
              <mc:Choice Requires="wpg">
                <w:drawing>
                  <wp:anchor distT="0" distB="0" distL="114300" distR="114300" simplePos="0" relativeHeight="251659264" behindDoc="1" locked="0" layoutInCell="1" allowOverlap="1" wp14:anchorId="62B09B9C" wp14:editId="2C4EA862">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0A4D01D" w14:textId="257AA2DB" w:rsidR="00445342" w:rsidRDefault="00445342">
                                      <w:pPr>
                                        <w:pStyle w:val="NoSpacing"/>
                                        <w:spacing w:before="120"/>
                                        <w:jc w:val="center"/>
                                        <w:rPr>
                                          <w:color w:val="FFFFFF" w:themeColor="background1"/>
                                        </w:rPr>
                                      </w:pPr>
                                      <w:r>
                                        <w:rPr>
                                          <w:color w:val="FFFFFF" w:themeColor="background1"/>
                                        </w:rPr>
                                        <w:t>Molly Thomas</w:t>
                                      </w:r>
                                    </w:p>
                                  </w:sdtContent>
                                </w:sdt>
                                <w:p w14:paraId="2DD0D435" w14:textId="7E2F45CC" w:rsidR="00445342" w:rsidRDefault="00A5588B">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445342">
                                        <w:rPr>
                                          <w:caps/>
                                          <w:color w:val="FFFFFF" w:themeColor="background1"/>
                                        </w:rPr>
                                        <w:t>1700776</w:t>
                                      </w:r>
                                    </w:sdtContent>
                                  </w:sdt>
                                  <w:r w:rsidR="00445342">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74363B">
                                        <w:rPr>
                                          <w:color w:val="FFFFFF" w:themeColor="background1"/>
                                        </w:rPr>
                                        <w:t>05/12/19</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9547C3A" w14:textId="73D72B1C" w:rsidR="00445342" w:rsidRDefault="00137222" w:rsidP="00137222">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‘Tourism for Tomorrow’</w:t>
                                  </w:r>
                                </w:p>
                                <w:p w14:paraId="209DBE45" w14:textId="2296D894" w:rsidR="00137222" w:rsidRPr="00137222" w:rsidRDefault="00137222" w:rsidP="00137222">
                                  <w:pPr>
                                    <w:pStyle w:val="NoSpacing"/>
                                    <w:jc w:val="center"/>
                                    <w:rPr>
                                      <w:rFonts w:asciiTheme="majorHAnsi" w:eastAsiaTheme="majorEastAsia" w:hAnsiTheme="majorHAnsi" w:cstheme="majorBidi"/>
                                      <w:caps/>
                                      <w:color w:val="4472C4" w:themeColor="accent1"/>
                                      <w:sz w:val="52"/>
                                      <w:szCs w:val="52"/>
                                    </w:rPr>
                                  </w:pPr>
                                  <w:r w:rsidRPr="00137222">
                                    <w:rPr>
                                      <w:rFonts w:asciiTheme="majorHAnsi" w:eastAsiaTheme="majorEastAsia" w:hAnsiTheme="majorHAnsi" w:cstheme="majorBidi"/>
                                      <w:caps/>
                                      <w:color w:val="4472C4" w:themeColor="accent1"/>
                                      <w:sz w:val="52"/>
                                      <w:szCs w:val="52"/>
                                    </w:rPr>
                                    <w:t>Development to be truly sustainable, achieving controlled quality growth</w:t>
                                  </w:r>
                                </w:p>
                                <w:p w14:paraId="0A680970" w14:textId="77777777" w:rsidR="00137222" w:rsidRDefault="00137222" w:rsidP="00137222">
                                  <w:pPr>
                                    <w:pStyle w:val="NoSpacing"/>
                                    <w:rPr>
                                      <w:rFonts w:asciiTheme="majorHAnsi" w:eastAsiaTheme="majorEastAsia" w:hAnsiTheme="majorHAnsi" w:cstheme="majorBidi"/>
                                      <w:caps/>
                                      <w:color w:val="4472C4" w:themeColor="accent1"/>
                                      <w:sz w:val="72"/>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2B09B9C"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0A4D01D" w14:textId="257AA2DB" w:rsidR="00445342" w:rsidRDefault="00445342">
                                <w:pPr>
                                  <w:pStyle w:val="NoSpacing"/>
                                  <w:spacing w:before="120"/>
                                  <w:jc w:val="center"/>
                                  <w:rPr>
                                    <w:color w:val="FFFFFF" w:themeColor="background1"/>
                                  </w:rPr>
                                </w:pPr>
                                <w:r>
                                  <w:rPr>
                                    <w:color w:val="FFFFFF" w:themeColor="background1"/>
                                  </w:rPr>
                                  <w:t>Molly Thomas</w:t>
                                </w:r>
                              </w:p>
                            </w:sdtContent>
                          </w:sdt>
                          <w:p w14:paraId="2DD0D435" w14:textId="7E2F45CC" w:rsidR="00445342" w:rsidRDefault="00A5588B">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445342">
                                  <w:rPr>
                                    <w:caps/>
                                    <w:color w:val="FFFFFF" w:themeColor="background1"/>
                                  </w:rPr>
                                  <w:t>1700776</w:t>
                                </w:r>
                              </w:sdtContent>
                            </w:sdt>
                            <w:r w:rsidR="00445342">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74363B">
                                  <w:rPr>
                                    <w:color w:val="FFFFFF" w:themeColor="background1"/>
                                  </w:rPr>
                                  <w:t>05/12/19</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59547C3A" w14:textId="73D72B1C" w:rsidR="00445342" w:rsidRDefault="00137222" w:rsidP="00137222">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‘Tourism for Tomorrow’</w:t>
                            </w:r>
                          </w:p>
                          <w:p w14:paraId="209DBE45" w14:textId="2296D894" w:rsidR="00137222" w:rsidRPr="00137222" w:rsidRDefault="00137222" w:rsidP="00137222">
                            <w:pPr>
                              <w:pStyle w:val="NoSpacing"/>
                              <w:jc w:val="center"/>
                              <w:rPr>
                                <w:rFonts w:asciiTheme="majorHAnsi" w:eastAsiaTheme="majorEastAsia" w:hAnsiTheme="majorHAnsi" w:cstheme="majorBidi"/>
                                <w:caps/>
                                <w:color w:val="4472C4" w:themeColor="accent1"/>
                                <w:sz w:val="52"/>
                                <w:szCs w:val="52"/>
                              </w:rPr>
                            </w:pPr>
                            <w:r w:rsidRPr="00137222">
                              <w:rPr>
                                <w:rFonts w:asciiTheme="majorHAnsi" w:eastAsiaTheme="majorEastAsia" w:hAnsiTheme="majorHAnsi" w:cstheme="majorBidi"/>
                                <w:caps/>
                                <w:color w:val="4472C4" w:themeColor="accent1"/>
                                <w:sz w:val="52"/>
                                <w:szCs w:val="52"/>
                              </w:rPr>
                              <w:t>Development to be truly sustainable, achieving controlled quality growth</w:t>
                            </w:r>
                          </w:p>
                          <w:p w14:paraId="0A680970" w14:textId="77777777" w:rsidR="00137222" w:rsidRDefault="00137222" w:rsidP="00137222">
                            <w:pPr>
                              <w:pStyle w:val="NoSpacing"/>
                              <w:rPr>
                                <w:rFonts w:asciiTheme="majorHAnsi" w:eastAsiaTheme="majorEastAsia" w:hAnsiTheme="majorHAnsi" w:cstheme="majorBidi"/>
                                <w:caps/>
                                <w:color w:val="4472C4" w:themeColor="accent1"/>
                                <w:sz w:val="72"/>
                                <w:szCs w:val="72"/>
                              </w:rPr>
                            </w:pPr>
                          </w:p>
                        </w:txbxContent>
                      </v:textbox>
                    </v:shape>
                    <w10:wrap anchorx="page" anchory="page"/>
                  </v:group>
                </w:pict>
              </mc:Fallback>
            </mc:AlternateContent>
          </w:r>
        </w:p>
        <w:p w14:paraId="320EA0E2" w14:textId="33557E6C" w:rsidR="00445342" w:rsidRDefault="00445342">
          <w:pPr>
            <w:rPr>
              <w:rFonts w:asciiTheme="majorHAnsi" w:eastAsiaTheme="majorEastAsia" w:hAnsiTheme="majorHAnsi" w:cstheme="majorBidi"/>
              <w:color w:val="2F5496" w:themeColor="accent1" w:themeShade="BF"/>
              <w:sz w:val="32"/>
              <w:szCs w:val="32"/>
            </w:rPr>
          </w:pPr>
          <w:r>
            <w:br w:type="page"/>
          </w:r>
        </w:p>
      </w:sdtContent>
    </w:sdt>
    <w:p w14:paraId="6C3CF9A5" w14:textId="490DD0C3" w:rsidR="0070551E" w:rsidRPr="00AA4AE0" w:rsidRDefault="0070551E" w:rsidP="004576BB">
      <w:pPr>
        <w:pStyle w:val="Heading1"/>
        <w:spacing w:line="360" w:lineRule="auto"/>
        <w:rPr>
          <w:rFonts w:ascii="Arial" w:hAnsi="Arial" w:cs="Arial"/>
        </w:rPr>
      </w:pPr>
      <w:r w:rsidRPr="00AA4AE0">
        <w:rPr>
          <w:rFonts w:ascii="Arial" w:hAnsi="Arial" w:cs="Arial"/>
        </w:rPr>
        <w:lastRenderedPageBreak/>
        <w:t>Introduction</w:t>
      </w:r>
    </w:p>
    <w:p w14:paraId="7B5523A5" w14:textId="596FB117" w:rsidR="00B13C5D" w:rsidRPr="004576BB" w:rsidRDefault="007B1152" w:rsidP="004576BB">
      <w:pPr>
        <w:spacing w:line="360" w:lineRule="auto"/>
        <w:rPr>
          <w:rFonts w:ascii="Arial" w:hAnsi="Arial" w:cs="Arial"/>
          <w:sz w:val="24"/>
          <w:szCs w:val="24"/>
        </w:rPr>
      </w:pPr>
      <w:r w:rsidRPr="004576BB">
        <w:rPr>
          <w:rFonts w:ascii="Arial" w:hAnsi="Arial" w:cs="Arial"/>
          <w:sz w:val="24"/>
          <w:szCs w:val="24"/>
        </w:rPr>
        <w:t xml:space="preserve">To address the issue concerning the suitability of </w:t>
      </w:r>
      <w:r w:rsidR="00352A3E" w:rsidRPr="004576BB">
        <w:rPr>
          <w:rFonts w:ascii="Arial" w:hAnsi="Arial" w:cs="Arial"/>
          <w:sz w:val="24"/>
          <w:szCs w:val="24"/>
        </w:rPr>
        <w:t>emerging holiday destinations</w:t>
      </w:r>
      <w:r w:rsidR="002374E5" w:rsidRPr="004576BB">
        <w:rPr>
          <w:rFonts w:ascii="Arial" w:hAnsi="Arial" w:cs="Arial"/>
          <w:sz w:val="24"/>
          <w:szCs w:val="24"/>
        </w:rPr>
        <w:t xml:space="preserve"> and their development</w:t>
      </w:r>
      <w:r w:rsidRPr="004576BB">
        <w:rPr>
          <w:rFonts w:ascii="Arial" w:hAnsi="Arial" w:cs="Arial"/>
          <w:sz w:val="24"/>
          <w:szCs w:val="24"/>
        </w:rPr>
        <w:t xml:space="preserve"> we must first define sustainability and the effect tourism is having on the planet through globalisation.</w:t>
      </w:r>
      <w:r w:rsidR="0005175C" w:rsidRPr="004576BB">
        <w:rPr>
          <w:rFonts w:ascii="Arial" w:hAnsi="Arial" w:cs="Arial"/>
          <w:sz w:val="24"/>
          <w:szCs w:val="24"/>
        </w:rPr>
        <w:t xml:space="preserve"> </w:t>
      </w:r>
      <w:r w:rsidR="00627E8C" w:rsidRPr="004576BB">
        <w:rPr>
          <w:rFonts w:ascii="Arial" w:hAnsi="Arial" w:cs="Arial"/>
          <w:sz w:val="24"/>
          <w:szCs w:val="24"/>
        </w:rPr>
        <w:t xml:space="preserve"> </w:t>
      </w:r>
      <w:r w:rsidRPr="004576BB">
        <w:rPr>
          <w:rFonts w:ascii="Arial" w:hAnsi="Arial" w:cs="Arial"/>
          <w:sz w:val="24"/>
          <w:szCs w:val="24"/>
        </w:rPr>
        <w:t>“Sustainable development is progress that meets the needs of the present without compromising the ability of future generations to meet their own needs” (World Commission on Environment and Development</w:t>
      </w:r>
      <w:r w:rsidR="004A7A2C" w:rsidRPr="004576BB">
        <w:rPr>
          <w:rFonts w:ascii="Arial" w:hAnsi="Arial" w:cs="Arial"/>
          <w:sz w:val="24"/>
          <w:szCs w:val="24"/>
        </w:rPr>
        <w:t>, 1987).</w:t>
      </w:r>
      <w:r w:rsidR="0005175C" w:rsidRPr="004576BB">
        <w:rPr>
          <w:rFonts w:ascii="Arial" w:hAnsi="Arial" w:cs="Arial"/>
          <w:sz w:val="24"/>
          <w:szCs w:val="24"/>
        </w:rPr>
        <w:t xml:space="preserve"> </w:t>
      </w:r>
      <w:r w:rsidR="004A7A2C" w:rsidRPr="004576BB">
        <w:rPr>
          <w:rFonts w:ascii="Arial" w:hAnsi="Arial" w:cs="Arial"/>
          <w:sz w:val="24"/>
          <w:szCs w:val="24"/>
        </w:rPr>
        <w:t>Sustainability is made up of three pillars: environmental, social and economic</w:t>
      </w:r>
      <w:r w:rsidR="0005175C" w:rsidRPr="004576BB">
        <w:rPr>
          <w:rFonts w:ascii="Arial" w:hAnsi="Arial" w:cs="Arial"/>
          <w:sz w:val="24"/>
          <w:szCs w:val="24"/>
        </w:rPr>
        <w:t xml:space="preserve"> (Purvis, Mao and Robinson, 2018)</w:t>
      </w:r>
      <w:r w:rsidR="004A7A2C" w:rsidRPr="004576BB">
        <w:rPr>
          <w:rFonts w:ascii="Arial" w:hAnsi="Arial" w:cs="Arial"/>
          <w:sz w:val="24"/>
          <w:szCs w:val="24"/>
        </w:rPr>
        <w:t>. Environmental factors</w:t>
      </w:r>
      <w:r w:rsidR="00627E8C" w:rsidRPr="004576BB">
        <w:rPr>
          <w:rFonts w:ascii="Arial" w:hAnsi="Arial" w:cs="Arial"/>
          <w:sz w:val="24"/>
          <w:szCs w:val="24"/>
        </w:rPr>
        <w:t xml:space="preserve"> include carbon footprint, waste, water usage and energy consumption. The social pillar concerns the welfare of all stakeholders including employees, the community, investors and the guests themselves. Economic factors are often the driving force for a company to become sustainable, they can achieve this through business development and productivity (</w:t>
      </w:r>
      <w:r w:rsidR="0005175C" w:rsidRPr="004576BB">
        <w:rPr>
          <w:rFonts w:ascii="Arial" w:hAnsi="Arial" w:cs="Arial"/>
          <w:sz w:val="24"/>
          <w:szCs w:val="24"/>
        </w:rPr>
        <w:t>Sloan, Langrand, Chen, 2009)</w:t>
      </w:r>
      <w:r w:rsidR="00627E8C" w:rsidRPr="004576BB">
        <w:rPr>
          <w:rFonts w:ascii="Arial" w:hAnsi="Arial" w:cs="Arial"/>
          <w:sz w:val="24"/>
          <w:szCs w:val="24"/>
        </w:rPr>
        <w:t>.</w:t>
      </w:r>
      <w:r w:rsidR="0005175C" w:rsidRPr="004576BB">
        <w:rPr>
          <w:rFonts w:ascii="Arial" w:hAnsi="Arial" w:cs="Arial"/>
          <w:sz w:val="24"/>
          <w:szCs w:val="24"/>
        </w:rPr>
        <w:t xml:space="preserve"> </w:t>
      </w:r>
      <w:r w:rsidR="00B13C5D" w:rsidRPr="004576BB">
        <w:rPr>
          <w:rFonts w:ascii="Arial" w:hAnsi="Arial" w:cs="Arial"/>
          <w:sz w:val="24"/>
          <w:szCs w:val="24"/>
        </w:rPr>
        <w:t>Globalisation is the growing interdependency and connectivity across the world leading to economic and social change that shapes the world we live in (National Geographic, 2019). It affects the tourism industry in various ways including improving the accessibility to unique destinations.</w:t>
      </w:r>
      <w:r w:rsidR="00352A3E" w:rsidRPr="004576BB">
        <w:rPr>
          <w:rFonts w:ascii="Arial" w:hAnsi="Arial" w:cs="Arial"/>
          <w:sz w:val="24"/>
          <w:szCs w:val="24"/>
        </w:rPr>
        <w:t xml:space="preserve"> There are three main types of destination, each with their own attributes, coastal, urban and rural. Each type of location will develop the amenities and facilities required by tourists to make it a popular destination (</w:t>
      </w:r>
      <w:r w:rsidR="002374E5" w:rsidRPr="004576BB">
        <w:rPr>
          <w:rFonts w:ascii="Arial" w:hAnsi="Arial" w:cs="Arial"/>
          <w:sz w:val="24"/>
          <w:szCs w:val="24"/>
        </w:rPr>
        <w:t>Cooper</w:t>
      </w:r>
      <w:r w:rsidR="002A0846" w:rsidRPr="004576BB">
        <w:rPr>
          <w:rFonts w:ascii="Arial" w:hAnsi="Arial" w:cs="Arial"/>
          <w:sz w:val="24"/>
          <w:szCs w:val="24"/>
        </w:rPr>
        <w:t xml:space="preserve"> et al</w:t>
      </w:r>
      <w:r w:rsidR="002374E5" w:rsidRPr="004576BB">
        <w:rPr>
          <w:rFonts w:ascii="Arial" w:hAnsi="Arial" w:cs="Arial"/>
          <w:sz w:val="24"/>
          <w:szCs w:val="24"/>
        </w:rPr>
        <w:t xml:space="preserve">, 2008) </w:t>
      </w:r>
      <w:r w:rsidR="00CE07FB" w:rsidRPr="004576BB">
        <w:rPr>
          <w:rFonts w:ascii="Arial" w:hAnsi="Arial" w:cs="Arial"/>
          <w:sz w:val="24"/>
          <w:szCs w:val="24"/>
        </w:rPr>
        <w:t xml:space="preserve">Through the understanding of carrying capacities and the effects of breaching thresholds this essay will evaluate the development of two locations using the Butler Model. </w:t>
      </w:r>
      <w:r w:rsidR="0005175C" w:rsidRPr="004576BB">
        <w:rPr>
          <w:rFonts w:ascii="Arial" w:hAnsi="Arial" w:cs="Arial"/>
          <w:sz w:val="24"/>
          <w:szCs w:val="24"/>
        </w:rPr>
        <w:t xml:space="preserve"> </w:t>
      </w:r>
    </w:p>
    <w:p w14:paraId="2CE99CDE" w14:textId="41E365DA" w:rsidR="004576BB" w:rsidRPr="00AA4AE0" w:rsidRDefault="004576BB" w:rsidP="004576BB">
      <w:pPr>
        <w:pStyle w:val="Heading1"/>
        <w:spacing w:line="360" w:lineRule="auto"/>
        <w:rPr>
          <w:rFonts w:ascii="Arial" w:hAnsi="Arial" w:cs="Arial"/>
        </w:rPr>
      </w:pPr>
      <w:r w:rsidRPr="00AA4AE0">
        <w:rPr>
          <w:rFonts w:ascii="Arial" w:hAnsi="Arial" w:cs="Arial"/>
        </w:rPr>
        <w:t>Tourism for Tomorrow</w:t>
      </w:r>
    </w:p>
    <w:p w14:paraId="0ECA1019" w14:textId="2B8CF3BF" w:rsidR="0070551E" w:rsidRPr="004576BB" w:rsidRDefault="005077DF" w:rsidP="004576BB">
      <w:pPr>
        <w:spacing w:line="360" w:lineRule="auto"/>
        <w:rPr>
          <w:rFonts w:ascii="Arial" w:hAnsi="Arial" w:cs="Arial"/>
          <w:sz w:val="24"/>
          <w:szCs w:val="24"/>
        </w:rPr>
      </w:pPr>
      <w:r w:rsidRPr="004576BB">
        <w:rPr>
          <w:rFonts w:ascii="Arial" w:hAnsi="Arial" w:cs="Arial"/>
          <w:sz w:val="24"/>
          <w:szCs w:val="24"/>
        </w:rPr>
        <w:t xml:space="preserve">Tourism will affect all three pillars of sustainability and therefore destinations must evaluate the limits at which tourism begins to have negative effects that outweigh the economic benefits. These thresholds determine at which point the tourism becomes unsustainable, often known as a </w:t>
      </w:r>
      <w:r w:rsidR="002A0846" w:rsidRPr="004576BB">
        <w:rPr>
          <w:rFonts w:ascii="Arial" w:hAnsi="Arial" w:cs="Arial"/>
          <w:sz w:val="24"/>
          <w:szCs w:val="24"/>
        </w:rPr>
        <w:t>destination</w:t>
      </w:r>
      <w:r w:rsidRPr="004576BB">
        <w:rPr>
          <w:rFonts w:ascii="Arial" w:hAnsi="Arial" w:cs="Arial"/>
          <w:sz w:val="24"/>
          <w:szCs w:val="24"/>
        </w:rPr>
        <w:t xml:space="preserve"> carrying capacity. </w:t>
      </w:r>
      <w:r w:rsidR="002A0846" w:rsidRPr="004576BB">
        <w:rPr>
          <w:rFonts w:ascii="Arial" w:hAnsi="Arial" w:cs="Arial"/>
          <w:sz w:val="24"/>
          <w:szCs w:val="24"/>
        </w:rPr>
        <w:t xml:space="preserve">Exceeding thresholds can have several devastating consequences socially, economically and environmentally. Examples could be that by exceeding socio-cultural thresholds resentment towards tourists from locals develop and destroy a locations reputation, thus decreasing visitors and creating substantial financial implications (Cooper et al, 2008). Another example is the tourist capacity threshold, overpopulation of a </w:t>
      </w:r>
      <w:r w:rsidR="002A0846" w:rsidRPr="004576BB">
        <w:rPr>
          <w:rFonts w:ascii="Arial" w:hAnsi="Arial" w:cs="Arial"/>
          <w:sz w:val="24"/>
          <w:szCs w:val="24"/>
        </w:rPr>
        <w:lastRenderedPageBreak/>
        <w:t>destination may lead to reduced guest satisfaction, Manuel and Lawson (1977) suggest that a public beach allocates 55 square foot per person but an overcrowded beach could provide less that 35 square foot, making for a less enjoyable experience.</w:t>
      </w:r>
    </w:p>
    <w:p w14:paraId="362F0AFF" w14:textId="243B1929" w:rsidR="00FC43FE" w:rsidRPr="004576BB" w:rsidRDefault="00FC43FE" w:rsidP="004576BB">
      <w:pPr>
        <w:spacing w:line="360" w:lineRule="auto"/>
        <w:rPr>
          <w:rFonts w:ascii="Arial" w:hAnsi="Arial" w:cs="Arial"/>
          <w:sz w:val="24"/>
          <w:szCs w:val="24"/>
        </w:rPr>
      </w:pPr>
      <w:r w:rsidRPr="004576BB">
        <w:rPr>
          <w:rFonts w:ascii="Arial" w:hAnsi="Arial" w:cs="Arial"/>
          <w:sz w:val="24"/>
          <w:szCs w:val="24"/>
        </w:rPr>
        <w:t xml:space="preserve">By using the Butler Model of development analysis can be undertaken to determine the sustainability of the development that has taken place on Langkawi Island, Malaysia and Boracay Island, The Philippines and compare where each island successful and where issues arose. </w:t>
      </w:r>
    </w:p>
    <w:p w14:paraId="45C4FC27" w14:textId="37FF2B12" w:rsidR="002223C7" w:rsidRPr="004576BB" w:rsidRDefault="00DC157C" w:rsidP="004576BB">
      <w:pPr>
        <w:spacing w:line="360" w:lineRule="auto"/>
        <w:rPr>
          <w:rFonts w:ascii="Arial" w:hAnsi="Arial" w:cs="Arial"/>
          <w:sz w:val="24"/>
          <w:szCs w:val="24"/>
        </w:rPr>
      </w:pPr>
      <w:r w:rsidRPr="004576BB">
        <w:rPr>
          <w:rFonts w:ascii="Arial" w:hAnsi="Arial" w:cs="Arial"/>
          <w:sz w:val="24"/>
          <w:szCs w:val="24"/>
        </w:rPr>
        <w:t xml:space="preserve">Boracay Island was previously a farming and fishing community hosting around 12000 local </w:t>
      </w:r>
      <w:r w:rsidR="00BF1B6B" w:rsidRPr="004576BB">
        <w:rPr>
          <w:rFonts w:ascii="Arial" w:hAnsi="Arial" w:cs="Arial"/>
          <w:sz w:val="24"/>
          <w:szCs w:val="24"/>
        </w:rPr>
        <w:t>residents</w:t>
      </w:r>
      <w:r w:rsidRPr="004576BB">
        <w:rPr>
          <w:rFonts w:ascii="Arial" w:hAnsi="Arial" w:cs="Arial"/>
          <w:sz w:val="24"/>
          <w:szCs w:val="24"/>
        </w:rPr>
        <w:t xml:space="preserve">. Tourists in the 1970’s to early 1990’s were very few as this was the exploration stager of the Butler Model, visitor patterns </w:t>
      </w:r>
      <w:r w:rsidR="00BF1B6B" w:rsidRPr="004576BB">
        <w:rPr>
          <w:rFonts w:ascii="Arial" w:hAnsi="Arial" w:cs="Arial"/>
          <w:sz w:val="24"/>
          <w:szCs w:val="24"/>
        </w:rPr>
        <w:t>were</w:t>
      </w:r>
      <w:r w:rsidRPr="004576BB">
        <w:rPr>
          <w:rFonts w:ascii="Arial" w:hAnsi="Arial" w:cs="Arial"/>
          <w:sz w:val="24"/>
          <w:szCs w:val="24"/>
        </w:rPr>
        <w:t xml:space="preserve"> irregular and had low impacts on the physical and social aspects of the island. Between the early to </w:t>
      </w:r>
      <w:r w:rsidR="00BF1B6B" w:rsidRPr="004576BB">
        <w:rPr>
          <w:rFonts w:ascii="Arial" w:hAnsi="Arial" w:cs="Arial"/>
          <w:sz w:val="24"/>
          <w:szCs w:val="24"/>
        </w:rPr>
        <w:t>mid-90</w:t>
      </w:r>
      <w:r w:rsidRPr="004576BB">
        <w:rPr>
          <w:rFonts w:ascii="Arial" w:hAnsi="Arial" w:cs="Arial"/>
          <w:sz w:val="24"/>
          <w:szCs w:val="24"/>
        </w:rPr>
        <w:t xml:space="preserve">’s the involvement stage of the Butler Model was completed, with increasing numbers of tourists from 30,000 in 1987 to 100,000 by 1996 which is over three times as many, leading to an exploitation of natural systems, a seasonal pattern of visits emerged and a rapid shift to local income dependence on tourism occurred. </w:t>
      </w:r>
      <w:r w:rsidR="007466D5" w:rsidRPr="004576BB">
        <w:rPr>
          <w:rFonts w:ascii="Arial" w:hAnsi="Arial" w:cs="Arial"/>
          <w:sz w:val="24"/>
          <w:szCs w:val="24"/>
        </w:rPr>
        <w:t xml:space="preserve">Significant development on the island occurred between the mid 90’s and early 2000’s. A rapid increase in visitors lead to an increase in overseas investment, an introduction of outside labour and the addition of attractions including restaurants and bars, by 2003 Boracay Islands was subjected to 300,000 visitors and became a mass tourism destination. </w:t>
      </w:r>
      <w:r w:rsidR="002223C7" w:rsidRPr="004576BB">
        <w:rPr>
          <w:rFonts w:ascii="Arial" w:hAnsi="Arial" w:cs="Arial"/>
          <w:sz w:val="24"/>
          <w:szCs w:val="24"/>
        </w:rPr>
        <w:t>Consolidation took place until around 2015 when the effects of Boracay exceeding it</w:t>
      </w:r>
      <w:r w:rsidR="00BF1B6B">
        <w:rPr>
          <w:rFonts w:ascii="Arial" w:hAnsi="Arial" w:cs="Arial"/>
          <w:sz w:val="24"/>
          <w:szCs w:val="24"/>
        </w:rPr>
        <w:t>’</w:t>
      </w:r>
      <w:r w:rsidR="002223C7" w:rsidRPr="004576BB">
        <w:rPr>
          <w:rFonts w:ascii="Arial" w:hAnsi="Arial" w:cs="Arial"/>
          <w:sz w:val="24"/>
          <w:szCs w:val="24"/>
        </w:rPr>
        <w:t xml:space="preserve">s carrying capacity both socially, environmentally and economically which lead to the rapid decline in the sustainability of the destination, skipping the stagnations stage </w:t>
      </w:r>
      <w:r w:rsidR="004E69BC" w:rsidRPr="004576BB">
        <w:rPr>
          <w:rFonts w:ascii="Arial" w:hAnsi="Arial" w:cs="Arial"/>
          <w:sz w:val="24"/>
          <w:szCs w:val="24"/>
        </w:rPr>
        <w:t>completely (</w:t>
      </w:r>
      <w:r w:rsidR="002223C7" w:rsidRPr="004576BB">
        <w:rPr>
          <w:rFonts w:ascii="Arial" w:hAnsi="Arial" w:cs="Arial"/>
          <w:sz w:val="24"/>
          <w:szCs w:val="24"/>
        </w:rPr>
        <w:t xml:space="preserve">Cater, 2004). In April 2018 the island closed to visitors due to reports finding the island was on the brink of an ecological catastrophe. Rejuvenation has taken place to combat over 8000 environmental violations and return the island to its former beauty. With new regulations to help maintain a sustainable destination including a limit on the number of visitors, a 30 metre buffer zone that prohibits buildings and vendors from encroaching on the waterline and a temporary ban on water sports to protect the highly damaged marine life (Ellis-Peterson, 2018). </w:t>
      </w:r>
    </w:p>
    <w:p w14:paraId="6463A559" w14:textId="41162303" w:rsidR="004E69BC" w:rsidRPr="004576BB" w:rsidRDefault="004576BB" w:rsidP="004576BB">
      <w:pPr>
        <w:spacing w:line="360" w:lineRule="auto"/>
        <w:rPr>
          <w:rFonts w:ascii="Arial" w:hAnsi="Arial" w:cs="Arial"/>
          <w:sz w:val="24"/>
          <w:szCs w:val="24"/>
        </w:rPr>
      </w:pPr>
      <w:r w:rsidRPr="004576BB">
        <w:rPr>
          <w:rFonts w:ascii="Arial" w:hAnsi="Arial" w:cs="Arial"/>
          <w:sz w:val="24"/>
          <w:szCs w:val="24"/>
        </w:rPr>
        <w:lastRenderedPageBreak/>
        <w:t>Langkawi</w:t>
      </w:r>
      <w:r w:rsidR="004E69BC" w:rsidRPr="004576BB">
        <w:rPr>
          <w:rFonts w:ascii="Arial" w:hAnsi="Arial" w:cs="Arial"/>
          <w:sz w:val="24"/>
          <w:szCs w:val="24"/>
        </w:rPr>
        <w:t xml:space="preserve"> Island is an example of the butler model of development managed </w:t>
      </w:r>
      <w:r w:rsidRPr="004576BB">
        <w:rPr>
          <w:rFonts w:ascii="Arial" w:hAnsi="Arial" w:cs="Arial"/>
          <w:sz w:val="24"/>
          <w:szCs w:val="24"/>
        </w:rPr>
        <w:t>sustainably</w:t>
      </w:r>
      <w:r w:rsidR="004E69BC" w:rsidRPr="004576BB">
        <w:rPr>
          <w:rFonts w:ascii="Arial" w:hAnsi="Arial" w:cs="Arial"/>
          <w:sz w:val="24"/>
          <w:szCs w:val="24"/>
        </w:rPr>
        <w:t xml:space="preserve">. Much like Boracay Island it was originally a fishing and farming community. Its involvement stage took place from 1948 to 1983, the government realised tourism could generate large economic growth, at this </w:t>
      </w:r>
      <w:r w:rsidRPr="004576BB">
        <w:rPr>
          <w:rFonts w:ascii="Arial" w:hAnsi="Arial" w:cs="Arial"/>
          <w:sz w:val="24"/>
          <w:szCs w:val="24"/>
        </w:rPr>
        <w:t>point</w:t>
      </w:r>
      <w:r w:rsidR="004E69BC" w:rsidRPr="004576BB">
        <w:rPr>
          <w:rFonts w:ascii="Arial" w:hAnsi="Arial" w:cs="Arial"/>
          <w:sz w:val="24"/>
          <w:szCs w:val="24"/>
        </w:rPr>
        <w:t xml:space="preserve"> </w:t>
      </w:r>
      <w:r w:rsidRPr="004576BB">
        <w:rPr>
          <w:rFonts w:ascii="Arial" w:hAnsi="Arial" w:cs="Arial"/>
          <w:sz w:val="24"/>
          <w:szCs w:val="24"/>
        </w:rPr>
        <w:t>tourists</w:t>
      </w:r>
      <w:r w:rsidR="004E69BC" w:rsidRPr="004576BB">
        <w:rPr>
          <w:rFonts w:ascii="Arial" w:hAnsi="Arial" w:cs="Arial"/>
          <w:sz w:val="24"/>
          <w:szCs w:val="24"/>
        </w:rPr>
        <w:t xml:space="preserve"> had a lot of contact with locals and in 1975 a tourism master plan for the island was provide by the Malaysian government. Major development took place between 1984 and 1999 on an intense scale supported by local and federal </w:t>
      </w:r>
      <w:r w:rsidRPr="004576BB">
        <w:rPr>
          <w:rFonts w:ascii="Arial" w:hAnsi="Arial" w:cs="Arial"/>
          <w:sz w:val="24"/>
          <w:szCs w:val="24"/>
        </w:rPr>
        <w:t>governments</w:t>
      </w:r>
      <w:r w:rsidR="004E69BC" w:rsidRPr="004576BB">
        <w:rPr>
          <w:rFonts w:ascii="Arial" w:hAnsi="Arial" w:cs="Arial"/>
          <w:sz w:val="24"/>
          <w:szCs w:val="24"/>
        </w:rPr>
        <w:t xml:space="preserve"> </w:t>
      </w:r>
      <w:r w:rsidRPr="004576BB">
        <w:rPr>
          <w:rFonts w:ascii="Arial" w:hAnsi="Arial" w:cs="Arial"/>
          <w:sz w:val="24"/>
          <w:szCs w:val="24"/>
        </w:rPr>
        <w:t>infrastructure</w:t>
      </w:r>
      <w:r w:rsidR="004E69BC" w:rsidRPr="004576BB">
        <w:rPr>
          <w:rFonts w:ascii="Arial" w:hAnsi="Arial" w:cs="Arial"/>
          <w:sz w:val="24"/>
          <w:szCs w:val="24"/>
        </w:rPr>
        <w:t xml:space="preserve"> was developed including a cargo jetty, international airport and ferry terminal, this was an investment of 1.2 billion to support the growing tourism on the </w:t>
      </w:r>
      <w:r w:rsidRPr="004576BB">
        <w:rPr>
          <w:rFonts w:ascii="Arial" w:hAnsi="Arial" w:cs="Arial"/>
          <w:sz w:val="24"/>
          <w:szCs w:val="24"/>
        </w:rPr>
        <w:t>island</w:t>
      </w:r>
      <w:r w:rsidR="004E69BC" w:rsidRPr="004576BB">
        <w:rPr>
          <w:rFonts w:ascii="Arial" w:hAnsi="Arial" w:cs="Arial"/>
          <w:sz w:val="24"/>
          <w:szCs w:val="24"/>
        </w:rPr>
        <w:t>. Unemployment fell by 9.7% as the island gained significantly on the so</w:t>
      </w:r>
      <w:r w:rsidRPr="004576BB">
        <w:rPr>
          <w:rFonts w:ascii="Arial" w:hAnsi="Arial" w:cs="Arial"/>
          <w:sz w:val="24"/>
          <w:szCs w:val="24"/>
        </w:rPr>
        <w:t>ci</w:t>
      </w:r>
      <w:r w:rsidR="004E69BC" w:rsidRPr="004576BB">
        <w:rPr>
          <w:rFonts w:ascii="Arial" w:hAnsi="Arial" w:cs="Arial"/>
          <w:sz w:val="24"/>
          <w:szCs w:val="24"/>
        </w:rPr>
        <w:t xml:space="preserve">o-economic front. </w:t>
      </w:r>
      <w:r w:rsidRPr="004576BB">
        <w:rPr>
          <w:rFonts w:ascii="Arial" w:hAnsi="Arial" w:cs="Arial"/>
          <w:sz w:val="24"/>
          <w:szCs w:val="24"/>
        </w:rPr>
        <w:t>During the consolidation stage it became a priority to refurbish the existing attractions as well as expand transport on the island and grow its accommodation capacity. Over the following years it is expected the island will enter the stagnation phase but is unlikely to experience a decline in tourists if the island growth is maintained. Due to careful planning and development the island through effective use of the Butler Model Langkawi Island has achieve the status of World Geopark by UNESCO which ensure the island will maintain its sustainability (Omar et al, 2013)</w:t>
      </w:r>
    </w:p>
    <w:p w14:paraId="5584648F" w14:textId="22983F66" w:rsidR="0070551E" w:rsidRPr="00015125" w:rsidRDefault="0070551E" w:rsidP="004576BB">
      <w:pPr>
        <w:pStyle w:val="Heading1"/>
        <w:spacing w:line="360" w:lineRule="auto"/>
        <w:rPr>
          <w:rFonts w:ascii="Arial" w:hAnsi="Arial" w:cs="Arial"/>
        </w:rPr>
      </w:pPr>
      <w:r w:rsidRPr="00015125">
        <w:rPr>
          <w:rFonts w:ascii="Arial" w:hAnsi="Arial" w:cs="Arial"/>
        </w:rPr>
        <w:t xml:space="preserve">Conclusion </w:t>
      </w:r>
    </w:p>
    <w:p w14:paraId="28ABBE7F" w14:textId="5DBBD5A5" w:rsidR="0070551E" w:rsidRPr="004576BB" w:rsidRDefault="00AA4AE0" w:rsidP="004576BB">
      <w:pPr>
        <w:spacing w:line="360" w:lineRule="auto"/>
        <w:rPr>
          <w:rFonts w:ascii="Arial" w:hAnsi="Arial" w:cs="Arial"/>
          <w:sz w:val="24"/>
          <w:szCs w:val="24"/>
        </w:rPr>
      </w:pPr>
      <w:r>
        <w:rPr>
          <w:rFonts w:ascii="Arial" w:hAnsi="Arial" w:cs="Arial"/>
          <w:sz w:val="24"/>
          <w:szCs w:val="24"/>
        </w:rPr>
        <w:t>Despite following the model for dev</w:t>
      </w:r>
      <w:r w:rsidR="00587116">
        <w:rPr>
          <w:rFonts w:ascii="Arial" w:hAnsi="Arial" w:cs="Arial"/>
          <w:sz w:val="24"/>
          <w:szCs w:val="24"/>
        </w:rPr>
        <w:t>elop</w:t>
      </w:r>
      <w:r>
        <w:rPr>
          <w:rFonts w:ascii="Arial" w:hAnsi="Arial" w:cs="Arial"/>
          <w:sz w:val="24"/>
          <w:szCs w:val="24"/>
        </w:rPr>
        <w:t xml:space="preserve">ment Boracay was not sustainably developed as it wasn’t closely monitored, which lead to over tourism damaging the destination significantly. However, </w:t>
      </w:r>
      <w:r w:rsidR="004576BB" w:rsidRPr="004576BB">
        <w:rPr>
          <w:rFonts w:ascii="Arial" w:hAnsi="Arial" w:cs="Arial"/>
          <w:sz w:val="24"/>
          <w:szCs w:val="24"/>
        </w:rPr>
        <w:t>through close management and a set strategic path</w:t>
      </w:r>
      <w:r>
        <w:rPr>
          <w:rFonts w:ascii="Arial" w:hAnsi="Arial" w:cs="Arial"/>
          <w:sz w:val="24"/>
          <w:szCs w:val="24"/>
        </w:rPr>
        <w:t xml:space="preserve"> Langkawi has successfully achieved a developed destination without</w:t>
      </w:r>
      <w:r w:rsidR="00A5588B">
        <w:rPr>
          <w:rFonts w:ascii="Arial" w:hAnsi="Arial" w:cs="Arial"/>
          <w:sz w:val="24"/>
          <w:szCs w:val="24"/>
        </w:rPr>
        <w:t xml:space="preserve"> creating </w:t>
      </w:r>
      <w:r>
        <w:rPr>
          <w:rFonts w:ascii="Arial" w:hAnsi="Arial" w:cs="Arial"/>
          <w:sz w:val="24"/>
          <w:szCs w:val="24"/>
        </w:rPr>
        <w:t xml:space="preserve">environmental </w:t>
      </w:r>
      <w:r w:rsidR="00A5588B">
        <w:rPr>
          <w:rFonts w:ascii="Arial" w:hAnsi="Arial" w:cs="Arial"/>
          <w:sz w:val="24"/>
          <w:szCs w:val="24"/>
        </w:rPr>
        <w:t>damage to the</w:t>
      </w:r>
      <w:bookmarkStart w:id="0" w:name="_GoBack"/>
      <w:bookmarkEnd w:id="0"/>
      <w:r>
        <w:rPr>
          <w:rFonts w:ascii="Arial" w:hAnsi="Arial" w:cs="Arial"/>
          <w:sz w:val="24"/>
          <w:szCs w:val="24"/>
        </w:rPr>
        <w:t xml:space="preserve"> location, thus creating a sustainable destination</w:t>
      </w:r>
      <w:r w:rsidR="004576BB" w:rsidRPr="004576BB">
        <w:rPr>
          <w:rFonts w:ascii="Arial" w:hAnsi="Arial" w:cs="Arial"/>
          <w:sz w:val="24"/>
          <w:szCs w:val="24"/>
        </w:rPr>
        <w:t xml:space="preserve">. It must also be acknowledged that although carrying capacities may vary it is important to value the opinions of </w:t>
      </w:r>
      <w:r>
        <w:rPr>
          <w:rFonts w:ascii="Arial" w:hAnsi="Arial" w:cs="Arial"/>
          <w:sz w:val="24"/>
          <w:szCs w:val="24"/>
        </w:rPr>
        <w:t>all stakeholders</w:t>
      </w:r>
      <w:r w:rsidR="004576BB" w:rsidRPr="004576BB">
        <w:rPr>
          <w:rFonts w:ascii="Arial" w:hAnsi="Arial" w:cs="Arial"/>
          <w:sz w:val="24"/>
          <w:szCs w:val="24"/>
        </w:rPr>
        <w:t xml:space="preserve"> when assessing at what point thresholds on a location have been reached</w:t>
      </w:r>
      <w:r w:rsidR="004576BB">
        <w:rPr>
          <w:rFonts w:ascii="Arial" w:hAnsi="Arial" w:cs="Arial"/>
          <w:sz w:val="24"/>
          <w:szCs w:val="24"/>
        </w:rPr>
        <w:t>, thus providing tourism for tomorrow.</w:t>
      </w:r>
    </w:p>
    <w:p w14:paraId="4A0819D5" w14:textId="70636134" w:rsidR="00445342" w:rsidRDefault="00445342" w:rsidP="0070551E"/>
    <w:p w14:paraId="2F950BB1" w14:textId="77777777" w:rsidR="00445342" w:rsidRDefault="00445342">
      <w:r>
        <w:br w:type="page"/>
      </w:r>
    </w:p>
    <w:p w14:paraId="2D557C5D" w14:textId="74222BF3" w:rsidR="000712B2" w:rsidRDefault="000712B2" w:rsidP="000712B2">
      <w:pPr>
        <w:pStyle w:val="Heading1"/>
      </w:pPr>
      <w:r>
        <w:lastRenderedPageBreak/>
        <w:t>Bibliography</w:t>
      </w:r>
    </w:p>
    <w:p w14:paraId="6447010B" w14:textId="460C3E46" w:rsidR="00C87AAF" w:rsidRPr="00B946BB" w:rsidRDefault="00C87AAF" w:rsidP="000712B2">
      <w:pPr>
        <w:tabs>
          <w:tab w:val="left" w:pos="3391"/>
        </w:tabs>
        <w:spacing w:line="240" w:lineRule="auto"/>
        <w:rPr>
          <w:rFonts w:ascii="Arial" w:hAnsi="Arial" w:cs="Arial"/>
          <w:sz w:val="24"/>
          <w:szCs w:val="24"/>
        </w:rPr>
      </w:pPr>
      <w:r w:rsidRPr="00B946BB">
        <w:rPr>
          <w:rFonts w:ascii="Arial" w:hAnsi="Arial" w:cs="Arial"/>
          <w:sz w:val="24"/>
          <w:szCs w:val="24"/>
        </w:rPr>
        <w:t xml:space="preserve">Cater, </w:t>
      </w:r>
      <w:r w:rsidR="00BF1B6B" w:rsidRPr="00B946BB">
        <w:rPr>
          <w:rFonts w:ascii="Arial" w:hAnsi="Arial" w:cs="Arial"/>
          <w:sz w:val="24"/>
          <w:szCs w:val="24"/>
        </w:rPr>
        <w:t>R, W.</w:t>
      </w:r>
      <w:r w:rsidRPr="00B946BB">
        <w:rPr>
          <w:rFonts w:ascii="Arial" w:hAnsi="Arial" w:cs="Arial"/>
          <w:sz w:val="24"/>
          <w:szCs w:val="24"/>
        </w:rPr>
        <w:t xml:space="preserve"> (2004) ‘Implication of Sporadic Tourism Growth: Extrapolation from the case of Boracay Island, The Philippines’, </w:t>
      </w:r>
      <w:r w:rsidRPr="00B946BB">
        <w:rPr>
          <w:rFonts w:ascii="Arial" w:hAnsi="Arial" w:cs="Arial"/>
          <w:i/>
          <w:iCs/>
          <w:sz w:val="24"/>
          <w:szCs w:val="24"/>
        </w:rPr>
        <w:t>Asia Pacific Journal of Tourism Research</w:t>
      </w:r>
      <w:r w:rsidRPr="00B946BB">
        <w:rPr>
          <w:rFonts w:ascii="Arial" w:hAnsi="Arial" w:cs="Arial"/>
          <w:sz w:val="24"/>
          <w:szCs w:val="24"/>
        </w:rPr>
        <w:t xml:space="preserve">, 9(4), pp.383-404. [Online] Available at: </w:t>
      </w:r>
      <w:hyperlink r:id="rId5" w:history="1">
        <w:r w:rsidRPr="00B946BB">
          <w:rPr>
            <w:rStyle w:val="Hyperlink"/>
            <w:rFonts w:ascii="Arial" w:hAnsi="Arial" w:cs="Arial"/>
            <w:sz w:val="24"/>
            <w:szCs w:val="24"/>
          </w:rPr>
          <w:t>file:///C:/Users/molly/Downloads/Carter2004SporadicGrowth.pdf</w:t>
        </w:r>
      </w:hyperlink>
      <w:r w:rsidRPr="00B946BB">
        <w:rPr>
          <w:rFonts w:ascii="Arial" w:hAnsi="Arial" w:cs="Arial"/>
          <w:sz w:val="24"/>
          <w:szCs w:val="24"/>
        </w:rPr>
        <w:t xml:space="preserve">  (Accessed on: 04/12/19).</w:t>
      </w:r>
    </w:p>
    <w:p w14:paraId="12FFF08B" w14:textId="77777777" w:rsidR="00C87AAF" w:rsidRPr="00B946BB" w:rsidRDefault="00C87AAF" w:rsidP="00C9243D">
      <w:pPr>
        <w:rPr>
          <w:rFonts w:ascii="Arial" w:hAnsi="Arial" w:cs="Arial"/>
          <w:sz w:val="24"/>
          <w:szCs w:val="24"/>
        </w:rPr>
      </w:pPr>
      <w:r w:rsidRPr="00B946BB">
        <w:rPr>
          <w:rFonts w:ascii="Arial" w:hAnsi="Arial" w:cs="Arial"/>
          <w:sz w:val="24"/>
          <w:szCs w:val="24"/>
        </w:rPr>
        <w:t xml:space="preserve">Cooper, C; Fletcher, J; Fyall, A; Gilbert, D. and Wanhill, S. (2008) </w:t>
      </w:r>
      <w:r w:rsidRPr="00B946BB">
        <w:rPr>
          <w:rFonts w:ascii="Arial" w:hAnsi="Arial" w:cs="Arial"/>
          <w:i/>
          <w:iCs/>
          <w:sz w:val="24"/>
          <w:szCs w:val="24"/>
        </w:rPr>
        <w:t xml:space="preserve">Tourism: Principles and Practice, </w:t>
      </w:r>
      <w:r w:rsidRPr="00B946BB">
        <w:rPr>
          <w:rFonts w:ascii="Arial" w:hAnsi="Arial" w:cs="Arial"/>
          <w:sz w:val="24"/>
          <w:szCs w:val="24"/>
        </w:rPr>
        <w:t>4</w:t>
      </w:r>
      <w:r w:rsidRPr="00B946BB">
        <w:rPr>
          <w:rFonts w:ascii="Arial" w:hAnsi="Arial" w:cs="Arial"/>
          <w:sz w:val="24"/>
          <w:szCs w:val="24"/>
          <w:vertAlign w:val="superscript"/>
        </w:rPr>
        <w:t>th</w:t>
      </w:r>
      <w:r w:rsidRPr="00B946BB">
        <w:rPr>
          <w:rFonts w:ascii="Arial" w:hAnsi="Arial" w:cs="Arial"/>
          <w:sz w:val="24"/>
          <w:szCs w:val="24"/>
        </w:rPr>
        <w:t xml:space="preserve"> Ed. Pearsons Education Limited: Essex.</w:t>
      </w:r>
    </w:p>
    <w:p w14:paraId="7FBBCD66" w14:textId="77777777" w:rsidR="00C87AAF" w:rsidRPr="00B946BB" w:rsidRDefault="00C87AAF" w:rsidP="00CD2EBA">
      <w:pPr>
        <w:tabs>
          <w:tab w:val="left" w:pos="3391"/>
        </w:tabs>
        <w:spacing w:line="240" w:lineRule="auto"/>
        <w:rPr>
          <w:rFonts w:ascii="Arial" w:hAnsi="Arial" w:cs="Arial"/>
          <w:sz w:val="24"/>
          <w:szCs w:val="24"/>
        </w:rPr>
      </w:pPr>
      <w:r w:rsidRPr="00B946BB">
        <w:rPr>
          <w:rFonts w:ascii="Arial" w:hAnsi="Arial" w:cs="Arial"/>
          <w:sz w:val="24"/>
          <w:szCs w:val="24"/>
        </w:rPr>
        <w:t xml:space="preserve">Ellis-Peterson, H. (2018) </w:t>
      </w:r>
      <w:r w:rsidRPr="00B946BB">
        <w:rPr>
          <w:rFonts w:ascii="Arial" w:hAnsi="Arial" w:cs="Arial"/>
          <w:i/>
          <w:iCs/>
          <w:sz w:val="24"/>
          <w:szCs w:val="24"/>
        </w:rPr>
        <w:t>Party Island of Boracay Reopens minus drinking, smoking and raw sewage.</w:t>
      </w:r>
      <w:r w:rsidRPr="00B946BB">
        <w:rPr>
          <w:rFonts w:ascii="Arial" w:hAnsi="Arial" w:cs="Arial"/>
          <w:sz w:val="24"/>
          <w:szCs w:val="24"/>
        </w:rPr>
        <w:t xml:space="preserve"> [Online] Available at: </w:t>
      </w:r>
      <w:hyperlink r:id="rId6" w:history="1">
        <w:r w:rsidRPr="00B946BB">
          <w:rPr>
            <w:rStyle w:val="Hyperlink"/>
            <w:rFonts w:ascii="Arial" w:hAnsi="Arial" w:cs="Arial"/>
            <w:sz w:val="24"/>
            <w:szCs w:val="24"/>
          </w:rPr>
          <w:t>https://www.theguardian.com/world/2018/oct/26/party-island-of-boracay-reopens-minus-drinking-smoking-and-raw-sewage</w:t>
        </w:r>
      </w:hyperlink>
      <w:r w:rsidRPr="00B946BB">
        <w:rPr>
          <w:rFonts w:ascii="Arial" w:hAnsi="Arial" w:cs="Arial"/>
          <w:sz w:val="24"/>
          <w:szCs w:val="24"/>
        </w:rPr>
        <w:t xml:space="preserve">  (Accessed on: 04/12/19).</w:t>
      </w:r>
    </w:p>
    <w:p w14:paraId="62C3B824" w14:textId="77777777" w:rsidR="00C87AAF" w:rsidRPr="00B946BB" w:rsidRDefault="00C87AAF" w:rsidP="00C9243D">
      <w:pPr>
        <w:rPr>
          <w:rFonts w:ascii="Arial" w:hAnsi="Arial" w:cs="Arial"/>
          <w:sz w:val="24"/>
          <w:szCs w:val="24"/>
        </w:rPr>
      </w:pPr>
      <w:r w:rsidRPr="00B946BB">
        <w:rPr>
          <w:rFonts w:ascii="Arial" w:hAnsi="Arial" w:cs="Arial"/>
          <w:sz w:val="24"/>
          <w:szCs w:val="24"/>
        </w:rPr>
        <w:t xml:space="preserve">Hawkins, R. and Bohdanowicz, P. (2012) </w:t>
      </w:r>
      <w:r w:rsidRPr="00B946BB">
        <w:rPr>
          <w:rFonts w:ascii="Arial" w:hAnsi="Arial" w:cs="Arial"/>
          <w:i/>
          <w:iCs/>
          <w:sz w:val="24"/>
          <w:szCs w:val="24"/>
        </w:rPr>
        <w:t>Responsible Hospitality</w:t>
      </w:r>
      <w:r w:rsidRPr="00B946BB">
        <w:rPr>
          <w:rFonts w:ascii="Arial" w:hAnsi="Arial" w:cs="Arial"/>
          <w:sz w:val="24"/>
          <w:szCs w:val="24"/>
        </w:rPr>
        <w:t>, Goodfellow Publishers Limited: Oxford.</w:t>
      </w:r>
    </w:p>
    <w:p w14:paraId="097C211C" w14:textId="1FEECE0B" w:rsidR="00C87AAF" w:rsidRPr="00B946BB" w:rsidRDefault="00C87AAF" w:rsidP="00C9243D">
      <w:pPr>
        <w:rPr>
          <w:rFonts w:ascii="Arial" w:hAnsi="Arial" w:cs="Arial"/>
          <w:sz w:val="24"/>
          <w:szCs w:val="24"/>
        </w:rPr>
      </w:pPr>
      <w:r w:rsidRPr="00B946BB">
        <w:rPr>
          <w:rFonts w:ascii="Arial" w:hAnsi="Arial" w:cs="Arial"/>
          <w:sz w:val="24"/>
          <w:szCs w:val="24"/>
        </w:rPr>
        <w:t xml:space="preserve">Mill, </w:t>
      </w:r>
      <w:r w:rsidR="00BF1B6B" w:rsidRPr="00B946BB">
        <w:rPr>
          <w:rFonts w:ascii="Arial" w:hAnsi="Arial" w:cs="Arial"/>
          <w:sz w:val="24"/>
          <w:szCs w:val="24"/>
        </w:rPr>
        <w:t>R, C.</w:t>
      </w:r>
      <w:r w:rsidRPr="00B946BB">
        <w:rPr>
          <w:rFonts w:ascii="Arial" w:hAnsi="Arial" w:cs="Arial"/>
          <w:sz w:val="24"/>
          <w:szCs w:val="24"/>
        </w:rPr>
        <w:t xml:space="preserve"> (2001) </w:t>
      </w:r>
      <w:r w:rsidRPr="00B946BB">
        <w:rPr>
          <w:rFonts w:ascii="Arial" w:hAnsi="Arial" w:cs="Arial"/>
          <w:i/>
          <w:iCs/>
          <w:sz w:val="24"/>
          <w:szCs w:val="24"/>
        </w:rPr>
        <w:t>Resorts: Management and Operation,</w:t>
      </w:r>
      <w:r w:rsidRPr="00B946BB">
        <w:rPr>
          <w:rFonts w:ascii="Arial" w:hAnsi="Arial" w:cs="Arial"/>
          <w:sz w:val="24"/>
          <w:szCs w:val="24"/>
        </w:rPr>
        <w:t>3</w:t>
      </w:r>
      <w:r w:rsidRPr="00B946BB">
        <w:rPr>
          <w:rFonts w:ascii="Arial" w:hAnsi="Arial" w:cs="Arial"/>
          <w:sz w:val="24"/>
          <w:szCs w:val="24"/>
          <w:vertAlign w:val="superscript"/>
        </w:rPr>
        <w:t>rd</w:t>
      </w:r>
      <w:r w:rsidRPr="00B946BB">
        <w:rPr>
          <w:rFonts w:ascii="Arial" w:hAnsi="Arial" w:cs="Arial"/>
          <w:sz w:val="24"/>
          <w:szCs w:val="24"/>
        </w:rPr>
        <w:t xml:space="preserve"> Ed. John Wiley and Sons Inc.: New Jersey.</w:t>
      </w:r>
    </w:p>
    <w:p w14:paraId="7A0EF574" w14:textId="77777777" w:rsidR="00C87AAF" w:rsidRPr="00B946BB" w:rsidRDefault="00C87AAF" w:rsidP="00CD2EBA">
      <w:pPr>
        <w:tabs>
          <w:tab w:val="left" w:pos="3391"/>
        </w:tabs>
        <w:spacing w:line="240" w:lineRule="auto"/>
        <w:rPr>
          <w:rFonts w:ascii="Arial" w:hAnsi="Arial" w:cs="Arial"/>
          <w:sz w:val="24"/>
          <w:szCs w:val="24"/>
        </w:rPr>
      </w:pPr>
      <w:r w:rsidRPr="00B946BB">
        <w:rPr>
          <w:rFonts w:ascii="Arial" w:hAnsi="Arial" w:cs="Arial"/>
          <w:sz w:val="24"/>
          <w:szCs w:val="24"/>
        </w:rPr>
        <w:t xml:space="preserve">Morris, H. (2018) </w:t>
      </w:r>
      <w:r w:rsidRPr="00B946BB">
        <w:rPr>
          <w:rFonts w:ascii="Arial" w:hAnsi="Arial" w:cs="Arial"/>
          <w:i/>
          <w:iCs/>
          <w:sz w:val="24"/>
          <w:szCs w:val="24"/>
        </w:rPr>
        <w:t xml:space="preserve">What’s happening in Boracay the Island Paradise Ruined by Tourism? </w:t>
      </w:r>
      <w:r w:rsidRPr="00B946BB">
        <w:rPr>
          <w:rFonts w:ascii="Arial" w:hAnsi="Arial" w:cs="Arial"/>
          <w:sz w:val="24"/>
          <w:szCs w:val="24"/>
        </w:rPr>
        <w:t xml:space="preserve">[Online] Available at: </w:t>
      </w:r>
      <w:hyperlink r:id="rId7" w:history="1">
        <w:r w:rsidRPr="00B946BB">
          <w:rPr>
            <w:rStyle w:val="Hyperlink"/>
            <w:rFonts w:ascii="Arial" w:hAnsi="Arial" w:cs="Arial"/>
            <w:sz w:val="24"/>
            <w:szCs w:val="24"/>
          </w:rPr>
          <w:t>https://www.telegraph.co.uk/travel/destinations/asia/philippines/articles/boracay-closure-when-will-island-reopen/</w:t>
        </w:r>
      </w:hyperlink>
      <w:r w:rsidRPr="00B946BB">
        <w:rPr>
          <w:rFonts w:ascii="Arial" w:hAnsi="Arial" w:cs="Arial"/>
          <w:sz w:val="24"/>
          <w:szCs w:val="24"/>
        </w:rPr>
        <w:t xml:space="preserve"> (Accessed on: 04/12/19).</w:t>
      </w:r>
    </w:p>
    <w:p w14:paraId="2AEB4B84" w14:textId="77777777" w:rsidR="00C87AAF" w:rsidRPr="00B946BB" w:rsidRDefault="00C87AAF" w:rsidP="00C9243D">
      <w:pPr>
        <w:rPr>
          <w:rFonts w:ascii="Arial" w:hAnsi="Arial" w:cs="Arial"/>
          <w:sz w:val="24"/>
          <w:szCs w:val="24"/>
        </w:rPr>
      </w:pPr>
      <w:r w:rsidRPr="00B946BB">
        <w:rPr>
          <w:rFonts w:ascii="Arial" w:hAnsi="Arial" w:cs="Arial"/>
          <w:sz w:val="24"/>
          <w:szCs w:val="24"/>
        </w:rPr>
        <w:t xml:space="preserve">Murphy, P. (2008) </w:t>
      </w:r>
      <w:r w:rsidRPr="00B946BB">
        <w:rPr>
          <w:rFonts w:ascii="Arial" w:hAnsi="Arial" w:cs="Arial"/>
          <w:i/>
          <w:iCs/>
          <w:sz w:val="24"/>
          <w:szCs w:val="24"/>
        </w:rPr>
        <w:t xml:space="preserve">The Business of Resort Management, </w:t>
      </w:r>
      <w:r w:rsidRPr="00B946BB">
        <w:rPr>
          <w:rFonts w:ascii="Arial" w:hAnsi="Arial" w:cs="Arial"/>
          <w:sz w:val="24"/>
          <w:szCs w:val="24"/>
        </w:rPr>
        <w:t>Routledge: New York.</w:t>
      </w:r>
    </w:p>
    <w:p w14:paraId="1FBCE1D8" w14:textId="77777777" w:rsidR="00C87AAF" w:rsidRPr="00B946BB" w:rsidRDefault="00C87AAF" w:rsidP="00C9243D">
      <w:pPr>
        <w:rPr>
          <w:rFonts w:ascii="Arial" w:hAnsi="Arial" w:cs="Arial"/>
          <w:sz w:val="24"/>
          <w:szCs w:val="24"/>
        </w:rPr>
      </w:pPr>
      <w:r w:rsidRPr="00B946BB">
        <w:rPr>
          <w:rFonts w:ascii="Arial" w:hAnsi="Arial" w:cs="Arial"/>
          <w:color w:val="000000"/>
          <w:sz w:val="24"/>
          <w:szCs w:val="24"/>
          <w:shd w:val="clear" w:color="auto" w:fill="FFFFFF"/>
        </w:rPr>
        <w:t>Omar, S., Othman, A. and Mohamed, B. (2013). Tourism Development Timeline in Langkawi Island, Malaysia. In: </w:t>
      </w:r>
      <w:r w:rsidRPr="00B946BB">
        <w:rPr>
          <w:rFonts w:ascii="Arial" w:hAnsi="Arial" w:cs="Arial"/>
          <w:i/>
          <w:iCs/>
          <w:color w:val="000000"/>
          <w:sz w:val="24"/>
          <w:szCs w:val="24"/>
          <w:shd w:val="clear" w:color="auto" w:fill="FFFFFF"/>
        </w:rPr>
        <w:t>3rd Advances in Hospitality and Tourism Marketing and Management (AHTMM) Conference</w:t>
      </w:r>
      <w:r w:rsidRPr="00B946BB">
        <w:rPr>
          <w:rFonts w:ascii="Arial" w:hAnsi="Arial" w:cs="Arial"/>
          <w:color w:val="000000"/>
          <w:sz w:val="24"/>
          <w:szCs w:val="24"/>
          <w:shd w:val="clear" w:color="auto" w:fill="FFFFFF"/>
        </w:rPr>
        <w:t xml:space="preserve">. Taipei. [Online] Available at: </w:t>
      </w:r>
      <w:hyperlink r:id="rId8" w:history="1">
        <w:r w:rsidRPr="00B946BB">
          <w:rPr>
            <w:rStyle w:val="Hyperlink"/>
            <w:rFonts w:ascii="Arial" w:hAnsi="Arial" w:cs="Arial"/>
            <w:sz w:val="24"/>
            <w:szCs w:val="24"/>
            <w:shd w:val="clear" w:color="auto" w:fill="FFFFFF"/>
          </w:rPr>
          <w:t>https://www.researchgate.net/publication/276279066_Tourism_development_timeline_in_Langkawi_Island_Malaysia</w:t>
        </w:r>
      </w:hyperlink>
      <w:r w:rsidRPr="00B946BB">
        <w:rPr>
          <w:rFonts w:ascii="Arial" w:hAnsi="Arial" w:cs="Arial"/>
          <w:color w:val="000000"/>
          <w:sz w:val="24"/>
          <w:szCs w:val="24"/>
          <w:shd w:val="clear" w:color="auto" w:fill="FFFFFF"/>
        </w:rPr>
        <w:t xml:space="preserve"> (Accessed on: 4/12/2019).</w:t>
      </w:r>
    </w:p>
    <w:p w14:paraId="2C30DB9C" w14:textId="77777777" w:rsidR="00C87AAF" w:rsidRPr="00B946BB" w:rsidRDefault="00C87AAF" w:rsidP="000712B2">
      <w:pPr>
        <w:spacing w:line="240" w:lineRule="auto"/>
        <w:rPr>
          <w:rFonts w:ascii="Arial" w:hAnsi="Arial" w:cs="Arial"/>
          <w:sz w:val="24"/>
          <w:szCs w:val="24"/>
        </w:rPr>
      </w:pPr>
      <w:r w:rsidRPr="00B946BB">
        <w:rPr>
          <w:rFonts w:ascii="Arial" w:hAnsi="Arial" w:cs="Arial"/>
          <w:sz w:val="24"/>
          <w:szCs w:val="24"/>
        </w:rPr>
        <w:t xml:space="preserve">Purvis, B., Mao, Y. and Robinson, D. (2018) ‘Three pillars of sustainability: in search of conceptual origins.’ </w:t>
      </w:r>
      <w:r w:rsidRPr="00B946BB">
        <w:rPr>
          <w:rFonts w:ascii="Arial" w:hAnsi="Arial" w:cs="Arial"/>
          <w:i/>
          <w:iCs/>
          <w:sz w:val="24"/>
          <w:szCs w:val="24"/>
        </w:rPr>
        <w:t>Sustainability Science</w:t>
      </w:r>
      <w:r w:rsidRPr="00B946BB">
        <w:rPr>
          <w:rFonts w:ascii="Arial" w:hAnsi="Arial" w:cs="Arial"/>
          <w:sz w:val="24"/>
          <w:szCs w:val="24"/>
        </w:rPr>
        <w:t xml:space="preserve">. ISSN 1862-4065 [Online] Available at: </w:t>
      </w:r>
      <w:hyperlink r:id="rId9" w:history="1">
        <w:r w:rsidRPr="00B946BB">
          <w:rPr>
            <w:rStyle w:val="Hyperlink"/>
            <w:rFonts w:ascii="Arial" w:hAnsi="Arial" w:cs="Arial"/>
            <w:sz w:val="24"/>
            <w:szCs w:val="24"/>
          </w:rPr>
          <w:t>http://eprints.whiterose.ac.uk/136715/7/Purvis2018_Article_ThreePillarsOfSustainabilityIn.pdf</w:t>
        </w:r>
      </w:hyperlink>
      <w:r w:rsidRPr="00B946BB">
        <w:rPr>
          <w:rFonts w:ascii="Arial" w:hAnsi="Arial" w:cs="Arial"/>
          <w:sz w:val="24"/>
          <w:szCs w:val="24"/>
        </w:rPr>
        <w:t xml:space="preserve"> (Accessed on: 01/12/19)</w:t>
      </w:r>
    </w:p>
    <w:p w14:paraId="6965B5BA" w14:textId="516E9654" w:rsidR="00C87AAF" w:rsidRPr="00B946BB" w:rsidRDefault="00C87AAF" w:rsidP="000712B2">
      <w:pPr>
        <w:tabs>
          <w:tab w:val="left" w:pos="3391"/>
        </w:tabs>
        <w:spacing w:line="240" w:lineRule="auto"/>
        <w:rPr>
          <w:rFonts w:ascii="Arial" w:hAnsi="Arial" w:cs="Arial"/>
          <w:sz w:val="24"/>
          <w:szCs w:val="24"/>
        </w:rPr>
      </w:pPr>
      <w:r w:rsidRPr="00B946BB">
        <w:rPr>
          <w:rFonts w:ascii="Arial" w:hAnsi="Arial" w:cs="Arial"/>
          <w:sz w:val="24"/>
          <w:szCs w:val="24"/>
        </w:rPr>
        <w:t xml:space="preserve">Reyes, </w:t>
      </w:r>
      <w:r w:rsidR="00BF1B6B" w:rsidRPr="00B946BB">
        <w:rPr>
          <w:rFonts w:ascii="Arial" w:hAnsi="Arial" w:cs="Arial"/>
          <w:sz w:val="24"/>
          <w:szCs w:val="24"/>
        </w:rPr>
        <w:t>C, M</w:t>
      </w:r>
      <w:r w:rsidRPr="00B946BB">
        <w:rPr>
          <w:rFonts w:ascii="Arial" w:hAnsi="Arial" w:cs="Arial"/>
          <w:sz w:val="24"/>
          <w:szCs w:val="24"/>
        </w:rPr>
        <w:t xml:space="preserve">; Albert, J,R; Quimba, F,M; Ortic, M,K. and Asis, R,D. (2018) ‘The Boracay Closure: Socioeconomic Consequences and Resilience Management’, </w:t>
      </w:r>
      <w:r w:rsidRPr="00B946BB">
        <w:rPr>
          <w:rFonts w:ascii="Arial" w:hAnsi="Arial" w:cs="Arial"/>
          <w:i/>
          <w:iCs/>
          <w:sz w:val="24"/>
          <w:szCs w:val="24"/>
        </w:rPr>
        <w:t>Philippine Institute for Development Studies.</w:t>
      </w:r>
      <w:r w:rsidRPr="00B946BB">
        <w:rPr>
          <w:rFonts w:ascii="Arial" w:hAnsi="Arial" w:cs="Arial"/>
          <w:sz w:val="24"/>
          <w:szCs w:val="24"/>
        </w:rPr>
        <w:t xml:space="preserve"> [Online] Available at: </w:t>
      </w:r>
      <w:hyperlink r:id="rId10" w:history="1">
        <w:r w:rsidRPr="00B946BB">
          <w:rPr>
            <w:rStyle w:val="Hyperlink"/>
            <w:rFonts w:ascii="Arial" w:hAnsi="Arial" w:cs="Arial"/>
            <w:sz w:val="24"/>
            <w:szCs w:val="24"/>
          </w:rPr>
          <w:t>https://pidswebs.pids.gov.ph/CDN/PUBLICATIONS/pidsdps1837.pdf</w:t>
        </w:r>
      </w:hyperlink>
      <w:r w:rsidRPr="00B946BB">
        <w:rPr>
          <w:rFonts w:ascii="Arial" w:hAnsi="Arial" w:cs="Arial"/>
          <w:sz w:val="24"/>
          <w:szCs w:val="24"/>
        </w:rPr>
        <w:t xml:space="preserve"> (Accessed on: 04/12/19).</w:t>
      </w:r>
    </w:p>
    <w:p w14:paraId="7DF99A66" w14:textId="1A11FC17" w:rsidR="00C87AAF" w:rsidRPr="00B946BB" w:rsidRDefault="00C87AAF" w:rsidP="00C9243D">
      <w:pPr>
        <w:rPr>
          <w:rFonts w:ascii="Arial" w:hAnsi="Arial" w:cs="Arial"/>
          <w:sz w:val="24"/>
          <w:szCs w:val="24"/>
        </w:rPr>
      </w:pPr>
      <w:r w:rsidRPr="00B946BB">
        <w:rPr>
          <w:rFonts w:ascii="Arial" w:hAnsi="Arial" w:cs="Arial"/>
          <w:sz w:val="24"/>
          <w:szCs w:val="24"/>
        </w:rPr>
        <w:t xml:space="preserve">Sloan, P; Legrand, W; Chen, </w:t>
      </w:r>
      <w:r w:rsidR="00BF1B6B" w:rsidRPr="00B946BB">
        <w:rPr>
          <w:rFonts w:ascii="Arial" w:hAnsi="Arial" w:cs="Arial"/>
          <w:sz w:val="24"/>
          <w:szCs w:val="24"/>
        </w:rPr>
        <w:t>J, S.</w:t>
      </w:r>
      <w:r w:rsidRPr="00B946BB">
        <w:rPr>
          <w:rFonts w:ascii="Arial" w:hAnsi="Arial" w:cs="Arial"/>
          <w:sz w:val="24"/>
          <w:szCs w:val="24"/>
        </w:rPr>
        <w:t xml:space="preserve"> (2009) </w:t>
      </w:r>
      <w:r w:rsidRPr="00B946BB">
        <w:rPr>
          <w:rFonts w:ascii="Arial" w:hAnsi="Arial" w:cs="Arial"/>
          <w:i/>
          <w:iCs/>
          <w:sz w:val="24"/>
          <w:szCs w:val="24"/>
        </w:rPr>
        <w:t xml:space="preserve">Sustainability in the Hospitality Industry, </w:t>
      </w:r>
      <w:r w:rsidRPr="00B946BB">
        <w:rPr>
          <w:rFonts w:ascii="Arial" w:hAnsi="Arial" w:cs="Arial"/>
          <w:sz w:val="24"/>
          <w:szCs w:val="24"/>
        </w:rPr>
        <w:t>Elsevier: Oxford.</w:t>
      </w:r>
    </w:p>
    <w:p w14:paraId="6BA54898" w14:textId="77777777" w:rsidR="00C87AAF" w:rsidRPr="00B946BB" w:rsidRDefault="00C87AAF" w:rsidP="00C9243D">
      <w:pPr>
        <w:rPr>
          <w:rFonts w:ascii="Arial" w:hAnsi="Arial" w:cs="Arial"/>
          <w:sz w:val="24"/>
          <w:szCs w:val="24"/>
        </w:rPr>
      </w:pPr>
      <w:r w:rsidRPr="00B946BB">
        <w:rPr>
          <w:rFonts w:ascii="Arial" w:hAnsi="Arial" w:cs="Arial"/>
          <w:sz w:val="24"/>
          <w:szCs w:val="24"/>
        </w:rPr>
        <w:t xml:space="preserve">Urry, J. (2002) </w:t>
      </w:r>
      <w:r w:rsidRPr="00B946BB">
        <w:rPr>
          <w:rFonts w:ascii="Arial" w:hAnsi="Arial" w:cs="Arial"/>
          <w:i/>
          <w:iCs/>
          <w:sz w:val="24"/>
          <w:szCs w:val="24"/>
        </w:rPr>
        <w:t xml:space="preserve">The Tourist Gaze, </w:t>
      </w:r>
      <w:r w:rsidRPr="00B946BB">
        <w:rPr>
          <w:rFonts w:ascii="Arial" w:hAnsi="Arial" w:cs="Arial"/>
          <w:sz w:val="24"/>
          <w:szCs w:val="24"/>
        </w:rPr>
        <w:t>2</w:t>
      </w:r>
      <w:r w:rsidRPr="00B946BB">
        <w:rPr>
          <w:rFonts w:ascii="Arial" w:hAnsi="Arial" w:cs="Arial"/>
          <w:sz w:val="24"/>
          <w:szCs w:val="24"/>
          <w:vertAlign w:val="superscript"/>
        </w:rPr>
        <w:t>nd</w:t>
      </w:r>
      <w:r w:rsidRPr="00B946BB">
        <w:rPr>
          <w:rFonts w:ascii="Arial" w:hAnsi="Arial" w:cs="Arial"/>
          <w:sz w:val="24"/>
          <w:szCs w:val="24"/>
        </w:rPr>
        <w:t xml:space="preserve"> Ed. Sage: London.</w:t>
      </w:r>
    </w:p>
    <w:p w14:paraId="3EDECDB4" w14:textId="29AA5E0A" w:rsidR="00C87AAF" w:rsidRDefault="00C87AAF" w:rsidP="000712B2">
      <w:pPr>
        <w:tabs>
          <w:tab w:val="left" w:pos="3391"/>
        </w:tabs>
        <w:spacing w:line="240" w:lineRule="auto"/>
        <w:rPr>
          <w:rFonts w:ascii="Arial" w:hAnsi="Arial" w:cs="Arial"/>
          <w:sz w:val="24"/>
          <w:szCs w:val="24"/>
        </w:rPr>
      </w:pPr>
      <w:r w:rsidRPr="00B946BB">
        <w:rPr>
          <w:rFonts w:ascii="Arial" w:hAnsi="Arial" w:cs="Arial"/>
          <w:sz w:val="24"/>
          <w:szCs w:val="24"/>
        </w:rPr>
        <w:t xml:space="preserve">World Commission on Environment and Development (1987) </w:t>
      </w:r>
      <w:r w:rsidRPr="00B946BB">
        <w:rPr>
          <w:rFonts w:ascii="Arial" w:hAnsi="Arial" w:cs="Arial"/>
          <w:i/>
          <w:iCs/>
          <w:sz w:val="24"/>
          <w:szCs w:val="24"/>
        </w:rPr>
        <w:t>Our Common Future,</w:t>
      </w:r>
      <w:r w:rsidRPr="00B946BB">
        <w:rPr>
          <w:rFonts w:ascii="Arial" w:hAnsi="Arial" w:cs="Arial"/>
          <w:sz w:val="24"/>
          <w:szCs w:val="24"/>
        </w:rPr>
        <w:t xml:space="preserve"> Oxford: Oxford University Press. [Online] Available at: </w:t>
      </w:r>
      <w:hyperlink r:id="rId11" w:history="1">
        <w:r w:rsidRPr="00B946BB">
          <w:rPr>
            <w:rStyle w:val="Hyperlink"/>
            <w:rFonts w:ascii="Arial" w:hAnsi="Arial" w:cs="Arial"/>
            <w:sz w:val="24"/>
            <w:szCs w:val="24"/>
          </w:rPr>
          <w:t>file:///C:/Users/molly/Downloads/our_common_futurebrundtlandreport1987.pdf</w:t>
        </w:r>
      </w:hyperlink>
      <w:r w:rsidRPr="00B946BB">
        <w:rPr>
          <w:rFonts w:ascii="Arial" w:hAnsi="Arial" w:cs="Arial"/>
          <w:sz w:val="24"/>
          <w:szCs w:val="24"/>
        </w:rPr>
        <w:t xml:space="preserve"> (Accessed on: 01/12/19)</w:t>
      </w:r>
    </w:p>
    <w:p w14:paraId="07E662A1" w14:textId="5A76297D" w:rsidR="004A7A2C" w:rsidRDefault="004A7A2C" w:rsidP="000712B2">
      <w:pPr>
        <w:tabs>
          <w:tab w:val="left" w:pos="3391"/>
        </w:tabs>
        <w:spacing w:line="240" w:lineRule="auto"/>
        <w:rPr>
          <w:rFonts w:ascii="Arial" w:hAnsi="Arial" w:cs="Arial"/>
          <w:sz w:val="24"/>
          <w:szCs w:val="24"/>
        </w:rPr>
      </w:pPr>
      <w:r>
        <w:rPr>
          <w:rFonts w:ascii="Arial" w:hAnsi="Arial" w:cs="Arial"/>
          <w:sz w:val="24"/>
          <w:szCs w:val="24"/>
        </w:rPr>
        <w:t xml:space="preserve">BBC Bitesize (2019) </w:t>
      </w:r>
      <w:r>
        <w:rPr>
          <w:rFonts w:ascii="Arial" w:hAnsi="Arial" w:cs="Arial"/>
          <w:i/>
          <w:iCs/>
          <w:sz w:val="24"/>
          <w:szCs w:val="24"/>
        </w:rPr>
        <w:t>Tourism in the UK</w:t>
      </w:r>
      <w:r w:rsidR="00EE7B1B">
        <w:rPr>
          <w:rFonts w:ascii="Arial" w:hAnsi="Arial" w:cs="Arial"/>
          <w:i/>
          <w:iCs/>
          <w:sz w:val="24"/>
          <w:szCs w:val="24"/>
        </w:rPr>
        <w:t xml:space="preserve">. </w:t>
      </w:r>
      <w:r w:rsidR="00EE7B1B">
        <w:rPr>
          <w:rFonts w:ascii="Arial" w:hAnsi="Arial" w:cs="Arial"/>
          <w:sz w:val="24"/>
          <w:szCs w:val="24"/>
        </w:rPr>
        <w:t>[Online] Available at:</w:t>
      </w:r>
      <w:r w:rsidR="00EE7B1B" w:rsidRPr="00EE7B1B">
        <w:t xml:space="preserve"> </w:t>
      </w:r>
      <w:hyperlink r:id="rId12" w:history="1">
        <w:r w:rsidR="00EE7B1B">
          <w:rPr>
            <w:rStyle w:val="Hyperlink"/>
          </w:rPr>
          <w:t>https://www.bbc.co.uk/bitesize/guides/zp6tj6f/revision/1</w:t>
        </w:r>
      </w:hyperlink>
      <w:r w:rsidR="00EE7B1B">
        <w:rPr>
          <w:rFonts w:ascii="Arial" w:hAnsi="Arial" w:cs="Arial"/>
          <w:sz w:val="24"/>
          <w:szCs w:val="24"/>
        </w:rPr>
        <w:t xml:space="preserve"> (Accessed on: 05/11/19)</w:t>
      </w:r>
      <w:r w:rsidR="00B13C5D">
        <w:rPr>
          <w:rFonts w:ascii="Arial" w:hAnsi="Arial" w:cs="Arial"/>
          <w:sz w:val="24"/>
          <w:szCs w:val="24"/>
        </w:rPr>
        <w:t>.</w:t>
      </w:r>
    </w:p>
    <w:p w14:paraId="4404B5EC" w14:textId="4BFE93F5" w:rsidR="00EE7B1B" w:rsidRDefault="00B13C5D" w:rsidP="000712B2">
      <w:pPr>
        <w:tabs>
          <w:tab w:val="left" w:pos="3391"/>
        </w:tabs>
        <w:spacing w:line="240" w:lineRule="auto"/>
        <w:rPr>
          <w:rFonts w:ascii="Arial" w:hAnsi="Arial" w:cs="Arial"/>
          <w:sz w:val="24"/>
          <w:szCs w:val="24"/>
        </w:rPr>
      </w:pPr>
      <w:r>
        <w:rPr>
          <w:rFonts w:ascii="Arial" w:hAnsi="Arial" w:cs="Arial"/>
          <w:sz w:val="24"/>
          <w:szCs w:val="24"/>
        </w:rPr>
        <w:t xml:space="preserve">National Geographic (2019) </w:t>
      </w:r>
      <w:r>
        <w:rPr>
          <w:rFonts w:ascii="Arial" w:hAnsi="Arial" w:cs="Arial"/>
          <w:i/>
          <w:iCs/>
          <w:sz w:val="24"/>
          <w:szCs w:val="24"/>
        </w:rPr>
        <w:t xml:space="preserve">Globalization. </w:t>
      </w:r>
      <w:r>
        <w:rPr>
          <w:rFonts w:ascii="Arial" w:hAnsi="Arial" w:cs="Arial"/>
          <w:sz w:val="24"/>
          <w:szCs w:val="24"/>
        </w:rPr>
        <w:t>[Online] Available at:</w:t>
      </w:r>
      <w:r w:rsidRPr="00B13C5D">
        <w:t xml:space="preserve"> </w:t>
      </w:r>
      <w:hyperlink r:id="rId13" w:history="1">
        <w:r>
          <w:rPr>
            <w:rStyle w:val="Hyperlink"/>
          </w:rPr>
          <w:t>https://www.nationalgeographic.org/encyclopedia/globalization/</w:t>
        </w:r>
      </w:hyperlink>
      <w:r>
        <w:rPr>
          <w:rFonts w:ascii="Arial" w:hAnsi="Arial" w:cs="Arial"/>
          <w:sz w:val="24"/>
          <w:szCs w:val="24"/>
        </w:rPr>
        <w:t xml:space="preserve"> (Accessed on: 05/12/19).</w:t>
      </w:r>
    </w:p>
    <w:p w14:paraId="007EF2AD" w14:textId="7FA3BBD3" w:rsidR="002A0846" w:rsidRPr="00FC43FE" w:rsidRDefault="002A0846" w:rsidP="000712B2">
      <w:pPr>
        <w:tabs>
          <w:tab w:val="left" w:pos="3391"/>
        </w:tabs>
        <w:spacing w:line="240" w:lineRule="auto"/>
        <w:rPr>
          <w:rFonts w:ascii="Arial" w:hAnsi="Arial" w:cs="Arial"/>
          <w:sz w:val="24"/>
          <w:szCs w:val="24"/>
        </w:rPr>
      </w:pPr>
      <w:r>
        <w:rPr>
          <w:rFonts w:ascii="Arial" w:hAnsi="Arial" w:cs="Arial"/>
          <w:sz w:val="24"/>
          <w:szCs w:val="24"/>
        </w:rPr>
        <w:t>Manuel, B,</w:t>
      </w:r>
      <w:r w:rsidR="00FC43FE">
        <w:rPr>
          <w:rFonts w:ascii="Arial" w:hAnsi="Arial" w:cs="Arial"/>
          <w:sz w:val="24"/>
          <w:szCs w:val="24"/>
        </w:rPr>
        <w:t xml:space="preserve"> </w:t>
      </w:r>
      <w:r>
        <w:rPr>
          <w:rFonts w:ascii="Arial" w:hAnsi="Arial" w:cs="Arial"/>
          <w:sz w:val="24"/>
          <w:szCs w:val="24"/>
        </w:rPr>
        <w:t xml:space="preserve">B. and </w:t>
      </w:r>
      <w:r w:rsidR="00FC43FE">
        <w:rPr>
          <w:rFonts w:ascii="Arial" w:hAnsi="Arial" w:cs="Arial"/>
          <w:sz w:val="24"/>
          <w:szCs w:val="24"/>
        </w:rPr>
        <w:t xml:space="preserve">Lawson, F. (1977) </w:t>
      </w:r>
      <w:r w:rsidR="00FC43FE">
        <w:rPr>
          <w:rFonts w:ascii="Arial" w:hAnsi="Arial" w:cs="Arial"/>
          <w:i/>
          <w:iCs/>
          <w:sz w:val="24"/>
          <w:szCs w:val="24"/>
        </w:rPr>
        <w:t xml:space="preserve">Tourism and Recreational Development. </w:t>
      </w:r>
      <w:r w:rsidR="00FC43FE">
        <w:rPr>
          <w:rFonts w:ascii="Arial" w:hAnsi="Arial" w:cs="Arial"/>
          <w:sz w:val="24"/>
          <w:szCs w:val="24"/>
        </w:rPr>
        <w:t>Architectural Press: London.</w:t>
      </w:r>
    </w:p>
    <w:sectPr w:rsidR="002A0846" w:rsidRPr="00FC43FE" w:rsidSect="0044534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12B2"/>
    <w:rsid w:val="00004B01"/>
    <w:rsid w:val="00015125"/>
    <w:rsid w:val="0005175C"/>
    <w:rsid w:val="000712B2"/>
    <w:rsid w:val="00137222"/>
    <w:rsid w:val="002223C7"/>
    <w:rsid w:val="00223BF7"/>
    <w:rsid w:val="002374E5"/>
    <w:rsid w:val="002A0846"/>
    <w:rsid w:val="00352A3E"/>
    <w:rsid w:val="00445342"/>
    <w:rsid w:val="004576BB"/>
    <w:rsid w:val="00494880"/>
    <w:rsid w:val="004A7A2C"/>
    <w:rsid w:val="004E69BC"/>
    <w:rsid w:val="005077DF"/>
    <w:rsid w:val="00587116"/>
    <w:rsid w:val="00627E8C"/>
    <w:rsid w:val="00684E7B"/>
    <w:rsid w:val="0070551E"/>
    <w:rsid w:val="0074363B"/>
    <w:rsid w:val="007466D5"/>
    <w:rsid w:val="007B1152"/>
    <w:rsid w:val="0084670F"/>
    <w:rsid w:val="00A5588B"/>
    <w:rsid w:val="00AA4AE0"/>
    <w:rsid w:val="00AC6972"/>
    <w:rsid w:val="00B13C5D"/>
    <w:rsid w:val="00B946BB"/>
    <w:rsid w:val="00BF1B6B"/>
    <w:rsid w:val="00C87AAF"/>
    <w:rsid w:val="00C9243D"/>
    <w:rsid w:val="00CD2EBA"/>
    <w:rsid w:val="00CE07FB"/>
    <w:rsid w:val="00D75C5D"/>
    <w:rsid w:val="00DC157C"/>
    <w:rsid w:val="00EE7B1B"/>
    <w:rsid w:val="00FC43FE"/>
    <w:rsid w:val="00FE0C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A40CB"/>
  <w15:chartTrackingRefBased/>
  <w15:docId w15:val="{D94D2D77-D167-43C3-B990-2D09F58A48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12B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12B2"/>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0712B2"/>
    <w:rPr>
      <w:color w:val="0000FF"/>
      <w:u w:val="single"/>
    </w:rPr>
  </w:style>
  <w:style w:type="character" w:styleId="UnresolvedMention">
    <w:name w:val="Unresolved Mention"/>
    <w:basedOn w:val="DefaultParagraphFont"/>
    <w:uiPriority w:val="99"/>
    <w:semiHidden/>
    <w:unhideWhenUsed/>
    <w:rsid w:val="00CD2EBA"/>
    <w:rPr>
      <w:color w:val="605E5C"/>
      <w:shd w:val="clear" w:color="auto" w:fill="E1DFDD"/>
    </w:rPr>
  </w:style>
  <w:style w:type="paragraph" w:styleId="NoSpacing">
    <w:name w:val="No Spacing"/>
    <w:link w:val="NoSpacingChar"/>
    <w:uiPriority w:val="1"/>
    <w:qFormat/>
    <w:rsid w:val="0044534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45342"/>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276279066_Tourism_development_timeline_in_Langkawi_Island_Malaysia" TargetMode="External"/><Relationship Id="rId13" Type="http://schemas.openxmlformats.org/officeDocument/2006/relationships/hyperlink" Target="https://www.nationalgeographic.org/encyclopedia/globalization/" TargetMode="External"/><Relationship Id="rId3" Type="http://schemas.openxmlformats.org/officeDocument/2006/relationships/settings" Target="settings.xml"/><Relationship Id="rId7" Type="http://schemas.openxmlformats.org/officeDocument/2006/relationships/hyperlink" Target="https://www.telegraph.co.uk/travel/destinations/asia/philippines/articles/boracay-closure-when-will-island-reopen/" TargetMode="External"/><Relationship Id="rId12" Type="http://schemas.openxmlformats.org/officeDocument/2006/relationships/hyperlink" Target="https://www.bbc.co.uk/bitesize/guides/zp6tj6f/revision/1"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theguardian.com/world/2018/oct/26/party-island-of-boracay-reopens-minus-drinking-smoking-and-raw-sewage" TargetMode="External"/><Relationship Id="rId11" Type="http://schemas.openxmlformats.org/officeDocument/2006/relationships/hyperlink" Target="file:///C:\Users\molly\Downloads\our_common_futurebrundtlandreport1987.pdf" TargetMode="External"/><Relationship Id="rId5" Type="http://schemas.openxmlformats.org/officeDocument/2006/relationships/hyperlink" Target="file:///C:/Users/molly/Downloads/Carter2004SporadicGrowth.pdf" TargetMode="External"/><Relationship Id="rId15" Type="http://schemas.openxmlformats.org/officeDocument/2006/relationships/theme" Target="theme/theme1.xml"/><Relationship Id="rId10" Type="http://schemas.openxmlformats.org/officeDocument/2006/relationships/hyperlink" Target="https://pidswebs.pids.gov.ph/CDN/PUBLICATIONS/pidsdps1837.pdf" TargetMode="External"/><Relationship Id="rId4" Type="http://schemas.openxmlformats.org/officeDocument/2006/relationships/webSettings" Target="webSettings.xml"/><Relationship Id="rId9" Type="http://schemas.openxmlformats.org/officeDocument/2006/relationships/hyperlink" Target="http://eprints.whiterose.ac.uk/136715/7/Purvis2018_Article_ThreePillarsOfSustainabilityIn.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05/12/19</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2778</TotalTime>
  <Pages>6</Pages>
  <Words>1597</Words>
  <Characters>9107</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Resort Tourism</vt:lpstr>
    </vt:vector>
  </TitlesOfParts>
  <Company>1700776</Company>
  <LinksUpToDate>false</LinksUpToDate>
  <CharactersWithSpaces>10683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Resort Tourism</dc:title>
  <dc:subject/>
  <dc:creator>Molly Thomas</dc:creator>
  <cp:keywords/>
  <dc:description/>
  <cp:lastModifiedBy>Molly Thomas</cp:lastModifiedBy>
  <cp:revision>21</cp:revision>
  <dcterms:created xsi:type="dcterms:W3CDTF">2019-12-01T13:47:00Z</dcterms:created>
  <dcterms:modified xsi:type="dcterms:W3CDTF">2019-12-05T16:40:00Z</dcterms:modified>
</cp:coreProperties>
</file>