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9F79A" w14:textId="77777777" w:rsidR="000C685B" w:rsidRPr="002018AC" w:rsidRDefault="000C685B" w:rsidP="00695D8D">
      <w:pPr>
        <w:spacing w:line="276" w:lineRule="auto"/>
        <w:jc w:val="center"/>
        <w:rPr>
          <w:rFonts w:cs="Times New Roman"/>
          <w:b/>
          <w:sz w:val="28"/>
          <w:szCs w:val="28"/>
        </w:rPr>
      </w:pPr>
      <w:bookmarkStart w:id="0" w:name="_Hlk227592314"/>
    </w:p>
    <w:sdt>
      <w:sdtPr>
        <w:rPr>
          <w:rFonts w:eastAsia="SimSun" w:cs="Times New Roman"/>
          <w:caps/>
          <w:color w:val="156082" w:themeColor="accent1"/>
          <w:sz w:val="56"/>
          <w:szCs w:val="56"/>
          <w14:ligatures w14:val="none"/>
        </w:rPr>
        <w:alias w:val="Title"/>
        <w:tag w:val=""/>
        <w:id w:val="1735040861"/>
        <w:placeholder>
          <w:docPart w:val="EA94EE93863D4F73BBF9520F0019F31A"/>
        </w:placeholder>
        <w:dataBinding w:prefixMappings="xmlns:ns0='http://purl.org/dc/elements/1.1/' xmlns:ns1='http://schemas.openxmlformats.org/package/2006/metadata/core-properties' " w:xpath="/ns1:coreProperties[1]/ns0:title[1]" w:storeItemID="{6C3C8BC8-F283-45AE-878A-BAB7291924A1}"/>
        <w:text/>
      </w:sdtPr>
      <w:sdtEndPr/>
      <w:sdtContent>
        <w:p w14:paraId="42FA368E" w14:textId="4A0155D6" w:rsidR="000A43A6" w:rsidRPr="009D31CC" w:rsidRDefault="00EF1614" w:rsidP="000A43A6">
          <w:pPr>
            <w:pBdr>
              <w:top w:val="single" w:sz="6" w:space="23" w:color="156082" w:themeColor="accent1"/>
              <w:bottom w:val="single" w:sz="6" w:space="6" w:color="156082" w:themeColor="accent1"/>
            </w:pBdr>
            <w:spacing w:after="240"/>
            <w:jc w:val="center"/>
            <w:rPr>
              <w:rFonts w:eastAsiaTheme="majorEastAsia" w:cs="Times New Roman"/>
              <w:caps/>
              <w:color w:val="156082" w:themeColor="accent1"/>
              <w:sz w:val="72"/>
              <w:szCs w:val="72"/>
            </w:rPr>
          </w:pPr>
          <w:r w:rsidRPr="009D31CC">
            <w:rPr>
              <w:rFonts w:eastAsia="SimSun" w:cs="Times New Roman"/>
              <w:caps/>
              <w:color w:val="156082" w:themeColor="accent1"/>
              <w:sz w:val="56"/>
              <w:szCs w:val="56"/>
              <w14:ligatures w14:val="none"/>
            </w:rPr>
            <w:t xml:space="preserve">financial performance analasys and investment </w:t>
          </w:r>
          <w:proofErr w:type="gramStart"/>
          <w:r w:rsidR="009D31CC">
            <w:rPr>
              <w:rFonts w:eastAsia="SimSun" w:cs="Times New Roman"/>
              <w:caps/>
              <w:color w:val="156082" w:themeColor="accent1"/>
              <w:sz w:val="56"/>
              <w:szCs w:val="56"/>
              <w14:ligatures w14:val="none"/>
            </w:rPr>
            <w:t>aprisal</w:t>
          </w:r>
          <w:r w:rsidRPr="009D31CC">
            <w:rPr>
              <w:rFonts w:eastAsia="SimSun" w:cs="Times New Roman"/>
              <w:caps/>
              <w:color w:val="156082" w:themeColor="accent1"/>
              <w:sz w:val="56"/>
              <w:szCs w:val="56"/>
              <w14:ligatures w14:val="none"/>
            </w:rPr>
            <w:t xml:space="preserve"> :</w:t>
          </w:r>
          <w:proofErr w:type="gramEnd"/>
          <w:r w:rsidRPr="009D31CC">
            <w:rPr>
              <w:rFonts w:eastAsia="SimSun" w:cs="Times New Roman"/>
              <w:caps/>
              <w:color w:val="156082" w:themeColor="accent1"/>
              <w:sz w:val="56"/>
              <w:szCs w:val="56"/>
              <w14:ligatures w14:val="none"/>
            </w:rPr>
            <w:t xml:space="preserve"> A Case study of vodafone and beard plc</w:t>
          </w:r>
        </w:p>
      </w:sdtContent>
    </w:sdt>
    <w:p w14:paraId="140BC4F9" w14:textId="13C6C5AC" w:rsidR="000A43A6" w:rsidRPr="002018AC" w:rsidRDefault="00392E06" w:rsidP="000A43A6">
      <w:pPr>
        <w:ind w:left="360"/>
        <w:jc w:val="center"/>
        <w:rPr>
          <w:rFonts w:cs="Times New Roman"/>
          <w:color w:val="156082" w:themeColor="accent1"/>
          <w:sz w:val="28"/>
          <w:szCs w:val="28"/>
        </w:rPr>
      </w:pPr>
      <w:sdt>
        <w:sdtPr>
          <w:rPr>
            <w:rFonts w:cs="Times New Roman"/>
            <w:color w:val="156082" w:themeColor="accent1"/>
            <w:sz w:val="40"/>
            <w:szCs w:val="40"/>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EF1614" w:rsidRPr="009D31CC">
            <w:rPr>
              <w:rFonts w:cs="Times New Roman"/>
              <w:color w:val="156082" w:themeColor="accent1"/>
              <w:sz w:val="40"/>
              <w:szCs w:val="40"/>
            </w:rPr>
            <w:t>Finance for Business Managers BMMB7005</w:t>
          </w:r>
        </w:sdtContent>
      </w:sdt>
      <w:r w:rsidR="000A43A6" w:rsidRPr="002018AC">
        <w:rPr>
          <w:rFonts w:cs="Times New Roman"/>
          <w:noProof/>
          <w:color w:val="156082" w:themeColor="accent1"/>
          <w:lang w:eastAsia="en-GB"/>
        </w:rPr>
        <mc:AlternateContent>
          <mc:Choice Requires="wps">
            <w:drawing>
              <wp:anchor distT="0" distB="0" distL="114300" distR="114300" simplePos="0" relativeHeight="251659264" behindDoc="0" locked="0" layoutInCell="1" allowOverlap="1" wp14:anchorId="1021D553" wp14:editId="7D0180A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aps/>
                                <w:color w:val="156082" w:themeColor="accent1"/>
                                <w:sz w:val="28"/>
                                <w:szCs w:val="28"/>
                                <w14:ligatures w14:val="none"/>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EndPr/>
                            <w:sdtContent>
                              <w:p w14:paraId="0C3157D5" w14:textId="504DF757" w:rsidR="000A43A6" w:rsidRDefault="000A43A6" w:rsidP="000A43A6">
                                <w:pPr>
                                  <w:spacing w:after="40"/>
                                  <w:jc w:val="center"/>
                                  <w:rPr>
                                    <w:caps/>
                                    <w:color w:val="156082" w:themeColor="accent1"/>
                                    <w:sz w:val="28"/>
                                    <w:szCs w:val="28"/>
                                  </w:rPr>
                                </w:pPr>
                                <w:r>
                                  <w:rPr>
                                    <w:rFonts w:asciiTheme="minorHAnsi" w:hAnsiTheme="minorHAnsi"/>
                                    <w:caps/>
                                    <w:color w:val="156082" w:themeColor="accent1"/>
                                    <w:sz w:val="28"/>
                                    <w:szCs w:val="28"/>
                                    <w:lang w:val="en-US"/>
                                    <w14:ligatures w14:val="none"/>
                                  </w:rPr>
                                  <w:t>April 20, 2026</w:t>
                                </w:r>
                              </w:p>
                            </w:sdtContent>
                          </w:sdt>
                          <w:p w14:paraId="5C034C36" w14:textId="24CE8EB7" w:rsidR="000A43A6" w:rsidRDefault="00392E06" w:rsidP="00C15717">
                            <w:pPr>
                              <w:jc w:val="center"/>
                              <w:rPr>
                                <w:color w:val="156082" w:themeColor="accent1"/>
                              </w:rPr>
                            </w:pPr>
                            <w:sdt>
                              <w:sdtPr>
                                <w:rPr>
                                  <w:rFonts w:asciiTheme="minorHAnsi" w:hAnsiTheme="minorHAnsi"/>
                                  <w:caps/>
                                  <w:color w:val="156082" w:themeColor="accent1"/>
                                  <w:sz w:val="28"/>
                                  <w:szCs w:val="28"/>
                                  <w14:ligatures w14:val="non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5717">
                                  <w:rPr>
                                    <w:rFonts w:asciiTheme="minorHAnsi" w:hAnsiTheme="minorHAnsi"/>
                                    <w:caps/>
                                    <w:color w:val="156082" w:themeColor="accent1"/>
                                    <w:sz w:val="28"/>
                                    <w:szCs w:val="28"/>
                                    <w14:ligatures w14:val="none"/>
                                  </w:rPr>
                                  <w:t>uNIVERSITY OF WALES TRINITY SAINT DAVID</w:t>
                                </w:r>
                              </w:sdtContent>
                            </w:sdt>
                          </w:p>
                          <w:p w14:paraId="058F988D" w14:textId="77777777" w:rsidR="000A43A6" w:rsidRDefault="00392E06" w:rsidP="000A43A6">
                            <w:pPr>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A43A6">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21D553"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rFonts w:asciiTheme="minorHAnsi" w:hAnsiTheme="minorHAnsi"/>
                          <w:caps/>
                          <w:color w:val="156082" w:themeColor="accent1"/>
                          <w:sz w:val="28"/>
                          <w:szCs w:val="28"/>
                          <w14:ligatures w14:val="none"/>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EndPr/>
                      <w:sdtContent>
                        <w:p w14:paraId="0C3157D5" w14:textId="504DF757" w:rsidR="000A43A6" w:rsidRDefault="000A43A6" w:rsidP="000A43A6">
                          <w:pPr>
                            <w:spacing w:after="40"/>
                            <w:jc w:val="center"/>
                            <w:rPr>
                              <w:caps/>
                              <w:color w:val="156082" w:themeColor="accent1"/>
                              <w:sz w:val="28"/>
                              <w:szCs w:val="28"/>
                            </w:rPr>
                          </w:pPr>
                          <w:r>
                            <w:rPr>
                              <w:rFonts w:asciiTheme="minorHAnsi" w:hAnsiTheme="minorHAnsi"/>
                              <w:caps/>
                              <w:color w:val="156082" w:themeColor="accent1"/>
                              <w:sz w:val="28"/>
                              <w:szCs w:val="28"/>
                              <w:lang w:val="en-US"/>
                              <w14:ligatures w14:val="none"/>
                            </w:rPr>
                            <w:t>April 20, 2026</w:t>
                          </w:r>
                        </w:p>
                      </w:sdtContent>
                    </w:sdt>
                    <w:p w14:paraId="5C034C36" w14:textId="24CE8EB7" w:rsidR="000A43A6" w:rsidRDefault="00392E06" w:rsidP="00C15717">
                      <w:pPr>
                        <w:jc w:val="center"/>
                        <w:rPr>
                          <w:color w:val="156082" w:themeColor="accent1"/>
                        </w:rPr>
                      </w:pPr>
                      <w:sdt>
                        <w:sdtPr>
                          <w:rPr>
                            <w:rFonts w:asciiTheme="minorHAnsi" w:hAnsiTheme="minorHAnsi"/>
                            <w:caps/>
                            <w:color w:val="156082" w:themeColor="accent1"/>
                            <w:sz w:val="28"/>
                            <w:szCs w:val="28"/>
                            <w14:ligatures w14:val="non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15717">
                            <w:rPr>
                              <w:rFonts w:asciiTheme="minorHAnsi" w:hAnsiTheme="minorHAnsi"/>
                              <w:caps/>
                              <w:color w:val="156082" w:themeColor="accent1"/>
                              <w:sz w:val="28"/>
                              <w:szCs w:val="28"/>
                              <w14:ligatures w14:val="none"/>
                            </w:rPr>
                            <w:t>uNIVERSITY OF WALES TRINITY SAINT DAVID</w:t>
                          </w:r>
                        </w:sdtContent>
                      </w:sdt>
                    </w:p>
                    <w:p w14:paraId="058F988D" w14:textId="77777777" w:rsidR="000A43A6" w:rsidRDefault="00392E06" w:rsidP="000A43A6">
                      <w:pPr>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A43A6">
                            <w:rPr>
                              <w:color w:val="156082" w:themeColor="accent1"/>
                            </w:rPr>
                            <w:t xml:space="preserve">     </w:t>
                          </w:r>
                        </w:sdtContent>
                      </w:sdt>
                    </w:p>
                  </w:txbxContent>
                </v:textbox>
                <w10:wrap anchorx="margin" anchory="page"/>
              </v:shape>
            </w:pict>
          </mc:Fallback>
        </mc:AlternateContent>
      </w:r>
    </w:p>
    <w:p w14:paraId="43758FFE" w14:textId="3F1598C1" w:rsidR="000A43A6" w:rsidRPr="00EF1614" w:rsidRDefault="000A43A6" w:rsidP="00EF1614">
      <w:pPr>
        <w:spacing w:before="480"/>
        <w:jc w:val="center"/>
        <w:rPr>
          <w:rFonts w:cs="Times New Roman"/>
          <w:color w:val="156082" w:themeColor="accent1"/>
        </w:rPr>
      </w:pPr>
      <w:r w:rsidRPr="009D31CC">
        <w:rPr>
          <w:rFonts w:cs="Times New Roman"/>
          <w:color w:val="156082" w:themeColor="accent1"/>
          <w:sz w:val="36"/>
          <w:szCs w:val="32"/>
        </w:rPr>
        <w:t>Name: Sayam Ahmed – 2519728</w:t>
      </w:r>
      <w:r w:rsidRPr="002018AC">
        <w:rPr>
          <w:rFonts w:cs="Times New Roman"/>
        </w:rPr>
        <w:br w:type="page"/>
      </w:r>
    </w:p>
    <w:p w14:paraId="1BB024FE" w14:textId="77777777" w:rsidR="000C685B" w:rsidRPr="002018AC" w:rsidRDefault="000C685B" w:rsidP="00695D8D">
      <w:pPr>
        <w:spacing w:line="276" w:lineRule="auto"/>
        <w:rPr>
          <w:rFonts w:cs="Times New Roman"/>
          <w:lang w:val="en-AU"/>
        </w:rPr>
      </w:pPr>
    </w:p>
    <w:p w14:paraId="682B14E0" w14:textId="77777777" w:rsidR="00A77462" w:rsidRPr="002018AC" w:rsidRDefault="00A77462" w:rsidP="00695D8D">
      <w:pPr>
        <w:spacing w:line="276" w:lineRule="auto"/>
        <w:jc w:val="center"/>
        <w:rPr>
          <w:rFonts w:cs="Times New Roman"/>
          <w:b/>
          <w:sz w:val="40"/>
          <w:lang w:val="en-AU"/>
        </w:rPr>
      </w:pPr>
      <w:r w:rsidRPr="002018AC">
        <w:rPr>
          <w:rFonts w:cs="Times New Roman"/>
          <w:b/>
          <w:sz w:val="40"/>
          <w:lang w:val="en-AU"/>
        </w:rPr>
        <w:t>Executive summary</w:t>
      </w:r>
    </w:p>
    <w:p w14:paraId="57CCCF35" w14:textId="39F95133" w:rsidR="00A77462" w:rsidRPr="002018AC" w:rsidRDefault="00A77462" w:rsidP="00695D8D">
      <w:pPr>
        <w:spacing w:line="276" w:lineRule="auto"/>
        <w:rPr>
          <w:rFonts w:cs="Times New Roman"/>
          <w:lang w:val="en-US"/>
        </w:rPr>
      </w:pPr>
      <w:r w:rsidRPr="002018AC">
        <w:rPr>
          <w:rFonts w:cs="Times New Roman"/>
          <w:lang w:val="en-US"/>
        </w:rPr>
        <w:t xml:space="preserve">This report assesses the financial performance and investment decision-making based on two business analyses that are interrelated. Part 1 analyses Vodafone Group plc in terms of FY2025 and re-presented FY2024 financial-statement data. The ratio analysis indicates that the gross margin of Vodafone has been generally stable, whereas statutory profitability has declined drastically as </w:t>
      </w:r>
      <w:r w:rsidRPr="002018AC">
        <w:rPr>
          <w:rFonts w:cs="Times New Roman"/>
          <w:bCs/>
          <w:lang w:val="en-US"/>
        </w:rPr>
        <w:t>operating profit shifted to an operating loss of €411 million</w:t>
      </w:r>
      <w:r w:rsidRPr="002018AC">
        <w:rPr>
          <w:rFonts w:cs="Times New Roman"/>
          <w:lang w:val="en-US"/>
        </w:rPr>
        <w:t xml:space="preserve">, which is primarily due to impairment charges. There was an improvement in liquidity on a continuing-operations basis, as the current ratio increased to 1.26, as compared to 0.92, </w:t>
      </w:r>
      <w:r w:rsidRPr="002018AC">
        <w:rPr>
          <w:rFonts w:cs="Times New Roman"/>
          <w:bCs/>
          <w:lang w:val="en-US"/>
        </w:rPr>
        <w:t>but this</w:t>
      </w:r>
      <w:r w:rsidRPr="002018AC">
        <w:rPr>
          <w:rFonts w:cs="Times New Roman"/>
          <w:lang w:val="en-US"/>
        </w:rPr>
        <w:t xml:space="preserve"> must be viewed with caution since disposals and held-for-sale classifications have an impact on comparability. The outcomes of efficiency indicate fewer debtor days, longer creditor days, and </w:t>
      </w:r>
      <w:r w:rsidRPr="002018AC">
        <w:rPr>
          <w:rFonts w:cs="Times New Roman"/>
          <w:bCs/>
          <w:lang w:val="en-US"/>
        </w:rPr>
        <w:t>slightly</w:t>
      </w:r>
      <w:r w:rsidRPr="002018AC">
        <w:rPr>
          <w:rFonts w:cs="Times New Roman"/>
          <w:lang w:val="en-US"/>
        </w:rPr>
        <w:t xml:space="preserve"> worse stock turnover. The gearing </w:t>
      </w:r>
      <w:r w:rsidRPr="002018AC">
        <w:rPr>
          <w:rFonts w:cs="Times New Roman"/>
          <w:bCs/>
          <w:lang w:val="en-US"/>
        </w:rPr>
        <w:t>position</w:t>
      </w:r>
      <w:r w:rsidRPr="002018AC">
        <w:rPr>
          <w:rFonts w:cs="Times New Roman"/>
          <w:lang w:val="en-US"/>
        </w:rPr>
        <w:t xml:space="preserve"> is mixed: </w:t>
      </w:r>
      <w:r w:rsidRPr="002018AC">
        <w:rPr>
          <w:rFonts w:cs="Times New Roman"/>
          <w:bCs/>
          <w:lang w:val="en-US"/>
        </w:rPr>
        <w:t>borrowings</w:t>
      </w:r>
      <w:r w:rsidRPr="002018AC">
        <w:rPr>
          <w:rFonts w:cs="Times New Roman"/>
          <w:lang w:val="en-US"/>
        </w:rPr>
        <w:t xml:space="preserve"> and net debt decreased, but borrowings in terms of net assets deteriorated, and interest cover became negative</w:t>
      </w:r>
      <w:r w:rsidR="00461154">
        <w:rPr>
          <w:rFonts w:cs="Times New Roman"/>
          <w:lang w:val="en-US"/>
        </w:rPr>
        <w:t xml:space="preserve"> </w:t>
      </w:r>
      <w:r w:rsidR="00461154" w:rsidRPr="00461154">
        <w:rPr>
          <w:rFonts w:cs="Times New Roman"/>
          <w:lang w:val="en-US"/>
        </w:rPr>
        <w:t xml:space="preserve">(Vodafone Group plc, 2025; Ali Abebe, 2022; </w:t>
      </w:r>
      <w:proofErr w:type="spellStart"/>
      <w:r w:rsidR="00461154" w:rsidRPr="00461154">
        <w:rPr>
          <w:rFonts w:cs="Times New Roman"/>
          <w:lang w:val="en-US"/>
        </w:rPr>
        <w:t>Seretidou</w:t>
      </w:r>
      <w:proofErr w:type="spellEnd"/>
      <w:r w:rsidR="00461154" w:rsidRPr="00461154">
        <w:rPr>
          <w:rFonts w:cs="Times New Roman"/>
          <w:lang w:val="en-US"/>
        </w:rPr>
        <w:t xml:space="preserve"> et al., 2025)</w:t>
      </w:r>
      <w:r w:rsidRPr="002018AC">
        <w:rPr>
          <w:rFonts w:cs="Times New Roman"/>
          <w:lang w:val="en-US"/>
        </w:rPr>
        <w:t xml:space="preserve">. </w:t>
      </w:r>
    </w:p>
    <w:p w14:paraId="6CD3FA54" w14:textId="77777777" w:rsidR="00461154" w:rsidRPr="00461154" w:rsidRDefault="00A77462" w:rsidP="00461154">
      <w:pPr>
        <w:rPr>
          <w:rFonts w:cs="Times New Roman"/>
          <w:lang w:val="en-US"/>
        </w:rPr>
      </w:pPr>
      <w:r w:rsidRPr="002018AC">
        <w:rPr>
          <w:rFonts w:cs="Times New Roman"/>
          <w:lang w:val="en-US"/>
        </w:rPr>
        <w:t xml:space="preserve">Part 2 analyses three recommended investment options of Beard Plc in terms of NPV, IRR, and capital </w:t>
      </w:r>
      <w:r w:rsidRPr="002018AC">
        <w:rPr>
          <w:rFonts w:cs="Times New Roman"/>
          <w:bCs/>
          <w:lang w:val="en-US"/>
        </w:rPr>
        <w:t>rationing</w:t>
      </w:r>
      <w:r w:rsidRPr="002018AC">
        <w:rPr>
          <w:rFonts w:cs="Times New Roman"/>
          <w:lang w:val="en-US"/>
        </w:rPr>
        <w:t xml:space="preserve">. The reason why </w:t>
      </w:r>
      <w:r w:rsidRPr="002018AC">
        <w:rPr>
          <w:rFonts w:cs="Times New Roman"/>
          <w:bCs/>
          <w:lang w:val="en-US"/>
        </w:rPr>
        <w:t>Option</w:t>
      </w:r>
      <w:r w:rsidRPr="002018AC">
        <w:rPr>
          <w:rFonts w:cs="Times New Roman"/>
          <w:lang w:val="en-US"/>
        </w:rPr>
        <w:t xml:space="preserve"> A should be rejected is that it has a negative NPV of £</w:t>
      </w:r>
      <w:r w:rsidRPr="002018AC">
        <w:rPr>
          <w:rFonts w:cs="Times New Roman"/>
          <w:bCs/>
          <w:lang w:val="en-US"/>
        </w:rPr>
        <w:t>3.263</w:t>
      </w:r>
      <w:r w:rsidRPr="002018AC">
        <w:rPr>
          <w:rFonts w:cs="Times New Roman"/>
          <w:lang w:val="en-US"/>
        </w:rPr>
        <w:t>k. Option B is also a viable option with an NPV of £</w:t>
      </w:r>
      <w:r w:rsidRPr="002018AC">
        <w:rPr>
          <w:rFonts w:cs="Times New Roman"/>
          <w:bCs/>
          <w:lang w:val="en-US"/>
        </w:rPr>
        <w:t>73.952</w:t>
      </w:r>
      <w:r w:rsidRPr="002018AC">
        <w:rPr>
          <w:rFonts w:cs="Times New Roman"/>
          <w:lang w:val="en-US"/>
        </w:rPr>
        <w:t xml:space="preserve">k, but the best single option is </w:t>
      </w:r>
      <w:r w:rsidRPr="002018AC">
        <w:rPr>
          <w:rFonts w:cs="Times New Roman"/>
          <w:bCs/>
          <w:lang w:val="en-US"/>
        </w:rPr>
        <w:t>Option</w:t>
      </w:r>
      <w:r w:rsidRPr="002018AC">
        <w:rPr>
          <w:rFonts w:cs="Times New Roman"/>
          <w:lang w:val="en-US"/>
        </w:rPr>
        <w:t xml:space="preserve"> C with an NPV of £</w:t>
      </w:r>
      <w:r w:rsidRPr="002018AC">
        <w:rPr>
          <w:rFonts w:cs="Times New Roman"/>
          <w:bCs/>
          <w:lang w:val="en-US"/>
        </w:rPr>
        <w:t>91.226</w:t>
      </w:r>
      <w:r w:rsidRPr="002018AC">
        <w:rPr>
          <w:rFonts w:cs="Times New Roman"/>
          <w:lang w:val="en-US"/>
        </w:rPr>
        <w:t xml:space="preserve">k and an approximate IRR of 8.57%, which is above the 5% cost of capital. When there is a constraint in the amount of funds available of </w:t>
      </w:r>
      <w:r w:rsidRPr="002018AC">
        <w:rPr>
          <w:rFonts w:cs="Times New Roman"/>
          <w:bCs/>
          <w:lang w:val="en-US"/>
        </w:rPr>
        <w:t>£1.5</w:t>
      </w:r>
      <w:r w:rsidRPr="002018AC">
        <w:rPr>
          <w:rFonts w:cs="Times New Roman"/>
          <w:lang w:val="en-US"/>
        </w:rPr>
        <w:t xml:space="preserve"> million and the projects can be divided, then the best policy would be to pursue all of </w:t>
      </w:r>
      <w:r w:rsidRPr="002018AC">
        <w:rPr>
          <w:rFonts w:cs="Times New Roman"/>
          <w:bCs/>
          <w:lang w:val="en-US"/>
        </w:rPr>
        <w:t>Option</w:t>
      </w:r>
      <w:r w:rsidRPr="002018AC">
        <w:rPr>
          <w:rFonts w:cs="Times New Roman"/>
          <w:lang w:val="en-US"/>
        </w:rPr>
        <w:t xml:space="preserve"> C and 55.56% of </w:t>
      </w:r>
      <w:r w:rsidRPr="002018AC">
        <w:rPr>
          <w:rFonts w:cs="Times New Roman"/>
          <w:bCs/>
          <w:lang w:val="en-US"/>
        </w:rPr>
        <w:t>Option</w:t>
      </w:r>
      <w:r w:rsidRPr="002018AC">
        <w:rPr>
          <w:rFonts w:cs="Times New Roman"/>
          <w:lang w:val="en-US"/>
        </w:rPr>
        <w:t xml:space="preserve"> B, giving a total NPV of </w:t>
      </w:r>
      <w:r w:rsidRPr="002018AC">
        <w:rPr>
          <w:rFonts w:cs="Times New Roman"/>
          <w:bCs/>
          <w:lang w:val="en-US"/>
        </w:rPr>
        <w:t>£132.310</w:t>
      </w:r>
      <w:r w:rsidRPr="002018AC">
        <w:rPr>
          <w:rFonts w:cs="Times New Roman"/>
          <w:lang w:val="en-US"/>
        </w:rPr>
        <w:t>k. The two analyses emphasize that numbers must be contextually judged by managers before they can be approved</w:t>
      </w:r>
      <w:r w:rsidR="00461154">
        <w:rPr>
          <w:rFonts w:cs="Times New Roman"/>
          <w:lang w:val="en-US"/>
        </w:rPr>
        <w:t xml:space="preserve"> </w:t>
      </w:r>
      <w:r w:rsidR="00461154" w:rsidRPr="00461154">
        <w:rPr>
          <w:rFonts w:cs="Times New Roman"/>
          <w:lang w:val="en-US"/>
        </w:rPr>
        <w:t xml:space="preserve">action (Sokolov, 2024; </w:t>
      </w:r>
      <w:proofErr w:type="spellStart"/>
      <w:r w:rsidR="00461154" w:rsidRPr="00461154">
        <w:rPr>
          <w:rFonts w:cs="Times New Roman"/>
          <w:lang w:val="en-US"/>
        </w:rPr>
        <w:t>Purnamasari</w:t>
      </w:r>
      <w:proofErr w:type="spellEnd"/>
      <w:r w:rsidR="00461154" w:rsidRPr="00461154">
        <w:rPr>
          <w:rFonts w:cs="Times New Roman"/>
          <w:lang w:val="en-US"/>
        </w:rPr>
        <w:t xml:space="preserve"> and </w:t>
      </w:r>
      <w:proofErr w:type="spellStart"/>
      <w:r w:rsidR="00461154" w:rsidRPr="00461154">
        <w:rPr>
          <w:rFonts w:cs="Times New Roman"/>
          <w:lang w:val="en-US"/>
        </w:rPr>
        <w:t>Adriza</w:t>
      </w:r>
      <w:proofErr w:type="spellEnd"/>
      <w:r w:rsidR="00461154" w:rsidRPr="00461154">
        <w:rPr>
          <w:rFonts w:cs="Times New Roman"/>
          <w:lang w:val="en-US"/>
        </w:rPr>
        <w:t xml:space="preserve">, 2024; Hartmann and </w:t>
      </w:r>
      <w:proofErr w:type="spellStart"/>
      <w:r w:rsidR="00461154" w:rsidRPr="00461154">
        <w:rPr>
          <w:rFonts w:cs="Times New Roman"/>
          <w:lang w:val="en-US"/>
        </w:rPr>
        <w:t>Weißenberger</w:t>
      </w:r>
      <w:proofErr w:type="spellEnd"/>
      <w:r w:rsidR="00461154" w:rsidRPr="00461154">
        <w:rPr>
          <w:rFonts w:cs="Times New Roman"/>
          <w:lang w:val="en-US"/>
        </w:rPr>
        <w:t>, 2024).</w:t>
      </w:r>
    </w:p>
    <w:p w14:paraId="67360B6E" w14:textId="1B37698B" w:rsidR="009A74D4" w:rsidRPr="002018AC" w:rsidRDefault="009A74D4" w:rsidP="00695D8D">
      <w:pPr>
        <w:spacing w:line="276" w:lineRule="auto"/>
        <w:rPr>
          <w:rFonts w:cs="Times New Roman"/>
          <w:lang w:val="en-US"/>
        </w:rPr>
      </w:pPr>
    </w:p>
    <w:p w14:paraId="2ADB8B38" w14:textId="77777777" w:rsidR="009A74D4" w:rsidRPr="002018AC" w:rsidRDefault="009A74D4" w:rsidP="00695D8D">
      <w:pPr>
        <w:spacing w:after="0" w:line="276" w:lineRule="auto"/>
        <w:jc w:val="left"/>
        <w:rPr>
          <w:rFonts w:cs="Times New Roman"/>
          <w:lang w:val="en-US"/>
        </w:rPr>
      </w:pPr>
      <w:r w:rsidRPr="002018AC">
        <w:rPr>
          <w:rFonts w:cs="Times New Roman"/>
          <w:lang w:val="en-US"/>
        </w:rPr>
        <w:br w:type="page"/>
      </w:r>
    </w:p>
    <w:sdt>
      <w:sdtPr>
        <w:rPr>
          <w:rFonts w:ascii="Times New Roman" w:eastAsiaTheme="minorHAnsi" w:hAnsi="Times New Roman" w:cs="Times New Roman"/>
          <w:b w:val="0"/>
          <w:bCs w:val="0"/>
          <w:smallCaps w:val="0"/>
          <w:color w:val="auto"/>
          <w:sz w:val="24"/>
          <w:szCs w:val="22"/>
          <w:u w:val="none"/>
          <w:lang w:val="en-GB"/>
          <w14:ligatures w14:val="standardContextual"/>
        </w:rPr>
        <w:id w:val="-1491859793"/>
        <w:docPartObj>
          <w:docPartGallery w:val="Table of Contents"/>
          <w:docPartUnique/>
        </w:docPartObj>
      </w:sdtPr>
      <w:sdtEndPr>
        <w:rPr>
          <w:noProof/>
        </w:rPr>
      </w:sdtEndPr>
      <w:sdtContent>
        <w:p w14:paraId="3C2108A8" w14:textId="5211A6EF" w:rsidR="009A74D4" w:rsidRPr="002018AC" w:rsidRDefault="009A74D4" w:rsidP="00695D8D">
          <w:pPr>
            <w:pStyle w:val="TOCHeading"/>
            <w:spacing w:line="276" w:lineRule="auto"/>
            <w:rPr>
              <w:rFonts w:ascii="Times New Roman" w:hAnsi="Times New Roman" w:cs="Times New Roman"/>
            </w:rPr>
          </w:pPr>
          <w:r w:rsidRPr="002018AC">
            <w:rPr>
              <w:rFonts w:ascii="Times New Roman" w:hAnsi="Times New Roman" w:cs="Times New Roman"/>
            </w:rPr>
            <w:t>Contents</w:t>
          </w:r>
        </w:p>
        <w:p w14:paraId="0B265405" w14:textId="7B6AA651" w:rsidR="00DF4177" w:rsidRDefault="009A74D4">
          <w:pPr>
            <w:pStyle w:val="TOC2"/>
            <w:tabs>
              <w:tab w:val="right" w:leader="underscore" w:pos="9350"/>
            </w:tabs>
            <w:rPr>
              <w:rFonts w:eastAsiaTheme="minorEastAsia"/>
              <w:b w:val="0"/>
              <w:bCs w:val="0"/>
              <w:noProof/>
              <w:lang w:eastAsia="en-GB"/>
              <w14:ligatures w14:val="none"/>
            </w:rPr>
          </w:pPr>
          <w:r w:rsidRPr="002018AC">
            <w:rPr>
              <w:rFonts w:ascii="Times New Roman" w:hAnsi="Times New Roman" w:cs="Times New Roman"/>
              <w:b w:val="0"/>
              <w:bCs w:val="0"/>
            </w:rPr>
            <w:fldChar w:fldCharType="begin"/>
          </w:r>
          <w:r w:rsidRPr="002018AC">
            <w:rPr>
              <w:rFonts w:ascii="Times New Roman" w:hAnsi="Times New Roman" w:cs="Times New Roman"/>
              <w:b w:val="0"/>
              <w:bCs w:val="0"/>
            </w:rPr>
            <w:instrText xml:space="preserve"> TOC \o "1-3" \h \z \u </w:instrText>
          </w:r>
          <w:r w:rsidRPr="002018AC">
            <w:rPr>
              <w:rFonts w:ascii="Times New Roman" w:hAnsi="Times New Roman" w:cs="Times New Roman"/>
              <w:b w:val="0"/>
              <w:bCs w:val="0"/>
            </w:rPr>
            <w:fldChar w:fldCharType="separate"/>
          </w:r>
          <w:hyperlink w:anchor="_Toc227606817" w:history="1">
            <w:r w:rsidR="00DF4177" w:rsidRPr="005F01E5">
              <w:rPr>
                <w:rStyle w:val="Hyperlink"/>
                <w:rFonts w:cs="Times New Roman"/>
                <w:noProof/>
                <w:lang w:val="en-US"/>
              </w:rPr>
              <w:t>01 Introduction</w:t>
            </w:r>
            <w:r w:rsidR="00DF4177">
              <w:rPr>
                <w:noProof/>
                <w:webHidden/>
              </w:rPr>
              <w:tab/>
            </w:r>
            <w:r w:rsidR="00DF4177">
              <w:rPr>
                <w:noProof/>
                <w:webHidden/>
              </w:rPr>
              <w:fldChar w:fldCharType="begin"/>
            </w:r>
            <w:r w:rsidR="00DF4177">
              <w:rPr>
                <w:noProof/>
                <w:webHidden/>
              </w:rPr>
              <w:instrText xml:space="preserve"> PAGEREF _Toc227606817 \h </w:instrText>
            </w:r>
            <w:r w:rsidR="00DF4177">
              <w:rPr>
                <w:noProof/>
                <w:webHidden/>
              </w:rPr>
            </w:r>
            <w:r w:rsidR="00DF4177">
              <w:rPr>
                <w:noProof/>
                <w:webHidden/>
              </w:rPr>
              <w:fldChar w:fldCharType="separate"/>
            </w:r>
            <w:r w:rsidR="00DF4177">
              <w:rPr>
                <w:noProof/>
                <w:webHidden/>
              </w:rPr>
              <w:t>7</w:t>
            </w:r>
            <w:r w:rsidR="00DF4177">
              <w:rPr>
                <w:noProof/>
                <w:webHidden/>
              </w:rPr>
              <w:fldChar w:fldCharType="end"/>
            </w:r>
          </w:hyperlink>
        </w:p>
        <w:p w14:paraId="29704FAB" w14:textId="46CD770F" w:rsidR="00DF4177" w:rsidRDefault="00DF4177">
          <w:pPr>
            <w:pStyle w:val="TOC1"/>
            <w:tabs>
              <w:tab w:val="left" w:pos="480"/>
              <w:tab w:val="right" w:leader="underscore" w:pos="9350"/>
            </w:tabs>
            <w:rPr>
              <w:rFonts w:eastAsiaTheme="minorEastAsia"/>
              <w:b w:val="0"/>
              <w:bCs w:val="0"/>
              <w:i w:val="0"/>
              <w:iCs w:val="0"/>
              <w:noProof/>
              <w:sz w:val="22"/>
              <w:szCs w:val="22"/>
              <w:lang w:eastAsia="en-GB"/>
              <w14:ligatures w14:val="none"/>
            </w:rPr>
          </w:pPr>
          <w:hyperlink w:anchor="_Toc227606819" w:history="1">
            <w:r w:rsidRPr="005F01E5">
              <w:rPr>
                <w:rStyle w:val="Hyperlink"/>
                <w:rFonts w:cs="Times New Roman"/>
                <w:noProof/>
                <w:lang w:val="en-US"/>
              </w:rPr>
              <w:t>1.</w:t>
            </w:r>
            <w:r>
              <w:rPr>
                <w:rFonts w:eastAsiaTheme="minorEastAsia"/>
                <w:b w:val="0"/>
                <w:bCs w:val="0"/>
                <w:i w:val="0"/>
                <w:iCs w:val="0"/>
                <w:noProof/>
                <w:sz w:val="22"/>
                <w:szCs w:val="22"/>
                <w:lang w:eastAsia="en-GB"/>
                <w14:ligatures w14:val="none"/>
              </w:rPr>
              <w:tab/>
            </w:r>
            <w:r w:rsidRPr="005F01E5">
              <w:rPr>
                <w:rStyle w:val="Hyperlink"/>
                <w:rFonts w:cs="Times New Roman"/>
                <w:noProof/>
                <w:lang w:val="en-US"/>
              </w:rPr>
              <w:t>Part 1 Vodafone Group Plc</w:t>
            </w:r>
            <w:r>
              <w:rPr>
                <w:noProof/>
                <w:webHidden/>
              </w:rPr>
              <w:tab/>
            </w:r>
            <w:r>
              <w:rPr>
                <w:noProof/>
                <w:webHidden/>
              </w:rPr>
              <w:fldChar w:fldCharType="begin"/>
            </w:r>
            <w:r>
              <w:rPr>
                <w:noProof/>
                <w:webHidden/>
              </w:rPr>
              <w:instrText xml:space="preserve"> PAGEREF _Toc227606819 \h </w:instrText>
            </w:r>
            <w:r>
              <w:rPr>
                <w:noProof/>
                <w:webHidden/>
              </w:rPr>
            </w:r>
            <w:r>
              <w:rPr>
                <w:noProof/>
                <w:webHidden/>
              </w:rPr>
              <w:fldChar w:fldCharType="separate"/>
            </w:r>
            <w:r>
              <w:rPr>
                <w:noProof/>
                <w:webHidden/>
              </w:rPr>
              <w:t>8</w:t>
            </w:r>
            <w:r>
              <w:rPr>
                <w:noProof/>
                <w:webHidden/>
              </w:rPr>
              <w:fldChar w:fldCharType="end"/>
            </w:r>
          </w:hyperlink>
        </w:p>
        <w:p w14:paraId="54AD0D90" w14:textId="0A4435E2"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20" w:history="1">
            <w:r w:rsidRPr="005F01E5">
              <w:rPr>
                <w:rStyle w:val="Hyperlink"/>
                <w:rFonts w:cs="Times New Roman"/>
                <w:noProof/>
                <w:lang w:val="en-US"/>
              </w:rPr>
              <w:t>1.1</w:t>
            </w:r>
            <w:r>
              <w:rPr>
                <w:rFonts w:eastAsiaTheme="minorEastAsia"/>
                <w:b w:val="0"/>
                <w:bCs w:val="0"/>
                <w:noProof/>
                <w:lang w:eastAsia="en-GB"/>
                <w14:ligatures w14:val="none"/>
              </w:rPr>
              <w:tab/>
            </w:r>
            <w:r w:rsidRPr="005F01E5">
              <w:rPr>
                <w:rStyle w:val="Hyperlink"/>
                <w:rFonts w:cs="Times New Roman"/>
                <w:noProof/>
                <w:lang w:val="en-US"/>
              </w:rPr>
              <w:t>Scope, Source Base and Calculation Method</w:t>
            </w:r>
            <w:r>
              <w:rPr>
                <w:noProof/>
                <w:webHidden/>
              </w:rPr>
              <w:tab/>
            </w:r>
            <w:r>
              <w:rPr>
                <w:noProof/>
                <w:webHidden/>
              </w:rPr>
              <w:fldChar w:fldCharType="begin"/>
            </w:r>
            <w:r>
              <w:rPr>
                <w:noProof/>
                <w:webHidden/>
              </w:rPr>
              <w:instrText xml:space="preserve"> PAGEREF _Toc227606820 \h </w:instrText>
            </w:r>
            <w:r>
              <w:rPr>
                <w:noProof/>
                <w:webHidden/>
              </w:rPr>
            </w:r>
            <w:r>
              <w:rPr>
                <w:noProof/>
                <w:webHidden/>
              </w:rPr>
              <w:fldChar w:fldCharType="separate"/>
            </w:r>
            <w:r>
              <w:rPr>
                <w:noProof/>
                <w:webHidden/>
              </w:rPr>
              <w:t>8</w:t>
            </w:r>
            <w:r>
              <w:rPr>
                <w:noProof/>
                <w:webHidden/>
              </w:rPr>
              <w:fldChar w:fldCharType="end"/>
            </w:r>
          </w:hyperlink>
        </w:p>
        <w:p w14:paraId="0DEE413B" w14:textId="1DCA99D9"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21" w:history="1">
            <w:r w:rsidRPr="005F01E5">
              <w:rPr>
                <w:rStyle w:val="Hyperlink"/>
                <w:rFonts w:cs="Times New Roman"/>
                <w:noProof/>
              </w:rPr>
              <w:t>1.2</w:t>
            </w:r>
            <w:r>
              <w:rPr>
                <w:rFonts w:eastAsiaTheme="minorEastAsia"/>
                <w:b w:val="0"/>
                <w:bCs w:val="0"/>
                <w:noProof/>
                <w:lang w:eastAsia="en-GB"/>
                <w14:ligatures w14:val="none"/>
              </w:rPr>
              <w:tab/>
            </w:r>
            <w:r w:rsidRPr="005F01E5">
              <w:rPr>
                <w:rStyle w:val="Hyperlink"/>
                <w:rFonts w:cs="Times New Roman"/>
                <w:noProof/>
              </w:rPr>
              <w:t>Ratio Results summary</w:t>
            </w:r>
            <w:r>
              <w:rPr>
                <w:noProof/>
                <w:webHidden/>
              </w:rPr>
              <w:tab/>
            </w:r>
            <w:r>
              <w:rPr>
                <w:noProof/>
                <w:webHidden/>
              </w:rPr>
              <w:fldChar w:fldCharType="begin"/>
            </w:r>
            <w:r>
              <w:rPr>
                <w:noProof/>
                <w:webHidden/>
              </w:rPr>
              <w:instrText xml:space="preserve"> PAGEREF _Toc227606821 \h </w:instrText>
            </w:r>
            <w:r>
              <w:rPr>
                <w:noProof/>
                <w:webHidden/>
              </w:rPr>
            </w:r>
            <w:r>
              <w:rPr>
                <w:noProof/>
                <w:webHidden/>
              </w:rPr>
              <w:fldChar w:fldCharType="separate"/>
            </w:r>
            <w:r>
              <w:rPr>
                <w:noProof/>
                <w:webHidden/>
              </w:rPr>
              <w:t>9</w:t>
            </w:r>
            <w:r>
              <w:rPr>
                <w:noProof/>
                <w:webHidden/>
              </w:rPr>
              <w:fldChar w:fldCharType="end"/>
            </w:r>
          </w:hyperlink>
        </w:p>
        <w:p w14:paraId="084927D7" w14:textId="179372B1"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22" w:history="1">
            <w:r w:rsidRPr="005F01E5">
              <w:rPr>
                <w:rStyle w:val="Hyperlink"/>
                <w:rFonts w:cs="Times New Roman"/>
                <w:noProof/>
              </w:rPr>
              <w:t>1.3</w:t>
            </w:r>
            <w:r>
              <w:rPr>
                <w:rFonts w:eastAsiaTheme="minorEastAsia"/>
                <w:b w:val="0"/>
                <w:bCs w:val="0"/>
                <w:noProof/>
                <w:lang w:eastAsia="en-GB"/>
                <w14:ligatures w14:val="none"/>
              </w:rPr>
              <w:tab/>
            </w:r>
            <w:r w:rsidRPr="005F01E5">
              <w:rPr>
                <w:rStyle w:val="Hyperlink"/>
                <w:rFonts w:cs="Times New Roman"/>
                <w:noProof/>
              </w:rPr>
              <w:t>Critical evaluation of the ratios</w:t>
            </w:r>
            <w:r>
              <w:rPr>
                <w:noProof/>
                <w:webHidden/>
              </w:rPr>
              <w:tab/>
            </w:r>
            <w:r>
              <w:rPr>
                <w:noProof/>
                <w:webHidden/>
              </w:rPr>
              <w:fldChar w:fldCharType="begin"/>
            </w:r>
            <w:r>
              <w:rPr>
                <w:noProof/>
                <w:webHidden/>
              </w:rPr>
              <w:instrText xml:space="preserve"> PAGEREF _Toc227606822 \h </w:instrText>
            </w:r>
            <w:r>
              <w:rPr>
                <w:noProof/>
                <w:webHidden/>
              </w:rPr>
            </w:r>
            <w:r>
              <w:rPr>
                <w:noProof/>
                <w:webHidden/>
              </w:rPr>
              <w:fldChar w:fldCharType="separate"/>
            </w:r>
            <w:r>
              <w:rPr>
                <w:noProof/>
                <w:webHidden/>
              </w:rPr>
              <w:t>10</w:t>
            </w:r>
            <w:r>
              <w:rPr>
                <w:noProof/>
                <w:webHidden/>
              </w:rPr>
              <w:fldChar w:fldCharType="end"/>
            </w:r>
          </w:hyperlink>
        </w:p>
        <w:p w14:paraId="798A0771" w14:textId="3098E80D"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23" w:history="1">
            <w:r w:rsidRPr="005F01E5">
              <w:rPr>
                <w:rStyle w:val="Hyperlink"/>
                <w:rFonts w:cs="Times New Roman"/>
                <w:noProof/>
                <w:lang w:val="en-AU"/>
              </w:rPr>
              <w:t>1.3.1</w:t>
            </w:r>
            <w:r>
              <w:rPr>
                <w:rFonts w:eastAsiaTheme="minorEastAsia"/>
                <w:noProof/>
                <w:sz w:val="22"/>
                <w:szCs w:val="22"/>
                <w:lang w:eastAsia="en-GB"/>
                <w14:ligatures w14:val="none"/>
              </w:rPr>
              <w:tab/>
            </w:r>
            <w:r w:rsidRPr="005F01E5">
              <w:rPr>
                <w:rStyle w:val="Hyperlink"/>
                <w:rFonts w:cs="Times New Roman"/>
                <w:noProof/>
                <w:lang w:val="en-AU"/>
              </w:rPr>
              <w:t>Profitability</w:t>
            </w:r>
            <w:r>
              <w:rPr>
                <w:noProof/>
                <w:webHidden/>
              </w:rPr>
              <w:tab/>
            </w:r>
            <w:r>
              <w:rPr>
                <w:noProof/>
                <w:webHidden/>
              </w:rPr>
              <w:fldChar w:fldCharType="begin"/>
            </w:r>
            <w:r>
              <w:rPr>
                <w:noProof/>
                <w:webHidden/>
              </w:rPr>
              <w:instrText xml:space="preserve"> PAGEREF _Toc227606823 \h </w:instrText>
            </w:r>
            <w:r>
              <w:rPr>
                <w:noProof/>
                <w:webHidden/>
              </w:rPr>
            </w:r>
            <w:r>
              <w:rPr>
                <w:noProof/>
                <w:webHidden/>
              </w:rPr>
              <w:fldChar w:fldCharType="separate"/>
            </w:r>
            <w:r>
              <w:rPr>
                <w:noProof/>
                <w:webHidden/>
              </w:rPr>
              <w:t>10</w:t>
            </w:r>
            <w:r>
              <w:rPr>
                <w:noProof/>
                <w:webHidden/>
              </w:rPr>
              <w:fldChar w:fldCharType="end"/>
            </w:r>
          </w:hyperlink>
        </w:p>
        <w:p w14:paraId="3F4C7DED" w14:textId="40543457" w:rsidR="00DF4177" w:rsidRDefault="00DF4177">
          <w:pPr>
            <w:pStyle w:val="TOC3"/>
            <w:tabs>
              <w:tab w:val="right" w:leader="underscore" w:pos="9350"/>
            </w:tabs>
            <w:rPr>
              <w:rFonts w:eastAsiaTheme="minorEastAsia"/>
              <w:noProof/>
              <w:sz w:val="22"/>
              <w:szCs w:val="22"/>
              <w:lang w:eastAsia="en-GB"/>
              <w14:ligatures w14:val="none"/>
            </w:rPr>
          </w:pPr>
          <w:hyperlink w:anchor="_Toc227606824" w:history="1">
            <w:r w:rsidRPr="005F01E5">
              <w:rPr>
                <w:rStyle w:val="Hyperlink"/>
                <w:rFonts w:cs="Times New Roman"/>
                <w:noProof/>
                <w:lang w:val="en-AU"/>
              </w:rPr>
              <w:t>Vodafone’s gross profit margin was almost unchanged, moving only from 33.39% in FY2024 to 33.43% in FY2025. This suggests that the core relationship between revenue and cost of sales did not materially deteriorate. Therefore, it would be inaccurate to argue that Vodafone’s FY2025 loss was caused mainly by a collapse in gross trading margin. The real deterioration occurred below the gross profit line, where operating profit fell from €3.665bn to an operating loss of €411m, and ROCE declined from 3.56% to -0.39% (Vodafone Group plc, 2025).</w:t>
            </w:r>
            <w:r>
              <w:rPr>
                <w:noProof/>
                <w:webHidden/>
              </w:rPr>
              <w:tab/>
            </w:r>
            <w:r>
              <w:rPr>
                <w:noProof/>
                <w:webHidden/>
              </w:rPr>
              <w:fldChar w:fldCharType="begin"/>
            </w:r>
            <w:r>
              <w:rPr>
                <w:noProof/>
                <w:webHidden/>
              </w:rPr>
              <w:instrText xml:space="preserve"> PAGEREF _Toc227606824 \h </w:instrText>
            </w:r>
            <w:r>
              <w:rPr>
                <w:noProof/>
                <w:webHidden/>
              </w:rPr>
            </w:r>
            <w:r>
              <w:rPr>
                <w:noProof/>
                <w:webHidden/>
              </w:rPr>
              <w:fldChar w:fldCharType="separate"/>
            </w:r>
            <w:r>
              <w:rPr>
                <w:noProof/>
                <w:webHidden/>
              </w:rPr>
              <w:t>10</w:t>
            </w:r>
            <w:r>
              <w:rPr>
                <w:noProof/>
                <w:webHidden/>
              </w:rPr>
              <w:fldChar w:fldCharType="end"/>
            </w:r>
          </w:hyperlink>
        </w:p>
        <w:p w14:paraId="7487BAF2" w14:textId="533B09B0" w:rsidR="00DF4177" w:rsidRDefault="00DF4177">
          <w:pPr>
            <w:pStyle w:val="TOC3"/>
            <w:tabs>
              <w:tab w:val="right" w:leader="underscore" w:pos="9350"/>
            </w:tabs>
            <w:rPr>
              <w:rFonts w:eastAsiaTheme="minorEastAsia"/>
              <w:noProof/>
              <w:sz w:val="22"/>
              <w:szCs w:val="22"/>
              <w:lang w:eastAsia="en-GB"/>
              <w14:ligatures w14:val="none"/>
            </w:rPr>
          </w:pPr>
          <w:hyperlink w:anchor="_Toc227606825" w:history="1">
            <w:r w:rsidRPr="005F01E5">
              <w:rPr>
                <w:rStyle w:val="Hyperlink"/>
                <w:rFonts w:cs="Times New Roman"/>
                <w:noProof/>
                <w:lang w:val="en-AU"/>
              </w:rPr>
              <w:t>Vodafone’s consolidated income statement shows an impairment charge of €4.515bn in FY2025, while management states that the operating loss was primarily affected by goodwill impairments in Germany and Romania totalling €4.5bn (Vodafone Group plc, 2025). The impairment is non-cash in the year recognised, so it does not mean the business suddenly stopped generating cash. Vodafone’s FY2025 adjusted EBITDAaL was €10.932bn, close to FY2024’s €11.019bn, and adjusted free cash flow was €2.5bn. However, the impairment reflects a lower expected recoverable value of assets and therefore directly weakens Vodafone’s ability to earn acceptable returns on invested capital (Vodafone Group plc, 2025).</w:t>
            </w:r>
            <w:r>
              <w:rPr>
                <w:noProof/>
                <w:webHidden/>
              </w:rPr>
              <w:tab/>
            </w:r>
            <w:r>
              <w:rPr>
                <w:noProof/>
                <w:webHidden/>
              </w:rPr>
              <w:fldChar w:fldCharType="begin"/>
            </w:r>
            <w:r>
              <w:rPr>
                <w:noProof/>
                <w:webHidden/>
              </w:rPr>
              <w:instrText xml:space="preserve"> PAGEREF _Toc227606825 \h </w:instrText>
            </w:r>
            <w:r>
              <w:rPr>
                <w:noProof/>
                <w:webHidden/>
              </w:rPr>
            </w:r>
            <w:r>
              <w:rPr>
                <w:noProof/>
                <w:webHidden/>
              </w:rPr>
              <w:fldChar w:fldCharType="separate"/>
            </w:r>
            <w:r>
              <w:rPr>
                <w:noProof/>
                <w:webHidden/>
              </w:rPr>
              <w:t>10</w:t>
            </w:r>
            <w:r>
              <w:rPr>
                <w:noProof/>
                <w:webHidden/>
              </w:rPr>
              <w:fldChar w:fldCharType="end"/>
            </w:r>
          </w:hyperlink>
        </w:p>
        <w:p w14:paraId="161BCB8E" w14:textId="413E730A" w:rsidR="00DF4177" w:rsidRDefault="00DF4177">
          <w:pPr>
            <w:pStyle w:val="TOC3"/>
            <w:tabs>
              <w:tab w:val="right" w:leader="underscore" w:pos="9350"/>
            </w:tabs>
            <w:rPr>
              <w:rFonts w:eastAsiaTheme="minorEastAsia"/>
              <w:noProof/>
              <w:sz w:val="22"/>
              <w:szCs w:val="22"/>
              <w:lang w:eastAsia="en-GB"/>
              <w14:ligatures w14:val="none"/>
            </w:rPr>
          </w:pPr>
          <w:hyperlink w:anchor="_Toc227606826" w:history="1">
            <w:r w:rsidRPr="005F01E5">
              <w:rPr>
                <w:rStyle w:val="Hyperlink"/>
                <w:rFonts w:cs="Times New Roman"/>
                <w:noProof/>
                <w:lang w:val="en-AU"/>
              </w:rPr>
              <w:t>Germany is the key concern. Vodafone states that solid growth in other parts of the group was offset by decline in Germany, largely driven by a change in TV regulation (Vodafone Group plc, 2025). The ROCE result is particularly weak. Even before benchmarking against peers, a statutory ROCE of -0.39% is not acceptable for a capital-intensive telecoms group. Telecom companies require heavy investment in network infrastructure, technology and spectrum. If returns on that capital base are not demonstrably above the cost of capital, long-term value destruction becomes a real risk (Yang, Trimi and Lee, 2016; Connect Europe, 2025). Vodafone’s own non-GAAP ROCE methodology is more favourable, but the assignment ratio still highlights a valid concern: statutory profitability is inadequate relative to the asset base.</w:t>
            </w:r>
            <w:r>
              <w:rPr>
                <w:noProof/>
                <w:webHidden/>
              </w:rPr>
              <w:tab/>
            </w:r>
            <w:r>
              <w:rPr>
                <w:noProof/>
                <w:webHidden/>
              </w:rPr>
              <w:fldChar w:fldCharType="begin"/>
            </w:r>
            <w:r>
              <w:rPr>
                <w:noProof/>
                <w:webHidden/>
              </w:rPr>
              <w:instrText xml:space="preserve"> PAGEREF _Toc227606826 \h </w:instrText>
            </w:r>
            <w:r>
              <w:rPr>
                <w:noProof/>
                <w:webHidden/>
              </w:rPr>
            </w:r>
            <w:r>
              <w:rPr>
                <w:noProof/>
                <w:webHidden/>
              </w:rPr>
              <w:fldChar w:fldCharType="separate"/>
            </w:r>
            <w:r>
              <w:rPr>
                <w:noProof/>
                <w:webHidden/>
              </w:rPr>
              <w:t>10</w:t>
            </w:r>
            <w:r>
              <w:rPr>
                <w:noProof/>
                <w:webHidden/>
              </w:rPr>
              <w:fldChar w:fldCharType="end"/>
            </w:r>
          </w:hyperlink>
        </w:p>
        <w:p w14:paraId="435CC0F5" w14:textId="4F608BB6"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27" w:history="1">
            <w:r w:rsidRPr="005F01E5">
              <w:rPr>
                <w:rStyle w:val="Hyperlink"/>
                <w:rFonts w:cs="Times New Roman"/>
                <w:noProof/>
                <w:lang w:val="en-AU"/>
              </w:rPr>
              <w:t>1.3.2</w:t>
            </w:r>
            <w:r>
              <w:rPr>
                <w:rFonts w:eastAsiaTheme="minorEastAsia"/>
                <w:noProof/>
                <w:sz w:val="22"/>
                <w:szCs w:val="22"/>
                <w:lang w:eastAsia="en-GB"/>
                <w14:ligatures w14:val="none"/>
              </w:rPr>
              <w:tab/>
            </w:r>
            <w:r w:rsidRPr="005F01E5">
              <w:rPr>
                <w:rStyle w:val="Hyperlink"/>
                <w:rFonts w:cs="Times New Roman"/>
                <w:noProof/>
                <w:lang w:val="en-AU"/>
              </w:rPr>
              <w:t>Efficiency</w:t>
            </w:r>
            <w:r>
              <w:rPr>
                <w:noProof/>
                <w:webHidden/>
              </w:rPr>
              <w:tab/>
            </w:r>
            <w:r>
              <w:rPr>
                <w:noProof/>
                <w:webHidden/>
              </w:rPr>
              <w:fldChar w:fldCharType="begin"/>
            </w:r>
            <w:r>
              <w:rPr>
                <w:noProof/>
                <w:webHidden/>
              </w:rPr>
              <w:instrText xml:space="preserve"> PAGEREF _Toc227606827 \h </w:instrText>
            </w:r>
            <w:r>
              <w:rPr>
                <w:noProof/>
                <w:webHidden/>
              </w:rPr>
            </w:r>
            <w:r>
              <w:rPr>
                <w:noProof/>
                <w:webHidden/>
              </w:rPr>
              <w:fldChar w:fldCharType="separate"/>
            </w:r>
            <w:r>
              <w:rPr>
                <w:noProof/>
                <w:webHidden/>
              </w:rPr>
              <w:t>10</w:t>
            </w:r>
            <w:r>
              <w:rPr>
                <w:noProof/>
                <w:webHidden/>
              </w:rPr>
              <w:fldChar w:fldCharType="end"/>
            </w:r>
          </w:hyperlink>
        </w:p>
        <w:p w14:paraId="58633D96" w14:textId="29C28ACF"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28" w:history="1">
            <w:r w:rsidRPr="005F01E5">
              <w:rPr>
                <w:rStyle w:val="Hyperlink"/>
                <w:rFonts w:cs="Times New Roman"/>
                <w:noProof/>
                <w:lang w:val="en-US"/>
              </w:rPr>
              <w:t>1.3.3</w:t>
            </w:r>
            <w:r>
              <w:rPr>
                <w:rFonts w:eastAsiaTheme="minorEastAsia"/>
                <w:noProof/>
                <w:sz w:val="22"/>
                <w:szCs w:val="22"/>
                <w:lang w:eastAsia="en-GB"/>
                <w14:ligatures w14:val="none"/>
              </w:rPr>
              <w:tab/>
            </w:r>
            <w:r w:rsidRPr="005F01E5">
              <w:rPr>
                <w:rStyle w:val="Hyperlink"/>
                <w:rFonts w:cs="Times New Roman"/>
                <w:noProof/>
                <w:lang w:val="en-US"/>
              </w:rPr>
              <w:t>Liquidity</w:t>
            </w:r>
            <w:r>
              <w:rPr>
                <w:noProof/>
                <w:webHidden/>
              </w:rPr>
              <w:tab/>
            </w:r>
            <w:r>
              <w:rPr>
                <w:noProof/>
                <w:webHidden/>
              </w:rPr>
              <w:fldChar w:fldCharType="begin"/>
            </w:r>
            <w:r>
              <w:rPr>
                <w:noProof/>
                <w:webHidden/>
              </w:rPr>
              <w:instrText xml:space="preserve"> PAGEREF _Toc227606828 \h </w:instrText>
            </w:r>
            <w:r>
              <w:rPr>
                <w:noProof/>
                <w:webHidden/>
              </w:rPr>
            </w:r>
            <w:r>
              <w:rPr>
                <w:noProof/>
                <w:webHidden/>
              </w:rPr>
              <w:fldChar w:fldCharType="separate"/>
            </w:r>
            <w:r>
              <w:rPr>
                <w:noProof/>
                <w:webHidden/>
              </w:rPr>
              <w:t>12</w:t>
            </w:r>
            <w:r>
              <w:rPr>
                <w:noProof/>
                <w:webHidden/>
              </w:rPr>
              <w:fldChar w:fldCharType="end"/>
            </w:r>
          </w:hyperlink>
        </w:p>
        <w:p w14:paraId="723E8160" w14:textId="37545DBB" w:rsidR="00DF4177" w:rsidRDefault="00DF4177">
          <w:pPr>
            <w:pStyle w:val="TOC3"/>
            <w:tabs>
              <w:tab w:val="right" w:leader="underscore" w:pos="9350"/>
            </w:tabs>
            <w:rPr>
              <w:rFonts w:eastAsiaTheme="minorEastAsia"/>
              <w:noProof/>
              <w:sz w:val="22"/>
              <w:szCs w:val="22"/>
              <w:lang w:eastAsia="en-GB"/>
              <w14:ligatures w14:val="none"/>
            </w:rPr>
          </w:pPr>
          <w:hyperlink w:anchor="_Toc227606829" w:history="1">
            <w:r w:rsidRPr="005F01E5">
              <w:rPr>
                <w:rStyle w:val="Hyperlink"/>
                <w:rFonts w:cs="Times New Roman"/>
                <w:noProof/>
                <w:lang w:val="en-US"/>
              </w:rPr>
              <w:t xml:space="preserve">Using the continuing-operations basis, the current ratio increased to 1.26x from 0.92x and the quick ratio improved to 1.23x from 0.89x. This is a notable improvement because in FY2024 current </w:t>
            </w:r>
            <w:r w:rsidRPr="005F01E5">
              <w:rPr>
                <w:rStyle w:val="Hyperlink"/>
                <w:rFonts w:cs="Times New Roman"/>
                <w:noProof/>
                <w:lang w:val="en-US"/>
              </w:rPr>
              <w:lastRenderedPageBreak/>
              <w:t>liabilities exceeded current assets, whereas in FY2025 current assets exceeded current liabilities. Vodafone’s current assets rose to €28.6bn, mainly because of increases in cash and cash equivalents, trade and other receivables, and other investments (Vodafone Group plc, 2025).</w:t>
            </w:r>
            <w:r>
              <w:rPr>
                <w:noProof/>
                <w:webHidden/>
              </w:rPr>
              <w:tab/>
            </w:r>
            <w:r>
              <w:rPr>
                <w:noProof/>
                <w:webHidden/>
              </w:rPr>
              <w:fldChar w:fldCharType="begin"/>
            </w:r>
            <w:r>
              <w:rPr>
                <w:noProof/>
                <w:webHidden/>
              </w:rPr>
              <w:instrText xml:space="preserve"> PAGEREF _Toc227606829 \h </w:instrText>
            </w:r>
            <w:r>
              <w:rPr>
                <w:noProof/>
                <w:webHidden/>
              </w:rPr>
            </w:r>
            <w:r>
              <w:rPr>
                <w:noProof/>
                <w:webHidden/>
              </w:rPr>
              <w:fldChar w:fldCharType="separate"/>
            </w:r>
            <w:r>
              <w:rPr>
                <w:noProof/>
                <w:webHidden/>
              </w:rPr>
              <w:t>12</w:t>
            </w:r>
            <w:r>
              <w:rPr>
                <w:noProof/>
                <w:webHidden/>
              </w:rPr>
              <w:fldChar w:fldCharType="end"/>
            </w:r>
          </w:hyperlink>
        </w:p>
        <w:p w14:paraId="62F63091" w14:textId="5FECAA2A" w:rsidR="00DF4177" w:rsidRDefault="00DF4177">
          <w:pPr>
            <w:pStyle w:val="TOC3"/>
            <w:tabs>
              <w:tab w:val="right" w:leader="underscore" w:pos="9350"/>
            </w:tabs>
            <w:rPr>
              <w:rFonts w:eastAsiaTheme="minorEastAsia"/>
              <w:noProof/>
              <w:sz w:val="22"/>
              <w:szCs w:val="22"/>
              <w:lang w:eastAsia="en-GB"/>
              <w14:ligatures w14:val="none"/>
            </w:rPr>
          </w:pPr>
          <w:hyperlink w:anchor="_Toc227606830" w:history="1">
            <w:r w:rsidRPr="005F01E5">
              <w:rPr>
                <w:rStyle w:val="Hyperlink"/>
                <w:rFonts w:cs="Times New Roman"/>
                <w:noProof/>
                <w:lang w:val="en-US"/>
              </w:rPr>
              <w:t>This improvement should not, however, be overstated. A current ratio above 1.0 is encouraging, but part of the movement reflects disposals and balance-sheet restructuring. In addition, not all current assets are equally liquid or equally available for debt service. The quick ratio of 1.23x looks stronger, but it still includes receivables, other investments and derivative items rather than pure cash. The proper conclusion is that short-term liquidity has improved, but that this does not remove the need for tight cash-flow control in a highly leveraged, capital-intensive business (Khoza, 2025; Vodafone Group plc, 2025).</w:t>
            </w:r>
            <w:r>
              <w:rPr>
                <w:noProof/>
                <w:webHidden/>
              </w:rPr>
              <w:tab/>
            </w:r>
            <w:r>
              <w:rPr>
                <w:noProof/>
                <w:webHidden/>
              </w:rPr>
              <w:fldChar w:fldCharType="begin"/>
            </w:r>
            <w:r>
              <w:rPr>
                <w:noProof/>
                <w:webHidden/>
              </w:rPr>
              <w:instrText xml:space="preserve"> PAGEREF _Toc227606830 \h </w:instrText>
            </w:r>
            <w:r>
              <w:rPr>
                <w:noProof/>
                <w:webHidden/>
              </w:rPr>
            </w:r>
            <w:r>
              <w:rPr>
                <w:noProof/>
                <w:webHidden/>
              </w:rPr>
              <w:fldChar w:fldCharType="separate"/>
            </w:r>
            <w:r>
              <w:rPr>
                <w:noProof/>
                <w:webHidden/>
              </w:rPr>
              <w:t>12</w:t>
            </w:r>
            <w:r>
              <w:rPr>
                <w:noProof/>
                <w:webHidden/>
              </w:rPr>
              <w:fldChar w:fldCharType="end"/>
            </w:r>
          </w:hyperlink>
        </w:p>
        <w:p w14:paraId="19B20BB6" w14:textId="609E099A" w:rsidR="00DF4177" w:rsidRDefault="00DF4177">
          <w:pPr>
            <w:pStyle w:val="TOC3"/>
            <w:tabs>
              <w:tab w:val="right" w:leader="underscore" w:pos="9350"/>
            </w:tabs>
            <w:rPr>
              <w:rFonts w:eastAsiaTheme="minorEastAsia"/>
              <w:noProof/>
              <w:sz w:val="22"/>
              <w:szCs w:val="22"/>
              <w:lang w:eastAsia="en-GB"/>
              <w14:ligatures w14:val="none"/>
            </w:rPr>
          </w:pPr>
          <w:hyperlink w:anchor="_Toc227606831" w:history="1">
            <w:r w:rsidRPr="005F01E5">
              <w:rPr>
                <w:rStyle w:val="Hyperlink"/>
                <w:rFonts w:cs="Times New Roman"/>
                <w:noProof/>
                <w:lang w:val="en-US"/>
              </w:rPr>
              <w:t>The FY2024 presentation is also sensitive to classification choices. Vodafone Spain and Vodafone Italy were held for sale at 31 March 2024, with assets held for sale of €19.047bn and liabilities held for sale of €6.918bn. If these items were included, FY2024’s current ratio would be 1.35x rather than 0.92x. Excluding them is cleaner because FY2025 does not contain similar held-for-sale balances and the income statement in the main analysis is based on continuing operations. This reinforces an important point: ratio analysis is not purely mechanical and still requires accounting judgement (Vodafone Group plc, 2025; Ali Abebe, 2022).</w:t>
            </w:r>
            <w:r>
              <w:rPr>
                <w:noProof/>
                <w:webHidden/>
              </w:rPr>
              <w:tab/>
            </w:r>
            <w:r>
              <w:rPr>
                <w:noProof/>
                <w:webHidden/>
              </w:rPr>
              <w:fldChar w:fldCharType="begin"/>
            </w:r>
            <w:r>
              <w:rPr>
                <w:noProof/>
                <w:webHidden/>
              </w:rPr>
              <w:instrText xml:space="preserve"> PAGEREF _Toc227606831 \h </w:instrText>
            </w:r>
            <w:r>
              <w:rPr>
                <w:noProof/>
                <w:webHidden/>
              </w:rPr>
            </w:r>
            <w:r>
              <w:rPr>
                <w:noProof/>
                <w:webHidden/>
              </w:rPr>
              <w:fldChar w:fldCharType="separate"/>
            </w:r>
            <w:r>
              <w:rPr>
                <w:noProof/>
                <w:webHidden/>
              </w:rPr>
              <w:t>12</w:t>
            </w:r>
            <w:r>
              <w:rPr>
                <w:noProof/>
                <w:webHidden/>
              </w:rPr>
              <w:fldChar w:fldCharType="end"/>
            </w:r>
          </w:hyperlink>
        </w:p>
        <w:p w14:paraId="5E780135" w14:textId="5A907F27"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32" w:history="1">
            <w:r w:rsidRPr="005F01E5">
              <w:rPr>
                <w:rStyle w:val="Hyperlink"/>
                <w:rFonts w:cs="Times New Roman"/>
                <w:noProof/>
                <w:lang w:val="en-AU"/>
              </w:rPr>
              <w:t>1.3.4</w:t>
            </w:r>
            <w:r>
              <w:rPr>
                <w:rFonts w:eastAsiaTheme="minorEastAsia"/>
                <w:noProof/>
                <w:sz w:val="22"/>
                <w:szCs w:val="22"/>
                <w:lang w:eastAsia="en-GB"/>
                <w14:ligatures w14:val="none"/>
              </w:rPr>
              <w:tab/>
            </w:r>
            <w:r w:rsidRPr="005F01E5">
              <w:rPr>
                <w:rStyle w:val="Hyperlink"/>
                <w:rFonts w:cs="Times New Roman"/>
                <w:noProof/>
                <w:lang w:val="en-AU"/>
              </w:rPr>
              <w:t>Investment ratios</w:t>
            </w:r>
            <w:r>
              <w:rPr>
                <w:noProof/>
                <w:webHidden/>
              </w:rPr>
              <w:tab/>
            </w:r>
            <w:r>
              <w:rPr>
                <w:noProof/>
                <w:webHidden/>
              </w:rPr>
              <w:fldChar w:fldCharType="begin"/>
            </w:r>
            <w:r>
              <w:rPr>
                <w:noProof/>
                <w:webHidden/>
              </w:rPr>
              <w:instrText xml:space="preserve"> PAGEREF _Toc227606832 \h </w:instrText>
            </w:r>
            <w:r>
              <w:rPr>
                <w:noProof/>
                <w:webHidden/>
              </w:rPr>
            </w:r>
            <w:r>
              <w:rPr>
                <w:noProof/>
                <w:webHidden/>
              </w:rPr>
              <w:fldChar w:fldCharType="separate"/>
            </w:r>
            <w:r>
              <w:rPr>
                <w:noProof/>
                <w:webHidden/>
              </w:rPr>
              <w:t>12</w:t>
            </w:r>
            <w:r>
              <w:rPr>
                <w:noProof/>
                <w:webHidden/>
              </w:rPr>
              <w:fldChar w:fldCharType="end"/>
            </w:r>
          </w:hyperlink>
        </w:p>
        <w:p w14:paraId="3CD34205" w14:textId="776A8227"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33" w:history="1">
            <w:r w:rsidRPr="005F01E5">
              <w:rPr>
                <w:rStyle w:val="Hyperlink"/>
                <w:rFonts w:cs="Times New Roman"/>
                <w:noProof/>
                <w:lang w:val="en-AU"/>
              </w:rPr>
              <w:t>1.3.5</w:t>
            </w:r>
            <w:r>
              <w:rPr>
                <w:rFonts w:eastAsiaTheme="minorEastAsia"/>
                <w:noProof/>
                <w:sz w:val="22"/>
                <w:szCs w:val="22"/>
                <w:lang w:eastAsia="en-GB"/>
                <w14:ligatures w14:val="none"/>
              </w:rPr>
              <w:tab/>
            </w:r>
            <w:r w:rsidRPr="005F01E5">
              <w:rPr>
                <w:rStyle w:val="Hyperlink"/>
                <w:rFonts w:cs="Times New Roman"/>
                <w:noProof/>
                <w:lang w:val="en-AU"/>
              </w:rPr>
              <w:t>Gearing and interest cover</w:t>
            </w:r>
            <w:r>
              <w:rPr>
                <w:noProof/>
                <w:webHidden/>
              </w:rPr>
              <w:tab/>
            </w:r>
            <w:r>
              <w:rPr>
                <w:noProof/>
                <w:webHidden/>
              </w:rPr>
              <w:fldChar w:fldCharType="begin"/>
            </w:r>
            <w:r>
              <w:rPr>
                <w:noProof/>
                <w:webHidden/>
              </w:rPr>
              <w:instrText xml:space="preserve"> PAGEREF _Toc227606833 \h </w:instrText>
            </w:r>
            <w:r>
              <w:rPr>
                <w:noProof/>
                <w:webHidden/>
              </w:rPr>
            </w:r>
            <w:r>
              <w:rPr>
                <w:noProof/>
                <w:webHidden/>
              </w:rPr>
              <w:fldChar w:fldCharType="separate"/>
            </w:r>
            <w:r>
              <w:rPr>
                <w:noProof/>
                <w:webHidden/>
              </w:rPr>
              <w:t>12</w:t>
            </w:r>
            <w:r>
              <w:rPr>
                <w:noProof/>
                <w:webHidden/>
              </w:rPr>
              <w:fldChar w:fldCharType="end"/>
            </w:r>
          </w:hyperlink>
        </w:p>
        <w:p w14:paraId="0F9885A6" w14:textId="18339A38"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34" w:history="1">
            <w:r w:rsidRPr="005F01E5">
              <w:rPr>
                <w:rStyle w:val="Hyperlink"/>
                <w:rFonts w:cs="Times New Roman"/>
                <w:noProof/>
                <w:lang w:val="en-US"/>
              </w:rPr>
              <w:t>1.3.6</w:t>
            </w:r>
            <w:r>
              <w:rPr>
                <w:rFonts w:eastAsiaTheme="minorEastAsia"/>
                <w:noProof/>
                <w:sz w:val="22"/>
                <w:szCs w:val="22"/>
                <w:lang w:eastAsia="en-GB"/>
                <w14:ligatures w14:val="none"/>
              </w:rPr>
              <w:tab/>
            </w:r>
            <w:r w:rsidRPr="005F01E5">
              <w:rPr>
                <w:rStyle w:val="Hyperlink"/>
                <w:rFonts w:cs="Times New Roman"/>
                <w:noProof/>
                <w:lang w:val="en-US"/>
              </w:rPr>
              <w:t>Weaknesses of Ratio analysis</w:t>
            </w:r>
            <w:r>
              <w:rPr>
                <w:noProof/>
                <w:webHidden/>
              </w:rPr>
              <w:tab/>
            </w:r>
            <w:r>
              <w:rPr>
                <w:noProof/>
                <w:webHidden/>
              </w:rPr>
              <w:fldChar w:fldCharType="begin"/>
            </w:r>
            <w:r>
              <w:rPr>
                <w:noProof/>
                <w:webHidden/>
              </w:rPr>
              <w:instrText xml:space="preserve"> PAGEREF _Toc227606834 \h </w:instrText>
            </w:r>
            <w:r>
              <w:rPr>
                <w:noProof/>
                <w:webHidden/>
              </w:rPr>
            </w:r>
            <w:r>
              <w:rPr>
                <w:noProof/>
                <w:webHidden/>
              </w:rPr>
              <w:fldChar w:fldCharType="separate"/>
            </w:r>
            <w:r>
              <w:rPr>
                <w:noProof/>
                <w:webHidden/>
              </w:rPr>
              <w:t>13</w:t>
            </w:r>
            <w:r>
              <w:rPr>
                <w:noProof/>
                <w:webHidden/>
              </w:rPr>
              <w:fldChar w:fldCharType="end"/>
            </w:r>
          </w:hyperlink>
        </w:p>
        <w:p w14:paraId="694BDDE3" w14:textId="6AB172E5" w:rsidR="00DF4177" w:rsidRDefault="00DF4177">
          <w:pPr>
            <w:pStyle w:val="TOC1"/>
            <w:tabs>
              <w:tab w:val="left" w:pos="480"/>
              <w:tab w:val="right" w:leader="underscore" w:pos="9350"/>
            </w:tabs>
            <w:rPr>
              <w:rFonts w:eastAsiaTheme="minorEastAsia"/>
              <w:b w:val="0"/>
              <w:bCs w:val="0"/>
              <w:i w:val="0"/>
              <w:iCs w:val="0"/>
              <w:noProof/>
              <w:sz w:val="22"/>
              <w:szCs w:val="22"/>
              <w:lang w:eastAsia="en-GB"/>
              <w14:ligatures w14:val="none"/>
            </w:rPr>
          </w:pPr>
          <w:hyperlink w:anchor="_Toc227606835" w:history="1">
            <w:r w:rsidRPr="005F01E5">
              <w:rPr>
                <w:rStyle w:val="Hyperlink"/>
                <w:rFonts w:cs="Times New Roman"/>
                <w:noProof/>
                <w:lang w:val="en-US"/>
              </w:rPr>
              <w:t>2.</w:t>
            </w:r>
            <w:r>
              <w:rPr>
                <w:rFonts w:eastAsiaTheme="minorEastAsia"/>
                <w:b w:val="0"/>
                <w:bCs w:val="0"/>
                <w:i w:val="0"/>
                <w:iCs w:val="0"/>
                <w:noProof/>
                <w:sz w:val="22"/>
                <w:szCs w:val="22"/>
                <w:lang w:eastAsia="en-GB"/>
                <w14:ligatures w14:val="none"/>
              </w:rPr>
              <w:tab/>
            </w:r>
            <w:r w:rsidRPr="005F01E5">
              <w:rPr>
                <w:rStyle w:val="Hyperlink"/>
                <w:rFonts w:cs="Times New Roman"/>
                <w:noProof/>
                <w:lang w:val="en-US"/>
              </w:rPr>
              <w:t>Part 2 Investment Appraisal of Beard Plc</w:t>
            </w:r>
            <w:r>
              <w:rPr>
                <w:noProof/>
                <w:webHidden/>
              </w:rPr>
              <w:tab/>
            </w:r>
            <w:r>
              <w:rPr>
                <w:noProof/>
                <w:webHidden/>
              </w:rPr>
              <w:fldChar w:fldCharType="begin"/>
            </w:r>
            <w:r>
              <w:rPr>
                <w:noProof/>
                <w:webHidden/>
              </w:rPr>
              <w:instrText xml:space="preserve"> PAGEREF _Toc227606835 \h </w:instrText>
            </w:r>
            <w:r>
              <w:rPr>
                <w:noProof/>
                <w:webHidden/>
              </w:rPr>
            </w:r>
            <w:r>
              <w:rPr>
                <w:noProof/>
                <w:webHidden/>
              </w:rPr>
              <w:fldChar w:fldCharType="separate"/>
            </w:r>
            <w:r>
              <w:rPr>
                <w:noProof/>
                <w:webHidden/>
              </w:rPr>
              <w:t>14</w:t>
            </w:r>
            <w:r>
              <w:rPr>
                <w:noProof/>
                <w:webHidden/>
              </w:rPr>
              <w:fldChar w:fldCharType="end"/>
            </w:r>
          </w:hyperlink>
        </w:p>
        <w:p w14:paraId="1E8C2A3A" w14:textId="60F68537"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36" w:history="1">
            <w:r w:rsidRPr="005F01E5">
              <w:rPr>
                <w:rStyle w:val="Hyperlink"/>
                <w:rFonts w:cs="Times New Roman"/>
                <w:noProof/>
                <w:lang w:val="en-US"/>
              </w:rPr>
              <w:t>2.1</w:t>
            </w:r>
            <w:r>
              <w:rPr>
                <w:rFonts w:eastAsiaTheme="minorEastAsia"/>
                <w:b w:val="0"/>
                <w:bCs w:val="0"/>
                <w:noProof/>
                <w:lang w:eastAsia="en-GB"/>
                <w14:ligatures w14:val="none"/>
              </w:rPr>
              <w:tab/>
            </w:r>
            <w:r w:rsidRPr="005F01E5">
              <w:rPr>
                <w:rStyle w:val="Hyperlink"/>
                <w:rFonts w:cs="Times New Roman"/>
                <w:noProof/>
                <w:lang w:val="en-US"/>
              </w:rPr>
              <w:t>Basis of appraisal and assumptions</w:t>
            </w:r>
            <w:r>
              <w:rPr>
                <w:noProof/>
                <w:webHidden/>
              </w:rPr>
              <w:tab/>
            </w:r>
            <w:r>
              <w:rPr>
                <w:noProof/>
                <w:webHidden/>
              </w:rPr>
              <w:fldChar w:fldCharType="begin"/>
            </w:r>
            <w:r>
              <w:rPr>
                <w:noProof/>
                <w:webHidden/>
              </w:rPr>
              <w:instrText xml:space="preserve"> PAGEREF _Toc227606836 \h </w:instrText>
            </w:r>
            <w:r>
              <w:rPr>
                <w:noProof/>
                <w:webHidden/>
              </w:rPr>
            </w:r>
            <w:r>
              <w:rPr>
                <w:noProof/>
                <w:webHidden/>
              </w:rPr>
              <w:fldChar w:fldCharType="separate"/>
            </w:r>
            <w:r>
              <w:rPr>
                <w:noProof/>
                <w:webHidden/>
              </w:rPr>
              <w:t>14</w:t>
            </w:r>
            <w:r>
              <w:rPr>
                <w:noProof/>
                <w:webHidden/>
              </w:rPr>
              <w:fldChar w:fldCharType="end"/>
            </w:r>
          </w:hyperlink>
        </w:p>
        <w:p w14:paraId="023CC7F8" w14:textId="26C5E0C1"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37" w:history="1">
            <w:r w:rsidRPr="005F01E5">
              <w:rPr>
                <w:rStyle w:val="Hyperlink"/>
                <w:rFonts w:cs="Times New Roman"/>
                <w:noProof/>
                <w:lang w:val="en-US"/>
              </w:rPr>
              <w:t>2.2</w:t>
            </w:r>
            <w:r>
              <w:rPr>
                <w:rFonts w:eastAsiaTheme="minorEastAsia"/>
                <w:b w:val="0"/>
                <w:bCs w:val="0"/>
                <w:noProof/>
                <w:lang w:eastAsia="en-GB"/>
                <w14:ligatures w14:val="none"/>
              </w:rPr>
              <w:tab/>
            </w:r>
            <w:r w:rsidRPr="005F01E5">
              <w:rPr>
                <w:rStyle w:val="Hyperlink"/>
                <w:rFonts w:cs="Times New Roman"/>
                <w:noProof/>
                <w:lang w:val="en-US"/>
              </w:rPr>
              <w:t>Discussion of the three investments</w:t>
            </w:r>
            <w:r>
              <w:rPr>
                <w:noProof/>
                <w:webHidden/>
              </w:rPr>
              <w:tab/>
            </w:r>
            <w:r>
              <w:rPr>
                <w:noProof/>
                <w:webHidden/>
              </w:rPr>
              <w:fldChar w:fldCharType="begin"/>
            </w:r>
            <w:r>
              <w:rPr>
                <w:noProof/>
                <w:webHidden/>
              </w:rPr>
              <w:instrText xml:space="preserve"> PAGEREF _Toc227606837 \h </w:instrText>
            </w:r>
            <w:r>
              <w:rPr>
                <w:noProof/>
                <w:webHidden/>
              </w:rPr>
            </w:r>
            <w:r>
              <w:rPr>
                <w:noProof/>
                <w:webHidden/>
              </w:rPr>
              <w:fldChar w:fldCharType="separate"/>
            </w:r>
            <w:r>
              <w:rPr>
                <w:noProof/>
                <w:webHidden/>
              </w:rPr>
              <w:t>15</w:t>
            </w:r>
            <w:r>
              <w:rPr>
                <w:noProof/>
                <w:webHidden/>
              </w:rPr>
              <w:fldChar w:fldCharType="end"/>
            </w:r>
          </w:hyperlink>
        </w:p>
        <w:p w14:paraId="70D020D9" w14:textId="3C63CF67"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38" w:history="1">
            <w:r w:rsidRPr="005F01E5">
              <w:rPr>
                <w:rStyle w:val="Hyperlink"/>
                <w:rFonts w:cs="Times New Roman"/>
                <w:noProof/>
                <w:lang w:val="en-AU"/>
              </w:rPr>
              <w:t>2.3</w:t>
            </w:r>
            <w:r>
              <w:rPr>
                <w:rFonts w:eastAsiaTheme="minorEastAsia"/>
                <w:b w:val="0"/>
                <w:bCs w:val="0"/>
                <w:noProof/>
                <w:lang w:eastAsia="en-GB"/>
                <w14:ligatures w14:val="none"/>
              </w:rPr>
              <w:tab/>
            </w:r>
            <w:r w:rsidRPr="005F01E5">
              <w:rPr>
                <w:rStyle w:val="Hyperlink"/>
                <w:rFonts w:cs="Times New Roman"/>
                <w:noProof/>
                <w:lang w:val="en-AU"/>
              </w:rPr>
              <w:t>Approximate IRR of the recommended option</w:t>
            </w:r>
            <w:r>
              <w:rPr>
                <w:noProof/>
                <w:webHidden/>
              </w:rPr>
              <w:tab/>
            </w:r>
            <w:r>
              <w:rPr>
                <w:noProof/>
                <w:webHidden/>
              </w:rPr>
              <w:fldChar w:fldCharType="begin"/>
            </w:r>
            <w:r>
              <w:rPr>
                <w:noProof/>
                <w:webHidden/>
              </w:rPr>
              <w:instrText xml:space="preserve"> PAGEREF _Toc227606838 \h </w:instrText>
            </w:r>
            <w:r>
              <w:rPr>
                <w:noProof/>
                <w:webHidden/>
              </w:rPr>
            </w:r>
            <w:r>
              <w:rPr>
                <w:noProof/>
                <w:webHidden/>
              </w:rPr>
              <w:fldChar w:fldCharType="separate"/>
            </w:r>
            <w:r>
              <w:rPr>
                <w:noProof/>
                <w:webHidden/>
              </w:rPr>
              <w:t>15</w:t>
            </w:r>
            <w:r>
              <w:rPr>
                <w:noProof/>
                <w:webHidden/>
              </w:rPr>
              <w:fldChar w:fldCharType="end"/>
            </w:r>
          </w:hyperlink>
        </w:p>
        <w:p w14:paraId="7B892808" w14:textId="32B3D3F3"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39" w:history="1">
            <w:r w:rsidRPr="005F01E5">
              <w:rPr>
                <w:rStyle w:val="Hyperlink"/>
                <w:rFonts w:cs="Times New Roman"/>
                <w:noProof/>
                <w:lang w:val="en-US"/>
              </w:rPr>
              <w:t>2.4</w:t>
            </w:r>
            <w:r>
              <w:rPr>
                <w:rFonts w:eastAsiaTheme="minorEastAsia"/>
                <w:b w:val="0"/>
                <w:bCs w:val="0"/>
                <w:noProof/>
                <w:lang w:eastAsia="en-GB"/>
                <w14:ligatures w14:val="none"/>
              </w:rPr>
              <w:tab/>
            </w:r>
            <w:r w:rsidRPr="005F01E5">
              <w:rPr>
                <w:rStyle w:val="Hyperlink"/>
                <w:rFonts w:cs="Times New Roman"/>
                <w:noProof/>
                <w:lang w:val="en-US"/>
              </w:rPr>
              <w:t>Theoretical case for NPV</w:t>
            </w:r>
            <w:r>
              <w:rPr>
                <w:noProof/>
                <w:webHidden/>
              </w:rPr>
              <w:tab/>
            </w:r>
            <w:r>
              <w:rPr>
                <w:noProof/>
                <w:webHidden/>
              </w:rPr>
              <w:fldChar w:fldCharType="begin"/>
            </w:r>
            <w:r>
              <w:rPr>
                <w:noProof/>
                <w:webHidden/>
              </w:rPr>
              <w:instrText xml:space="preserve"> PAGEREF _Toc227606839 \h </w:instrText>
            </w:r>
            <w:r>
              <w:rPr>
                <w:noProof/>
                <w:webHidden/>
              </w:rPr>
            </w:r>
            <w:r>
              <w:rPr>
                <w:noProof/>
                <w:webHidden/>
              </w:rPr>
              <w:fldChar w:fldCharType="separate"/>
            </w:r>
            <w:r>
              <w:rPr>
                <w:noProof/>
                <w:webHidden/>
              </w:rPr>
              <w:t>16</w:t>
            </w:r>
            <w:r>
              <w:rPr>
                <w:noProof/>
                <w:webHidden/>
              </w:rPr>
              <w:fldChar w:fldCharType="end"/>
            </w:r>
          </w:hyperlink>
        </w:p>
        <w:p w14:paraId="57D1ADC5" w14:textId="5C7DA07A"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40" w:history="1">
            <w:r w:rsidRPr="005F01E5">
              <w:rPr>
                <w:rStyle w:val="Hyperlink"/>
                <w:rFonts w:cs="Times New Roman"/>
                <w:noProof/>
                <w:lang w:val="en-US"/>
              </w:rPr>
              <w:t>2.5</w:t>
            </w:r>
            <w:r>
              <w:rPr>
                <w:rFonts w:eastAsiaTheme="minorEastAsia"/>
                <w:b w:val="0"/>
                <w:bCs w:val="0"/>
                <w:noProof/>
                <w:lang w:eastAsia="en-GB"/>
                <w14:ligatures w14:val="none"/>
              </w:rPr>
              <w:tab/>
            </w:r>
            <w:r w:rsidRPr="005F01E5">
              <w:rPr>
                <w:rStyle w:val="Hyperlink"/>
                <w:rFonts w:cs="Times New Roman"/>
                <w:noProof/>
                <w:lang w:val="en-US"/>
              </w:rPr>
              <w:t>Reasons why non-discounting techniques are still popular</w:t>
            </w:r>
            <w:r>
              <w:rPr>
                <w:noProof/>
                <w:webHidden/>
              </w:rPr>
              <w:tab/>
            </w:r>
            <w:r>
              <w:rPr>
                <w:noProof/>
                <w:webHidden/>
              </w:rPr>
              <w:fldChar w:fldCharType="begin"/>
            </w:r>
            <w:r>
              <w:rPr>
                <w:noProof/>
                <w:webHidden/>
              </w:rPr>
              <w:instrText xml:space="preserve"> PAGEREF _Toc227606840 \h </w:instrText>
            </w:r>
            <w:r>
              <w:rPr>
                <w:noProof/>
                <w:webHidden/>
              </w:rPr>
            </w:r>
            <w:r>
              <w:rPr>
                <w:noProof/>
                <w:webHidden/>
              </w:rPr>
              <w:fldChar w:fldCharType="separate"/>
            </w:r>
            <w:r>
              <w:rPr>
                <w:noProof/>
                <w:webHidden/>
              </w:rPr>
              <w:t>17</w:t>
            </w:r>
            <w:r>
              <w:rPr>
                <w:noProof/>
                <w:webHidden/>
              </w:rPr>
              <w:fldChar w:fldCharType="end"/>
            </w:r>
          </w:hyperlink>
        </w:p>
        <w:p w14:paraId="220449F1" w14:textId="41AE3E9A" w:rsidR="00DF4177" w:rsidRDefault="00DF4177">
          <w:pPr>
            <w:pStyle w:val="TOC2"/>
            <w:tabs>
              <w:tab w:val="right" w:leader="underscore" w:pos="9350"/>
            </w:tabs>
            <w:rPr>
              <w:rFonts w:eastAsiaTheme="minorEastAsia"/>
              <w:b w:val="0"/>
              <w:bCs w:val="0"/>
              <w:noProof/>
              <w:lang w:eastAsia="en-GB"/>
              <w14:ligatures w14:val="none"/>
            </w:rPr>
          </w:pPr>
          <w:hyperlink w:anchor="_Toc227606841" w:history="1">
            <w:r w:rsidRPr="005F01E5">
              <w:rPr>
                <w:rStyle w:val="Hyperlink"/>
                <w:rFonts w:cs="Times New Roman"/>
                <w:noProof/>
                <w:lang w:val="en-US"/>
              </w:rPr>
              <w:t>Non-discounting methods remain popular despite the theoretical strength of NPV because they are simpler to calculate and easier to explain. The payback period, in particular, is straightforward and often appeals to directors who are concerned about liquidity and the speed of cash recovery. This can be especially relevant in smaller businesses where financial flexibility may be limited (Graham and Harvey, 2001; Siziba and Hall, 2021).</w:t>
            </w:r>
            <w:r>
              <w:rPr>
                <w:noProof/>
                <w:webHidden/>
              </w:rPr>
              <w:tab/>
            </w:r>
            <w:r>
              <w:rPr>
                <w:noProof/>
                <w:webHidden/>
              </w:rPr>
              <w:fldChar w:fldCharType="begin"/>
            </w:r>
            <w:r>
              <w:rPr>
                <w:noProof/>
                <w:webHidden/>
              </w:rPr>
              <w:instrText xml:space="preserve"> PAGEREF _Toc227606841 \h </w:instrText>
            </w:r>
            <w:r>
              <w:rPr>
                <w:noProof/>
                <w:webHidden/>
              </w:rPr>
            </w:r>
            <w:r>
              <w:rPr>
                <w:noProof/>
                <w:webHidden/>
              </w:rPr>
              <w:fldChar w:fldCharType="separate"/>
            </w:r>
            <w:r>
              <w:rPr>
                <w:noProof/>
                <w:webHidden/>
              </w:rPr>
              <w:t>17</w:t>
            </w:r>
            <w:r>
              <w:rPr>
                <w:noProof/>
                <w:webHidden/>
              </w:rPr>
              <w:fldChar w:fldCharType="end"/>
            </w:r>
          </w:hyperlink>
        </w:p>
        <w:p w14:paraId="19956132" w14:textId="38B27878" w:rsidR="00DF4177" w:rsidRDefault="00DF4177">
          <w:pPr>
            <w:pStyle w:val="TOC2"/>
            <w:tabs>
              <w:tab w:val="right" w:leader="underscore" w:pos="9350"/>
            </w:tabs>
            <w:rPr>
              <w:rFonts w:eastAsiaTheme="minorEastAsia"/>
              <w:b w:val="0"/>
              <w:bCs w:val="0"/>
              <w:noProof/>
              <w:lang w:eastAsia="en-GB"/>
              <w14:ligatures w14:val="none"/>
            </w:rPr>
          </w:pPr>
          <w:hyperlink w:anchor="_Toc227606842" w:history="1">
            <w:r w:rsidRPr="005F01E5">
              <w:rPr>
                <w:rStyle w:val="Hyperlink"/>
                <w:rFonts w:cs="Times New Roman"/>
                <w:noProof/>
                <w:lang w:val="en-US"/>
              </w:rPr>
              <w:t>Payback is not irrational. It provides a rough indication of exposure: the longer the payback period, the longer the company’s money remains at risk. However, it is not a value-maximising measure because it ignores the time value of money and often excludes cash flows occurring after the payback point. It should therefore be treated as a supporting tool rather than the main investment criterion (Siziba and Hall, 2021; Sokolov, 2024).</w:t>
            </w:r>
            <w:r>
              <w:rPr>
                <w:noProof/>
                <w:webHidden/>
              </w:rPr>
              <w:tab/>
            </w:r>
            <w:r>
              <w:rPr>
                <w:noProof/>
                <w:webHidden/>
              </w:rPr>
              <w:fldChar w:fldCharType="begin"/>
            </w:r>
            <w:r>
              <w:rPr>
                <w:noProof/>
                <w:webHidden/>
              </w:rPr>
              <w:instrText xml:space="preserve"> PAGEREF _Toc227606842 \h </w:instrText>
            </w:r>
            <w:r>
              <w:rPr>
                <w:noProof/>
                <w:webHidden/>
              </w:rPr>
            </w:r>
            <w:r>
              <w:rPr>
                <w:noProof/>
                <w:webHidden/>
              </w:rPr>
              <w:fldChar w:fldCharType="separate"/>
            </w:r>
            <w:r>
              <w:rPr>
                <w:noProof/>
                <w:webHidden/>
              </w:rPr>
              <w:t>17</w:t>
            </w:r>
            <w:r>
              <w:rPr>
                <w:noProof/>
                <w:webHidden/>
              </w:rPr>
              <w:fldChar w:fldCharType="end"/>
            </w:r>
          </w:hyperlink>
        </w:p>
        <w:p w14:paraId="12BE68F3" w14:textId="70F37BC4" w:rsidR="00DF4177" w:rsidRDefault="00DF4177">
          <w:pPr>
            <w:pStyle w:val="TOC2"/>
            <w:tabs>
              <w:tab w:val="right" w:leader="underscore" w:pos="9350"/>
            </w:tabs>
            <w:rPr>
              <w:rFonts w:eastAsiaTheme="minorEastAsia"/>
              <w:b w:val="0"/>
              <w:bCs w:val="0"/>
              <w:noProof/>
              <w:lang w:eastAsia="en-GB"/>
              <w14:ligatures w14:val="none"/>
            </w:rPr>
          </w:pPr>
          <w:hyperlink w:anchor="_Toc227606843" w:history="1">
            <w:r w:rsidRPr="005F01E5">
              <w:rPr>
                <w:rStyle w:val="Hyperlink"/>
                <w:rFonts w:cs="Times New Roman"/>
                <w:noProof/>
                <w:lang w:val="en-US"/>
              </w:rPr>
              <w:t>Accounting rate of return also remains popular because it uses accounting profit, which is familiar to managers and aligns with reporting language. However, it is weaker than NPV because accounting profit is affected by depreciation, accruals and accounting policy. It does not directly measure cash generation or wealth creation (Mota and Moreira, 2023; Brunzell, Liljeblom and Vaihekoski, 2013).</w:t>
            </w:r>
            <w:r>
              <w:rPr>
                <w:noProof/>
                <w:webHidden/>
              </w:rPr>
              <w:tab/>
            </w:r>
            <w:r>
              <w:rPr>
                <w:noProof/>
                <w:webHidden/>
              </w:rPr>
              <w:fldChar w:fldCharType="begin"/>
            </w:r>
            <w:r>
              <w:rPr>
                <w:noProof/>
                <w:webHidden/>
              </w:rPr>
              <w:instrText xml:space="preserve"> PAGEREF _Toc227606843 \h </w:instrText>
            </w:r>
            <w:r>
              <w:rPr>
                <w:noProof/>
                <w:webHidden/>
              </w:rPr>
            </w:r>
            <w:r>
              <w:rPr>
                <w:noProof/>
                <w:webHidden/>
              </w:rPr>
              <w:fldChar w:fldCharType="separate"/>
            </w:r>
            <w:r>
              <w:rPr>
                <w:noProof/>
                <w:webHidden/>
              </w:rPr>
              <w:t>17</w:t>
            </w:r>
            <w:r>
              <w:rPr>
                <w:noProof/>
                <w:webHidden/>
              </w:rPr>
              <w:fldChar w:fldCharType="end"/>
            </w:r>
          </w:hyperlink>
        </w:p>
        <w:p w14:paraId="2DCCE515" w14:textId="422F6310" w:rsidR="00DF4177" w:rsidRDefault="00DF4177">
          <w:pPr>
            <w:pStyle w:val="TOC2"/>
            <w:tabs>
              <w:tab w:val="right" w:leader="underscore" w:pos="9350"/>
            </w:tabs>
            <w:rPr>
              <w:rFonts w:eastAsiaTheme="minorEastAsia"/>
              <w:b w:val="0"/>
              <w:bCs w:val="0"/>
              <w:noProof/>
              <w:lang w:eastAsia="en-GB"/>
              <w14:ligatures w14:val="none"/>
            </w:rPr>
          </w:pPr>
          <w:hyperlink w:anchor="_Toc227606844" w:history="1">
            <w:r w:rsidRPr="005F01E5">
              <w:rPr>
                <w:rStyle w:val="Hyperlink"/>
                <w:rFonts w:cs="Times New Roman"/>
                <w:noProof/>
                <w:lang w:val="en-US"/>
              </w:rPr>
              <w:t>A longitudinal review by Siziba and Hall (2021) found that NPV, IRR, payback, accounting rate of return, return on investment and real-options valuation all remain widely used in practice, with payback often retained as a supplementary decision aid. This supports a balanced view: NPV should remain the primary decision rule, but simpler methods still have practical value in communication, liquidity screening and risk discussion.</w:t>
            </w:r>
            <w:r>
              <w:rPr>
                <w:noProof/>
                <w:webHidden/>
              </w:rPr>
              <w:tab/>
            </w:r>
            <w:r>
              <w:rPr>
                <w:noProof/>
                <w:webHidden/>
              </w:rPr>
              <w:fldChar w:fldCharType="begin"/>
            </w:r>
            <w:r>
              <w:rPr>
                <w:noProof/>
                <w:webHidden/>
              </w:rPr>
              <w:instrText xml:space="preserve"> PAGEREF _Toc227606844 \h </w:instrText>
            </w:r>
            <w:r>
              <w:rPr>
                <w:noProof/>
                <w:webHidden/>
              </w:rPr>
            </w:r>
            <w:r>
              <w:rPr>
                <w:noProof/>
                <w:webHidden/>
              </w:rPr>
              <w:fldChar w:fldCharType="separate"/>
            </w:r>
            <w:r>
              <w:rPr>
                <w:noProof/>
                <w:webHidden/>
              </w:rPr>
              <w:t>17</w:t>
            </w:r>
            <w:r>
              <w:rPr>
                <w:noProof/>
                <w:webHidden/>
              </w:rPr>
              <w:fldChar w:fldCharType="end"/>
            </w:r>
          </w:hyperlink>
        </w:p>
        <w:p w14:paraId="287D0FF3" w14:textId="591E67D0"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45" w:history="1">
            <w:r w:rsidRPr="005F01E5">
              <w:rPr>
                <w:rStyle w:val="Hyperlink"/>
                <w:rFonts w:cs="Times New Roman"/>
                <w:noProof/>
                <w:lang w:val="en-US"/>
              </w:rPr>
              <w:t>2.6</w:t>
            </w:r>
            <w:r>
              <w:rPr>
                <w:rFonts w:eastAsiaTheme="minorEastAsia"/>
                <w:b w:val="0"/>
                <w:bCs w:val="0"/>
                <w:noProof/>
                <w:lang w:eastAsia="en-GB"/>
                <w14:ligatures w14:val="none"/>
              </w:rPr>
              <w:tab/>
            </w:r>
            <w:r w:rsidRPr="005F01E5">
              <w:rPr>
                <w:rStyle w:val="Hyperlink"/>
                <w:rFonts w:cs="Times New Roman"/>
                <w:noProof/>
                <w:lang w:val="en-US"/>
              </w:rPr>
              <w:t>Pre-final investment decision factors</w:t>
            </w:r>
            <w:r>
              <w:rPr>
                <w:noProof/>
                <w:webHidden/>
              </w:rPr>
              <w:tab/>
            </w:r>
            <w:r>
              <w:rPr>
                <w:noProof/>
                <w:webHidden/>
              </w:rPr>
              <w:fldChar w:fldCharType="begin"/>
            </w:r>
            <w:r>
              <w:rPr>
                <w:noProof/>
                <w:webHidden/>
              </w:rPr>
              <w:instrText xml:space="preserve"> PAGEREF _Toc227606845 \h </w:instrText>
            </w:r>
            <w:r>
              <w:rPr>
                <w:noProof/>
                <w:webHidden/>
              </w:rPr>
            </w:r>
            <w:r>
              <w:rPr>
                <w:noProof/>
                <w:webHidden/>
              </w:rPr>
              <w:fldChar w:fldCharType="separate"/>
            </w:r>
            <w:r>
              <w:rPr>
                <w:noProof/>
                <w:webHidden/>
              </w:rPr>
              <w:t>17</w:t>
            </w:r>
            <w:r>
              <w:rPr>
                <w:noProof/>
                <w:webHidden/>
              </w:rPr>
              <w:fldChar w:fldCharType="end"/>
            </w:r>
          </w:hyperlink>
        </w:p>
        <w:p w14:paraId="60D9B564" w14:textId="228EFB21"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46" w:history="1">
            <w:r w:rsidRPr="005F01E5">
              <w:rPr>
                <w:rStyle w:val="Hyperlink"/>
                <w:rFonts w:cs="Times New Roman"/>
                <w:noProof/>
                <w:lang w:val="en-AU"/>
              </w:rPr>
              <w:t>2.7</w:t>
            </w:r>
            <w:r>
              <w:rPr>
                <w:rFonts w:eastAsiaTheme="minorEastAsia"/>
                <w:b w:val="0"/>
                <w:bCs w:val="0"/>
                <w:noProof/>
                <w:lang w:eastAsia="en-GB"/>
                <w14:ligatures w14:val="none"/>
              </w:rPr>
              <w:tab/>
            </w:r>
            <w:r w:rsidRPr="005F01E5">
              <w:rPr>
                <w:rStyle w:val="Hyperlink"/>
                <w:rFonts w:cs="Times New Roman"/>
                <w:noProof/>
                <w:lang w:val="en-AU"/>
              </w:rPr>
              <w:t>Capital rationing decision</w:t>
            </w:r>
            <w:r>
              <w:rPr>
                <w:noProof/>
                <w:webHidden/>
              </w:rPr>
              <w:tab/>
            </w:r>
            <w:r>
              <w:rPr>
                <w:noProof/>
                <w:webHidden/>
              </w:rPr>
              <w:fldChar w:fldCharType="begin"/>
            </w:r>
            <w:r>
              <w:rPr>
                <w:noProof/>
                <w:webHidden/>
              </w:rPr>
              <w:instrText xml:space="preserve"> PAGEREF _Toc227606846 \h </w:instrText>
            </w:r>
            <w:r>
              <w:rPr>
                <w:noProof/>
                <w:webHidden/>
              </w:rPr>
            </w:r>
            <w:r>
              <w:rPr>
                <w:noProof/>
                <w:webHidden/>
              </w:rPr>
              <w:fldChar w:fldCharType="separate"/>
            </w:r>
            <w:r>
              <w:rPr>
                <w:noProof/>
                <w:webHidden/>
              </w:rPr>
              <w:t>18</w:t>
            </w:r>
            <w:r>
              <w:rPr>
                <w:noProof/>
                <w:webHidden/>
              </w:rPr>
              <w:fldChar w:fldCharType="end"/>
            </w:r>
          </w:hyperlink>
        </w:p>
        <w:p w14:paraId="1B10AE8C" w14:textId="20677080"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47" w:history="1">
            <w:r w:rsidRPr="005F01E5">
              <w:rPr>
                <w:rStyle w:val="Hyperlink"/>
                <w:rFonts w:cs="Times New Roman"/>
                <w:noProof/>
                <w:lang w:val="en-AU"/>
              </w:rPr>
              <w:t>2.8</w:t>
            </w:r>
            <w:r>
              <w:rPr>
                <w:rFonts w:eastAsiaTheme="minorEastAsia"/>
                <w:b w:val="0"/>
                <w:bCs w:val="0"/>
                <w:noProof/>
                <w:lang w:eastAsia="en-GB"/>
                <w14:ligatures w14:val="none"/>
              </w:rPr>
              <w:tab/>
            </w:r>
            <w:r w:rsidRPr="005F01E5">
              <w:rPr>
                <w:rStyle w:val="Hyperlink"/>
                <w:rFonts w:cs="Times New Roman"/>
                <w:noProof/>
                <w:lang w:val="en-AU"/>
              </w:rPr>
              <w:t>Financing the investment programme</w:t>
            </w:r>
            <w:r>
              <w:rPr>
                <w:noProof/>
                <w:webHidden/>
              </w:rPr>
              <w:tab/>
            </w:r>
            <w:r>
              <w:rPr>
                <w:noProof/>
                <w:webHidden/>
              </w:rPr>
              <w:fldChar w:fldCharType="begin"/>
            </w:r>
            <w:r>
              <w:rPr>
                <w:noProof/>
                <w:webHidden/>
              </w:rPr>
              <w:instrText xml:space="preserve"> PAGEREF _Toc227606847 \h </w:instrText>
            </w:r>
            <w:r>
              <w:rPr>
                <w:noProof/>
                <w:webHidden/>
              </w:rPr>
            </w:r>
            <w:r>
              <w:rPr>
                <w:noProof/>
                <w:webHidden/>
              </w:rPr>
              <w:fldChar w:fldCharType="separate"/>
            </w:r>
            <w:r>
              <w:rPr>
                <w:noProof/>
                <w:webHidden/>
              </w:rPr>
              <w:t>19</w:t>
            </w:r>
            <w:r>
              <w:rPr>
                <w:noProof/>
                <w:webHidden/>
              </w:rPr>
              <w:fldChar w:fldCharType="end"/>
            </w:r>
          </w:hyperlink>
        </w:p>
        <w:p w14:paraId="6A04F5F1" w14:textId="7421604E" w:rsidR="00DF4177" w:rsidRDefault="00DF4177">
          <w:pPr>
            <w:pStyle w:val="TOC2"/>
            <w:tabs>
              <w:tab w:val="right" w:leader="underscore" w:pos="9350"/>
            </w:tabs>
            <w:rPr>
              <w:rFonts w:eastAsiaTheme="minorEastAsia"/>
              <w:b w:val="0"/>
              <w:bCs w:val="0"/>
              <w:noProof/>
              <w:lang w:eastAsia="en-GB"/>
              <w14:ligatures w14:val="none"/>
            </w:rPr>
          </w:pPr>
          <w:hyperlink w:anchor="_Toc227606848" w:history="1">
            <w:r w:rsidRPr="005F01E5">
              <w:rPr>
                <w:rStyle w:val="Hyperlink"/>
                <w:noProof/>
                <w:lang w:val="en-US"/>
              </w:rPr>
              <w:t>2.9 Recommendation</w:t>
            </w:r>
            <w:r>
              <w:rPr>
                <w:noProof/>
                <w:webHidden/>
              </w:rPr>
              <w:tab/>
            </w:r>
            <w:r>
              <w:rPr>
                <w:noProof/>
                <w:webHidden/>
              </w:rPr>
              <w:fldChar w:fldCharType="begin"/>
            </w:r>
            <w:r>
              <w:rPr>
                <w:noProof/>
                <w:webHidden/>
              </w:rPr>
              <w:instrText xml:space="preserve"> PAGEREF _Toc227606848 \h </w:instrText>
            </w:r>
            <w:r>
              <w:rPr>
                <w:noProof/>
                <w:webHidden/>
              </w:rPr>
            </w:r>
            <w:r>
              <w:rPr>
                <w:noProof/>
                <w:webHidden/>
              </w:rPr>
              <w:fldChar w:fldCharType="separate"/>
            </w:r>
            <w:r>
              <w:rPr>
                <w:noProof/>
                <w:webHidden/>
              </w:rPr>
              <w:t>20</w:t>
            </w:r>
            <w:r>
              <w:rPr>
                <w:noProof/>
                <w:webHidden/>
              </w:rPr>
              <w:fldChar w:fldCharType="end"/>
            </w:r>
          </w:hyperlink>
        </w:p>
        <w:p w14:paraId="5B5C0A85" w14:textId="377CD9FD" w:rsidR="00DF4177" w:rsidRDefault="00DF4177">
          <w:pPr>
            <w:pStyle w:val="TOC2"/>
            <w:tabs>
              <w:tab w:val="right" w:leader="underscore" w:pos="9350"/>
            </w:tabs>
            <w:rPr>
              <w:rFonts w:eastAsiaTheme="minorEastAsia"/>
              <w:b w:val="0"/>
              <w:bCs w:val="0"/>
              <w:noProof/>
              <w:lang w:eastAsia="en-GB"/>
              <w14:ligatures w14:val="none"/>
            </w:rPr>
          </w:pPr>
          <w:hyperlink w:anchor="_Toc227606849" w:history="1">
            <w:r w:rsidRPr="005F01E5">
              <w:rPr>
                <w:rStyle w:val="Hyperlink"/>
                <w:rFonts w:cs="Times New Roman"/>
                <w:noProof/>
                <w:lang w:val="en-US"/>
              </w:rPr>
              <w:t>2.10 Conclusion</w:t>
            </w:r>
            <w:r>
              <w:rPr>
                <w:noProof/>
                <w:webHidden/>
              </w:rPr>
              <w:tab/>
            </w:r>
            <w:r>
              <w:rPr>
                <w:noProof/>
                <w:webHidden/>
              </w:rPr>
              <w:fldChar w:fldCharType="begin"/>
            </w:r>
            <w:r>
              <w:rPr>
                <w:noProof/>
                <w:webHidden/>
              </w:rPr>
              <w:instrText xml:space="preserve"> PAGEREF _Toc227606849 \h </w:instrText>
            </w:r>
            <w:r>
              <w:rPr>
                <w:noProof/>
                <w:webHidden/>
              </w:rPr>
            </w:r>
            <w:r>
              <w:rPr>
                <w:noProof/>
                <w:webHidden/>
              </w:rPr>
              <w:fldChar w:fldCharType="separate"/>
            </w:r>
            <w:r>
              <w:rPr>
                <w:noProof/>
                <w:webHidden/>
              </w:rPr>
              <w:t>22</w:t>
            </w:r>
            <w:r>
              <w:rPr>
                <w:noProof/>
                <w:webHidden/>
              </w:rPr>
              <w:fldChar w:fldCharType="end"/>
            </w:r>
          </w:hyperlink>
        </w:p>
        <w:p w14:paraId="750C86B3" w14:textId="6750E1BC" w:rsidR="00DF4177" w:rsidRDefault="00DF4177">
          <w:pPr>
            <w:pStyle w:val="TOC1"/>
            <w:tabs>
              <w:tab w:val="left" w:pos="480"/>
              <w:tab w:val="right" w:leader="underscore" w:pos="9350"/>
            </w:tabs>
            <w:rPr>
              <w:rFonts w:eastAsiaTheme="minorEastAsia"/>
              <w:b w:val="0"/>
              <w:bCs w:val="0"/>
              <w:i w:val="0"/>
              <w:iCs w:val="0"/>
              <w:noProof/>
              <w:sz w:val="22"/>
              <w:szCs w:val="22"/>
              <w:lang w:eastAsia="en-GB"/>
              <w14:ligatures w14:val="none"/>
            </w:rPr>
          </w:pPr>
          <w:hyperlink w:anchor="_Toc227606850" w:history="1">
            <w:r w:rsidRPr="005F01E5">
              <w:rPr>
                <w:rStyle w:val="Hyperlink"/>
                <w:rFonts w:cs="Times New Roman"/>
                <w:noProof/>
                <w:lang w:val="en-AU"/>
              </w:rPr>
              <w:t>3.</w:t>
            </w:r>
            <w:r>
              <w:rPr>
                <w:rFonts w:eastAsiaTheme="minorEastAsia"/>
                <w:b w:val="0"/>
                <w:bCs w:val="0"/>
                <w:i w:val="0"/>
                <w:iCs w:val="0"/>
                <w:noProof/>
                <w:sz w:val="22"/>
                <w:szCs w:val="22"/>
                <w:lang w:eastAsia="en-GB"/>
                <w14:ligatures w14:val="none"/>
              </w:rPr>
              <w:tab/>
            </w:r>
            <w:r w:rsidRPr="005F01E5">
              <w:rPr>
                <w:rStyle w:val="Hyperlink"/>
                <w:rFonts w:cs="Times New Roman"/>
                <w:noProof/>
                <w:lang w:val="en-AU"/>
              </w:rPr>
              <w:t>Reference list</w:t>
            </w:r>
            <w:r>
              <w:rPr>
                <w:noProof/>
                <w:webHidden/>
              </w:rPr>
              <w:tab/>
            </w:r>
            <w:r>
              <w:rPr>
                <w:noProof/>
                <w:webHidden/>
              </w:rPr>
              <w:fldChar w:fldCharType="begin"/>
            </w:r>
            <w:r>
              <w:rPr>
                <w:noProof/>
                <w:webHidden/>
              </w:rPr>
              <w:instrText xml:space="preserve"> PAGEREF _Toc227606850 \h </w:instrText>
            </w:r>
            <w:r>
              <w:rPr>
                <w:noProof/>
                <w:webHidden/>
              </w:rPr>
            </w:r>
            <w:r>
              <w:rPr>
                <w:noProof/>
                <w:webHidden/>
              </w:rPr>
              <w:fldChar w:fldCharType="separate"/>
            </w:r>
            <w:r>
              <w:rPr>
                <w:noProof/>
                <w:webHidden/>
              </w:rPr>
              <w:t>23</w:t>
            </w:r>
            <w:r>
              <w:rPr>
                <w:noProof/>
                <w:webHidden/>
              </w:rPr>
              <w:fldChar w:fldCharType="end"/>
            </w:r>
          </w:hyperlink>
        </w:p>
        <w:p w14:paraId="7C9880ED" w14:textId="765B93AE" w:rsidR="00DF4177" w:rsidRDefault="00DF4177">
          <w:pPr>
            <w:pStyle w:val="TOC1"/>
            <w:tabs>
              <w:tab w:val="left" w:pos="480"/>
              <w:tab w:val="right" w:leader="underscore" w:pos="9350"/>
            </w:tabs>
            <w:rPr>
              <w:rFonts w:eastAsiaTheme="minorEastAsia"/>
              <w:b w:val="0"/>
              <w:bCs w:val="0"/>
              <w:i w:val="0"/>
              <w:iCs w:val="0"/>
              <w:noProof/>
              <w:sz w:val="22"/>
              <w:szCs w:val="22"/>
              <w:lang w:eastAsia="en-GB"/>
              <w14:ligatures w14:val="none"/>
            </w:rPr>
          </w:pPr>
          <w:hyperlink w:anchor="_Toc227606851" w:history="1">
            <w:r w:rsidRPr="005F01E5">
              <w:rPr>
                <w:rStyle w:val="Hyperlink"/>
                <w:rFonts w:cs="Times New Roman"/>
                <w:noProof/>
                <w:lang w:val="en-AU"/>
              </w:rPr>
              <w:t>4.</w:t>
            </w:r>
            <w:r>
              <w:rPr>
                <w:rFonts w:eastAsiaTheme="minorEastAsia"/>
                <w:b w:val="0"/>
                <w:bCs w:val="0"/>
                <w:i w:val="0"/>
                <w:iCs w:val="0"/>
                <w:noProof/>
                <w:sz w:val="22"/>
                <w:szCs w:val="22"/>
                <w:lang w:eastAsia="en-GB"/>
                <w14:ligatures w14:val="none"/>
              </w:rPr>
              <w:tab/>
            </w:r>
            <w:r w:rsidRPr="005F01E5">
              <w:rPr>
                <w:rStyle w:val="Hyperlink"/>
                <w:rFonts w:cs="Times New Roman"/>
                <w:noProof/>
                <w:lang w:val="en-AU"/>
              </w:rPr>
              <w:t>Appendices</w:t>
            </w:r>
            <w:r>
              <w:rPr>
                <w:noProof/>
                <w:webHidden/>
              </w:rPr>
              <w:tab/>
            </w:r>
            <w:r>
              <w:rPr>
                <w:noProof/>
                <w:webHidden/>
              </w:rPr>
              <w:fldChar w:fldCharType="begin"/>
            </w:r>
            <w:r>
              <w:rPr>
                <w:noProof/>
                <w:webHidden/>
              </w:rPr>
              <w:instrText xml:space="preserve"> PAGEREF _Toc227606851 \h </w:instrText>
            </w:r>
            <w:r>
              <w:rPr>
                <w:noProof/>
                <w:webHidden/>
              </w:rPr>
            </w:r>
            <w:r>
              <w:rPr>
                <w:noProof/>
                <w:webHidden/>
              </w:rPr>
              <w:fldChar w:fldCharType="separate"/>
            </w:r>
            <w:r>
              <w:rPr>
                <w:noProof/>
                <w:webHidden/>
              </w:rPr>
              <w:t>27</w:t>
            </w:r>
            <w:r>
              <w:rPr>
                <w:noProof/>
                <w:webHidden/>
              </w:rPr>
              <w:fldChar w:fldCharType="end"/>
            </w:r>
          </w:hyperlink>
        </w:p>
        <w:p w14:paraId="019706B4" w14:textId="1FE8C209"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52" w:history="1">
            <w:r w:rsidRPr="005F01E5">
              <w:rPr>
                <w:rStyle w:val="Hyperlink"/>
                <w:rFonts w:cs="Times New Roman"/>
                <w:noProof/>
              </w:rPr>
              <w:t>4.1</w:t>
            </w:r>
            <w:r>
              <w:rPr>
                <w:rFonts w:eastAsiaTheme="minorEastAsia"/>
                <w:b w:val="0"/>
                <w:bCs w:val="0"/>
                <w:noProof/>
                <w:lang w:eastAsia="en-GB"/>
                <w14:ligatures w14:val="none"/>
              </w:rPr>
              <w:tab/>
            </w:r>
            <w:r w:rsidRPr="005F01E5">
              <w:rPr>
                <w:rStyle w:val="Hyperlink"/>
                <w:rFonts w:cs="Times New Roman"/>
                <w:noProof/>
              </w:rPr>
              <w:t>Appendix A</w:t>
            </w:r>
            <w:r>
              <w:rPr>
                <w:noProof/>
                <w:webHidden/>
              </w:rPr>
              <w:tab/>
            </w:r>
            <w:r>
              <w:rPr>
                <w:noProof/>
                <w:webHidden/>
              </w:rPr>
              <w:fldChar w:fldCharType="begin"/>
            </w:r>
            <w:r>
              <w:rPr>
                <w:noProof/>
                <w:webHidden/>
              </w:rPr>
              <w:instrText xml:space="preserve"> PAGEREF _Toc227606852 \h </w:instrText>
            </w:r>
            <w:r>
              <w:rPr>
                <w:noProof/>
                <w:webHidden/>
              </w:rPr>
            </w:r>
            <w:r>
              <w:rPr>
                <w:noProof/>
                <w:webHidden/>
              </w:rPr>
              <w:fldChar w:fldCharType="separate"/>
            </w:r>
            <w:r>
              <w:rPr>
                <w:noProof/>
                <w:webHidden/>
              </w:rPr>
              <w:t>27</w:t>
            </w:r>
            <w:r>
              <w:rPr>
                <w:noProof/>
                <w:webHidden/>
              </w:rPr>
              <w:fldChar w:fldCharType="end"/>
            </w:r>
          </w:hyperlink>
        </w:p>
        <w:p w14:paraId="19E8CB95" w14:textId="556B2A20"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53" w:history="1">
            <w:r w:rsidRPr="005F01E5">
              <w:rPr>
                <w:rStyle w:val="Hyperlink"/>
                <w:rFonts w:cs="Times New Roman"/>
                <w:noProof/>
              </w:rPr>
              <w:t>4.2</w:t>
            </w:r>
            <w:r>
              <w:rPr>
                <w:rFonts w:eastAsiaTheme="minorEastAsia"/>
                <w:b w:val="0"/>
                <w:bCs w:val="0"/>
                <w:noProof/>
                <w:lang w:eastAsia="en-GB"/>
                <w14:ligatures w14:val="none"/>
              </w:rPr>
              <w:tab/>
            </w:r>
            <w:r w:rsidRPr="005F01E5">
              <w:rPr>
                <w:rStyle w:val="Hyperlink"/>
                <w:rFonts w:cs="Times New Roman"/>
                <w:noProof/>
              </w:rPr>
              <w:t>Appendix B: full ratio calculations</w:t>
            </w:r>
            <w:r>
              <w:rPr>
                <w:noProof/>
                <w:webHidden/>
              </w:rPr>
              <w:tab/>
            </w:r>
            <w:r>
              <w:rPr>
                <w:noProof/>
                <w:webHidden/>
              </w:rPr>
              <w:fldChar w:fldCharType="begin"/>
            </w:r>
            <w:r>
              <w:rPr>
                <w:noProof/>
                <w:webHidden/>
              </w:rPr>
              <w:instrText xml:space="preserve"> PAGEREF _Toc227606853 \h </w:instrText>
            </w:r>
            <w:r>
              <w:rPr>
                <w:noProof/>
                <w:webHidden/>
              </w:rPr>
            </w:r>
            <w:r>
              <w:rPr>
                <w:noProof/>
                <w:webHidden/>
              </w:rPr>
              <w:fldChar w:fldCharType="separate"/>
            </w:r>
            <w:r>
              <w:rPr>
                <w:noProof/>
                <w:webHidden/>
              </w:rPr>
              <w:t>31</w:t>
            </w:r>
            <w:r>
              <w:rPr>
                <w:noProof/>
                <w:webHidden/>
              </w:rPr>
              <w:fldChar w:fldCharType="end"/>
            </w:r>
          </w:hyperlink>
        </w:p>
        <w:p w14:paraId="12D6E2B5" w14:textId="3ACD2BD7"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54" w:history="1">
            <w:r w:rsidRPr="005F01E5">
              <w:rPr>
                <w:rStyle w:val="Hyperlink"/>
                <w:rFonts w:cs="Times New Roman"/>
                <w:noProof/>
                <w:lang w:val="en-AU"/>
              </w:rPr>
              <w:t>4.2.1</w:t>
            </w:r>
            <w:r>
              <w:rPr>
                <w:rFonts w:eastAsiaTheme="minorEastAsia"/>
                <w:noProof/>
                <w:sz w:val="22"/>
                <w:szCs w:val="22"/>
                <w:lang w:eastAsia="en-GB"/>
                <w14:ligatures w14:val="none"/>
              </w:rPr>
              <w:tab/>
            </w:r>
            <w:r w:rsidRPr="005F01E5">
              <w:rPr>
                <w:rStyle w:val="Hyperlink"/>
                <w:rFonts w:cs="Times New Roman"/>
                <w:noProof/>
                <w:lang w:val="en-AU"/>
              </w:rPr>
              <w:t>Appendix B1: Source figures used</w:t>
            </w:r>
            <w:r>
              <w:rPr>
                <w:noProof/>
                <w:webHidden/>
              </w:rPr>
              <w:tab/>
            </w:r>
            <w:r>
              <w:rPr>
                <w:noProof/>
                <w:webHidden/>
              </w:rPr>
              <w:fldChar w:fldCharType="begin"/>
            </w:r>
            <w:r>
              <w:rPr>
                <w:noProof/>
                <w:webHidden/>
              </w:rPr>
              <w:instrText xml:space="preserve"> PAGEREF _Toc227606854 \h </w:instrText>
            </w:r>
            <w:r>
              <w:rPr>
                <w:noProof/>
                <w:webHidden/>
              </w:rPr>
            </w:r>
            <w:r>
              <w:rPr>
                <w:noProof/>
                <w:webHidden/>
              </w:rPr>
              <w:fldChar w:fldCharType="separate"/>
            </w:r>
            <w:r>
              <w:rPr>
                <w:noProof/>
                <w:webHidden/>
              </w:rPr>
              <w:t>31</w:t>
            </w:r>
            <w:r>
              <w:rPr>
                <w:noProof/>
                <w:webHidden/>
              </w:rPr>
              <w:fldChar w:fldCharType="end"/>
            </w:r>
          </w:hyperlink>
        </w:p>
        <w:p w14:paraId="58C3F4FC" w14:textId="7966A8AD"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55" w:history="1">
            <w:r w:rsidRPr="005F01E5">
              <w:rPr>
                <w:rStyle w:val="Hyperlink"/>
                <w:rFonts w:cs="Times New Roman"/>
                <w:noProof/>
              </w:rPr>
              <w:t>4.2.2</w:t>
            </w:r>
            <w:r>
              <w:rPr>
                <w:rFonts w:eastAsiaTheme="minorEastAsia"/>
                <w:noProof/>
                <w:sz w:val="22"/>
                <w:szCs w:val="22"/>
                <w:lang w:eastAsia="en-GB"/>
                <w14:ligatures w14:val="none"/>
              </w:rPr>
              <w:tab/>
            </w:r>
            <w:r w:rsidRPr="005F01E5">
              <w:rPr>
                <w:rStyle w:val="Hyperlink"/>
                <w:rFonts w:cs="Times New Roman"/>
                <w:noProof/>
              </w:rPr>
              <w:t>Appendix B2: profitability ratios</w:t>
            </w:r>
            <w:r>
              <w:rPr>
                <w:noProof/>
                <w:webHidden/>
              </w:rPr>
              <w:tab/>
            </w:r>
            <w:r>
              <w:rPr>
                <w:noProof/>
                <w:webHidden/>
              </w:rPr>
              <w:fldChar w:fldCharType="begin"/>
            </w:r>
            <w:r>
              <w:rPr>
                <w:noProof/>
                <w:webHidden/>
              </w:rPr>
              <w:instrText xml:space="preserve"> PAGEREF _Toc227606855 \h </w:instrText>
            </w:r>
            <w:r>
              <w:rPr>
                <w:noProof/>
                <w:webHidden/>
              </w:rPr>
            </w:r>
            <w:r>
              <w:rPr>
                <w:noProof/>
                <w:webHidden/>
              </w:rPr>
              <w:fldChar w:fldCharType="separate"/>
            </w:r>
            <w:r>
              <w:rPr>
                <w:noProof/>
                <w:webHidden/>
              </w:rPr>
              <w:t>33</w:t>
            </w:r>
            <w:r>
              <w:rPr>
                <w:noProof/>
                <w:webHidden/>
              </w:rPr>
              <w:fldChar w:fldCharType="end"/>
            </w:r>
          </w:hyperlink>
        </w:p>
        <w:p w14:paraId="709A44B8" w14:textId="1FC06EC4"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56" w:history="1">
            <w:r w:rsidRPr="005F01E5">
              <w:rPr>
                <w:rStyle w:val="Hyperlink"/>
                <w:rFonts w:cs="Times New Roman"/>
                <w:noProof/>
                <w:lang w:val="en-AU"/>
              </w:rPr>
              <w:t>4.2.3</w:t>
            </w:r>
            <w:r>
              <w:rPr>
                <w:rFonts w:eastAsiaTheme="minorEastAsia"/>
                <w:noProof/>
                <w:sz w:val="22"/>
                <w:szCs w:val="22"/>
                <w:lang w:eastAsia="en-GB"/>
                <w14:ligatures w14:val="none"/>
              </w:rPr>
              <w:tab/>
            </w:r>
            <w:r w:rsidRPr="005F01E5">
              <w:rPr>
                <w:rStyle w:val="Hyperlink"/>
                <w:rFonts w:cs="Times New Roman"/>
                <w:noProof/>
                <w:lang w:val="en-AU"/>
              </w:rPr>
              <w:t>Appendix B3: efficiency ratios</w:t>
            </w:r>
            <w:r>
              <w:rPr>
                <w:noProof/>
                <w:webHidden/>
              </w:rPr>
              <w:tab/>
            </w:r>
            <w:r>
              <w:rPr>
                <w:noProof/>
                <w:webHidden/>
              </w:rPr>
              <w:fldChar w:fldCharType="begin"/>
            </w:r>
            <w:r>
              <w:rPr>
                <w:noProof/>
                <w:webHidden/>
              </w:rPr>
              <w:instrText xml:space="preserve"> PAGEREF _Toc227606856 \h </w:instrText>
            </w:r>
            <w:r>
              <w:rPr>
                <w:noProof/>
                <w:webHidden/>
              </w:rPr>
            </w:r>
            <w:r>
              <w:rPr>
                <w:noProof/>
                <w:webHidden/>
              </w:rPr>
              <w:fldChar w:fldCharType="separate"/>
            </w:r>
            <w:r>
              <w:rPr>
                <w:noProof/>
                <w:webHidden/>
              </w:rPr>
              <w:t>34</w:t>
            </w:r>
            <w:r>
              <w:rPr>
                <w:noProof/>
                <w:webHidden/>
              </w:rPr>
              <w:fldChar w:fldCharType="end"/>
            </w:r>
          </w:hyperlink>
        </w:p>
        <w:p w14:paraId="694B2ED8" w14:textId="36E10589"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57" w:history="1">
            <w:r w:rsidRPr="005F01E5">
              <w:rPr>
                <w:rStyle w:val="Hyperlink"/>
                <w:rFonts w:cs="Times New Roman"/>
                <w:noProof/>
                <w:lang w:val="en-AU"/>
              </w:rPr>
              <w:t>4.2.4</w:t>
            </w:r>
            <w:r>
              <w:rPr>
                <w:rFonts w:eastAsiaTheme="minorEastAsia"/>
                <w:noProof/>
                <w:sz w:val="22"/>
                <w:szCs w:val="22"/>
                <w:lang w:eastAsia="en-GB"/>
                <w14:ligatures w14:val="none"/>
              </w:rPr>
              <w:tab/>
            </w:r>
            <w:r w:rsidRPr="005F01E5">
              <w:rPr>
                <w:rStyle w:val="Hyperlink"/>
                <w:rFonts w:cs="Times New Roman"/>
                <w:noProof/>
                <w:lang w:val="en-AU"/>
              </w:rPr>
              <w:t>Appendix B4: liquidity ratios</w:t>
            </w:r>
            <w:r>
              <w:rPr>
                <w:noProof/>
                <w:webHidden/>
              </w:rPr>
              <w:tab/>
            </w:r>
            <w:r>
              <w:rPr>
                <w:noProof/>
                <w:webHidden/>
              </w:rPr>
              <w:fldChar w:fldCharType="begin"/>
            </w:r>
            <w:r>
              <w:rPr>
                <w:noProof/>
                <w:webHidden/>
              </w:rPr>
              <w:instrText xml:space="preserve"> PAGEREF _Toc227606857 \h </w:instrText>
            </w:r>
            <w:r>
              <w:rPr>
                <w:noProof/>
                <w:webHidden/>
              </w:rPr>
            </w:r>
            <w:r>
              <w:rPr>
                <w:noProof/>
                <w:webHidden/>
              </w:rPr>
              <w:fldChar w:fldCharType="separate"/>
            </w:r>
            <w:r>
              <w:rPr>
                <w:noProof/>
                <w:webHidden/>
              </w:rPr>
              <w:t>35</w:t>
            </w:r>
            <w:r>
              <w:rPr>
                <w:noProof/>
                <w:webHidden/>
              </w:rPr>
              <w:fldChar w:fldCharType="end"/>
            </w:r>
          </w:hyperlink>
        </w:p>
        <w:p w14:paraId="0450F2CF" w14:textId="5450989C"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58" w:history="1">
            <w:r w:rsidRPr="005F01E5">
              <w:rPr>
                <w:rStyle w:val="Hyperlink"/>
                <w:rFonts w:cs="Times New Roman"/>
                <w:noProof/>
                <w:lang w:val="en-AU"/>
              </w:rPr>
              <w:t>4.2.5</w:t>
            </w:r>
            <w:r>
              <w:rPr>
                <w:rFonts w:eastAsiaTheme="minorEastAsia"/>
                <w:noProof/>
                <w:sz w:val="22"/>
                <w:szCs w:val="22"/>
                <w:lang w:eastAsia="en-GB"/>
                <w14:ligatures w14:val="none"/>
              </w:rPr>
              <w:tab/>
            </w:r>
            <w:r w:rsidRPr="005F01E5">
              <w:rPr>
                <w:rStyle w:val="Hyperlink"/>
                <w:rFonts w:cs="Times New Roman"/>
                <w:noProof/>
                <w:lang w:val="en-AU"/>
              </w:rPr>
              <w:t>Appendix B5: investment ratios</w:t>
            </w:r>
            <w:r>
              <w:rPr>
                <w:noProof/>
                <w:webHidden/>
              </w:rPr>
              <w:tab/>
            </w:r>
            <w:r>
              <w:rPr>
                <w:noProof/>
                <w:webHidden/>
              </w:rPr>
              <w:fldChar w:fldCharType="begin"/>
            </w:r>
            <w:r>
              <w:rPr>
                <w:noProof/>
                <w:webHidden/>
              </w:rPr>
              <w:instrText xml:space="preserve"> PAGEREF _Toc227606858 \h </w:instrText>
            </w:r>
            <w:r>
              <w:rPr>
                <w:noProof/>
                <w:webHidden/>
              </w:rPr>
            </w:r>
            <w:r>
              <w:rPr>
                <w:noProof/>
                <w:webHidden/>
              </w:rPr>
              <w:fldChar w:fldCharType="separate"/>
            </w:r>
            <w:r>
              <w:rPr>
                <w:noProof/>
                <w:webHidden/>
              </w:rPr>
              <w:t>36</w:t>
            </w:r>
            <w:r>
              <w:rPr>
                <w:noProof/>
                <w:webHidden/>
              </w:rPr>
              <w:fldChar w:fldCharType="end"/>
            </w:r>
          </w:hyperlink>
        </w:p>
        <w:p w14:paraId="307F969D" w14:textId="6C576CBB"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59" w:history="1">
            <w:r w:rsidRPr="005F01E5">
              <w:rPr>
                <w:rStyle w:val="Hyperlink"/>
                <w:rFonts w:cs="Times New Roman"/>
                <w:noProof/>
                <w:lang w:val="en-AU"/>
              </w:rPr>
              <w:t>4.2.6</w:t>
            </w:r>
            <w:r>
              <w:rPr>
                <w:rFonts w:eastAsiaTheme="minorEastAsia"/>
                <w:noProof/>
                <w:sz w:val="22"/>
                <w:szCs w:val="22"/>
                <w:lang w:eastAsia="en-GB"/>
                <w14:ligatures w14:val="none"/>
              </w:rPr>
              <w:tab/>
            </w:r>
            <w:r w:rsidRPr="005F01E5">
              <w:rPr>
                <w:rStyle w:val="Hyperlink"/>
                <w:rFonts w:cs="Times New Roman"/>
                <w:noProof/>
                <w:lang w:val="en-AU"/>
              </w:rPr>
              <w:t>Appendix B6: gearing ratios</w:t>
            </w:r>
            <w:r>
              <w:rPr>
                <w:noProof/>
                <w:webHidden/>
              </w:rPr>
              <w:tab/>
            </w:r>
            <w:r>
              <w:rPr>
                <w:noProof/>
                <w:webHidden/>
              </w:rPr>
              <w:fldChar w:fldCharType="begin"/>
            </w:r>
            <w:r>
              <w:rPr>
                <w:noProof/>
                <w:webHidden/>
              </w:rPr>
              <w:instrText xml:space="preserve"> PAGEREF _Toc227606859 \h </w:instrText>
            </w:r>
            <w:r>
              <w:rPr>
                <w:noProof/>
                <w:webHidden/>
              </w:rPr>
            </w:r>
            <w:r>
              <w:rPr>
                <w:noProof/>
                <w:webHidden/>
              </w:rPr>
              <w:fldChar w:fldCharType="separate"/>
            </w:r>
            <w:r>
              <w:rPr>
                <w:noProof/>
                <w:webHidden/>
              </w:rPr>
              <w:t>36</w:t>
            </w:r>
            <w:r>
              <w:rPr>
                <w:noProof/>
                <w:webHidden/>
              </w:rPr>
              <w:fldChar w:fldCharType="end"/>
            </w:r>
          </w:hyperlink>
        </w:p>
        <w:p w14:paraId="29C1CD58" w14:textId="1B924BBE"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60" w:history="1">
            <w:r w:rsidRPr="005F01E5">
              <w:rPr>
                <w:rStyle w:val="Hyperlink"/>
                <w:rFonts w:cs="Times New Roman"/>
                <w:noProof/>
                <w:lang w:val="en-AU"/>
              </w:rPr>
              <w:t>4.3</w:t>
            </w:r>
            <w:r>
              <w:rPr>
                <w:rFonts w:eastAsiaTheme="minorEastAsia"/>
                <w:b w:val="0"/>
                <w:bCs w:val="0"/>
                <w:noProof/>
                <w:lang w:eastAsia="en-GB"/>
                <w14:ligatures w14:val="none"/>
              </w:rPr>
              <w:tab/>
            </w:r>
            <w:r w:rsidRPr="005F01E5">
              <w:rPr>
                <w:rStyle w:val="Hyperlink"/>
                <w:rFonts w:cs="Times New Roman"/>
                <w:noProof/>
                <w:lang w:val="en-AU"/>
              </w:rPr>
              <w:t>Appendix C: Capital allowances and after-tax cash flows</w:t>
            </w:r>
            <w:r>
              <w:rPr>
                <w:noProof/>
                <w:webHidden/>
              </w:rPr>
              <w:tab/>
            </w:r>
            <w:r>
              <w:rPr>
                <w:noProof/>
                <w:webHidden/>
              </w:rPr>
              <w:fldChar w:fldCharType="begin"/>
            </w:r>
            <w:r>
              <w:rPr>
                <w:noProof/>
                <w:webHidden/>
              </w:rPr>
              <w:instrText xml:space="preserve"> PAGEREF _Toc227606860 \h </w:instrText>
            </w:r>
            <w:r>
              <w:rPr>
                <w:noProof/>
                <w:webHidden/>
              </w:rPr>
            </w:r>
            <w:r>
              <w:rPr>
                <w:noProof/>
                <w:webHidden/>
              </w:rPr>
              <w:fldChar w:fldCharType="separate"/>
            </w:r>
            <w:r>
              <w:rPr>
                <w:noProof/>
                <w:webHidden/>
              </w:rPr>
              <w:t>37</w:t>
            </w:r>
            <w:r>
              <w:rPr>
                <w:noProof/>
                <w:webHidden/>
              </w:rPr>
              <w:fldChar w:fldCharType="end"/>
            </w:r>
          </w:hyperlink>
        </w:p>
        <w:p w14:paraId="0AEF6750" w14:textId="4E673A31"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61" w:history="1">
            <w:r w:rsidRPr="005F01E5">
              <w:rPr>
                <w:rStyle w:val="Hyperlink"/>
                <w:rFonts w:cs="Times New Roman"/>
                <w:noProof/>
                <w:lang w:val="en-AU"/>
              </w:rPr>
              <w:t>4.3.1</w:t>
            </w:r>
            <w:r>
              <w:rPr>
                <w:rFonts w:eastAsiaTheme="minorEastAsia"/>
                <w:noProof/>
                <w:sz w:val="22"/>
                <w:szCs w:val="22"/>
                <w:lang w:eastAsia="en-GB"/>
                <w14:ligatures w14:val="none"/>
              </w:rPr>
              <w:tab/>
            </w:r>
            <w:r w:rsidRPr="005F01E5">
              <w:rPr>
                <w:rStyle w:val="Hyperlink"/>
                <w:rFonts w:cs="Times New Roman"/>
                <w:noProof/>
                <w:lang w:val="en-AU"/>
              </w:rPr>
              <w:t>C1. Capital allowance calculation</w:t>
            </w:r>
            <w:r>
              <w:rPr>
                <w:noProof/>
                <w:webHidden/>
              </w:rPr>
              <w:tab/>
            </w:r>
            <w:r>
              <w:rPr>
                <w:noProof/>
                <w:webHidden/>
              </w:rPr>
              <w:fldChar w:fldCharType="begin"/>
            </w:r>
            <w:r>
              <w:rPr>
                <w:noProof/>
                <w:webHidden/>
              </w:rPr>
              <w:instrText xml:space="preserve"> PAGEREF _Toc227606861 \h </w:instrText>
            </w:r>
            <w:r>
              <w:rPr>
                <w:noProof/>
                <w:webHidden/>
              </w:rPr>
            </w:r>
            <w:r>
              <w:rPr>
                <w:noProof/>
                <w:webHidden/>
              </w:rPr>
              <w:fldChar w:fldCharType="separate"/>
            </w:r>
            <w:r>
              <w:rPr>
                <w:noProof/>
                <w:webHidden/>
              </w:rPr>
              <w:t>37</w:t>
            </w:r>
            <w:r>
              <w:rPr>
                <w:noProof/>
                <w:webHidden/>
              </w:rPr>
              <w:fldChar w:fldCharType="end"/>
            </w:r>
          </w:hyperlink>
        </w:p>
        <w:p w14:paraId="1D5B2056" w14:textId="1B263EE5"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62" w:history="1">
            <w:r w:rsidRPr="005F01E5">
              <w:rPr>
                <w:rStyle w:val="Hyperlink"/>
                <w:rFonts w:cs="Times New Roman"/>
                <w:noProof/>
                <w:lang w:val="en-AU"/>
              </w:rPr>
              <w:t>1.1.1</w:t>
            </w:r>
            <w:r>
              <w:rPr>
                <w:rFonts w:eastAsiaTheme="minorEastAsia"/>
                <w:noProof/>
                <w:sz w:val="22"/>
                <w:szCs w:val="22"/>
                <w:lang w:eastAsia="en-GB"/>
                <w14:ligatures w14:val="none"/>
              </w:rPr>
              <w:tab/>
            </w:r>
            <w:r w:rsidRPr="005F01E5">
              <w:rPr>
                <w:rStyle w:val="Hyperlink"/>
                <w:rFonts w:cs="Times New Roman"/>
                <w:noProof/>
                <w:lang w:val="en-AU"/>
              </w:rPr>
              <w:t>C2. Discount factors at 5%</w:t>
            </w:r>
            <w:r>
              <w:rPr>
                <w:noProof/>
                <w:webHidden/>
              </w:rPr>
              <w:tab/>
            </w:r>
            <w:r>
              <w:rPr>
                <w:noProof/>
                <w:webHidden/>
              </w:rPr>
              <w:fldChar w:fldCharType="begin"/>
            </w:r>
            <w:r>
              <w:rPr>
                <w:noProof/>
                <w:webHidden/>
              </w:rPr>
              <w:instrText xml:space="preserve"> PAGEREF _Toc227606862 \h </w:instrText>
            </w:r>
            <w:r>
              <w:rPr>
                <w:noProof/>
                <w:webHidden/>
              </w:rPr>
            </w:r>
            <w:r>
              <w:rPr>
                <w:noProof/>
                <w:webHidden/>
              </w:rPr>
              <w:fldChar w:fldCharType="separate"/>
            </w:r>
            <w:r>
              <w:rPr>
                <w:noProof/>
                <w:webHidden/>
              </w:rPr>
              <w:t>37</w:t>
            </w:r>
            <w:r>
              <w:rPr>
                <w:noProof/>
                <w:webHidden/>
              </w:rPr>
              <w:fldChar w:fldCharType="end"/>
            </w:r>
          </w:hyperlink>
        </w:p>
        <w:p w14:paraId="4BF44687" w14:textId="17EB5E43"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63" w:history="1">
            <w:r w:rsidRPr="005F01E5">
              <w:rPr>
                <w:rStyle w:val="Hyperlink"/>
                <w:rFonts w:cs="Times New Roman"/>
                <w:noProof/>
                <w:lang w:val="en-AU"/>
              </w:rPr>
              <w:t>4.4</w:t>
            </w:r>
            <w:r>
              <w:rPr>
                <w:rFonts w:eastAsiaTheme="minorEastAsia"/>
                <w:b w:val="0"/>
                <w:bCs w:val="0"/>
                <w:noProof/>
                <w:lang w:eastAsia="en-GB"/>
                <w14:ligatures w14:val="none"/>
              </w:rPr>
              <w:tab/>
            </w:r>
            <w:r w:rsidRPr="005F01E5">
              <w:rPr>
                <w:rStyle w:val="Hyperlink"/>
                <w:rFonts w:cs="Times New Roman"/>
                <w:noProof/>
                <w:lang w:val="en-AU"/>
              </w:rPr>
              <w:t>Appendix D: NPV calculations</w:t>
            </w:r>
            <w:r>
              <w:rPr>
                <w:noProof/>
                <w:webHidden/>
              </w:rPr>
              <w:tab/>
            </w:r>
            <w:r>
              <w:rPr>
                <w:noProof/>
                <w:webHidden/>
              </w:rPr>
              <w:fldChar w:fldCharType="begin"/>
            </w:r>
            <w:r>
              <w:rPr>
                <w:noProof/>
                <w:webHidden/>
              </w:rPr>
              <w:instrText xml:space="preserve"> PAGEREF _Toc227606863 \h </w:instrText>
            </w:r>
            <w:r>
              <w:rPr>
                <w:noProof/>
                <w:webHidden/>
              </w:rPr>
            </w:r>
            <w:r>
              <w:rPr>
                <w:noProof/>
                <w:webHidden/>
              </w:rPr>
              <w:fldChar w:fldCharType="separate"/>
            </w:r>
            <w:r>
              <w:rPr>
                <w:noProof/>
                <w:webHidden/>
              </w:rPr>
              <w:t>38</w:t>
            </w:r>
            <w:r>
              <w:rPr>
                <w:noProof/>
                <w:webHidden/>
              </w:rPr>
              <w:fldChar w:fldCharType="end"/>
            </w:r>
          </w:hyperlink>
        </w:p>
        <w:p w14:paraId="7542873A" w14:textId="35686144"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64" w:history="1">
            <w:r w:rsidRPr="005F01E5">
              <w:rPr>
                <w:rStyle w:val="Hyperlink"/>
                <w:rFonts w:cs="Times New Roman"/>
                <w:noProof/>
                <w:lang w:val="en-AU"/>
              </w:rPr>
              <w:t>4.4.1</w:t>
            </w:r>
            <w:r>
              <w:rPr>
                <w:rFonts w:eastAsiaTheme="minorEastAsia"/>
                <w:noProof/>
                <w:sz w:val="22"/>
                <w:szCs w:val="22"/>
                <w:lang w:eastAsia="en-GB"/>
                <w14:ligatures w14:val="none"/>
              </w:rPr>
              <w:tab/>
            </w:r>
            <w:r w:rsidRPr="005F01E5">
              <w:rPr>
                <w:rStyle w:val="Hyperlink"/>
                <w:rFonts w:cs="Times New Roman"/>
                <w:noProof/>
                <w:lang w:val="en-AU"/>
              </w:rPr>
              <w:t>D1. Option A: Expand retail outlet</w:t>
            </w:r>
            <w:r>
              <w:rPr>
                <w:noProof/>
                <w:webHidden/>
              </w:rPr>
              <w:tab/>
            </w:r>
            <w:r>
              <w:rPr>
                <w:noProof/>
                <w:webHidden/>
              </w:rPr>
              <w:fldChar w:fldCharType="begin"/>
            </w:r>
            <w:r>
              <w:rPr>
                <w:noProof/>
                <w:webHidden/>
              </w:rPr>
              <w:instrText xml:space="preserve"> PAGEREF _Toc227606864 \h </w:instrText>
            </w:r>
            <w:r>
              <w:rPr>
                <w:noProof/>
                <w:webHidden/>
              </w:rPr>
            </w:r>
            <w:r>
              <w:rPr>
                <w:noProof/>
                <w:webHidden/>
              </w:rPr>
              <w:fldChar w:fldCharType="separate"/>
            </w:r>
            <w:r>
              <w:rPr>
                <w:noProof/>
                <w:webHidden/>
              </w:rPr>
              <w:t>38</w:t>
            </w:r>
            <w:r>
              <w:rPr>
                <w:noProof/>
                <w:webHidden/>
              </w:rPr>
              <w:fldChar w:fldCharType="end"/>
            </w:r>
          </w:hyperlink>
        </w:p>
        <w:p w14:paraId="144AA247" w14:textId="4E57CF29"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65" w:history="1">
            <w:r w:rsidRPr="005F01E5">
              <w:rPr>
                <w:rStyle w:val="Hyperlink"/>
                <w:rFonts w:cs="Times New Roman"/>
                <w:noProof/>
                <w:lang w:val="en-AU"/>
              </w:rPr>
              <w:t>4.4.2</w:t>
            </w:r>
            <w:r>
              <w:rPr>
                <w:rFonts w:eastAsiaTheme="minorEastAsia"/>
                <w:noProof/>
                <w:sz w:val="22"/>
                <w:szCs w:val="22"/>
                <w:lang w:eastAsia="en-GB"/>
                <w14:ligatures w14:val="none"/>
              </w:rPr>
              <w:tab/>
            </w:r>
            <w:r w:rsidRPr="005F01E5">
              <w:rPr>
                <w:rStyle w:val="Hyperlink"/>
                <w:rFonts w:cs="Times New Roman"/>
                <w:noProof/>
                <w:lang w:val="en-AU"/>
              </w:rPr>
              <w:t>D2. Option B: Develop internet sales</w:t>
            </w:r>
            <w:r>
              <w:rPr>
                <w:noProof/>
                <w:webHidden/>
              </w:rPr>
              <w:tab/>
            </w:r>
            <w:r>
              <w:rPr>
                <w:noProof/>
                <w:webHidden/>
              </w:rPr>
              <w:fldChar w:fldCharType="begin"/>
            </w:r>
            <w:r>
              <w:rPr>
                <w:noProof/>
                <w:webHidden/>
              </w:rPr>
              <w:instrText xml:space="preserve"> PAGEREF _Toc227606865 \h </w:instrText>
            </w:r>
            <w:r>
              <w:rPr>
                <w:noProof/>
                <w:webHidden/>
              </w:rPr>
            </w:r>
            <w:r>
              <w:rPr>
                <w:noProof/>
                <w:webHidden/>
              </w:rPr>
              <w:fldChar w:fldCharType="separate"/>
            </w:r>
            <w:r>
              <w:rPr>
                <w:noProof/>
                <w:webHidden/>
              </w:rPr>
              <w:t>38</w:t>
            </w:r>
            <w:r>
              <w:rPr>
                <w:noProof/>
                <w:webHidden/>
              </w:rPr>
              <w:fldChar w:fldCharType="end"/>
            </w:r>
          </w:hyperlink>
        </w:p>
        <w:p w14:paraId="0E4027FB" w14:textId="0AF9EBA6" w:rsidR="00DF4177" w:rsidRDefault="00DF4177">
          <w:pPr>
            <w:pStyle w:val="TOC3"/>
            <w:tabs>
              <w:tab w:val="left" w:pos="1200"/>
              <w:tab w:val="right" w:leader="underscore" w:pos="9350"/>
            </w:tabs>
            <w:rPr>
              <w:rFonts w:eastAsiaTheme="minorEastAsia"/>
              <w:noProof/>
              <w:sz w:val="22"/>
              <w:szCs w:val="22"/>
              <w:lang w:eastAsia="en-GB"/>
              <w14:ligatures w14:val="none"/>
            </w:rPr>
          </w:pPr>
          <w:hyperlink w:anchor="_Toc227606866" w:history="1">
            <w:r w:rsidRPr="005F01E5">
              <w:rPr>
                <w:rStyle w:val="Hyperlink"/>
                <w:rFonts w:cs="Times New Roman"/>
                <w:noProof/>
                <w:lang w:val="en-AU"/>
              </w:rPr>
              <w:t>4.4.3</w:t>
            </w:r>
            <w:r>
              <w:rPr>
                <w:rFonts w:eastAsiaTheme="minorEastAsia"/>
                <w:noProof/>
                <w:sz w:val="22"/>
                <w:szCs w:val="22"/>
                <w:lang w:eastAsia="en-GB"/>
                <w14:ligatures w14:val="none"/>
              </w:rPr>
              <w:tab/>
            </w:r>
            <w:r w:rsidRPr="005F01E5">
              <w:rPr>
                <w:rStyle w:val="Hyperlink"/>
                <w:rFonts w:cs="Times New Roman"/>
                <w:noProof/>
                <w:lang w:val="en-AU"/>
              </w:rPr>
              <w:t>D3. Option C: Produce purses and wallets</w:t>
            </w:r>
            <w:r>
              <w:rPr>
                <w:noProof/>
                <w:webHidden/>
              </w:rPr>
              <w:tab/>
            </w:r>
            <w:r>
              <w:rPr>
                <w:noProof/>
                <w:webHidden/>
              </w:rPr>
              <w:fldChar w:fldCharType="begin"/>
            </w:r>
            <w:r>
              <w:rPr>
                <w:noProof/>
                <w:webHidden/>
              </w:rPr>
              <w:instrText xml:space="preserve"> PAGEREF _Toc227606866 \h </w:instrText>
            </w:r>
            <w:r>
              <w:rPr>
                <w:noProof/>
                <w:webHidden/>
              </w:rPr>
            </w:r>
            <w:r>
              <w:rPr>
                <w:noProof/>
                <w:webHidden/>
              </w:rPr>
              <w:fldChar w:fldCharType="separate"/>
            </w:r>
            <w:r>
              <w:rPr>
                <w:noProof/>
                <w:webHidden/>
              </w:rPr>
              <w:t>39</w:t>
            </w:r>
            <w:r>
              <w:rPr>
                <w:noProof/>
                <w:webHidden/>
              </w:rPr>
              <w:fldChar w:fldCharType="end"/>
            </w:r>
          </w:hyperlink>
        </w:p>
        <w:p w14:paraId="4E4A85C6" w14:textId="4EA6A58D"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67" w:history="1">
            <w:r w:rsidRPr="005F01E5">
              <w:rPr>
                <w:rStyle w:val="Hyperlink"/>
                <w:rFonts w:cs="Times New Roman"/>
                <w:noProof/>
                <w:lang w:val="en-AU"/>
              </w:rPr>
              <w:t>4.5</w:t>
            </w:r>
            <w:r>
              <w:rPr>
                <w:rFonts w:eastAsiaTheme="minorEastAsia"/>
                <w:b w:val="0"/>
                <w:bCs w:val="0"/>
                <w:noProof/>
                <w:lang w:eastAsia="en-GB"/>
                <w14:ligatures w14:val="none"/>
              </w:rPr>
              <w:tab/>
            </w:r>
            <w:r w:rsidRPr="005F01E5">
              <w:rPr>
                <w:rStyle w:val="Hyperlink"/>
                <w:rFonts w:cs="Times New Roman"/>
                <w:noProof/>
                <w:lang w:val="en-AU"/>
              </w:rPr>
              <w:t>Appendix E: IRR calculation for Option C</w:t>
            </w:r>
            <w:r>
              <w:rPr>
                <w:noProof/>
                <w:webHidden/>
              </w:rPr>
              <w:tab/>
            </w:r>
            <w:r>
              <w:rPr>
                <w:noProof/>
                <w:webHidden/>
              </w:rPr>
              <w:fldChar w:fldCharType="begin"/>
            </w:r>
            <w:r>
              <w:rPr>
                <w:noProof/>
                <w:webHidden/>
              </w:rPr>
              <w:instrText xml:space="preserve"> PAGEREF _Toc227606867 \h </w:instrText>
            </w:r>
            <w:r>
              <w:rPr>
                <w:noProof/>
                <w:webHidden/>
              </w:rPr>
            </w:r>
            <w:r>
              <w:rPr>
                <w:noProof/>
                <w:webHidden/>
              </w:rPr>
              <w:fldChar w:fldCharType="separate"/>
            </w:r>
            <w:r>
              <w:rPr>
                <w:noProof/>
                <w:webHidden/>
              </w:rPr>
              <w:t>40</w:t>
            </w:r>
            <w:r>
              <w:rPr>
                <w:noProof/>
                <w:webHidden/>
              </w:rPr>
              <w:fldChar w:fldCharType="end"/>
            </w:r>
          </w:hyperlink>
        </w:p>
        <w:p w14:paraId="1BFAE29C" w14:textId="21D45ED7" w:rsidR="00DF4177" w:rsidRDefault="00DF4177">
          <w:pPr>
            <w:pStyle w:val="TOC2"/>
            <w:tabs>
              <w:tab w:val="left" w:pos="960"/>
              <w:tab w:val="right" w:leader="underscore" w:pos="9350"/>
            </w:tabs>
            <w:rPr>
              <w:rFonts w:eastAsiaTheme="minorEastAsia"/>
              <w:b w:val="0"/>
              <w:bCs w:val="0"/>
              <w:noProof/>
              <w:lang w:eastAsia="en-GB"/>
              <w14:ligatures w14:val="none"/>
            </w:rPr>
          </w:pPr>
          <w:hyperlink w:anchor="_Toc227606868" w:history="1">
            <w:r w:rsidRPr="005F01E5">
              <w:rPr>
                <w:rStyle w:val="Hyperlink"/>
                <w:rFonts w:cs="Times New Roman"/>
                <w:noProof/>
                <w:lang w:val="en-AU"/>
              </w:rPr>
              <w:t>4.6</w:t>
            </w:r>
            <w:r>
              <w:rPr>
                <w:rFonts w:eastAsiaTheme="minorEastAsia"/>
                <w:b w:val="0"/>
                <w:bCs w:val="0"/>
                <w:noProof/>
                <w:lang w:eastAsia="en-GB"/>
                <w14:ligatures w14:val="none"/>
              </w:rPr>
              <w:tab/>
            </w:r>
            <w:r w:rsidRPr="005F01E5">
              <w:rPr>
                <w:rStyle w:val="Hyperlink"/>
                <w:rFonts w:cs="Times New Roman"/>
                <w:noProof/>
                <w:lang w:val="en-AU"/>
              </w:rPr>
              <w:t>Appendix F: Capital rationing calculation</w:t>
            </w:r>
            <w:r>
              <w:rPr>
                <w:noProof/>
                <w:webHidden/>
              </w:rPr>
              <w:tab/>
            </w:r>
            <w:r>
              <w:rPr>
                <w:noProof/>
                <w:webHidden/>
              </w:rPr>
              <w:fldChar w:fldCharType="begin"/>
            </w:r>
            <w:r>
              <w:rPr>
                <w:noProof/>
                <w:webHidden/>
              </w:rPr>
              <w:instrText xml:space="preserve"> PAGEREF _Toc227606868 \h </w:instrText>
            </w:r>
            <w:r>
              <w:rPr>
                <w:noProof/>
                <w:webHidden/>
              </w:rPr>
            </w:r>
            <w:r>
              <w:rPr>
                <w:noProof/>
                <w:webHidden/>
              </w:rPr>
              <w:fldChar w:fldCharType="separate"/>
            </w:r>
            <w:r>
              <w:rPr>
                <w:noProof/>
                <w:webHidden/>
              </w:rPr>
              <w:t>41</w:t>
            </w:r>
            <w:r>
              <w:rPr>
                <w:noProof/>
                <w:webHidden/>
              </w:rPr>
              <w:fldChar w:fldCharType="end"/>
            </w:r>
          </w:hyperlink>
        </w:p>
        <w:p w14:paraId="5A55E175" w14:textId="02D440CF" w:rsidR="009A74D4" w:rsidRPr="002018AC" w:rsidRDefault="009A74D4" w:rsidP="00695D8D">
          <w:pPr>
            <w:spacing w:line="276" w:lineRule="auto"/>
            <w:rPr>
              <w:rFonts w:cs="Times New Roman"/>
            </w:rPr>
          </w:pPr>
          <w:r w:rsidRPr="002018AC">
            <w:rPr>
              <w:rFonts w:cs="Times New Roman"/>
              <w:b/>
              <w:bCs/>
              <w:i/>
              <w:iCs/>
              <w:szCs w:val="24"/>
            </w:rPr>
            <w:fldChar w:fldCharType="end"/>
          </w:r>
        </w:p>
      </w:sdtContent>
    </w:sdt>
    <w:p w14:paraId="30451243" w14:textId="77777777" w:rsidR="000C685B" w:rsidRPr="002018AC" w:rsidRDefault="000C685B" w:rsidP="00695D8D">
      <w:pPr>
        <w:spacing w:line="276" w:lineRule="auto"/>
        <w:rPr>
          <w:rFonts w:cs="Times New Roman"/>
          <w:lang w:val="en-US"/>
        </w:rPr>
      </w:pPr>
    </w:p>
    <w:p w14:paraId="27A994DD" w14:textId="77777777" w:rsidR="00695D8D" w:rsidRPr="002018AC" w:rsidRDefault="00695D8D" w:rsidP="00695D8D">
      <w:pPr>
        <w:spacing w:after="0" w:line="276" w:lineRule="auto"/>
        <w:jc w:val="left"/>
        <w:rPr>
          <w:rFonts w:eastAsiaTheme="majorEastAsia" w:cs="Times New Roman"/>
          <w:b/>
          <w:color w:val="4C94D8" w:themeColor="text2" w:themeTint="80"/>
          <w:sz w:val="36"/>
          <w:szCs w:val="32"/>
          <w:lang w:val="en-US"/>
        </w:rPr>
      </w:pPr>
      <w:r w:rsidRPr="002018AC">
        <w:rPr>
          <w:rFonts w:cs="Times New Roman"/>
          <w:lang w:val="en-US"/>
        </w:rPr>
        <w:br w:type="page"/>
      </w:r>
    </w:p>
    <w:p w14:paraId="65251FF8" w14:textId="409E5DD4" w:rsidR="00695D8D" w:rsidRPr="002018AC" w:rsidRDefault="00DF4177" w:rsidP="00695D8D">
      <w:pPr>
        <w:pStyle w:val="Heading2"/>
        <w:spacing w:line="276" w:lineRule="auto"/>
        <w:rPr>
          <w:rFonts w:cs="Times New Roman"/>
          <w:lang w:val="en-US"/>
        </w:rPr>
      </w:pPr>
      <w:bookmarkStart w:id="1" w:name="_Toc227606817"/>
      <w:r>
        <w:rPr>
          <w:rFonts w:cs="Times New Roman"/>
          <w:lang w:val="en-US"/>
        </w:rPr>
        <w:lastRenderedPageBreak/>
        <w:t>0</w:t>
      </w:r>
      <w:r w:rsidR="00695D8D" w:rsidRPr="002018AC">
        <w:rPr>
          <w:rFonts w:cs="Times New Roman"/>
          <w:lang w:val="en-US"/>
        </w:rPr>
        <w:t>1 Introduction</w:t>
      </w:r>
      <w:bookmarkEnd w:id="1"/>
    </w:p>
    <w:p w14:paraId="072ACBCC" w14:textId="77777777" w:rsidR="000A43A6" w:rsidRPr="002018AC" w:rsidRDefault="000A43A6" w:rsidP="00695D8D">
      <w:pPr>
        <w:spacing w:after="0" w:line="276" w:lineRule="auto"/>
        <w:jc w:val="left"/>
        <w:rPr>
          <w:rFonts w:eastAsia="Times New Roman" w:cs="Times New Roman"/>
          <w:szCs w:val="24"/>
          <w:lang w:eastAsia="en-GB"/>
          <w14:ligatures w14:val="none"/>
        </w:rPr>
      </w:pPr>
    </w:p>
    <w:p w14:paraId="55DC86C2" w14:textId="2EF5EC0F" w:rsidR="00695D8D" w:rsidRPr="00695D8D" w:rsidRDefault="00695D8D" w:rsidP="00695D8D">
      <w:pPr>
        <w:spacing w:after="0" w:line="276" w:lineRule="auto"/>
        <w:jc w:val="left"/>
        <w:rPr>
          <w:rFonts w:eastAsia="Times New Roman" w:cs="Times New Roman"/>
          <w:szCs w:val="24"/>
          <w:lang w:eastAsia="en-GB"/>
          <w14:ligatures w14:val="none"/>
        </w:rPr>
      </w:pPr>
      <w:r w:rsidRPr="00695D8D">
        <w:rPr>
          <w:rFonts w:eastAsia="Times New Roman" w:cs="Times New Roman"/>
          <w:szCs w:val="24"/>
          <w:lang w:eastAsia="en-GB"/>
          <w14:ligatures w14:val="none"/>
        </w:rPr>
        <w:t>Part 1 of this report analyses the financial performance and position of Vodafone Group plc using ratio analysis based on published consolidated financial statements for FY2025 and re</w:t>
      </w:r>
      <w:r w:rsidRPr="00695D8D">
        <w:rPr>
          <w:rFonts w:eastAsia="Times New Roman" w:cs="Times New Roman"/>
          <w:szCs w:val="24"/>
          <w:lang w:eastAsia="en-GB"/>
          <w14:ligatures w14:val="none"/>
        </w:rPr>
        <w:noBreakHyphen/>
        <w:t>presented FY2024 data. Ratio analysis is used to evaluate profitability, efficiency, liquidity, investment performance, and gearing, providing insight into Vodafone’s ability to generate returns, manage resources, and meet its financial obligations. The analysis is conducted using statutory figures prepared under International Financial Reporting Standards, with particular attention paid to the effects of impairment charges, discontinued operations, and balance</w:t>
      </w:r>
      <w:r w:rsidRPr="00695D8D">
        <w:rPr>
          <w:rFonts w:eastAsia="Times New Roman" w:cs="Times New Roman"/>
          <w:szCs w:val="24"/>
          <w:lang w:eastAsia="en-GB"/>
          <w14:ligatures w14:val="none"/>
        </w:rPr>
        <w:noBreakHyphen/>
        <w:t>sheet restructuring on comparability</w:t>
      </w:r>
      <w:r w:rsidR="00461154">
        <w:rPr>
          <w:rFonts w:eastAsia="Times New Roman" w:cs="Times New Roman"/>
          <w:szCs w:val="24"/>
          <w:lang w:eastAsia="en-GB"/>
          <w14:ligatures w14:val="none"/>
        </w:rPr>
        <w:t xml:space="preserve"> </w:t>
      </w:r>
      <w:r w:rsidR="00461154" w:rsidRPr="00461154">
        <w:rPr>
          <w:rFonts w:eastAsia="Times New Roman" w:cs="Times New Roman"/>
          <w:szCs w:val="24"/>
          <w:lang w:eastAsia="en-GB"/>
          <w14:ligatures w14:val="none"/>
        </w:rPr>
        <w:t>(Vodafone Group plc, 2025; Ali Abebe, 2022)</w:t>
      </w:r>
      <w:r w:rsidRPr="00695D8D">
        <w:rPr>
          <w:rFonts w:eastAsia="Times New Roman" w:cs="Times New Roman"/>
          <w:szCs w:val="24"/>
          <w:lang w:eastAsia="en-GB"/>
          <w14:ligatures w14:val="none"/>
        </w:rPr>
        <w:t>. Given the capital</w:t>
      </w:r>
      <w:r w:rsidRPr="00695D8D">
        <w:rPr>
          <w:rFonts w:eastAsia="Times New Roman" w:cs="Times New Roman"/>
          <w:szCs w:val="24"/>
          <w:lang w:eastAsia="en-GB"/>
          <w14:ligatures w14:val="none"/>
        </w:rPr>
        <w:noBreakHyphen/>
        <w:t>intensive and highly regulated nature of the telecommunications industry, the report also considers the limitations of ratio analysis when interpreting results</w:t>
      </w:r>
      <w:r w:rsidR="006D4AEF">
        <w:rPr>
          <w:rFonts w:eastAsia="Times New Roman" w:cs="Times New Roman"/>
          <w:szCs w:val="24"/>
          <w:lang w:eastAsia="en-GB"/>
          <w14:ligatures w14:val="none"/>
        </w:rPr>
        <w:t xml:space="preserve"> </w:t>
      </w:r>
      <w:r w:rsidR="006D4AEF" w:rsidRPr="006D4AEF">
        <w:rPr>
          <w:rFonts w:eastAsia="Times New Roman" w:cs="Times New Roman"/>
          <w:szCs w:val="24"/>
          <w:lang w:eastAsia="en-GB"/>
          <w14:ligatures w14:val="none"/>
        </w:rPr>
        <w:t>(Connect Europe, 2025; Ofcom, 2025</w:t>
      </w:r>
      <w:r w:rsidRPr="00695D8D">
        <w:rPr>
          <w:rFonts w:eastAsia="Times New Roman" w:cs="Times New Roman"/>
          <w:szCs w:val="24"/>
          <w:lang w:eastAsia="en-GB"/>
          <w14:ligatures w14:val="none"/>
        </w:rPr>
        <w:t>. The objective is to provide an informed assessment of Vodafone’s financial health and to support practical recommendations to company directors.</w:t>
      </w:r>
    </w:p>
    <w:p w14:paraId="082A9B5E" w14:textId="77777777" w:rsidR="00695D8D" w:rsidRPr="00695D8D" w:rsidRDefault="00695D8D" w:rsidP="00695D8D">
      <w:pPr>
        <w:spacing w:after="0" w:line="276" w:lineRule="auto"/>
        <w:jc w:val="left"/>
        <w:rPr>
          <w:rFonts w:eastAsia="Times New Roman" w:cs="Times New Roman"/>
          <w:szCs w:val="24"/>
          <w:lang w:eastAsia="en-GB"/>
          <w14:ligatures w14:val="none"/>
        </w:rPr>
      </w:pPr>
    </w:p>
    <w:p w14:paraId="65972549" w14:textId="77777777" w:rsidR="00695D8D" w:rsidRPr="00695D8D" w:rsidRDefault="00695D8D" w:rsidP="00695D8D">
      <w:pPr>
        <w:spacing w:after="0" w:line="276" w:lineRule="auto"/>
        <w:jc w:val="left"/>
        <w:rPr>
          <w:rFonts w:eastAsia="Times New Roman" w:cs="Times New Roman"/>
          <w:szCs w:val="24"/>
          <w:lang w:eastAsia="en-GB"/>
          <w14:ligatures w14:val="none"/>
        </w:rPr>
      </w:pPr>
    </w:p>
    <w:p w14:paraId="194AF9A9" w14:textId="1317EB51" w:rsidR="000C685B" w:rsidRPr="002018AC" w:rsidRDefault="00695D8D" w:rsidP="00695D8D">
      <w:pPr>
        <w:pStyle w:val="Heading2"/>
        <w:spacing w:line="276" w:lineRule="auto"/>
        <w:rPr>
          <w:rFonts w:cs="Times New Roman"/>
          <w:sz w:val="44"/>
          <w:szCs w:val="40"/>
          <w:lang w:val="en-US"/>
        </w:rPr>
      </w:pPr>
      <w:bookmarkStart w:id="2" w:name="_Toc227599647"/>
      <w:bookmarkStart w:id="3" w:name="_Toc227599695"/>
      <w:bookmarkStart w:id="4" w:name="_Toc227606818"/>
      <w:r w:rsidRPr="00D02BDD">
        <w:rPr>
          <w:rFonts w:eastAsia="Times New Roman" w:cs="Times New Roman"/>
          <w:b w:val="0"/>
          <w:color w:val="auto"/>
          <w:sz w:val="24"/>
          <w:szCs w:val="24"/>
          <w:lang w:eastAsia="en-GB"/>
          <w14:ligatures w14:val="none"/>
        </w:rPr>
        <w:t>Part 2 of this report evaluates three proposed investment projects for Beard Plc using discounted cash</w:t>
      </w:r>
      <w:r w:rsidRPr="00D02BDD">
        <w:rPr>
          <w:rFonts w:eastAsia="Times New Roman" w:cs="Times New Roman"/>
          <w:b w:val="0"/>
          <w:color w:val="auto"/>
          <w:sz w:val="24"/>
          <w:szCs w:val="24"/>
          <w:lang w:eastAsia="en-GB"/>
          <w14:ligatures w14:val="none"/>
        </w:rPr>
        <w:noBreakHyphen/>
        <w:t>flow appraisal techniques. The primary method employed is net present value (NPV), supported by internal rate of return (IRR) and profitability index analysis where appropriate. These techniques are applied to assess whether each project is expected to generate returns above the company’s cost of capital and thereby enhance shareholder value</w:t>
      </w:r>
      <w:r w:rsidR="006D4AEF">
        <w:rPr>
          <w:rFonts w:eastAsia="Times New Roman" w:cs="Times New Roman"/>
          <w:b w:val="0"/>
          <w:color w:val="auto"/>
          <w:sz w:val="24"/>
          <w:szCs w:val="24"/>
          <w:lang w:eastAsia="en-GB"/>
          <w14:ligatures w14:val="none"/>
        </w:rPr>
        <w:t xml:space="preserve"> </w:t>
      </w:r>
      <w:r w:rsidR="006D4AEF" w:rsidRPr="006D4AEF">
        <w:rPr>
          <w:rFonts w:eastAsia="Times New Roman" w:cs="Times New Roman"/>
          <w:b w:val="0"/>
          <w:color w:val="auto"/>
          <w:sz w:val="24"/>
          <w:szCs w:val="24"/>
          <w:lang w:eastAsia="en-GB"/>
          <w14:ligatures w14:val="none"/>
        </w:rPr>
        <w:t xml:space="preserve">(Sokolov, 2024; </w:t>
      </w:r>
      <w:proofErr w:type="spellStart"/>
      <w:r w:rsidR="006D4AEF" w:rsidRPr="006D4AEF">
        <w:rPr>
          <w:rFonts w:eastAsia="Times New Roman" w:cs="Times New Roman"/>
          <w:b w:val="0"/>
          <w:color w:val="auto"/>
          <w:sz w:val="24"/>
          <w:szCs w:val="24"/>
          <w:lang w:eastAsia="en-GB"/>
          <w14:ligatures w14:val="none"/>
        </w:rPr>
        <w:t>Purnamasari</w:t>
      </w:r>
      <w:proofErr w:type="spellEnd"/>
      <w:r w:rsidR="006D4AEF" w:rsidRPr="006D4AEF">
        <w:rPr>
          <w:rFonts w:eastAsia="Times New Roman" w:cs="Times New Roman"/>
          <w:b w:val="0"/>
          <w:color w:val="auto"/>
          <w:sz w:val="24"/>
          <w:szCs w:val="24"/>
          <w:lang w:eastAsia="en-GB"/>
          <w14:ligatures w14:val="none"/>
        </w:rPr>
        <w:t xml:space="preserve"> and </w:t>
      </w:r>
      <w:proofErr w:type="spellStart"/>
      <w:r w:rsidR="006D4AEF" w:rsidRPr="006D4AEF">
        <w:rPr>
          <w:rFonts w:eastAsia="Times New Roman" w:cs="Times New Roman"/>
          <w:b w:val="0"/>
          <w:color w:val="auto"/>
          <w:sz w:val="24"/>
          <w:szCs w:val="24"/>
          <w:lang w:eastAsia="en-GB"/>
          <w14:ligatures w14:val="none"/>
        </w:rPr>
        <w:t>Adriza</w:t>
      </w:r>
      <w:proofErr w:type="spellEnd"/>
      <w:r w:rsidR="006D4AEF" w:rsidRPr="006D4AEF">
        <w:rPr>
          <w:rFonts w:eastAsia="Times New Roman" w:cs="Times New Roman"/>
          <w:b w:val="0"/>
          <w:color w:val="auto"/>
          <w:sz w:val="24"/>
          <w:szCs w:val="24"/>
          <w:lang w:eastAsia="en-GB"/>
          <w14:ligatures w14:val="none"/>
        </w:rPr>
        <w:t>, 2024</w:t>
      </w:r>
      <w:r w:rsidRPr="00D02BDD">
        <w:rPr>
          <w:rFonts w:eastAsia="Times New Roman" w:cs="Times New Roman"/>
          <w:b w:val="0"/>
          <w:color w:val="auto"/>
          <w:sz w:val="24"/>
          <w:szCs w:val="24"/>
          <w:lang w:eastAsia="en-GB"/>
          <w14:ligatures w14:val="none"/>
        </w:rPr>
        <w:t>. The analysis incorporates taxation, capital allowances, and the time value of money to ensure realistic and consistent evaluation. In addition, a capital</w:t>
      </w:r>
      <w:r w:rsidRPr="00D02BDD">
        <w:rPr>
          <w:rFonts w:eastAsia="Times New Roman" w:cs="Times New Roman"/>
          <w:b w:val="0"/>
          <w:color w:val="auto"/>
          <w:sz w:val="24"/>
          <w:szCs w:val="24"/>
          <w:lang w:eastAsia="en-GB"/>
          <w14:ligatures w14:val="none"/>
        </w:rPr>
        <w:noBreakHyphen/>
        <w:t>rationing scenario is considered to determine the optimal allocation of limited investment funds. The purpose of this section is to recommend the most financially viable investment strategy while acknowledging that final decisions should also reflect strategic, operational, and risk considerations</w:t>
      </w:r>
      <w:bookmarkEnd w:id="2"/>
      <w:bookmarkEnd w:id="3"/>
      <w:r w:rsidR="006D4AEF">
        <w:rPr>
          <w:rFonts w:eastAsia="Times New Roman" w:cs="Times New Roman"/>
          <w:b w:val="0"/>
          <w:color w:val="auto"/>
          <w:sz w:val="24"/>
          <w:szCs w:val="24"/>
          <w:lang w:eastAsia="en-GB"/>
          <w14:ligatures w14:val="none"/>
        </w:rPr>
        <w:t xml:space="preserve"> </w:t>
      </w:r>
      <w:r w:rsidR="006D4AEF" w:rsidRPr="006D4AEF">
        <w:rPr>
          <w:rFonts w:eastAsia="Times New Roman" w:cs="Times New Roman"/>
          <w:b w:val="0"/>
          <w:color w:val="auto"/>
          <w:sz w:val="24"/>
          <w:szCs w:val="24"/>
          <w:lang w:eastAsia="en-GB"/>
          <w14:ligatures w14:val="none"/>
        </w:rPr>
        <w:t xml:space="preserve">(Hartmann and </w:t>
      </w:r>
      <w:proofErr w:type="spellStart"/>
      <w:r w:rsidR="006D4AEF" w:rsidRPr="006D4AEF">
        <w:rPr>
          <w:rFonts w:eastAsia="Times New Roman" w:cs="Times New Roman"/>
          <w:b w:val="0"/>
          <w:color w:val="auto"/>
          <w:sz w:val="24"/>
          <w:szCs w:val="24"/>
          <w:lang w:eastAsia="en-GB"/>
          <w14:ligatures w14:val="none"/>
        </w:rPr>
        <w:t>Weißenberger</w:t>
      </w:r>
      <w:proofErr w:type="spellEnd"/>
      <w:r w:rsidR="006D4AEF" w:rsidRPr="006D4AEF">
        <w:rPr>
          <w:rFonts w:eastAsia="Times New Roman" w:cs="Times New Roman"/>
          <w:b w:val="0"/>
          <w:color w:val="auto"/>
          <w:sz w:val="24"/>
          <w:szCs w:val="24"/>
          <w:lang w:eastAsia="en-GB"/>
          <w14:ligatures w14:val="none"/>
        </w:rPr>
        <w:t xml:space="preserve">, 2024; </w:t>
      </w:r>
      <w:proofErr w:type="spellStart"/>
      <w:r w:rsidR="006D4AEF" w:rsidRPr="006D4AEF">
        <w:rPr>
          <w:rFonts w:eastAsia="Times New Roman" w:cs="Times New Roman"/>
          <w:b w:val="0"/>
          <w:color w:val="auto"/>
          <w:sz w:val="24"/>
          <w:szCs w:val="24"/>
          <w:lang w:eastAsia="en-GB"/>
          <w14:ligatures w14:val="none"/>
        </w:rPr>
        <w:t>Shaheen</w:t>
      </w:r>
      <w:proofErr w:type="spellEnd"/>
      <w:r w:rsidR="006D4AEF" w:rsidRPr="006D4AEF">
        <w:rPr>
          <w:rFonts w:eastAsia="Times New Roman" w:cs="Times New Roman"/>
          <w:b w:val="0"/>
          <w:color w:val="auto"/>
          <w:sz w:val="24"/>
          <w:szCs w:val="24"/>
          <w:lang w:eastAsia="en-GB"/>
          <w14:ligatures w14:val="none"/>
        </w:rPr>
        <w:t xml:space="preserve"> et al., 2024).</w:t>
      </w:r>
      <w:bookmarkEnd w:id="4"/>
      <w:r w:rsidR="000C685B" w:rsidRPr="002018AC">
        <w:rPr>
          <w:rFonts w:cs="Times New Roman"/>
          <w:sz w:val="44"/>
          <w:szCs w:val="40"/>
          <w:lang w:val="en-US"/>
        </w:rPr>
        <w:br w:type="page"/>
      </w:r>
    </w:p>
    <w:p w14:paraId="5957E169" w14:textId="5B0E0525" w:rsidR="00A77462" w:rsidRPr="002018AC" w:rsidRDefault="000C685B" w:rsidP="00695D8D">
      <w:pPr>
        <w:pStyle w:val="Heading1"/>
        <w:numPr>
          <w:ilvl w:val="0"/>
          <w:numId w:val="9"/>
        </w:numPr>
        <w:spacing w:line="276" w:lineRule="auto"/>
        <w:rPr>
          <w:rFonts w:cs="Times New Roman"/>
          <w:lang w:val="en-US"/>
        </w:rPr>
      </w:pPr>
      <w:bookmarkStart w:id="5" w:name="_Toc227606819"/>
      <w:r w:rsidRPr="002018AC">
        <w:rPr>
          <w:rFonts w:cs="Times New Roman"/>
          <w:lang w:val="en-US"/>
        </w:rPr>
        <w:lastRenderedPageBreak/>
        <w:t>Part 1 Vodafone Group Plc</w:t>
      </w:r>
      <w:bookmarkEnd w:id="5"/>
    </w:p>
    <w:p w14:paraId="1F61595F" w14:textId="0DB7F87C" w:rsidR="00A77462" w:rsidRPr="002018AC" w:rsidRDefault="000C685B" w:rsidP="00695D8D">
      <w:pPr>
        <w:pStyle w:val="Heading2"/>
        <w:numPr>
          <w:ilvl w:val="1"/>
          <w:numId w:val="9"/>
        </w:numPr>
        <w:spacing w:line="276" w:lineRule="auto"/>
        <w:rPr>
          <w:rFonts w:cs="Times New Roman"/>
          <w:lang w:val="en-US"/>
        </w:rPr>
      </w:pPr>
      <w:bookmarkStart w:id="6" w:name="_Toc227606820"/>
      <w:r w:rsidRPr="002018AC">
        <w:rPr>
          <w:rFonts w:cs="Times New Roman"/>
          <w:lang w:val="en-US"/>
        </w:rPr>
        <w:t>Scope, Source Base and Calculation Method</w:t>
      </w:r>
      <w:bookmarkEnd w:id="6"/>
    </w:p>
    <w:p w14:paraId="74AE6641" w14:textId="77777777" w:rsidR="00A77462" w:rsidRPr="002018AC" w:rsidRDefault="00A77462" w:rsidP="00695D8D">
      <w:pPr>
        <w:spacing w:line="276" w:lineRule="auto"/>
        <w:rPr>
          <w:rFonts w:cs="Times New Roman"/>
          <w:lang w:val="en-US"/>
        </w:rPr>
      </w:pPr>
      <w:r w:rsidRPr="002018AC">
        <w:rPr>
          <w:rFonts w:cs="Times New Roman"/>
          <w:lang w:val="en-US"/>
        </w:rPr>
        <w:t xml:space="preserve">Vodafone Group plc is the company that has been chosen. The analysis is based on </w:t>
      </w:r>
      <w:r w:rsidRPr="002018AC">
        <w:rPr>
          <w:rFonts w:cs="Times New Roman"/>
          <w:bCs/>
          <w:lang w:val="en-US"/>
        </w:rPr>
        <w:t>Vodafone’s Annual Report 2025,</w:t>
      </w:r>
      <w:r w:rsidRPr="002018AC">
        <w:rPr>
          <w:rFonts w:cs="Times New Roman"/>
          <w:lang w:val="en-US"/>
        </w:rPr>
        <w:t xml:space="preserve"> which includes the year ended 31 March 2025 and re-presented the FY2024 comparative figures. A two-year comparison </w:t>
      </w:r>
      <w:r w:rsidRPr="002018AC">
        <w:rPr>
          <w:rFonts w:cs="Times New Roman"/>
          <w:bCs/>
          <w:lang w:val="en-US"/>
        </w:rPr>
        <w:t>is</w:t>
      </w:r>
      <w:r w:rsidRPr="002018AC">
        <w:rPr>
          <w:rFonts w:cs="Times New Roman"/>
          <w:lang w:val="en-US"/>
        </w:rPr>
        <w:t xml:space="preserve"> better based on the 2025 report since Vodafone Spain and Vodafone Italy were considered discontinued operations and </w:t>
      </w:r>
      <w:r w:rsidRPr="002018AC">
        <w:rPr>
          <w:rFonts w:cs="Times New Roman"/>
          <w:bCs/>
          <w:lang w:val="en-US"/>
        </w:rPr>
        <w:t>prior periods were restated</w:t>
      </w:r>
      <w:r w:rsidRPr="002018AC">
        <w:rPr>
          <w:rFonts w:cs="Times New Roman"/>
          <w:lang w:val="en-US"/>
        </w:rPr>
        <w:t xml:space="preserve"> to show the new form of the Group. The restatement of the old FY2024 annual report would yield a poor comparison due to the fact that the numerator and denominator of a number of the ratios would not be </w:t>
      </w:r>
      <w:r w:rsidRPr="002018AC">
        <w:rPr>
          <w:rFonts w:cs="Times New Roman"/>
          <w:bCs/>
          <w:lang w:val="en-US"/>
        </w:rPr>
        <w:t>based</w:t>
      </w:r>
      <w:r w:rsidRPr="002018AC">
        <w:rPr>
          <w:rFonts w:cs="Times New Roman"/>
          <w:lang w:val="en-US"/>
        </w:rPr>
        <w:t xml:space="preserve"> on the same business perimeter (Vodafone Group plc, 2025).</w:t>
      </w:r>
    </w:p>
    <w:p w14:paraId="6195B629" w14:textId="7519A3E9" w:rsidR="00A77462" w:rsidRPr="002018AC" w:rsidRDefault="00A77462" w:rsidP="00695D8D">
      <w:pPr>
        <w:spacing w:line="276" w:lineRule="auto"/>
        <w:rPr>
          <w:rFonts w:cs="Times New Roman"/>
          <w:lang w:val="en-US"/>
        </w:rPr>
      </w:pPr>
      <w:r w:rsidRPr="002018AC">
        <w:rPr>
          <w:rFonts w:cs="Times New Roman"/>
          <w:lang w:val="en-US"/>
        </w:rPr>
        <w:t xml:space="preserve">The consolidated financial statements are prepared using UK-adopted International Accounting Standards and IFRS </w:t>
      </w:r>
      <w:r w:rsidRPr="002018AC">
        <w:rPr>
          <w:rFonts w:cs="Times New Roman"/>
          <w:bCs/>
          <w:lang w:val="en-US"/>
        </w:rPr>
        <w:t>as issued</w:t>
      </w:r>
      <w:r w:rsidRPr="002018AC">
        <w:rPr>
          <w:rFonts w:cs="Times New Roman"/>
          <w:lang w:val="en-US"/>
        </w:rPr>
        <w:t xml:space="preserve"> by the IASB. This is important since the ratios are </w:t>
      </w:r>
      <w:r w:rsidRPr="002018AC">
        <w:rPr>
          <w:rFonts w:cs="Times New Roman"/>
          <w:bCs/>
          <w:lang w:val="en-US"/>
        </w:rPr>
        <w:t>sensitive to accounting outputs</w:t>
      </w:r>
      <w:r w:rsidRPr="002018AC">
        <w:rPr>
          <w:rFonts w:cs="Times New Roman"/>
          <w:lang w:val="en-US"/>
        </w:rPr>
        <w:t xml:space="preserve">: impairment charges, discontinued operations, fair value items, and held-for-sale classifications all influence the numbers that are used in ratio analysis </w:t>
      </w:r>
      <w:r w:rsidR="006D4AEF" w:rsidRPr="006D4AEF">
        <w:rPr>
          <w:rFonts w:cs="Times New Roman"/>
          <w:lang w:val="en-US"/>
        </w:rPr>
        <w:t>(Ali Abebe, 2022; Vodafone Group plc, 2025).</w:t>
      </w:r>
    </w:p>
    <w:p w14:paraId="477A281F" w14:textId="77777777" w:rsidR="00A77462" w:rsidRPr="002018AC" w:rsidRDefault="00A77462" w:rsidP="00695D8D">
      <w:pPr>
        <w:spacing w:line="276" w:lineRule="auto"/>
        <w:rPr>
          <w:rFonts w:cs="Times New Roman"/>
          <w:lang w:val="en-AU"/>
        </w:rPr>
      </w:pPr>
      <w:r w:rsidRPr="002018AC">
        <w:rPr>
          <w:rFonts w:cs="Times New Roman"/>
          <w:lang w:val="en-AU"/>
        </w:rPr>
        <w:t xml:space="preserve">The attached classroom pattern has been followed. Therefore: Sales = revenue; Stock = inventory; Debtors = current trade receivables plus current trade receivables held at fair value through other comprehensive income; Creditors = current trade payables; TALCL = total assets </w:t>
      </w:r>
      <w:proofErr w:type="gramStart"/>
      <w:r w:rsidRPr="002018AC">
        <w:rPr>
          <w:rFonts w:cs="Times New Roman"/>
          <w:lang w:val="en-AU"/>
        </w:rPr>
        <w:t>less</w:t>
      </w:r>
      <w:proofErr w:type="gramEnd"/>
      <w:r w:rsidRPr="002018AC">
        <w:rPr>
          <w:rFonts w:cs="Times New Roman"/>
          <w:lang w:val="en-AU"/>
        </w:rPr>
        <w:t xml:space="preserve"> current liabilities; Loan = total borrowings; and Interest = financing costs. The Net Profit ratio in the attached sheet uses operating profit / sales × 100, so this report labels it more accurately as operating profit margin while still using the required formula. The TALCL and liquidity denominators are taken from Appendix A2</w:t>
      </w:r>
    </w:p>
    <w:p w14:paraId="34621650" w14:textId="39D30A0F" w:rsidR="000A43A6" w:rsidRPr="002018AC" w:rsidRDefault="00A77462" w:rsidP="00695D8D">
      <w:pPr>
        <w:spacing w:line="276" w:lineRule="auto"/>
        <w:rPr>
          <w:rFonts w:cs="Times New Roman"/>
          <w:lang w:val="en-AU"/>
        </w:rPr>
      </w:pPr>
      <w:r w:rsidRPr="002018AC">
        <w:rPr>
          <w:rFonts w:cs="Times New Roman"/>
          <w:lang w:val="en-AU"/>
        </w:rPr>
        <w:t>For FY2024 liquidity and capital-employed ratios, the main calculation excludes Vodafone Spain and Vodafone Italy held-for-sale assets and liabilities, because the income statement ratios use continuing operations. A sensitivity calculation is given in Appendix B to show that including held-for-sale items would change the FY2024 current ratio</w:t>
      </w:r>
      <w:r w:rsidR="006D4AEF">
        <w:rPr>
          <w:rFonts w:cs="Times New Roman"/>
          <w:lang w:val="en-AU"/>
        </w:rPr>
        <w:t xml:space="preserve"> </w:t>
      </w:r>
      <w:r w:rsidR="006D4AEF" w:rsidRPr="006D4AEF">
        <w:rPr>
          <w:rFonts w:cs="Times New Roman"/>
          <w:lang w:val="en-AU"/>
        </w:rPr>
        <w:t>(Vodafone Group plc, 2025).</w:t>
      </w:r>
    </w:p>
    <w:p w14:paraId="4446474D" w14:textId="656EA2CD" w:rsidR="00A77462" w:rsidRPr="002018AC" w:rsidRDefault="000A43A6" w:rsidP="000A43A6">
      <w:pPr>
        <w:spacing w:after="0" w:line="240" w:lineRule="auto"/>
        <w:jc w:val="left"/>
        <w:rPr>
          <w:rFonts w:cs="Times New Roman"/>
          <w:lang w:val="en-AU"/>
        </w:rPr>
      </w:pPr>
      <w:r w:rsidRPr="002018AC">
        <w:rPr>
          <w:rFonts w:cs="Times New Roman"/>
          <w:lang w:val="en-AU"/>
        </w:rPr>
        <w:br w:type="page"/>
      </w:r>
    </w:p>
    <w:p w14:paraId="31FEC7DD" w14:textId="088527E9" w:rsidR="00A77462" w:rsidRPr="002018AC" w:rsidRDefault="000C685B" w:rsidP="00695D8D">
      <w:pPr>
        <w:pStyle w:val="Heading2"/>
        <w:numPr>
          <w:ilvl w:val="1"/>
          <w:numId w:val="9"/>
        </w:numPr>
        <w:spacing w:line="276" w:lineRule="auto"/>
        <w:rPr>
          <w:rFonts w:cs="Times New Roman"/>
        </w:rPr>
      </w:pPr>
      <w:bookmarkStart w:id="7" w:name="_Toc227606821"/>
      <w:r w:rsidRPr="002018AC">
        <w:rPr>
          <w:rFonts w:cs="Times New Roman"/>
        </w:rPr>
        <w:lastRenderedPageBreak/>
        <w:t>Ratio R</w:t>
      </w:r>
      <w:r w:rsidR="00A77462" w:rsidRPr="002018AC">
        <w:rPr>
          <w:rFonts w:cs="Times New Roman"/>
        </w:rPr>
        <w:t>esults summary</w:t>
      </w:r>
      <w:bookmarkEnd w:id="7"/>
    </w:p>
    <w:p w14:paraId="16464A18" w14:textId="77777777" w:rsidR="00A77462" w:rsidRPr="002018AC" w:rsidRDefault="00A77462" w:rsidP="00695D8D">
      <w:pPr>
        <w:spacing w:line="276" w:lineRule="auto"/>
        <w:rPr>
          <w:rFonts w:cs="Times New Roman"/>
          <w:lang w:val="en-AU"/>
        </w:rPr>
      </w:pPr>
      <w:r w:rsidRPr="002018AC">
        <w:rPr>
          <w:rFonts w:cs="Times New Roman"/>
          <w:lang w:val="en-AU"/>
        </w:rPr>
        <w:t>The financial-statement inputs come from Vodafone’s FY2025 consolidated income statement, statement of financial position, trade receivables note, trade payables note, EPS/dividend note and funding/net debt reconciliation</w:t>
      </w:r>
      <w:r w:rsidRPr="002018AC">
        <w:rPr>
          <w:rFonts w:cs="Times New Roman"/>
          <w:lang w:val="en-US"/>
        </w:rPr>
        <w:t xml:space="preserve"> </w:t>
      </w:r>
      <w:r w:rsidRPr="002018AC">
        <w:rPr>
          <w:rFonts w:cs="Times New Roman"/>
          <w:lang w:val="en-AU"/>
        </w:rPr>
        <w:t xml:space="preserve">(Vodafone Group plc, 2025). Full workings are shown in Appendix B. </w:t>
      </w:r>
    </w:p>
    <w:tbl>
      <w:tblPr>
        <w:tblStyle w:val="GridTable4-Accent1"/>
        <w:tblW w:w="0" w:type="auto"/>
        <w:tblLook w:val="04A0" w:firstRow="1" w:lastRow="0" w:firstColumn="1" w:lastColumn="0" w:noHBand="0" w:noVBand="1"/>
      </w:tblPr>
      <w:tblGrid>
        <w:gridCol w:w="1599"/>
        <w:gridCol w:w="1874"/>
        <w:gridCol w:w="3593"/>
        <w:gridCol w:w="1142"/>
        <w:gridCol w:w="1142"/>
      </w:tblGrid>
      <w:tr w:rsidR="00A77462" w:rsidRPr="002018AC" w14:paraId="73A9CE9F" w14:textId="77777777" w:rsidTr="000C68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954846"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Ratio category</w:t>
            </w:r>
          </w:p>
        </w:tc>
        <w:tc>
          <w:tcPr>
            <w:tcW w:w="0" w:type="auto"/>
            <w:hideMark/>
          </w:tcPr>
          <w:p w14:paraId="770258D4"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Ratio</w:t>
            </w:r>
          </w:p>
        </w:tc>
        <w:tc>
          <w:tcPr>
            <w:tcW w:w="0" w:type="auto"/>
            <w:hideMark/>
          </w:tcPr>
          <w:p w14:paraId="3016AE15"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Formula used</w:t>
            </w:r>
          </w:p>
        </w:tc>
        <w:tc>
          <w:tcPr>
            <w:tcW w:w="0" w:type="auto"/>
            <w:hideMark/>
          </w:tcPr>
          <w:p w14:paraId="71213936"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FY2025</w:t>
            </w:r>
          </w:p>
        </w:tc>
        <w:tc>
          <w:tcPr>
            <w:tcW w:w="0" w:type="auto"/>
            <w:hideMark/>
          </w:tcPr>
          <w:p w14:paraId="229CC7CD"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FY2024</w:t>
            </w:r>
          </w:p>
        </w:tc>
      </w:tr>
      <w:tr w:rsidR="00A77462" w:rsidRPr="002018AC" w14:paraId="072C1566"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68B11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Profitability</w:t>
            </w:r>
          </w:p>
        </w:tc>
        <w:tc>
          <w:tcPr>
            <w:tcW w:w="0" w:type="auto"/>
            <w:hideMark/>
          </w:tcPr>
          <w:p w14:paraId="4F5E4E4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Gross profit margin</w:t>
            </w:r>
          </w:p>
        </w:tc>
        <w:tc>
          <w:tcPr>
            <w:tcW w:w="0" w:type="auto"/>
            <w:hideMark/>
          </w:tcPr>
          <w:p w14:paraId="6FED6629"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Gross profit / Sales × 100</w:t>
            </w:r>
          </w:p>
        </w:tc>
        <w:tc>
          <w:tcPr>
            <w:tcW w:w="0" w:type="auto"/>
            <w:hideMark/>
          </w:tcPr>
          <w:p w14:paraId="01751C79"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33.43%</w:t>
            </w:r>
          </w:p>
        </w:tc>
        <w:tc>
          <w:tcPr>
            <w:tcW w:w="0" w:type="auto"/>
            <w:hideMark/>
          </w:tcPr>
          <w:p w14:paraId="04D1FEE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33.39%</w:t>
            </w:r>
          </w:p>
        </w:tc>
      </w:tr>
      <w:tr w:rsidR="00A77462" w:rsidRPr="002018AC" w14:paraId="7A0E70BE"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413D9B3E"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Profitability</w:t>
            </w:r>
          </w:p>
        </w:tc>
        <w:tc>
          <w:tcPr>
            <w:tcW w:w="0" w:type="auto"/>
            <w:hideMark/>
          </w:tcPr>
          <w:p w14:paraId="73796208"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Operating profit margin</w:t>
            </w:r>
          </w:p>
        </w:tc>
        <w:tc>
          <w:tcPr>
            <w:tcW w:w="0" w:type="auto"/>
            <w:hideMark/>
          </w:tcPr>
          <w:p w14:paraId="12B2CE63"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Operating profit / Sales × 100</w:t>
            </w:r>
          </w:p>
        </w:tc>
        <w:tc>
          <w:tcPr>
            <w:tcW w:w="0" w:type="auto"/>
            <w:hideMark/>
          </w:tcPr>
          <w:p w14:paraId="70A45AA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-1.10%</w:t>
            </w:r>
          </w:p>
        </w:tc>
        <w:tc>
          <w:tcPr>
            <w:tcW w:w="0" w:type="auto"/>
            <w:hideMark/>
          </w:tcPr>
          <w:p w14:paraId="6C364BFF"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9.98%</w:t>
            </w:r>
          </w:p>
        </w:tc>
      </w:tr>
      <w:tr w:rsidR="00A77462" w:rsidRPr="002018AC" w14:paraId="01324A05"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813A6"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Profitability</w:t>
            </w:r>
          </w:p>
        </w:tc>
        <w:tc>
          <w:tcPr>
            <w:tcW w:w="0" w:type="auto"/>
            <w:hideMark/>
          </w:tcPr>
          <w:p w14:paraId="2BE68D1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ROCE</w:t>
            </w:r>
          </w:p>
        </w:tc>
        <w:tc>
          <w:tcPr>
            <w:tcW w:w="0" w:type="auto"/>
            <w:hideMark/>
          </w:tcPr>
          <w:p w14:paraId="46BE7CC6"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Operating profit / TALCL × 100</w:t>
            </w:r>
          </w:p>
        </w:tc>
        <w:tc>
          <w:tcPr>
            <w:tcW w:w="0" w:type="auto"/>
            <w:hideMark/>
          </w:tcPr>
          <w:p w14:paraId="14C5893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-0.39%</w:t>
            </w:r>
          </w:p>
        </w:tc>
        <w:tc>
          <w:tcPr>
            <w:tcW w:w="0" w:type="auto"/>
            <w:hideMark/>
          </w:tcPr>
          <w:p w14:paraId="792E52FA"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3.56%</w:t>
            </w:r>
          </w:p>
        </w:tc>
      </w:tr>
      <w:tr w:rsidR="00A77462" w:rsidRPr="002018AC" w14:paraId="24A401C6"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014E4569"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Efficiency</w:t>
            </w:r>
          </w:p>
        </w:tc>
        <w:tc>
          <w:tcPr>
            <w:tcW w:w="0" w:type="auto"/>
            <w:hideMark/>
          </w:tcPr>
          <w:p w14:paraId="32C98B5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Asset turnover</w:t>
            </w:r>
          </w:p>
        </w:tc>
        <w:tc>
          <w:tcPr>
            <w:tcW w:w="0" w:type="auto"/>
            <w:hideMark/>
          </w:tcPr>
          <w:p w14:paraId="78F33E7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Sales / TALCL</w:t>
            </w:r>
          </w:p>
        </w:tc>
        <w:tc>
          <w:tcPr>
            <w:tcW w:w="0" w:type="auto"/>
            <w:hideMark/>
          </w:tcPr>
          <w:p w14:paraId="26AF383A"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0.35x</w:t>
            </w:r>
          </w:p>
        </w:tc>
        <w:tc>
          <w:tcPr>
            <w:tcW w:w="0" w:type="auto"/>
            <w:hideMark/>
          </w:tcPr>
          <w:p w14:paraId="2B0CC9BC"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0.36x</w:t>
            </w:r>
          </w:p>
        </w:tc>
      </w:tr>
      <w:tr w:rsidR="00A77462" w:rsidRPr="002018AC" w14:paraId="1CF77B1A"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E4BF8D"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Efficiency</w:t>
            </w:r>
          </w:p>
        </w:tc>
        <w:tc>
          <w:tcPr>
            <w:tcW w:w="0" w:type="auto"/>
            <w:hideMark/>
          </w:tcPr>
          <w:p w14:paraId="5C956E05"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proofErr w:type="gramStart"/>
            <w:r w:rsidRPr="002018AC">
              <w:rPr>
                <w:rFonts w:cs="Times New Roman"/>
                <w:lang w:val="en-AU" w:eastAsia="en-AU"/>
              </w:rPr>
              <w:t>Debtors</w:t>
            </w:r>
            <w:proofErr w:type="gramEnd"/>
            <w:r w:rsidRPr="002018AC">
              <w:rPr>
                <w:rFonts w:cs="Times New Roman"/>
                <w:lang w:val="en-AU" w:eastAsia="en-AU"/>
              </w:rPr>
              <w:t xml:space="preserve"> days</w:t>
            </w:r>
          </w:p>
        </w:tc>
        <w:tc>
          <w:tcPr>
            <w:tcW w:w="0" w:type="auto"/>
            <w:hideMark/>
          </w:tcPr>
          <w:p w14:paraId="6BAAA1F0"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Debtors / Sales × 365</w:t>
            </w:r>
          </w:p>
        </w:tc>
        <w:tc>
          <w:tcPr>
            <w:tcW w:w="0" w:type="auto"/>
            <w:hideMark/>
          </w:tcPr>
          <w:p w14:paraId="0C13522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35.64 days</w:t>
            </w:r>
          </w:p>
        </w:tc>
        <w:tc>
          <w:tcPr>
            <w:tcW w:w="0" w:type="auto"/>
            <w:hideMark/>
          </w:tcPr>
          <w:p w14:paraId="5C434D40"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32.63 days</w:t>
            </w:r>
          </w:p>
        </w:tc>
      </w:tr>
      <w:tr w:rsidR="00A77462" w:rsidRPr="002018AC" w14:paraId="1B88778E"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5D3A48AB"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Efficiency</w:t>
            </w:r>
          </w:p>
        </w:tc>
        <w:tc>
          <w:tcPr>
            <w:tcW w:w="0" w:type="auto"/>
            <w:hideMark/>
          </w:tcPr>
          <w:p w14:paraId="2002B91D"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Creditor days</w:t>
            </w:r>
          </w:p>
        </w:tc>
        <w:tc>
          <w:tcPr>
            <w:tcW w:w="0" w:type="auto"/>
            <w:hideMark/>
          </w:tcPr>
          <w:p w14:paraId="2384641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Creditors / COGS × 365</w:t>
            </w:r>
          </w:p>
        </w:tc>
        <w:tc>
          <w:tcPr>
            <w:tcW w:w="0" w:type="auto"/>
            <w:hideMark/>
          </w:tcPr>
          <w:p w14:paraId="2900253D"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90.15 days</w:t>
            </w:r>
          </w:p>
        </w:tc>
        <w:tc>
          <w:tcPr>
            <w:tcW w:w="0" w:type="auto"/>
            <w:hideMark/>
          </w:tcPr>
          <w:p w14:paraId="05A1641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83.76 days</w:t>
            </w:r>
          </w:p>
        </w:tc>
      </w:tr>
      <w:tr w:rsidR="00A77462" w:rsidRPr="002018AC" w14:paraId="527EA9A2"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5F4FD6"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Efficiency</w:t>
            </w:r>
          </w:p>
        </w:tc>
        <w:tc>
          <w:tcPr>
            <w:tcW w:w="0" w:type="auto"/>
            <w:hideMark/>
          </w:tcPr>
          <w:p w14:paraId="2C86A8FF"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Stock days</w:t>
            </w:r>
          </w:p>
        </w:tc>
        <w:tc>
          <w:tcPr>
            <w:tcW w:w="0" w:type="auto"/>
            <w:hideMark/>
          </w:tcPr>
          <w:p w14:paraId="450E19D3"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Stock / COGS × 365</w:t>
            </w:r>
          </w:p>
        </w:tc>
        <w:tc>
          <w:tcPr>
            <w:tcW w:w="0" w:type="auto"/>
            <w:hideMark/>
          </w:tcPr>
          <w:p w14:paraId="49018FAA"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9.03 days</w:t>
            </w:r>
          </w:p>
        </w:tc>
        <w:tc>
          <w:tcPr>
            <w:tcW w:w="0" w:type="auto"/>
            <w:hideMark/>
          </w:tcPr>
          <w:p w14:paraId="5BF148B2"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8.48 days</w:t>
            </w:r>
          </w:p>
        </w:tc>
      </w:tr>
      <w:tr w:rsidR="00A77462" w:rsidRPr="002018AC" w14:paraId="5CC0D89E"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603E84F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Efficiency</w:t>
            </w:r>
          </w:p>
        </w:tc>
        <w:tc>
          <w:tcPr>
            <w:tcW w:w="0" w:type="auto"/>
            <w:hideMark/>
          </w:tcPr>
          <w:p w14:paraId="597EEA4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Stock turnover</w:t>
            </w:r>
          </w:p>
        </w:tc>
        <w:tc>
          <w:tcPr>
            <w:tcW w:w="0" w:type="auto"/>
            <w:hideMark/>
          </w:tcPr>
          <w:p w14:paraId="74EE0EF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COGS / Stock</w:t>
            </w:r>
          </w:p>
        </w:tc>
        <w:tc>
          <w:tcPr>
            <w:tcW w:w="0" w:type="auto"/>
            <w:hideMark/>
          </w:tcPr>
          <w:p w14:paraId="6BBFFE07"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40.40x</w:t>
            </w:r>
          </w:p>
        </w:tc>
        <w:tc>
          <w:tcPr>
            <w:tcW w:w="0" w:type="auto"/>
            <w:hideMark/>
          </w:tcPr>
          <w:p w14:paraId="3F8141A9"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43.06x</w:t>
            </w:r>
          </w:p>
        </w:tc>
      </w:tr>
      <w:tr w:rsidR="00A77462" w:rsidRPr="002018AC" w14:paraId="12FFF5F7"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4318A3"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Liquidity</w:t>
            </w:r>
          </w:p>
        </w:tc>
        <w:tc>
          <w:tcPr>
            <w:tcW w:w="0" w:type="auto"/>
            <w:hideMark/>
          </w:tcPr>
          <w:p w14:paraId="42150CF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Current ratio</w:t>
            </w:r>
          </w:p>
        </w:tc>
        <w:tc>
          <w:tcPr>
            <w:tcW w:w="0" w:type="auto"/>
            <w:hideMark/>
          </w:tcPr>
          <w:p w14:paraId="3CA035C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Current assets / Current liabilities</w:t>
            </w:r>
          </w:p>
        </w:tc>
        <w:tc>
          <w:tcPr>
            <w:tcW w:w="0" w:type="auto"/>
            <w:hideMark/>
          </w:tcPr>
          <w:p w14:paraId="693BF466"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1.26x</w:t>
            </w:r>
          </w:p>
        </w:tc>
        <w:tc>
          <w:tcPr>
            <w:tcW w:w="0" w:type="auto"/>
            <w:hideMark/>
          </w:tcPr>
          <w:p w14:paraId="3C1BD67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0.92x</w:t>
            </w:r>
          </w:p>
        </w:tc>
      </w:tr>
      <w:tr w:rsidR="00A77462" w:rsidRPr="002018AC" w14:paraId="160D276B"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008BD0F0"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Liquidity</w:t>
            </w:r>
          </w:p>
        </w:tc>
        <w:tc>
          <w:tcPr>
            <w:tcW w:w="0" w:type="auto"/>
            <w:hideMark/>
          </w:tcPr>
          <w:p w14:paraId="0EDB304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Quick ratio</w:t>
            </w:r>
          </w:p>
        </w:tc>
        <w:tc>
          <w:tcPr>
            <w:tcW w:w="0" w:type="auto"/>
            <w:hideMark/>
          </w:tcPr>
          <w:p w14:paraId="09D6CF69"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Current assets – Stock / Current liabilities</w:t>
            </w:r>
          </w:p>
        </w:tc>
        <w:tc>
          <w:tcPr>
            <w:tcW w:w="0" w:type="auto"/>
            <w:hideMark/>
          </w:tcPr>
          <w:p w14:paraId="10DFAB0E"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1.23x</w:t>
            </w:r>
          </w:p>
        </w:tc>
        <w:tc>
          <w:tcPr>
            <w:tcW w:w="0" w:type="auto"/>
            <w:hideMark/>
          </w:tcPr>
          <w:p w14:paraId="6FB1E0E2"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0.89x</w:t>
            </w:r>
          </w:p>
        </w:tc>
      </w:tr>
      <w:tr w:rsidR="00A77462" w:rsidRPr="002018AC" w14:paraId="5F335021"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ADDF8F"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Investment</w:t>
            </w:r>
          </w:p>
        </w:tc>
        <w:tc>
          <w:tcPr>
            <w:tcW w:w="0" w:type="auto"/>
            <w:hideMark/>
          </w:tcPr>
          <w:p w14:paraId="5666207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EPS</w:t>
            </w:r>
          </w:p>
        </w:tc>
        <w:tc>
          <w:tcPr>
            <w:tcW w:w="0" w:type="auto"/>
            <w:hideMark/>
          </w:tcPr>
          <w:p w14:paraId="26F7E220"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Profit after tax attributable to owners / ordinary shares</w:t>
            </w:r>
          </w:p>
        </w:tc>
        <w:tc>
          <w:tcPr>
            <w:tcW w:w="0" w:type="auto"/>
            <w:hideMark/>
          </w:tcPr>
          <w:p w14:paraId="0EAAB34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-15.94c</w:t>
            </w:r>
          </w:p>
        </w:tc>
        <w:tc>
          <w:tcPr>
            <w:tcW w:w="0" w:type="auto"/>
            <w:hideMark/>
          </w:tcPr>
          <w:p w14:paraId="45AB7EF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4.21c</w:t>
            </w:r>
          </w:p>
        </w:tc>
      </w:tr>
      <w:tr w:rsidR="00A77462" w:rsidRPr="002018AC" w14:paraId="2F324538"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4E95DFDF"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Investment</w:t>
            </w:r>
          </w:p>
        </w:tc>
        <w:tc>
          <w:tcPr>
            <w:tcW w:w="0" w:type="auto"/>
            <w:hideMark/>
          </w:tcPr>
          <w:p w14:paraId="66BA5EB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Dividend cover</w:t>
            </w:r>
          </w:p>
        </w:tc>
        <w:tc>
          <w:tcPr>
            <w:tcW w:w="0" w:type="auto"/>
            <w:hideMark/>
          </w:tcPr>
          <w:p w14:paraId="16D0006D"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Profit after tax attributable to owners / ordinary dividend</w:t>
            </w:r>
          </w:p>
        </w:tc>
        <w:tc>
          <w:tcPr>
            <w:tcW w:w="0" w:type="auto"/>
            <w:hideMark/>
          </w:tcPr>
          <w:p w14:paraId="44AD11B1"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-2.32x</w:t>
            </w:r>
          </w:p>
        </w:tc>
        <w:tc>
          <w:tcPr>
            <w:tcW w:w="0" w:type="auto"/>
            <w:hideMark/>
          </w:tcPr>
          <w:p w14:paraId="3E8C80B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0.47x</w:t>
            </w:r>
          </w:p>
        </w:tc>
      </w:tr>
      <w:tr w:rsidR="00A77462" w:rsidRPr="002018AC" w14:paraId="04DBBC21"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96484A"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Gearing</w:t>
            </w:r>
          </w:p>
        </w:tc>
        <w:tc>
          <w:tcPr>
            <w:tcW w:w="0" w:type="auto"/>
            <w:hideMark/>
          </w:tcPr>
          <w:p w14:paraId="3E601BA5"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Gearing ratio 1</w:t>
            </w:r>
          </w:p>
        </w:tc>
        <w:tc>
          <w:tcPr>
            <w:tcW w:w="0" w:type="auto"/>
            <w:hideMark/>
          </w:tcPr>
          <w:p w14:paraId="08115DD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Loan / TALCL × 100</w:t>
            </w:r>
          </w:p>
        </w:tc>
        <w:tc>
          <w:tcPr>
            <w:tcW w:w="0" w:type="auto"/>
            <w:hideMark/>
          </w:tcPr>
          <w:p w14:paraId="1D49ACD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50.25%</w:t>
            </w:r>
          </w:p>
        </w:tc>
        <w:tc>
          <w:tcPr>
            <w:tcW w:w="0" w:type="auto"/>
            <w:hideMark/>
          </w:tcPr>
          <w:p w14:paraId="2E79771F"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55.35%</w:t>
            </w:r>
          </w:p>
        </w:tc>
      </w:tr>
      <w:tr w:rsidR="00A77462" w:rsidRPr="002018AC" w14:paraId="0F2F9909"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7CCCE59F"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Gearing</w:t>
            </w:r>
          </w:p>
        </w:tc>
        <w:tc>
          <w:tcPr>
            <w:tcW w:w="0" w:type="auto"/>
            <w:hideMark/>
          </w:tcPr>
          <w:p w14:paraId="5B92085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Gearing ratio 2</w:t>
            </w:r>
          </w:p>
        </w:tc>
        <w:tc>
          <w:tcPr>
            <w:tcW w:w="0" w:type="auto"/>
            <w:hideMark/>
          </w:tcPr>
          <w:p w14:paraId="0C56A39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Loan / Net assets × 100</w:t>
            </w:r>
          </w:p>
        </w:tc>
        <w:tc>
          <w:tcPr>
            <w:tcW w:w="0" w:type="auto"/>
            <w:hideMark/>
          </w:tcPr>
          <w:p w14:paraId="72CE6AE2"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98.57%</w:t>
            </w:r>
          </w:p>
        </w:tc>
        <w:tc>
          <w:tcPr>
            <w:tcW w:w="0" w:type="auto"/>
            <w:hideMark/>
          </w:tcPr>
          <w:p w14:paraId="73E7658C"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93.42%</w:t>
            </w:r>
          </w:p>
        </w:tc>
      </w:tr>
      <w:tr w:rsidR="00A77462" w:rsidRPr="002018AC" w14:paraId="3167717C"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0E9469"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Gearing</w:t>
            </w:r>
          </w:p>
        </w:tc>
        <w:tc>
          <w:tcPr>
            <w:tcW w:w="0" w:type="auto"/>
            <w:hideMark/>
          </w:tcPr>
          <w:p w14:paraId="3A60451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Interest cover</w:t>
            </w:r>
          </w:p>
        </w:tc>
        <w:tc>
          <w:tcPr>
            <w:tcW w:w="0" w:type="auto"/>
            <w:hideMark/>
          </w:tcPr>
          <w:p w14:paraId="1A46EE4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Operating profit / Interest</w:t>
            </w:r>
          </w:p>
        </w:tc>
        <w:tc>
          <w:tcPr>
            <w:tcW w:w="0" w:type="auto"/>
            <w:hideMark/>
          </w:tcPr>
          <w:p w14:paraId="2E30D83D"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-0.21x</w:t>
            </w:r>
          </w:p>
        </w:tc>
        <w:tc>
          <w:tcPr>
            <w:tcW w:w="0" w:type="auto"/>
            <w:hideMark/>
          </w:tcPr>
          <w:p w14:paraId="22E474F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1.40x</w:t>
            </w:r>
          </w:p>
        </w:tc>
      </w:tr>
    </w:tbl>
    <w:p w14:paraId="68796867" w14:textId="30A560C7" w:rsidR="00A77462" w:rsidRPr="002018AC" w:rsidRDefault="00A77462" w:rsidP="00695D8D">
      <w:pPr>
        <w:pStyle w:val="Heading2"/>
        <w:numPr>
          <w:ilvl w:val="1"/>
          <w:numId w:val="9"/>
        </w:numPr>
        <w:spacing w:line="276" w:lineRule="auto"/>
        <w:rPr>
          <w:rFonts w:cs="Times New Roman"/>
        </w:rPr>
      </w:pPr>
      <w:bookmarkStart w:id="8" w:name="_Toc227606822"/>
      <w:r w:rsidRPr="002018AC">
        <w:rPr>
          <w:rFonts w:cs="Times New Roman"/>
        </w:rPr>
        <w:lastRenderedPageBreak/>
        <w:t>Critical evaluation of the ratios</w:t>
      </w:r>
      <w:bookmarkEnd w:id="8"/>
    </w:p>
    <w:p w14:paraId="79BC2A57" w14:textId="77777777" w:rsidR="006D4AEF" w:rsidRDefault="00A77462" w:rsidP="006D4AEF">
      <w:pPr>
        <w:pStyle w:val="Heading3"/>
        <w:numPr>
          <w:ilvl w:val="2"/>
          <w:numId w:val="9"/>
        </w:numPr>
        <w:spacing w:line="276" w:lineRule="auto"/>
        <w:rPr>
          <w:rFonts w:cs="Times New Roman"/>
          <w:lang w:val="en-AU"/>
        </w:rPr>
      </w:pPr>
      <w:bookmarkStart w:id="9" w:name="_Toc227606823"/>
      <w:r w:rsidRPr="002018AC">
        <w:rPr>
          <w:rFonts w:cs="Times New Roman"/>
          <w:lang w:val="en-AU"/>
        </w:rPr>
        <w:t>Profitability</w:t>
      </w:r>
      <w:bookmarkEnd w:id="9"/>
    </w:p>
    <w:p w14:paraId="1A600F28" w14:textId="77777777" w:rsidR="006D4AEF" w:rsidRDefault="006D4AEF" w:rsidP="006D4AEF">
      <w:pPr>
        <w:pStyle w:val="Heading3"/>
        <w:spacing w:line="276" w:lineRule="auto"/>
        <w:rPr>
          <w:rFonts w:cs="Times New Roman"/>
          <w:lang w:val="en-AU"/>
        </w:rPr>
      </w:pPr>
      <w:bookmarkStart w:id="10" w:name="_Toc227606824"/>
      <w:r w:rsidRPr="006D4AEF">
        <w:rPr>
          <w:rFonts w:eastAsiaTheme="minorHAnsi" w:cs="Times New Roman"/>
          <w:b w:val="0"/>
          <w:color w:val="auto"/>
          <w:sz w:val="24"/>
          <w:szCs w:val="22"/>
          <w:lang w:val="en-AU"/>
        </w:rPr>
        <w:t>Vodafone’s gross profit margin was almost unchanged, moving only from 33.39% in FY2024 to 33.43% in FY2025. This suggests that the core relationship between revenue and cost of sales did not materially deteriorate. Therefore, it would be inaccurate to argue that Vodafone’s FY2025 loss was caused mainly by a collapse in gross trading margin. The real deterioration occurred below the gross profit line, where operating profit fell from €3.665bn to an operating loss of €411m, and ROCE declined from 3.56% to -0.39% (Vodafone Group plc, 2025).</w:t>
      </w:r>
      <w:bookmarkEnd w:id="10"/>
    </w:p>
    <w:p w14:paraId="7AD1660B" w14:textId="77777777" w:rsidR="006D4AEF" w:rsidRDefault="006D4AEF" w:rsidP="006D4AEF">
      <w:pPr>
        <w:pStyle w:val="Heading3"/>
        <w:spacing w:line="276" w:lineRule="auto"/>
        <w:rPr>
          <w:rFonts w:cs="Times New Roman"/>
          <w:lang w:val="en-AU"/>
        </w:rPr>
      </w:pPr>
      <w:bookmarkStart w:id="11" w:name="_Toc227606825"/>
      <w:r w:rsidRPr="006D4AEF">
        <w:rPr>
          <w:rFonts w:eastAsiaTheme="minorHAnsi" w:cs="Times New Roman"/>
          <w:b w:val="0"/>
          <w:color w:val="auto"/>
          <w:sz w:val="24"/>
          <w:szCs w:val="22"/>
          <w:lang w:val="en-AU"/>
        </w:rPr>
        <w:t xml:space="preserve">Vodafone’s consolidated income statement shows an impairment charge of €4.515bn in FY2025, while management states that the operating loss was primarily affected by goodwill impairments in Germany and Romania totalling €4.5bn (Vodafone Group plc, 2025). The impairment is non-cash in the year recognised, so it does not mean the business suddenly stopped generating cash. Vodafone’s FY2025 adjusted </w:t>
      </w:r>
      <w:proofErr w:type="spellStart"/>
      <w:r w:rsidRPr="006D4AEF">
        <w:rPr>
          <w:rFonts w:eastAsiaTheme="minorHAnsi" w:cs="Times New Roman"/>
          <w:b w:val="0"/>
          <w:color w:val="auto"/>
          <w:sz w:val="24"/>
          <w:szCs w:val="22"/>
          <w:lang w:val="en-AU"/>
        </w:rPr>
        <w:t>EBITDAaL</w:t>
      </w:r>
      <w:proofErr w:type="spellEnd"/>
      <w:r w:rsidRPr="006D4AEF">
        <w:rPr>
          <w:rFonts w:eastAsiaTheme="minorHAnsi" w:cs="Times New Roman"/>
          <w:b w:val="0"/>
          <w:color w:val="auto"/>
          <w:sz w:val="24"/>
          <w:szCs w:val="22"/>
          <w:lang w:val="en-AU"/>
        </w:rPr>
        <w:t xml:space="preserve"> was €10.932bn, close to FY2024’s €11.019bn, and adjusted free cash flow was €2.5bn. However, the impairment reflects a lower expected recoverable value of assets and therefore directly weakens Vodafone’s ability to earn acceptable returns on invested capital (Vodafone Group plc, 2025).</w:t>
      </w:r>
      <w:bookmarkEnd w:id="11"/>
    </w:p>
    <w:p w14:paraId="3A57D601" w14:textId="77777777" w:rsidR="006D4AEF" w:rsidRDefault="006D4AEF" w:rsidP="006D4AEF">
      <w:pPr>
        <w:pStyle w:val="Heading3"/>
        <w:spacing w:line="276" w:lineRule="auto"/>
        <w:rPr>
          <w:rFonts w:eastAsiaTheme="minorHAnsi" w:cs="Times New Roman"/>
          <w:b w:val="0"/>
          <w:color w:val="auto"/>
          <w:sz w:val="24"/>
          <w:szCs w:val="22"/>
          <w:lang w:val="en-AU"/>
        </w:rPr>
      </w:pPr>
      <w:bookmarkStart w:id="12" w:name="_Toc227606826"/>
      <w:r w:rsidRPr="006D4AEF">
        <w:rPr>
          <w:rFonts w:eastAsiaTheme="minorHAnsi" w:cs="Times New Roman"/>
          <w:b w:val="0"/>
          <w:color w:val="auto"/>
          <w:sz w:val="24"/>
          <w:szCs w:val="22"/>
          <w:lang w:val="en-AU"/>
        </w:rPr>
        <w:t xml:space="preserve">Germany is the key concern. Vodafone states that solid growth in other parts of the group was offset by decline in Germany, largely driven by a change in TV regulation (Vodafone Group plc, 2025). The ROCE result is particularly weak. Even before benchmarking against peers, a statutory ROCE of -0.39% is not acceptable for a capital-intensive telecoms group. Telecom companies require heavy investment in network infrastructure, technology and spectrum. If returns on that capital base are not demonstrably above the cost of capital, long-term value destruction becomes a real risk (Yang, </w:t>
      </w:r>
      <w:proofErr w:type="spellStart"/>
      <w:r w:rsidRPr="006D4AEF">
        <w:rPr>
          <w:rFonts w:eastAsiaTheme="minorHAnsi" w:cs="Times New Roman"/>
          <w:b w:val="0"/>
          <w:color w:val="auto"/>
          <w:sz w:val="24"/>
          <w:szCs w:val="22"/>
          <w:lang w:val="en-AU"/>
        </w:rPr>
        <w:t>Trimi</w:t>
      </w:r>
      <w:proofErr w:type="spellEnd"/>
      <w:r w:rsidRPr="006D4AEF">
        <w:rPr>
          <w:rFonts w:eastAsiaTheme="minorHAnsi" w:cs="Times New Roman"/>
          <w:b w:val="0"/>
          <w:color w:val="auto"/>
          <w:sz w:val="24"/>
          <w:szCs w:val="22"/>
          <w:lang w:val="en-AU"/>
        </w:rPr>
        <w:t xml:space="preserve"> and Lee, 2016; Connect Europe, 2025). Vodafone’s own non-GAAP ROCE methodology is more favourable, but the assignment ratio still highlights a valid concern: statutory profitability is inadequate relative to the asset base.</w:t>
      </w:r>
      <w:bookmarkEnd w:id="12"/>
    </w:p>
    <w:p w14:paraId="1C3C667C" w14:textId="2E994D6A" w:rsidR="00A77462" w:rsidRDefault="00A77462" w:rsidP="006D4AEF">
      <w:pPr>
        <w:pStyle w:val="Heading3"/>
        <w:numPr>
          <w:ilvl w:val="2"/>
          <w:numId w:val="9"/>
        </w:numPr>
        <w:spacing w:line="276" w:lineRule="auto"/>
        <w:rPr>
          <w:rFonts w:cs="Times New Roman"/>
          <w:lang w:val="en-AU"/>
        </w:rPr>
      </w:pPr>
      <w:bookmarkStart w:id="13" w:name="_Toc227606827"/>
      <w:r w:rsidRPr="006D4AEF">
        <w:rPr>
          <w:rFonts w:cs="Times New Roman"/>
          <w:lang w:val="en-AU"/>
        </w:rPr>
        <w:t>Efficienc</w:t>
      </w:r>
      <w:r w:rsidR="006D4AEF">
        <w:rPr>
          <w:rFonts w:cs="Times New Roman"/>
          <w:lang w:val="en-AU"/>
        </w:rPr>
        <w:t>y</w:t>
      </w:r>
      <w:bookmarkEnd w:id="13"/>
    </w:p>
    <w:p w14:paraId="6C259D09" w14:textId="77777777" w:rsidR="008B7659" w:rsidRPr="008B7659" w:rsidRDefault="008B7659" w:rsidP="008B7659">
      <w:pPr>
        <w:rPr>
          <w:rFonts w:cs="Times New Roman"/>
          <w:lang w:val="en-AU"/>
        </w:rPr>
      </w:pPr>
      <w:r w:rsidRPr="008B7659">
        <w:rPr>
          <w:rFonts w:cs="Times New Roman"/>
          <w:lang w:val="en-AU"/>
        </w:rPr>
        <w:t xml:space="preserve">Asset turnover was almost unchanged but slightly weaker, falling from 0.36x to 0.35x. This confirms that Vodafone’s substantial asset base continues to generate relatively low sales per euro of capital employed. In telecoms this is not surprising because the sector is highly capital-intensive, but the result still shows that asset productivity remains structurally low (Yang, </w:t>
      </w:r>
      <w:proofErr w:type="spellStart"/>
      <w:r w:rsidRPr="008B7659">
        <w:rPr>
          <w:rFonts w:cs="Times New Roman"/>
          <w:lang w:val="en-AU"/>
        </w:rPr>
        <w:t>Trimi</w:t>
      </w:r>
      <w:proofErr w:type="spellEnd"/>
      <w:r w:rsidRPr="008B7659">
        <w:rPr>
          <w:rFonts w:cs="Times New Roman"/>
          <w:lang w:val="en-AU"/>
        </w:rPr>
        <w:t xml:space="preserve"> and Lee, 2016; </w:t>
      </w:r>
      <w:proofErr w:type="spellStart"/>
      <w:r w:rsidRPr="008B7659">
        <w:rPr>
          <w:rFonts w:cs="Times New Roman"/>
          <w:lang w:val="en-AU"/>
        </w:rPr>
        <w:t>Ofcom</w:t>
      </w:r>
      <w:proofErr w:type="spellEnd"/>
      <w:r w:rsidRPr="008B7659">
        <w:rPr>
          <w:rFonts w:cs="Times New Roman"/>
          <w:lang w:val="en-AU"/>
        </w:rPr>
        <w:t>, 2025).</w:t>
      </w:r>
    </w:p>
    <w:p w14:paraId="7A064C71" w14:textId="77777777" w:rsidR="008B7659" w:rsidRPr="008B7659" w:rsidRDefault="008B7659" w:rsidP="008B7659">
      <w:pPr>
        <w:rPr>
          <w:rFonts w:cs="Times New Roman"/>
          <w:lang w:val="en-AU"/>
        </w:rPr>
      </w:pPr>
    </w:p>
    <w:p w14:paraId="54346941" w14:textId="5EAF73B9" w:rsidR="00A77462" w:rsidRPr="006D4AEF" w:rsidRDefault="008B7659" w:rsidP="008B7659">
      <w:pPr>
        <w:rPr>
          <w:lang w:val="en-AU"/>
        </w:rPr>
      </w:pPr>
      <w:r w:rsidRPr="008B7659">
        <w:rPr>
          <w:rFonts w:cs="Times New Roman"/>
          <w:lang w:val="en-AU"/>
        </w:rPr>
        <w:lastRenderedPageBreak/>
        <w:t>Debtor days deteriorated to 35.64 days compared with 32.63 days. The increase is not alarming on its own, but it is directionally negative because it implies that Vodafone is taking longer to convert revenue into cash. At Vodafone’s scale, even a movement of three days is financially meaningful. More broadly, working-capital management is well established in the literature as a factor influencing financial performance and liquidity quality (</w:t>
      </w:r>
      <w:proofErr w:type="spellStart"/>
      <w:r w:rsidRPr="008B7659">
        <w:rPr>
          <w:rFonts w:cs="Times New Roman"/>
          <w:lang w:val="en-AU"/>
        </w:rPr>
        <w:t>Deloof</w:t>
      </w:r>
      <w:proofErr w:type="spellEnd"/>
      <w:r w:rsidRPr="008B7659">
        <w:rPr>
          <w:rFonts w:cs="Times New Roman"/>
          <w:lang w:val="en-AU"/>
        </w:rPr>
        <w:t xml:space="preserve">, 2003; </w:t>
      </w:r>
      <w:proofErr w:type="spellStart"/>
      <w:r w:rsidRPr="008B7659">
        <w:rPr>
          <w:rFonts w:cs="Times New Roman"/>
          <w:lang w:val="en-AU"/>
        </w:rPr>
        <w:t>Aktas</w:t>
      </w:r>
      <w:proofErr w:type="spellEnd"/>
      <w:r w:rsidRPr="008B7659">
        <w:rPr>
          <w:rFonts w:cs="Times New Roman"/>
          <w:lang w:val="en-AU"/>
        </w:rPr>
        <w:t xml:space="preserve">, </w:t>
      </w:r>
      <w:proofErr w:type="spellStart"/>
      <w:r w:rsidRPr="008B7659">
        <w:rPr>
          <w:rFonts w:cs="Times New Roman"/>
          <w:lang w:val="en-AU"/>
        </w:rPr>
        <w:t>Croci</w:t>
      </w:r>
      <w:proofErr w:type="spellEnd"/>
      <w:r w:rsidRPr="008B7659">
        <w:rPr>
          <w:rFonts w:cs="Times New Roman"/>
          <w:lang w:val="en-AU"/>
        </w:rPr>
        <w:t xml:space="preserve"> and </w:t>
      </w:r>
      <w:proofErr w:type="spellStart"/>
      <w:r w:rsidRPr="008B7659">
        <w:rPr>
          <w:rFonts w:cs="Times New Roman"/>
          <w:lang w:val="en-AU"/>
        </w:rPr>
        <w:t>Petmezas</w:t>
      </w:r>
      <w:proofErr w:type="spellEnd"/>
      <w:r w:rsidRPr="008B7659">
        <w:rPr>
          <w:rFonts w:cs="Times New Roman"/>
          <w:lang w:val="en-AU"/>
        </w:rPr>
        <w:t>, 2015)</w:t>
      </w:r>
      <w:r w:rsidR="00A77462" w:rsidRPr="006D4AEF">
        <w:rPr>
          <w:rFonts w:cs="Times New Roman"/>
          <w:lang w:val="en-US"/>
        </w:rPr>
        <w:t>.</w:t>
      </w:r>
    </w:p>
    <w:p w14:paraId="79B6C404" w14:textId="2148360F" w:rsidR="00A77462" w:rsidRPr="002018AC" w:rsidRDefault="008B7659" w:rsidP="00695D8D">
      <w:pPr>
        <w:spacing w:line="276" w:lineRule="auto"/>
        <w:rPr>
          <w:rFonts w:eastAsia="Times New Roman" w:cs="Times New Roman"/>
          <w:szCs w:val="24"/>
          <w:lang w:val="en-US"/>
        </w:rPr>
      </w:pPr>
      <w:r w:rsidRPr="008B7659">
        <w:rPr>
          <w:rFonts w:cs="Times New Roman"/>
        </w:rPr>
        <w:t>Creditor days increased to 90.15 days from 83.76 days. This helps short-term liquidity because Vodafone is paying suppliers later, but it does not automatically indicate stronger financial management. Stretching suppliers may protect cash temporarily while creating pressure in supplier relationships or concealing working-capital stress. Vodafone also reports supplier-financing arrangements, including a small volume of reverse factoring where payment terms were extended to 90 days instead of 30. This supports the argument that creditor days should not be celebrated mechanically without considering the underlying financing behaviour (Vodafone Group plc, 2025; Huynh and Le, 2025</w:t>
      </w:r>
      <w:proofErr w:type="gramStart"/>
      <w:r w:rsidRPr="008B7659">
        <w:rPr>
          <w:rFonts w:cs="Times New Roman"/>
        </w:rPr>
        <w:t>).</w:t>
      </w:r>
      <w:r w:rsidR="00A77462" w:rsidRPr="002018AC">
        <w:rPr>
          <w:rFonts w:cs="Times New Roman"/>
        </w:rPr>
        <w:t>Creditor</w:t>
      </w:r>
      <w:proofErr w:type="gramEnd"/>
      <w:r w:rsidR="00A77462" w:rsidRPr="002018AC">
        <w:rPr>
          <w:rFonts w:cs="Times New Roman"/>
        </w:rPr>
        <w:t xml:space="preserve"> days make use of trade payables in Ap</w:t>
      </w:r>
      <w:proofErr w:type="spellStart"/>
      <w:r w:rsidR="00A77462" w:rsidRPr="002018AC">
        <w:rPr>
          <w:rFonts w:eastAsia="Times New Roman" w:cs="Times New Roman"/>
          <w:szCs w:val="24"/>
          <w:lang w:val="en-US"/>
        </w:rPr>
        <w:t>pendix</w:t>
      </w:r>
      <w:proofErr w:type="spellEnd"/>
      <w:r w:rsidR="00A77462" w:rsidRPr="002018AC">
        <w:rPr>
          <w:rFonts w:eastAsia="Times New Roman" w:cs="Times New Roman"/>
          <w:szCs w:val="24"/>
          <w:lang w:val="en-US"/>
        </w:rPr>
        <w:t xml:space="preserve"> A5.</w:t>
      </w:r>
    </w:p>
    <w:p w14:paraId="738AD2BF" w14:textId="016E4EB3" w:rsidR="00A77462" w:rsidRPr="002018AC" w:rsidRDefault="00A77462" w:rsidP="00695D8D">
      <w:pPr>
        <w:spacing w:line="276" w:lineRule="auto"/>
        <w:rPr>
          <w:rFonts w:eastAsia="Times New Roman" w:cs="Times New Roman"/>
          <w:szCs w:val="24"/>
          <w:lang w:val="en-US"/>
        </w:rPr>
      </w:pPr>
      <w:r w:rsidRPr="002018AC">
        <w:rPr>
          <w:rFonts w:eastAsia="Times New Roman" w:cs="Times New Roman"/>
          <w:szCs w:val="24"/>
          <w:lang w:val="en-US"/>
        </w:rPr>
        <w:t xml:space="preserve">The stock days increased to 9.03 days as compared to 8.48 days and the stock turnover decreased to 40.40x </w:t>
      </w:r>
      <w:proofErr w:type="spellStart"/>
      <w:r w:rsidRPr="002018AC">
        <w:rPr>
          <w:rFonts w:eastAsia="Times New Roman" w:cs="Times New Roman"/>
          <w:szCs w:val="24"/>
          <w:lang w:val="en-US"/>
        </w:rPr>
        <w:t>compa</w:t>
      </w:r>
      <w:proofErr w:type="spellEnd"/>
      <w:r w:rsidRPr="002018AC">
        <w:rPr>
          <w:rFonts w:cs="Times New Roman"/>
        </w:rPr>
        <w:t xml:space="preserve">red to 43.06x. This is a slight deterioration, but inventory is not the key ratio for Vodafone. Receivables, payables, capex, spectrum, debt, leases and customer churn issues are much more important </w:t>
      </w:r>
      <w:r w:rsidRPr="002018AC">
        <w:rPr>
          <w:rFonts w:eastAsia="Times New Roman" w:cs="Times New Roman"/>
          <w:szCs w:val="24"/>
          <w:lang w:val="en-US"/>
        </w:rPr>
        <w:t>in a telecoms group than inventory</w:t>
      </w:r>
      <w:r w:rsidR="006D4AEF">
        <w:rPr>
          <w:rFonts w:eastAsia="Times New Roman" w:cs="Times New Roman"/>
          <w:szCs w:val="24"/>
          <w:lang w:val="en-US"/>
        </w:rPr>
        <w:t xml:space="preserve"> </w:t>
      </w:r>
      <w:r w:rsidR="006D4AEF" w:rsidRPr="006D4AEF">
        <w:rPr>
          <w:rFonts w:eastAsia="Times New Roman" w:cs="Times New Roman"/>
          <w:szCs w:val="24"/>
          <w:lang w:val="en-US"/>
        </w:rPr>
        <w:t>(Vodafone Group plc, 2025; Connect Europe, 2025).</w:t>
      </w:r>
    </w:p>
    <w:p w14:paraId="2FC3EEFC" w14:textId="67B2DEB2" w:rsidR="00A77462" w:rsidRPr="002018AC" w:rsidRDefault="000C685B" w:rsidP="00695D8D">
      <w:pPr>
        <w:pStyle w:val="Heading3"/>
        <w:numPr>
          <w:ilvl w:val="2"/>
          <w:numId w:val="9"/>
        </w:numPr>
        <w:spacing w:line="276" w:lineRule="auto"/>
        <w:rPr>
          <w:rFonts w:cs="Times New Roman"/>
          <w:lang w:val="en-US"/>
        </w:rPr>
      </w:pPr>
      <w:bookmarkStart w:id="14" w:name="_Toc227606828"/>
      <w:r w:rsidRPr="002018AC">
        <w:rPr>
          <w:rFonts w:cs="Times New Roman"/>
          <w:lang w:val="en-US"/>
        </w:rPr>
        <w:lastRenderedPageBreak/>
        <w:t>Liquidity</w:t>
      </w:r>
      <w:bookmarkEnd w:id="14"/>
    </w:p>
    <w:p w14:paraId="7F3A45CC" w14:textId="77777777" w:rsidR="008B7659" w:rsidRPr="008B7659" w:rsidRDefault="008B7659" w:rsidP="008B7659">
      <w:pPr>
        <w:pStyle w:val="Heading3"/>
        <w:spacing w:line="276" w:lineRule="auto"/>
        <w:rPr>
          <w:rFonts w:eastAsiaTheme="minorHAnsi" w:cs="Times New Roman"/>
          <w:b w:val="0"/>
          <w:color w:val="auto"/>
          <w:sz w:val="24"/>
          <w:szCs w:val="22"/>
          <w:lang w:val="en-US"/>
        </w:rPr>
      </w:pPr>
      <w:bookmarkStart w:id="15" w:name="_Toc227606829"/>
      <w:r w:rsidRPr="008B7659">
        <w:rPr>
          <w:rFonts w:eastAsiaTheme="minorHAnsi" w:cs="Times New Roman"/>
          <w:b w:val="0"/>
          <w:color w:val="auto"/>
          <w:sz w:val="24"/>
          <w:szCs w:val="22"/>
          <w:lang w:val="en-US"/>
        </w:rPr>
        <w:t>Using the continuing-operations basis, the current ratio increased to 1.26x from 0.92x and the quick ratio improved to 1.23x from 0.89x. This is a notable improvement because in FY2024 current liabilities exceeded current assets, whereas in FY2025 current assets exceeded current liabilities. Vodafone’s current assets rose to €28.6bn, mainly because of increases in cash and cash equivalents, trade and other receivables, and other investments (Vodafone Group plc, 2025).</w:t>
      </w:r>
      <w:bookmarkEnd w:id="15"/>
    </w:p>
    <w:p w14:paraId="32794FE5" w14:textId="77777777" w:rsidR="008B7659" w:rsidRDefault="008B7659" w:rsidP="008B7659">
      <w:pPr>
        <w:pStyle w:val="Heading3"/>
        <w:spacing w:line="276" w:lineRule="auto"/>
        <w:rPr>
          <w:rFonts w:eastAsiaTheme="minorHAnsi" w:cs="Times New Roman"/>
          <w:b w:val="0"/>
          <w:color w:val="auto"/>
          <w:sz w:val="24"/>
          <w:szCs w:val="22"/>
          <w:lang w:val="en-US"/>
        </w:rPr>
      </w:pPr>
      <w:bookmarkStart w:id="16" w:name="_Toc227606830"/>
      <w:r w:rsidRPr="008B7659">
        <w:rPr>
          <w:rFonts w:eastAsiaTheme="minorHAnsi" w:cs="Times New Roman"/>
          <w:b w:val="0"/>
          <w:color w:val="auto"/>
          <w:sz w:val="24"/>
          <w:szCs w:val="22"/>
          <w:lang w:val="en-US"/>
        </w:rPr>
        <w:t>This improvement should not, however, be overstated. A current ratio above 1.0 is encouraging, but part of the movement reflects disposals and balance-sheet restructuring. In addition, not all current assets are equally liquid or equally available for debt service. The quick ratio of 1.23x looks stronger, but it still includes receivables, other investments and derivative items rather than pure cash. The proper conclusion is that short-term liquidity has improved, but that this does not remove the need for tight cash-flow control in a highly leveraged, capital-intensive business (Khoza, 2025; Vodafone Group plc, 2025).</w:t>
      </w:r>
      <w:bookmarkEnd w:id="16"/>
    </w:p>
    <w:p w14:paraId="1BA09C0A" w14:textId="77777777" w:rsidR="008B7659" w:rsidRDefault="008B7659" w:rsidP="008B7659">
      <w:pPr>
        <w:pStyle w:val="Heading3"/>
        <w:spacing w:line="276" w:lineRule="auto"/>
        <w:rPr>
          <w:rFonts w:eastAsiaTheme="minorHAnsi" w:cs="Times New Roman"/>
          <w:b w:val="0"/>
          <w:color w:val="auto"/>
          <w:sz w:val="24"/>
          <w:szCs w:val="22"/>
          <w:lang w:val="en-US"/>
        </w:rPr>
      </w:pPr>
      <w:bookmarkStart w:id="17" w:name="_Toc227606831"/>
      <w:r w:rsidRPr="008B7659">
        <w:rPr>
          <w:rFonts w:eastAsiaTheme="minorHAnsi" w:cs="Times New Roman"/>
          <w:b w:val="0"/>
          <w:color w:val="auto"/>
          <w:sz w:val="24"/>
          <w:szCs w:val="22"/>
          <w:lang w:val="en-US"/>
        </w:rPr>
        <w:t>The FY2024 presentation is also sensitive to classification choices. Vodafone Spain and Vodafone Italy were held for sale at 31 March 2024, with assets held for sale of €19.047bn and liabilities held for sale of €6.918bn. If these items were included, FY2024’s current ratio would be 1.35x rather than 0.92x. Excluding them is cleaner because FY2025 does not contain similar held-for-sale balances and the income statement in the main analysis is based on continuing operations. This reinforces an important point: ratio analysis is not purely mechanical and still requires accounting judgement (Vodafone Group plc, 2025; Ali Abebe, 2022).</w:t>
      </w:r>
      <w:bookmarkEnd w:id="17"/>
    </w:p>
    <w:p w14:paraId="11BCDD24" w14:textId="5A6AC059" w:rsidR="008B7659" w:rsidRPr="008B7659" w:rsidRDefault="00A77462" w:rsidP="008B7659">
      <w:pPr>
        <w:pStyle w:val="Heading3"/>
        <w:numPr>
          <w:ilvl w:val="2"/>
          <w:numId w:val="9"/>
        </w:numPr>
        <w:spacing w:line="276" w:lineRule="auto"/>
        <w:rPr>
          <w:rFonts w:cs="Times New Roman"/>
          <w:lang w:val="en-AU"/>
        </w:rPr>
      </w:pPr>
      <w:bookmarkStart w:id="18" w:name="_Toc227606832"/>
      <w:r w:rsidRPr="008B7659">
        <w:rPr>
          <w:rFonts w:cs="Times New Roman"/>
          <w:lang w:val="en-AU"/>
        </w:rPr>
        <w:t>Investment ratios</w:t>
      </w:r>
      <w:bookmarkEnd w:id="18"/>
    </w:p>
    <w:p w14:paraId="744BC26D" w14:textId="77777777" w:rsidR="00A77462" w:rsidRPr="002018AC" w:rsidRDefault="00A77462" w:rsidP="00695D8D">
      <w:pPr>
        <w:spacing w:line="276" w:lineRule="auto"/>
        <w:rPr>
          <w:rFonts w:cs="Times New Roman"/>
          <w:lang w:val="en-AU"/>
        </w:rPr>
      </w:pPr>
      <w:r w:rsidRPr="002018AC">
        <w:rPr>
          <w:rFonts w:cs="Times New Roman"/>
        </w:rPr>
        <w:t>EPS declined drastically to -15.94 eurocents as compared to 4.21 eurocents. This is the outcome of Vodafone’s loss attributable to owners of €4.169bn in FY2025 as opposed to profit attributable to owners of €1.140bn in FY2024. The EPS outcome is drastic; however, once again it must be explained: it is influenced by impairment charges, tax effects, and operating performance. Vodafone’s own adjusted EPS was</w:t>
      </w:r>
      <w:r w:rsidRPr="002018AC">
        <w:rPr>
          <w:rFonts w:cs="Times New Roman"/>
          <w:lang w:val="en-AU"/>
        </w:rPr>
        <w:t xml:space="preserve"> positive, but the statutory EPS ratio required by the assignment is negative and should not be ignored. EPS and dividend cover are calculated from Appendix A6. </w:t>
      </w:r>
    </w:p>
    <w:p w14:paraId="196ED619" w14:textId="3245028E" w:rsidR="00A77462" w:rsidRPr="002018AC" w:rsidRDefault="00A77462" w:rsidP="00695D8D">
      <w:pPr>
        <w:spacing w:line="276" w:lineRule="auto"/>
        <w:rPr>
          <w:rFonts w:cs="Times New Roman"/>
          <w:lang w:val="en-AU"/>
        </w:rPr>
      </w:pPr>
      <w:r w:rsidRPr="002018AC">
        <w:rPr>
          <w:rFonts w:cs="Times New Roman"/>
          <w:lang w:val="en-AU"/>
        </w:rPr>
        <w:t>Dividend cover is poor in both years. In FY2024, dividend cover was only 0.47x, meaning dividends declared were not covered by profit attributable to owners. In FY2025, dividend cover was -2.32x, because Vodafone made a statutory loss while still declaring dividends. Vodafone rebased the FY2025 dividend to 4.5 eurocents per share, which is more conservative than the FY2024 dividend of 9.0 eurocents, but the key point remains: statutory profit did not cover shareholder distributions</w:t>
      </w:r>
      <w:r w:rsidR="000C685B" w:rsidRPr="002018AC">
        <w:rPr>
          <w:rFonts w:cs="Times New Roman"/>
          <w:lang w:val="en-AU"/>
        </w:rPr>
        <w:t xml:space="preserve"> </w:t>
      </w:r>
      <w:r w:rsidRPr="002018AC">
        <w:rPr>
          <w:rFonts w:cs="Times New Roman"/>
          <w:lang w:val="en-AU"/>
        </w:rPr>
        <w:t>(Vodafone Group plc, 2025).</w:t>
      </w:r>
    </w:p>
    <w:p w14:paraId="4C18325B" w14:textId="7E1C0910" w:rsidR="00A77462" w:rsidRPr="002018AC" w:rsidRDefault="00A77462" w:rsidP="00695D8D">
      <w:pPr>
        <w:pStyle w:val="Heading3"/>
        <w:numPr>
          <w:ilvl w:val="2"/>
          <w:numId w:val="9"/>
        </w:numPr>
        <w:spacing w:line="276" w:lineRule="auto"/>
        <w:rPr>
          <w:rFonts w:cs="Times New Roman"/>
          <w:lang w:val="en-AU"/>
        </w:rPr>
      </w:pPr>
      <w:bookmarkStart w:id="19" w:name="_Toc227606833"/>
      <w:r w:rsidRPr="002018AC">
        <w:rPr>
          <w:rFonts w:cs="Times New Roman"/>
          <w:lang w:val="en-AU"/>
        </w:rPr>
        <w:t>Gearing and interest cover</w:t>
      </w:r>
      <w:bookmarkEnd w:id="19"/>
    </w:p>
    <w:p w14:paraId="5750AC84" w14:textId="77777777" w:rsidR="00A77462" w:rsidRPr="002018AC" w:rsidRDefault="00A77462" w:rsidP="00695D8D">
      <w:pPr>
        <w:spacing w:line="276" w:lineRule="auto"/>
        <w:rPr>
          <w:rFonts w:cs="Times New Roman"/>
        </w:rPr>
      </w:pPr>
      <w:r w:rsidRPr="002018AC">
        <w:rPr>
          <w:rFonts w:eastAsia="Times New Roman" w:cs="Times New Roman"/>
          <w:szCs w:val="24"/>
          <w:lang w:val="en-US"/>
        </w:rPr>
        <w:t xml:space="preserve">The gearing ratio </w:t>
      </w:r>
      <w:r w:rsidRPr="002018AC">
        <w:rPr>
          <w:rFonts w:cs="Times New Roman"/>
        </w:rPr>
        <w:t xml:space="preserve">1 has also improved as it decreased to 50.25% as compared to 55.35% as borrowings have decreased and the capital employed has increased slightly on the continuing basis. </w:t>
      </w:r>
      <w:r w:rsidRPr="002018AC">
        <w:rPr>
          <w:rFonts w:cs="Times New Roman"/>
        </w:rPr>
        <w:lastRenderedPageBreak/>
        <w:t>This looks positive. Vodafone’s borrowings fell from €56.987bn to €53.143bn, and net debt fell from €33.242bn to €22.397bn. The reduction in net debt was primarily due to disposal proceeds and free cash inflow, which was partially offset by dividends, share buybacks and repayment of borrowings secured against Indian assets (Vodafone Group plc, 2025).</w:t>
      </w:r>
    </w:p>
    <w:p w14:paraId="4CF72D87" w14:textId="429A25EF" w:rsidR="00A77462" w:rsidRPr="002018AC" w:rsidRDefault="008B7659" w:rsidP="00695D8D">
      <w:pPr>
        <w:spacing w:line="276" w:lineRule="auto"/>
        <w:rPr>
          <w:rFonts w:eastAsia="Times New Roman" w:cs="Times New Roman"/>
          <w:szCs w:val="24"/>
          <w:lang w:val="en-US"/>
        </w:rPr>
      </w:pPr>
      <w:r w:rsidRPr="008B7659">
        <w:rPr>
          <w:rFonts w:eastAsia="Times New Roman" w:cs="Times New Roman"/>
          <w:szCs w:val="24"/>
          <w:lang w:val="en-US"/>
        </w:rPr>
        <w:t xml:space="preserve">However, gearing ratio 2 worsened from 93.42% to 98.57% because net assets declined from €60.998bn to €53.916bn. This is the harsher balance-sheet view: Vodafone reduced debt, but equity weakened even more. The correct interpretation is therefore mixed. Debt and net debt declined, but debt relative to net assets deteriorated because the equity base weakened. This is important because leverage should be judged not only by borrowings in isolation, but also by the resilience of the equity cushion beneath them (Vodafone Group plc, 2025; </w:t>
      </w:r>
      <w:proofErr w:type="spellStart"/>
      <w:r w:rsidRPr="008B7659">
        <w:rPr>
          <w:rFonts w:eastAsia="Times New Roman" w:cs="Times New Roman"/>
          <w:szCs w:val="24"/>
          <w:lang w:val="en-US"/>
        </w:rPr>
        <w:t>Arhinful</w:t>
      </w:r>
      <w:proofErr w:type="spellEnd"/>
      <w:r w:rsidRPr="008B7659">
        <w:rPr>
          <w:rFonts w:eastAsia="Times New Roman" w:cs="Times New Roman"/>
          <w:szCs w:val="24"/>
          <w:lang w:val="en-US"/>
        </w:rPr>
        <w:t xml:space="preserve"> and </w:t>
      </w:r>
      <w:proofErr w:type="spellStart"/>
      <w:r w:rsidRPr="008B7659">
        <w:rPr>
          <w:rFonts w:eastAsia="Times New Roman" w:cs="Times New Roman"/>
          <w:szCs w:val="24"/>
          <w:lang w:val="en-US"/>
        </w:rPr>
        <w:t>Radmehr</w:t>
      </w:r>
      <w:proofErr w:type="spellEnd"/>
      <w:r w:rsidRPr="008B7659">
        <w:rPr>
          <w:rFonts w:eastAsia="Times New Roman" w:cs="Times New Roman"/>
          <w:szCs w:val="24"/>
          <w:lang w:val="en-US"/>
        </w:rPr>
        <w:t>, 2023</w:t>
      </w:r>
      <w:proofErr w:type="gramStart"/>
      <w:r w:rsidRPr="008B7659">
        <w:rPr>
          <w:rFonts w:eastAsia="Times New Roman" w:cs="Times New Roman"/>
          <w:szCs w:val="24"/>
          <w:lang w:val="en-US"/>
        </w:rPr>
        <w:t>).</w:t>
      </w:r>
      <w:r w:rsidR="00A77462" w:rsidRPr="002018AC">
        <w:rPr>
          <w:rFonts w:eastAsia="Times New Roman" w:cs="Times New Roman"/>
          <w:szCs w:val="24"/>
          <w:lang w:val="en-US"/>
        </w:rPr>
        <w:t>.</w:t>
      </w:r>
      <w:proofErr w:type="gramEnd"/>
      <w:r w:rsidR="00A77462" w:rsidRPr="002018AC">
        <w:rPr>
          <w:rFonts w:eastAsia="Times New Roman" w:cs="Times New Roman"/>
          <w:szCs w:val="24"/>
          <w:lang w:val="en-US"/>
        </w:rPr>
        <w:t xml:space="preserve"> The cross-checking of borrowings and net debt is done with Appendix A7.</w:t>
      </w:r>
    </w:p>
    <w:p w14:paraId="419A6B42" w14:textId="25082150" w:rsidR="00A77462" w:rsidRPr="002018AC" w:rsidRDefault="008B7659" w:rsidP="00695D8D">
      <w:pPr>
        <w:spacing w:line="276" w:lineRule="auto"/>
        <w:rPr>
          <w:rFonts w:eastAsia="Times New Roman" w:cs="Times New Roman"/>
          <w:szCs w:val="24"/>
          <w:lang w:val="en-US"/>
        </w:rPr>
      </w:pPr>
      <w:r>
        <w:rPr>
          <w:rFonts w:eastAsia="Times New Roman" w:cs="Times New Roman"/>
          <w:szCs w:val="24"/>
          <w:lang w:val="en-US"/>
        </w:rPr>
        <w:t>I</w:t>
      </w:r>
      <w:r w:rsidRPr="008B7659">
        <w:rPr>
          <w:rFonts w:eastAsia="Times New Roman" w:cs="Times New Roman"/>
          <w:szCs w:val="24"/>
          <w:lang w:val="en-US"/>
        </w:rPr>
        <w:t xml:space="preserve">nterest cover is also weak. The FY2024 figure of 1.40x was already thin, and the FY2025 figure of -0.21x is clearly unacceptable under the assignment formula because operating profit turned negative. It is true that the FY2025 operating loss includes non-cash impairment, so cash-based interest cover would be more </w:t>
      </w:r>
      <w:proofErr w:type="spellStart"/>
      <w:r w:rsidRPr="008B7659">
        <w:rPr>
          <w:rFonts w:eastAsia="Times New Roman" w:cs="Times New Roman"/>
          <w:szCs w:val="24"/>
          <w:lang w:val="en-US"/>
        </w:rPr>
        <w:t>favourable</w:t>
      </w:r>
      <w:proofErr w:type="spellEnd"/>
      <w:r w:rsidRPr="008B7659">
        <w:rPr>
          <w:rFonts w:eastAsia="Times New Roman" w:cs="Times New Roman"/>
          <w:szCs w:val="24"/>
          <w:lang w:val="en-US"/>
        </w:rPr>
        <w:t xml:space="preserve"> than the statutory figure suggests. Even so, directors should not use that as an excuse. Finance costs remain substantial and Vodafone’s capital allocation should </w:t>
      </w:r>
      <w:proofErr w:type="spellStart"/>
      <w:r w:rsidRPr="008B7659">
        <w:rPr>
          <w:rFonts w:eastAsia="Times New Roman" w:cs="Times New Roman"/>
          <w:szCs w:val="24"/>
          <w:lang w:val="en-US"/>
        </w:rPr>
        <w:t>prioritise</w:t>
      </w:r>
      <w:proofErr w:type="spellEnd"/>
      <w:r w:rsidRPr="008B7659">
        <w:rPr>
          <w:rFonts w:eastAsia="Times New Roman" w:cs="Times New Roman"/>
          <w:szCs w:val="24"/>
          <w:lang w:val="en-US"/>
        </w:rPr>
        <w:t xml:space="preserve"> creditor confidence, cash generation and balance-sheet resilience (Vodafone Group plc, 2025; </w:t>
      </w:r>
      <w:proofErr w:type="spellStart"/>
      <w:r w:rsidRPr="008B7659">
        <w:rPr>
          <w:rFonts w:eastAsia="Times New Roman" w:cs="Times New Roman"/>
          <w:szCs w:val="24"/>
          <w:lang w:val="en-US"/>
        </w:rPr>
        <w:t>Habibniya</w:t>
      </w:r>
      <w:proofErr w:type="spellEnd"/>
      <w:r w:rsidRPr="008B7659">
        <w:rPr>
          <w:rFonts w:eastAsia="Times New Roman" w:cs="Times New Roman"/>
          <w:szCs w:val="24"/>
          <w:lang w:val="en-US"/>
        </w:rPr>
        <w:t xml:space="preserve"> et al., 2022).</w:t>
      </w:r>
    </w:p>
    <w:p w14:paraId="5C11AD4C" w14:textId="08761609" w:rsidR="00A77462" w:rsidRPr="002018AC" w:rsidRDefault="00A77462" w:rsidP="00695D8D">
      <w:pPr>
        <w:pStyle w:val="Heading3"/>
        <w:numPr>
          <w:ilvl w:val="2"/>
          <w:numId w:val="9"/>
        </w:numPr>
        <w:spacing w:line="276" w:lineRule="auto"/>
        <w:rPr>
          <w:rFonts w:cs="Times New Roman"/>
          <w:lang w:val="en-US"/>
        </w:rPr>
      </w:pPr>
      <w:bookmarkStart w:id="20" w:name="_Toc227606834"/>
      <w:r w:rsidRPr="002018AC">
        <w:rPr>
          <w:rFonts w:cs="Times New Roman"/>
          <w:lang w:val="en-US"/>
        </w:rPr>
        <w:t>Weaknesses of Ratio analysis</w:t>
      </w:r>
      <w:bookmarkEnd w:id="20"/>
    </w:p>
    <w:p w14:paraId="2D323326" w14:textId="77777777" w:rsidR="00A77462" w:rsidRPr="002018AC" w:rsidRDefault="00A77462" w:rsidP="00695D8D">
      <w:pPr>
        <w:spacing w:line="276" w:lineRule="auto"/>
        <w:rPr>
          <w:rFonts w:cs="Times New Roman"/>
          <w:lang w:val="en-US"/>
        </w:rPr>
      </w:pPr>
      <w:r w:rsidRPr="002018AC">
        <w:rPr>
          <w:rFonts w:cs="Times New Roman"/>
          <w:lang w:val="en-US"/>
        </w:rPr>
        <w:t>The reason why ratio analysis is a good tool is that it transforms the information contained in financial statements into similar measures of profitability, liquidity, efficiency and solvency. The recent scholarly literature still considers financial ratios as a valuable instrument in evaluating the performance of firms, yet it also demonstrates that their interpretation is strongly reliant on accounting frameworks and contexts. The analysis of IFRS and financial ratios conducted by Ali Abebe (2022), such as the liquidity, leverage and return measures, indicates that IFRS may have a considerable impact.</w:t>
      </w:r>
    </w:p>
    <w:p w14:paraId="3F359482" w14:textId="77777777" w:rsidR="008B7659" w:rsidRDefault="008B7659" w:rsidP="00695D8D">
      <w:pPr>
        <w:spacing w:line="276" w:lineRule="auto"/>
        <w:rPr>
          <w:rFonts w:cs="Times New Roman"/>
          <w:lang w:val="en-US"/>
        </w:rPr>
      </w:pPr>
      <w:r w:rsidRPr="008B7659">
        <w:rPr>
          <w:rFonts w:cs="Times New Roman"/>
          <w:lang w:val="en-US"/>
        </w:rPr>
        <w:t xml:space="preserve">The first weakness is that ratios are backward-looking. Vodafone’s FY2025 ratios show the position after a major restructuring of the group, but they do not on their own predict whether Germany will recover, whether the UK merger will create value, or whether Africa and Business will continue to grow. Financial analysis therefore requires strategic interpretation and cannot be reduced to arithmetic alone (Vodafone Group plc, 2025; Hartmann and </w:t>
      </w:r>
      <w:proofErr w:type="spellStart"/>
      <w:r w:rsidRPr="008B7659">
        <w:rPr>
          <w:rFonts w:cs="Times New Roman"/>
          <w:lang w:val="en-US"/>
        </w:rPr>
        <w:t>Weißenberger</w:t>
      </w:r>
      <w:proofErr w:type="spellEnd"/>
      <w:r w:rsidRPr="008B7659">
        <w:rPr>
          <w:rFonts w:cs="Times New Roman"/>
          <w:lang w:val="en-US"/>
        </w:rPr>
        <w:t>, 2024).</w:t>
      </w:r>
    </w:p>
    <w:p w14:paraId="29F76302" w14:textId="77777777" w:rsidR="008B7659" w:rsidRDefault="008B7659" w:rsidP="00695D8D">
      <w:pPr>
        <w:spacing w:line="276" w:lineRule="auto"/>
        <w:rPr>
          <w:rFonts w:cs="Times New Roman"/>
          <w:lang w:val="en-US"/>
        </w:rPr>
      </w:pPr>
      <w:r w:rsidRPr="008B7659">
        <w:rPr>
          <w:rFonts w:cs="Times New Roman"/>
          <w:lang w:val="en-US"/>
        </w:rPr>
        <w:t>The second weakness is accounting classification. Vodafone’s FY2024 balance sheet included assets and liabilities held for sale in Spain and Italy, while the income statement was re-presented for continuing operations. If an analyst automatically includes all current assets and current liabilities, liquidity ratios change materially. Likewise, impairment charges distort statutory profitability and ROCE even though they may still reflect genuine economic deterioration in recoverable value (Vodafone Group plc, 2025; Ali Abebe, 2022).</w:t>
      </w:r>
    </w:p>
    <w:p w14:paraId="31127379" w14:textId="77777777" w:rsidR="008B7659" w:rsidRDefault="008B7659" w:rsidP="00695D8D">
      <w:pPr>
        <w:spacing w:line="276" w:lineRule="auto"/>
        <w:rPr>
          <w:rFonts w:cs="Times New Roman"/>
          <w:lang w:val="en-US"/>
        </w:rPr>
      </w:pPr>
      <w:r w:rsidRPr="008B7659">
        <w:rPr>
          <w:rFonts w:cs="Times New Roman"/>
          <w:lang w:val="en-US"/>
        </w:rPr>
        <w:lastRenderedPageBreak/>
        <w:t xml:space="preserve">The third weakness is that conventional ratios do not fully show cash-flow reality. </w:t>
      </w:r>
      <w:proofErr w:type="spellStart"/>
      <w:r w:rsidRPr="008B7659">
        <w:rPr>
          <w:rFonts w:cs="Times New Roman"/>
          <w:lang w:val="en-US"/>
        </w:rPr>
        <w:t>Seretidou</w:t>
      </w:r>
      <w:proofErr w:type="spellEnd"/>
      <w:r w:rsidRPr="008B7659">
        <w:rPr>
          <w:rFonts w:cs="Times New Roman"/>
          <w:lang w:val="en-US"/>
        </w:rPr>
        <w:t xml:space="preserve"> et al. (2025) argue that cash-flow-based ratios are increasingly valued because they provide a more dynamic picture of liquidity and financial health. This matters in Vodafone’s case because statutory operating loss and negative EPS coexist with positive adjusted free cash flow (</w:t>
      </w:r>
      <w:proofErr w:type="spellStart"/>
      <w:r w:rsidRPr="008B7659">
        <w:rPr>
          <w:rFonts w:cs="Times New Roman"/>
          <w:lang w:val="en-US"/>
        </w:rPr>
        <w:t>Seretidou</w:t>
      </w:r>
      <w:proofErr w:type="spellEnd"/>
      <w:r w:rsidRPr="008B7659">
        <w:rPr>
          <w:rFonts w:cs="Times New Roman"/>
          <w:lang w:val="en-US"/>
        </w:rPr>
        <w:t xml:space="preserve"> et al., 2025; Vodafone Group plc, 2025).</w:t>
      </w:r>
    </w:p>
    <w:p w14:paraId="200F886F" w14:textId="6A973584" w:rsidR="00A77462" w:rsidRPr="002018AC" w:rsidRDefault="008B7659" w:rsidP="00695D8D">
      <w:pPr>
        <w:spacing w:line="276" w:lineRule="auto"/>
        <w:rPr>
          <w:rFonts w:cs="Times New Roman"/>
          <w:lang w:val="en-US"/>
        </w:rPr>
      </w:pPr>
      <w:r w:rsidRPr="008B7659">
        <w:rPr>
          <w:rFonts w:cs="Times New Roman"/>
          <w:lang w:val="en-US"/>
        </w:rPr>
        <w:t xml:space="preserve">The fourth weakness is that ratios do not capture sector economics properly. Telecoms is highly capital-intensive and tightly regulated, and operators face large continuing investment requirements. Connect Europe (2025) reports that European telecom revenue fell in real terms despite inflation, while GSMA Intelligence (2025) argues that 5G could generate major economic value in Europe by 2030. This means Vodafone must keep investing to meet future demand while operating under return pressure. Ratio analysis alone cannot fully capture that trade-off (Connect Europe, 2025; GSMA Intelligence, 2025; </w:t>
      </w:r>
      <w:proofErr w:type="spellStart"/>
      <w:r w:rsidRPr="008B7659">
        <w:rPr>
          <w:rFonts w:cs="Times New Roman"/>
          <w:lang w:val="en-US"/>
        </w:rPr>
        <w:t>Ofcom</w:t>
      </w:r>
      <w:proofErr w:type="spellEnd"/>
      <w:r w:rsidRPr="008B7659">
        <w:rPr>
          <w:rFonts w:cs="Times New Roman"/>
          <w:lang w:val="en-US"/>
        </w:rPr>
        <w:t>, 2025).</w:t>
      </w:r>
    </w:p>
    <w:p w14:paraId="57FAA744" w14:textId="6BD0A7CE" w:rsidR="00A77462" w:rsidRPr="002018AC" w:rsidRDefault="00A77462" w:rsidP="00695D8D">
      <w:pPr>
        <w:pStyle w:val="Heading1"/>
        <w:numPr>
          <w:ilvl w:val="0"/>
          <w:numId w:val="9"/>
        </w:numPr>
        <w:spacing w:line="276" w:lineRule="auto"/>
        <w:rPr>
          <w:rFonts w:cs="Times New Roman"/>
          <w:lang w:val="en-US"/>
        </w:rPr>
      </w:pPr>
      <w:bookmarkStart w:id="21" w:name="_Toc227606835"/>
      <w:r w:rsidRPr="002018AC">
        <w:rPr>
          <w:rFonts w:cs="Times New Roman"/>
          <w:lang w:val="en-US"/>
        </w:rPr>
        <w:t>Part 2 Investment Appraisal of Beard Plc</w:t>
      </w:r>
      <w:bookmarkEnd w:id="21"/>
    </w:p>
    <w:p w14:paraId="45EFC1E8" w14:textId="11304382" w:rsidR="00A77462" w:rsidRPr="002018AC" w:rsidRDefault="00A77462" w:rsidP="00695D8D">
      <w:pPr>
        <w:pStyle w:val="Heading2"/>
        <w:numPr>
          <w:ilvl w:val="1"/>
          <w:numId w:val="9"/>
        </w:numPr>
        <w:spacing w:line="276" w:lineRule="auto"/>
        <w:rPr>
          <w:rFonts w:cs="Times New Roman"/>
          <w:lang w:val="en-US"/>
        </w:rPr>
      </w:pPr>
      <w:bookmarkStart w:id="22" w:name="_Toc227606836"/>
      <w:r w:rsidRPr="002018AC">
        <w:rPr>
          <w:rFonts w:cs="Times New Roman"/>
          <w:lang w:val="en-US"/>
        </w:rPr>
        <w:t>Basis of appraisal and assumptions</w:t>
      </w:r>
      <w:bookmarkEnd w:id="22"/>
    </w:p>
    <w:p w14:paraId="19EEB1D5" w14:textId="77777777" w:rsidR="00A77462" w:rsidRPr="002018AC" w:rsidRDefault="00A77462" w:rsidP="00695D8D">
      <w:pPr>
        <w:spacing w:line="276" w:lineRule="auto"/>
        <w:rPr>
          <w:rFonts w:cs="Times New Roman"/>
          <w:lang w:val="en-US"/>
        </w:rPr>
      </w:pPr>
      <w:r w:rsidRPr="002018AC">
        <w:rPr>
          <w:rFonts w:cs="Times New Roman"/>
          <w:lang w:val="en-US"/>
        </w:rPr>
        <w:t xml:space="preserve">This report appraises the three alternatives with discounted cash-flow appraisal. The primary </w:t>
      </w:r>
      <w:r w:rsidRPr="002018AC">
        <w:rPr>
          <w:rFonts w:cs="Times New Roman"/>
          <w:bCs/>
          <w:lang w:val="en-US"/>
        </w:rPr>
        <w:t>method</w:t>
      </w:r>
      <w:r w:rsidRPr="002018AC">
        <w:rPr>
          <w:rFonts w:cs="Times New Roman"/>
          <w:lang w:val="en-US"/>
        </w:rPr>
        <w:t xml:space="preserve"> is net present value, since it quantifies the absolute value of how an investment is likely to boost shareholder wealth. The computations are based on the assumption that the initial investment is done in Year 0, the annual cash flows mentioned are taxable operating cash flows, prior to deduction of capital allowances, and the taxation is done in the same year as the cash flow in question. Capital allowances are not considered as a cash expense, but rather as a tax shield (Sokolov, 2024; </w:t>
      </w:r>
      <w:proofErr w:type="spellStart"/>
      <w:r w:rsidRPr="002018AC">
        <w:rPr>
          <w:rFonts w:cs="Times New Roman"/>
          <w:lang w:val="en-US"/>
        </w:rPr>
        <w:t>Purnamasari</w:t>
      </w:r>
      <w:proofErr w:type="spellEnd"/>
      <w:r w:rsidRPr="002018AC">
        <w:rPr>
          <w:rFonts w:cs="Times New Roman"/>
          <w:lang w:val="en-US"/>
        </w:rPr>
        <w:t xml:space="preserve"> and </w:t>
      </w:r>
      <w:proofErr w:type="spellStart"/>
      <w:r w:rsidRPr="002018AC">
        <w:rPr>
          <w:rFonts w:cs="Times New Roman"/>
          <w:lang w:val="en-US"/>
        </w:rPr>
        <w:t>Adriza</w:t>
      </w:r>
      <w:proofErr w:type="spellEnd"/>
      <w:r w:rsidRPr="002018AC">
        <w:rPr>
          <w:rFonts w:cs="Times New Roman"/>
          <w:lang w:val="en-US"/>
        </w:rPr>
        <w:t>, 2024).</w:t>
      </w:r>
    </w:p>
    <w:p w14:paraId="7528F5F8" w14:textId="77777777" w:rsidR="00A77462" w:rsidRPr="002018AC" w:rsidRDefault="00A77462" w:rsidP="00695D8D">
      <w:pPr>
        <w:spacing w:line="276" w:lineRule="auto"/>
        <w:rPr>
          <w:rFonts w:cs="Times New Roman"/>
          <w:lang w:val="en-US"/>
        </w:rPr>
      </w:pPr>
      <w:r w:rsidRPr="002018AC">
        <w:rPr>
          <w:rFonts w:cs="Times New Roman"/>
          <w:lang w:val="en-US"/>
        </w:rPr>
        <w:t>Another assumption is that taxable profit can be relieved immediately in case of a negative taxable profit. This influences the first year (Year 1) when the annual capital allowance is higher than the operating cash flow (Appendix C1). Without the availability of immediate tax relief, Option A would be a bit worse, but this would not alter the overall recommendation.</w:t>
      </w:r>
    </w:p>
    <w:p w14:paraId="3F7110C6" w14:textId="77777777" w:rsidR="00A77462" w:rsidRPr="002018AC" w:rsidRDefault="00A77462" w:rsidP="00695D8D">
      <w:pPr>
        <w:spacing w:line="276" w:lineRule="auto"/>
        <w:rPr>
          <w:rFonts w:cs="Times New Roman"/>
          <w:lang w:val="en-US"/>
        </w:rPr>
      </w:pPr>
      <w:r w:rsidRPr="002018AC">
        <w:rPr>
          <w:rFonts w:cs="Times New Roman"/>
          <w:lang w:val="en-US"/>
        </w:rPr>
        <w:t>The following after-tax cash-flow logic is used to calculate:</w:t>
      </w:r>
    </w:p>
    <w:p w14:paraId="18480457" w14:textId="77777777" w:rsidR="000C685B" w:rsidRPr="002018AC" w:rsidRDefault="00A77462" w:rsidP="00695D8D">
      <w:pPr>
        <w:pStyle w:val="ListParagraph"/>
        <w:numPr>
          <w:ilvl w:val="0"/>
          <w:numId w:val="13"/>
        </w:numPr>
        <w:spacing w:before="100" w:beforeAutospacing="1" w:after="100" w:afterAutospacing="1" w:line="276" w:lineRule="auto"/>
        <w:rPr>
          <w:rFonts w:eastAsia="Times New Roman" w:cs="Times New Roman"/>
          <w:szCs w:val="24"/>
          <w:lang w:val="en-US"/>
        </w:rPr>
      </w:pPr>
      <w:r w:rsidRPr="002018AC">
        <w:rPr>
          <w:rFonts w:eastAsia="Times New Roman" w:cs="Times New Roman"/>
          <w:szCs w:val="24"/>
          <w:lang w:val="en-US"/>
        </w:rPr>
        <w:t xml:space="preserve">Taxable profit = operating cash flow </w:t>
      </w:r>
      <w:r w:rsidRPr="002018AC">
        <w:rPr>
          <w:rFonts w:eastAsia="Times New Roman" w:cs="Times New Roman"/>
          <w:b/>
          <w:bCs/>
          <w:szCs w:val="24"/>
          <w:lang w:val="en-US"/>
        </w:rPr>
        <w:t>–</w:t>
      </w:r>
      <w:r w:rsidR="000C685B" w:rsidRPr="002018AC">
        <w:rPr>
          <w:rFonts w:eastAsia="Times New Roman" w:cs="Times New Roman"/>
          <w:szCs w:val="24"/>
          <w:lang w:val="en-US"/>
        </w:rPr>
        <w:t xml:space="preserve"> capital allowance.</w:t>
      </w:r>
    </w:p>
    <w:p w14:paraId="12E3C0B3" w14:textId="77777777" w:rsidR="000C685B" w:rsidRPr="002018AC" w:rsidRDefault="00A77462" w:rsidP="00695D8D">
      <w:pPr>
        <w:pStyle w:val="ListParagraph"/>
        <w:numPr>
          <w:ilvl w:val="0"/>
          <w:numId w:val="13"/>
        </w:numPr>
        <w:spacing w:before="100" w:beforeAutospacing="1" w:after="100" w:afterAutospacing="1" w:line="276" w:lineRule="auto"/>
        <w:rPr>
          <w:rFonts w:eastAsia="Times New Roman" w:cs="Times New Roman"/>
          <w:szCs w:val="24"/>
          <w:lang w:val="en-US"/>
        </w:rPr>
      </w:pPr>
      <w:r w:rsidRPr="002018AC">
        <w:rPr>
          <w:rFonts w:eastAsia="Times New Roman" w:cs="Times New Roman"/>
          <w:b/>
          <w:bCs/>
          <w:szCs w:val="24"/>
          <w:lang w:val="en-US"/>
        </w:rPr>
        <w:t>Tax payable</w:t>
      </w:r>
      <w:r w:rsidRPr="002018AC">
        <w:rPr>
          <w:rFonts w:eastAsia="Times New Roman" w:cs="Times New Roman"/>
          <w:szCs w:val="24"/>
          <w:lang w:val="en-US"/>
        </w:rPr>
        <w:t xml:space="preserve"> = 25% of the taxable profit.</w:t>
      </w:r>
    </w:p>
    <w:p w14:paraId="6F9D4223" w14:textId="788EA1D7" w:rsidR="00A77462" w:rsidRPr="002018AC" w:rsidRDefault="00A77462" w:rsidP="00695D8D">
      <w:pPr>
        <w:pStyle w:val="ListParagraph"/>
        <w:numPr>
          <w:ilvl w:val="0"/>
          <w:numId w:val="13"/>
        </w:numPr>
        <w:spacing w:before="100" w:beforeAutospacing="1" w:after="100" w:afterAutospacing="1" w:line="276" w:lineRule="auto"/>
        <w:rPr>
          <w:rFonts w:eastAsia="Times New Roman" w:cs="Times New Roman"/>
          <w:szCs w:val="24"/>
          <w:lang w:val="en-US"/>
        </w:rPr>
      </w:pPr>
      <w:r w:rsidRPr="002018AC">
        <w:rPr>
          <w:rFonts w:eastAsia="Times New Roman" w:cs="Times New Roman"/>
          <w:szCs w:val="24"/>
          <w:lang w:val="en-US"/>
        </w:rPr>
        <w:t xml:space="preserve">After-tax cash flow = operating cash flow </w:t>
      </w:r>
      <w:r w:rsidRPr="002018AC">
        <w:rPr>
          <w:rFonts w:eastAsia="Times New Roman" w:cs="Times New Roman"/>
          <w:b/>
          <w:bCs/>
          <w:szCs w:val="24"/>
          <w:lang w:val="en-US"/>
        </w:rPr>
        <w:t>–</w:t>
      </w:r>
      <w:r w:rsidRPr="002018AC">
        <w:rPr>
          <w:rFonts w:eastAsia="Times New Roman" w:cs="Times New Roman"/>
          <w:szCs w:val="24"/>
          <w:lang w:val="en-US"/>
        </w:rPr>
        <w:t xml:space="preserve"> tax payable.</w:t>
      </w:r>
    </w:p>
    <w:p w14:paraId="7EFF1A1E" w14:textId="1D75A07B" w:rsidR="00A77462" w:rsidRPr="002018AC" w:rsidRDefault="008B7659" w:rsidP="00695D8D">
      <w:pPr>
        <w:spacing w:before="100" w:beforeAutospacing="1" w:after="100" w:afterAutospacing="1" w:line="276" w:lineRule="auto"/>
        <w:rPr>
          <w:rFonts w:eastAsia="Times New Roman" w:cs="Times New Roman"/>
          <w:szCs w:val="24"/>
          <w:lang w:val="en-US"/>
        </w:rPr>
      </w:pPr>
      <w:r w:rsidRPr="008B7659">
        <w:rPr>
          <w:rFonts w:eastAsia="Times New Roman" w:cs="Times New Roman"/>
          <w:szCs w:val="24"/>
          <w:lang w:val="en-US"/>
        </w:rPr>
        <w:t xml:space="preserve">The discount rate is 5%, as stated in the question. However, that assumption should still be challenged. The three projects do not have identical risk profiles. Internet sales may involve technology, marketing and cyber risk, while production of purses and wallets may involve manufacturing, inventory and supplier risk. The use of one discount rate is acceptable for the </w:t>
      </w:r>
      <w:r w:rsidRPr="008B7659">
        <w:rPr>
          <w:rFonts w:eastAsia="Times New Roman" w:cs="Times New Roman"/>
          <w:szCs w:val="24"/>
          <w:lang w:val="en-US"/>
        </w:rPr>
        <w:lastRenderedPageBreak/>
        <w:t>assignment, but directors should not confuse that with a fully risk-adjusted commercial appraisal (</w:t>
      </w:r>
      <w:proofErr w:type="spellStart"/>
      <w:r w:rsidRPr="008B7659">
        <w:rPr>
          <w:rFonts w:eastAsia="Times New Roman" w:cs="Times New Roman"/>
          <w:szCs w:val="24"/>
          <w:lang w:val="en-US"/>
        </w:rPr>
        <w:t>Shaheen</w:t>
      </w:r>
      <w:proofErr w:type="spellEnd"/>
      <w:r w:rsidRPr="008B7659">
        <w:rPr>
          <w:rFonts w:eastAsia="Times New Roman" w:cs="Times New Roman"/>
          <w:szCs w:val="24"/>
          <w:lang w:val="en-US"/>
        </w:rPr>
        <w:t xml:space="preserve"> et al., 2024; Hartmann and </w:t>
      </w:r>
      <w:proofErr w:type="spellStart"/>
      <w:r w:rsidRPr="008B7659">
        <w:rPr>
          <w:rFonts w:eastAsia="Times New Roman" w:cs="Times New Roman"/>
          <w:szCs w:val="24"/>
          <w:lang w:val="en-US"/>
        </w:rPr>
        <w:t>Weißenberger</w:t>
      </w:r>
      <w:proofErr w:type="spellEnd"/>
      <w:r w:rsidRPr="008B7659">
        <w:rPr>
          <w:rFonts w:eastAsia="Times New Roman" w:cs="Times New Roman"/>
          <w:szCs w:val="24"/>
          <w:lang w:val="en-US"/>
        </w:rPr>
        <w:t>, 2024</w:t>
      </w:r>
      <w:proofErr w:type="gramStart"/>
      <w:r>
        <w:rPr>
          <w:rFonts w:eastAsia="Times New Roman" w:cs="Times New Roman"/>
          <w:szCs w:val="24"/>
          <w:lang w:val="en-US"/>
        </w:rPr>
        <w:t xml:space="preserve">) </w:t>
      </w:r>
      <w:r w:rsidRPr="008B7659">
        <w:rPr>
          <w:rFonts w:eastAsia="Times New Roman" w:cs="Times New Roman"/>
          <w:szCs w:val="24"/>
          <w:lang w:val="en-US"/>
        </w:rPr>
        <w:t xml:space="preserve"> </w:t>
      </w:r>
      <w:r w:rsidR="00A77462" w:rsidRPr="002018AC">
        <w:rPr>
          <w:rFonts w:cs="Times New Roman"/>
        </w:rPr>
        <w:t>(</w:t>
      </w:r>
      <w:proofErr w:type="gramEnd"/>
      <w:r w:rsidR="00A77462" w:rsidRPr="002018AC">
        <w:rPr>
          <w:rFonts w:cs="Times New Roman"/>
        </w:rPr>
        <w:t>Appendix C2).</w:t>
      </w:r>
    </w:p>
    <w:p w14:paraId="1B99F633" w14:textId="52FDB5C3" w:rsidR="00A77462" w:rsidRPr="002018AC" w:rsidRDefault="00A77462" w:rsidP="00695D8D">
      <w:pPr>
        <w:pStyle w:val="Heading2"/>
        <w:numPr>
          <w:ilvl w:val="1"/>
          <w:numId w:val="9"/>
        </w:numPr>
        <w:spacing w:line="276" w:lineRule="auto"/>
        <w:rPr>
          <w:rFonts w:cs="Times New Roman"/>
          <w:lang w:val="en-US"/>
        </w:rPr>
      </w:pPr>
      <w:bookmarkStart w:id="23" w:name="_Toc227606837"/>
      <w:r w:rsidRPr="002018AC">
        <w:rPr>
          <w:rFonts w:cs="Times New Roman"/>
          <w:lang w:val="en-US"/>
        </w:rPr>
        <w:t>Discussion of the three investments</w:t>
      </w:r>
      <w:bookmarkEnd w:id="23"/>
    </w:p>
    <w:p w14:paraId="6338AA74" w14:textId="77777777" w:rsidR="008B7659" w:rsidRDefault="008B7659" w:rsidP="00695D8D">
      <w:pPr>
        <w:spacing w:line="276" w:lineRule="auto"/>
        <w:rPr>
          <w:rFonts w:cs="Times New Roman"/>
          <w:lang w:val="en-US"/>
        </w:rPr>
      </w:pPr>
      <w:r w:rsidRPr="008B7659">
        <w:rPr>
          <w:rFonts w:cs="Times New Roman"/>
          <w:lang w:val="en-US"/>
        </w:rPr>
        <w:t xml:space="preserve">The NPV results show that Option A should not be undertaken. Its NPV is -£3.263k, meaning the present value of its after-tax future cash flows is slightly less than the initial investment. The project is close to break-even, but near break-even is not an adequate investment criterion. A negative NPV means the project does not earn the required 5% return and therefore reduces shareholder value. Unless the Board can identify compelling non-financial reasons such as customer retention, retail presence or brand </w:t>
      </w:r>
      <w:proofErr w:type="spellStart"/>
      <w:r w:rsidRPr="008B7659">
        <w:rPr>
          <w:rFonts w:cs="Times New Roman"/>
          <w:lang w:val="en-US"/>
        </w:rPr>
        <w:t>defence</w:t>
      </w:r>
      <w:proofErr w:type="spellEnd"/>
      <w:r w:rsidRPr="008B7659">
        <w:rPr>
          <w:rFonts w:cs="Times New Roman"/>
          <w:lang w:val="en-US"/>
        </w:rPr>
        <w:t xml:space="preserve">, Option A should be rejected (Sokolov, 2024; </w:t>
      </w:r>
      <w:proofErr w:type="spellStart"/>
      <w:r w:rsidRPr="008B7659">
        <w:rPr>
          <w:rFonts w:cs="Times New Roman"/>
          <w:lang w:val="en-US"/>
        </w:rPr>
        <w:t>Purnamasari</w:t>
      </w:r>
      <w:proofErr w:type="spellEnd"/>
      <w:r w:rsidRPr="008B7659">
        <w:rPr>
          <w:rFonts w:cs="Times New Roman"/>
          <w:lang w:val="en-US"/>
        </w:rPr>
        <w:t xml:space="preserve"> and </w:t>
      </w:r>
      <w:proofErr w:type="spellStart"/>
      <w:r w:rsidRPr="008B7659">
        <w:rPr>
          <w:rFonts w:cs="Times New Roman"/>
          <w:lang w:val="en-US"/>
        </w:rPr>
        <w:t>Adriza</w:t>
      </w:r>
      <w:proofErr w:type="spellEnd"/>
      <w:r w:rsidRPr="008B7659">
        <w:rPr>
          <w:rFonts w:cs="Times New Roman"/>
          <w:lang w:val="en-US"/>
        </w:rPr>
        <w:t>, 2024).</w:t>
      </w:r>
    </w:p>
    <w:p w14:paraId="57D00CB9" w14:textId="69D1648D" w:rsidR="00A77462" w:rsidRPr="002018AC" w:rsidRDefault="008B7659" w:rsidP="00695D8D">
      <w:pPr>
        <w:spacing w:line="276" w:lineRule="auto"/>
        <w:rPr>
          <w:rFonts w:cs="Times New Roman"/>
          <w:lang w:val="en-US"/>
        </w:rPr>
      </w:pPr>
      <w:r w:rsidRPr="008B7659">
        <w:rPr>
          <w:rFonts w:cs="Times New Roman"/>
          <w:bCs/>
          <w:lang w:val="en-US"/>
        </w:rPr>
        <w:t xml:space="preserve">Option B is financially acceptable. Its NPV is positive at £73.952k, which indicates that it is expected to generate returns above the cost of capital. It may also offer strategic value beyond the base-case NPV because internet sales could widen market reach, improve customer insight, strengthen marketing effectiveness and reduce dependence on physical retail outlets. However, such a move may require additional capabilities in website development, payment security, order fulfilment and online customer support, which are not fully visible in the cash-flow table (Hartmann and </w:t>
      </w:r>
      <w:proofErr w:type="spellStart"/>
      <w:r w:rsidRPr="008B7659">
        <w:rPr>
          <w:rFonts w:cs="Times New Roman"/>
          <w:bCs/>
          <w:lang w:val="en-US"/>
        </w:rPr>
        <w:t>Weißenberger</w:t>
      </w:r>
      <w:proofErr w:type="spellEnd"/>
      <w:r w:rsidRPr="008B7659">
        <w:rPr>
          <w:rFonts w:cs="Times New Roman"/>
          <w:bCs/>
          <w:lang w:val="en-US"/>
        </w:rPr>
        <w:t xml:space="preserve">, 2024; </w:t>
      </w:r>
      <w:proofErr w:type="spellStart"/>
      <w:r w:rsidRPr="008B7659">
        <w:rPr>
          <w:rFonts w:cs="Times New Roman"/>
          <w:bCs/>
          <w:lang w:val="en-US"/>
        </w:rPr>
        <w:t>Shaheen</w:t>
      </w:r>
      <w:proofErr w:type="spellEnd"/>
      <w:r w:rsidRPr="008B7659">
        <w:rPr>
          <w:rFonts w:cs="Times New Roman"/>
          <w:bCs/>
          <w:lang w:val="en-US"/>
        </w:rPr>
        <w:t xml:space="preserve"> et al., 2024</w:t>
      </w:r>
      <w:proofErr w:type="gramStart"/>
      <w:r w:rsidRPr="008B7659">
        <w:rPr>
          <w:rFonts w:cs="Times New Roman"/>
          <w:bCs/>
          <w:lang w:val="en-US"/>
        </w:rPr>
        <w:t>).</w:t>
      </w:r>
      <w:r w:rsidR="00A77462" w:rsidRPr="002018AC">
        <w:rPr>
          <w:rFonts w:cs="Times New Roman"/>
          <w:lang w:val="en-US"/>
        </w:rPr>
        <w:t>.</w:t>
      </w:r>
      <w:proofErr w:type="gramEnd"/>
    </w:p>
    <w:p w14:paraId="4C9D0D7E" w14:textId="77777777" w:rsidR="008B7659" w:rsidRDefault="008B7659" w:rsidP="00695D8D">
      <w:pPr>
        <w:spacing w:line="276" w:lineRule="auto"/>
        <w:rPr>
          <w:rFonts w:cs="Times New Roman"/>
          <w:lang w:val="en-US"/>
        </w:rPr>
      </w:pPr>
      <w:r w:rsidRPr="008B7659">
        <w:rPr>
          <w:rFonts w:cs="Times New Roman"/>
          <w:lang w:val="en-US"/>
        </w:rPr>
        <w:t xml:space="preserve">The best single project is Option C. It delivers the highest NPV of the three options at £91.226k. It also has a plausible strategic fit, because purses and wallets are complementary accessories that can extend Beard Plc’s existing handbag offering. Brand-extension literature suggests that extensions tend to perform better when there is a credible fit between the parent brand and the new product category, although success is never automatic and poor execution can damage the parent brand as well as the extension (Peng et al., 2023; Dens and De </w:t>
      </w:r>
      <w:proofErr w:type="spellStart"/>
      <w:r w:rsidRPr="008B7659">
        <w:rPr>
          <w:rFonts w:cs="Times New Roman"/>
          <w:lang w:val="en-US"/>
        </w:rPr>
        <w:t>Pelsmacker</w:t>
      </w:r>
      <w:proofErr w:type="spellEnd"/>
      <w:r w:rsidRPr="008B7659">
        <w:rPr>
          <w:rFonts w:cs="Times New Roman"/>
          <w:lang w:val="en-US"/>
        </w:rPr>
        <w:t>, 2010; Milberg et al., 2023). The Board should therefore remain cautious. Purses and wallets may involve different margins, manufacturing processes, quality-control demands and competitive pressures, and the NPV could weaken quickly if market demand or cost assumptions are wrong.</w:t>
      </w:r>
    </w:p>
    <w:p w14:paraId="7F4EDFF5" w14:textId="5717F19E" w:rsidR="00A77462" w:rsidRPr="002018AC" w:rsidRDefault="00A77462" w:rsidP="00695D8D">
      <w:pPr>
        <w:spacing w:line="276" w:lineRule="auto"/>
        <w:rPr>
          <w:rFonts w:cs="Times New Roman"/>
          <w:lang w:val="en-US"/>
        </w:rPr>
      </w:pPr>
      <w:r w:rsidRPr="002018AC">
        <w:rPr>
          <w:rFonts w:cs="Times New Roman"/>
          <w:lang w:val="en-US"/>
        </w:rPr>
        <w:t>Thus, the suggestion is quite definite yet conditional: choose Option C as the most preferable individual investment, but at the same time, remember that Option B is a good choice and can be a valuable strategy. Option A should be dismissed by the Board because of financial reasons.</w:t>
      </w:r>
    </w:p>
    <w:p w14:paraId="0FF2B2DE" w14:textId="40392B21" w:rsidR="00A77462" w:rsidRPr="002018AC" w:rsidRDefault="00A77462" w:rsidP="00695D8D">
      <w:pPr>
        <w:pStyle w:val="Heading2"/>
        <w:numPr>
          <w:ilvl w:val="1"/>
          <w:numId w:val="9"/>
        </w:numPr>
        <w:spacing w:line="276" w:lineRule="auto"/>
        <w:rPr>
          <w:rFonts w:cs="Times New Roman"/>
          <w:lang w:val="en-AU"/>
        </w:rPr>
      </w:pPr>
      <w:bookmarkStart w:id="24" w:name="_Toc227606838"/>
      <w:r w:rsidRPr="002018AC">
        <w:rPr>
          <w:rFonts w:cs="Times New Roman"/>
          <w:lang w:val="en-AU"/>
        </w:rPr>
        <w:t>Approximate IRR of the recommended option</w:t>
      </w:r>
      <w:bookmarkEnd w:id="24"/>
    </w:p>
    <w:p w14:paraId="6CC4A1AC" w14:textId="77777777" w:rsidR="00A77462" w:rsidRPr="002018AC" w:rsidRDefault="00A77462" w:rsidP="00695D8D">
      <w:pPr>
        <w:spacing w:line="276" w:lineRule="auto"/>
        <w:rPr>
          <w:rFonts w:cs="Times New Roman"/>
          <w:lang w:val="en-AU"/>
        </w:rPr>
      </w:pPr>
      <w:r w:rsidRPr="002018AC">
        <w:rPr>
          <w:rFonts w:cs="Times New Roman"/>
          <w:lang w:val="en-AU"/>
        </w:rPr>
        <w:t xml:space="preserve">The IRR of Option C is calculated in </w:t>
      </w:r>
      <w:r w:rsidRPr="002018AC">
        <w:rPr>
          <w:rFonts w:cs="Times New Roman"/>
          <w:bCs/>
          <w:lang w:val="en-AU"/>
        </w:rPr>
        <w:t>Appendix E</w:t>
      </w:r>
      <w:r w:rsidRPr="002018AC">
        <w:rPr>
          <w:rFonts w:cs="Times New Roman"/>
          <w:lang w:val="en-AU"/>
        </w:rPr>
        <w:t xml:space="preserve">. Option C has a positive NPV of </w:t>
      </w:r>
      <w:r w:rsidRPr="002018AC">
        <w:rPr>
          <w:rFonts w:cs="Times New Roman"/>
          <w:bCs/>
          <w:lang w:val="en-AU"/>
        </w:rPr>
        <w:t>£13.746k at 8%</w:t>
      </w:r>
      <w:r w:rsidRPr="002018AC">
        <w:rPr>
          <w:rFonts w:cs="Times New Roman"/>
          <w:lang w:val="en-AU"/>
        </w:rPr>
        <w:t xml:space="preserve"> and a negative NPV of </w:t>
      </w:r>
      <w:r w:rsidRPr="002018AC">
        <w:rPr>
          <w:rFonts w:cs="Times New Roman"/>
          <w:bCs/>
          <w:lang w:val="en-AU"/>
        </w:rPr>
        <w:t>-£10.183k at 9%</w:t>
      </w:r>
      <w:r w:rsidRPr="002018AC">
        <w:rPr>
          <w:rFonts w:cs="Times New Roman"/>
          <w:lang w:val="en-AU"/>
        </w:rPr>
        <w:t>. Interpolating between the two rates gives an approximate IRR of:</w:t>
      </w:r>
    </w:p>
    <w:p w14:paraId="4E7B3812" w14:textId="77777777" w:rsidR="00A77462" w:rsidRPr="002018AC" w:rsidRDefault="00A77462" w:rsidP="00695D8D">
      <w:pPr>
        <w:pStyle w:val="ListParagraph"/>
        <w:numPr>
          <w:ilvl w:val="0"/>
          <w:numId w:val="15"/>
        </w:numPr>
        <w:spacing w:line="276" w:lineRule="auto"/>
        <w:rPr>
          <w:rFonts w:cs="Times New Roman"/>
          <w:lang w:val="en-AU"/>
        </w:rPr>
      </w:pPr>
      <w:r w:rsidRPr="002018AC">
        <w:rPr>
          <w:rFonts w:cs="Times New Roman"/>
          <w:b/>
          <w:bCs/>
          <w:lang w:val="en-AU"/>
        </w:rPr>
        <w:t>8% + [13.746 / (13.746 + 10.183)] × 1% = 8.57% (Appendix E)</w:t>
      </w:r>
    </w:p>
    <w:p w14:paraId="54EB9C82" w14:textId="77777777" w:rsidR="008B7659" w:rsidRPr="008B7659" w:rsidRDefault="008B7659" w:rsidP="008B7659">
      <w:pPr>
        <w:spacing w:line="276" w:lineRule="auto"/>
        <w:rPr>
          <w:rFonts w:cs="Times New Roman"/>
          <w:lang w:val="en-AU"/>
        </w:rPr>
      </w:pPr>
      <w:r w:rsidRPr="008B7659">
        <w:rPr>
          <w:rFonts w:cs="Times New Roman"/>
          <w:lang w:val="en-AU"/>
        </w:rPr>
        <w:lastRenderedPageBreak/>
        <w:t xml:space="preserve">The IRR is above the 5% cost of capital, so Option C is acceptable. However, IRR should not be the primary decision rule. It is useful because managers often find a percentage return easy to communicate, but it can be misleading when projects differ in scale, timing or cash-flow pattern. The academic literature continues to recognise IRR as useful, but generally treats NPV as theoretically superior for decision-making because it measures absolute value creation directly (Sokolov, 2024; </w:t>
      </w:r>
      <w:proofErr w:type="spellStart"/>
      <w:r w:rsidRPr="008B7659">
        <w:rPr>
          <w:rFonts w:cs="Times New Roman"/>
          <w:lang w:val="en-AU"/>
        </w:rPr>
        <w:t>Mollah</w:t>
      </w:r>
      <w:proofErr w:type="spellEnd"/>
      <w:r w:rsidRPr="008B7659">
        <w:rPr>
          <w:rFonts w:cs="Times New Roman"/>
          <w:lang w:val="en-AU"/>
        </w:rPr>
        <w:t xml:space="preserve">, </w:t>
      </w:r>
      <w:proofErr w:type="spellStart"/>
      <w:r w:rsidRPr="008B7659">
        <w:rPr>
          <w:rFonts w:cs="Times New Roman"/>
          <w:lang w:val="en-AU"/>
        </w:rPr>
        <w:t>Rouf</w:t>
      </w:r>
      <w:proofErr w:type="spellEnd"/>
      <w:r w:rsidRPr="008B7659">
        <w:rPr>
          <w:rFonts w:cs="Times New Roman"/>
          <w:lang w:val="en-AU"/>
        </w:rPr>
        <w:t xml:space="preserve"> and Rana, 2023).</w:t>
      </w:r>
    </w:p>
    <w:p w14:paraId="6DE001D0" w14:textId="77777777" w:rsidR="008B7659" w:rsidRPr="008B7659" w:rsidRDefault="008B7659" w:rsidP="008B7659">
      <w:pPr>
        <w:spacing w:line="276" w:lineRule="auto"/>
        <w:rPr>
          <w:rFonts w:cs="Times New Roman"/>
          <w:lang w:val="en-AU"/>
        </w:rPr>
      </w:pPr>
    </w:p>
    <w:p w14:paraId="21438503" w14:textId="45B2798E" w:rsidR="00A77462" w:rsidRPr="002018AC" w:rsidRDefault="008B7659" w:rsidP="008B7659">
      <w:pPr>
        <w:spacing w:line="276" w:lineRule="auto"/>
        <w:rPr>
          <w:rFonts w:cs="Times New Roman"/>
          <w:lang w:val="en-AU"/>
        </w:rPr>
      </w:pPr>
      <w:r w:rsidRPr="008B7659">
        <w:rPr>
          <w:rFonts w:cs="Times New Roman"/>
          <w:lang w:val="en-AU"/>
        </w:rPr>
        <w:t>For Beard Plc, this matters because Option C requires a larger investment than Option B. A percentage-based measure might overemphasise rate of return and understate total value added. NPV is more appropriate because the Board’s aim is to increase firm value, not merely to select the highest percentage return (</w:t>
      </w:r>
      <w:proofErr w:type="spellStart"/>
      <w:r w:rsidRPr="008B7659">
        <w:rPr>
          <w:rFonts w:cs="Times New Roman"/>
          <w:lang w:val="en-AU"/>
        </w:rPr>
        <w:t>Purnamasari</w:t>
      </w:r>
      <w:proofErr w:type="spellEnd"/>
      <w:r w:rsidRPr="008B7659">
        <w:rPr>
          <w:rFonts w:cs="Times New Roman"/>
          <w:lang w:val="en-AU"/>
        </w:rPr>
        <w:t xml:space="preserve"> and </w:t>
      </w:r>
      <w:proofErr w:type="spellStart"/>
      <w:r w:rsidRPr="008B7659">
        <w:rPr>
          <w:rFonts w:cs="Times New Roman"/>
          <w:lang w:val="en-AU"/>
        </w:rPr>
        <w:t>Adriza</w:t>
      </w:r>
      <w:proofErr w:type="spellEnd"/>
      <w:r w:rsidRPr="008B7659">
        <w:rPr>
          <w:rFonts w:cs="Times New Roman"/>
          <w:lang w:val="en-AU"/>
        </w:rPr>
        <w:t>, 2024</w:t>
      </w:r>
      <w:proofErr w:type="gramStart"/>
      <w:r w:rsidRPr="008B7659">
        <w:rPr>
          <w:rFonts w:cs="Times New Roman"/>
          <w:lang w:val="en-AU"/>
        </w:rPr>
        <w:t>).</w:t>
      </w:r>
      <w:r w:rsidR="00A77462" w:rsidRPr="002018AC">
        <w:rPr>
          <w:rFonts w:cs="Times New Roman"/>
          <w:lang w:val="en-AU"/>
        </w:rPr>
        <w:t>.</w:t>
      </w:r>
      <w:proofErr w:type="gramEnd"/>
    </w:p>
    <w:p w14:paraId="36527E9C" w14:textId="4793755A" w:rsidR="00A77462" w:rsidRPr="002018AC" w:rsidRDefault="00A77462" w:rsidP="00695D8D">
      <w:pPr>
        <w:pStyle w:val="Heading2"/>
        <w:numPr>
          <w:ilvl w:val="1"/>
          <w:numId w:val="9"/>
        </w:numPr>
        <w:spacing w:line="276" w:lineRule="auto"/>
        <w:rPr>
          <w:rFonts w:cs="Times New Roman"/>
          <w:lang w:val="en-US"/>
        </w:rPr>
      </w:pPr>
      <w:bookmarkStart w:id="25" w:name="_Toc227606839"/>
      <w:r w:rsidRPr="002018AC">
        <w:rPr>
          <w:rFonts w:cs="Times New Roman"/>
          <w:lang w:val="en-US"/>
        </w:rPr>
        <w:t>Theoretical case for NPV</w:t>
      </w:r>
      <w:bookmarkEnd w:id="25"/>
    </w:p>
    <w:p w14:paraId="26C81119" w14:textId="77777777" w:rsidR="00C1345F" w:rsidRDefault="00C1345F" w:rsidP="00695D8D">
      <w:pPr>
        <w:spacing w:line="276" w:lineRule="auto"/>
        <w:rPr>
          <w:rFonts w:cs="Times New Roman"/>
          <w:lang w:val="en-AU"/>
        </w:rPr>
      </w:pPr>
      <w:r w:rsidRPr="00C1345F">
        <w:rPr>
          <w:rFonts w:cs="Times New Roman"/>
          <w:lang w:val="en-AU"/>
        </w:rPr>
        <w:t xml:space="preserve">NPV is theoretically superior because it is based on cash flows, incorporates the time value of money, uses the required return of investors and measures absolute value creation. A positive NPV means the project is expected to generate value above the required return of capital providers. In this case, Option C adds £91.226k of value after discounting at 5% (Sokolov, 2024; </w:t>
      </w:r>
      <w:proofErr w:type="spellStart"/>
      <w:r w:rsidRPr="00C1345F">
        <w:rPr>
          <w:rFonts w:cs="Times New Roman"/>
          <w:lang w:val="en-AU"/>
        </w:rPr>
        <w:t>Purnamasari</w:t>
      </w:r>
      <w:proofErr w:type="spellEnd"/>
      <w:r w:rsidRPr="00C1345F">
        <w:rPr>
          <w:rFonts w:cs="Times New Roman"/>
          <w:lang w:val="en-AU"/>
        </w:rPr>
        <w:t xml:space="preserve"> and </w:t>
      </w:r>
      <w:proofErr w:type="spellStart"/>
      <w:r w:rsidRPr="00C1345F">
        <w:rPr>
          <w:rFonts w:cs="Times New Roman"/>
          <w:lang w:val="en-AU"/>
        </w:rPr>
        <w:t>Adriza</w:t>
      </w:r>
      <w:proofErr w:type="spellEnd"/>
      <w:r w:rsidRPr="00C1345F">
        <w:rPr>
          <w:rFonts w:cs="Times New Roman"/>
          <w:lang w:val="en-AU"/>
        </w:rPr>
        <w:t>, 2024).</w:t>
      </w:r>
    </w:p>
    <w:p w14:paraId="63AEAC9C" w14:textId="77777777" w:rsidR="00C1345F" w:rsidRDefault="00C1345F" w:rsidP="00695D8D">
      <w:pPr>
        <w:spacing w:line="276" w:lineRule="auto"/>
        <w:rPr>
          <w:rFonts w:cs="Times New Roman"/>
          <w:lang w:val="en-AU"/>
        </w:rPr>
      </w:pPr>
      <w:r w:rsidRPr="00C1345F">
        <w:rPr>
          <w:rFonts w:cs="Times New Roman"/>
          <w:lang w:val="en-AU"/>
        </w:rPr>
        <w:t xml:space="preserve">NPV also uses the whole life of the project. This matters because simpler methods such as payback focus mainly on how quickly the initial investment is recovered. A project may pay back quickly while producing weak long-term value, whereas another project may recover cash more slowly but create more total wealth. NPV avoids that weakness by discounting all expected cash flows over the life of the project (Graham and Harvey, 2001; </w:t>
      </w:r>
      <w:proofErr w:type="spellStart"/>
      <w:r w:rsidRPr="00C1345F">
        <w:rPr>
          <w:rFonts w:cs="Times New Roman"/>
          <w:lang w:val="en-AU"/>
        </w:rPr>
        <w:t>Brunzell</w:t>
      </w:r>
      <w:proofErr w:type="spellEnd"/>
      <w:r w:rsidRPr="00C1345F">
        <w:rPr>
          <w:rFonts w:cs="Times New Roman"/>
          <w:lang w:val="en-AU"/>
        </w:rPr>
        <w:t xml:space="preserve">, </w:t>
      </w:r>
      <w:proofErr w:type="spellStart"/>
      <w:r w:rsidRPr="00C1345F">
        <w:rPr>
          <w:rFonts w:cs="Times New Roman"/>
          <w:lang w:val="en-AU"/>
        </w:rPr>
        <w:t>Liljeblom</w:t>
      </w:r>
      <w:proofErr w:type="spellEnd"/>
      <w:r w:rsidRPr="00C1345F">
        <w:rPr>
          <w:rFonts w:cs="Times New Roman"/>
          <w:lang w:val="en-AU"/>
        </w:rPr>
        <w:t xml:space="preserve"> and </w:t>
      </w:r>
      <w:proofErr w:type="spellStart"/>
      <w:r w:rsidRPr="00C1345F">
        <w:rPr>
          <w:rFonts w:cs="Times New Roman"/>
          <w:lang w:val="en-AU"/>
        </w:rPr>
        <w:t>Vaihekoski</w:t>
      </w:r>
      <w:proofErr w:type="spellEnd"/>
      <w:r w:rsidRPr="00C1345F">
        <w:rPr>
          <w:rFonts w:cs="Times New Roman"/>
          <w:lang w:val="en-AU"/>
        </w:rPr>
        <w:t>, 2013).</w:t>
      </w:r>
    </w:p>
    <w:p w14:paraId="61BB4C7E" w14:textId="3EA1E3D8" w:rsidR="00A77462" w:rsidRPr="002018AC" w:rsidRDefault="00A77462" w:rsidP="00695D8D">
      <w:pPr>
        <w:spacing w:line="276" w:lineRule="auto"/>
        <w:rPr>
          <w:rFonts w:cs="Times New Roman"/>
          <w:lang w:val="en-AU"/>
        </w:rPr>
      </w:pPr>
      <w:r w:rsidRPr="002018AC">
        <w:rPr>
          <w:rFonts w:cs="Times New Roman"/>
          <w:lang w:val="en-AU"/>
        </w:rPr>
        <w:t xml:space="preserve">NPV is also better for comparing projects of different sizes. Option B costs £900k, while Option C costs £1,000k. The Board needs to know not only which project gives a good return, but which project creates the most value. Research on capital budgeting continues to distinguish more </w:t>
      </w:r>
      <w:r w:rsidRPr="002018AC">
        <w:rPr>
          <w:rFonts w:cs="Times New Roman"/>
        </w:rPr>
        <w:t>sophisticated techniques such as NPV, IRR and profitability index from simpler conventional methods such as payback and accounting rate of return; recent evidence suggests that sophisticated capital-budgeting techniques are important in evaluating financial performance</w:t>
      </w:r>
      <w:r w:rsidR="001C195C" w:rsidRPr="002018AC">
        <w:rPr>
          <w:rFonts w:cs="Times New Roman"/>
        </w:rPr>
        <w:t xml:space="preserve"> </w:t>
      </w:r>
      <w:r w:rsidRPr="002018AC">
        <w:rPr>
          <w:rFonts w:cs="Times New Roman"/>
        </w:rPr>
        <w:t>(</w:t>
      </w:r>
      <w:proofErr w:type="spellStart"/>
      <w:r w:rsidRPr="002018AC">
        <w:rPr>
          <w:rFonts w:cs="Times New Roman"/>
        </w:rPr>
        <w:t>Purnamasari</w:t>
      </w:r>
      <w:proofErr w:type="spellEnd"/>
      <w:r w:rsidRPr="002018AC">
        <w:rPr>
          <w:rFonts w:cs="Times New Roman"/>
        </w:rPr>
        <w:t xml:space="preserve"> and </w:t>
      </w:r>
      <w:proofErr w:type="spellStart"/>
      <w:r w:rsidRPr="002018AC">
        <w:rPr>
          <w:rFonts w:cs="Times New Roman"/>
        </w:rPr>
        <w:t>Adriza</w:t>
      </w:r>
      <w:proofErr w:type="spellEnd"/>
      <w:r w:rsidRPr="002018AC">
        <w:rPr>
          <w:rFonts w:cs="Times New Roman"/>
        </w:rPr>
        <w:t xml:space="preserve">, 2024; </w:t>
      </w:r>
      <w:proofErr w:type="spellStart"/>
      <w:r w:rsidRPr="002018AC">
        <w:rPr>
          <w:rFonts w:cs="Times New Roman"/>
        </w:rPr>
        <w:t>Mollah</w:t>
      </w:r>
      <w:proofErr w:type="spellEnd"/>
      <w:r w:rsidRPr="002018AC">
        <w:rPr>
          <w:rFonts w:cs="Times New Roman"/>
        </w:rPr>
        <w:t xml:space="preserve"> et al., 2023</w:t>
      </w:r>
      <w:r w:rsidR="001C195C" w:rsidRPr="002018AC">
        <w:rPr>
          <w:rFonts w:cs="Times New Roman"/>
        </w:rPr>
        <w:t>).</w:t>
      </w:r>
    </w:p>
    <w:p w14:paraId="697257C3" w14:textId="7722DC95" w:rsidR="00A77462" w:rsidRPr="002018AC" w:rsidRDefault="00A77462" w:rsidP="00695D8D">
      <w:pPr>
        <w:spacing w:line="276" w:lineRule="auto"/>
        <w:rPr>
          <w:rFonts w:cs="Times New Roman"/>
          <w:lang w:val="en-AU"/>
        </w:rPr>
      </w:pPr>
      <w:r w:rsidRPr="002018AC">
        <w:rPr>
          <w:rFonts w:cs="Times New Roman"/>
          <w:lang w:val="en-AU"/>
        </w:rPr>
        <w:t>Another strength is that NPV is additive. If Beard Plc undertakes more than one project, the combined NPV is simply the sum of the NPVs. This is useful in the capital-rationing section, where Option C and a fraction of Option B are combined. Profitability index is used to rank divisible projects, but the final objective remains total NPV maximisation</w:t>
      </w:r>
      <w:r w:rsidR="00C1345F">
        <w:rPr>
          <w:rFonts w:cs="Times New Roman"/>
          <w:lang w:val="en-AU"/>
        </w:rPr>
        <w:t xml:space="preserve"> </w:t>
      </w:r>
      <w:r w:rsidR="00C1345F" w:rsidRPr="00C1345F">
        <w:rPr>
          <w:rFonts w:cs="Times New Roman"/>
          <w:lang w:val="en-AU"/>
        </w:rPr>
        <w:t>Sokolov, 2024).</w:t>
      </w:r>
    </w:p>
    <w:p w14:paraId="629DB372" w14:textId="77777777" w:rsidR="00A77462" w:rsidRPr="002018AC" w:rsidRDefault="00A77462" w:rsidP="00695D8D">
      <w:pPr>
        <w:spacing w:line="276" w:lineRule="auto"/>
        <w:rPr>
          <w:rFonts w:cs="Times New Roman"/>
          <w:lang w:val="en-US"/>
        </w:rPr>
      </w:pPr>
      <w:r w:rsidRPr="002018AC">
        <w:rPr>
          <w:rFonts w:cs="Times New Roman"/>
          <w:lang w:val="en-AU"/>
        </w:rPr>
        <w:t xml:space="preserve">The weakness of NPV is not the method itself, but the quality of the inputs. Forecast cash flows, tax timing, capital allowances, working capital and discount rates may all be wrong. </w:t>
      </w:r>
      <w:proofErr w:type="spellStart"/>
      <w:r w:rsidRPr="002018AC">
        <w:rPr>
          <w:rFonts w:cs="Times New Roman"/>
          <w:lang w:val="en-US"/>
        </w:rPr>
        <w:t>Magni</w:t>
      </w:r>
      <w:proofErr w:type="spellEnd"/>
      <w:r w:rsidRPr="002018AC">
        <w:rPr>
          <w:rFonts w:cs="Times New Roman"/>
          <w:lang w:val="en-US"/>
        </w:rPr>
        <w:t xml:space="preserve"> and </w:t>
      </w:r>
      <w:proofErr w:type="spellStart"/>
      <w:r w:rsidRPr="002018AC">
        <w:rPr>
          <w:rFonts w:cs="Times New Roman"/>
          <w:lang w:val="en-US"/>
        </w:rPr>
        <w:t>Marchioni</w:t>
      </w:r>
      <w:proofErr w:type="spellEnd"/>
      <w:r w:rsidRPr="002018AC">
        <w:rPr>
          <w:rFonts w:cs="Times New Roman"/>
          <w:lang w:val="en-US"/>
        </w:rPr>
        <w:t xml:space="preserve"> (2020) demonstrate that working-</w:t>
      </w:r>
      <w:r w:rsidRPr="002018AC">
        <w:rPr>
          <w:rFonts w:eastAsia="Times New Roman" w:cs="Times New Roman"/>
          <w:bCs/>
          <w:lang w:val="en-US"/>
        </w:rPr>
        <w:t>capital</w:t>
      </w:r>
      <w:r w:rsidRPr="002018AC">
        <w:rPr>
          <w:rFonts w:cs="Times New Roman"/>
          <w:lang w:val="en-US"/>
        </w:rPr>
        <w:t xml:space="preserve"> uncertainty can impact project ranking and </w:t>
      </w:r>
      <w:r w:rsidRPr="002018AC">
        <w:rPr>
          <w:rFonts w:eastAsia="Times New Roman" w:cs="Times New Roman"/>
          <w:bCs/>
          <w:lang w:val="en-US"/>
        </w:rPr>
        <w:t>the</w:t>
      </w:r>
      <w:r w:rsidRPr="002018AC">
        <w:rPr>
          <w:rFonts w:cs="Times New Roman"/>
          <w:lang w:val="en-US"/>
        </w:rPr>
        <w:t xml:space="preserve"> </w:t>
      </w:r>
      <w:r w:rsidRPr="002018AC">
        <w:rPr>
          <w:rFonts w:cs="Times New Roman"/>
          <w:lang w:val="en-US"/>
        </w:rPr>
        <w:lastRenderedPageBreak/>
        <w:t>consistency of appraisal measures, which is quite applicable in this case since Beard Plc might require extra inventory and receivables investment in new products or online sales.</w:t>
      </w:r>
    </w:p>
    <w:p w14:paraId="56FA13EC" w14:textId="5CC61391" w:rsidR="00A77462" w:rsidRPr="002018AC" w:rsidRDefault="00A77462" w:rsidP="00695D8D">
      <w:pPr>
        <w:pStyle w:val="Heading2"/>
        <w:numPr>
          <w:ilvl w:val="1"/>
          <w:numId w:val="9"/>
        </w:numPr>
        <w:spacing w:line="276" w:lineRule="auto"/>
        <w:rPr>
          <w:rFonts w:cs="Times New Roman"/>
          <w:lang w:val="en-US"/>
        </w:rPr>
      </w:pPr>
      <w:bookmarkStart w:id="26" w:name="_Toc227606840"/>
      <w:r w:rsidRPr="002018AC">
        <w:rPr>
          <w:rFonts w:cs="Times New Roman"/>
          <w:lang w:val="en-US"/>
        </w:rPr>
        <w:t>Reasons why non-discounting techniques are still popular</w:t>
      </w:r>
      <w:bookmarkEnd w:id="26"/>
    </w:p>
    <w:p w14:paraId="3D970D64" w14:textId="77777777" w:rsidR="00C1345F" w:rsidRPr="00C1345F" w:rsidRDefault="00C1345F" w:rsidP="00C1345F">
      <w:pPr>
        <w:pStyle w:val="Heading2"/>
        <w:spacing w:line="276" w:lineRule="auto"/>
        <w:rPr>
          <w:rFonts w:eastAsiaTheme="minorHAnsi" w:cs="Times New Roman"/>
          <w:b w:val="0"/>
          <w:color w:val="auto"/>
          <w:sz w:val="24"/>
          <w:szCs w:val="22"/>
          <w:lang w:val="en-US"/>
        </w:rPr>
      </w:pPr>
      <w:bookmarkStart w:id="27" w:name="_Toc227606841"/>
      <w:r w:rsidRPr="00C1345F">
        <w:rPr>
          <w:rFonts w:eastAsiaTheme="minorHAnsi" w:cs="Times New Roman"/>
          <w:b w:val="0"/>
          <w:color w:val="auto"/>
          <w:sz w:val="24"/>
          <w:szCs w:val="22"/>
          <w:lang w:val="en-US"/>
        </w:rPr>
        <w:t xml:space="preserve">Non-discounting methods remain popular despite the theoretical strength of NPV because they are simpler to calculate and easier to explain. The payback period, in particular, is straightforward and often appeals to directors who are concerned about liquidity and the speed of cash recovery. This can be especially relevant in smaller businesses where financial flexibility may be limited (Graham and Harvey, 2001; </w:t>
      </w:r>
      <w:proofErr w:type="spellStart"/>
      <w:r w:rsidRPr="00C1345F">
        <w:rPr>
          <w:rFonts w:eastAsiaTheme="minorHAnsi" w:cs="Times New Roman"/>
          <w:b w:val="0"/>
          <w:color w:val="auto"/>
          <w:sz w:val="24"/>
          <w:szCs w:val="22"/>
          <w:lang w:val="en-US"/>
        </w:rPr>
        <w:t>Siziba</w:t>
      </w:r>
      <w:proofErr w:type="spellEnd"/>
      <w:r w:rsidRPr="00C1345F">
        <w:rPr>
          <w:rFonts w:eastAsiaTheme="minorHAnsi" w:cs="Times New Roman"/>
          <w:b w:val="0"/>
          <w:color w:val="auto"/>
          <w:sz w:val="24"/>
          <w:szCs w:val="22"/>
          <w:lang w:val="en-US"/>
        </w:rPr>
        <w:t xml:space="preserve"> and Hall, 2021).</w:t>
      </w:r>
      <w:bookmarkEnd w:id="27"/>
    </w:p>
    <w:p w14:paraId="25D35C93" w14:textId="77777777" w:rsidR="00C1345F" w:rsidRPr="00C1345F" w:rsidRDefault="00C1345F" w:rsidP="00C1345F">
      <w:pPr>
        <w:pStyle w:val="Heading2"/>
        <w:spacing w:line="276" w:lineRule="auto"/>
        <w:rPr>
          <w:rFonts w:eastAsiaTheme="minorHAnsi" w:cs="Times New Roman"/>
          <w:b w:val="0"/>
          <w:color w:val="auto"/>
          <w:sz w:val="24"/>
          <w:szCs w:val="22"/>
          <w:lang w:val="en-US"/>
        </w:rPr>
      </w:pPr>
      <w:bookmarkStart w:id="28" w:name="_Toc227606842"/>
      <w:r w:rsidRPr="00C1345F">
        <w:rPr>
          <w:rFonts w:eastAsiaTheme="minorHAnsi" w:cs="Times New Roman"/>
          <w:b w:val="0"/>
          <w:color w:val="auto"/>
          <w:sz w:val="24"/>
          <w:szCs w:val="22"/>
          <w:lang w:val="en-US"/>
        </w:rPr>
        <w:t>Payback is not irrational. It provides a rough indication of exposure: the longer the payback period, the longer the company’s money remains at risk. However, it is not a value-</w:t>
      </w:r>
      <w:proofErr w:type="spellStart"/>
      <w:r w:rsidRPr="00C1345F">
        <w:rPr>
          <w:rFonts w:eastAsiaTheme="minorHAnsi" w:cs="Times New Roman"/>
          <w:b w:val="0"/>
          <w:color w:val="auto"/>
          <w:sz w:val="24"/>
          <w:szCs w:val="22"/>
          <w:lang w:val="en-US"/>
        </w:rPr>
        <w:t>maximising</w:t>
      </w:r>
      <w:proofErr w:type="spellEnd"/>
      <w:r w:rsidRPr="00C1345F">
        <w:rPr>
          <w:rFonts w:eastAsiaTheme="minorHAnsi" w:cs="Times New Roman"/>
          <w:b w:val="0"/>
          <w:color w:val="auto"/>
          <w:sz w:val="24"/>
          <w:szCs w:val="22"/>
          <w:lang w:val="en-US"/>
        </w:rPr>
        <w:t xml:space="preserve"> measure because it ignores the time value of money and often excludes cash flows occurring after the payback point. It should therefore be treated as a supporting tool rather than the main investment criterion (</w:t>
      </w:r>
      <w:proofErr w:type="spellStart"/>
      <w:r w:rsidRPr="00C1345F">
        <w:rPr>
          <w:rFonts w:eastAsiaTheme="minorHAnsi" w:cs="Times New Roman"/>
          <w:b w:val="0"/>
          <w:color w:val="auto"/>
          <w:sz w:val="24"/>
          <w:szCs w:val="22"/>
          <w:lang w:val="en-US"/>
        </w:rPr>
        <w:t>Siziba</w:t>
      </w:r>
      <w:proofErr w:type="spellEnd"/>
      <w:r w:rsidRPr="00C1345F">
        <w:rPr>
          <w:rFonts w:eastAsiaTheme="minorHAnsi" w:cs="Times New Roman"/>
          <w:b w:val="0"/>
          <w:color w:val="auto"/>
          <w:sz w:val="24"/>
          <w:szCs w:val="22"/>
          <w:lang w:val="en-US"/>
        </w:rPr>
        <w:t xml:space="preserve"> and Hall, 2021; Sokolov, 2024).</w:t>
      </w:r>
      <w:bookmarkEnd w:id="28"/>
    </w:p>
    <w:p w14:paraId="04CAE36D" w14:textId="77777777" w:rsidR="00C1345F" w:rsidRPr="00C1345F" w:rsidRDefault="00C1345F" w:rsidP="00C1345F">
      <w:pPr>
        <w:pStyle w:val="Heading2"/>
        <w:spacing w:line="276" w:lineRule="auto"/>
        <w:rPr>
          <w:rFonts w:eastAsiaTheme="minorHAnsi" w:cs="Times New Roman"/>
          <w:b w:val="0"/>
          <w:color w:val="auto"/>
          <w:sz w:val="24"/>
          <w:szCs w:val="22"/>
          <w:lang w:val="en-US"/>
        </w:rPr>
      </w:pPr>
      <w:bookmarkStart w:id="29" w:name="_Toc227606843"/>
      <w:r w:rsidRPr="00C1345F">
        <w:rPr>
          <w:rFonts w:eastAsiaTheme="minorHAnsi" w:cs="Times New Roman"/>
          <w:b w:val="0"/>
          <w:color w:val="auto"/>
          <w:sz w:val="24"/>
          <w:szCs w:val="22"/>
          <w:lang w:val="en-US"/>
        </w:rPr>
        <w:t>Accounting rate of return also remains popular because it uses accounting profit, which is familiar to managers and aligns with reporting language. However, it is weaker than NPV because accounting profit is affected by depreciation, accruals and accounting policy. It does not directly measure cash generation or wealth creation (</w:t>
      </w:r>
      <w:proofErr w:type="spellStart"/>
      <w:r w:rsidRPr="00C1345F">
        <w:rPr>
          <w:rFonts w:eastAsiaTheme="minorHAnsi" w:cs="Times New Roman"/>
          <w:b w:val="0"/>
          <w:color w:val="auto"/>
          <w:sz w:val="24"/>
          <w:szCs w:val="22"/>
          <w:lang w:val="en-US"/>
        </w:rPr>
        <w:t>Mota</w:t>
      </w:r>
      <w:proofErr w:type="spellEnd"/>
      <w:r w:rsidRPr="00C1345F">
        <w:rPr>
          <w:rFonts w:eastAsiaTheme="minorHAnsi" w:cs="Times New Roman"/>
          <w:b w:val="0"/>
          <w:color w:val="auto"/>
          <w:sz w:val="24"/>
          <w:szCs w:val="22"/>
          <w:lang w:val="en-US"/>
        </w:rPr>
        <w:t xml:space="preserve"> and Moreira, 2023; </w:t>
      </w:r>
      <w:proofErr w:type="spellStart"/>
      <w:r w:rsidRPr="00C1345F">
        <w:rPr>
          <w:rFonts w:eastAsiaTheme="minorHAnsi" w:cs="Times New Roman"/>
          <w:b w:val="0"/>
          <w:color w:val="auto"/>
          <w:sz w:val="24"/>
          <w:szCs w:val="22"/>
          <w:lang w:val="en-US"/>
        </w:rPr>
        <w:t>Brunzell</w:t>
      </w:r>
      <w:proofErr w:type="spellEnd"/>
      <w:r w:rsidRPr="00C1345F">
        <w:rPr>
          <w:rFonts w:eastAsiaTheme="minorHAnsi" w:cs="Times New Roman"/>
          <w:b w:val="0"/>
          <w:color w:val="auto"/>
          <w:sz w:val="24"/>
          <w:szCs w:val="22"/>
          <w:lang w:val="en-US"/>
        </w:rPr>
        <w:t xml:space="preserve">, </w:t>
      </w:r>
      <w:proofErr w:type="spellStart"/>
      <w:r w:rsidRPr="00C1345F">
        <w:rPr>
          <w:rFonts w:eastAsiaTheme="minorHAnsi" w:cs="Times New Roman"/>
          <w:b w:val="0"/>
          <w:color w:val="auto"/>
          <w:sz w:val="24"/>
          <w:szCs w:val="22"/>
          <w:lang w:val="en-US"/>
        </w:rPr>
        <w:t>Liljeblom</w:t>
      </w:r>
      <w:proofErr w:type="spellEnd"/>
      <w:r w:rsidRPr="00C1345F">
        <w:rPr>
          <w:rFonts w:eastAsiaTheme="minorHAnsi" w:cs="Times New Roman"/>
          <w:b w:val="0"/>
          <w:color w:val="auto"/>
          <w:sz w:val="24"/>
          <w:szCs w:val="22"/>
          <w:lang w:val="en-US"/>
        </w:rPr>
        <w:t xml:space="preserve"> and </w:t>
      </w:r>
      <w:proofErr w:type="spellStart"/>
      <w:r w:rsidRPr="00C1345F">
        <w:rPr>
          <w:rFonts w:eastAsiaTheme="minorHAnsi" w:cs="Times New Roman"/>
          <w:b w:val="0"/>
          <w:color w:val="auto"/>
          <w:sz w:val="24"/>
          <w:szCs w:val="22"/>
          <w:lang w:val="en-US"/>
        </w:rPr>
        <w:t>Vaihekoski</w:t>
      </w:r>
      <w:proofErr w:type="spellEnd"/>
      <w:r w:rsidRPr="00C1345F">
        <w:rPr>
          <w:rFonts w:eastAsiaTheme="minorHAnsi" w:cs="Times New Roman"/>
          <w:b w:val="0"/>
          <w:color w:val="auto"/>
          <w:sz w:val="24"/>
          <w:szCs w:val="22"/>
          <w:lang w:val="en-US"/>
        </w:rPr>
        <w:t>, 2013).</w:t>
      </w:r>
      <w:bookmarkEnd w:id="29"/>
    </w:p>
    <w:p w14:paraId="3320FF6E" w14:textId="77777777" w:rsidR="00C1345F" w:rsidRDefault="00C1345F" w:rsidP="00C1345F">
      <w:pPr>
        <w:pStyle w:val="Heading2"/>
        <w:spacing w:line="276" w:lineRule="auto"/>
        <w:rPr>
          <w:rFonts w:eastAsiaTheme="minorHAnsi" w:cs="Times New Roman"/>
          <w:b w:val="0"/>
          <w:color w:val="auto"/>
          <w:sz w:val="24"/>
          <w:szCs w:val="22"/>
          <w:lang w:val="en-US"/>
        </w:rPr>
      </w:pPr>
      <w:bookmarkStart w:id="30" w:name="_Toc227606844"/>
      <w:r w:rsidRPr="00C1345F">
        <w:rPr>
          <w:rFonts w:eastAsiaTheme="minorHAnsi" w:cs="Times New Roman"/>
          <w:b w:val="0"/>
          <w:color w:val="auto"/>
          <w:sz w:val="24"/>
          <w:szCs w:val="22"/>
          <w:lang w:val="en-US"/>
        </w:rPr>
        <w:t xml:space="preserve">A longitudinal review by </w:t>
      </w:r>
      <w:proofErr w:type="spellStart"/>
      <w:r w:rsidRPr="00C1345F">
        <w:rPr>
          <w:rFonts w:eastAsiaTheme="minorHAnsi" w:cs="Times New Roman"/>
          <w:b w:val="0"/>
          <w:color w:val="auto"/>
          <w:sz w:val="24"/>
          <w:szCs w:val="22"/>
          <w:lang w:val="en-US"/>
        </w:rPr>
        <w:t>Siziba</w:t>
      </w:r>
      <w:proofErr w:type="spellEnd"/>
      <w:r w:rsidRPr="00C1345F">
        <w:rPr>
          <w:rFonts w:eastAsiaTheme="minorHAnsi" w:cs="Times New Roman"/>
          <w:b w:val="0"/>
          <w:color w:val="auto"/>
          <w:sz w:val="24"/>
          <w:szCs w:val="22"/>
          <w:lang w:val="en-US"/>
        </w:rPr>
        <w:t xml:space="preserve"> and Hall (2021) found that NPV, IRR, payback, accounting rate of return, return on investment and real-options valuation all remain widely used in practice, with payback often retained as a supplementary decision aid. This supports a balanced view: NPV should remain the primary decision rule, but simpler methods still have practical value in communication, liquidity screening and risk discussion.</w:t>
      </w:r>
      <w:bookmarkEnd w:id="30"/>
    </w:p>
    <w:p w14:paraId="79E3A91E" w14:textId="7ADC0736" w:rsidR="00C1345F" w:rsidRPr="00C1345F" w:rsidRDefault="00A77462" w:rsidP="00C1345F">
      <w:pPr>
        <w:pStyle w:val="Heading2"/>
        <w:numPr>
          <w:ilvl w:val="1"/>
          <w:numId w:val="9"/>
        </w:numPr>
        <w:spacing w:line="276" w:lineRule="auto"/>
        <w:rPr>
          <w:rFonts w:cs="Times New Roman"/>
          <w:lang w:val="en-US"/>
        </w:rPr>
      </w:pPr>
      <w:bookmarkStart w:id="31" w:name="_Toc227606845"/>
      <w:r w:rsidRPr="002018AC">
        <w:rPr>
          <w:rFonts w:cs="Times New Roman"/>
          <w:lang w:val="en-US"/>
        </w:rPr>
        <w:t>Pre-final investment decision factors</w:t>
      </w:r>
      <w:bookmarkEnd w:id="31"/>
    </w:p>
    <w:p w14:paraId="4C055248" w14:textId="77777777" w:rsidR="00C1345F" w:rsidRPr="00C1345F" w:rsidRDefault="00C1345F" w:rsidP="00C1345F">
      <w:pPr>
        <w:spacing w:line="276" w:lineRule="auto"/>
        <w:rPr>
          <w:rFonts w:cs="Times New Roman"/>
          <w:lang w:val="en-US"/>
        </w:rPr>
      </w:pPr>
      <w:r w:rsidRPr="00C1345F">
        <w:rPr>
          <w:rFonts w:cs="Times New Roman"/>
          <w:lang w:val="en-US"/>
        </w:rPr>
        <w:t xml:space="preserve">The Board should not approve Option C solely because it has the highest NPV. Capital budgeting is not just a spreadsheet exercise. It is also a strategic judgement problem involving uncertainty, information quality and managerial capability. Hartmann and </w:t>
      </w:r>
      <w:proofErr w:type="spellStart"/>
      <w:r w:rsidRPr="00C1345F">
        <w:rPr>
          <w:rFonts w:cs="Times New Roman"/>
          <w:lang w:val="en-US"/>
        </w:rPr>
        <w:t>Weißenberger</w:t>
      </w:r>
      <w:proofErr w:type="spellEnd"/>
      <w:r w:rsidRPr="00C1345F">
        <w:rPr>
          <w:rFonts w:cs="Times New Roman"/>
          <w:lang w:val="en-US"/>
        </w:rPr>
        <w:t xml:space="preserve"> (2024) show that decision aids and information load influence capital-budgeting decisions, which is relevant here because the Board needs disciplined scrutiny rather than passive acceptance of model outputs.</w:t>
      </w:r>
    </w:p>
    <w:p w14:paraId="033279EA" w14:textId="77777777" w:rsidR="00C1345F" w:rsidRPr="00C1345F" w:rsidRDefault="00C1345F" w:rsidP="00C1345F">
      <w:pPr>
        <w:spacing w:line="276" w:lineRule="auto"/>
        <w:rPr>
          <w:rFonts w:cs="Times New Roman"/>
          <w:lang w:val="en-US"/>
        </w:rPr>
      </w:pPr>
    </w:p>
    <w:p w14:paraId="427BACBF" w14:textId="77777777" w:rsidR="00C1345F" w:rsidRPr="00C1345F" w:rsidRDefault="00C1345F" w:rsidP="00C1345F">
      <w:pPr>
        <w:spacing w:line="276" w:lineRule="auto"/>
        <w:rPr>
          <w:rFonts w:cs="Times New Roman"/>
          <w:lang w:val="en-US"/>
        </w:rPr>
      </w:pPr>
      <w:r w:rsidRPr="00C1345F">
        <w:rPr>
          <w:rFonts w:cs="Times New Roman"/>
          <w:lang w:val="en-US"/>
        </w:rPr>
        <w:t>First, Beard Plc should test market demand properly. The forecast assumes customers will buy purses and wallets in profitable quantities, but no direct market evidence has been presented. Management should therefore conduct competitor analysis, customer research, price testing and margin analysis before committing investment. Brand-extension research suggests that product-</w:t>
      </w:r>
      <w:r w:rsidRPr="00C1345F">
        <w:rPr>
          <w:rFonts w:cs="Times New Roman"/>
          <w:lang w:val="en-US"/>
        </w:rPr>
        <w:lastRenderedPageBreak/>
        <w:t>category fit can improve the probability of success, but it does not remove execution risk (Peng et al., 2023; Milberg et al., 2023).</w:t>
      </w:r>
    </w:p>
    <w:p w14:paraId="1D9EF1B5" w14:textId="77777777" w:rsidR="00C1345F" w:rsidRPr="00C1345F" w:rsidRDefault="00C1345F" w:rsidP="00C1345F">
      <w:pPr>
        <w:spacing w:line="276" w:lineRule="auto"/>
        <w:rPr>
          <w:rFonts w:cs="Times New Roman"/>
          <w:lang w:val="en-US"/>
        </w:rPr>
      </w:pPr>
    </w:p>
    <w:p w14:paraId="75AB80D2" w14:textId="77777777" w:rsidR="00C1345F" w:rsidRPr="00C1345F" w:rsidRDefault="00C1345F" w:rsidP="00C1345F">
      <w:pPr>
        <w:spacing w:line="276" w:lineRule="auto"/>
        <w:rPr>
          <w:rFonts w:cs="Times New Roman"/>
          <w:lang w:val="en-US"/>
        </w:rPr>
      </w:pPr>
      <w:r w:rsidRPr="00C1345F">
        <w:rPr>
          <w:rFonts w:cs="Times New Roman"/>
          <w:lang w:val="en-US"/>
        </w:rPr>
        <w:t xml:space="preserve">Second, production capacity should be assessed carefully. Purses and wallets may require different materials, supplier relationships, machinery, design capabilities and quality-control processes. </w:t>
      </w:r>
      <w:proofErr w:type="spellStart"/>
      <w:r w:rsidRPr="00C1345F">
        <w:rPr>
          <w:rFonts w:cs="Times New Roman"/>
          <w:lang w:val="en-US"/>
        </w:rPr>
        <w:t>Nunden</w:t>
      </w:r>
      <w:proofErr w:type="spellEnd"/>
      <w:r w:rsidRPr="00C1345F">
        <w:rPr>
          <w:rFonts w:cs="Times New Roman"/>
          <w:lang w:val="en-US"/>
        </w:rPr>
        <w:t xml:space="preserve"> et al. (2022) </w:t>
      </w:r>
      <w:proofErr w:type="spellStart"/>
      <w:r w:rsidRPr="00C1345F">
        <w:rPr>
          <w:rFonts w:cs="Times New Roman"/>
          <w:lang w:val="en-US"/>
        </w:rPr>
        <w:t>emphasise</w:t>
      </w:r>
      <w:proofErr w:type="spellEnd"/>
      <w:r w:rsidRPr="00C1345F">
        <w:rPr>
          <w:rFonts w:cs="Times New Roman"/>
          <w:lang w:val="en-US"/>
        </w:rPr>
        <w:t xml:space="preserve"> the importance of management skills in capital-budgeting practice, especially in SMEs, where planning weaknesses can undermine otherwise promising investments.</w:t>
      </w:r>
    </w:p>
    <w:p w14:paraId="4F79F0D9" w14:textId="77777777" w:rsidR="00C1345F" w:rsidRPr="00C1345F" w:rsidRDefault="00C1345F" w:rsidP="00C1345F">
      <w:pPr>
        <w:spacing w:line="276" w:lineRule="auto"/>
        <w:rPr>
          <w:rFonts w:cs="Times New Roman"/>
          <w:lang w:val="en-US"/>
        </w:rPr>
      </w:pPr>
    </w:p>
    <w:p w14:paraId="141998B7" w14:textId="77777777" w:rsidR="00C1345F" w:rsidRPr="00C1345F" w:rsidRDefault="00C1345F" w:rsidP="00C1345F">
      <w:pPr>
        <w:spacing w:line="276" w:lineRule="auto"/>
        <w:rPr>
          <w:rFonts w:cs="Times New Roman"/>
          <w:lang w:val="en-US"/>
        </w:rPr>
      </w:pPr>
      <w:r w:rsidRPr="00C1345F">
        <w:rPr>
          <w:rFonts w:cs="Times New Roman"/>
          <w:lang w:val="en-US"/>
        </w:rPr>
        <w:t>Third, working-capital requirements should be estimated realistically. New product lines may increase inventory, trade receivables and storage costs. Internet sales may require fulfilment systems, returns handling and additional customer-service infrastructure. If these effects are excluded, NPV can be overstated materially (</w:t>
      </w:r>
      <w:proofErr w:type="spellStart"/>
      <w:r w:rsidRPr="00C1345F">
        <w:rPr>
          <w:rFonts w:cs="Times New Roman"/>
          <w:lang w:val="en-US"/>
        </w:rPr>
        <w:t>Magni</w:t>
      </w:r>
      <w:proofErr w:type="spellEnd"/>
      <w:r w:rsidRPr="00C1345F">
        <w:rPr>
          <w:rFonts w:cs="Times New Roman"/>
          <w:lang w:val="en-US"/>
        </w:rPr>
        <w:t xml:space="preserve"> and </w:t>
      </w:r>
      <w:proofErr w:type="spellStart"/>
      <w:r w:rsidRPr="00C1345F">
        <w:rPr>
          <w:rFonts w:cs="Times New Roman"/>
          <w:lang w:val="en-US"/>
        </w:rPr>
        <w:t>Marchioni</w:t>
      </w:r>
      <w:proofErr w:type="spellEnd"/>
      <w:r w:rsidRPr="00C1345F">
        <w:rPr>
          <w:rFonts w:cs="Times New Roman"/>
          <w:lang w:val="en-US"/>
        </w:rPr>
        <w:t xml:space="preserve">, 2020; </w:t>
      </w:r>
      <w:proofErr w:type="spellStart"/>
      <w:r w:rsidRPr="00C1345F">
        <w:rPr>
          <w:rFonts w:cs="Times New Roman"/>
          <w:lang w:val="en-US"/>
        </w:rPr>
        <w:t>Aktas</w:t>
      </w:r>
      <w:proofErr w:type="spellEnd"/>
      <w:r w:rsidRPr="00C1345F">
        <w:rPr>
          <w:rFonts w:cs="Times New Roman"/>
          <w:lang w:val="en-US"/>
        </w:rPr>
        <w:t xml:space="preserve">, </w:t>
      </w:r>
      <w:proofErr w:type="spellStart"/>
      <w:r w:rsidRPr="00C1345F">
        <w:rPr>
          <w:rFonts w:cs="Times New Roman"/>
          <w:lang w:val="en-US"/>
        </w:rPr>
        <w:t>Croci</w:t>
      </w:r>
      <w:proofErr w:type="spellEnd"/>
      <w:r w:rsidRPr="00C1345F">
        <w:rPr>
          <w:rFonts w:cs="Times New Roman"/>
          <w:lang w:val="en-US"/>
        </w:rPr>
        <w:t xml:space="preserve"> and </w:t>
      </w:r>
      <w:proofErr w:type="spellStart"/>
      <w:r w:rsidRPr="00C1345F">
        <w:rPr>
          <w:rFonts w:cs="Times New Roman"/>
          <w:lang w:val="en-US"/>
        </w:rPr>
        <w:t>Petmezas</w:t>
      </w:r>
      <w:proofErr w:type="spellEnd"/>
      <w:r w:rsidRPr="00C1345F">
        <w:rPr>
          <w:rFonts w:cs="Times New Roman"/>
          <w:lang w:val="en-US"/>
        </w:rPr>
        <w:t>, 2015).</w:t>
      </w:r>
    </w:p>
    <w:p w14:paraId="35045CD4" w14:textId="77777777" w:rsidR="00C1345F" w:rsidRPr="00C1345F" w:rsidRDefault="00C1345F" w:rsidP="00C1345F">
      <w:pPr>
        <w:spacing w:line="276" w:lineRule="auto"/>
        <w:rPr>
          <w:rFonts w:cs="Times New Roman"/>
          <w:lang w:val="en-US"/>
        </w:rPr>
      </w:pPr>
    </w:p>
    <w:p w14:paraId="0369FB46" w14:textId="77777777" w:rsidR="00C1345F" w:rsidRPr="00C1345F" w:rsidRDefault="00C1345F" w:rsidP="00C1345F">
      <w:pPr>
        <w:spacing w:line="276" w:lineRule="auto"/>
        <w:rPr>
          <w:rFonts w:cs="Times New Roman"/>
          <w:lang w:val="en-US"/>
        </w:rPr>
      </w:pPr>
      <w:r w:rsidRPr="00C1345F">
        <w:rPr>
          <w:rFonts w:cs="Times New Roman"/>
          <w:lang w:val="en-US"/>
        </w:rPr>
        <w:t xml:space="preserve">Fourth, the Board should consider ESG and reputational issues. For a business operating in fashion accessories, sourcing practices, </w:t>
      </w:r>
      <w:proofErr w:type="spellStart"/>
      <w:r w:rsidRPr="00C1345F">
        <w:rPr>
          <w:rFonts w:cs="Times New Roman"/>
          <w:lang w:val="en-US"/>
        </w:rPr>
        <w:t>labour</w:t>
      </w:r>
      <w:proofErr w:type="spellEnd"/>
      <w:r w:rsidRPr="00C1345F">
        <w:rPr>
          <w:rFonts w:cs="Times New Roman"/>
          <w:lang w:val="en-US"/>
        </w:rPr>
        <w:t xml:space="preserve"> standards, packaging and environmental impact may affect brand reputation and long-term customer response. Contemporary capital-budgeting literature increasingly </w:t>
      </w:r>
      <w:proofErr w:type="spellStart"/>
      <w:r w:rsidRPr="00C1345F">
        <w:rPr>
          <w:rFonts w:cs="Times New Roman"/>
          <w:lang w:val="en-US"/>
        </w:rPr>
        <w:t>recognises</w:t>
      </w:r>
      <w:proofErr w:type="spellEnd"/>
      <w:r w:rsidRPr="00C1345F">
        <w:rPr>
          <w:rFonts w:cs="Times New Roman"/>
          <w:lang w:val="en-US"/>
        </w:rPr>
        <w:t xml:space="preserve"> sustainability and ESG issues as relevant decision factors rather than purely external considerations (</w:t>
      </w:r>
      <w:proofErr w:type="spellStart"/>
      <w:r w:rsidRPr="00C1345F">
        <w:rPr>
          <w:rFonts w:cs="Times New Roman"/>
          <w:lang w:val="en-US"/>
        </w:rPr>
        <w:t>Shaheen</w:t>
      </w:r>
      <w:proofErr w:type="spellEnd"/>
      <w:r w:rsidRPr="00C1345F">
        <w:rPr>
          <w:rFonts w:cs="Times New Roman"/>
          <w:lang w:val="en-US"/>
        </w:rPr>
        <w:t xml:space="preserve"> et al., 2024).</w:t>
      </w:r>
    </w:p>
    <w:p w14:paraId="13D96022" w14:textId="77777777" w:rsidR="00C1345F" w:rsidRPr="00C1345F" w:rsidRDefault="00C1345F" w:rsidP="00C1345F">
      <w:pPr>
        <w:spacing w:line="276" w:lineRule="auto"/>
        <w:rPr>
          <w:rFonts w:cs="Times New Roman"/>
          <w:lang w:val="en-US"/>
        </w:rPr>
      </w:pPr>
    </w:p>
    <w:p w14:paraId="08E7FA73" w14:textId="7565C1C0" w:rsidR="00A77462" w:rsidRPr="002018AC" w:rsidRDefault="00C1345F" w:rsidP="00C1345F">
      <w:pPr>
        <w:spacing w:line="276" w:lineRule="auto"/>
        <w:rPr>
          <w:rFonts w:cs="Times New Roman"/>
          <w:lang w:val="en-US"/>
        </w:rPr>
      </w:pPr>
      <w:r w:rsidRPr="00C1345F">
        <w:rPr>
          <w:rFonts w:cs="Times New Roman"/>
          <w:lang w:val="en-US"/>
        </w:rPr>
        <w:t xml:space="preserve">Finally, strategic fit should be assessed alongside the numbers. Option B has a lower NPV than Option C, but it could build digital capabilities that are not fully captured in a four-year cash-flow forecast. Final approval should therefore combine financial appraisal with strategic analysis, operational readiness and risk evaluation (Hartmann and </w:t>
      </w:r>
      <w:proofErr w:type="spellStart"/>
      <w:r w:rsidRPr="00C1345F">
        <w:rPr>
          <w:rFonts w:cs="Times New Roman"/>
          <w:lang w:val="en-US"/>
        </w:rPr>
        <w:t>Weißenberger</w:t>
      </w:r>
      <w:proofErr w:type="spellEnd"/>
      <w:r w:rsidRPr="00C1345F">
        <w:rPr>
          <w:rFonts w:cs="Times New Roman"/>
          <w:lang w:val="en-US"/>
        </w:rPr>
        <w:t xml:space="preserve">, 2024; </w:t>
      </w:r>
      <w:proofErr w:type="spellStart"/>
      <w:r w:rsidRPr="00C1345F">
        <w:rPr>
          <w:rFonts w:cs="Times New Roman"/>
          <w:lang w:val="en-US"/>
        </w:rPr>
        <w:t>Shaheen</w:t>
      </w:r>
      <w:proofErr w:type="spellEnd"/>
      <w:r w:rsidRPr="00C1345F">
        <w:rPr>
          <w:rFonts w:cs="Times New Roman"/>
          <w:lang w:val="en-US"/>
        </w:rPr>
        <w:t xml:space="preserve"> et al., 2024).</w:t>
      </w:r>
    </w:p>
    <w:p w14:paraId="467FB843" w14:textId="04DF96F1" w:rsidR="00A77462" w:rsidRPr="002018AC" w:rsidRDefault="00A77462" w:rsidP="00695D8D">
      <w:pPr>
        <w:pStyle w:val="Heading2"/>
        <w:numPr>
          <w:ilvl w:val="1"/>
          <w:numId w:val="9"/>
        </w:numPr>
        <w:spacing w:line="276" w:lineRule="auto"/>
        <w:rPr>
          <w:rFonts w:cs="Times New Roman"/>
          <w:lang w:val="en-AU"/>
        </w:rPr>
      </w:pPr>
      <w:bookmarkStart w:id="32" w:name="_Toc227606846"/>
      <w:r w:rsidRPr="002018AC">
        <w:rPr>
          <w:rFonts w:cs="Times New Roman"/>
          <w:lang w:val="en-AU"/>
        </w:rPr>
        <w:t>Capital rationing decision</w:t>
      </w:r>
      <w:bookmarkEnd w:id="32"/>
    </w:p>
    <w:p w14:paraId="6296D7FA" w14:textId="20A3FB32" w:rsidR="00C1345F" w:rsidRDefault="00C1345F" w:rsidP="00695D8D">
      <w:pPr>
        <w:spacing w:line="276" w:lineRule="auto"/>
        <w:rPr>
          <w:rFonts w:cs="Times New Roman"/>
          <w:lang w:val="en-AU"/>
        </w:rPr>
      </w:pPr>
      <w:r w:rsidRPr="00C1345F">
        <w:rPr>
          <w:rFonts w:cs="Times New Roman"/>
          <w:lang w:val="en-AU"/>
        </w:rPr>
        <w:t xml:space="preserve">If Beard Plc has only £1.5m available and the projects are divisible, the correct approach is to use the profitability index. This is because capital should be allocated to the projects that generate the highest present value per pound invested (Sokolov, 2024; </w:t>
      </w:r>
      <w:proofErr w:type="spellStart"/>
      <w:r w:rsidRPr="00C1345F">
        <w:rPr>
          <w:rFonts w:cs="Times New Roman"/>
          <w:lang w:val="en-AU"/>
        </w:rPr>
        <w:t>Purnamasari</w:t>
      </w:r>
      <w:proofErr w:type="spellEnd"/>
      <w:r w:rsidRPr="00C1345F">
        <w:rPr>
          <w:rFonts w:cs="Times New Roman"/>
          <w:lang w:val="en-AU"/>
        </w:rPr>
        <w:t xml:space="preserve"> and </w:t>
      </w:r>
      <w:proofErr w:type="spellStart"/>
      <w:r w:rsidRPr="00C1345F">
        <w:rPr>
          <w:rFonts w:cs="Times New Roman"/>
          <w:lang w:val="en-AU"/>
        </w:rPr>
        <w:t>Adriza</w:t>
      </w:r>
      <w:proofErr w:type="spellEnd"/>
      <w:r w:rsidRPr="00C1345F">
        <w:rPr>
          <w:rFonts w:cs="Times New Roman"/>
          <w:lang w:val="en-AU"/>
        </w:rPr>
        <w:t>, 2024).</w:t>
      </w:r>
    </w:p>
    <w:p w14:paraId="454DA308" w14:textId="118CD367" w:rsidR="00A77462" w:rsidRPr="002018AC" w:rsidRDefault="00A77462" w:rsidP="00695D8D">
      <w:pPr>
        <w:spacing w:line="276" w:lineRule="auto"/>
        <w:rPr>
          <w:rFonts w:cs="Times New Roman"/>
          <w:lang w:val="en-AU"/>
        </w:rPr>
      </w:pPr>
      <w:r w:rsidRPr="002018AC">
        <w:rPr>
          <w:rFonts w:cs="Times New Roman"/>
          <w:lang w:val="en-AU"/>
        </w:rPr>
        <w:t xml:space="preserve">The profitability index results are shown in </w:t>
      </w:r>
      <w:r w:rsidRPr="002018AC">
        <w:rPr>
          <w:rFonts w:cs="Times New Roman"/>
          <w:b/>
          <w:bCs/>
          <w:lang w:val="en-AU"/>
        </w:rPr>
        <w:t>Appendix F</w:t>
      </w:r>
      <w:r w:rsidRPr="002018AC">
        <w:rPr>
          <w:rFonts w:cs="Times New Roman"/>
          <w:lang w:val="en-AU"/>
        </w:rPr>
        <w:t>:</w:t>
      </w:r>
    </w:p>
    <w:tbl>
      <w:tblPr>
        <w:tblStyle w:val="GridTable4-Accent1"/>
        <w:tblW w:w="9960" w:type="dxa"/>
        <w:tblLook w:val="04A0" w:firstRow="1" w:lastRow="0" w:firstColumn="1" w:lastColumn="0" w:noHBand="0" w:noVBand="1"/>
      </w:tblPr>
      <w:tblGrid>
        <w:gridCol w:w="2265"/>
        <w:gridCol w:w="5053"/>
        <w:gridCol w:w="2642"/>
      </w:tblGrid>
      <w:tr w:rsidR="00A77462" w:rsidRPr="002018AC" w14:paraId="5C5CA50F" w14:textId="77777777" w:rsidTr="001C195C">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4E74318A"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Option</w:t>
            </w:r>
          </w:p>
        </w:tc>
        <w:tc>
          <w:tcPr>
            <w:tcW w:w="0" w:type="auto"/>
            <w:hideMark/>
          </w:tcPr>
          <w:p w14:paraId="5A9D477C"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Profitability index</w:t>
            </w:r>
          </w:p>
        </w:tc>
        <w:tc>
          <w:tcPr>
            <w:tcW w:w="0" w:type="auto"/>
            <w:hideMark/>
          </w:tcPr>
          <w:p w14:paraId="5ECC3D68"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Ranking</w:t>
            </w:r>
          </w:p>
        </w:tc>
      </w:tr>
      <w:tr w:rsidR="00A77462" w:rsidRPr="002018AC" w14:paraId="610088C2" w14:textId="77777777" w:rsidTr="001C195C">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0" w:type="auto"/>
            <w:hideMark/>
          </w:tcPr>
          <w:p w14:paraId="693507F7"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w:t>
            </w:r>
          </w:p>
        </w:tc>
        <w:tc>
          <w:tcPr>
            <w:tcW w:w="0" w:type="auto"/>
            <w:hideMark/>
          </w:tcPr>
          <w:p w14:paraId="327F6E9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1.091</w:t>
            </w:r>
          </w:p>
        </w:tc>
        <w:tc>
          <w:tcPr>
            <w:tcW w:w="0" w:type="auto"/>
            <w:hideMark/>
          </w:tcPr>
          <w:p w14:paraId="5DC1705D"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w:t>
            </w:r>
            <w:r w:rsidRPr="002018AC">
              <w:rPr>
                <w:rFonts w:cs="Times New Roman"/>
                <w:vertAlign w:val="superscript"/>
                <w:lang w:val="en-AU" w:eastAsia="en-AU"/>
              </w:rPr>
              <w:t>st</w:t>
            </w:r>
          </w:p>
        </w:tc>
      </w:tr>
      <w:tr w:rsidR="00A77462" w:rsidRPr="002018AC" w14:paraId="4193CABB" w14:textId="77777777" w:rsidTr="001C195C">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6C8B66AC"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lastRenderedPageBreak/>
              <w:t>B</w:t>
            </w:r>
          </w:p>
        </w:tc>
        <w:tc>
          <w:tcPr>
            <w:tcW w:w="0" w:type="auto"/>
            <w:hideMark/>
          </w:tcPr>
          <w:p w14:paraId="3AEEB96A"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b/>
                <w:bCs/>
                <w:lang w:val="en-AU" w:eastAsia="en-AU"/>
              </w:rPr>
              <w:t>1.082</w:t>
            </w:r>
          </w:p>
        </w:tc>
        <w:tc>
          <w:tcPr>
            <w:tcW w:w="0" w:type="auto"/>
            <w:hideMark/>
          </w:tcPr>
          <w:p w14:paraId="734BE4C2"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w:t>
            </w:r>
            <w:r w:rsidRPr="002018AC">
              <w:rPr>
                <w:rFonts w:cs="Times New Roman"/>
                <w:vertAlign w:val="superscript"/>
                <w:lang w:val="en-AU" w:eastAsia="en-AU"/>
              </w:rPr>
              <w:t>nd</w:t>
            </w:r>
          </w:p>
        </w:tc>
      </w:tr>
      <w:tr w:rsidR="00A77462" w:rsidRPr="002018AC" w14:paraId="06E27887" w14:textId="77777777" w:rsidTr="001C195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DD5434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A</w:t>
            </w:r>
          </w:p>
        </w:tc>
        <w:tc>
          <w:tcPr>
            <w:tcW w:w="0" w:type="auto"/>
            <w:hideMark/>
          </w:tcPr>
          <w:p w14:paraId="5982980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0.995</w:t>
            </w:r>
          </w:p>
        </w:tc>
        <w:tc>
          <w:tcPr>
            <w:tcW w:w="0" w:type="auto"/>
            <w:hideMark/>
          </w:tcPr>
          <w:p w14:paraId="020EA52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Reject</w:t>
            </w:r>
          </w:p>
        </w:tc>
      </w:tr>
    </w:tbl>
    <w:p w14:paraId="39367EBB" w14:textId="77777777" w:rsidR="00A77462" w:rsidRPr="002018AC" w:rsidRDefault="00A77462" w:rsidP="00695D8D">
      <w:pPr>
        <w:spacing w:line="276" w:lineRule="auto"/>
        <w:rPr>
          <w:rFonts w:cs="Times New Roman"/>
          <w:lang w:val="en-AU"/>
        </w:rPr>
      </w:pPr>
      <w:r w:rsidRPr="002018AC">
        <w:rPr>
          <w:rFonts w:cs="Times New Roman"/>
          <w:lang w:val="en-AU"/>
        </w:rPr>
        <w:t>The optimal investment policy is therefore:</w:t>
      </w:r>
    </w:p>
    <w:p w14:paraId="7AA8926E" w14:textId="77777777" w:rsidR="00A77462" w:rsidRPr="002018AC" w:rsidRDefault="00A77462" w:rsidP="00695D8D">
      <w:pPr>
        <w:pStyle w:val="ListParagraph"/>
        <w:numPr>
          <w:ilvl w:val="0"/>
          <w:numId w:val="15"/>
        </w:numPr>
        <w:spacing w:line="276" w:lineRule="auto"/>
        <w:rPr>
          <w:rFonts w:cs="Times New Roman"/>
          <w:lang w:val="en-AU"/>
        </w:rPr>
      </w:pPr>
      <w:r w:rsidRPr="002018AC">
        <w:rPr>
          <w:rFonts w:cs="Times New Roman"/>
          <w:bCs/>
          <w:lang w:val="en-AU"/>
        </w:rPr>
        <w:t>Invest 100% in Option C = £1,000k</w:t>
      </w:r>
    </w:p>
    <w:p w14:paraId="300673F5" w14:textId="77777777" w:rsidR="00A77462" w:rsidRPr="002018AC" w:rsidRDefault="00A77462" w:rsidP="00695D8D">
      <w:pPr>
        <w:spacing w:line="276" w:lineRule="auto"/>
        <w:rPr>
          <w:rFonts w:cs="Times New Roman"/>
          <w:lang w:val="en-AU"/>
        </w:rPr>
      </w:pPr>
      <w:r w:rsidRPr="002018AC">
        <w:rPr>
          <w:rFonts w:cs="Times New Roman"/>
          <w:lang w:val="en-AU"/>
        </w:rPr>
        <w:t>Remaining funds:</w:t>
      </w:r>
    </w:p>
    <w:p w14:paraId="029B4A5C" w14:textId="77777777" w:rsidR="00A77462" w:rsidRPr="002018AC" w:rsidRDefault="00A77462" w:rsidP="00695D8D">
      <w:pPr>
        <w:pStyle w:val="ListParagraph"/>
        <w:numPr>
          <w:ilvl w:val="0"/>
          <w:numId w:val="15"/>
        </w:numPr>
        <w:spacing w:line="276" w:lineRule="auto"/>
        <w:rPr>
          <w:rFonts w:cs="Times New Roman"/>
          <w:lang w:val="en-AU"/>
        </w:rPr>
      </w:pPr>
      <w:r w:rsidRPr="002018AC">
        <w:rPr>
          <w:rFonts w:cs="Times New Roman"/>
          <w:bCs/>
          <w:lang w:val="en-AU"/>
        </w:rPr>
        <w:t>£1,500k – £1,000k = £500k</w:t>
      </w:r>
    </w:p>
    <w:p w14:paraId="1A80626C" w14:textId="77777777" w:rsidR="00A77462" w:rsidRPr="002018AC" w:rsidRDefault="00A77462" w:rsidP="00695D8D">
      <w:pPr>
        <w:spacing w:line="276" w:lineRule="auto"/>
        <w:rPr>
          <w:rFonts w:cs="Times New Roman"/>
          <w:lang w:val="en-AU"/>
        </w:rPr>
      </w:pPr>
      <w:r w:rsidRPr="002018AC">
        <w:rPr>
          <w:rFonts w:cs="Times New Roman"/>
          <w:lang w:val="en-AU"/>
        </w:rPr>
        <w:t xml:space="preserve">Use the remaining £500k to invest in </w:t>
      </w:r>
      <w:r w:rsidRPr="002018AC">
        <w:rPr>
          <w:rFonts w:cs="Times New Roman"/>
          <w:bCs/>
          <w:lang w:val="en-AU"/>
        </w:rPr>
        <w:t>55.56% of Option B</w:t>
      </w:r>
      <w:r w:rsidRPr="002018AC">
        <w:rPr>
          <w:rFonts w:cs="Times New Roman"/>
          <w:lang w:val="en-AU"/>
        </w:rPr>
        <w:t>:</w:t>
      </w:r>
    </w:p>
    <w:p w14:paraId="4A4C8926" w14:textId="77777777" w:rsidR="00A77462" w:rsidRPr="002018AC" w:rsidRDefault="00A77462" w:rsidP="00695D8D">
      <w:pPr>
        <w:pStyle w:val="ListParagraph"/>
        <w:numPr>
          <w:ilvl w:val="0"/>
          <w:numId w:val="15"/>
        </w:numPr>
        <w:spacing w:line="276" w:lineRule="auto"/>
        <w:rPr>
          <w:rFonts w:cs="Times New Roman"/>
          <w:lang w:val="en-AU"/>
        </w:rPr>
      </w:pPr>
      <w:r w:rsidRPr="002018AC">
        <w:rPr>
          <w:rFonts w:cs="Times New Roman"/>
          <w:bCs/>
          <w:lang w:val="en-AU"/>
        </w:rPr>
        <w:t>£500k / £900k = 55.56%</w:t>
      </w:r>
    </w:p>
    <w:p w14:paraId="75366552" w14:textId="77777777" w:rsidR="00A77462" w:rsidRPr="002018AC" w:rsidRDefault="00A77462" w:rsidP="00695D8D">
      <w:pPr>
        <w:spacing w:line="276" w:lineRule="auto"/>
        <w:rPr>
          <w:rFonts w:cs="Times New Roman"/>
          <w:lang w:val="en-AU"/>
        </w:rPr>
      </w:pPr>
      <w:r w:rsidRPr="002018AC">
        <w:rPr>
          <w:rFonts w:cs="Times New Roman"/>
          <w:lang w:val="en-AU"/>
        </w:rPr>
        <w:t>This produces a total NPV of:</w:t>
      </w:r>
    </w:p>
    <w:p w14:paraId="42D9F7EB" w14:textId="77777777" w:rsidR="00A77462" w:rsidRPr="002018AC" w:rsidRDefault="00A77462" w:rsidP="00695D8D">
      <w:pPr>
        <w:pStyle w:val="ListParagraph"/>
        <w:numPr>
          <w:ilvl w:val="0"/>
          <w:numId w:val="15"/>
        </w:numPr>
        <w:spacing w:line="276" w:lineRule="auto"/>
        <w:rPr>
          <w:rFonts w:cs="Times New Roman"/>
          <w:lang w:val="en-AU"/>
        </w:rPr>
      </w:pPr>
      <w:r w:rsidRPr="002018AC">
        <w:rPr>
          <w:rFonts w:cs="Times New Roman"/>
          <w:bCs/>
          <w:lang w:val="en-AU"/>
        </w:rPr>
        <w:t>£91.226k + £41.084k = £132.310k</w:t>
      </w:r>
    </w:p>
    <w:p w14:paraId="3F08D966" w14:textId="790EB76F" w:rsidR="00A77462" w:rsidRPr="002018AC" w:rsidRDefault="00C1345F" w:rsidP="00695D8D">
      <w:pPr>
        <w:spacing w:line="276" w:lineRule="auto"/>
        <w:rPr>
          <w:rFonts w:cs="Times New Roman"/>
          <w:lang w:val="en-AU"/>
        </w:rPr>
      </w:pPr>
      <w:r w:rsidRPr="00C1345F">
        <w:rPr>
          <w:rFonts w:cs="Times New Roman"/>
          <w:lang w:val="en-AU"/>
        </w:rPr>
        <w:t>The optimal policy is therefore to invest 100% in Option C, costing £1,000k, and then use the remaining £500k to fund 55.56% of Option B. This produces a total NPV of £132.310k. Under capital rationing, Beard Plc should therefore invest fully in Option C and partially in Option B. Option A should be excluded because it has a negative NPV and a profitability index below 1 (Sokolov, 2024</w:t>
      </w:r>
      <w:proofErr w:type="gramStart"/>
      <w:r w:rsidRPr="00C1345F">
        <w:rPr>
          <w:rFonts w:cs="Times New Roman"/>
          <w:lang w:val="en-AU"/>
        </w:rPr>
        <w:t>).</w:t>
      </w:r>
      <w:r w:rsidR="00A77462" w:rsidRPr="002018AC">
        <w:rPr>
          <w:rFonts w:cs="Times New Roman"/>
          <w:lang w:val="en-AU"/>
        </w:rPr>
        <w:t>.</w:t>
      </w:r>
      <w:proofErr w:type="gramEnd"/>
    </w:p>
    <w:p w14:paraId="5188EE87" w14:textId="50691B2B" w:rsidR="00A77462" w:rsidRPr="002018AC" w:rsidRDefault="00A77462" w:rsidP="00695D8D">
      <w:pPr>
        <w:pStyle w:val="Heading2"/>
        <w:numPr>
          <w:ilvl w:val="1"/>
          <w:numId w:val="9"/>
        </w:numPr>
        <w:spacing w:line="276" w:lineRule="auto"/>
        <w:rPr>
          <w:rFonts w:cs="Times New Roman"/>
          <w:lang w:val="en-AU"/>
        </w:rPr>
      </w:pPr>
      <w:bookmarkStart w:id="33" w:name="_Toc227606847"/>
      <w:r w:rsidRPr="002018AC">
        <w:rPr>
          <w:rFonts w:cs="Times New Roman"/>
          <w:lang w:val="en-AU"/>
        </w:rPr>
        <w:t>Financing the investment programme</w:t>
      </w:r>
      <w:bookmarkEnd w:id="33"/>
    </w:p>
    <w:p w14:paraId="0D338E08" w14:textId="77777777" w:rsidR="00A77462" w:rsidRPr="002018AC" w:rsidRDefault="00A77462" w:rsidP="00695D8D">
      <w:pPr>
        <w:spacing w:line="276" w:lineRule="auto"/>
        <w:rPr>
          <w:rFonts w:cs="Times New Roman"/>
          <w:lang w:val="en-AU"/>
        </w:rPr>
      </w:pPr>
      <w:r w:rsidRPr="002018AC">
        <w:rPr>
          <w:rFonts w:cs="Times New Roman"/>
          <w:lang w:val="en-AU"/>
        </w:rPr>
        <w:t>If Beard Plc chooses only Option C, it needs £1.0m. If it follows the capital-rationing policy, it needs £1.5m. The Board should consider a mixture of internal funds, debt, equity and asset finance.</w:t>
      </w:r>
    </w:p>
    <w:p w14:paraId="0DDC8C58" w14:textId="77777777" w:rsidR="00A77462" w:rsidRPr="002018AC" w:rsidRDefault="00A77462" w:rsidP="00695D8D">
      <w:pPr>
        <w:spacing w:line="276" w:lineRule="auto"/>
        <w:rPr>
          <w:rFonts w:eastAsia="Times New Roman" w:cs="Times New Roman"/>
          <w:szCs w:val="24"/>
          <w:lang w:val="en-US"/>
        </w:rPr>
      </w:pPr>
      <w:r w:rsidRPr="002018AC">
        <w:rPr>
          <w:rFonts w:eastAsia="Times New Roman" w:cs="Times New Roman"/>
          <w:szCs w:val="24"/>
          <w:lang w:val="en-US"/>
        </w:rPr>
        <w:t xml:space="preserve">The former is </w:t>
      </w:r>
      <w:r w:rsidRPr="002018AC">
        <w:rPr>
          <w:rFonts w:eastAsia="Times New Roman" w:cs="Times New Roman"/>
          <w:bCs/>
          <w:szCs w:val="24"/>
          <w:lang w:val="en-US"/>
        </w:rPr>
        <w:t>retained</w:t>
      </w:r>
      <w:r w:rsidRPr="002018AC">
        <w:rPr>
          <w:rFonts w:eastAsia="Times New Roman" w:cs="Times New Roman"/>
          <w:szCs w:val="24"/>
          <w:lang w:val="en-US"/>
        </w:rPr>
        <w:t xml:space="preserve"> earnings. This is normally appealing since it does not require any interest payments and does not dilute ownership. The study by </w:t>
      </w:r>
      <w:proofErr w:type="spellStart"/>
      <w:r w:rsidRPr="002018AC">
        <w:rPr>
          <w:rFonts w:eastAsia="Times New Roman" w:cs="Times New Roman"/>
          <w:szCs w:val="24"/>
          <w:lang w:val="en-US"/>
        </w:rPr>
        <w:t>Djabang</w:t>
      </w:r>
      <w:proofErr w:type="spellEnd"/>
      <w:r w:rsidRPr="002018AC">
        <w:rPr>
          <w:rFonts w:eastAsia="Times New Roman" w:cs="Times New Roman"/>
          <w:szCs w:val="24"/>
          <w:lang w:val="en-US"/>
        </w:rPr>
        <w:t xml:space="preserve"> et al. (2025) in the UK </w:t>
      </w:r>
      <w:r w:rsidRPr="002018AC">
        <w:rPr>
          <w:rFonts w:eastAsia="Times New Roman" w:cs="Times New Roman"/>
          <w:bCs/>
          <w:szCs w:val="24"/>
          <w:lang w:val="en-US"/>
        </w:rPr>
        <w:t>on</w:t>
      </w:r>
      <w:r w:rsidRPr="002018AC">
        <w:rPr>
          <w:rFonts w:eastAsia="Times New Roman" w:cs="Times New Roman"/>
          <w:szCs w:val="24"/>
          <w:lang w:val="en-US"/>
        </w:rPr>
        <w:t xml:space="preserve"> SMEs revealed that the pecking-order theory is still applicable, and most companies tend to use internally generated funds over external debt or equity. Retained earnings are, however, not free. Excessive cash usage can undermine liquidity and limit </w:t>
      </w:r>
      <w:r w:rsidRPr="002018AC">
        <w:rPr>
          <w:rFonts w:eastAsia="Times New Roman" w:cs="Times New Roman"/>
          <w:bCs/>
          <w:szCs w:val="24"/>
          <w:lang w:val="en-US"/>
        </w:rPr>
        <w:t>financial flexibility</w:t>
      </w:r>
      <w:r w:rsidRPr="002018AC">
        <w:rPr>
          <w:rFonts w:eastAsia="Times New Roman" w:cs="Times New Roman"/>
          <w:szCs w:val="24"/>
          <w:lang w:val="en-US"/>
        </w:rPr>
        <w:t>.</w:t>
      </w:r>
    </w:p>
    <w:p w14:paraId="6100D1BA" w14:textId="77777777" w:rsidR="00A77462" w:rsidRPr="002018AC" w:rsidRDefault="00A77462" w:rsidP="00695D8D">
      <w:pPr>
        <w:spacing w:line="276" w:lineRule="auto"/>
        <w:rPr>
          <w:rFonts w:eastAsia="Times New Roman" w:cs="Times New Roman"/>
          <w:szCs w:val="24"/>
          <w:lang w:val="en-US"/>
        </w:rPr>
      </w:pPr>
      <w:r w:rsidRPr="002018AC">
        <w:rPr>
          <w:rFonts w:eastAsia="Times New Roman" w:cs="Times New Roman"/>
          <w:szCs w:val="24"/>
          <w:lang w:val="en-US"/>
        </w:rPr>
        <w:t xml:space="preserve">The second </w:t>
      </w:r>
      <w:r w:rsidRPr="002018AC">
        <w:rPr>
          <w:rFonts w:eastAsia="Times New Roman" w:cs="Times New Roman"/>
          <w:bCs/>
          <w:szCs w:val="24"/>
          <w:lang w:val="en-US"/>
        </w:rPr>
        <w:t>source</w:t>
      </w:r>
      <w:r w:rsidRPr="002018AC">
        <w:rPr>
          <w:rFonts w:eastAsia="Times New Roman" w:cs="Times New Roman"/>
          <w:szCs w:val="24"/>
          <w:lang w:val="en-US"/>
        </w:rPr>
        <w:t xml:space="preserve"> is bank debt or a medium-term loan. Debt can be appropriate since the projects will have </w:t>
      </w:r>
      <w:r w:rsidRPr="002018AC">
        <w:rPr>
          <w:rFonts w:eastAsia="Times New Roman" w:cs="Times New Roman"/>
          <w:bCs/>
          <w:szCs w:val="24"/>
          <w:lang w:val="en-US"/>
        </w:rPr>
        <w:t>annual</w:t>
      </w:r>
      <w:r w:rsidRPr="002018AC">
        <w:rPr>
          <w:rFonts w:eastAsia="Times New Roman" w:cs="Times New Roman"/>
          <w:szCs w:val="24"/>
          <w:lang w:val="en-US"/>
        </w:rPr>
        <w:t xml:space="preserve"> cash inflow</w:t>
      </w:r>
      <w:r w:rsidRPr="002018AC">
        <w:rPr>
          <w:rFonts w:eastAsia="Times New Roman" w:cs="Times New Roman"/>
          <w:bCs/>
          <w:szCs w:val="24"/>
          <w:lang w:val="en-US"/>
        </w:rPr>
        <w:t>s</w:t>
      </w:r>
      <w:r w:rsidRPr="002018AC">
        <w:rPr>
          <w:rFonts w:eastAsia="Times New Roman" w:cs="Times New Roman"/>
          <w:szCs w:val="24"/>
          <w:lang w:val="en-US"/>
        </w:rPr>
        <w:t>. Interest can also generate a tax benefit, but Ricca et al. (2021) point out that tax benefits and the cost</w:t>
      </w:r>
      <w:r w:rsidRPr="002018AC">
        <w:rPr>
          <w:rFonts w:eastAsia="Times New Roman" w:cs="Times New Roman"/>
          <w:bCs/>
          <w:szCs w:val="24"/>
          <w:lang w:val="en-US"/>
        </w:rPr>
        <w:t>s</w:t>
      </w:r>
      <w:r w:rsidRPr="002018AC">
        <w:rPr>
          <w:rFonts w:eastAsia="Times New Roman" w:cs="Times New Roman"/>
          <w:szCs w:val="24"/>
          <w:lang w:val="en-US"/>
        </w:rPr>
        <w:t xml:space="preserve"> of bankruptcy or financial </w:t>
      </w:r>
      <w:r w:rsidRPr="002018AC">
        <w:rPr>
          <w:rFonts w:eastAsia="Times New Roman" w:cs="Times New Roman"/>
          <w:bCs/>
          <w:szCs w:val="24"/>
          <w:lang w:val="en-US"/>
        </w:rPr>
        <w:t>distress</w:t>
      </w:r>
      <w:r w:rsidRPr="002018AC">
        <w:rPr>
          <w:rFonts w:eastAsia="Times New Roman" w:cs="Times New Roman"/>
          <w:szCs w:val="24"/>
          <w:lang w:val="en-US"/>
        </w:rPr>
        <w:t xml:space="preserve"> are trade-offs. Debt is to be used sparingly. An overdraft would not be appropriate, as a four-year or five-year loan would be more appropriate depending on the life of the project.</w:t>
      </w:r>
    </w:p>
    <w:p w14:paraId="777AAA87" w14:textId="77777777" w:rsidR="00A77462" w:rsidRPr="002018AC" w:rsidRDefault="00A77462" w:rsidP="00695D8D">
      <w:pPr>
        <w:spacing w:line="276" w:lineRule="auto"/>
        <w:rPr>
          <w:rFonts w:eastAsia="Times New Roman" w:cs="Times New Roman"/>
          <w:szCs w:val="24"/>
          <w:lang w:val="en-US"/>
        </w:rPr>
      </w:pPr>
      <w:r w:rsidRPr="002018AC">
        <w:rPr>
          <w:rFonts w:eastAsia="Times New Roman" w:cs="Times New Roman"/>
          <w:szCs w:val="24"/>
          <w:lang w:val="en-US"/>
        </w:rPr>
        <w:t xml:space="preserve">Asset finance or leasing is the third source. This can be suitable </w:t>
      </w:r>
      <w:r w:rsidRPr="002018AC">
        <w:rPr>
          <w:rFonts w:eastAsia="Times New Roman" w:cs="Times New Roman"/>
          <w:bCs/>
          <w:szCs w:val="24"/>
          <w:lang w:val="en-US"/>
        </w:rPr>
        <w:t>if</w:t>
      </w:r>
      <w:r w:rsidRPr="002018AC">
        <w:rPr>
          <w:rFonts w:eastAsia="Times New Roman" w:cs="Times New Roman"/>
          <w:szCs w:val="24"/>
          <w:lang w:val="en-US"/>
        </w:rPr>
        <w:t xml:space="preserve"> Option C involves machinery or production equipment. It lessens the amount of cash </w:t>
      </w:r>
      <w:r w:rsidRPr="002018AC">
        <w:rPr>
          <w:rFonts w:eastAsia="Times New Roman" w:cs="Times New Roman"/>
          <w:bCs/>
          <w:szCs w:val="24"/>
          <w:lang w:val="en-US"/>
        </w:rPr>
        <w:t>required</w:t>
      </w:r>
      <w:r w:rsidRPr="002018AC">
        <w:rPr>
          <w:rFonts w:eastAsia="Times New Roman" w:cs="Times New Roman"/>
          <w:szCs w:val="24"/>
          <w:lang w:val="en-US"/>
        </w:rPr>
        <w:t xml:space="preserve"> at the outset and aligns finance with the asset. The drawback is that the overall cost might be increased, and the company might be limited by the contract.</w:t>
      </w:r>
    </w:p>
    <w:p w14:paraId="37ECF4B4" w14:textId="77777777" w:rsidR="00A77462" w:rsidRPr="002018AC" w:rsidRDefault="00A77462" w:rsidP="00695D8D">
      <w:pPr>
        <w:spacing w:line="276" w:lineRule="auto"/>
        <w:rPr>
          <w:rFonts w:eastAsia="Times New Roman" w:cs="Times New Roman"/>
          <w:szCs w:val="24"/>
          <w:lang w:val="en-US"/>
        </w:rPr>
      </w:pPr>
      <w:r w:rsidRPr="002018AC">
        <w:rPr>
          <w:rFonts w:eastAsia="Times New Roman" w:cs="Times New Roman"/>
          <w:szCs w:val="24"/>
          <w:lang w:val="en-US"/>
        </w:rPr>
        <w:lastRenderedPageBreak/>
        <w:t xml:space="preserve">Fourth is equity finance. Equity does not involve any fixed repayments and </w:t>
      </w:r>
      <w:r w:rsidRPr="002018AC">
        <w:rPr>
          <w:rFonts w:eastAsia="Times New Roman" w:cs="Times New Roman"/>
          <w:bCs/>
          <w:szCs w:val="24"/>
          <w:lang w:val="en-US"/>
        </w:rPr>
        <w:t>enhances</w:t>
      </w:r>
      <w:r w:rsidRPr="002018AC">
        <w:rPr>
          <w:rFonts w:eastAsia="Times New Roman" w:cs="Times New Roman"/>
          <w:szCs w:val="24"/>
          <w:lang w:val="en-US"/>
        </w:rPr>
        <w:t xml:space="preserve"> the balance sheet, but existing shareholders are diluted and it can be costlier than debt. According to the Equity Tracker published by </w:t>
      </w:r>
      <w:r w:rsidRPr="002018AC">
        <w:rPr>
          <w:rFonts w:eastAsia="Times New Roman" w:cs="Times New Roman"/>
          <w:bCs/>
          <w:szCs w:val="24"/>
          <w:lang w:val="en-US"/>
        </w:rPr>
        <w:t>the</w:t>
      </w:r>
      <w:r w:rsidRPr="002018AC">
        <w:rPr>
          <w:rFonts w:eastAsia="Times New Roman" w:cs="Times New Roman"/>
          <w:szCs w:val="24"/>
          <w:lang w:val="en-US"/>
        </w:rPr>
        <w:t xml:space="preserve"> British Business Bank (2025b), the amount of equity invested in smaller businesses in the UK decreased slightly, to </w:t>
      </w:r>
      <w:r w:rsidRPr="002018AC">
        <w:rPr>
          <w:rFonts w:eastAsia="Times New Roman" w:cs="Times New Roman"/>
          <w:bCs/>
          <w:szCs w:val="24"/>
          <w:lang w:val="en-US"/>
        </w:rPr>
        <w:t>£10.8bn</w:t>
      </w:r>
      <w:r w:rsidRPr="002018AC">
        <w:rPr>
          <w:rFonts w:eastAsia="Times New Roman" w:cs="Times New Roman"/>
          <w:szCs w:val="24"/>
          <w:lang w:val="en-US"/>
        </w:rPr>
        <w:t xml:space="preserve"> in 2024, but the number of deals decreased more dramatically, indicating that equity markets are not unavailable, but are selective.</w:t>
      </w:r>
    </w:p>
    <w:p w14:paraId="24FBB59D" w14:textId="77777777" w:rsidR="00C1345F" w:rsidRDefault="00C1345F" w:rsidP="00695D8D">
      <w:pPr>
        <w:spacing w:line="276" w:lineRule="auto"/>
        <w:rPr>
          <w:rFonts w:eastAsia="Times New Roman" w:cs="Times New Roman"/>
          <w:szCs w:val="24"/>
          <w:lang w:val="en-US"/>
        </w:rPr>
      </w:pPr>
      <w:r w:rsidRPr="00C1345F">
        <w:rPr>
          <w:rFonts w:eastAsia="Times New Roman" w:cs="Times New Roman"/>
          <w:szCs w:val="24"/>
          <w:lang w:val="en-US"/>
        </w:rPr>
        <w:t>he choice of finance should also reflect external market conditions. OECD evidence indicates that SMEs continue to operate under restrictive financing conditions, including high interest rates and economic uncertainty (OECD, 2025). The Bank of England (2024) and British Business Bank (2025a) also identify high credit costs and risk aversion as barriers to productive investment. UK Finance (2025) reports that gross lending to SMEs by the main retail banks increased in Q1 2025, although lending volumes remain below pre-Covid norms.</w:t>
      </w:r>
    </w:p>
    <w:p w14:paraId="24CA131F" w14:textId="77777777" w:rsidR="00C1345F" w:rsidRDefault="00C1345F" w:rsidP="00C1345F">
      <w:pPr>
        <w:spacing w:line="276" w:lineRule="auto"/>
        <w:rPr>
          <w:rFonts w:eastAsia="Times New Roman" w:cs="Times New Roman"/>
          <w:bCs/>
          <w:szCs w:val="24"/>
          <w:lang w:val="en-US"/>
        </w:rPr>
      </w:pPr>
      <w:r w:rsidRPr="00C1345F">
        <w:rPr>
          <w:rFonts w:eastAsia="Times New Roman" w:cs="Times New Roman"/>
          <w:szCs w:val="24"/>
          <w:lang w:val="en-US"/>
        </w:rPr>
        <w:t>The most suitable financing option is therefore likely to be a balanced package, such as using some retained earnings, financing equipment where possible, and covering the remainder with a medium-term loan. Equity should be considered if Beard Plc is already highly geared or wishes to avoid further fixed repayment obligations (</w:t>
      </w:r>
      <w:proofErr w:type="spellStart"/>
      <w:r w:rsidRPr="00C1345F">
        <w:rPr>
          <w:rFonts w:eastAsia="Times New Roman" w:cs="Times New Roman"/>
          <w:szCs w:val="24"/>
          <w:lang w:val="en-US"/>
        </w:rPr>
        <w:t>Djabang</w:t>
      </w:r>
      <w:proofErr w:type="spellEnd"/>
      <w:r w:rsidRPr="00C1345F">
        <w:rPr>
          <w:rFonts w:eastAsia="Times New Roman" w:cs="Times New Roman"/>
          <w:szCs w:val="24"/>
          <w:lang w:val="en-US"/>
        </w:rPr>
        <w:t xml:space="preserve">, </w:t>
      </w:r>
      <w:proofErr w:type="spellStart"/>
      <w:r w:rsidRPr="00C1345F">
        <w:rPr>
          <w:rFonts w:eastAsia="Times New Roman" w:cs="Times New Roman"/>
          <w:szCs w:val="24"/>
          <w:lang w:val="en-US"/>
        </w:rPr>
        <w:t>Shubita</w:t>
      </w:r>
      <w:proofErr w:type="spellEnd"/>
      <w:r w:rsidRPr="00C1345F">
        <w:rPr>
          <w:rFonts w:eastAsia="Times New Roman" w:cs="Times New Roman"/>
          <w:szCs w:val="24"/>
          <w:lang w:val="en-US"/>
        </w:rPr>
        <w:t xml:space="preserve"> and </w:t>
      </w:r>
      <w:proofErr w:type="spellStart"/>
      <w:r w:rsidRPr="00C1345F">
        <w:rPr>
          <w:rFonts w:eastAsia="Times New Roman" w:cs="Times New Roman"/>
          <w:szCs w:val="24"/>
          <w:lang w:val="en-US"/>
        </w:rPr>
        <w:t>Konstantopoulou</w:t>
      </w:r>
      <w:proofErr w:type="spellEnd"/>
      <w:r w:rsidRPr="00C1345F">
        <w:rPr>
          <w:rFonts w:eastAsia="Times New Roman" w:cs="Times New Roman"/>
          <w:szCs w:val="24"/>
          <w:lang w:val="en-US"/>
        </w:rPr>
        <w:t>, 2025; OECD, 2025; British Business Bank, 2025a).</w:t>
      </w:r>
    </w:p>
    <w:p w14:paraId="30E15837" w14:textId="44185C08" w:rsidR="00F0066F" w:rsidRPr="002018AC" w:rsidRDefault="00C1345F" w:rsidP="00C1345F">
      <w:pPr>
        <w:pStyle w:val="Heading2"/>
        <w:rPr>
          <w:lang w:val="en-US"/>
        </w:rPr>
      </w:pPr>
      <w:bookmarkStart w:id="34" w:name="_Toc227606848"/>
      <w:r>
        <w:rPr>
          <w:lang w:val="en-US"/>
        </w:rPr>
        <w:t xml:space="preserve">2.9 </w:t>
      </w:r>
      <w:r w:rsidR="00DC5ABD" w:rsidRPr="002018AC">
        <w:rPr>
          <w:lang w:val="en-US"/>
        </w:rPr>
        <w:t>Recom</w:t>
      </w:r>
      <w:r w:rsidR="00035D8B" w:rsidRPr="002018AC">
        <w:rPr>
          <w:lang w:val="en-US"/>
        </w:rPr>
        <w:t>me</w:t>
      </w:r>
      <w:r w:rsidR="00DC5ABD" w:rsidRPr="002018AC">
        <w:rPr>
          <w:lang w:val="en-US"/>
        </w:rPr>
        <w:t>ndation</w:t>
      </w:r>
      <w:bookmarkEnd w:id="34"/>
    </w:p>
    <w:p w14:paraId="11EFAC36" w14:textId="77777777" w:rsidR="00C1345F" w:rsidRPr="00C1345F" w:rsidRDefault="00C1345F" w:rsidP="00C1345F">
      <w:pPr>
        <w:spacing w:after="0" w:line="276" w:lineRule="auto"/>
        <w:rPr>
          <w:rFonts w:eastAsia="Times New Roman" w:cs="Times New Roman"/>
          <w:szCs w:val="24"/>
          <w:lang w:eastAsia="en-GB"/>
        </w:rPr>
      </w:pPr>
      <w:r w:rsidRPr="00C1345F">
        <w:rPr>
          <w:rFonts w:eastAsia="Times New Roman" w:cs="Times New Roman"/>
          <w:szCs w:val="24"/>
          <w:lang w:eastAsia="en-GB"/>
        </w:rPr>
        <w:t>he directors of Vodafone Group plc should prioritise restoring profitability and improving returns on capital employed. Although gross margins remain stable, the negative operating margin and ROCE in FY2025 indicate that capital is not being used effectively. Management attention should focus on underperforming regions, particularly Germany, where regulatory change has materially reduced returns and asset values. Capital expenditure should be subjected to tighter appraisal, with approval granted only where expected returns exceed the cost of capital and where post-investment performance can be monitored. While liquidity has improved, reliance on extended creditor terms should be controlled to avoid hidden working-capital strain. Dividend payments and share buybacks should also remain conservative until statutory profitability and interest cover improve, with priority given to balance-sheet resilience and sustainable cash generation (Vodafone Group plc, 2025; Connect Europe, 2025; Huynh and Le, 2025).</w:t>
      </w:r>
    </w:p>
    <w:p w14:paraId="32AE4E4A" w14:textId="77777777" w:rsidR="00C1345F" w:rsidRPr="00C1345F" w:rsidRDefault="00C1345F" w:rsidP="00C1345F">
      <w:pPr>
        <w:spacing w:after="0" w:line="276" w:lineRule="auto"/>
        <w:rPr>
          <w:rFonts w:eastAsia="Times New Roman" w:cs="Times New Roman"/>
          <w:szCs w:val="24"/>
          <w:lang w:eastAsia="en-GB"/>
        </w:rPr>
      </w:pPr>
    </w:p>
    <w:p w14:paraId="21AB2642" w14:textId="6FDE6849" w:rsidR="00F0066F" w:rsidRPr="009F3577" w:rsidRDefault="00C1345F" w:rsidP="00C1345F">
      <w:pPr>
        <w:spacing w:after="0" w:line="276" w:lineRule="auto"/>
        <w:rPr>
          <w:rFonts w:eastAsia="Times New Roman" w:cs="Times New Roman"/>
          <w:sz w:val="21"/>
          <w:szCs w:val="21"/>
          <w:lang w:eastAsia="en-GB"/>
        </w:rPr>
      </w:pPr>
      <w:r w:rsidRPr="00C1345F">
        <w:rPr>
          <w:rFonts w:eastAsia="Times New Roman" w:cs="Times New Roman"/>
          <w:szCs w:val="24"/>
          <w:lang w:eastAsia="en-GB"/>
        </w:rPr>
        <w:t xml:space="preserve">The Board of Beard Plc should prioritise Option C, the production of purses and wallets, because it generates the highest NPV and an IRR above the cost of capital, indicating clear value creation. If capital is unconstrained, Option C should be undertaken in full. Under capital rationing, the optimal policy is to invest fully in Option C and allocate the remaining funds to Option B, thereby maximising total NPV. Option A should be rejected because its NPV is negative. Before final approval, the Board should test market demand, confirm production capability, and assess working-capital implications, especially for inventory and receivables. Financing should balance retained earnings and medium-term debt while preserving financial flexibility and avoiding excessive risk (Sokolov, 2024; </w:t>
      </w:r>
      <w:proofErr w:type="spellStart"/>
      <w:r w:rsidRPr="00C1345F">
        <w:rPr>
          <w:rFonts w:eastAsia="Times New Roman" w:cs="Times New Roman"/>
          <w:szCs w:val="24"/>
          <w:lang w:eastAsia="en-GB"/>
        </w:rPr>
        <w:t>Nunden</w:t>
      </w:r>
      <w:proofErr w:type="spellEnd"/>
      <w:r w:rsidRPr="00C1345F">
        <w:rPr>
          <w:rFonts w:eastAsia="Times New Roman" w:cs="Times New Roman"/>
          <w:szCs w:val="24"/>
          <w:lang w:eastAsia="en-GB"/>
        </w:rPr>
        <w:t xml:space="preserve"> et al., 2022; OECD, 2025).</w:t>
      </w:r>
    </w:p>
    <w:p w14:paraId="23B96268" w14:textId="77777777" w:rsidR="00F0066F" w:rsidRPr="002018AC" w:rsidRDefault="00F0066F" w:rsidP="00695D8D">
      <w:pPr>
        <w:spacing w:after="0" w:line="276" w:lineRule="auto"/>
        <w:jc w:val="left"/>
        <w:rPr>
          <w:rFonts w:eastAsiaTheme="majorEastAsia" w:cs="Times New Roman"/>
          <w:b/>
          <w:color w:val="4C94D8" w:themeColor="text2" w:themeTint="80"/>
          <w:sz w:val="36"/>
          <w:szCs w:val="32"/>
          <w:lang w:val="en-US"/>
        </w:rPr>
      </w:pPr>
      <w:r w:rsidRPr="002018AC">
        <w:rPr>
          <w:rFonts w:cs="Times New Roman"/>
          <w:lang w:val="en-US"/>
        </w:rPr>
        <w:lastRenderedPageBreak/>
        <w:br w:type="page"/>
      </w:r>
    </w:p>
    <w:p w14:paraId="7CE1D7F9" w14:textId="77777777" w:rsidR="00DC5ABD" w:rsidRPr="002018AC" w:rsidRDefault="00DC5ABD" w:rsidP="00695D8D">
      <w:pPr>
        <w:pStyle w:val="Heading2"/>
        <w:spacing w:line="276" w:lineRule="auto"/>
        <w:rPr>
          <w:rFonts w:cs="Times New Roman"/>
          <w:lang w:val="en-US"/>
        </w:rPr>
      </w:pPr>
    </w:p>
    <w:p w14:paraId="168AB5C2" w14:textId="49AFD66E" w:rsidR="001C195C" w:rsidRPr="002018AC" w:rsidRDefault="00DB6BEC" w:rsidP="00695D8D">
      <w:pPr>
        <w:pStyle w:val="Heading2"/>
        <w:spacing w:line="276" w:lineRule="auto"/>
        <w:ind w:left="360"/>
        <w:rPr>
          <w:rFonts w:cs="Times New Roman"/>
          <w:b w:val="0"/>
          <w:color w:val="0F4761" w:themeColor="accent1" w:themeShade="BF"/>
          <w:sz w:val="40"/>
          <w:szCs w:val="40"/>
          <w:u w:val="single"/>
          <w:lang w:val="en-AU"/>
        </w:rPr>
      </w:pPr>
      <w:bookmarkStart w:id="35" w:name="_Toc227606849"/>
      <w:r w:rsidRPr="002018AC">
        <w:rPr>
          <w:rFonts w:cs="Times New Roman"/>
          <w:lang w:val="en-US"/>
        </w:rPr>
        <w:t>2.10</w:t>
      </w:r>
      <w:r w:rsidR="00F0066F" w:rsidRPr="002018AC">
        <w:rPr>
          <w:rFonts w:cs="Times New Roman"/>
          <w:lang w:val="en-US"/>
        </w:rPr>
        <w:t xml:space="preserve"> </w:t>
      </w:r>
      <w:r w:rsidR="00A77462" w:rsidRPr="002018AC">
        <w:rPr>
          <w:rFonts w:cs="Times New Roman"/>
          <w:lang w:val="en-US"/>
        </w:rPr>
        <w:t>Conclusion</w:t>
      </w:r>
      <w:bookmarkEnd w:id="35"/>
      <w:r w:rsidR="00F0066F" w:rsidRPr="002018AC">
        <w:rPr>
          <w:rFonts w:cs="Times New Roman"/>
          <w:lang w:val="en-US"/>
        </w:rPr>
        <w:t xml:space="preserve"> </w:t>
      </w:r>
      <w:r w:rsidR="00F0066F" w:rsidRPr="002018AC">
        <w:rPr>
          <w:rFonts w:cs="Times New Roman"/>
          <w:b w:val="0"/>
          <w:color w:val="0F4761" w:themeColor="accent1" w:themeShade="BF"/>
          <w:sz w:val="40"/>
          <w:szCs w:val="40"/>
          <w:u w:val="single"/>
          <w:lang w:val="en-AU"/>
        </w:rPr>
        <w:t xml:space="preserve"> </w:t>
      </w:r>
    </w:p>
    <w:p w14:paraId="0DD459F8" w14:textId="76FCD67C" w:rsidR="00C1345F" w:rsidRPr="00C1345F" w:rsidRDefault="00C1345F" w:rsidP="00C1345F">
      <w:pPr>
        <w:spacing w:after="0" w:line="276" w:lineRule="auto"/>
        <w:rPr>
          <w:rFonts w:eastAsia="Times New Roman" w:cs="Times New Roman"/>
          <w:szCs w:val="24"/>
          <w:lang w:eastAsia="en-GB"/>
        </w:rPr>
      </w:pPr>
      <w:r w:rsidRPr="00C1345F">
        <w:rPr>
          <w:rFonts w:eastAsia="Times New Roman" w:cs="Times New Roman"/>
          <w:szCs w:val="24"/>
          <w:lang w:eastAsia="en-GB"/>
        </w:rPr>
        <w:t>This analysis demonstrates that Vodafone’s FY2025 financial performance weakened significantly at the operating and statutory levels despite relatively stable revenue and gross margin. Large impairment charges produced an operating loss and negative ROCE, highlighting concerns over asset recoverability and value creation. Although short-term liquidity improved and net debt fell, high leverage and weak interest cover continue to present financial risk. Efficiency ratios deteriorated only marginally, which suggests that the main problem lies less in day-to-day trading and more in capital allocation, asset-value pressure and market conditions. Overall, Vodafone remains operationally substantial but financially strained. Sustainable value creation will depend on disciplined investment, recovery in key markets and a cautious approach to shareholder distributions consistent with long-term financial stability (Vodafone Group plc, 2025; Ali Abebe, 2022; Connect Europe, 2025).</w:t>
      </w:r>
    </w:p>
    <w:p w14:paraId="268C44C7" w14:textId="77777777" w:rsidR="00C1345F" w:rsidRPr="00C1345F" w:rsidRDefault="00C1345F" w:rsidP="00C1345F">
      <w:pPr>
        <w:spacing w:after="0" w:line="276" w:lineRule="auto"/>
        <w:rPr>
          <w:rFonts w:eastAsia="Times New Roman" w:cs="Times New Roman"/>
          <w:szCs w:val="24"/>
          <w:lang w:eastAsia="en-GB"/>
        </w:rPr>
      </w:pPr>
    </w:p>
    <w:p w14:paraId="0E937678" w14:textId="43F04737" w:rsidR="00F0066F" w:rsidRPr="009F3577" w:rsidRDefault="00C1345F" w:rsidP="00C1345F">
      <w:pPr>
        <w:spacing w:after="0" w:line="276" w:lineRule="auto"/>
        <w:rPr>
          <w:rFonts w:eastAsia="Times New Roman" w:cs="Times New Roman"/>
          <w:sz w:val="21"/>
          <w:szCs w:val="21"/>
          <w:lang w:eastAsia="en-GB"/>
        </w:rPr>
      </w:pPr>
      <w:r w:rsidRPr="00C1345F">
        <w:rPr>
          <w:rFonts w:eastAsia="Times New Roman" w:cs="Times New Roman"/>
          <w:szCs w:val="24"/>
          <w:lang w:eastAsia="en-GB"/>
        </w:rPr>
        <w:t xml:space="preserve">The investment appraisal shows the value of discounted cash-flow techniques, especially NPV, in supporting sound capital-budgeting decisions. Of the three projects, Option C is the strongest financially, creating the greatest increase in shareholder value and offering an IRR comfortably above the 5% cost of capital. Option B is also acceptable, although less strong in absolute-value terms, while Option A fails to meet the required return. Under limited funding, the combination of Option C with a partial investment in Option B maximises overall NPV and therefore represents the best choice. However, financial attractiveness alone is not enough. The Board must also consider strategic fit, operational readiness and execution risk. A disciplined and evidence-based approach to project selection will support Beard Plc’s long-term growth and financial sustainability (Sokolov, 2024; </w:t>
      </w:r>
      <w:proofErr w:type="spellStart"/>
      <w:r w:rsidRPr="00C1345F">
        <w:rPr>
          <w:rFonts w:eastAsia="Times New Roman" w:cs="Times New Roman"/>
          <w:szCs w:val="24"/>
          <w:lang w:eastAsia="en-GB"/>
        </w:rPr>
        <w:t>Purnamasari</w:t>
      </w:r>
      <w:proofErr w:type="spellEnd"/>
      <w:r w:rsidRPr="00C1345F">
        <w:rPr>
          <w:rFonts w:eastAsia="Times New Roman" w:cs="Times New Roman"/>
          <w:szCs w:val="24"/>
          <w:lang w:eastAsia="en-GB"/>
        </w:rPr>
        <w:t xml:space="preserve"> and </w:t>
      </w:r>
      <w:proofErr w:type="spellStart"/>
      <w:r w:rsidRPr="00C1345F">
        <w:rPr>
          <w:rFonts w:eastAsia="Times New Roman" w:cs="Times New Roman"/>
          <w:szCs w:val="24"/>
          <w:lang w:eastAsia="en-GB"/>
        </w:rPr>
        <w:t>Adriza</w:t>
      </w:r>
      <w:proofErr w:type="spellEnd"/>
      <w:r w:rsidRPr="00C1345F">
        <w:rPr>
          <w:rFonts w:eastAsia="Times New Roman" w:cs="Times New Roman"/>
          <w:szCs w:val="24"/>
          <w:lang w:eastAsia="en-GB"/>
        </w:rPr>
        <w:t xml:space="preserve">, 2024; Hartmann and </w:t>
      </w:r>
      <w:proofErr w:type="spellStart"/>
      <w:r w:rsidRPr="00C1345F">
        <w:rPr>
          <w:rFonts w:eastAsia="Times New Roman" w:cs="Times New Roman"/>
          <w:szCs w:val="24"/>
          <w:lang w:eastAsia="en-GB"/>
        </w:rPr>
        <w:t>Weißenberger</w:t>
      </w:r>
      <w:proofErr w:type="spellEnd"/>
      <w:r w:rsidRPr="00C1345F">
        <w:rPr>
          <w:rFonts w:eastAsia="Times New Roman" w:cs="Times New Roman"/>
          <w:szCs w:val="24"/>
          <w:lang w:eastAsia="en-GB"/>
        </w:rPr>
        <w:t>, 2024).</w:t>
      </w:r>
    </w:p>
    <w:p w14:paraId="3F8818AC" w14:textId="77777777" w:rsidR="00F0066F" w:rsidRPr="002018AC" w:rsidRDefault="00F0066F" w:rsidP="00695D8D">
      <w:pPr>
        <w:spacing w:line="276" w:lineRule="auto"/>
        <w:rPr>
          <w:rFonts w:cs="Times New Roman"/>
          <w:lang w:val="en-AU"/>
        </w:rPr>
      </w:pPr>
    </w:p>
    <w:p w14:paraId="6BADD36A" w14:textId="77777777" w:rsidR="00035D8B" w:rsidRPr="002018AC" w:rsidRDefault="00035D8B">
      <w:pPr>
        <w:spacing w:after="0" w:line="240" w:lineRule="auto"/>
        <w:jc w:val="left"/>
        <w:rPr>
          <w:rFonts w:eastAsiaTheme="majorEastAsia" w:cs="Times New Roman"/>
          <w:b/>
          <w:color w:val="0F4761" w:themeColor="accent1" w:themeShade="BF"/>
          <w:sz w:val="40"/>
          <w:szCs w:val="40"/>
          <w:u w:val="single"/>
          <w:lang w:val="en-AU"/>
        </w:rPr>
      </w:pPr>
      <w:r w:rsidRPr="002018AC">
        <w:rPr>
          <w:rFonts w:cs="Times New Roman"/>
          <w:lang w:val="en-AU"/>
        </w:rPr>
        <w:br w:type="page"/>
      </w:r>
    </w:p>
    <w:p w14:paraId="5721237E" w14:textId="43714696" w:rsidR="00A77462" w:rsidRPr="002018AC" w:rsidRDefault="00A77462" w:rsidP="00695D8D">
      <w:pPr>
        <w:pStyle w:val="Heading1"/>
        <w:numPr>
          <w:ilvl w:val="0"/>
          <w:numId w:val="9"/>
        </w:numPr>
        <w:spacing w:line="276" w:lineRule="auto"/>
        <w:rPr>
          <w:rFonts w:cs="Times New Roman"/>
          <w:lang w:val="en-AU"/>
        </w:rPr>
      </w:pPr>
      <w:bookmarkStart w:id="36" w:name="_Toc227606850"/>
      <w:r w:rsidRPr="002018AC">
        <w:rPr>
          <w:rFonts w:cs="Times New Roman"/>
          <w:lang w:val="en-AU"/>
        </w:rPr>
        <w:lastRenderedPageBreak/>
        <w:t>Reference list</w:t>
      </w:r>
      <w:bookmarkEnd w:id="36"/>
    </w:p>
    <w:p w14:paraId="716DA1A9" w14:textId="45BCDE18"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Aktas</w:t>
      </w:r>
      <w:proofErr w:type="spellEnd"/>
      <w:r w:rsidRPr="002018AC">
        <w:rPr>
          <w:rFonts w:cs="Times New Roman"/>
          <w:lang w:val="en-AU"/>
        </w:rPr>
        <w:t xml:space="preserve">, N., </w:t>
      </w:r>
      <w:proofErr w:type="spellStart"/>
      <w:r w:rsidRPr="002018AC">
        <w:rPr>
          <w:rFonts w:cs="Times New Roman"/>
          <w:lang w:val="en-AU"/>
        </w:rPr>
        <w:t>Croci</w:t>
      </w:r>
      <w:proofErr w:type="spellEnd"/>
      <w:r w:rsidRPr="002018AC">
        <w:rPr>
          <w:rFonts w:cs="Times New Roman"/>
          <w:lang w:val="en-AU"/>
        </w:rPr>
        <w:t xml:space="preserve">, E. and </w:t>
      </w:r>
      <w:proofErr w:type="spellStart"/>
      <w:r w:rsidRPr="002018AC">
        <w:rPr>
          <w:rFonts w:cs="Times New Roman"/>
          <w:lang w:val="en-AU"/>
        </w:rPr>
        <w:t>Petmezas</w:t>
      </w:r>
      <w:proofErr w:type="spellEnd"/>
      <w:r w:rsidRPr="002018AC">
        <w:rPr>
          <w:rFonts w:cs="Times New Roman"/>
          <w:lang w:val="en-AU"/>
        </w:rPr>
        <w:t xml:space="preserve">, D. (2015) ‘Is working capital management value-enhancing? Evidence from firm performance and investments’, Journal of Corporate Finance, 30, pp. 98–113. </w:t>
      </w:r>
    </w:p>
    <w:p w14:paraId="15DFB999" w14:textId="77777777" w:rsidR="00035D8B" w:rsidRPr="002018AC" w:rsidRDefault="00035D8B" w:rsidP="00461154">
      <w:pPr>
        <w:spacing w:line="276" w:lineRule="auto"/>
        <w:ind w:left="720" w:hanging="720"/>
        <w:rPr>
          <w:rFonts w:cs="Times New Roman"/>
          <w:lang w:val="en-AU"/>
        </w:rPr>
      </w:pPr>
      <w:r w:rsidRPr="002018AC">
        <w:rPr>
          <w:rFonts w:cs="Times New Roman"/>
        </w:rPr>
        <w:t>Ali Abebe, A., 2022. The effect of IFRS on the financial ratios: Evidence from banking sector in the emerging economy. </w:t>
      </w:r>
      <w:r w:rsidRPr="002018AC">
        <w:rPr>
          <w:rFonts w:cs="Times New Roman"/>
          <w:i/>
          <w:iCs/>
        </w:rPr>
        <w:t>Cogent Economics &amp; Finance</w:t>
      </w:r>
      <w:r w:rsidRPr="002018AC">
        <w:rPr>
          <w:rFonts w:cs="Times New Roman"/>
        </w:rPr>
        <w:t>, </w:t>
      </w:r>
      <w:r w:rsidRPr="002018AC">
        <w:rPr>
          <w:rFonts w:cs="Times New Roman"/>
          <w:i/>
          <w:iCs/>
        </w:rPr>
        <w:t>10</w:t>
      </w:r>
      <w:r w:rsidRPr="002018AC">
        <w:rPr>
          <w:rFonts w:cs="Times New Roman"/>
        </w:rPr>
        <w:t>(1), p.2113495.</w:t>
      </w:r>
    </w:p>
    <w:p w14:paraId="42DFD6F5" w14:textId="79A1266B"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Alles</w:t>
      </w:r>
      <w:proofErr w:type="spellEnd"/>
      <w:r w:rsidRPr="002018AC">
        <w:rPr>
          <w:rFonts w:cs="Times New Roman"/>
          <w:lang w:val="en-AU"/>
        </w:rPr>
        <w:t xml:space="preserve">, L., </w:t>
      </w:r>
      <w:proofErr w:type="spellStart"/>
      <w:r w:rsidRPr="002018AC">
        <w:rPr>
          <w:rFonts w:cs="Times New Roman"/>
          <w:lang w:val="en-AU"/>
        </w:rPr>
        <w:t>Jayathilaka</w:t>
      </w:r>
      <w:proofErr w:type="spellEnd"/>
      <w:r w:rsidRPr="002018AC">
        <w:rPr>
          <w:rFonts w:cs="Times New Roman"/>
          <w:lang w:val="en-AU"/>
        </w:rPr>
        <w:t xml:space="preserve">, R., Kumari, N., </w:t>
      </w:r>
      <w:proofErr w:type="spellStart"/>
      <w:r w:rsidRPr="002018AC">
        <w:rPr>
          <w:rFonts w:cs="Times New Roman"/>
          <w:lang w:val="en-AU"/>
        </w:rPr>
        <w:t>Malalathunga</w:t>
      </w:r>
      <w:proofErr w:type="spellEnd"/>
      <w:r w:rsidRPr="002018AC">
        <w:rPr>
          <w:rFonts w:cs="Times New Roman"/>
          <w:lang w:val="en-AU"/>
        </w:rPr>
        <w:t xml:space="preserve">, T., </w:t>
      </w:r>
      <w:proofErr w:type="spellStart"/>
      <w:r w:rsidRPr="002018AC">
        <w:rPr>
          <w:rFonts w:cs="Times New Roman"/>
          <w:lang w:val="en-AU"/>
        </w:rPr>
        <w:t>Obeyesekera</w:t>
      </w:r>
      <w:proofErr w:type="spellEnd"/>
      <w:r w:rsidRPr="002018AC">
        <w:rPr>
          <w:rFonts w:cs="Times New Roman"/>
          <w:lang w:val="en-AU"/>
        </w:rPr>
        <w:t xml:space="preserve">, H. and Sharmila, S. (2021) ‘An investigation of the usage of capital budgeting techniques by small and medium enterprises’, Quality &amp; Quantity, 55(3), pp. 993–1006. </w:t>
      </w:r>
    </w:p>
    <w:p w14:paraId="20464D92" w14:textId="77777777"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Andor</w:t>
      </w:r>
      <w:proofErr w:type="spellEnd"/>
      <w:r w:rsidRPr="002018AC">
        <w:rPr>
          <w:rFonts w:cs="Times New Roman"/>
          <w:lang w:val="en-AU"/>
        </w:rPr>
        <w:t>, G., Mohanty, S.K. and Toth, T. (2015) ‘Capital budgeting practices: A survey of Central and Eastern European firms’, Emerging Markets Review, 23, pp. 148–172.</w:t>
      </w:r>
    </w:p>
    <w:p w14:paraId="441AA857" w14:textId="364BCB29"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Arhinful</w:t>
      </w:r>
      <w:proofErr w:type="spellEnd"/>
      <w:r w:rsidRPr="002018AC">
        <w:rPr>
          <w:rFonts w:cs="Times New Roman"/>
          <w:lang w:val="en-AU"/>
        </w:rPr>
        <w:t xml:space="preserve">, R. and </w:t>
      </w:r>
      <w:proofErr w:type="spellStart"/>
      <w:r w:rsidRPr="002018AC">
        <w:rPr>
          <w:rFonts w:cs="Times New Roman"/>
          <w:lang w:val="en-AU"/>
        </w:rPr>
        <w:t>Radmehr</w:t>
      </w:r>
      <w:proofErr w:type="spellEnd"/>
      <w:r w:rsidRPr="002018AC">
        <w:rPr>
          <w:rFonts w:cs="Times New Roman"/>
          <w:lang w:val="en-AU"/>
        </w:rPr>
        <w:t>, M. (2023) ‘The effect of financial leverage on financial performance: evidence from non-financial institutions listed on the Tokyo stock market’, Journal of Capital Markets Studies, 7(1), pp. 53–71.</w:t>
      </w:r>
    </w:p>
    <w:p w14:paraId="4DB8E453" w14:textId="35A7E2D6"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Bank of England (2024) </w:t>
      </w:r>
      <w:r w:rsidRPr="002018AC">
        <w:rPr>
          <w:rFonts w:cs="Times New Roman"/>
          <w:i/>
          <w:iCs/>
          <w:lang w:val="en-AU"/>
        </w:rPr>
        <w:t>Identifying barriers to productive investment and external finance: a survey of UK SMEs</w:t>
      </w:r>
      <w:r w:rsidRPr="002018AC">
        <w:rPr>
          <w:rFonts w:cs="Times New Roman"/>
          <w:lang w:val="en-AU"/>
        </w:rPr>
        <w:t xml:space="preserve">. Bank of England Quarterly Bulletin. </w:t>
      </w:r>
      <w:hyperlink r:id="rId9" w:history="1">
        <w:r w:rsidR="00461154" w:rsidRPr="009779A1">
          <w:rPr>
            <w:rStyle w:val="Hyperlink"/>
            <w:rFonts w:cs="Times New Roman"/>
            <w:lang w:val="en-AU"/>
          </w:rPr>
          <w:t>https://www.bankofengland.co.uk/quarterly-bulletin/2024/2024/identifying-barriers-to-productive-investment-and-external-finance-a-survey-of-uk-smes</w:t>
        </w:r>
      </w:hyperlink>
      <w:r w:rsidR="00461154">
        <w:rPr>
          <w:rFonts w:cs="Times New Roman"/>
          <w:lang w:val="en-AU"/>
        </w:rPr>
        <w:t xml:space="preserve"> </w:t>
      </w:r>
    </w:p>
    <w:p w14:paraId="491C325F" w14:textId="14BDBA24"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Baños</w:t>
      </w:r>
      <w:proofErr w:type="spellEnd"/>
      <w:r w:rsidRPr="002018AC">
        <w:rPr>
          <w:rFonts w:cs="Times New Roman"/>
          <w:lang w:val="en-AU"/>
        </w:rPr>
        <w:t>-Caballero, S., García-</w:t>
      </w:r>
      <w:proofErr w:type="spellStart"/>
      <w:r w:rsidRPr="002018AC">
        <w:rPr>
          <w:rFonts w:cs="Times New Roman"/>
          <w:lang w:val="en-AU"/>
        </w:rPr>
        <w:t>Teruel</w:t>
      </w:r>
      <w:proofErr w:type="spellEnd"/>
      <w:r w:rsidRPr="002018AC">
        <w:rPr>
          <w:rFonts w:cs="Times New Roman"/>
          <w:lang w:val="en-AU"/>
        </w:rPr>
        <w:t>, P.J. and Martínez-</w:t>
      </w:r>
      <w:proofErr w:type="spellStart"/>
      <w:r w:rsidRPr="002018AC">
        <w:rPr>
          <w:rFonts w:cs="Times New Roman"/>
          <w:lang w:val="en-AU"/>
        </w:rPr>
        <w:t>Solano</w:t>
      </w:r>
      <w:proofErr w:type="spellEnd"/>
      <w:r w:rsidRPr="002018AC">
        <w:rPr>
          <w:rFonts w:cs="Times New Roman"/>
          <w:lang w:val="en-AU"/>
        </w:rPr>
        <w:t>, P. (2014) ‘Working capital management, corporate performance, and financial constraints’, Journal of Business Research, 67(3), pp. 332–338</w:t>
      </w:r>
    </w:p>
    <w:p w14:paraId="59C547C4" w14:textId="3CC89086"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British Business Bank (2025a) </w:t>
      </w:r>
      <w:r w:rsidRPr="002018AC">
        <w:rPr>
          <w:rFonts w:cs="Times New Roman"/>
          <w:i/>
          <w:iCs/>
          <w:lang w:val="en-AU"/>
        </w:rPr>
        <w:t>Small Business Finance Markets Report 2025</w:t>
      </w:r>
      <w:r w:rsidRPr="002018AC">
        <w:rPr>
          <w:rFonts w:cs="Times New Roman"/>
          <w:lang w:val="en-AU"/>
        </w:rPr>
        <w:t xml:space="preserve">. British Business Bank. </w:t>
      </w:r>
      <w:hyperlink r:id="rId10" w:history="1">
        <w:r w:rsidR="00461154" w:rsidRPr="009779A1">
          <w:rPr>
            <w:rStyle w:val="Hyperlink"/>
            <w:rFonts w:cs="Times New Roman"/>
            <w:lang w:val="en-AU"/>
          </w:rPr>
          <w:t>https://www.british-business-bank.co.uk/about/research-and-publications/small-business-finance-markets-report-2025</w:t>
        </w:r>
      </w:hyperlink>
      <w:r w:rsidR="00461154">
        <w:rPr>
          <w:rFonts w:cs="Times New Roman"/>
          <w:lang w:val="en-AU"/>
        </w:rPr>
        <w:t xml:space="preserve"> </w:t>
      </w:r>
    </w:p>
    <w:p w14:paraId="005F2191" w14:textId="66139BD9"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British Business Bank (2025b) </w:t>
      </w:r>
      <w:r w:rsidRPr="002018AC">
        <w:rPr>
          <w:rFonts w:cs="Times New Roman"/>
          <w:i/>
          <w:iCs/>
          <w:lang w:val="en-AU"/>
        </w:rPr>
        <w:t>Small Business Equity Tracker 2025</w:t>
      </w:r>
      <w:r w:rsidRPr="002018AC">
        <w:rPr>
          <w:rFonts w:cs="Times New Roman"/>
          <w:lang w:val="en-AU"/>
        </w:rPr>
        <w:t xml:space="preserve">. British Business Bank.  </w:t>
      </w:r>
      <w:hyperlink r:id="rId11" w:history="1">
        <w:r w:rsidR="00461154" w:rsidRPr="009779A1">
          <w:rPr>
            <w:rStyle w:val="Hyperlink"/>
            <w:rFonts w:cs="Times New Roman"/>
            <w:lang w:val="en-AU"/>
          </w:rPr>
          <w:t>https://www.british-business-bank.co.uk/about/research-and-publications/small-business-equity-tracker-2025</w:t>
        </w:r>
      </w:hyperlink>
      <w:r w:rsidR="00461154">
        <w:rPr>
          <w:rFonts w:cs="Times New Roman"/>
          <w:lang w:val="en-AU"/>
        </w:rPr>
        <w:t xml:space="preserve"> </w:t>
      </w:r>
    </w:p>
    <w:p w14:paraId="5C9778B6" w14:textId="4D9AAD2D"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Brunzell</w:t>
      </w:r>
      <w:proofErr w:type="spellEnd"/>
      <w:r w:rsidRPr="002018AC">
        <w:rPr>
          <w:rFonts w:cs="Times New Roman"/>
          <w:lang w:val="en-AU"/>
        </w:rPr>
        <w:t xml:space="preserve">, T., </w:t>
      </w:r>
      <w:proofErr w:type="spellStart"/>
      <w:r w:rsidRPr="002018AC">
        <w:rPr>
          <w:rFonts w:cs="Times New Roman"/>
          <w:lang w:val="en-AU"/>
        </w:rPr>
        <w:t>Liljeblom</w:t>
      </w:r>
      <w:proofErr w:type="spellEnd"/>
      <w:r w:rsidRPr="002018AC">
        <w:rPr>
          <w:rFonts w:cs="Times New Roman"/>
          <w:lang w:val="en-AU"/>
        </w:rPr>
        <w:t xml:space="preserve">, E. and </w:t>
      </w:r>
      <w:proofErr w:type="spellStart"/>
      <w:r w:rsidRPr="002018AC">
        <w:rPr>
          <w:rFonts w:cs="Times New Roman"/>
          <w:lang w:val="en-AU"/>
        </w:rPr>
        <w:t>Vaihekoski</w:t>
      </w:r>
      <w:proofErr w:type="spellEnd"/>
      <w:r w:rsidRPr="002018AC">
        <w:rPr>
          <w:rFonts w:cs="Times New Roman"/>
          <w:lang w:val="en-AU"/>
        </w:rPr>
        <w:t xml:space="preserve">, M. (2013) ‘Determinants of capital budgeting methods and hurdle rates in Nordic firms’, Accounting &amp; Finance, 53(1), pp. 85–110. </w:t>
      </w:r>
    </w:p>
    <w:p w14:paraId="39FED16F" w14:textId="41F276BB" w:rsidR="00035D8B" w:rsidRPr="002018AC" w:rsidRDefault="00035D8B" w:rsidP="00461154">
      <w:pPr>
        <w:spacing w:line="276" w:lineRule="auto"/>
        <w:ind w:left="720" w:hanging="720"/>
        <w:rPr>
          <w:rFonts w:cs="Times New Roman"/>
          <w:lang w:val="en-AU"/>
        </w:rPr>
      </w:pPr>
      <w:r w:rsidRPr="002018AC">
        <w:rPr>
          <w:rFonts w:cs="Times New Roman"/>
          <w:lang w:val="en-AU"/>
        </w:rPr>
        <w:t>Chauhan, G.S. (2019) ‘Are working capital decisions truly short-term in nature?’, Journal of Business Research, 99, pp. 238–253</w:t>
      </w:r>
    </w:p>
    <w:p w14:paraId="7FB56616" w14:textId="0DC1C68B"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Chit, M.M. and </w:t>
      </w:r>
      <w:proofErr w:type="spellStart"/>
      <w:r w:rsidRPr="002018AC">
        <w:rPr>
          <w:rFonts w:cs="Times New Roman"/>
          <w:lang w:val="en-AU"/>
        </w:rPr>
        <w:t>Rizov</w:t>
      </w:r>
      <w:proofErr w:type="spellEnd"/>
      <w:r w:rsidRPr="002018AC">
        <w:rPr>
          <w:rFonts w:cs="Times New Roman"/>
          <w:lang w:val="en-AU"/>
        </w:rPr>
        <w:t xml:space="preserve">, M. (2024) ‘SMEs’ diversification of financing sources: Strategy or desperation?’, International Journal of Finance &amp; Economics, 29(3), pp. 3123–3146. </w:t>
      </w:r>
    </w:p>
    <w:p w14:paraId="6D1A673B" w14:textId="5DEA7778"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lastRenderedPageBreak/>
        <w:t>Chivandire</w:t>
      </w:r>
      <w:proofErr w:type="spellEnd"/>
      <w:r w:rsidRPr="002018AC">
        <w:rPr>
          <w:rFonts w:cs="Times New Roman"/>
          <w:lang w:val="en-AU"/>
        </w:rPr>
        <w:t xml:space="preserve">, G., Botha, I. and Mouton, M. (2019) ‘The impact of capital structure on mobile telecommunication operators in Africa’, The Journal of Private Equity, 22(4), pp. 96–110. </w:t>
      </w:r>
    </w:p>
    <w:p w14:paraId="28F72B69" w14:textId="2240FCF4"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Connect Europe (2025) </w:t>
      </w:r>
      <w:r w:rsidRPr="002018AC">
        <w:rPr>
          <w:rFonts w:cs="Times New Roman"/>
          <w:i/>
          <w:iCs/>
          <w:lang w:val="en-AU"/>
        </w:rPr>
        <w:t>State of Digital Communications 2025</w:t>
      </w:r>
      <w:r w:rsidRPr="002018AC">
        <w:rPr>
          <w:rFonts w:cs="Times New Roman"/>
          <w:lang w:val="en-AU"/>
        </w:rPr>
        <w:t xml:space="preserve">. </w:t>
      </w:r>
      <w:hyperlink r:id="rId12" w:history="1">
        <w:r w:rsidR="00461154" w:rsidRPr="009779A1">
          <w:rPr>
            <w:rStyle w:val="Hyperlink"/>
            <w:rFonts w:cs="Times New Roman"/>
            <w:lang w:val="en-AU"/>
          </w:rPr>
          <w:t>https://connecteurope.org/insights/reports/state-digital-communications-2025</w:t>
        </w:r>
      </w:hyperlink>
      <w:r w:rsidR="00461154">
        <w:rPr>
          <w:rFonts w:cs="Times New Roman"/>
          <w:lang w:val="en-AU"/>
        </w:rPr>
        <w:t xml:space="preserve"> </w:t>
      </w:r>
    </w:p>
    <w:p w14:paraId="2D49210E" w14:textId="06F6208C"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Deloof</w:t>
      </w:r>
      <w:proofErr w:type="spellEnd"/>
      <w:r w:rsidRPr="002018AC">
        <w:rPr>
          <w:rFonts w:cs="Times New Roman"/>
          <w:lang w:val="en-AU"/>
        </w:rPr>
        <w:t xml:space="preserve">, M. (2003) ‘Does working capital management affect profitability of Belgian firms?’, Journal of Business Finance &amp; Accounting, 30(3–4), pp. 573–588. </w:t>
      </w:r>
    </w:p>
    <w:p w14:paraId="6985DB9E" w14:textId="2B4B4831"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Dens, N. and De </w:t>
      </w:r>
      <w:proofErr w:type="spellStart"/>
      <w:r w:rsidRPr="002018AC">
        <w:rPr>
          <w:rFonts w:cs="Times New Roman"/>
          <w:lang w:val="en-AU"/>
        </w:rPr>
        <w:t>Pelsmacker</w:t>
      </w:r>
      <w:proofErr w:type="spellEnd"/>
      <w:r w:rsidRPr="002018AC">
        <w:rPr>
          <w:rFonts w:cs="Times New Roman"/>
          <w:lang w:val="en-AU"/>
        </w:rPr>
        <w:t xml:space="preserve">, P. (2010) ‘Attitudes toward the extension and parent brand in response to extension advertising’, Journal of Business Research, 63(11), pp. 1237–1244. </w:t>
      </w:r>
    </w:p>
    <w:p w14:paraId="4F472BD1" w14:textId="77777777" w:rsidR="00035D8B" w:rsidRPr="002018AC" w:rsidRDefault="00035D8B" w:rsidP="00461154">
      <w:pPr>
        <w:spacing w:line="276" w:lineRule="auto"/>
        <w:ind w:left="720" w:hanging="720"/>
        <w:rPr>
          <w:rFonts w:cs="Times New Roman"/>
          <w:b/>
          <w:bCs/>
        </w:rPr>
      </w:pPr>
      <w:proofErr w:type="spellStart"/>
      <w:r w:rsidRPr="002018AC">
        <w:rPr>
          <w:rFonts w:cs="Times New Roman"/>
        </w:rPr>
        <w:t>Djabang</w:t>
      </w:r>
      <w:proofErr w:type="spellEnd"/>
      <w:r w:rsidRPr="002018AC">
        <w:rPr>
          <w:rFonts w:cs="Times New Roman"/>
        </w:rPr>
        <w:t xml:space="preserve">, P., </w:t>
      </w:r>
      <w:proofErr w:type="spellStart"/>
      <w:r w:rsidRPr="002018AC">
        <w:rPr>
          <w:rFonts w:cs="Times New Roman"/>
        </w:rPr>
        <w:t>Shubita</w:t>
      </w:r>
      <w:proofErr w:type="spellEnd"/>
      <w:r w:rsidRPr="002018AC">
        <w:rPr>
          <w:rFonts w:cs="Times New Roman"/>
        </w:rPr>
        <w:t xml:space="preserve">, M. and </w:t>
      </w:r>
      <w:proofErr w:type="spellStart"/>
      <w:r w:rsidRPr="002018AC">
        <w:rPr>
          <w:rFonts w:cs="Times New Roman"/>
        </w:rPr>
        <w:t>Konstantopoulou</w:t>
      </w:r>
      <w:proofErr w:type="spellEnd"/>
      <w:r w:rsidRPr="002018AC">
        <w:rPr>
          <w:rFonts w:cs="Times New Roman"/>
        </w:rPr>
        <w:t>, A., 2025. Pecking order theory’s impact on the financing of small-and medium-sized enterprises (SMEs) in the UK. </w:t>
      </w:r>
      <w:r w:rsidRPr="002018AC">
        <w:rPr>
          <w:rFonts w:cs="Times New Roman"/>
          <w:i/>
          <w:iCs/>
        </w:rPr>
        <w:t>International Journal of Organizational Analysis</w:t>
      </w:r>
      <w:r w:rsidRPr="002018AC">
        <w:rPr>
          <w:rFonts w:cs="Times New Roman"/>
        </w:rPr>
        <w:t>, </w:t>
      </w:r>
      <w:r w:rsidRPr="002018AC">
        <w:rPr>
          <w:rFonts w:cs="Times New Roman"/>
          <w:i/>
          <w:iCs/>
        </w:rPr>
        <w:t>33</w:t>
      </w:r>
      <w:r w:rsidRPr="002018AC">
        <w:rPr>
          <w:rFonts w:cs="Times New Roman"/>
        </w:rPr>
        <w:t>(11), pp.4163-4182.</w:t>
      </w:r>
    </w:p>
    <w:p w14:paraId="7868CE95" w14:textId="3A66A15D"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Enqvist</w:t>
      </w:r>
      <w:proofErr w:type="spellEnd"/>
      <w:r w:rsidRPr="002018AC">
        <w:rPr>
          <w:rFonts w:cs="Times New Roman"/>
          <w:lang w:val="en-AU"/>
        </w:rPr>
        <w:t xml:space="preserve">, J., Graham, M. and </w:t>
      </w:r>
      <w:proofErr w:type="spellStart"/>
      <w:r w:rsidRPr="002018AC">
        <w:rPr>
          <w:rFonts w:cs="Times New Roman"/>
          <w:lang w:val="en-AU"/>
        </w:rPr>
        <w:t>Nikkinen</w:t>
      </w:r>
      <w:proofErr w:type="spellEnd"/>
      <w:r w:rsidRPr="002018AC">
        <w:rPr>
          <w:rFonts w:cs="Times New Roman"/>
          <w:lang w:val="en-AU"/>
        </w:rPr>
        <w:t>, J. (2014) ‘The impact of working capital management on firm profitability in different business cycles: Evidence from Finland’, Research in International Business and Finance, 32, pp. 36–49.</w:t>
      </w:r>
    </w:p>
    <w:p w14:paraId="67CA2C47" w14:textId="2B8EF7A8"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Filbeck</w:t>
      </w:r>
      <w:proofErr w:type="spellEnd"/>
      <w:r w:rsidRPr="002018AC">
        <w:rPr>
          <w:rFonts w:cs="Times New Roman"/>
          <w:lang w:val="en-AU"/>
        </w:rPr>
        <w:t>, G. and Krueger, T.M. (2005) ‘An analysis of working capital management results across industries’, American Journal of Business, 20(2), pp. 11–20.</w:t>
      </w:r>
    </w:p>
    <w:p w14:paraId="52118D43" w14:textId="26BFAC98"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Francisco, P.M. (2024) ‘A survey of corporate finance practices in micro-enterprises: an exploratory analysis conditional on firm and manager characteristics’, Cogent Business &amp; Management, 11(1), 2429791. </w:t>
      </w:r>
    </w:p>
    <w:p w14:paraId="06652BA5" w14:textId="224CFE6A"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Graham, J.R. and Harvey, C.R. (2001) ‘The theory and practice of corporate finance: Evidence from the field’, Journal of Financial Economics, 60(2–3), pp. 187–243. </w:t>
      </w:r>
    </w:p>
    <w:p w14:paraId="7248066C" w14:textId="56B93FAC"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GSMA Intelligence (2025) </w:t>
      </w:r>
      <w:r w:rsidRPr="002018AC">
        <w:rPr>
          <w:rFonts w:cs="Times New Roman"/>
          <w:i/>
          <w:iCs/>
          <w:lang w:val="en-AU"/>
        </w:rPr>
        <w:t>The Mobile Economy Europe 2025</w:t>
      </w:r>
      <w:r w:rsidRPr="002018AC">
        <w:rPr>
          <w:rFonts w:cs="Times New Roman"/>
          <w:lang w:val="en-AU"/>
        </w:rPr>
        <w:t xml:space="preserve">. </w:t>
      </w:r>
      <w:hyperlink r:id="rId13" w:history="1">
        <w:r w:rsidR="00461154" w:rsidRPr="009779A1">
          <w:rPr>
            <w:rStyle w:val="Hyperlink"/>
            <w:rFonts w:cs="Times New Roman"/>
            <w:lang w:val="en-AU"/>
          </w:rPr>
          <w:t>https://www.gsma.com/solutions-and-impact/connectivity-for-good/mobile-economy/europe/</w:t>
        </w:r>
      </w:hyperlink>
      <w:r w:rsidR="00461154">
        <w:rPr>
          <w:rFonts w:cs="Times New Roman"/>
          <w:lang w:val="en-AU"/>
        </w:rPr>
        <w:t xml:space="preserve"> </w:t>
      </w:r>
    </w:p>
    <w:p w14:paraId="502B40E3" w14:textId="7EC8EF03"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Habibniya</w:t>
      </w:r>
      <w:proofErr w:type="spellEnd"/>
      <w:r w:rsidRPr="002018AC">
        <w:rPr>
          <w:rFonts w:cs="Times New Roman"/>
          <w:lang w:val="en-AU"/>
        </w:rPr>
        <w:t xml:space="preserve">, H., Dsouza, S., Rabbani, M.R., Nawaz, N. and </w:t>
      </w:r>
      <w:proofErr w:type="spellStart"/>
      <w:r w:rsidRPr="002018AC">
        <w:rPr>
          <w:rFonts w:cs="Times New Roman"/>
          <w:lang w:val="en-AU"/>
        </w:rPr>
        <w:t>Demiraj</w:t>
      </w:r>
      <w:proofErr w:type="spellEnd"/>
      <w:r w:rsidRPr="002018AC">
        <w:rPr>
          <w:rFonts w:cs="Times New Roman"/>
          <w:lang w:val="en-AU"/>
        </w:rPr>
        <w:t xml:space="preserve">, R. (2022) ‘Impact of capital structure on profitability: Panel data evidence of the telecom industry in the United States’, Risks, 10(8), 157. </w:t>
      </w:r>
    </w:p>
    <w:p w14:paraId="266534C9" w14:textId="77777777" w:rsidR="00035D8B" w:rsidRPr="002018AC" w:rsidRDefault="00035D8B" w:rsidP="00461154">
      <w:pPr>
        <w:spacing w:line="276" w:lineRule="auto"/>
        <w:ind w:left="720" w:hanging="720"/>
        <w:rPr>
          <w:rFonts w:cs="Times New Roman"/>
        </w:rPr>
      </w:pPr>
      <w:r w:rsidRPr="002018AC">
        <w:rPr>
          <w:rFonts w:cs="Times New Roman"/>
        </w:rPr>
        <w:t xml:space="preserve">Hartmann, M. and </w:t>
      </w:r>
      <w:proofErr w:type="spellStart"/>
      <w:r w:rsidRPr="002018AC">
        <w:rPr>
          <w:rFonts w:cs="Times New Roman"/>
        </w:rPr>
        <w:t>Weißenberger</w:t>
      </w:r>
      <w:proofErr w:type="spellEnd"/>
      <w:r w:rsidRPr="002018AC">
        <w:rPr>
          <w:rFonts w:cs="Times New Roman"/>
        </w:rPr>
        <w:t xml:space="preserve">, B.E., 2024. Decision-making in the capital budgeting context: effects of type of decision aid and increases in information load: M. Hartmann, BE </w:t>
      </w:r>
      <w:proofErr w:type="spellStart"/>
      <w:r w:rsidRPr="002018AC">
        <w:rPr>
          <w:rFonts w:cs="Times New Roman"/>
        </w:rPr>
        <w:t>Weißenberger</w:t>
      </w:r>
      <w:proofErr w:type="spellEnd"/>
      <w:r w:rsidRPr="002018AC">
        <w:rPr>
          <w:rFonts w:cs="Times New Roman"/>
        </w:rPr>
        <w:t>. </w:t>
      </w:r>
      <w:r w:rsidRPr="002018AC">
        <w:rPr>
          <w:rFonts w:cs="Times New Roman"/>
          <w:i/>
          <w:iCs/>
        </w:rPr>
        <w:t>Journal of Business Economics</w:t>
      </w:r>
      <w:r w:rsidRPr="002018AC">
        <w:rPr>
          <w:rFonts w:cs="Times New Roman"/>
        </w:rPr>
        <w:t>, </w:t>
      </w:r>
      <w:r w:rsidRPr="002018AC">
        <w:rPr>
          <w:rFonts w:cs="Times New Roman"/>
          <w:i/>
          <w:iCs/>
        </w:rPr>
        <w:t>94</w:t>
      </w:r>
      <w:r w:rsidRPr="002018AC">
        <w:rPr>
          <w:rFonts w:cs="Times New Roman"/>
        </w:rPr>
        <w:t>(2), pp.379-411.</w:t>
      </w:r>
    </w:p>
    <w:p w14:paraId="13A6C137" w14:textId="006BE1AA"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Hong, L., Jain, B.A. and Shao, Y. (2024) ‘Family firm governance and working capital management policy’, International Review of Financial Analysis, 95, 103488. </w:t>
      </w:r>
    </w:p>
    <w:p w14:paraId="7F4F0550" w14:textId="7D86435E" w:rsidR="00035D8B" w:rsidRPr="002018AC" w:rsidRDefault="00035D8B" w:rsidP="00461154">
      <w:pPr>
        <w:spacing w:line="276" w:lineRule="auto"/>
        <w:ind w:left="720" w:hanging="720"/>
        <w:rPr>
          <w:rFonts w:cs="Times New Roman"/>
          <w:lang w:val="en-AU"/>
        </w:rPr>
      </w:pPr>
      <w:r w:rsidRPr="002018AC">
        <w:rPr>
          <w:rFonts w:cs="Times New Roman"/>
          <w:lang w:val="en-AU"/>
        </w:rPr>
        <w:t>Huynh, N. and Le, Q.N. (2025) ‘From chain to capital: Supply chain risks and working capital management’, Economics Letters, 247, 112100.</w:t>
      </w:r>
    </w:p>
    <w:p w14:paraId="158BBFF5" w14:textId="3B95E480" w:rsidR="00035D8B" w:rsidRPr="002018AC" w:rsidRDefault="00035D8B" w:rsidP="00461154">
      <w:pPr>
        <w:spacing w:line="276" w:lineRule="auto"/>
        <w:ind w:left="720" w:hanging="720"/>
        <w:rPr>
          <w:rFonts w:cs="Times New Roman"/>
          <w:lang w:val="en-AU"/>
        </w:rPr>
      </w:pPr>
      <w:r w:rsidRPr="002018AC">
        <w:rPr>
          <w:rFonts w:cs="Times New Roman"/>
          <w:lang w:val="en-AU"/>
        </w:rPr>
        <w:lastRenderedPageBreak/>
        <w:t xml:space="preserve">Khan, T., Shamim, M. and Khan, M.A. (2022) ‘Leverage strategies of Indian telecom sector: a dynamic panel data approach’, Indian Growth and Development Review, 15(1), pp. 139–164. </w:t>
      </w:r>
    </w:p>
    <w:p w14:paraId="2D4FD114" w14:textId="77777777" w:rsidR="00035D8B" w:rsidRPr="002018AC" w:rsidRDefault="00035D8B" w:rsidP="00461154">
      <w:pPr>
        <w:spacing w:line="276" w:lineRule="auto"/>
        <w:ind w:left="720" w:hanging="720"/>
        <w:rPr>
          <w:rFonts w:cs="Times New Roman"/>
        </w:rPr>
      </w:pPr>
      <w:r w:rsidRPr="002018AC">
        <w:rPr>
          <w:rFonts w:cs="Times New Roman"/>
        </w:rPr>
        <w:t xml:space="preserve">Khoza, F., 2025. The impact of liquidity and leverage on the financial performance of the </w:t>
      </w:r>
      <w:proofErr w:type="spellStart"/>
      <w:r w:rsidRPr="002018AC">
        <w:rPr>
          <w:rFonts w:cs="Times New Roman"/>
        </w:rPr>
        <w:t>johannesburg</w:t>
      </w:r>
      <w:proofErr w:type="spellEnd"/>
      <w:r w:rsidRPr="002018AC">
        <w:rPr>
          <w:rFonts w:cs="Times New Roman"/>
        </w:rPr>
        <w:t xml:space="preserve"> stock exchange-listed consumer goods firms. </w:t>
      </w:r>
      <w:r w:rsidRPr="002018AC">
        <w:rPr>
          <w:rFonts w:cs="Times New Roman"/>
          <w:i/>
          <w:iCs/>
        </w:rPr>
        <w:t>Journal of Risk and Financial Management</w:t>
      </w:r>
      <w:r w:rsidRPr="002018AC">
        <w:rPr>
          <w:rFonts w:cs="Times New Roman"/>
        </w:rPr>
        <w:t>, </w:t>
      </w:r>
      <w:r w:rsidRPr="002018AC">
        <w:rPr>
          <w:rFonts w:cs="Times New Roman"/>
          <w:i/>
          <w:iCs/>
        </w:rPr>
        <w:t>18</w:t>
      </w:r>
      <w:r w:rsidRPr="002018AC">
        <w:rPr>
          <w:rFonts w:cs="Times New Roman"/>
        </w:rPr>
        <w:t>(9), p.510.</w:t>
      </w:r>
    </w:p>
    <w:p w14:paraId="6A14B325" w14:textId="546180C5"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Lomax, W. and McWilliam, G. (2001) ‘Consumer response to line extensions: Trial and cannibalisation effects’, Journal of Marketing Management, 17(3–4), pp. 391–406. </w:t>
      </w:r>
    </w:p>
    <w:p w14:paraId="37298C33" w14:textId="77777777" w:rsidR="00035D8B" w:rsidRPr="002018AC" w:rsidRDefault="00035D8B" w:rsidP="00461154">
      <w:pPr>
        <w:spacing w:line="276" w:lineRule="auto"/>
        <w:ind w:left="720" w:hanging="720"/>
        <w:rPr>
          <w:rFonts w:cs="Times New Roman"/>
        </w:rPr>
      </w:pPr>
      <w:proofErr w:type="spellStart"/>
      <w:r w:rsidRPr="002018AC">
        <w:rPr>
          <w:rFonts w:cs="Times New Roman"/>
        </w:rPr>
        <w:t>Magni</w:t>
      </w:r>
      <w:proofErr w:type="spellEnd"/>
      <w:r w:rsidRPr="002018AC">
        <w:rPr>
          <w:rFonts w:cs="Times New Roman"/>
        </w:rPr>
        <w:t xml:space="preserve">, C.A. and </w:t>
      </w:r>
      <w:proofErr w:type="spellStart"/>
      <w:r w:rsidRPr="002018AC">
        <w:rPr>
          <w:rFonts w:cs="Times New Roman"/>
        </w:rPr>
        <w:t>Marchioni</w:t>
      </w:r>
      <w:proofErr w:type="spellEnd"/>
      <w:r w:rsidRPr="002018AC">
        <w:rPr>
          <w:rFonts w:cs="Times New Roman"/>
        </w:rPr>
        <w:t>, A., 2020. Average rates of return, working capital, and NPV-consistency in project appraisal: A sensitivity analysis approach. </w:t>
      </w:r>
      <w:r w:rsidRPr="002018AC">
        <w:rPr>
          <w:rFonts w:cs="Times New Roman"/>
          <w:i/>
          <w:iCs/>
        </w:rPr>
        <w:t>International Journal of Production Economics</w:t>
      </w:r>
      <w:r w:rsidRPr="002018AC">
        <w:rPr>
          <w:rFonts w:cs="Times New Roman"/>
        </w:rPr>
        <w:t>, </w:t>
      </w:r>
      <w:r w:rsidRPr="002018AC">
        <w:rPr>
          <w:rFonts w:cs="Times New Roman"/>
          <w:i/>
          <w:iCs/>
        </w:rPr>
        <w:t>229</w:t>
      </w:r>
      <w:r w:rsidRPr="002018AC">
        <w:rPr>
          <w:rFonts w:cs="Times New Roman"/>
        </w:rPr>
        <w:t>, p.107769.</w:t>
      </w:r>
    </w:p>
    <w:p w14:paraId="4FF460BC" w14:textId="2261FB1A" w:rsidR="00035D8B" w:rsidRPr="002018AC" w:rsidRDefault="00035D8B" w:rsidP="00461154">
      <w:pPr>
        <w:spacing w:line="276" w:lineRule="auto"/>
        <w:ind w:left="720" w:hanging="720"/>
        <w:rPr>
          <w:rFonts w:cs="Times New Roman"/>
          <w:lang w:val="en-AU"/>
        </w:rPr>
      </w:pPr>
      <w:r w:rsidRPr="002018AC">
        <w:rPr>
          <w:rFonts w:cs="Times New Roman"/>
          <w:lang w:val="en-AU"/>
        </w:rPr>
        <w:t>Martinez-</w:t>
      </w:r>
      <w:proofErr w:type="spellStart"/>
      <w:r w:rsidRPr="002018AC">
        <w:rPr>
          <w:rFonts w:cs="Times New Roman"/>
          <w:lang w:val="en-AU"/>
        </w:rPr>
        <w:t>Cillero</w:t>
      </w:r>
      <w:proofErr w:type="spellEnd"/>
      <w:r w:rsidRPr="002018AC">
        <w:rPr>
          <w:rFonts w:cs="Times New Roman"/>
          <w:lang w:val="en-AU"/>
        </w:rPr>
        <w:t>, M., Lawless, M. and O’Toole, C. (2023) ‘Analysing SME investment, financing constraints and its determinants: A stochastic frontier approach’, International Review of Economics &amp; Finance, 85, pp. 578–588.</w:t>
      </w:r>
    </w:p>
    <w:p w14:paraId="6D2FEED3" w14:textId="03E1796F" w:rsidR="00035D8B" w:rsidRPr="002018AC" w:rsidRDefault="00035D8B" w:rsidP="00461154">
      <w:pPr>
        <w:spacing w:line="276" w:lineRule="auto"/>
        <w:ind w:left="720" w:hanging="720"/>
        <w:rPr>
          <w:rFonts w:cs="Times New Roman"/>
          <w:lang w:val="en-AU"/>
        </w:rPr>
      </w:pPr>
      <w:r w:rsidRPr="002018AC">
        <w:rPr>
          <w:rFonts w:cs="Times New Roman"/>
          <w:lang w:val="en-AU"/>
        </w:rPr>
        <w:t>McDonald, R.L. (2006) ‘The role of real options in capital budgeting: Theory and practice’, Journal of Applied Corporate Finance, 18(2), pp. 28–39.</w:t>
      </w:r>
    </w:p>
    <w:p w14:paraId="62EA0F62" w14:textId="4D40A087" w:rsidR="00035D8B" w:rsidRPr="002018AC" w:rsidRDefault="00035D8B" w:rsidP="00461154">
      <w:pPr>
        <w:spacing w:line="276" w:lineRule="auto"/>
        <w:ind w:left="720" w:hanging="720"/>
        <w:rPr>
          <w:rFonts w:cs="Times New Roman"/>
          <w:lang w:val="en-AU"/>
        </w:rPr>
      </w:pPr>
      <w:r w:rsidRPr="002018AC">
        <w:rPr>
          <w:rFonts w:cs="Times New Roman"/>
          <w:lang w:val="en-AU"/>
        </w:rPr>
        <w:t>Milberg, S.J., Cuneo, A., Silva, M. and Goodstein, R.C. (2023) ‘Parent brand susceptibility to negative feedback effects from brand extensions: A meta-analysis of experimental consumer findings’, Journal of Consumer Psychology, 33(1), pp. 21–44.</w:t>
      </w:r>
    </w:p>
    <w:p w14:paraId="485D10D2" w14:textId="77777777" w:rsidR="00035D8B" w:rsidRPr="002018AC" w:rsidRDefault="00035D8B" w:rsidP="00461154">
      <w:pPr>
        <w:spacing w:line="276" w:lineRule="auto"/>
        <w:ind w:left="720" w:hanging="720"/>
        <w:rPr>
          <w:rFonts w:cs="Times New Roman"/>
        </w:rPr>
      </w:pPr>
      <w:proofErr w:type="spellStart"/>
      <w:r w:rsidRPr="002018AC">
        <w:rPr>
          <w:rFonts w:cs="Times New Roman"/>
        </w:rPr>
        <w:t>Mollah</w:t>
      </w:r>
      <w:proofErr w:type="spellEnd"/>
      <w:r w:rsidRPr="002018AC">
        <w:rPr>
          <w:rFonts w:cs="Times New Roman"/>
        </w:rPr>
        <w:t xml:space="preserve">, M.A.S., </w:t>
      </w:r>
      <w:proofErr w:type="spellStart"/>
      <w:r w:rsidRPr="002018AC">
        <w:rPr>
          <w:rFonts w:cs="Times New Roman"/>
        </w:rPr>
        <w:t>Rouf</w:t>
      </w:r>
      <w:proofErr w:type="spellEnd"/>
      <w:r w:rsidRPr="002018AC">
        <w:rPr>
          <w:rFonts w:cs="Times New Roman"/>
        </w:rPr>
        <w:t>, M.A. and Rana, S.S., 2023. A study on capital budgeting practices of some selected companies in Bangladesh. </w:t>
      </w:r>
      <w:r w:rsidRPr="002018AC">
        <w:rPr>
          <w:rFonts w:cs="Times New Roman"/>
          <w:i/>
          <w:iCs/>
        </w:rPr>
        <w:t>PSU Research Review</w:t>
      </w:r>
      <w:r w:rsidRPr="002018AC">
        <w:rPr>
          <w:rFonts w:cs="Times New Roman"/>
        </w:rPr>
        <w:t>, </w:t>
      </w:r>
      <w:r w:rsidRPr="002018AC">
        <w:rPr>
          <w:rFonts w:cs="Times New Roman"/>
          <w:i/>
          <w:iCs/>
        </w:rPr>
        <w:t>7</w:t>
      </w:r>
      <w:r w:rsidRPr="002018AC">
        <w:rPr>
          <w:rFonts w:cs="Times New Roman"/>
        </w:rPr>
        <w:t>(2), pp.137-151.</w:t>
      </w:r>
    </w:p>
    <w:p w14:paraId="355B298C" w14:textId="167B66EB"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Mota</w:t>
      </w:r>
      <w:proofErr w:type="spellEnd"/>
      <w:r w:rsidRPr="002018AC">
        <w:rPr>
          <w:rFonts w:cs="Times New Roman"/>
          <w:lang w:val="en-AU"/>
        </w:rPr>
        <w:t>, J. and Moreira, A.C. (2023) ‘Capital budgeting practices: A survey of two industries’, Journal of Risk and Financial Management, 16(3), 191.</w:t>
      </w:r>
    </w:p>
    <w:p w14:paraId="0555B0DC" w14:textId="77777777" w:rsidR="00035D8B" w:rsidRPr="002018AC" w:rsidRDefault="00035D8B" w:rsidP="00461154">
      <w:pPr>
        <w:spacing w:line="276" w:lineRule="auto"/>
        <w:ind w:left="720" w:hanging="720"/>
        <w:rPr>
          <w:rFonts w:cs="Times New Roman"/>
        </w:rPr>
      </w:pPr>
      <w:proofErr w:type="spellStart"/>
      <w:r w:rsidRPr="002018AC">
        <w:rPr>
          <w:rFonts w:cs="Times New Roman"/>
        </w:rPr>
        <w:t>Nunden</w:t>
      </w:r>
      <w:proofErr w:type="spellEnd"/>
      <w:r w:rsidRPr="002018AC">
        <w:rPr>
          <w:rFonts w:cs="Times New Roman"/>
        </w:rPr>
        <w:t xml:space="preserve">, N., </w:t>
      </w:r>
      <w:proofErr w:type="spellStart"/>
      <w:r w:rsidRPr="002018AC">
        <w:rPr>
          <w:rFonts w:cs="Times New Roman"/>
        </w:rPr>
        <w:t>Abbana</w:t>
      </w:r>
      <w:proofErr w:type="spellEnd"/>
      <w:r w:rsidRPr="002018AC">
        <w:rPr>
          <w:rFonts w:cs="Times New Roman"/>
        </w:rPr>
        <w:t xml:space="preserve">, S., </w:t>
      </w:r>
      <w:proofErr w:type="spellStart"/>
      <w:r w:rsidRPr="002018AC">
        <w:rPr>
          <w:rFonts w:cs="Times New Roman"/>
        </w:rPr>
        <w:t>Marimuthu</w:t>
      </w:r>
      <w:proofErr w:type="spellEnd"/>
      <w:r w:rsidRPr="002018AC">
        <w:rPr>
          <w:rFonts w:cs="Times New Roman"/>
        </w:rPr>
        <w:t xml:space="preserve">, F. and </w:t>
      </w:r>
      <w:proofErr w:type="spellStart"/>
      <w:r w:rsidRPr="002018AC">
        <w:rPr>
          <w:rFonts w:cs="Times New Roman"/>
        </w:rPr>
        <w:t>Sentoo</w:t>
      </w:r>
      <w:proofErr w:type="spellEnd"/>
      <w:r w:rsidRPr="002018AC">
        <w:rPr>
          <w:rFonts w:cs="Times New Roman"/>
        </w:rPr>
        <w:t>, N., 2022. An assessment of management skills on capital budgeting planning and practices: evidence from the small and medium enterprise sector. </w:t>
      </w:r>
      <w:r w:rsidRPr="002018AC">
        <w:rPr>
          <w:rFonts w:cs="Times New Roman"/>
          <w:i/>
          <w:iCs/>
        </w:rPr>
        <w:t>Cogent Business &amp; Management</w:t>
      </w:r>
      <w:r w:rsidRPr="002018AC">
        <w:rPr>
          <w:rFonts w:cs="Times New Roman"/>
        </w:rPr>
        <w:t>, </w:t>
      </w:r>
      <w:r w:rsidRPr="002018AC">
        <w:rPr>
          <w:rFonts w:cs="Times New Roman"/>
          <w:i/>
          <w:iCs/>
        </w:rPr>
        <w:t>9</w:t>
      </w:r>
      <w:r w:rsidRPr="002018AC">
        <w:rPr>
          <w:rFonts w:cs="Times New Roman"/>
        </w:rPr>
        <w:t>(1), p.2136481.</w:t>
      </w:r>
    </w:p>
    <w:p w14:paraId="436EA8F6" w14:textId="77777777"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OECD (2025) </w:t>
      </w:r>
      <w:r w:rsidRPr="002018AC">
        <w:rPr>
          <w:rFonts w:cs="Times New Roman"/>
          <w:i/>
          <w:iCs/>
          <w:lang w:val="en-AU"/>
        </w:rPr>
        <w:t>Financing SMEs and Entrepreneurs Scoreboard: 2025 Highlights</w:t>
      </w:r>
      <w:r w:rsidRPr="002018AC">
        <w:rPr>
          <w:rFonts w:cs="Times New Roman"/>
          <w:lang w:val="en-AU"/>
        </w:rPr>
        <w:t>. OECD SME and Entrepreneurship Papers. https://www.oecd.org/en/publications/oecd-financing-smes-and-entrepreneurs-scoreboard-2025-highlights_64c9063c-en.html</w:t>
      </w:r>
    </w:p>
    <w:p w14:paraId="0754B253" w14:textId="77777777"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Ofcom</w:t>
      </w:r>
      <w:proofErr w:type="spellEnd"/>
      <w:r w:rsidRPr="002018AC">
        <w:rPr>
          <w:rFonts w:cs="Times New Roman"/>
          <w:lang w:val="en-AU"/>
        </w:rPr>
        <w:t xml:space="preserve"> (2025) </w:t>
      </w:r>
      <w:r w:rsidRPr="002018AC">
        <w:rPr>
          <w:rFonts w:cs="Times New Roman"/>
          <w:i/>
          <w:iCs/>
          <w:lang w:val="en-AU"/>
        </w:rPr>
        <w:t>The Communications Market 2025</w:t>
      </w:r>
      <w:r w:rsidRPr="002018AC">
        <w:rPr>
          <w:rFonts w:cs="Times New Roman"/>
          <w:lang w:val="en-AU"/>
        </w:rPr>
        <w:t xml:space="preserve">. </w:t>
      </w:r>
      <w:hyperlink r:id="rId14" w:history="1">
        <w:r w:rsidRPr="002018AC">
          <w:rPr>
            <w:rStyle w:val="Hyperlink"/>
            <w:rFonts w:cs="Times New Roman"/>
            <w:lang w:val="en-AU"/>
          </w:rPr>
          <w:t>https://www.ofcom.org.uk/phones-and-broadband/service-quality/the-communications-market-2025</w:t>
        </w:r>
      </w:hyperlink>
    </w:p>
    <w:p w14:paraId="5749BC2B" w14:textId="74CFDF80"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Peng, C., </w:t>
      </w:r>
      <w:proofErr w:type="spellStart"/>
      <w:r w:rsidRPr="002018AC">
        <w:rPr>
          <w:rFonts w:cs="Times New Roman"/>
          <w:lang w:val="en-AU"/>
        </w:rPr>
        <w:t>Bijmolt</w:t>
      </w:r>
      <w:proofErr w:type="spellEnd"/>
      <w:r w:rsidRPr="002018AC">
        <w:rPr>
          <w:rFonts w:cs="Times New Roman"/>
          <w:lang w:val="en-AU"/>
        </w:rPr>
        <w:t xml:space="preserve">, T.H.A., </w:t>
      </w:r>
      <w:proofErr w:type="spellStart"/>
      <w:r w:rsidRPr="002018AC">
        <w:rPr>
          <w:rFonts w:cs="Times New Roman"/>
          <w:lang w:val="en-AU"/>
        </w:rPr>
        <w:t>Völckner</w:t>
      </w:r>
      <w:proofErr w:type="spellEnd"/>
      <w:r w:rsidRPr="002018AC">
        <w:rPr>
          <w:rFonts w:cs="Times New Roman"/>
          <w:lang w:val="en-AU"/>
        </w:rPr>
        <w:t>, F. and Zhao, H. (2023) ‘A meta-analysis of brand extension success: The effects of parent brand equity and extension fit’, Journal of Marketing, 87(6), pp. 906–927.</w:t>
      </w:r>
    </w:p>
    <w:p w14:paraId="42C4A94B" w14:textId="77777777" w:rsidR="00035D8B" w:rsidRPr="002018AC" w:rsidRDefault="00035D8B" w:rsidP="00461154">
      <w:pPr>
        <w:spacing w:line="276" w:lineRule="auto"/>
        <w:ind w:left="720" w:hanging="720"/>
        <w:rPr>
          <w:rFonts w:cs="Times New Roman"/>
        </w:rPr>
      </w:pPr>
      <w:proofErr w:type="spellStart"/>
      <w:r w:rsidRPr="002018AC">
        <w:rPr>
          <w:rFonts w:cs="Times New Roman"/>
        </w:rPr>
        <w:lastRenderedPageBreak/>
        <w:t>Purnamasari</w:t>
      </w:r>
      <w:proofErr w:type="spellEnd"/>
      <w:r w:rsidRPr="002018AC">
        <w:rPr>
          <w:rFonts w:cs="Times New Roman"/>
        </w:rPr>
        <w:t xml:space="preserve">, P. and </w:t>
      </w:r>
      <w:proofErr w:type="spellStart"/>
      <w:r w:rsidRPr="002018AC">
        <w:rPr>
          <w:rFonts w:cs="Times New Roman"/>
        </w:rPr>
        <w:t>Adriza</w:t>
      </w:r>
      <w:proofErr w:type="spellEnd"/>
      <w:r w:rsidRPr="002018AC">
        <w:rPr>
          <w:rFonts w:cs="Times New Roman"/>
        </w:rPr>
        <w:t>, 2024. Capital budgeting techniques and financial performance: a comparison between SMEs and large listed firms. </w:t>
      </w:r>
      <w:r w:rsidRPr="002018AC">
        <w:rPr>
          <w:rFonts w:cs="Times New Roman"/>
          <w:i/>
          <w:iCs/>
        </w:rPr>
        <w:t>Cogent Economics &amp; Finance</w:t>
      </w:r>
      <w:r w:rsidRPr="002018AC">
        <w:rPr>
          <w:rFonts w:cs="Times New Roman"/>
        </w:rPr>
        <w:t>, </w:t>
      </w:r>
      <w:r w:rsidRPr="002018AC">
        <w:rPr>
          <w:rFonts w:cs="Times New Roman"/>
          <w:i/>
          <w:iCs/>
        </w:rPr>
        <w:t>12</w:t>
      </w:r>
      <w:r w:rsidRPr="002018AC">
        <w:rPr>
          <w:rFonts w:cs="Times New Roman"/>
        </w:rPr>
        <w:t>(1), p.2404707.</w:t>
      </w:r>
    </w:p>
    <w:p w14:paraId="0D9F7CC3" w14:textId="77777777"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Ramlan</w:t>
      </w:r>
      <w:proofErr w:type="spellEnd"/>
      <w:r w:rsidRPr="002018AC">
        <w:rPr>
          <w:rFonts w:cs="Times New Roman"/>
          <w:lang w:val="en-AU"/>
        </w:rPr>
        <w:t xml:space="preserve">, H. and Wan </w:t>
      </w:r>
      <w:proofErr w:type="spellStart"/>
      <w:r w:rsidRPr="002018AC">
        <w:rPr>
          <w:rFonts w:cs="Times New Roman"/>
          <w:lang w:val="en-AU"/>
        </w:rPr>
        <w:t>Hasbollah</w:t>
      </w:r>
      <w:proofErr w:type="spellEnd"/>
      <w:r w:rsidRPr="002018AC">
        <w:rPr>
          <w:rFonts w:cs="Times New Roman"/>
          <w:lang w:val="en-AU"/>
        </w:rPr>
        <w:t>, W.F. (2021) ‘The impact of capital structure on firms’ performance in telecommunication and media sector listed on Bursa Malaysia’, Global Business and Management Research: An International Journal, 13(4s), pp. 596–603.</w:t>
      </w:r>
    </w:p>
    <w:p w14:paraId="3A820880" w14:textId="77777777" w:rsidR="00035D8B" w:rsidRPr="002018AC" w:rsidRDefault="00035D8B" w:rsidP="00461154">
      <w:pPr>
        <w:spacing w:line="276" w:lineRule="auto"/>
        <w:ind w:left="720" w:hanging="720"/>
        <w:rPr>
          <w:rFonts w:cs="Times New Roman"/>
        </w:rPr>
      </w:pPr>
      <w:r w:rsidRPr="002018AC">
        <w:rPr>
          <w:rFonts w:cs="Times New Roman"/>
        </w:rPr>
        <w:t xml:space="preserve">Ricca, L.T., </w:t>
      </w:r>
      <w:proofErr w:type="spellStart"/>
      <w:r w:rsidRPr="002018AC">
        <w:rPr>
          <w:rFonts w:cs="Times New Roman"/>
        </w:rPr>
        <w:t>Jucá</w:t>
      </w:r>
      <w:proofErr w:type="spellEnd"/>
      <w:r w:rsidRPr="002018AC">
        <w:rPr>
          <w:rFonts w:cs="Times New Roman"/>
        </w:rPr>
        <w:t>, M.N. and Junior, E.H., 2021. Tax benefit and bankruptcy cost of debt. </w:t>
      </w:r>
      <w:r w:rsidRPr="002018AC">
        <w:rPr>
          <w:rFonts w:cs="Times New Roman"/>
          <w:i/>
          <w:iCs/>
        </w:rPr>
        <w:t>The Quarterly Review of Economics and Finance</w:t>
      </w:r>
      <w:r w:rsidRPr="002018AC">
        <w:rPr>
          <w:rFonts w:cs="Times New Roman"/>
        </w:rPr>
        <w:t>, </w:t>
      </w:r>
      <w:r w:rsidRPr="002018AC">
        <w:rPr>
          <w:rFonts w:cs="Times New Roman"/>
          <w:i/>
          <w:iCs/>
        </w:rPr>
        <w:t>81</w:t>
      </w:r>
      <w:r w:rsidRPr="002018AC">
        <w:rPr>
          <w:rFonts w:cs="Times New Roman"/>
        </w:rPr>
        <w:t>, pp.82-92.</w:t>
      </w:r>
    </w:p>
    <w:p w14:paraId="298CF12A" w14:textId="65BE1F91"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Santos, A.M., </w:t>
      </w:r>
      <w:proofErr w:type="spellStart"/>
      <w:r w:rsidRPr="002018AC">
        <w:rPr>
          <w:rFonts w:cs="Times New Roman"/>
          <w:lang w:val="en-AU"/>
        </w:rPr>
        <w:t>Cincera</w:t>
      </w:r>
      <w:proofErr w:type="spellEnd"/>
      <w:r w:rsidRPr="002018AC">
        <w:rPr>
          <w:rFonts w:cs="Times New Roman"/>
          <w:lang w:val="en-AU"/>
        </w:rPr>
        <w:t xml:space="preserve">, M. and </w:t>
      </w:r>
      <w:proofErr w:type="spellStart"/>
      <w:r w:rsidRPr="002018AC">
        <w:rPr>
          <w:rFonts w:cs="Times New Roman"/>
          <w:lang w:val="en-AU"/>
        </w:rPr>
        <w:t>Cerulli</w:t>
      </w:r>
      <w:proofErr w:type="spellEnd"/>
      <w:r w:rsidRPr="002018AC">
        <w:rPr>
          <w:rFonts w:cs="Times New Roman"/>
          <w:lang w:val="en-AU"/>
        </w:rPr>
        <w:t xml:space="preserve">, G. (2024) ‘Sources of financing: Which ones are more effective in innovation–growth linkage?’, Economic Systems, 48(2), 101177. </w:t>
      </w:r>
    </w:p>
    <w:p w14:paraId="1F0CA9DB" w14:textId="234CCD02" w:rsidR="00035D8B" w:rsidRPr="002018AC" w:rsidRDefault="00035D8B" w:rsidP="00461154">
      <w:pPr>
        <w:spacing w:line="276" w:lineRule="auto"/>
        <w:ind w:left="720" w:hanging="720"/>
        <w:rPr>
          <w:rFonts w:cs="Times New Roman"/>
          <w:lang w:val="en-AU"/>
        </w:rPr>
      </w:pPr>
      <w:proofErr w:type="spellStart"/>
      <w:r w:rsidRPr="002018AC">
        <w:rPr>
          <w:rFonts w:cs="Times New Roman"/>
        </w:rPr>
        <w:t>Seretidou</w:t>
      </w:r>
      <w:proofErr w:type="spellEnd"/>
      <w:r w:rsidRPr="002018AC">
        <w:rPr>
          <w:rFonts w:cs="Times New Roman"/>
        </w:rPr>
        <w:t xml:space="preserve">, D., </w:t>
      </w:r>
      <w:proofErr w:type="spellStart"/>
      <w:r w:rsidRPr="002018AC">
        <w:rPr>
          <w:rFonts w:cs="Times New Roman"/>
        </w:rPr>
        <w:t>Billios</w:t>
      </w:r>
      <w:proofErr w:type="spellEnd"/>
      <w:r w:rsidRPr="002018AC">
        <w:rPr>
          <w:rFonts w:cs="Times New Roman"/>
        </w:rPr>
        <w:t>, D. and Stavropoulos, A. (2025) Integrative analysis of traditional and cash flow financial ratios: Insights from a systematic comparative review. </w:t>
      </w:r>
      <w:r w:rsidRPr="002018AC">
        <w:rPr>
          <w:rFonts w:cs="Times New Roman"/>
          <w:i/>
          <w:iCs/>
        </w:rPr>
        <w:t>Risks</w:t>
      </w:r>
      <w:r w:rsidRPr="002018AC">
        <w:rPr>
          <w:rFonts w:cs="Times New Roman"/>
        </w:rPr>
        <w:t>, </w:t>
      </w:r>
      <w:r w:rsidRPr="002018AC">
        <w:rPr>
          <w:rFonts w:cs="Times New Roman"/>
          <w:i/>
          <w:iCs/>
        </w:rPr>
        <w:t>13</w:t>
      </w:r>
      <w:r w:rsidRPr="002018AC">
        <w:rPr>
          <w:rFonts w:cs="Times New Roman"/>
        </w:rPr>
        <w:t>(4), p.62.</w:t>
      </w:r>
    </w:p>
    <w:p w14:paraId="43DD08FB" w14:textId="49CDF76F" w:rsidR="00035D8B" w:rsidRPr="002018AC" w:rsidRDefault="00035D8B" w:rsidP="00461154">
      <w:pPr>
        <w:spacing w:line="276" w:lineRule="auto"/>
        <w:ind w:left="720" w:hanging="720"/>
        <w:rPr>
          <w:rFonts w:cs="Times New Roman"/>
          <w:lang w:val="en-AU"/>
        </w:rPr>
      </w:pPr>
      <w:proofErr w:type="spellStart"/>
      <w:r w:rsidRPr="002018AC">
        <w:rPr>
          <w:rFonts w:cs="Times New Roman"/>
          <w:lang w:val="en-AU"/>
        </w:rPr>
        <w:t>Sezen</w:t>
      </w:r>
      <w:proofErr w:type="spellEnd"/>
      <w:r w:rsidRPr="002018AC">
        <w:rPr>
          <w:rFonts w:cs="Times New Roman"/>
          <w:lang w:val="en-AU"/>
        </w:rPr>
        <w:t xml:space="preserve">, B., Pauwels, K. and Ataman, B. (2024) ‘How do line extensions impact brand sales? The role of feature similarity and brand architecture’, Journal of Marketing Analytics, 12(3), pp. 537–550. </w:t>
      </w:r>
    </w:p>
    <w:p w14:paraId="11AE5788" w14:textId="77777777" w:rsidR="00035D8B" w:rsidRPr="002018AC" w:rsidRDefault="00035D8B" w:rsidP="00461154">
      <w:pPr>
        <w:spacing w:line="276" w:lineRule="auto"/>
        <w:ind w:left="720" w:hanging="720"/>
        <w:rPr>
          <w:rFonts w:cs="Times New Roman"/>
        </w:rPr>
      </w:pPr>
      <w:proofErr w:type="spellStart"/>
      <w:r w:rsidRPr="002018AC">
        <w:rPr>
          <w:rFonts w:cs="Times New Roman"/>
        </w:rPr>
        <w:t>Shaheen</w:t>
      </w:r>
      <w:proofErr w:type="spellEnd"/>
      <w:r w:rsidRPr="002018AC">
        <w:rPr>
          <w:rFonts w:cs="Times New Roman"/>
        </w:rPr>
        <w:t xml:space="preserve">, W.A., Saleem, T., </w:t>
      </w:r>
      <w:proofErr w:type="spellStart"/>
      <w:r w:rsidRPr="002018AC">
        <w:rPr>
          <w:rFonts w:cs="Times New Roman"/>
        </w:rPr>
        <w:t>Shafi</w:t>
      </w:r>
      <w:proofErr w:type="spellEnd"/>
      <w:r w:rsidRPr="002018AC">
        <w:rPr>
          <w:rFonts w:cs="Times New Roman"/>
        </w:rPr>
        <w:t>, N. and Ullah, U., 2024. Systematic Literature Review on Capital Budgeting Techniques. </w:t>
      </w:r>
      <w:r w:rsidRPr="002018AC">
        <w:rPr>
          <w:rFonts w:cs="Times New Roman"/>
          <w:i/>
          <w:iCs/>
        </w:rPr>
        <w:t>UCP Journal of Business Perspectives</w:t>
      </w:r>
      <w:r w:rsidRPr="002018AC">
        <w:rPr>
          <w:rFonts w:cs="Times New Roman"/>
        </w:rPr>
        <w:t>, </w:t>
      </w:r>
      <w:r w:rsidRPr="002018AC">
        <w:rPr>
          <w:rFonts w:cs="Times New Roman"/>
          <w:i/>
          <w:iCs/>
        </w:rPr>
        <w:t>2</w:t>
      </w:r>
      <w:r w:rsidRPr="002018AC">
        <w:rPr>
          <w:rFonts w:cs="Times New Roman"/>
        </w:rPr>
        <w:t>(2), pp.17-29.</w:t>
      </w:r>
    </w:p>
    <w:p w14:paraId="6860C7C8" w14:textId="77777777"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Shin, H.H. and </w:t>
      </w:r>
      <w:proofErr w:type="spellStart"/>
      <w:r w:rsidRPr="002018AC">
        <w:rPr>
          <w:rFonts w:cs="Times New Roman"/>
          <w:lang w:val="en-AU"/>
        </w:rPr>
        <w:t>Soenen</w:t>
      </w:r>
      <w:proofErr w:type="spellEnd"/>
      <w:r w:rsidRPr="002018AC">
        <w:rPr>
          <w:rFonts w:cs="Times New Roman"/>
          <w:lang w:val="en-AU"/>
        </w:rPr>
        <w:t>, L. (1998) ‘Efficiency of working capital management and corporate profitability’, Financial Practice and Education, 8(2), pp. 37–45.</w:t>
      </w:r>
    </w:p>
    <w:p w14:paraId="63DD3984" w14:textId="77777777" w:rsidR="00035D8B" w:rsidRPr="002018AC" w:rsidRDefault="00035D8B" w:rsidP="00461154">
      <w:pPr>
        <w:spacing w:line="276" w:lineRule="auto"/>
        <w:ind w:left="720" w:hanging="720"/>
        <w:rPr>
          <w:rFonts w:cs="Times New Roman"/>
        </w:rPr>
      </w:pPr>
      <w:proofErr w:type="spellStart"/>
      <w:r w:rsidRPr="002018AC">
        <w:rPr>
          <w:rFonts w:cs="Times New Roman"/>
        </w:rPr>
        <w:t>Siziba</w:t>
      </w:r>
      <w:proofErr w:type="spellEnd"/>
      <w:r w:rsidRPr="002018AC">
        <w:rPr>
          <w:rFonts w:cs="Times New Roman"/>
        </w:rPr>
        <w:t>, S. and Hall, J.H., 2021. The evolution of the application of capital budgeting techniques in enterprises. </w:t>
      </w:r>
      <w:r w:rsidRPr="002018AC">
        <w:rPr>
          <w:rFonts w:cs="Times New Roman"/>
          <w:i/>
          <w:iCs/>
        </w:rPr>
        <w:t>Global finance journal</w:t>
      </w:r>
      <w:r w:rsidRPr="002018AC">
        <w:rPr>
          <w:rFonts w:cs="Times New Roman"/>
        </w:rPr>
        <w:t>, </w:t>
      </w:r>
      <w:r w:rsidRPr="002018AC">
        <w:rPr>
          <w:rFonts w:cs="Times New Roman"/>
          <w:i/>
          <w:iCs/>
        </w:rPr>
        <w:t>47</w:t>
      </w:r>
      <w:r w:rsidRPr="002018AC">
        <w:rPr>
          <w:rFonts w:cs="Times New Roman"/>
        </w:rPr>
        <w:t>, p.100504.</w:t>
      </w:r>
    </w:p>
    <w:p w14:paraId="38F47271" w14:textId="77777777" w:rsidR="00035D8B" w:rsidRPr="002018AC" w:rsidRDefault="00035D8B" w:rsidP="00461154">
      <w:pPr>
        <w:spacing w:line="276" w:lineRule="auto"/>
        <w:ind w:left="720" w:hanging="720"/>
        <w:rPr>
          <w:rFonts w:cs="Times New Roman"/>
        </w:rPr>
      </w:pPr>
      <w:r w:rsidRPr="002018AC">
        <w:rPr>
          <w:rFonts w:cs="Times New Roman"/>
        </w:rPr>
        <w:t xml:space="preserve">Sokolov, M.V., 2024. </w:t>
      </w:r>
      <w:proofErr w:type="spellStart"/>
      <w:r w:rsidRPr="002018AC">
        <w:rPr>
          <w:rFonts w:cs="Times New Roman"/>
        </w:rPr>
        <w:t>Npv</w:t>
      </w:r>
      <w:proofErr w:type="spellEnd"/>
      <w:r w:rsidRPr="002018AC">
        <w:rPr>
          <w:rFonts w:cs="Times New Roman"/>
        </w:rPr>
        <w:t xml:space="preserve">, </w:t>
      </w:r>
      <w:proofErr w:type="spellStart"/>
      <w:r w:rsidRPr="002018AC">
        <w:rPr>
          <w:rFonts w:cs="Times New Roman"/>
        </w:rPr>
        <w:t>irr</w:t>
      </w:r>
      <w:proofErr w:type="spellEnd"/>
      <w:r w:rsidRPr="002018AC">
        <w:rPr>
          <w:rFonts w:cs="Times New Roman"/>
        </w:rPr>
        <w:t xml:space="preserve">, pi, pp, and </w:t>
      </w:r>
      <w:proofErr w:type="spellStart"/>
      <w:r w:rsidRPr="002018AC">
        <w:rPr>
          <w:rFonts w:cs="Times New Roman"/>
        </w:rPr>
        <w:t>dpp</w:t>
      </w:r>
      <w:proofErr w:type="spellEnd"/>
      <w:r w:rsidRPr="002018AC">
        <w:rPr>
          <w:rFonts w:cs="Times New Roman"/>
        </w:rPr>
        <w:t>: a unified view. </w:t>
      </w:r>
      <w:r w:rsidRPr="002018AC">
        <w:rPr>
          <w:rFonts w:cs="Times New Roman"/>
          <w:i/>
          <w:iCs/>
        </w:rPr>
        <w:t>Journal of Mathematical Economics</w:t>
      </w:r>
      <w:r w:rsidRPr="002018AC">
        <w:rPr>
          <w:rFonts w:cs="Times New Roman"/>
        </w:rPr>
        <w:t>, </w:t>
      </w:r>
      <w:r w:rsidRPr="002018AC">
        <w:rPr>
          <w:rFonts w:cs="Times New Roman"/>
          <w:i/>
          <w:iCs/>
        </w:rPr>
        <w:t>114</w:t>
      </w:r>
      <w:r w:rsidRPr="002018AC">
        <w:rPr>
          <w:rFonts w:cs="Times New Roman"/>
        </w:rPr>
        <w:t>, p.102992.</w:t>
      </w:r>
    </w:p>
    <w:p w14:paraId="14D72BB3" w14:textId="5ED40C42"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UK Finance (2025) </w:t>
      </w:r>
      <w:r w:rsidRPr="002018AC">
        <w:rPr>
          <w:rFonts w:cs="Times New Roman"/>
          <w:i/>
          <w:iCs/>
          <w:lang w:val="en-AU"/>
        </w:rPr>
        <w:t>Business Finance Review 2025 Q1</w:t>
      </w:r>
      <w:r w:rsidRPr="002018AC">
        <w:rPr>
          <w:rFonts w:cs="Times New Roman"/>
          <w:lang w:val="en-AU"/>
        </w:rPr>
        <w:t xml:space="preserve">. UK Finance. </w:t>
      </w:r>
      <w:hyperlink r:id="rId15" w:history="1">
        <w:r w:rsidR="00461154" w:rsidRPr="009779A1">
          <w:rPr>
            <w:rStyle w:val="Hyperlink"/>
            <w:rFonts w:cs="Times New Roman"/>
            <w:lang w:val="en-AU"/>
          </w:rPr>
          <w:t>https://www.ukfinance.org.uk/system/files/2025-06/Business%20Finance%20Review%202025%20Q1.pdf</w:t>
        </w:r>
      </w:hyperlink>
      <w:r w:rsidR="00461154">
        <w:rPr>
          <w:rFonts w:cs="Times New Roman"/>
          <w:lang w:val="en-AU"/>
        </w:rPr>
        <w:t xml:space="preserve"> </w:t>
      </w:r>
    </w:p>
    <w:p w14:paraId="1DB432EB" w14:textId="77777777"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Vodafone Group plc (2025) </w:t>
      </w:r>
      <w:r w:rsidRPr="002018AC">
        <w:rPr>
          <w:rFonts w:cs="Times New Roman"/>
          <w:i/>
          <w:iCs/>
          <w:lang w:val="en-AU"/>
        </w:rPr>
        <w:t>Annual Report 2025</w:t>
      </w:r>
      <w:r w:rsidRPr="002018AC">
        <w:rPr>
          <w:rFonts w:cs="Times New Roman"/>
          <w:lang w:val="en-AU"/>
        </w:rPr>
        <w:t xml:space="preserve">. </w:t>
      </w:r>
      <w:hyperlink r:id="rId16" w:history="1">
        <w:r w:rsidRPr="002018AC">
          <w:rPr>
            <w:rStyle w:val="Hyperlink"/>
            <w:rFonts w:cs="Times New Roman"/>
            <w:lang w:val="en-AU"/>
          </w:rPr>
          <w:t>https://reports.investors.vodafone.com/view/897876789/</w:t>
        </w:r>
      </w:hyperlink>
      <w:r w:rsidRPr="002018AC">
        <w:rPr>
          <w:rFonts w:cs="Times New Roman"/>
          <w:lang w:val="en-AU"/>
        </w:rPr>
        <w:t xml:space="preserve"> </w:t>
      </w:r>
    </w:p>
    <w:p w14:paraId="25122063" w14:textId="21376CF0" w:rsidR="00035D8B" w:rsidRPr="002018AC" w:rsidRDefault="00035D8B" w:rsidP="00461154">
      <w:pPr>
        <w:spacing w:line="276" w:lineRule="auto"/>
        <w:ind w:left="720" w:hanging="720"/>
        <w:rPr>
          <w:rFonts w:cs="Times New Roman"/>
          <w:lang w:val="en-AU"/>
        </w:rPr>
      </w:pPr>
      <w:r w:rsidRPr="002018AC">
        <w:rPr>
          <w:rFonts w:cs="Times New Roman"/>
          <w:lang w:val="en-AU"/>
        </w:rPr>
        <w:t xml:space="preserve">Yang, C.-G., </w:t>
      </w:r>
      <w:proofErr w:type="spellStart"/>
      <w:r w:rsidRPr="002018AC">
        <w:rPr>
          <w:rFonts w:cs="Times New Roman"/>
          <w:lang w:val="en-AU"/>
        </w:rPr>
        <w:t>Trimi</w:t>
      </w:r>
      <w:proofErr w:type="spellEnd"/>
      <w:r w:rsidRPr="002018AC">
        <w:rPr>
          <w:rFonts w:cs="Times New Roman"/>
          <w:lang w:val="en-AU"/>
        </w:rPr>
        <w:t>, S. and Lee, S.-G. (2016) ‘Effects of telecom service providers’ strategic investments on business performance: A comparative study of US-Korea’, Industrial Management &amp; Data Systems, 116(5), pp. 960–977.</w:t>
      </w:r>
    </w:p>
    <w:p w14:paraId="516FF876" w14:textId="77777777" w:rsidR="001C195C" w:rsidRPr="002018AC" w:rsidRDefault="001C195C" w:rsidP="00695D8D">
      <w:pPr>
        <w:spacing w:after="0" w:line="276" w:lineRule="auto"/>
        <w:jc w:val="left"/>
        <w:rPr>
          <w:rFonts w:eastAsiaTheme="majorEastAsia" w:cs="Times New Roman"/>
          <w:b/>
          <w:color w:val="0F4761" w:themeColor="accent1" w:themeShade="BF"/>
          <w:sz w:val="40"/>
          <w:szCs w:val="40"/>
          <w:u w:val="single"/>
          <w:lang w:val="en-AU"/>
        </w:rPr>
      </w:pPr>
      <w:r w:rsidRPr="002018AC">
        <w:rPr>
          <w:rFonts w:cs="Times New Roman"/>
          <w:lang w:val="en-AU"/>
        </w:rPr>
        <w:br w:type="page"/>
      </w:r>
    </w:p>
    <w:p w14:paraId="6D97EC88" w14:textId="026E2C89" w:rsidR="00A77462" w:rsidRPr="002018AC" w:rsidRDefault="00A77462" w:rsidP="00695D8D">
      <w:pPr>
        <w:pStyle w:val="Heading1"/>
        <w:numPr>
          <w:ilvl w:val="0"/>
          <w:numId w:val="9"/>
        </w:numPr>
        <w:spacing w:line="276" w:lineRule="auto"/>
        <w:rPr>
          <w:rFonts w:cs="Times New Roman"/>
          <w:lang w:val="en-AU"/>
        </w:rPr>
      </w:pPr>
      <w:bookmarkStart w:id="37" w:name="_Toc227606851"/>
      <w:r w:rsidRPr="002018AC">
        <w:rPr>
          <w:rFonts w:cs="Times New Roman"/>
          <w:lang w:val="en-AU"/>
        </w:rPr>
        <w:lastRenderedPageBreak/>
        <w:t>Appendices</w:t>
      </w:r>
      <w:bookmarkEnd w:id="37"/>
    </w:p>
    <w:p w14:paraId="785A0541" w14:textId="6E6A2BED" w:rsidR="00A77462" w:rsidRPr="002018AC" w:rsidRDefault="001C195C" w:rsidP="00695D8D">
      <w:pPr>
        <w:pStyle w:val="Heading2"/>
        <w:numPr>
          <w:ilvl w:val="1"/>
          <w:numId w:val="9"/>
        </w:numPr>
        <w:spacing w:line="276" w:lineRule="auto"/>
        <w:rPr>
          <w:rFonts w:cs="Times New Roman"/>
        </w:rPr>
      </w:pPr>
      <w:bookmarkStart w:id="38" w:name="_Toc227606852"/>
      <w:r w:rsidRPr="002018AC">
        <w:rPr>
          <w:rFonts w:cs="Times New Roman"/>
        </w:rPr>
        <w:t>Appendix A</w:t>
      </w:r>
      <w:bookmarkEnd w:id="38"/>
    </w:p>
    <w:p w14:paraId="30888587" w14:textId="77777777" w:rsidR="00A77462" w:rsidRPr="002018AC" w:rsidRDefault="00A77462" w:rsidP="00695D8D">
      <w:pPr>
        <w:spacing w:line="276" w:lineRule="auto"/>
        <w:rPr>
          <w:rFonts w:cs="Times New Roman"/>
          <w:b/>
          <w:bCs/>
          <w:lang w:val="en-AU"/>
        </w:rPr>
      </w:pPr>
      <w:r w:rsidRPr="002018AC">
        <w:rPr>
          <w:rFonts w:cs="Times New Roman"/>
          <w:lang w:val="en-AU"/>
        </w:rPr>
        <w:t xml:space="preserve">Appendix A1: </w:t>
      </w:r>
      <w:r w:rsidRPr="002018AC">
        <w:rPr>
          <w:rFonts w:cs="Times New Roman"/>
          <w:b/>
          <w:bCs/>
          <w:lang w:val="en-AU"/>
        </w:rPr>
        <w:t xml:space="preserve">Revenue and operating profit </w:t>
      </w:r>
    </w:p>
    <w:p w14:paraId="007749B7" w14:textId="77777777" w:rsidR="00A77462" w:rsidRPr="002018AC" w:rsidRDefault="00A77462" w:rsidP="00695D8D">
      <w:pPr>
        <w:spacing w:line="276" w:lineRule="auto"/>
        <w:rPr>
          <w:rFonts w:cs="Times New Roman"/>
          <w:lang w:val="en-AU"/>
        </w:rPr>
      </w:pPr>
      <w:r w:rsidRPr="002018AC">
        <w:rPr>
          <w:rFonts w:cs="Times New Roman"/>
          <w:noProof/>
          <w:lang w:val="en-US"/>
        </w:rPr>
        <w:drawing>
          <wp:inline distT="0" distB="0" distL="0" distR="0" wp14:anchorId="29141C75" wp14:editId="048A9712">
            <wp:extent cx="6096884" cy="3346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4597" cy="3356172"/>
                    </a:xfrm>
                    <a:prstGeom prst="rect">
                      <a:avLst/>
                    </a:prstGeom>
                    <a:noFill/>
                    <a:ln>
                      <a:noFill/>
                    </a:ln>
                  </pic:spPr>
                </pic:pic>
              </a:graphicData>
            </a:graphic>
          </wp:inline>
        </w:drawing>
      </w:r>
    </w:p>
    <w:p w14:paraId="7B539166" w14:textId="77777777" w:rsidR="00A77462" w:rsidRPr="002018AC" w:rsidRDefault="00A77462" w:rsidP="00695D8D">
      <w:pPr>
        <w:spacing w:line="276" w:lineRule="auto"/>
        <w:rPr>
          <w:rFonts w:cs="Times New Roman"/>
          <w:b/>
          <w:bCs/>
          <w:lang w:val="en-AU"/>
        </w:rPr>
      </w:pPr>
      <w:r w:rsidRPr="002018AC">
        <w:rPr>
          <w:rFonts w:cs="Times New Roman"/>
          <w:lang w:val="en-AU"/>
        </w:rPr>
        <w:t xml:space="preserve">Appendix A2: </w:t>
      </w:r>
      <w:r w:rsidRPr="002018AC">
        <w:rPr>
          <w:rFonts w:cs="Times New Roman"/>
          <w:b/>
          <w:bCs/>
          <w:lang w:val="en-AU"/>
        </w:rPr>
        <w:t xml:space="preserve">The TALCL and liquidity denominators </w:t>
      </w:r>
    </w:p>
    <w:p w14:paraId="4FFDDE6E" w14:textId="77777777" w:rsidR="00A77462" w:rsidRPr="002018AC" w:rsidRDefault="00A77462" w:rsidP="00695D8D">
      <w:pPr>
        <w:spacing w:line="276" w:lineRule="auto"/>
        <w:rPr>
          <w:rFonts w:cs="Times New Roman"/>
          <w:lang w:val="en-AU"/>
        </w:rPr>
      </w:pPr>
      <w:r w:rsidRPr="002018AC">
        <w:rPr>
          <w:rFonts w:cs="Times New Roman"/>
          <w:noProof/>
          <w:lang w:val="en-US"/>
        </w:rPr>
        <w:lastRenderedPageBreak/>
        <w:drawing>
          <wp:inline distT="0" distB="0" distL="0" distR="0" wp14:anchorId="70882CCA" wp14:editId="6BD89A92">
            <wp:extent cx="6103870" cy="40665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8786" cy="4076477"/>
                    </a:xfrm>
                    <a:prstGeom prst="rect">
                      <a:avLst/>
                    </a:prstGeom>
                    <a:noFill/>
                    <a:ln>
                      <a:noFill/>
                    </a:ln>
                  </pic:spPr>
                </pic:pic>
              </a:graphicData>
            </a:graphic>
          </wp:inline>
        </w:drawing>
      </w:r>
    </w:p>
    <w:p w14:paraId="594B0863" w14:textId="77777777" w:rsidR="00A77462" w:rsidRPr="002018AC" w:rsidRDefault="00A77462" w:rsidP="00695D8D">
      <w:pPr>
        <w:spacing w:line="276" w:lineRule="auto"/>
        <w:rPr>
          <w:rFonts w:cs="Times New Roman"/>
          <w:b/>
          <w:bCs/>
          <w:lang w:val="en-AU"/>
        </w:rPr>
      </w:pPr>
      <w:r w:rsidRPr="002018AC">
        <w:rPr>
          <w:rFonts w:cs="Times New Roman"/>
          <w:lang w:val="en-AU"/>
        </w:rPr>
        <w:t xml:space="preserve">Appendix A3: </w:t>
      </w:r>
      <w:r w:rsidRPr="002018AC">
        <w:rPr>
          <w:rFonts w:cs="Times New Roman"/>
          <w:b/>
          <w:bCs/>
          <w:lang w:val="en-AU"/>
        </w:rPr>
        <w:t xml:space="preserve">FY2024 held-for-sale balances </w:t>
      </w:r>
    </w:p>
    <w:p w14:paraId="2E8DA36B" w14:textId="77777777" w:rsidR="00A77462" w:rsidRPr="002018AC" w:rsidRDefault="00A77462" w:rsidP="00695D8D">
      <w:pPr>
        <w:spacing w:line="276" w:lineRule="auto"/>
        <w:rPr>
          <w:rFonts w:cs="Times New Roman"/>
          <w:lang w:val="en-AU"/>
        </w:rPr>
      </w:pPr>
      <w:r w:rsidRPr="002018AC">
        <w:rPr>
          <w:rFonts w:cs="Times New Roman"/>
          <w:noProof/>
          <w:lang w:val="en-US"/>
        </w:rPr>
        <w:lastRenderedPageBreak/>
        <w:drawing>
          <wp:inline distT="0" distB="0" distL="0" distR="0" wp14:anchorId="1E4C0022" wp14:editId="6661627B">
            <wp:extent cx="5935980" cy="6449695"/>
            <wp:effectExtent l="0" t="0" r="762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5980" cy="6449695"/>
                    </a:xfrm>
                    <a:prstGeom prst="rect">
                      <a:avLst/>
                    </a:prstGeom>
                    <a:noFill/>
                    <a:ln>
                      <a:noFill/>
                    </a:ln>
                  </pic:spPr>
                </pic:pic>
              </a:graphicData>
            </a:graphic>
          </wp:inline>
        </w:drawing>
      </w:r>
    </w:p>
    <w:p w14:paraId="0AC31777" w14:textId="77777777" w:rsidR="00A77462" w:rsidRPr="002018AC" w:rsidRDefault="00A77462" w:rsidP="00695D8D">
      <w:pPr>
        <w:spacing w:line="276" w:lineRule="auto"/>
        <w:rPr>
          <w:rFonts w:cs="Times New Roman"/>
          <w:b/>
          <w:bCs/>
          <w:lang w:val="en-AU"/>
        </w:rPr>
      </w:pPr>
      <w:r w:rsidRPr="002018AC">
        <w:rPr>
          <w:rFonts w:cs="Times New Roman"/>
          <w:lang w:val="en-AU"/>
        </w:rPr>
        <w:t xml:space="preserve">Appendix A4: </w:t>
      </w:r>
      <w:proofErr w:type="gramStart"/>
      <w:r w:rsidRPr="002018AC">
        <w:rPr>
          <w:rFonts w:cs="Times New Roman"/>
          <w:b/>
          <w:bCs/>
          <w:lang w:val="en-AU"/>
        </w:rPr>
        <w:t>Debtors</w:t>
      </w:r>
      <w:proofErr w:type="gramEnd"/>
      <w:r w:rsidRPr="002018AC">
        <w:rPr>
          <w:rFonts w:cs="Times New Roman"/>
          <w:b/>
          <w:bCs/>
          <w:lang w:val="en-AU"/>
        </w:rPr>
        <w:t xml:space="preserve"> days use trade receivables </w:t>
      </w:r>
    </w:p>
    <w:p w14:paraId="7967F0AA" w14:textId="77777777" w:rsidR="00A77462" w:rsidRPr="002018AC" w:rsidRDefault="00A77462" w:rsidP="00695D8D">
      <w:pPr>
        <w:spacing w:line="276" w:lineRule="auto"/>
        <w:rPr>
          <w:rFonts w:cs="Times New Roman"/>
          <w:lang w:val="en-AU"/>
        </w:rPr>
      </w:pPr>
      <w:r w:rsidRPr="002018AC">
        <w:rPr>
          <w:rFonts w:cs="Times New Roman"/>
          <w:noProof/>
          <w:lang w:val="en-US"/>
        </w:rPr>
        <w:lastRenderedPageBreak/>
        <w:drawing>
          <wp:inline distT="0" distB="0" distL="0" distR="0" wp14:anchorId="7E9BC5B4" wp14:editId="72302AC1">
            <wp:extent cx="6106160" cy="36269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7995" cy="3657768"/>
                    </a:xfrm>
                    <a:prstGeom prst="rect">
                      <a:avLst/>
                    </a:prstGeom>
                    <a:noFill/>
                    <a:ln>
                      <a:noFill/>
                    </a:ln>
                  </pic:spPr>
                </pic:pic>
              </a:graphicData>
            </a:graphic>
          </wp:inline>
        </w:drawing>
      </w:r>
    </w:p>
    <w:p w14:paraId="2388B20E" w14:textId="77777777" w:rsidR="00A77462" w:rsidRPr="002018AC" w:rsidRDefault="00A77462" w:rsidP="00695D8D">
      <w:pPr>
        <w:spacing w:line="276" w:lineRule="auto"/>
        <w:rPr>
          <w:rFonts w:cs="Times New Roman"/>
          <w:b/>
          <w:bCs/>
          <w:lang w:val="en-AU"/>
        </w:rPr>
      </w:pPr>
      <w:r w:rsidRPr="002018AC">
        <w:rPr>
          <w:rFonts w:cs="Times New Roman"/>
          <w:lang w:val="en-AU"/>
        </w:rPr>
        <w:t xml:space="preserve">Appendix A5: </w:t>
      </w:r>
      <w:r w:rsidRPr="002018AC">
        <w:rPr>
          <w:rFonts w:cs="Times New Roman"/>
          <w:b/>
          <w:bCs/>
          <w:lang w:val="en-AU"/>
        </w:rPr>
        <w:t xml:space="preserve">Creditor days use trade payables </w:t>
      </w:r>
    </w:p>
    <w:p w14:paraId="4E238625" w14:textId="77777777" w:rsidR="00A77462" w:rsidRPr="002018AC" w:rsidRDefault="00A77462" w:rsidP="00695D8D">
      <w:pPr>
        <w:spacing w:line="276" w:lineRule="auto"/>
        <w:rPr>
          <w:rFonts w:cs="Times New Roman"/>
          <w:lang w:val="en-AU"/>
        </w:rPr>
      </w:pPr>
      <w:r w:rsidRPr="002018AC">
        <w:rPr>
          <w:rFonts w:cs="Times New Roman"/>
          <w:noProof/>
          <w:lang w:val="en-US"/>
        </w:rPr>
        <w:drawing>
          <wp:inline distT="0" distB="0" distL="0" distR="0" wp14:anchorId="4C2411F7" wp14:editId="4CB2CE79">
            <wp:extent cx="5996940" cy="388693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5003" cy="3898640"/>
                    </a:xfrm>
                    <a:prstGeom prst="rect">
                      <a:avLst/>
                    </a:prstGeom>
                    <a:noFill/>
                    <a:ln>
                      <a:noFill/>
                    </a:ln>
                  </pic:spPr>
                </pic:pic>
              </a:graphicData>
            </a:graphic>
          </wp:inline>
        </w:drawing>
      </w:r>
    </w:p>
    <w:p w14:paraId="43DE2916" w14:textId="77777777" w:rsidR="00A77462" w:rsidRPr="002018AC" w:rsidRDefault="00A77462" w:rsidP="00695D8D">
      <w:pPr>
        <w:spacing w:line="276" w:lineRule="auto"/>
        <w:rPr>
          <w:rFonts w:cs="Times New Roman"/>
          <w:b/>
          <w:bCs/>
          <w:lang w:val="en-AU"/>
        </w:rPr>
      </w:pPr>
      <w:r w:rsidRPr="002018AC">
        <w:rPr>
          <w:rFonts w:cs="Times New Roman"/>
          <w:lang w:val="en-AU"/>
        </w:rPr>
        <w:lastRenderedPageBreak/>
        <w:t xml:space="preserve">Appendix A6: </w:t>
      </w:r>
      <w:r w:rsidRPr="002018AC">
        <w:rPr>
          <w:rFonts w:cs="Times New Roman"/>
          <w:b/>
          <w:bCs/>
          <w:lang w:val="en-AU"/>
        </w:rPr>
        <w:t xml:space="preserve">EPS and dividend cover </w:t>
      </w:r>
    </w:p>
    <w:p w14:paraId="3CDAFD32" w14:textId="77777777" w:rsidR="00A77462" w:rsidRPr="002018AC" w:rsidRDefault="00A77462" w:rsidP="00695D8D">
      <w:pPr>
        <w:spacing w:line="276" w:lineRule="auto"/>
        <w:rPr>
          <w:rFonts w:cs="Times New Roman"/>
          <w:lang w:val="en-AU"/>
        </w:rPr>
      </w:pPr>
      <w:r w:rsidRPr="002018AC">
        <w:rPr>
          <w:rFonts w:cs="Times New Roman"/>
          <w:noProof/>
          <w:lang w:val="en-US"/>
        </w:rPr>
        <w:drawing>
          <wp:inline distT="0" distB="0" distL="0" distR="0" wp14:anchorId="7E3C4E8E" wp14:editId="3FA0F797">
            <wp:extent cx="6206237" cy="286512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25603" cy="2874060"/>
                    </a:xfrm>
                    <a:prstGeom prst="rect">
                      <a:avLst/>
                    </a:prstGeom>
                    <a:noFill/>
                    <a:ln>
                      <a:noFill/>
                    </a:ln>
                  </pic:spPr>
                </pic:pic>
              </a:graphicData>
            </a:graphic>
          </wp:inline>
        </w:drawing>
      </w:r>
    </w:p>
    <w:p w14:paraId="38303697" w14:textId="77777777" w:rsidR="00A77462" w:rsidRPr="002018AC" w:rsidRDefault="00A77462" w:rsidP="00695D8D">
      <w:pPr>
        <w:spacing w:line="276" w:lineRule="auto"/>
        <w:rPr>
          <w:rFonts w:cs="Times New Roman"/>
          <w:b/>
          <w:bCs/>
          <w:lang w:val="en-AU"/>
        </w:rPr>
      </w:pPr>
      <w:r w:rsidRPr="002018AC">
        <w:rPr>
          <w:rFonts w:cs="Times New Roman"/>
          <w:lang w:val="en-AU"/>
        </w:rPr>
        <w:t xml:space="preserve">Appendix A7: </w:t>
      </w:r>
      <w:r w:rsidRPr="002018AC">
        <w:rPr>
          <w:rFonts w:cs="Times New Roman"/>
          <w:b/>
          <w:bCs/>
          <w:lang w:val="en-AU"/>
        </w:rPr>
        <w:t xml:space="preserve">Borrowings and net debt </w:t>
      </w:r>
    </w:p>
    <w:p w14:paraId="2CAB0703" w14:textId="77777777" w:rsidR="00A77462" w:rsidRPr="002018AC" w:rsidRDefault="00A77462" w:rsidP="00695D8D">
      <w:pPr>
        <w:spacing w:line="276" w:lineRule="auto"/>
        <w:rPr>
          <w:rFonts w:cs="Times New Roman"/>
          <w:lang w:val="en-AU"/>
        </w:rPr>
      </w:pPr>
      <w:r w:rsidRPr="002018AC">
        <w:rPr>
          <w:rFonts w:cs="Times New Roman"/>
          <w:noProof/>
          <w:lang w:val="en-US"/>
        </w:rPr>
        <w:drawing>
          <wp:inline distT="0" distB="0" distL="0" distR="0" wp14:anchorId="63CFEC44" wp14:editId="50DAD032">
            <wp:extent cx="6161444" cy="319193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356" cy="3205875"/>
                    </a:xfrm>
                    <a:prstGeom prst="rect">
                      <a:avLst/>
                    </a:prstGeom>
                    <a:noFill/>
                    <a:ln>
                      <a:noFill/>
                    </a:ln>
                  </pic:spPr>
                </pic:pic>
              </a:graphicData>
            </a:graphic>
          </wp:inline>
        </w:drawing>
      </w:r>
    </w:p>
    <w:p w14:paraId="3838D4DC" w14:textId="2E213A2B" w:rsidR="00A77462" w:rsidRPr="002018AC" w:rsidRDefault="00A77462" w:rsidP="00695D8D">
      <w:pPr>
        <w:pStyle w:val="Heading2"/>
        <w:numPr>
          <w:ilvl w:val="1"/>
          <w:numId w:val="9"/>
        </w:numPr>
        <w:spacing w:line="276" w:lineRule="auto"/>
        <w:rPr>
          <w:rFonts w:cs="Times New Roman"/>
        </w:rPr>
      </w:pPr>
      <w:bookmarkStart w:id="39" w:name="_Toc227606853"/>
      <w:r w:rsidRPr="002018AC">
        <w:rPr>
          <w:rFonts w:cs="Times New Roman"/>
        </w:rPr>
        <w:t>Appendix B: full ratio calculations</w:t>
      </w:r>
      <w:bookmarkEnd w:id="39"/>
    </w:p>
    <w:p w14:paraId="774ABC6F" w14:textId="39040BFF" w:rsidR="00A77462" w:rsidRPr="002018AC" w:rsidRDefault="00A77462" w:rsidP="00695D8D">
      <w:pPr>
        <w:pStyle w:val="Heading3"/>
        <w:numPr>
          <w:ilvl w:val="2"/>
          <w:numId w:val="9"/>
        </w:numPr>
        <w:spacing w:before="200" w:after="0" w:line="276" w:lineRule="auto"/>
        <w:ind w:left="0" w:firstLine="0"/>
        <w:jc w:val="left"/>
        <w:rPr>
          <w:rFonts w:cs="Times New Roman"/>
          <w:lang w:val="en-AU"/>
        </w:rPr>
      </w:pPr>
      <w:bookmarkStart w:id="40" w:name="_Toc227606854"/>
      <w:r w:rsidRPr="002018AC">
        <w:rPr>
          <w:rFonts w:cs="Times New Roman"/>
          <w:lang w:val="en-AU"/>
        </w:rPr>
        <w:t>Appendix B1: Source figures used</w:t>
      </w:r>
      <w:bookmarkEnd w:id="40"/>
    </w:p>
    <w:tbl>
      <w:tblPr>
        <w:tblStyle w:val="GridTable4-Accent1"/>
        <w:tblW w:w="9442" w:type="dxa"/>
        <w:tblLook w:val="04A0" w:firstRow="1" w:lastRow="0" w:firstColumn="1" w:lastColumn="0" w:noHBand="0" w:noVBand="1"/>
      </w:tblPr>
      <w:tblGrid>
        <w:gridCol w:w="6582"/>
        <w:gridCol w:w="1430"/>
        <w:gridCol w:w="1430"/>
      </w:tblGrid>
      <w:tr w:rsidR="00A77462" w:rsidRPr="002018AC" w14:paraId="41F1ED54" w14:textId="77777777" w:rsidTr="001C195C">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092BD73A"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Figure</w:t>
            </w:r>
          </w:p>
        </w:tc>
        <w:tc>
          <w:tcPr>
            <w:tcW w:w="0" w:type="auto"/>
            <w:hideMark/>
          </w:tcPr>
          <w:p w14:paraId="71EC8AEF"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FY2025</w:t>
            </w:r>
          </w:p>
        </w:tc>
        <w:tc>
          <w:tcPr>
            <w:tcW w:w="0" w:type="auto"/>
            <w:hideMark/>
          </w:tcPr>
          <w:p w14:paraId="1A9ADBE0"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FY2024</w:t>
            </w:r>
          </w:p>
        </w:tc>
      </w:tr>
      <w:tr w:rsidR="00A77462" w:rsidRPr="002018AC" w14:paraId="68DFE314" w14:textId="77777777" w:rsidTr="001C195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92A77E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lastRenderedPageBreak/>
              <w:t>Sales / revenue</w:t>
            </w:r>
          </w:p>
        </w:tc>
        <w:tc>
          <w:tcPr>
            <w:tcW w:w="0" w:type="auto"/>
            <w:hideMark/>
          </w:tcPr>
          <w:p w14:paraId="6D4677D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37,448</w:t>
            </w:r>
          </w:p>
        </w:tc>
        <w:tc>
          <w:tcPr>
            <w:tcW w:w="0" w:type="auto"/>
            <w:hideMark/>
          </w:tcPr>
          <w:p w14:paraId="437133E0"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36,717</w:t>
            </w:r>
          </w:p>
        </w:tc>
      </w:tr>
      <w:tr w:rsidR="00A77462" w:rsidRPr="002018AC" w14:paraId="29161DEF"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701753C6"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Cost of sales / COGS</w:t>
            </w:r>
          </w:p>
        </w:tc>
        <w:tc>
          <w:tcPr>
            <w:tcW w:w="0" w:type="auto"/>
            <w:hideMark/>
          </w:tcPr>
          <w:p w14:paraId="49F5C725"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24,929</w:t>
            </w:r>
          </w:p>
        </w:tc>
        <w:tc>
          <w:tcPr>
            <w:tcW w:w="0" w:type="auto"/>
            <w:hideMark/>
          </w:tcPr>
          <w:p w14:paraId="74E5A5CA"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24,459</w:t>
            </w:r>
          </w:p>
        </w:tc>
      </w:tr>
      <w:tr w:rsidR="00A77462" w:rsidRPr="002018AC" w14:paraId="4B11113D" w14:textId="77777777" w:rsidTr="001C195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08734DD"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Gross profit</w:t>
            </w:r>
          </w:p>
        </w:tc>
        <w:tc>
          <w:tcPr>
            <w:tcW w:w="0" w:type="auto"/>
            <w:hideMark/>
          </w:tcPr>
          <w:p w14:paraId="6E03D05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12,519</w:t>
            </w:r>
          </w:p>
        </w:tc>
        <w:tc>
          <w:tcPr>
            <w:tcW w:w="0" w:type="auto"/>
            <w:hideMark/>
          </w:tcPr>
          <w:p w14:paraId="235D3D9A"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12,258</w:t>
            </w:r>
          </w:p>
        </w:tc>
      </w:tr>
      <w:tr w:rsidR="00A77462" w:rsidRPr="002018AC" w14:paraId="749486A3"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68CF3842"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Operating profit / loss</w:t>
            </w:r>
          </w:p>
        </w:tc>
        <w:tc>
          <w:tcPr>
            <w:tcW w:w="0" w:type="auto"/>
            <w:hideMark/>
          </w:tcPr>
          <w:p w14:paraId="70AE39C7"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-411</w:t>
            </w:r>
          </w:p>
        </w:tc>
        <w:tc>
          <w:tcPr>
            <w:tcW w:w="0" w:type="auto"/>
            <w:hideMark/>
          </w:tcPr>
          <w:p w14:paraId="66EB8685"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3,665</w:t>
            </w:r>
          </w:p>
        </w:tc>
      </w:tr>
      <w:tr w:rsidR="00A77462" w:rsidRPr="002018AC" w14:paraId="30D8D1D1"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00FE11C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Finance costs / interest</w:t>
            </w:r>
          </w:p>
        </w:tc>
        <w:tc>
          <w:tcPr>
            <w:tcW w:w="0" w:type="auto"/>
            <w:hideMark/>
          </w:tcPr>
          <w:p w14:paraId="2DFBDA6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1,931</w:t>
            </w:r>
          </w:p>
        </w:tc>
        <w:tc>
          <w:tcPr>
            <w:tcW w:w="0" w:type="auto"/>
            <w:hideMark/>
          </w:tcPr>
          <w:p w14:paraId="31F576B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2,626</w:t>
            </w:r>
          </w:p>
        </w:tc>
      </w:tr>
      <w:tr w:rsidR="00A77462" w:rsidRPr="002018AC" w14:paraId="4E72F284" w14:textId="77777777" w:rsidTr="001C195C">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8F61403"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Profit/loss attributable to owners</w:t>
            </w:r>
          </w:p>
        </w:tc>
        <w:tc>
          <w:tcPr>
            <w:tcW w:w="0" w:type="auto"/>
            <w:hideMark/>
          </w:tcPr>
          <w:p w14:paraId="636A611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-4,169</w:t>
            </w:r>
          </w:p>
        </w:tc>
        <w:tc>
          <w:tcPr>
            <w:tcW w:w="0" w:type="auto"/>
            <w:hideMark/>
          </w:tcPr>
          <w:p w14:paraId="031B6EB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1,140</w:t>
            </w:r>
          </w:p>
        </w:tc>
      </w:tr>
      <w:tr w:rsidR="00A77462" w:rsidRPr="002018AC" w14:paraId="2A81DD9E"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2ACE86DA"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Weighted average ordinary shares, millions</w:t>
            </w:r>
          </w:p>
        </w:tc>
        <w:tc>
          <w:tcPr>
            <w:tcW w:w="0" w:type="auto"/>
            <w:hideMark/>
          </w:tcPr>
          <w:p w14:paraId="50181BF5"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26,149</w:t>
            </w:r>
          </w:p>
        </w:tc>
        <w:tc>
          <w:tcPr>
            <w:tcW w:w="0" w:type="auto"/>
            <w:hideMark/>
          </w:tcPr>
          <w:p w14:paraId="47F559C6"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27,056</w:t>
            </w:r>
          </w:p>
        </w:tc>
      </w:tr>
      <w:tr w:rsidR="00A77462" w:rsidRPr="002018AC" w14:paraId="425D248D"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531FC453"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Dividends declared</w:t>
            </w:r>
          </w:p>
        </w:tc>
        <w:tc>
          <w:tcPr>
            <w:tcW w:w="0" w:type="auto"/>
            <w:hideMark/>
          </w:tcPr>
          <w:p w14:paraId="04BB7A6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1,795</w:t>
            </w:r>
          </w:p>
        </w:tc>
        <w:tc>
          <w:tcPr>
            <w:tcW w:w="0" w:type="auto"/>
            <w:hideMark/>
          </w:tcPr>
          <w:p w14:paraId="27535128"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2,433</w:t>
            </w:r>
          </w:p>
        </w:tc>
      </w:tr>
      <w:tr w:rsidR="00A77462" w:rsidRPr="002018AC" w14:paraId="4192AEA3"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0A5017D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Current assets, continuing basis</w:t>
            </w:r>
          </w:p>
        </w:tc>
        <w:tc>
          <w:tcPr>
            <w:tcW w:w="0" w:type="auto"/>
            <w:hideMark/>
          </w:tcPr>
          <w:p w14:paraId="3DAEFB5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28,620</w:t>
            </w:r>
          </w:p>
        </w:tc>
        <w:tc>
          <w:tcPr>
            <w:tcW w:w="0" w:type="auto"/>
            <w:hideMark/>
          </w:tcPr>
          <w:p w14:paraId="7CED95A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20,513</w:t>
            </w:r>
          </w:p>
        </w:tc>
      </w:tr>
      <w:tr w:rsidR="00A77462" w:rsidRPr="002018AC" w14:paraId="509DB1EC" w14:textId="77777777" w:rsidTr="001C195C">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3427902"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Inventory / stock</w:t>
            </w:r>
          </w:p>
        </w:tc>
        <w:tc>
          <w:tcPr>
            <w:tcW w:w="0" w:type="auto"/>
            <w:hideMark/>
          </w:tcPr>
          <w:p w14:paraId="18291ABE"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617</w:t>
            </w:r>
          </w:p>
        </w:tc>
        <w:tc>
          <w:tcPr>
            <w:tcW w:w="0" w:type="auto"/>
            <w:hideMark/>
          </w:tcPr>
          <w:p w14:paraId="7BF3BCC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568</w:t>
            </w:r>
          </w:p>
        </w:tc>
      </w:tr>
      <w:tr w:rsidR="00A77462" w:rsidRPr="002018AC" w14:paraId="0945E831"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4CBF9B5A"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Current liabilities, continuing basis</w:t>
            </w:r>
          </w:p>
        </w:tc>
        <w:tc>
          <w:tcPr>
            <w:tcW w:w="0" w:type="auto"/>
            <w:hideMark/>
          </w:tcPr>
          <w:p w14:paraId="6DB7A5C2"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22,754</w:t>
            </w:r>
          </w:p>
        </w:tc>
        <w:tc>
          <w:tcPr>
            <w:tcW w:w="0" w:type="auto"/>
            <w:hideMark/>
          </w:tcPr>
          <w:p w14:paraId="395EEA0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22,352</w:t>
            </w:r>
          </w:p>
        </w:tc>
      </w:tr>
      <w:tr w:rsidR="00A77462" w:rsidRPr="002018AC" w14:paraId="3D4D9A75"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59E94FC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Total assets, continuing basis</w:t>
            </w:r>
          </w:p>
        </w:tc>
        <w:tc>
          <w:tcPr>
            <w:tcW w:w="0" w:type="auto"/>
            <w:hideMark/>
          </w:tcPr>
          <w:p w14:paraId="66A5828B"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128,521</w:t>
            </w:r>
          </w:p>
        </w:tc>
        <w:tc>
          <w:tcPr>
            <w:tcW w:w="0" w:type="auto"/>
            <w:hideMark/>
          </w:tcPr>
          <w:p w14:paraId="768DE9C1"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125,303</w:t>
            </w:r>
          </w:p>
        </w:tc>
      </w:tr>
      <w:tr w:rsidR="00A77462" w:rsidRPr="002018AC" w14:paraId="78B27C0B" w14:textId="77777777" w:rsidTr="001C195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52B526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Debtors</w:t>
            </w:r>
          </w:p>
        </w:tc>
        <w:tc>
          <w:tcPr>
            <w:tcW w:w="0" w:type="auto"/>
            <w:hideMark/>
          </w:tcPr>
          <w:p w14:paraId="4A04C90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3,657</w:t>
            </w:r>
          </w:p>
        </w:tc>
        <w:tc>
          <w:tcPr>
            <w:tcW w:w="0" w:type="auto"/>
            <w:hideMark/>
          </w:tcPr>
          <w:p w14:paraId="349FFCD0"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3,282</w:t>
            </w:r>
          </w:p>
        </w:tc>
      </w:tr>
      <w:tr w:rsidR="00A77462" w:rsidRPr="002018AC" w14:paraId="1836FA63"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724DB2F2"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Creditors</w:t>
            </w:r>
          </w:p>
        </w:tc>
        <w:tc>
          <w:tcPr>
            <w:tcW w:w="0" w:type="auto"/>
            <w:hideMark/>
          </w:tcPr>
          <w:p w14:paraId="29D6DEFC"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6,157</w:t>
            </w:r>
          </w:p>
        </w:tc>
        <w:tc>
          <w:tcPr>
            <w:tcW w:w="0" w:type="auto"/>
            <w:hideMark/>
          </w:tcPr>
          <w:p w14:paraId="333520C5"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5,613</w:t>
            </w:r>
          </w:p>
        </w:tc>
      </w:tr>
      <w:tr w:rsidR="00A77462" w:rsidRPr="002018AC" w14:paraId="2AE54CE2"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1030731F"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Borrowings / loan</w:t>
            </w:r>
          </w:p>
        </w:tc>
        <w:tc>
          <w:tcPr>
            <w:tcW w:w="0" w:type="auto"/>
            <w:hideMark/>
          </w:tcPr>
          <w:p w14:paraId="2DBD26D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53,143</w:t>
            </w:r>
          </w:p>
        </w:tc>
        <w:tc>
          <w:tcPr>
            <w:tcW w:w="0" w:type="auto"/>
            <w:hideMark/>
          </w:tcPr>
          <w:p w14:paraId="4C887B0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56,987</w:t>
            </w:r>
          </w:p>
        </w:tc>
      </w:tr>
      <w:tr w:rsidR="00A77462" w:rsidRPr="002018AC" w14:paraId="12F90061" w14:textId="77777777" w:rsidTr="001C195C">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9C3458E"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Net assets / total equity</w:t>
            </w:r>
          </w:p>
        </w:tc>
        <w:tc>
          <w:tcPr>
            <w:tcW w:w="0" w:type="auto"/>
            <w:hideMark/>
          </w:tcPr>
          <w:p w14:paraId="13502F0E"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53,916</w:t>
            </w:r>
          </w:p>
        </w:tc>
        <w:tc>
          <w:tcPr>
            <w:tcW w:w="0" w:type="auto"/>
            <w:hideMark/>
          </w:tcPr>
          <w:p w14:paraId="0629F718"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60,998</w:t>
            </w:r>
          </w:p>
        </w:tc>
      </w:tr>
    </w:tbl>
    <w:p w14:paraId="7590469A" w14:textId="77777777" w:rsidR="00A77462" w:rsidRPr="002018AC" w:rsidRDefault="00A77462" w:rsidP="00695D8D">
      <w:pPr>
        <w:spacing w:line="276" w:lineRule="auto"/>
        <w:jc w:val="left"/>
        <w:rPr>
          <w:rFonts w:cs="Times New Roman"/>
          <w:lang w:val="en-AU"/>
        </w:rPr>
      </w:pPr>
      <w:r w:rsidRPr="002018AC">
        <w:rPr>
          <w:rFonts w:cs="Times New Roman"/>
          <w:lang w:val="en-AU"/>
        </w:rPr>
        <w:t xml:space="preserve"> </w:t>
      </w:r>
    </w:p>
    <w:p w14:paraId="3AF17915" w14:textId="77777777" w:rsidR="00A77462" w:rsidRPr="002018AC" w:rsidRDefault="00A77462" w:rsidP="00695D8D">
      <w:pPr>
        <w:pStyle w:val="ListParagraph"/>
        <w:numPr>
          <w:ilvl w:val="0"/>
          <w:numId w:val="15"/>
        </w:numPr>
        <w:spacing w:line="276" w:lineRule="auto"/>
        <w:jc w:val="left"/>
        <w:rPr>
          <w:rFonts w:cs="Times New Roman"/>
          <w:lang w:val="en-AU"/>
        </w:rPr>
      </w:pPr>
      <w:r w:rsidRPr="002018AC">
        <w:rPr>
          <w:rFonts w:cs="Times New Roman"/>
          <w:lang w:val="en-AU"/>
        </w:rPr>
        <w:t>FY2024 continuing total assets</w:t>
      </w:r>
      <w:r w:rsidRPr="002018AC">
        <w:rPr>
          <w:rFonts w:cs="Times New Roman"/>
          <w:lang w:val="en-AU"/>
        </w:rPr>
        <w:br/>
        <w:t>= Reported total assets – assets held for sale</w:t>
      </w:r>
      <w:r w:rsidRPr="002018AC">
        <w:rPr>
          <w:rFonts w:cs="Times New Roman"/>
          <w:lang w:val="en-AU"/>
        </w:rPr>
        <w:br/>
        <w:t>= 144,350 – 19,047</w:t>
      </w:r>
      <w:r w:rsidRPr="002018AC">
        <w:rPr>
          <w:rFonts w:cs="Times New Roman"/>
          <w:lang w:val="en-AU"/>
        </w:rPr>
        <w:br/>
        <w:t>= 125,303</w:t>
      </w:r>
    </w:p>
    <w:p w14:paraId="5CBEED46" w14:textId="77777777" w:rsidR="00A77462" w:rsidRPr="002018AC" w:rsidRDefault="00A77462" w:rsidP="00695D8D">
      <w:pPr>
        <w:pStyle w:val="ListParagraph"/>
        <w:numPr>
          <w:ilvl w:val="0"/>
          <w:numId w:val="15"/>
        </w:numPr>
        <w:spacing w:line="276" w:lineRule="auto"/>
        <w:jc w:val="left"/>
        <w:rPr>
          <w:rFonts w:cs="Times New Roman"/>
          <w:lang w:val="en-AU"/>
        </w:rPr>
      </w:pPr>
      <w:r w:rsidRPr="002018AC">
        <w:rPr>
          <w:rFonts w:cs="Times New Roman"/>
          <w:lang w:val="en-AU"/>
        </w:rPr>
        <w:t>FY2025 TALCL</w:t>
      </w:r>
      <w:r w:rsidRPr="002018AC">
        <w:rPr>
          <w:rFonts w:cs="Times New Roman"/>
          <w:lang w:val="en-AU"/>
        </w:rPr>
        <w:br/>
        <w:t>= Total assets – current liabilities</w:t>
      </w:r>
      <w:r w:rsidRPr="002018AC">
        <w:rPr>
          <w:rFonts w:cs="Times New Roman"/>
          <w:lang w:val="en-AU"/>
        </w:rPr>
        <w:br/>
        <w:t>= 128,521 – 22,754</w:t>
      </w:r>
      <w:r w:rsidRPr="002018AC">
        <w:rPr>
          <w:rFonts w:cs="Times New Roman"/>
          <w:lang w:val="en-AU"/>
        </w:rPr>
        <w:br/>
        <w:t>= 105,767</w:t>
      </w:r>
    </w:p>
    <w:p w14:paraId="23A17DAF" w14:textId="77777777" w:rsidR="00A77462" w:rsidRPr="002018AC" w:rsidRDefault="00A77462" w:rsidP="00695D8D">
      <w:pPr>
        <w:pStyle w:val="ListParagraph"/>
        <w:numPr>
          <w:ilvl w:val="0"/>
          <w:numId w:val="15"/>
        </w:numPr>
        <w:spacing w:line="276" w:lineRule="auto"/>
        <w:jc w:val="left"/>
        <w:rPr>
          <w:rFonts w:cs="Times New Roman"/>
          <w:lang w:val="en-AU"/>
        </w:rPr>
      </w:pPr>
      <w:r w:rsidRPr="002018AC">
        <w:rPr>
          <w:rFonts w:cs="Times New Roman"/>
          <w:lang w:val="en-AU"/>
        </w:rPr>
        <w:t>FY2024 TALCL</w:t>
      </w:r>
      <w:r w:rsidRPr="002018AC">
        <w:rPr>
          <w:rFonts w:cs="Times New Roman"/>
          <w:lang w:val="en-AU"/>
        </w:rPr>
        <w:br/>
        <w:t>= Continuing total assets – current liabilities</w:t>
      </w:r>
      <w:r w:rsidRPr="002018AC">
        <w:rPr>
          <w:rFonts w:cs="Times New Roman"/>
          <w:lang w:val="en-AU"/>
        </w:rPr>
        <w:br/>
        <w:t>= 125,303 – 22,352</w:t>
      </w:r>
      <w:r w:rsidRPr="002018AC">
        <w:rPr>
          <w:rFonts w:cs="Times New Roman"/>
          <w:lang w:val="en-AU"/>
        </w:rPr>
        <w:br/>
        <w:t>= 102,951</w:t>
      </w:r>
    </w:p>
    <w:p w14:paraId="055F6198" w14:textId="77777777" w:rsidR="00A77462" w:rsidRPr="002018AC" w:rsidRDefault="00A77462" w:rsidP="00695D8D">
      <w:pPr>
        <w:pStyle w:val="ListParagraph"/>
        <w:numPr>
          <w:ilvl w:val="0"/>
          <w:numId w:val="15"/>
        </w:numPr>
        <w:spacing w:line="276" w:lineRule="auto"/>
        <w:jc w:val="left"/>
        <w:rPr>
          <w:rFonts w:cs="Times New Roman"/>
          <w:lang w:val="en-AU"/>
        </w:rPr>
      </w:pPr>
      <w:r w:rsidRPr="002018AC">
        <w:rPr>
          <w:rFonts w:cs="Times New Roman"/>
          <w:lang w:val="en-AU"/>
        </w:rPr>
        <w:t>FY2025 debtors</w:t>
      </w:r>
      <w:r w:rsidRPr="002018AC">
        <w:rPr>
          <w:rFonts w:cs="Times New Roman"/>
          <w:lang w:val="en-AU"/>
        </w:rPr>
        <w:br/>
        <w:t>= Current trade receivables + current trade receivables held at FVOCI</w:t>
      </w:r>
      <w:r w:rsidRPr="002018AC">
        <w:rPr>
          <w:rFonts w:cs="Times New Roman"/>
          <w:lang w:val="en-AU"/>
        </w:rPr>
        <w:br/>
      </w:r>
      <w:r w:rsidRPr="002018AC">
        <w:rPr>
          <w:rFonts w:cs="Times New Roman"/>
          <w:lang w:val="en-AU"/>
        </w:rPr>
        <w:lastRenderedPageBreak/>
        <w:t>= 3,236 + 421</w:t>
      </w:r>
      <w:r w:rsidRPr="002018AC">
        <w:rPr>
          <w:rFonts w:cs="Times New Roman"/>
          <w:lang w:val="en-AU"/>
        </w:rPr>
        <w:br/>
        <w:t>= 3,657</w:t>
      </w:r>
    </w:p>
    <w:p w14:paraId="372FAE7B" w14:textId="77777777" w:rsidR="00A77462" w:rsidRPr="002018AC" w:rsidRDefault="00A77462" w:rsidP="00695D8D">
      <w:pPr>
        <w:pStyle w:val="ListParagraph"/>
        <w:numPr>
          <w:ilvl w:val="0"/>
          <w:numId w:val="15"/>
        </w:numPr>
        <w:spacing w:line="276" w:lineRule="auto"/>
        <w:jc w:val="left"/>
        <w:rPr>
          <w:rFonts w:cs="Times New Roman"/>
          <w:lang w:val="en-AU"/>
        </w:rPr>
      </w:pPr>
      <w:r w:rsidRPr="002018AC">
        <w:rPr>
          <w:rFonts w:cs="Times New Roman"/>
          <w:lang w:val="en-AU"/>
        </w:rPr>
        <w:t>FY2024 debtors</w:t>
      </w:r>
      <w:r w:rsidRPr="002018AC">
        <w:rPr>
          <w:rFonts w:cs="Times New Roman"/>
          <w:lang w:val="en-AU"/>
        </w:rPr>
        <w:br/>
        <w:t>= 2,841 + 441</w:t>
      </w:r>
      <w:r w:rsidRPr="002018AC">
        <w:rPr>
          <w:rFonts w:cs="Times New Roman"/>
          <w:lang w:val="en-AU"/>
        </w:rPr>
        <w:br/>
        <w:t>= 3,282</w:t>
      </w:r>
    </w:p>
    <w:p w14:paraId="3B45693E" w14:textId="4FFB25DF" w:rsidR="00A77462" w:rsidRPr="002018AC" w:rsidRDefault="00A77462" w:rsidP="00695D8D">
      <w:pPr>
        <w:pStyle w:val="Heading3"/>
        <w:numPr>
          <w:ilvl w:val="2"/>
          <w:numId w:val="9"/>
        </w:numPr>
        <w:spacing w:line="276" w:lineRule="auto"/>
        <w:rPr>
          <w:rFonts w:cs="Times New Roman"/>
        </w:rPr>
      </w:pPr>
      <w:bookmarkStart w:id="41" w:name="_Toc227606855"/>
      <w:r w:rsidRPr="002018AC">
        <w:rPr>
          <w:rFonts w:cs="Times New Roman"/>
        </w:rPr>
        <w:t>Appendix B2: profitability ratios</w:t>
      </w:r>
      <w:bookmarkEnd w:id="41"/>
    </w:p>
    <w:p w14:paraId="70E35114" w14:textId="77777777" w:rsidR="00A77462" w:rsidRPr="002018AC" w:rsidRDefault="00A77462" w:rsidP="00695D8D">
      <w:pPr>
        <w:spacing w:line="276" w:lineRule="auto"/>
        <w:jc w:val="left"/>
        <w:rPr>
          <w:rFonts w:cs="Times New Roman"/>
          <w:b/>
          <w:bCs/>
          <w:lang w:val="en-AU"/>
        </w:rPr>
      </w:pPr>
      <w:r w:rsidRPr="002018AC">
        <w:rPr>
          <w:rFonts w:cs="Times New Roman"/>
          <w:b/>
          <w:bCs/>
          <w:lang w:val="en-AU"/>
        </w:rPr>
        <w:t>1. Gross profit margin</w:t>
      </w:r>
    </w:p>
    <w:p w14:paraId="5BAA5923" w14:textId="77777777" w:rsidR="00A77462" w:rsidRPr="002018AC" w:rsidRDefault="00A77462" w:rsidP="00695D8D">
      <w:pPr>
        <w:spacing w:line="276" w:lineRule="auto"/>
        <w:jc w:val="left"/>
        <w:rPr>
          <w:rFonts w:cs="Times New Roman"/>
          <w:lang w:val="en-AU"/>
        </w:rPr>
      </w:pPr>
      <w:r w:rsidRPr="002018AC">
        <w:rPr>
          <w:rFonts w:cs="Times New Roman"/>
          <w:lang w:val="en-AU"/>
        </w:rPr>
        <w:t>Formula:</w:t>
      </w:r>
      <w:r w:rsidRPr="002018AC">
        <w:rPr>
          <w:rFonts w:cs="Times New Roman"/>
          <w:lang w:val="en-AU"/>
        </w:rPr>
        <w:br/>
        <w:t>Gross profit margin = Gross profit / Sales × 100</w:t>
      </w:r>
    </w:p>
    <w:p w14:paraId="312A6AB5" w14:textId="77777777" w:rsidR="00A77462" w:rsidRPr="002018AC" w:rsidRDefault="00A77462" w:rsidP="00695D8D">
      <w:pPr>
        <w:pStyle w:val="ListParagraph"/>
        <w:numPr>
          <w:ilvl w:val="0"/>
          <w:numId w:val="16"/>
        </w:numPr>
        <w:spacing w:line="276" w:lineRule="auto"/>
        <w:jc w:val="left"/>
        <w:rPr>
          <w:rFonts w:cs="Times New Roman"/>
          <w:lang w:val="en-AU"/>
        </w:rPr>
      </w:pPr>
      <w:r w:rsidRPr="002018AC">
        <w:rPr>
          <w:rFonts w:cs="Times New Roman"/>
          <w:lang w:val="en-AU"/>
        </w:rPr>
        <w:t>FY2025:</w:t>
      </w:r>
      <w:r w:rsidRPr="002018AC">
        <w:rPr>
          <w:rFonts w:cs="Times New Roman"/>
          <w:lang w:val="en-AU"/>
        </w:rPr>
        <w:br/>
        <w:t>= 12,519 / 37,448 × 100</w:t>
      </w:r>
      <w:r w:rsidRPr="002018AC">
        <w:rPr>
          <w:rFonts w:cs="Times New Roman"/>
          <w:lang w:val="en-AU"/>
        </w:rPr>
        <w:br/>
        <w:t>= 33.43%</w:t>
      </w:r>
    </w:p>
    <w:p w14:paraId="434C772C" w14:textId="77777777" w:rsidR="00A77462" w:rsidRPr="002018AC" w:rsidRDefault="00A77462" w:rsidP="00695D8D">
      <w:pPr>
        <w:pStyle w:val="ListParagraph"/>
        <w:numPr>
          <w:ilvl w:val="0"/>
          <w:numId w:val="16"/>
        </w:numPr>
        <w:spacing w:line="276" w:lineRule="auto"/>
        <w:jc w:val="left"/>
        <w:rPr>
          <w:rFonts w:cs="Times New Roman"/>
          <w:lang w:val="en-AU"/>
        </w:rPr>
      </w:pPr>
      <w:r w:rsidRPr="002018AC">
        <w:rPr>
          <w:rFonts w:cs="Times New Roman"/>
          <w:lang w:val="en-AU"/>
        </w:rPr>
        <w:t>FY2024:</w:t>
      </w:r>
      <w:r w:rsidRPr="002018AC">
        <w:rPr>
          <w:rFonts w:cs="Times New Roman"/>
          <w:lang w:val="en-AU"/>
        </w:rPr>
        <w:br/>
        <w:t>= 12,258 / 36,717 × 100</w:t>
      </w:r>
      <w:r w:rsidRPr="002018AC">
        <w:rPr>
          <w:rFonts w:cs="Times New Roman"/>
          <w:lang w:val="en-AU"/>
        </w:rPr>
        <w:br/>
        <w:t>= 33.39%</w:t>
      </w:r>
    </w:p>
    <w:p w14:paraId="6784AF85" w14:textId="77777777" w:rsidR="00A77462" w:rsidRPr="002018AC" w:rsidRDefault="00A77462" w:rsidP="00695D8D">
      <w:pPr>
        <w:spacing w:line="276" w:lineRule="auto"/>
        <w:jc w:val="left"/>
        <w:rPr>
          <w:rFonts w:cs="Times New Roman"/>
          <w:b/>
          <w:bCs/>
          <w:lang w:val="en-AU"/>
        </w:rPr>
      </w:pPr>
      <w:r w:rsidRPr="002018AC">
        <w:rPr>
          <w:rFonts w:cs="Times New Roman"/>
          <w:b/>
          <w:bCs/>
          <w:lang w:val="en-AU"/>
        </w:rPr>
        <w:t>2. Operating profit margin</w:t>
      </w:r>
    </w:p>
    <w:p w14:paraId="684E67AB" w14:textId="77777777" w:rsidR="00A77462" w:rsidRPr="002018AC" w:rsidRDefault="00A77462" w:rsidP="00695D8D">
      <w:pPr>
        <w:spacing w:line="276" w:lineRule="auto"/>
        <w:jc w:val="left"/>
        <w:rPr>
          <w:rFonts w:cs="Times New Roman"/>
          <w:lang w:val="en-AU"/>
        </w:rPr>
      </w:pPr>
      <w:r w:rsidRPr="002018AC">
        <w:rPr>
          <w:rFonts w:cs="Times New Roman"/>
          <w:lang w:val="en-AU"/>
        </w:rPr>
        <w:t>Formula from attached sheet:</w:t>
      </w:r>
      <w:r w:rsidRPr="002018AC">
        <w:rPr>
          <w:rFonts w:cs="Times New Roman"/>
          <w:lang w:val="en-AU"/>
        </w:rPr>
        <w:br/>
        <w:t>Operating profit margin = Operating profit / Sales × 100</w:t>
      </w:r>
    </w:p>
    <w:p w14:paraId="22EBE99C" w14:textId="77777777" w:rsidR="00A77462" w:rsidRPr="002018AC" w:rsidRDefault="00A77462" w:rsidP="00695D8D">
      <w:pPr>
        <w:pStyle w:val="ListParagraph"/>
        <w:numPr>
          <w:ilvl w:val="0"/>
          <w:numId w:val="17"/>
        </w:numPr>
        <w:spacing w:line="276" w:lineRule="auto"/>
        <w:jc w:val="left"/>
        <w:rPr>
          <w:rFonts w:cs="Times New Roman"/>
          <w:lang w:val="en-AU"/>
        </w:rPr>
      </w:pPr>
      <w:r w:rsidRPr="002018AC">
        <w:rPr>
          <w:rFonts w:cs="Times New Roman"/>
          <w:lang w:val="en-AU"/>
        </w:rPr>
        <w:t>FY2025:</w:t>
      </w:r>
      <w:r w:rsidRPr="002018AC">
        <w:rPr>
          <w:rFonts w:cs="Times New Roman"/>
          <w:lang w:val="en-AU"/>
        </w:rPr>
        <w:br/>
        <w:t>= -411 / 37,448 × 100</w:t>
      </w:r>
      <w:r w:rsidRPr="002018AC">
        <w:rPr>
          <w:rFonts w:cs="Times New Roman"/>
          <w:lang w:val="en-AU"/>
        </w:rPr>
        <w:br/>
        <w:t>= -1.10%</w:t>
      </w:r>
    </w:p>
    <w:p w14:paraId="4F6DBB05" w14:textId="77777777" w:rsidR="00A77462" w:rsidRPr="002018AC" w:rsidRDefault="00A77462" w:rsidP="00695D8D">
      <w:pPr>
        <w:pStyle w:val="ListParagraph"/>
        <w:numPr>
          <w:ilvl w:val="0"/>
          <w:numId w:val="17"/>
        </w:numPr>
        <w:spacing w:line="276" w:lineRule="auto"/>
        <w:jc w:val="left"/>
        <w:rPr>
          <w:rFonts w:cs="Times New Roman"/>
          <w:lang w:val="en-AU"/>
        </w:rPr>
      </w:pPr>
      <w:r w:rsidRPr="002018AC">
        <w:rPr>
          <w:rFonts w:cs="Times New Roman"/>
          <w:lang w:val="en-AU"/>
        </w:rPr>
        <w:t>FY2024:</w:t>
      </w:r>
      <w:r w:rsidRPr="002018AC">
        <w:rPr>
          <w:rFonts w:cs="Times New Roman"/>
          <w:lang w:val="en-AU"/>
        </w:rPr>
        <w:br/>
        <w:t>= 3,665 / 36,717 × 100</w:t>
      </w:r>
      <w:r w:rsidRPr="002018AC">
        <w:rPr>
          <w:rFonts w:cs="Times New Roman"/>
          <w:lang w:val="en-AU"/>
        </w:rPr>
        <w:br/>
        <w:t>= 9.98%</w:t>
      </w:r>
    </w:p>
    <w:p w14:paraId="3FAC953E" w14:textId="77777777" w:rsidR="00A77462" w:rsidRPr="002018AC" w:rsidRDefault="00A77462" w:rsidP="00695D8D">
      <w:pPr>
        <w:spacing w:line="276" w:lineRule="auto"/>
        <w:jc w:val="left"/>
        <w:rPr>
          <w:rFonts w:cs="Times New Roman"/>
          <w:b/>
          <w:bCs/>
          <w:lang w:val="en-AU"/>
        </w:rPr>
      </w:pPr>
      <w:r w:rsidRPr="002018AC">
        <w:rPr>
          <w:rFonts w:cs="Times New Roman"/>
          <w:b/>
          <w:bCs/>
          <w:lang w:val="en-AU"/>
        </w:rPr>
        <w:t>3. Return on capital employed</w:t>
      </w:r>
    </w:p>
    <w:p w14:paraId="5AE650FA" w14:textId="77777777" w:rsidR="00A77462" w:rsidRPr="002018AC" w:rsidRDefault="00A77462" w:rsidP="00695D8D">
      <w:pPr>
        <w:pStyle w:val="ListParagraph"/>
        <w:numPr>
          <w:ilvl w:val="0"/>
          <w:numId w:val="18"/>
        </w:numPr>
        <w:spacing w:line="276" w:lineRule="auto"/>
        <w:jc w:val="left"/>
        <w:rPr>
          <w:rFonts w:cs="Times New Roman"/>
          <w:lang w:val="en-AU"/>
        </w:rPr>
      </w:pPr>
      <w:r w:rsidRPr="002018AC">
        <w:rPr>
          <w:rFonts w:cs="Times New Roman"/>
          <w:lang w:val="en-AU"/>
        </w:rPr>
        <w:t>Formula:</w:t>
      </w:r>
      <w:r w:rsidRPr="002018AC">
        <w:rPr>
          <w:rFonts w:cs="Times New Roman"/>
          <w:lang w:val="en-AU"/>
        </w:rPr>
        <w:br/>
        <w:t>ROCE = Operating profit / TALCL × 100</w:t>
      </w:r>
    </w:p>
    <w:p w14:paraId="50BD5E69" w14:textId="77777777" w:rsidR="00A77462" w:rsidRPr="002018AC" w:rsidRDefault="00A77462" w:rsidP="00695D8D">
      <w:pPr>
        <w:pStyle w:val="ListParagraph"/>
        <w:numPr>
          <w:ilvl w:val="0"/>
          <w:numId w:val="18"/>
        </w:numPr>
        <w:spacing w:line="276" w:lineRule="auto"/>
        <w:jc w:val="left"/>
        <w:rPr>
          <w:rFonts w:cs="Times New Roman"/>
          <w:lang w:val="en-AU"/>
        </w:rPr>
      </w:pPr>
      <w:r w:rsidRPr="002018AC">
        <w:rPr>
          <w:rFonts w:cs="Times New Roman"/>
          <w:lang w:val="en-AU"/>
        </w:rPr>
        <w:t>FY2025:</w:t>
      </w:r>
      <w:r w:rsidRPr="002018AC">
        <w:rPr>
          <w:rFonts w:cs="Times New Roman"/>
          <w:lang w:val="en-AU"/>
        </w:rPr>
        <w:br/>
        <w:t>= -411 / 105,767 × 100</w:t>
      </w:r>
      <w:r w:rsidRPr="002018AC">
        <w:rPr>
          <w:rFonts w:cs="Times New Roman"/>
          <w:lang w:val="en-AU"/>
        </w:rPr>
        <w:br/>
        <w:t>= -0.39%</w:t>
      </w:r>
    </w:p>
    <w:p w14:paraId="0BDBC8F3" w14:textId="77777777" w:rsidR="00A77462" w:rsidRPr="002018AC" w:rsidRDefault="00A77462" w:rsidP="00695D8D">
      <w:pPr>
        <w:pStyle w:val="ListParagraph"/>
        <w:numPr>
          <w:ilvl w:val="0"/>
          <w:numId w:val="18"/>
        </w:numPr>
        <w:spacing w:line="276" w:lineRule="auto"/>
        <w:jc w:val="left"/>
        <w:rPr>
          <w:rFonts w:cs="Times New Roman"/>
          <w:lang w:val="en-AU"/>
        </w:rPr>
      </w:pPr>
      <w:r w:rsidRPr="002018AC">
        <w:rPr>
          <w:rFonts w:cs="Times New Roman"/>
          <w:lang w:val="en-AU"/>
        </w:rPr>
        <w:t>FY2024:</w:t>
      </w:r>
      <w:r w:rsidRPr="002018AC">
        <w:rPr>
          <w:rFonts w:cs="Times New Roman"/>
          <w:lang w:val="en-AU"/>
        </w:rPr>
        <w:br/>
        <w:t>= 3,665 / 102,951 × 100</w:t>
      </w:r>
      <w:r w:rsidRPr="002018AC">
        <w:rPr>
          <w:rFonts w:cs="Times New Roman"/>
          <w:lang w:val="en-AU"/>
        </w:rPr>
        <w:br/>
        <w:t>= 3.56%</w:t>
      </w:r>
    </w:p>
    <w:p w14:paraId="09B8CDD9" w14:textId="66E1AE1E" w:rsidR="00A77462" w:rsidRPr="002018AC" w:rsidRDefault="00A77462" w:rsidP="00695D8D">
      <w:pPr>
        <w:pStyle w:val="Heading3"/>
        <w:numPr>
          <w:ilvl w:val="2"/>
          <w:numId w:val="9"/>
        </w:numPr>
        <w:spacing w:before="200" w:after="0" w:line="276" w:lineRule="auto"/>
        <w:ind w:left="0" w:firstLine="0"/>
        <w:jc w:val="left"/>
        <w:rPr>
          <w:rFonts w:cs="Times New Roman"/>
          <w:lang w:val="en-AU"/>
        </w:rPr>
      </w:pPr>
      <w:bookmarkStart w:id="42" w:name="_Toc227606856"/>
      <w:r w:rsidRPr="002018AC">
        <w:rPr>
          <w:rFonts w:cs="Times New Roman"/>
          <w:lang w:val="en-AU"/>
        </w:rPr>
        <w:lastRenderedPageBreak/>
        <w:t>Appendix B3: efficiency ratios</w:t>
      </w:r>
      <w:bookmarkEnd w:id="42"/>
    </w:p>
    <w:p w14:paraId="11BDC0D2" w14:textId="3C5A596A" w:rsidR="00A77462" w:rsidRPr="002018AC" w:rsidRDefault="00A77462" w:rsidP="00695D8D">
      <w:pPr>
        <w:spacing w:line="276" w:lineRule="auto"/>
        <w:jc w:val="center"/>
        <w:rPr>
          <w:rFonts w:cs="Times New Roman"/>
          <w:b/>
          <w:bCs/>
          <w:lang w:val="en-AU"/>
        </w:rPr>
      </w:pPr>
      <w:r w:rsidRPr="002018AC">
        <w:rPr>
          <w:rFonts w:cs="Times New Roman"/>
          <w:b/>
          <w:bCs/>
          <w:lang w:val="en-AU"/>
        </w:rPr>
        <w:t>Asset turnover</w:t>
      </w:r>
    </w:p>
    <w:p w14:paraId="379AFA9A" w14:textId="77777777" w:rsidR="00A77462" w:rsidRPr="002018AC" w:rsidRDefault="00A77462" w:rsidP="00695D8D">
      <w:pPr>
        <w:pStyle w:val="ListParagraph"/>
        <w:numPr>
          <w:ilvl w:val="0"/>
          <w:numId w:val="19"/>
        </w:numPr>
        <w:spacing w:line="276" w:lineRule="auto"/>
        <w:jc w:val="left"/>
        <w:rPr>
          <w:rFonts w:cs="Times New Roman"/>
          <w:lang w:val="en-AU"/>
        </w:rPr>
      </w:pPr>
      <w:r w:rsidRPr="002018AC">
        <w:rPr>
          <w:rFonts w:cs="Times New Roman"/>
          <w:lang w:val="en-AU"/>
        </w:rPr>
        <w:t>Formula:</w:t>
      </w:r>
      <w:r w:rsidRPr="002018AC">
        <w:rPr>
          <w:rFonts w:cs="Times New Roman"/>
          <w:lang w:val="en-AU"/>
        </w:rPr>
        <w:br/>
        <w:t>Asset turnover = Sales / TALCL</w:t>
      </w:r>
    </w:p>
    <w:p w14:paraId="4F8CB645" w14:textId="77777777" w:rsidR="00A77462" w:rsidRPr="002018AC" w:rsidRDefault="00A77462" w:rsidP="00695D8D">
      <w:pPr>
        <w:pStyle w:val="ListParagraph"/>
        <w:numPr>
          <w:ilvl w:val="0"/>
          <w:numId w:val="19"/>
        </w:numPr>
        <w:spacing w:line="276" w:lineRule="auto"/>
        <w:jc w:val="left"/>
        <w:rPr>
          <w:rFonts w:cs="Times New Roman"/>
          <w:lang w:val="en-AU"/>
        </w:rPr>
      </w:pPr>
      <w:r w:rsidRPr="002018AC">
        <w:rPr>
          <w:rFonts w:cs="Times New Roman"/>
          <w:lang w:val="en-AU"/>
        </w:rPr>
        <w:t>FY2025:</w:t>
      </w:r>
      <w:r w:rsidRPr="002018AC">
        <w:rPr>
          <w:rFonts w:cs="Times New Roman"/>
          <w:lang w:val="en-AU"/>
        </w:rPr>
        <w:br/>
        <w:t>= 37,448 / 105,767</w:t>
      </w:r>
      <w:r w:rsidRPr="002018AC">
        <w:rPr>
          <w:rFonts w:cs="Times New Roman"/>
          <w:lang w:val="en-AU"/>
        </w:rPr>
        <w:br/>
        <w:t>= 0.35 times</w:t>
      </w:r>
    </w:p>
    <w:p w14:paraId="6439441D" w14:textId="77777777" w:rsidR="00A77462" w:rsidRPr="002018AC" w:rsidRDefault="00A77462" w:rsidP="00695D8D">
      <w:pPr>
        <w:pStyle w:val="ListParagraph"/>
        <w:numPr>
          <w:ilvl w:val="0"/>
          <w:numId w:val="19"/>
        </w:numPr>
        <w:spacing w:line="276" w:lineRule="auto"/>
        <w:jc w:val="left"/>
        <w:rPr>
          <w:rFonts w:cs="Times New Roman"/>
          <w:lang w:val="en-AU"/>
        </w:rPr>
      </w:pPr>
      <w:r w:rsidRPr="002018AC">
        <w:rPr>
          <w:rFonts w:cs="Times New Roman"/>
          <w:lang w:val="en-AU"/>
        </w:rPr>
        <w:t>FY2024:</w:t>
      </w:r>
      <w:r w:rsidRPr="002018AC">
        <w:rPr>
          <w:rFonts w:cs="Times New Roman"/>
          <w:lang w:val="en-AU"/>
        </w:rPr>
        <w:br/>
        <w:t>= 36,717 / 102,951</w:t>
      </w:r>
      <w:r w:rsidRPr="002018AC">
        <w:rPr>
          <w:rFonts w:cs="Times New Roman"/>
          <w:lang w:val="en-AU"/>
        </w:rPr>
        <w:br/>
        <w:t>= 0.36 times</w:t>
      </w:r>
    </w:p>
    <w:p w14:paraId="03F6FE94" w14:textId="6029B7F1" w:rsidR="00A77462" w:rsidRPr="002018AC" w:rsidRDefault="00A77462" w:rsidP="00695D8D">
      <w:pPr>
        <w:spacing w:line="276" w:lineRule="auto"/>
        <w:jc w:val="center"/>
        <w:rPr>
          <w:rFonts w:cs="Times New Roman"/>
          <w:b/>
          <w:bCs/>
          <w:lang w:val="en-AU"/>
        </w:rPr>
      </w:pPr>
      <w:proofErr w:type="gramStart"/>
      <w:r w:rsidRPr="002018AC">
        <w:rPr>
          <w:rFonts w:cs="Times New Roman"/>
          <w:b/>
          <w:bCs/>
          <w:lang w:val="en-AU"/>
        </w:rPr>
        <w:t>Debtors</w:t>
      </w:r>
      <w:proofErr w:type="gramEnd"/>
      <w:r w:rsidRPr="002018AC">
        <w:rPr>
          <w:rFonts w:cs="Times New Roman"/>
          <w:b/>
          <w:bCs/>
          <w:lang w:val="en-AU"/>
        </w:rPr>
        <w:t xml:space="preserve"> days</w:t>
      </w:r>
    </w:p>
    <w:p w14:paraId="359138C7" w14:textId="77777777" w:rsidR="00A77462" w:rsidRPr="002018AC" w:rsidRDefault="00A77462" w:rsidP="00695D8D">
      <w:pPr>
        <w:pStyle w:val="ListParagraph"/>
        <w:numPr>
          <w:ilvl w:val="0"/>
          <w:numId w:val="20"/>
        </w:numPr>
        <w:spacing w:line="276" w:lineRule="auto"/>
        <w:jc w:val="left"/>
        <w:rPr>
          <w:rFonts w:cs="Times New Roman"/>
          <w:lang w:val="en-AU"/>
        </w:rPr>
      </w:pPr>
      <w:r w:rsidRPr="002018AC">
        <w:rPr>
          <w:rFonts w:cs="Times New Roman"/>
          <w:lang w:val="en-AU"/>
        </w:rPr>
        <w:t>Formula:</w:t>
      </w:r>
      <w:r w:rsidRPr="002018AC">
        <w:rPr>
          <w:rFonts w:cs="Times New Roman"/>
          <w:lang w:val="en-AU"/>
        </w:rPr>
        <w:br/>
      </w:r>
      <w:proofErr w:type="gramStart"/>
      <w:r w:rsidRPr="002018AC">
        <w:rPr>
          <w:rFonts w:cs="Times New Roman"/>
          <w:lang w:val="en-AU"/>
        </w:rPr>
        <w:t>Debtors</w:t>
      </w:r>
      <w:proofErr w:type="gramEnd"/>
      <w:r w:rsidRPr="002018AC">
        <w:rPr>
          <w:rFonts w:cs="Times New Roman"/>
          <w:lang w:val="en-AU"/>
        </w:rPr>
        <w:t xml:space="preserve"> days = Debtors / Sales × 365</w:t>
      </w:r>
    </w:p>
    <w:p w14:paraId="1F3BE8EF" w14:textId="77777777" w:rsidR="00A77462" w:rsidRPr="002018AC" w:rsidRDefault="00A77462" w:rsidP="00695D8D">
      <w:pPr>
        <w:pStyle w:val="ListParagraph"/>
        <w:numPr>
          <w:ilvl w:val="0"/>
          <w:numId w:val="20"/>
        </w:numPr>
        <w:spacing w:line="276" w:lineRule="auto"/>
        <w:jc w:val="left"/>
        <w:rPr>
          <w:rFonts w:cs="Times New Roman"/>
          <w:lang w:val="en-AU"/>
        </w:rPr>
      </w:pPr>
      <w:r w:rsidRPr="002018AC">
        <w:rPr>
          <w:rFonts w:cs="Times New Roman"/>
          <w:lang w:val="en-AU"/>
        </w:rPr>
        <w:t>FY2025:</w:t>
      </w:r>
      <w:r w:rsidRPr="002018AC">
        <w:rPr>
          <w:rFonts w:cs="Times New Roman"/>
          <w:lang w:val="en-AU"/>
        </w:rPr>
        <w:br/>
        <w:t>= 3,657 / 37,448 × 365</w:t>
      </w:r>
      <w:r w:rsidRPr="002018AC">
        <w:rPr>
          <w:rFonts w:cs="Times New Roman"/>
          <w:lang w:val="en-AU"/>
        </w:rPr>
        <w:br/>
        <w:t>= 35.64 days</w:t>
      </w:r>
    </w:p>
    <w:p w14:paraId="5863ECF8" w14:textId="77777777" w:rsidR="00A77462" w:rsidRPr="002018AC" w:rsidRDefault="00A77462" w:rsidP="00695D8D">
      <w:pPr>
        <w:pStyle w:val="ListParagraph"/>
        <w:numPr>
          <w:ilvl w:val="0"/>
          <w:numId w:val="20"/>
        </w:numPr>
        <w:spacing w:line="276" w:lineRule="auto"/>
        <w:jc w:val="left"/>
        <w:rPr>
          <w:rFonts w:cs="Times New Roman"/>
          <w:lang w:val="en-AU"/>
        </w:rPr>
      </w:pPr>
      <w:r w:rsidRPr="002018AC">
        <w:rPr>
          <w:rFonts w:cs="Times New Roman"/>
          <w:lang w:val="en-AU"/>
        </w:rPr>
        <w:t>FY2024:</w:t>
      </w:r>
      <w:r w:rsidRPr="002018AC">
        <w:rPr>
          <w:rFonts w:cs="Times New Roman"/>
          <w:lang w:val="en-AU"/>
        </w:rPr>
        <w:br/>
        <w:t>= 3,282 / 36,717 × 365</w:t>
      </w:r>
      <w:r w:rsidRPr="002018AC">
        <w:rPr>
          <w:rFonts w:cs="Times New Roman"/>
          <w:lang w:val="en-AU"/>
        </w:rPr>
        <w:br/>
        <w:t>= 32.63 days</w:t>
      </w:r>
    </w:p>
    <w:p w14:paraId="0C86BF43" w14:textId="3B679E23" w:rsidR="00A77462" w:rsidRPr="002018AC" w:rsidRDefault="00A77462" w:rsidP="00695D8D">
      <w:pPr>
        <w:spacing w:line="276" w:lineRule="auto"/>
        <w:jc w:val="center"/>
        <w:rPr>
          <w:rFonts w:cs="Times New Roman"/>
          <w:b/>
          <w:bCs/>
          <w:lang w:val="en-AU"/>
        </w:rPr>
      </w:pPr>
      <w:r w:rsidRPr="002018AC">
        <w:rPr>
          <w:rFonts w:cs="Times New Roman"/>
          <w:b/>
          <w:bCs/>
          <w:lang w:val="en-AU"/>
        </w:rPr>
        <w:t>Creditor days</w:t>
      </w:r>
    </w:p>
    <w:p w14:paraId="286426A9" w14:textId="77777777" w:rsidR="00A77462" w:rsidRPr="002018AC" w:rsidRDefault="00A77462" w:rsidP="00695D8D">
      <w:pPr>
        <w:pStyle w:val="ListParagraph"/>
        <w:numPr>
          <w:ilvl w:val="0"/>
          <w:numId w:val="21"/>
        </w:numPr>
        <w:spacing w:line="276" w:lineRule="auto"/>
        <w:jc w:val="left"/>
        <w:rPr>
          <w:rFonts w:cs="Times New Roman"/>
          <w:lang w:val="en-AU"/>
        </w:rPr>
      </w:pPr>
      <w:r w:rsidRPr="002018AC">
        <w:rPr>
          <w:rFonts w:cs="Times New Roman"/>
          <w:lang w:val="en-AU"/>
        </w:rPr>
        <w:t>Formula:</w:t>
      </w:r>
      <w:r w:rsidRPr="002018AC">
        <w:rPr>
          <w:rFonts w:cs="Times New Roman"/>
          <w:lang w:val="en-AU"/>
        </w:rPr>
        <w:br/>
        <w:t>Creditor days = Creditors / COGS × 365</w:t>
      </w:r>
    </w:p>
    <w:p w14:paraId="252BF983" w14:textId="77777777" w:rsidR="00A77462" w:rsidRPr="002018AC" w:rsidRDefault="00A77462" w:rsidP="00695D8D">
      <w:pPr>
        <w:pStyle w:val="ListParagraph"/>
        <w:numPr>
          <w:ilvl w:val="0"/>
          <w:numId w:val="21"/>
        </w:numPr>
        <w:spacing w:line="276" w:lineRule="auto"/>
        <w:jc w:val="left"/>
        <w:rPr>
          <w:rFonts w:cs="Times New Roman"/>
          <w:lang w:val="en-AU"/>
        </w:rPr>
      </w:pPr>
      <w:r w:rsidRPr="002018AC">
        <w:rPr>
          <w:rFonts w:cs="Times New Roman"/>
          <w:lang w:val="en-AU"/>
        </w:rPr>
        <w:t>FY2025:</w:t>
      </w:r>
      <w:r w:rsidRPr="002018AC">
        <w:rPr>
          <w:rFonts w:cs="Times New Roman"/>
          <w:lang w:val="en-AU"/>
        </w:rPr>
        <w:br/>
        <w:t>= 6,157 / 24,929 × 365</w:t>
      </w:r>
      <w:r w:rsidRPr="002018AC">
        <w:rPr>
          <w:rFonts w:cs="Times New Roman"/>
          <w:lang w:val="en-AU"/>
        </w:rPr>
        <w:br/>
        <w:t>= 90.15 days</w:t>
      </w:r>
    </w:p>
    <w:p w14:paraId="230FE172" w14:textId="77777777" w:rsidR="00A77462" w:rsidRPr="002018AC" w:rsidRDefault="00A77462" w:rsidP="00695D8D">
      <w:pPr>
        <w:pStyle w:val="ListParagraph"/>
        <w:numPr>
          <w:ilvl w:val="0"/>
          <w:numId w:val="21"/>
        </w:numPr>
        <w:spacing w:line="276" w:lineRule="auto"/>
        <w:jc w:val="left"/>
        <w:rPr>
          <w:rFonts w:cs="Times New Roman"/>
          <w:lang w:val="en-AU"/>
        </w:rPr>
      </w:pPr>
      <w:r w:rsidRPr="002018AC">
        <w:rPr>
          <w:rFonts w:cs="Times New Roman"/>
          <w:lang w:val="en-AU"/>
        </w:rPr>
        <w:t>FY2024:</w:t>
      </w:r>
      <w:r w:rsidRPr="002018AC">
        <w:rPr>
          <w:rFonts w:cs="Times New Roman"/>
          <w:lang w:val="en-AU"/>
        </w:rPr>
        <w:br/>
        <w:t>= 5,613 / 24,459 × 365</w:t>
      </w:r>
      <w:r w:rsidRPr="002018AC">
        <w:rPr>
          <w:rFonts w:cs="Times New Roman"/>
          <w:lang w:val="en-AU"/>
        </w:rPr>
        <w:br/>
        <w:t>= 83.76 days</w:t>
      </w:r>
    </w:p>
    <w:p w14:paraId="33489780" w14:textId="49061E0B" w:rsidR="00A77462" w:rsidRPr="002018AC" w:rsidRDefault="00970D02" w:rsidP="00970D02">
      <w:pPr>
        <w:tabs>
          <w:tab w:val="center" w:pos="4680"/>
          <w:tab w:val="left" w:pos="6276"/>
        </w:tabs>
        <w:spacing w:line="276" w:lineRule="auto"/>
        <w:jc w:val="left"/>
        <w:rPr>
          <w:rFonts w:cs="Times New Roman"/>
          <w:b/>
          <w:bCs/>
          <w:lang w:val="en-AU"/>
        </w:rPr>
      </w:pPr>
      <w:r w:rsidRPr="002018AC">
        <w:rPr>
          <w:rFonts w:cs="Times New Roman"/>
          <w:b/>
          <w:bCs/>
          <w:lang w:val="en-AU"/>
        </w:rPr>
        <w:tab/>
      </w:r>
      <w:r w:rsidR="00A77462" w:rsidRPr="002018AC">
        <w:rPr>
          <w:rFonts w:cs="Times New Roman"/>
          <w:b/>
          <w:bCs/>
          <w:lang w:val="en-AU"/>
        </w:rPr>
        <w:t>Stock days</w:t>
      </w:r>
      <w:r w:rsidRPr="002018AC">
        <w:rPr>
          <w:rFonts w:cs="Times New Roman"/>
          <w:b/>
          <w:bCs/>
          <w:lang w:val="en-AU"/>
        </w:rPr>
        <w:tab/>
      </w:r>
    </w:p>
    <w:p w14:paraId="02E8CF1D" w14:textId="77777777" w:rsidR="00A77462" w:rsidRPr="002018AC" w:rsidRDefault="00A77462" w:rsidP="00695D8D">
      <w:pPr>
        <w:pStyle w:val="ListParagraph"/>
        <w:numPr>
          <w:ilvl w:val="0"/>
          <w:numId w:val="22"/>
        </w:numPr>
        <w:spacing w:line="276" w:lineRule="auto"/>
        <w:jc w:val="left"/>
        <w:rPr>
          <w:rFonts w:cs="Times New Roman"/>
          <w:lang w:val="en-AU"/>
        </w:rPr>
      </w:pPr>
      <w:r w:rsidRPr="002018AC">
        <w:rPr>
          <w:rFonts w:cs="Times New Roman"/>
          <w:lang w:val="en-AU"/>
        </w:rPr>
        <w:t>Formula:</w:t>
      </w:r>
      <w:r w:rsidRPr="002018AC">
        <w:rPr>
          <w:rFonts w:cs="Times New Roman"/>
          <w:lang w:val="en-AU"/>
        </w:rPr>
        <w:br/>
        <w:t>Stock days = Stock / COGS × 365</w:t>
      </w:r>
    </w:p>
    <w:p w14:paraId="385E3532" w14:textId="77777777" w:rsidR="00A77462" w:rsidRPr="002018AC" w:rsidRDefault="00A77462" w:rsidP="00695D8D">
      <w:pPr>
        <w:pStyle w:val="ListParagraph"/>
        <w:numPr>
          <w:ilvl w:val="0"/>
          <w:numId w:val="22"/>
        </w:numPr>
        <w:spacing w:line="276" w:lineRule="auto"/>
        <w:jc w:val="left"/>
        <w:rPr>
          <w:rFonts w:cs="Times New Roman"/>
          <w:lang w:val="en-AU"/>
        </w:rPr>
      </w:pPr>
      <w:r w:rsidRPr="002018AC">
        <w:rPr>
          <w:rFonts w:cs="Times New Roman"/>
          <w:lang w:val="en-AU"/>
        </w:rPr>
        <w:t>FY2025:</w:t>
      </w:r>
      <w:r w:rsidRPr="002018AC">
        <w:rPr>
          <w:rFonts w:cs="Times New Roman"/>
          <w:lang w:val="en-AU"/>
        </w:rPr>
        <w:br/>
        <w:t>= 617 / 24,929 × 365</w:t>
      </w:r>
      <w:r w:rsidRPr="002018AC">
        <w:rPr>
          <w:rFonts w:cs="Times New Roman"/>
          <w:lang w:val="en-AU"/>
        </w:rPr>
        <w:br/>
        <w:t>= 9.03 days</w:t>
      </w:r>
    </w:p>
    <w:p w14:paraId="112B98B5" w14:textId="77777777" w:rsidR="00A77462" w:rsidRPr="002018AC" w:rsidRDefault="00A77462" w:rsidP="00695D8D">
      <w:pPr>
        <w:pStyle w:val="ListParagraph"/>
        <w:numPr>
          <w:ilvl w:val="0"/>
          <w:numId w:val="22"/>
        </w:numPr>
        <w:spacing w:line="276" w:lineRule="auto"/>
        <w:jc w:val="left"/>
        <w:rPr>
          <w:rFonts w:cs="Times New Roman"/>
          <w:lang w:val="en-AU"/>
        </w:rPr>
      </w:pPr>
      <w:r w:rsidRPr="002018AC">
        <w:rPr>
          <w:rFonts w:cs="Times New Roman"/>
          <w:lang w:val="en-AU"/>
        </w:rPr>
        <w:lastRenderedPageBreak/>
        <w:t>FY2024:</w:t>
      </w:r>
      <w:r w:rsidRPr="002018AC">
        <w:rPr>
          <w:rFonts w:cs="Times New Roman"/>
          <w:lang w:val="en-AU"/>
        </w:rPr>
        <w:br/>
        <w:t>= 568 / 24,459 × 365</w:t>
      </w:r>
      <w:r w:rsidRPr="002018AC">
        <w:rPr>
          <w:rFonts w:cs="Times New Roman"/>
          <w:lang w:val="en-AU"/>
        </w:rPr>
        <w:br/>
        <w:t>= 8.48 days</w:t>
      </w:r>
    </w:p>
    <w:p w14:paraId="508E248E" w14:textId="2C98A764" w:rsidR="00A77462" w:rsidRPr="002018AC" w:rsidRDefault="00A77462" w:rsidP="00695D8D">
      <w:pPr>
        <w:spacing w:line="276" w:lineRule="auto"/>
        <w:jc w:val="center"/>
        <w:rPr>
          <w:rFonts w:cs="Times New Roman"/>
          <w:b/>
          <w:bCs/>
          <w:lang w:val="en-AU"/>
        </w:rPr>
      </w:pPr>
      <w:r w:rsidRPr="002018AC">
        <w:rPr>
          <w:rFonts w:cs="Times New Roman"/>
          <w:b/>
          <w:bCs/>
          <w:lang w:val="en-AU"/>
        </w:rPr>
        <w:t>Stock turnover</w:t>
      </w:r>
    </w:p>
    <w:p w14:paraId="781D3C64" w14:textId="77777777" w:rsidR="00A77462" w:rsidRPr="002018AC" w:rsidRDefault="00A77462" w:rsidP="00695D8D">
      <w:pPr>
        <w:pStyle w:val="ListParagraph"/>
        <w:numPr>
          <w:ilvl w:val="0"/>
          <w:numId w:val="23"/>
        </w:numPr>
        <w:spacing w:line="276" w:lineRule="auto"/>
        <w:jc w:val="left"/>
        <w:rPr>
          <w:rFonts w:cs="Times New Roman"/>
          <w:lang w:val="en-AU"/>
        </w:rPr>
      </w:pPr>
      <w:r w:rsidRPr="002018AC">
        <w:rPr>
          <w:rFonts w:cs="Times New Roman"/>
          <w:lang w:val="en-AU"/>
        </w:rPr>
        <w:t>Formula:</w:t>
      </w:r>
      <w:r w:rsidRPr="002018AC">
        <w:rPr>
          <w:rFonts w:cs="Times New Roman"/>
          <w:lang w:val="en-AU"/>
        </w:rPr>
        <w:br/>
        <w:t>Stock turnover = COGS / Stock</w:t>
      </w:r>
    </w:p>
    <w:p w14:paraId="14A2BC3F" w14:textId="77777777" w:rsidR="00A77462" w:rsidRPr="002018AC" w:rsidRDefault="00A77462" w:rsidP="00695D8D">
      <w:pPr>
        <w:pStyle w:val="ListParagraph"/>
        <w:numPr>
          <w:ilvl w:val="0"/>
          <w:numId w:val="23"/>
        </w:numPr>
        <w:spacing w:line="276" w:lineRule="auto"/>
        <w:jc w:val="left"/>
        <w:rPr>
          <w:rFonts w:cs="Times New Roman"/>
          <w:lang w:val="en-AU"/>
        </w:rPr>
      </w:pPr>
      <w:r w:rsidRPr="002018AC">
        <w:rPr>
          <w:rFonts w:cs="Times New Roman"/>
          <w:lang w:val="en-AU"/>
        </w:rPr>
        <w:t>FY2025:</w:t>
      </w:r>
      <w:r w:rsidRPr="002018AC">
        <w:rPr>
          <w:rFonts w:cs="Times New Roman"/>
          <w:lang w:val="en-AU"/>
        </w:rPr>
        <w:br/>
        <w:t>= 24,929 / 617</w:t>
      </w:r>
      <w:r w:rsidRPr="002018AC">
        <w:rPr>
          <w:rFonts w:cs="Times New Roman"/>
          <w:lang w:val="en-AU"/>
        </w:rPr>
        <w:br/>
        <w:t>= 40.40 times</w:t>
      </w:r>
    </w:p>
    <w:p w14:paraId="421C705D" w14:textId="77777777" w:rsidR="00A77462" w:rsidRPr="002018AC" w:rsidRDefault="00A77462" w:rsidP="00695D8D">
      <w:pPr>
        <w:pStyle w:val="ListParagraph"/>
        <w:numPr>
          <w:ilvl w:val="0"/>
          <w:numId w:val="23"/>
        </w:numPr>
        <w:spacing w:line="276" w:lineRule="auto"/>
        <w:jc w:val="left"/>
        <w:rPr>
          <w:rFonts w:cs="Times New Roman"/>
          <w:lang w:val="en-AU"/>
        </w:rPr>
      </w:pPr>
      <w:r w:rsidRPr="002018AC">
        <w:rPr>
          <w:rFonts w:cs="Times New Roman"/>
          <w:lang w:val="en-AU"/>
        </w:rPr>
        <w:t>FY2024:</w:t>
      </w:r>
      <w:r w:rsidRPr="002018AC">
        <w:rPr>
          <w:rFonts w:cs="Times New Roman"/>
          <w:lang w:val="en-AU"/>
        </w:rPr>
        <w:br/>
        <w:t>= 24,459 / 568</w:t>
      </w:r>
      <w:r w:rsidRPr="002018AC">
        <w:rPr>
          <w:rFonts w:cs="Times New Roman"/>
          <w:lang w:val="en-AU"/>
        </w:rPr>
        <w:br/>
        <w:t>= 43.06 times</w:t>
      </w:r>
    </w:p>
    <w:p w14:paraId="580F7175" w14:textId="0417F11A" w:rsidR="00A77462" w:rsidRPr="002018AC" w:rsidRDefault="00A77462" w:rsidP="00695D8D">
      <w:pPr>
        <w:pStyle w:val="Heading3"/>
        <w:numPr>
          <w:ilvl w:val="2"/>
          <w:numId w:val="9"/>
        </w:numPr>
        <w:spacing w:before="200" w:after="0" w:line="276" w:lineRule="auto"/>
        <w:ind w:left="0" w:firstLine="0"/>
        <w:jc w:val="left"/>
        <w:rPr>
          <w:rFonts w:cs="Times New Roman"/>
          <w:lang w:val="en-AU"/>
        </w:rPr>
      </w:pPr>
      <w:bookmarkStart w:id="43" w:name="_Toc227606857"/>
      <w:r w:rsidRPr="002018AC">
        <w:rPr>
          <w:rFonts w:cs="Times New Roman"/>
          <w:lang w:val="en-AU"/>
        </w:rPr>
        <w:t>Appendix B4: liquidity ratios</w:t>
      </w:r>
      <w:bookmarkEnd w:id="43"/>
    </w:p>
    <w:p w14:paraId="63806EE4" w14:textId="091D1034" w:rsidR="00A77462" w:rsidRPr="002018AC" w:rsidRDefault="00A77462" w:rsidP="00695D8D">
      <w:pPr>
        <w:spacing w:line="276" w:lineRule="auto"/>
        <w:jc w:val="center"/>
        <w:rPr>
          <w:rFonts w:cs="Times New Roman"/>
          <w:b/>
          <w:bCs/>
          <w:lang w:val="en-AU"/>
        </w:rPr>
      </w:pPr>
      <w:r w:rsidRPr="002018AC">
        <w:rPr>
          <w:rFonts w:cs="Times New Roman"/>
          <w:b/>
          <w:bCs/>
          <w:lang w:val="en-AU"/>
        </w:rPr>
        <w:t>Current ratio</w:t>
      </w:r>
    </w:p>
    <w:p w14:paraId="512B156A" w14:textId="77777777" w:rsidR="00A77462" w:rsidRPr="002018AC" w:rsidRDefault="00A77462" w:rsidP="00695D8D">
      <w:pPr>
        <w:pStyle w:val="ListParagraph"/>
        <w:numPr>
          <w:ilvl w:val="0"/>
          <w:numId w:val="24"/>
        </w:numPr>
        <w:spacing w:line="276" w:lineRule="auto"/>
        <w:jc w:val="left"/>
        <w:rPr>
          <w:rFonts w:cs="Times New Roman"/>
          <w:lang w:val="en-AU"/>
        </w:rPr>
      </w:pPr>
      <w:r w:rsidRPr="002018AC">
        <w:rPr>
          <w:rFonts w:cs="Times New Roman"/>
          <w:lang w:val="en-AU"/>
        </w:rPr>
        <w:t>Formula:</w:t>
      </w:r>
      <w:r w:rsidRPr="002018AC">
        <w:rPr>
          <w:rFonts w:cs="Times New Roman"/>
          <w:lang w:val="en-AU"/>
        </w:rPr>
        <w:br/>
        <w:t>Current ratio = Current assets / Current liabilities</w:t>
      </w:r>
    </w:p>
    <w:p w14:paraId="7CE1759F" w14:textId="77777777" w:rsidR="00A77462" w:rsidRPr="002018AC" w:rsidRDefault="00A77462" w:rsidP="00695D8D">
      <w:pPr>
        <w:pStyle w:val="ListParagraph"/>
        <w:numPr>
          <w:ilvl w:val="0"/>
          <w:numId w:val="24"/>
        </w:numPr>
        <w:spacing w:line="276" w:lineRule="auto"/>
        <w:jc w:val="left"/>
        <w:rPr>
          <w:rFonts w:cs="Times New Roman"/>
          <w:lang w:val="en-AU"/>
        </w:rPr>
      </w:pPr>
      <w:r w:rsidRPr="002018AC">
        <w:rPr>
          <w:rFonts w:cs="Times New Roman"/>
          <w:lang w:val="en-AU"/>
        </w:rPr>
        <w:t>FY2025:</w:t>
      </w:r>
      <w:r w:rsidRPr="002018AC">
        <w:rPr>
          <w:rFonts w:cs="Times New Roman"/>
          <w:lang w:val="en-AU"/>
        </w:rPr>
        <w:br/>
        <w:t>= 28,620 / 22,754</w:t>
      </w:r>
      <w:r w:rsidRPr="002018AC">
        <w:rPr>
          <w:rFonts w:cs="Times New Roman"/>
          <w:lang w:val="en-AU"/>
        </w:rPr>
        <w:br/>
        <w:t>= 1.26 times</w:t>
      </w:r>
    </w:p>
    <w:p w14:paraId="706A471A" w14:textId="77777777" w:rsidR="00A77462" w:rsidRPr="002018AC" w:rsidRDefault="00A77462" w:rsidP="00695D8D">
      <w:pPr>
        <w:pStyle w:val="ListParagraph"/>
        <w:numPr>
          <w:ilvl w:val="0"/>
          <w:numId w:val="24"/>
        </w:numPr>
        <w:spacing w:line="276" w:lineRule="auto"/>
        <w:jc w:val="left"/>
        <w:rPr>
          <w:rFonts w:cs="Times New Roman"/>
          <w:lang w:val="en-AU"/>
        </w:rPr>
      </w:pPr>
      <w:r w:rsidRPr="002018AC">
        <w:rPr>
          <w:rFonts w:cs="Times New Roman"/>
          <w:lang w:val="en-AU"/>
        </w:rPr>
        <w:t>FY2024:</w:t>
      </w:r>
      <w:r w:rsidRPr="002018AC">
        <w:rPr>
          <w:rFonts w:cs="Times New Roman"/>
          <w:lang w:val="en-AU"/>
        </w:rPr>
        <w:br/>
        <w:t>= 20,513 / 22,352</w:t>
      </w:r>
      <w:r w:rsidRPr="002018AC">
        <w:rPr>
          <w:rFonts w:cs="Times New Roman"/>
          <w:lang w:val="en-AU"/>
        </w:rPr>
        <w:br/>
        <w:t>= 0.92 times</w:t>
      </w:r>
    </w:p>
    <w:p w14:paraId="3836917A" w14:textId="446BA7A8" w:rsidR="00A77462" w:rsidRPr="002018AC" w:rsidRDefault="00A77462" w:rsidP="00695D8D">
      <w:pPr>
        <w:spacing w:line="276" w:lineRule="auto"/>
        <w:jc w:val="center"/>
        <w:rPr>
          <w:rFonts w:cs="Times New Roman"/>
          <w:b/>
          <w:bCs/>
          <w:lang w:val="en-AU"/>
        </w:rPr>
      </w:pPr>
      <w:r w:rsidRPr="002018AC">
        <w:rPr>
          <w:rFonts w:cs="Times New Roman"/>
          <w:b/>
          <w:bCs/>
          <w:lang w:val="en-AU"/>
        </w:rPr>
        <w:t>Quick ratio</w:t>
      </w:r>
    </w:p>
    <w:p w14:paraId="2077D7DA" w14:textId="77777777" w:rsidR="00A77462" w:rsidRPr="002018AC" w:rsidRDefault="00A77462" w:rsidP="00695D8D">
      <w:pPr>
        <w:pStyle w:val="ListParagraph"/>
        <w:numPr>
          <w:ilvl w:val="0"/>
          <w:numId w:val="25"/>
        </w:numPr>
        <w:spacing w:line="276" w:lineRule="auto"/>
        <w:jc w:val="left"/>
        <w:rPr>
          <w:rFonts w:cs="Times New Roman"/>
          <w:lang w:val="en-AU"/>
        </w:rPr>
      </w:pPr>
      <w:r w:rsidRPr="002018AC">
        <w:rPr>
          <w:rFonts w:cs="Times New Roman"/>
          <w:lang w:val="en-AU"/>
        </w:rPr>
        <w:t>Formula:</w:t>
      </w:r>
      <w:r w:rsidRPr="002018AC">
        <w:rPr>
          <w:rFonts w:cs="Times New Roman"/>
          <w:lang w:val="en-AU"/>
        </w:rPr>
        <w:br/>
        <w:t>Quick ratio = Current assets – Stock / Current liabilities</w:t>
      </w:r>
    </w:p>
    <w:p w14:paraId="30A09A91" w14:textId="77777777" w:rsidR="00A77462" w:rsidRPr="002018AC" w:rsidRDefault="00A77462" w:rsidP="00695D8D">
      <w:pPr>
        <w:pStyle w:val="ListParagraph"/>
        <w:numPr>
          <w:ilvl w:val="0"/>
          <w:numId w:val="25"/>
        </w:numPr>
        <w:spacing w:line="276" w:lineRule="auto"/>
        <w:jc w:val="left"/>
        <w:rPr>
          <w:rFonts w:cs="Times New Roman"/>
          <w:lang w:val="en-AU"/>
        </w:rPr>
      </w:pPr>
      <w:r w:rsidRPr="002018AC">
        <w:rPr>
          <w:rFonts w:cs="Times New Roman"/>
          <w:lang w:val="en-AU"/>
        </w:rPr>
        <w:t>FY2025:</w:t>
      </w:r>
      <w:r w:rsidRPr="002018AC">
        <w:rPr>
          <w:rFonts w:cs="Times New Roman"/>
          <w:lang w:val="en-AU"/>
        </w:rPr>
        <w:br/>
        <w:t>= (28,620 – 617) / 22,754</w:t>
      </w:r>
      <w:r w:rsidRPr="002018AC">
        <w:rPr>
          <w:rFonts w:cs="Times New Roman"/>
          <w:lang w:val="en-AU"/>
        </w:rPr>
        <w:br/>
        <w:t>= 28,003 / 22,754</w:t>
      </w:r>
      <w:r w:rsidRPr="002018AC">
        <w:rPr>
          <w:rFonts w:cs="Times New Roman"/>
          <w:lang w:val="en-AU"/>
        </w:rPr>
        <w:br/>
        <w:t>= 1.23 times</w:t>
      </w:r>
    </w:p>
    <w:p w14:paraId="1C567462" w14:textId="77777777" w:rsidR="00A77462" w:rsidRPr="002018AC" w:rsidRDefault="00A77462" w:rsidP="00695D8D">
      <w:pPr>
        <w:pStyle w:val="ListParagraph"/>
        <w:numPr>
          <w:ilvl w:val="0"/>
          <w:numId w:val="25"/>
        </w:numPr>
        <w:spacing w:line="276" w:lineRule="auto"/>
        <w:jc w:val="left"/>
        <w:rPr>
          <w:rFonts w:cs="Times New Roman"/>
          <w:lang w:val="en-AU"/>
        </w:rPr>
      </w:pPr>
      <w:r w:rsidRPr="002018AC">
        <w:rPr>
          <w:rFonts w:cs="Times New Roman"/>
          <w:lang w:val="en-AU"/>
        </w:rPr>
        <w:t>FY2024:</w:t>
      </w:r>
      <w:r w:rsidRPr="002018AC">
        <w:rPr>
          <w:rFonts w:cs="Times New Roman"/>
          <w:lang w:val="en-AU"/>
        </w:rPr>
        <w:br/>
        <w:t>= (20,513 – 568) / 22,352</w:t>
      </w:r>
      <w:r w:rsidRPr="002018AC">
        <w:rPr>
          <w:rFonts w:cs="Times New Roman"/>
          <w:lang w:val="en-AU"/>
        </w:rPr>
        <w:br/>
        <w:t>= 19,945 / 22,352</w:t>
      </w:r>
      <w:r w:rsidRPr="002018AC">
        <w:rPr>
          <w:rFonts w:cs="Times New Roman"/>
          <w:lang w:val="en-AU"/>
        </w:rPr>
        <w:br/>
        <w:t>= 0.89 times</w:t>
      </w:r>
    </w:p>
    <w:p w14:paraId="3BBBA6EC" w14:textId="77777777" w:rsidR="00A77462" w:rsidRPr="002018AC" w:rsidRDefault="00A77462" w:rsidP="00695D8D">
      <w:pPr>
        <w:pStyle w:val="ListParagraph"/>
        <w:numPr>
          <w:ilvl w:val="0"/>
          <w:numId w:val="25"/>
        </w:numPr>
        <w:spacing w:line="276" w:lineRule="auto"/>
        <w:jc w:val="left"/>
        <w:rPr>
          <w:rFonts w:cs="Times New Roman"/>
          <w:lang w:val="en-AU"/>
        </w:rPr>
      </w:pPr>
      <w:r w:rsidRPr="002018AC">
        <w:rPr>
          <w:rFonts w:cs="Times New Roman"/>
          <w:lang w:val="en-AU"/>
        </w:rPr>
        <w:t>FY2024 current ratio including held-for-sale items:</w:t>
      </w:r>
      <w:r w:rsidRPr="002018AC">
        <w:rPr>
          <w:rFonts w:cs="Times New Roman"/>
          <w:lang w:val="en-AU"/>
        </w:rPr>
        <w:br/>
        <w:t>= (20,513 + 19,047) / (22,352 + 6,918)</w:t>
      </w:r>
      <w:r w:rsidRPr="002018AC">
        <w:rPr>
          <w:rFonts w:cs="Times New Roman"/>
          <w:lang w:val="en-AU"/>
        </w:rPr>
        <w:br/>
      </w:r>
      <w:r w:rsidRPr="002018AC">
        <w:rPr>
          <w:rFonts w:cs="Times New Roman"/>
          <w:lang w:val="en-AU"/>
        </w:rPr>
        <w:lastRenderedPageBreak/>
        <w:t>= 39,560 / 29,270</w:t>
      </w:r>
      <w:r w:rsidRPr="002018AC">
        <w:rPr>
          <w:rFonts w:cs="Times New Roman"/>
          <w:lang w:val="en-AU"/>
        </w:rPr>
        <w:br/>
        <w:t>= 1.35 times</w:t>
      </w:r>
    </w:p>
    <w:p w14:paraId="28FF84FA" w14:textId="2763E88B" w:rsidR="00A77462" w:rsidRPr="002018AC" w:rsidRDefault="00A77462" w:rsidP="00695D8D">
      <w:pPr>
        <w:pStyle w:val="Heading3"/>
        <w:numPr>
          <w:ilvl w:val="2"/>
          <w:numId w:val="9"/>
        </w:numPr>
        <w:spacing w:before="200" w:after="0" w:line="276" w:lineRule="auto"/>
        <w:ind w:left="0" w:firstLine="0"/>
        <w:jc w:val="left"/>
        <w:rPr>
          <w:rFonts w:cs="Times New Roman"/>
          <w:lang w:val="en-AU"/>
        </w:rPr>
      </w:pPr>
      <w:bookmarkStart w:id="44" w:name="_Toc227606858"/>
      <w:r w:rsidRPr="002018AC">
        <w:rPr>
          <w:rFonts w:cs="Times New Roman"/>
          <w:lang w:val="en-AU"/>
        </w:rPr>
        <w:t>Appendix B5: investment ratios</w:t>
      </w:r>
      <w:bookmarkEnd w:id="44"/>
    </w:p>
    <w:p w14:paraId="6D9D2B1B" w14:textId="57F4748D" w:rsidR="00A77462" w:rsidRPr="002018AC" w:rsidRDefault="00A77462" w:rsidP="00695D8D">
      <w:pPr>
        <w:spacing w:line="276" w:lineRule="auto"/>
        <w:jc w:val="center"/>
        <w:rPr>
          <w:rFonts w:cs="Times New Roman"/>
          <w:b/>
          <w:bCs/>
          <w:lang w:val="en-AU"/>
        </w:rPr>
      </w:pPr>
      <w:r w:rsidRPr="002018AC">
        <w:rPr>
          <w:rFonts w:cs="Times New Roman"/>
          <w:b/>
          <w:bCs/>
          <w:lang w:val="en-AU"/>
        </w:rPr>
        <w:t>Earnings per share</w:t>
      </w:r>
    </w:p>
    <w:p w14:paraId="418BA52B" w14:textId="77777777" w:rsidR="00A77462" w:rsidRPr="002018AC" w:rsidRDefault="00A77462" w:rsidP="00695D8D">
      <w:pPr>
        <w:pStyle w:val="ListParagraph"/>
        <w:numPr>
          <w:ilvl w:val="0"/>
          <w:numId w:val="26"/>
        </w:numPr>
        <w:spacing w:line="276" w:lineRule="auto"/>
        <w:jc w:val="left"/>
        <w:rPr>
          <w:rFonts w:cs="Times New Roman"/>
          <w:lang w:val="en-AU"/>
        </w:rPr>
      </w:pPr>
      <w:r w:rsidRPr="002018AC">
        <w:rPr>
          <w:rFonts w:cs="Times New Roman"/>
          <w:lang w:val="en-AU"/>
        </w:rPr>
        <w:t>Formula:</w:t>
      </w:r>
      <w:r w:rsidRPr="002018AC">
        <w:rPr>
          <w:rFonts w:cs="Times New Roman"/>
          <w:lang w:val="en-AU"/>
        </w:rPr>
        <w:br/>
        <w:t>EPS = Profit after tax attributable to owners / weighted average ordinary shares</w:t>
      </w:r>
    </w:p>
    <w:p w14:paraId="254C2DED" w14:textId="77777777" w:rsidR="00A77462" w:rsidRPr="002018AC" w:rsidRDefault="00A77462" w:rsidP="00695D8D">
      <w:pPr>
        <w:pStyle w:val="ListParagraph"/>
        <w:numPr>
          <w:ilvl w:val="0"/>
          <w:numId w:val="26"/>
        </w:numPr>
        <w:spacing w:line="276" w:lineRule="auto"/>
        <w:jc w:val="left"/>
        <w:rPr>
          <w:rFonts w:cs="Times New Roman"/>
          <w:lang w:val="en-AU"/>
        </w:rPr>
      </w:pPr>
      <w:r w:rsidRPr="002018AC">
        <w:rPr>
          <w:rFonts w:cs="Times New Roman"/>
          <w:lang w:val="en-AU"/>
        </w:rPr>
        <w:t>FY2025:</w:t>
      </w:r>
      <w:r w:rsidRPr="002018AC">
        <w:rPr>
          <w:rFonts w:cs="Times New Roman"/>
          <w:lang w:val="en-AU"/>
        </w:rPr>
        <w:br/>
        <w:t>= -4,169 / 26,149</w:t>
      </w:r>
      <w:r w:rsidRPr="002018AC">
        <w:rPr>
          <w:rFonts w:cs="Times New Roman"/>
          <w:lang w:val="en-AU"/>
        </w:rPr>
        <w:br/>
        <w:t>= -€0.1594 per share</w:t>
      </w:r>
      <w:r w:rsidRPr="002018AC">
        <w:rPr>
          <w:rFonts w:cs="Times New Roman"/>
          <w:lang w:val="en-AU"/>
        </w:rPr>
        <w:br/>
        <w:t>= -15.94 eurocents</w:t>
      </w:r>
    </w:p>
    <w:p w14:paraId="768AA5A0" w14:textId="77777777" w:rsidR="00A77462" w:rsidRPr="002018AC" w:rsidRDefault="00A77462" w:rsidP="00695D8D">
      <w:pPr>
        <w:pStyle w:val="ListParagraph"/>
        <w:numPr>
          <w:ilvl w:val="0"/>
          <w:numId w:val="26"/>
        </w:numPr>
        <w:spacing w:line="276" w:lineRule="auto"/>
        <w:jc w:val="left"/>
        <w:rPr>
          <w:rFonts w:cs="Times New Roman"/>
          <w:lang w:val="en-AU"/>
        </w:rPr>
      </w:pPr>
      <w:r w:rsidRPr="002018AC">
        <w:rPr>
          <w:rFonts w:cs="Times New Roman"/>
          <w:lang w:val="en-AU"/>
        </w:rPr>
        <w:t>FY2024:</w:t>
      </w:r>
      <w:r w:rsidRPr="002018AC">
        <w:rPr>
          <w:rFonts w:cs="Times New Roman"/>
          <w:lang w:val="en-AU"/>
        </w:rPr>
        <w:br/>
        <w:t>= 1,140 / 27,056</w:t>
      </w:r>
      <w:r w:rsidRPr="002018AC">
        <w:rPr>
          <w:rFonts w:cs="Times New Roman"/>
          <w:lang w:val="en-AU"/>
        </w:rPr>
        <w:br/>
        <w:t>= €0.0421 per share</w:t>
      </w:r>
      <w:r w:rsidRPr="002018AC">
        <w:rPr>
          <w:rFonts w:cs="Times New Roman"/>
          <w:lang w:val="en-AU"/>
        </w:rPr>
        <w:br/>
        <w:t>= 4.21 eurocents</w:t>
      </w:r>
    </w:p>
    <w:p w14:paraId="4000E4BC" w14:textId="53BCE3F9" w:rsidR="00A77462" w:rsidRPr="002018AC" w:rsidRDefault="00A77462" w:rsidP="00695D8D">
      <w:pPr>
        <w:spacing w:line="276" w:lineRule="auto"/>
        <w:jc w:val="center"/>
        <w:rPr>
          <w:rFonts w:cs="Times New Roman"/>
          <w:b/>
          <w:bCs/>
          <w:lang w:val="en-AU"/>
        </w:rPr>
      </w:pPr>
      <w:r w:rsidRPr="002018AC">
        <w:rPr>
          <w:rFonts w:cs="Times New Roman"/>
          <w:b/>
          <w:bCs/>
          <w:lang w:val="en-AU"/>
        </w:rPr>
        <w:t>Dividend cover</w:t>
      </w:r>
    </w:p>
    <w:p w14:paraId="7D53D2A4" w14:textId="77777777" w:rsidR="00A77462" w:rsidRPr="002018AC" w:rsidRDefault="00A77462" w:rsidP="00695D8D">
      <w:pPr>
        <w:pStyle w:val="ListParagraph"/>
        <w:numPr>
          <w:ilvl w:val="0"/>
          <w:numId w:val="27"/>
        </w:numPr>
        <w:spacing w:line="276" w:lineRule="auto"/>
        <w:jc w:val="left"/>
        <w:rPr>
          <w:rFonts w:cs="Times New Roman"/>
          <w:lang w:val="en-AU"/>
        </w:rPr>
      </w:pPr>
      <w:r w:rsidRPr="002018AC">
        <w:rPr>
          <w:rFonts w:cs="Times New Roman"/>
          <w:lang w:val="en-AU"/>
        </w:rPr>
        <w:t>Formula:</w:t>
      </w:r>
      <w:r w:rsidRPr="002018AC">
        <w:rPr>
          <w:rFonts w:cs="Times New Roman"/>
          <w:lang w:val="en-AU"/>
        </w:rPr>
        <w:br/>
        <w:t>Dividend cover = Profit after tax attributable to owners / ordinary dividend</w:t>
      </w:r>
    </w:p>
    <w:p w14:paraId="13C4CF53" w14:textId="77777777" w:rsidR="00A77462" w:rsidRPr="002018AC" w:rsidRDefault="00A77462" w:rsidP="00695D8D">
      <w:pPr>
        <w:pStyle w:val="ListParagraph"/>
        <w:numPr>
          <w:ilvl w:val="0"/>
          <w:numId w:val="27"/>
        </w:numPr>
        <w:spacing w:line="276" w:lineRule="auto"/>
        <w:jc w:val="left"/>
        <w:rPr>
          <w:rFonts w:cs="Times New Roman"/>
          <w:lang w:val="en-AU"/>
        </w:rPr>
      </w:pPr>
      <w:r w:rsidRPr="002018AC">
        <w:rPr>
          <w:rFonts w:cs="Times New Roman"/>
          <w:lang w:val="en-AU"/>
        </w:rPr>
        <w:t>FY2025:</w:t>
      </w:r>
      <w:r w:rsidRPr="002018AC">
        <w:rPr>
          <w:rFonts w:cs="Times New Roman"/>
          <w:lang w:val="en-AU"/>
        </w:rPr>
        <w:br/>
        <w:t>= -4,169 / 1,795</w:t>
      </w:r>
      <w:r w:rsidRPr="002018AC">
        <w:rPr>
          <w:rFonts w:cs="Times New Roman"/>
          <w:lang w:val="en-AU"/>
        </w:rPr>
        <w:br/>
        <w:t>= -2.32 times</w:t>
      </w:r>
    </w:p>
    <w:p w14:paraId="00524C71" w14:textId="77777777" w:rsidR="00A77462" w:rsidRPr="002018AC" w:rsidRDefault="00A77462" w:rsidP="00695D8D">
      <w:pPr>
        <w:pStyle w:val="ListParagraph"/>
        <w:numPr>
          <w:ilvl w:val="0"/>
          <w:numId w:val="27"/>
        </w:numPr>
        <w:spacing w:line="276" w:lineRule="auto"/>
        <w:jc w:val="left"/>
        <w:rPr>
          <w:rFonts w:cs="Times New Roman"/>
          <w:lang w:val="en-AU"/>
        </w:rPr>
      </w:pPr>
      <w:r w:rsidRPr="002018AC">
        <w:rPr>
          <w:rFonts w:cs="Times New Roman"/>
          <w:lang w:val="en-AU"/>
        </w:rPr>
        <w:t>FY2024:</w:t>
      </w:r>
      <w:r w:rsidRPr="002018AC">
        <w:rPr>
          <w:rFonts w:cs="Times New Roman"/>
          <w:lang w:val="en-AU"/>
        </w:rPr>
        <w:br/>
        <w:t>= 1,140 / 2,433</w:t>
      </w:r>
      <w:r w:rsidRPr="002018AC">
        <w:rPr>
          <w:rFonts w:cs="Times New Roman"/>
          <w:lang w:val="en-AU"/>
        </w:rPr>
        <w:br/>
        <w:t>= 0.47 times</w:t>
      </w:r>
    </w:p>
    <w:p w14:paraId="704B41BF" w14:textId="00B41041" w:rsidR="00A77462" w:rsidRPr="002018AC" w:rsidRDefault="00A77462" w:rsidP="00695D8D">
      <w:pPr>
        <w:pStyle w:val="Heading3"/>
        <w:numPr>
          <w:ilvl w:val="2"/>
          <w:numId w:val="9"/>
        </w:numPr>
        <w:spacing w:before="200" w:after="0" w:line="276" w:lineRule="auto"/>
        <w:ind w:left="0" w:firstLine="0"/>
        <w:jc w:val="left"/>
        <w:rPr>
          <w:rFonts w:cs="Times New Roman"/>
          <w:lang w:val="en-AU"/>
        </w:rPr>
      </w:pPr>
      <w:bookmarkStart w:id="45" w:name="_Toc227606859"/>
      <w:r w:rsidRPr="002018AC">
        <w:rPr>
          <w:rFonts w:cs="Times New Roman"/>
          <w:lang w:val="en-AU"/>
        </w:rPr>
        <w:t>Appendix B6: gearing ratios</w:t>
      </w:r>
      <w:bookmarkEnd w:id="45"/>
    </w:p>
    <w:p w14:paraId="12262D29" w14:textId="0C05BC93" w:rsidR="00A77462" w:rsidRPr="002018AC" w:rsidRDefault="00A77462" w:rsidP="00695D8D">
      <w:pPr>
        <w:spacing w:line="276" w:lineRule="auto"/>
        <w:jc w:val="center"/>
        <w:rPr>
          <w:rFonts w:cs="Times New Roman"/>
          <w:b/>
          <w:bCs/>
          <w:lang w:val="en-AU"/>
        </w:rPr>
      </w:pPr>
      <w:r w:rsidRPr="002018AC">
        <w:rPr>
          <w:rFonts w:cs="Times New Roman"/>
          <w:b/>
          <w:bCs/>
          <w:lang w:val="en-AU"/>
        </w:rPr>
        <w:t>Gearing ratio 1</w:t>
      </w:r>
    </w:p>
    <w:p w14:paraId="5D9F27A1" w14:textId="77777777" w:rsidR="00A77462" w:rsidRPr="002018AC" w:rsidRDefault="00A77462" w:rsidP="00695D8D">
      <w:pPr>
        <w:pStyle w:val="ListParagraph"/>
        <w:numPr>
          <w:ilvl w:val="0"/>
          <w:numId w:val="29"/>
        </w:numPr>
        <w:spacing w:line="276" w:lineRule="auto"/>
        <w:jc w:val="left"/>
        <w:rPr>
          <w:rFonts w:cs="Times New Roman"/>
          <w:lang w:val="en-AU"/>
        </w:rPr>
      </w:pPr>
      <w:r w:rsidRPr="002018AC">
        <w:rPr>
          <w:rFonts w:cs="Times New Roman"/>
          <w:lang w:val="en-AU"/>
        </w:rPr>
        <w:t>Formula:</w:t>
      </w:r>
      <w:r w:rsidRPr="002018AC">
        <w:rPr>
          <w:rFonts w:cs="Times New Roman"/>
          <w:lang w:val="en-AU"/>
        </w:rPr>
        <w:br/>
        <w:t>Gearing ratio 1 = Loan / TALCL × 100</w:t>
      </w:r>
    </w:p>
    <w:p w14:paraId="3DC02BFF" w14:textId="77777777" w:rsidR="00A77462" w:rsidRPr="002018AC" w:rsidRDefault="00A77462" w:rsidP="00695D8D">
      <w:pPr>
        <w:pStyle w:val="ListParagraph"/>
        <w:numPr>
          <w:ilvl w:val="0"/>
          <w:numId w:val="29"/>
        </w:numPr>
        <w:spacing w:line="276" w:lineRule="auto"/>
        <w:jc w:val="left"/>
        <w:rPr>
          <w:rFonts w:cs="Times New Roman"/>
          <w:lang w:val="en-AU"/>
        </w:rPr>
      </w:pPr>
      <w:r w:rsidRPr="002018AC">
        <w:rPr>
          <w:rFonts w:cs="Times New Roman"/>
          <w:lang w:val="en-AU"/>
        </w:rPr>
        <w:t>FY2025:</w:t>
      </w:r>
      <w:r w:rsidRPr="002018AC">
        <w:rPr>
          <w:rFonts w:cs="Times New Roman"/>
          <w:lang w:val="en-AU"/>
        </w:rPr>
        <w:br/>
        <w:t>= 53,143 / 105,767 × 100</w:t>
      </w:r>
      <w:r w:rsidRPr="002018AC">
        <w:rPr>
          <w:rFonts w:cs="Times New Roman"/>
          <w:lang w:val="en-AU"/>
        </w:rPr>
        <w:br/>
        <w:t>= 50.25%</w:t>
      </w:r>
    </w:p>
    <w:p w14:paraId="1064ADAE" w14:textId="77777777" w:rsidR="00A77462" w:rsidRPr="002018AC" w:rsidRDefault="00A77462" w:rsidP="00695D8D">
      <w:pPr>
        <w:pStyle w:val="ListParagraph"/>
        <w:numPr>
          <w:ilvl w:val="0"/>
          <w:numId w:val="29"/>
        </w:numPr>
        <w:spacing w:line="276" w:lineRule="auto"/>
        <w:jc w:val="left"/>
        <w:rPr>
          <w:rFonts w:cs="Times New Roman"/>
          <w:lang w:val="en-AU"/>
        </w:rPr>
      </w:pPr>
      <w:r w:rsidRPr="002018AC">
        <w:rPr>
          <w:rFonts w:cs="Times New Roman"/>
          <w:lang w:val="en-AU"/>
        </w:rPr>
        <w:t>FY2024:</w:t>
      </w:r>
      <w:r w:rsidRPr="002018AC">
        <w:rPr>
          <w:rFonts w:cs="Times New Roman"/>
          <w:lang w:val="en-AU"/>
        </w:rPr>
        <w:br/>
        <w:t>= 56,987 / 102,951 × 100</w:t>
      </w:r>
      <w:r w:rsidRPr="002018AC">
        <w:rPr>
          <w:rFonts w:cs="Times New Roman"/>
          <w:lang w:val="en-AU"/>
        </w:rPr>
        <w:br/>
        <w:t>= 55.35%</w:t>
      </w:r>
    </w:p>
    <w:p w14:paraId="0167B01A" w14:textId="53201856" w:rsidR="00A77462" w:rsidRPr="002018AC" w:rsidRDefault="00A77462" w:rsidP="00695D8D">
      <w:pPr>
        <w:spacing w:line="276" w:lineRule="auto"/>
        <w:jc w:val="center"/>
        <w:rPr>
          <w:rFonts w:cs="Times New Roman"/>
          <w:b/>
          <w:bCs/>
          <w:lang w:val="en-AU"/>
        </w:rPr>
      </w:pPr>
      <w:r w:rsidRPr="002018AC">
        <w:rPr>
          <w:rFonts w:cs="Times New Roman"/>
          <w:b/>
          <w:bCs/>
          <w:lang w:val="en-AU"/>
        </w:rPr>
        <w:t>Gearing ratio 2</w:t>
      </w:r>
    </w:p>
    <w:p w14:paraId="01DB784B" w14:textId="77777777" w:rsidR="00A77462" w:rsidRPr="002018AC" w:rsidRDefault="00A77462" w:rsidP="00695D8D">
      <w:pPr>
        <w:pStyle w:val="ListParagraph"/>
        <w:numPr>
          <w:ilvl w:val="0"/>
          <w:numId w:val="28"/>
        </w:numPr>
        <w:spacing w:line="276" w:lineRule="auto"/>
        <w:jc w:val="left"/>
        <w:rPr>
          <w:rFonts w:cs="Times New Roman"/>
          <w:lang w:val="en-AU"/>
        </w:rPr>
      </w:pPr>
      <w:r w:rsidRPr="002018AC">
        <w:rPr>
          <w:rFonts w:cs="Times New Roman"/>
          <w:lang w:val="en-AU"/>
        </w:rPr>
        <w:lastRenderedPageBreak/>
        <w:t>Formula:</w:t>
      </w:r>
      <w:r w:rsidRPr="002018AC">
        <w:rPr>
          <w:rFonts w:cs="Times New Roman"/>
          <w:lang w:val="en-AU"/>
        </w:rPr>
        <w:br/>
        <w:t>Gearing ratio 2 = Loan / Net assets × 100</w:t>
      </w:r>
    </w:p>
    <w:p w14:paraId="5BA2741E" w14:textId="77777777" w:rsidR="00A77462" w:rsidRPr="002018AC" w:rsidRDefault="00A77462" w:rsidP="00695D8D">
      <w:pPr>
        <w:pStyle w:val="ListParagraph"/>
        <w:numPr>
          <w:ilvl w:val="0"/>
          <w:numId w:val="28"/>
        </w:numPr>
        <w:spacing w:line="276" w:lineRule="auto"/>
        <w:jc w:val="left"/>
        <w:rPr>
          <w:rFonts w:cs="Times New Roman"/>
          <w:lang w:val="en-AU"/>
        </w:rPr>
      </w:pPr>
      <w:r w:rsidRPr="002018AC">
        <w:rPr>
          <w:rFonts w:cs="Times New Roman"/>
          <w:lang w:val="en-AU"/>
        </w:rPr>
        <w:t>FY2025:</w:t>
      </w:r>
      <w:r w:rsidRPr="002018AC">
        <w:rPr>
          <w:rFonts w:cs="Times New Roman"/>
          <w:lang w:val="en-AU"/>
        </w:rPr>
        <w:br/>
        <w:t>= 53,143 / 53,916 × 100</w:t>
      </w:r>
      <w:r w:rsidRPr="002018AC">
        <w:rPr>
          <w:rFonts w:cs="Times New Roman"/>
          <w:lang w:val="en-AU"/>
        </w:rPr>
        <w:br/>
        <w:t>= 98.57%</w:t>
      </w:r>
    </w:p>
    <w:p w14:paraId="024D81F2" w14:textId="77777777" w:rsidR="00A77462" w:rsidRPr="002018AC" w:rsidRDefault="00A77462" w:rsidP="00695D8D">
      <w:pPr>
        <w:pStyle w:val="ListParagraph"/>
        <w:numPr>
          <w:ilvl w:val="0"/>
          <w:numId w:val="28"/>
        </w:numPr>
        <w:spacing w:line="276" w:lineRule="auto"/>
        <w:jc w:val="left"/>
        <w:rPr>
          <w:rFonts w:cs="Times New Roman"/>
          <w:lang w:val="en-AU"/>
        </w:rPr>
      </w:pPr>
      <w:r w:rsidRPr="002018AC">
        <w:rPr>
          <w:rFonts w:cs="Times New Roman"/>
          <w:lang w:val="en-AU"/>
        </w:rPr>
        <w:t>FY2024:</w:t>
      </w:r>
      <w:r w:rsidRPr="002018AC">
        <w:rPr>
          <w:rFonts w:cs="Times New Roman"/>
          <w:lang w:val="en-AU"/>
        </w:rPr>
        <w:br/>
        <w:t>= 56,987 / 60,998 × 100</w:t>
      </w:r>
      <w:r w:rsidRPr="002018AC">
        <w:rPr>
          <w:rFonts w:cs="Times New Roman"/>
          <w:lang w:val="en-AU"/>
        </w:rPr>
        <w:br/>
        <w:t>= 93.42%</w:t>
      </w:r>
    </w:p>
    <w:p w14:paraId="727EE060" w14:textId="131C0A6B" w:rsidR="00A77462" w:rsidRPr="002018AC" w:rsidRDefault="00A77462" w:rsidP="00695D8D">
      <w:pPr>
        <w:spacing w:line="276" w:lineRule="auto"/>
        <w:jc w:val="center"/>
        <w:rPr>
          <w:rFonts w:cs="Times New Roman"/>
          <w:b/>
          <w:bCs/>
          <w:lang w:val="en-AU"/>
        </w:rPr>
      </w:pPr>
      <w:r w:rsidRPr="002018AC">
        <w:rPr>
          <w:rFonts w:cs="Times New Roman"/>
          <w:b/>
          <w:bCs/>
          <w:lang w:val="en-AU"/>
        </w:rPr>
        <w:t>Interest cover</w:t>
      </w:r>
    </w:p>
    <w:p w14:paraId="0872BD50" w14:textId="77777777" w:rsidR="00A77462" w:rsidRPr="002018AC" w:rsidRDefault="00A77462" w:rsidP="00695D8D">
      <w:pPr>
        <w:pStyle w:val="ListParagraph"/>
        <w:numPr>
          <w:ilvl w:val="0"/>
          <w:numId w:val="30"/>
        </w:numPr>
        <w:spacing w:line="276" w:lineRule="auto"/>
        <w:jc w:val="left"/>
        <w:rPr>
          <w:rFonts w:cs="Times New Roman"/>
          <w:lang w:val="en-AU"/>
        </w:rPr>
      </w:pPr>
      <w:r w:rsidRPr="002018AC">
        <w:rPr>
          <w:rFonts w:cs="Times New Roman"/>
          <w:lang w:val="en-AU"/>
        </w:rPr>
        <w:t>Formula:</w:t>
      </w:r>
      <w:r w:rsidRPr="002018AC">
        <w:rPr>
          <w:rFonts w:cs="Times New Roman"/>
          <w:lang w:val="en-AU"/>
        </w:rPr>
        <w:br/>
        <w:t>Interest cover = Operating profit / Interest</w:t>
      </w:r>
    </w:p>
    <w:p w14:paraId="34D568F9" w14:textId="77777777" w:rsidR="00A77462" w:rsidRPr="002018AC" w:rsidRDefault="00A77462" w:rsidP="00695D8D">
      <w:pPr>
        <w:pStyle w:val="ListParagraph"/>
        <w:numPr>
          <w:ilvl w:val="0"/>
          <w:numId w:val="30"/>
        </w:numPr>
        <w:spacing w:line="276" w:lineRule="auto"/>
        <w:jc w:val="left"/>
        <w:rPr>
          <w:rFonts w:cs="Times New Roman"/>
          <w:lang w:val="en-AU"/>
        </w:rPr>
      </w:pPr>
      <w:r w:rsidRPr="002018AC">
        <w:rPr>
          <w:rFonts w:cs="Times New Roman"/>
          <w:lang w:val="en-AU"/>
        </w:rPr>
        <w:t>FY2025:</w:t>
      </w:r>
      <w:r w:rsidRPr="002018AC">
        <w:rPr>
          <w:rFonts w:cs="Times New Roman"/>
          <w:lang w:val="en-AU"/>
        </w:rPr>
        <w:br/>
        <w:t>= -411 / 1,931</w:t>
      </w:r>
      <w:r w:rsidRPr="002018AC">
        <w:rPr>
          <w:rFonts w:cs="Times New Roman"/>
          <w:lang w:val="en-AU"/>
        </w:rPr>
        <w:br/>
        <w:t>= -0.21 times</w:t>
      </w:r>
    </w:p>
    <w:p w14:paraId="7A28FA29" w14:textId="77777777" w:rsidR="00A77462" w:rsidRPr="002018AC" w:rsidRDefault="00A77462" w:rsidP="00695D8D">
      <w:pPr>
        <w:pStyle w:val="ListParagraph"/>
        <w:numPr>
          <w:ilvl w:val="0"/>
          <w:numId w:val="30"/>
        </w:numPr>
        <w:spacing w:line="276" w:lineRule="auto"/>
        <w:jc w:val="left"/>
        <w:rPr>
          <w:rFonts w:cs="Times New Roman"/>
          <w:lang w:val="en-AU"/>
        </w:rPr>
      </w:pPr>
      <w:r w:rsidRPr="002018AC">
        <w:rPr>
          <w:rFonts w:cs="Times New Roman"/>
          <w:lang w:val="en-AU"/>
        </w:rPr>
        <w:t>FY2024:</w:t>
      </w:r>
      <w:r w:rsidRPr="002018AC">
        <w:rPr>
          <w:rFonts w:cs="Times New Roman"/>
          <w:lang w:val="en-AU"/>
        </w:rPr>
        <w:br/>
        <w:t>= 3,665 / 2,626</w:t>
      </w:r>
      <w:r w:rsidRPr="002018AC">
        <w:rPr>
          <w:rFonts w:cs="Times New Roman"/>
          <w:lang w:val="en-AU"/>
        </w:rPr>
        <w:br/>
        <w:t>= 1.40 times</w:t>
      </w:r>
    </w:p>
    <w:p w14:paraId="1111F1B5" w14:textId="77777777" w:rsidR="00A77462" w:rsidRPr="002018AC" w:rsidRDefault="00A77462" w:rsidP="00695D8D">
      <w:pPr>
        <w:spacing w:line="276" w:lineRule="auto"/>
        <w:jc w:val="left"/>
        <w:rPr>
          <w:rFonts w:cs="Times New Roman"/>
          <w:lang w:val="en-AU"/>
        </w:rPr>
      </w:pPr>
    </w:p>
    <w:p w14:paraId="78725523" w14:textId="354443DE" w:rsidR="00A77462" w:rsidRPr="002018AC" w:rsidRDefault="00A77462" w:rsidP="00695D8D">
      <w:pPr>
        <w:pStyle w:val="Heading2"/>
        <w:numPr>
          <w:ilvl w:val="1"/>
          <w:numId w:val="9"/>
        </w:numPr>
        <w:spacing w:line="276" w:lineRule="auto"/>
        <w:rPr>
          <w:rFonts w:cs="Times New Roman"/>
          <w:lang w:val="en-AU"/>
        </w:rPr>
      </w:pPr>
      <w:bookmarkStart w:id="46" w:name="_Toc227606860"/>
      <w:r w:rsidRPr="002018AC">
        <w:rPr>
          <w:rFonts w:cs="Times New Roman"/>
          <w:lang w:val="en-AU"/>
        </w:rPr>
        <w:t>Appendix C: Capital allowances and after-tax cash flows</w:t>
      </w:r>
      <w:bookmarkEnd w:id="46"/>
    </w:p>
    <w:p w14:paraId="55391C3F" w14:textId="23DFFA36" w:rsidR="00A77462" w:rsidRPr="002018AC" w:rsidRDefault="00A77462" w:rsidP="00695D8D">
      <w:pPr>
        <w:pStyle w:val="Heading3"/>
        <w:numPr>
          <w:ilvl w:val="2"/>
          <w:numId w:val="9"/>
        </w:numPr>
        <w:spacing w:line="276" w:lineRule="auto"/>
        <w:rPr>
          <w:rFonts w:cs="Times New Roman"/>
          <w:lang w:val="en-AU"/>
        </w:rPr>
      </w:pPr>
      <w:bookmarkStart w:id="47" w:name="_Toc227606861"/>
      <w:r w:rsidRPr="002018AC">
        <w:rPr>
          <w:rFonts w:cs="Times New Roman"/>
          <w:lang w:val="en-AU"/>
        </w:rPr>
        <w:t>C1. Capital allowance calculation</w:t>
      </w:r>
      <w:bookmarkEnd w:id="47"/>
    </w:p>
    <w:tbl>
      <w:tblPr>
        <w:tblStyle w:val="GridTable4-Accent1"/>
        <w:tblW w:w="9554" w:type="dxa"/>
        <w:tblLook w:val="04A0" w:firstRow="1" w:lastRow="0" w:firstColumn="1" w:lastColumn="0" w:noHBand="0" w:noVBand="1"/>
      </w:tblPr>
      <w:tblGrid>
        <w:gridCol w:w="1081"/>
        <w:gridCol w:w="2330"/>
        <w:gridCol w:w="2892"/>
        <w:gridCol w:w="3251"/>
      </w:tblGrid>
      <w:tr w:rsidR="00A77462" w:rsidRPr="002018AC" w14:paraId="4517F5E3" w14:textId="77777777" w:rsidTr="001C195C">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0AFD7289"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Option</w:t>
            </w:r>
          </w:p>
        </w:tc>
        <w:tc>
          <w:tcPr>
            <w:tcW w:w="0" w:type="auto"/>
            <w:hideMark/>
          </w:tcPr>
          <w:p w14:paraId="381F967C"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Initial investment</w:t>
            </w:r>
          </w:p>
        </w:tc>
        <w:tc>
          <w:tcPr>
            <w:tcW w:w="0" w:type="auto"/>
            <w:hideMark/>
          </w:tcPr>
          <w:p w14:paraId="2EDCED0A"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Capital allowance rate</w:t>
            </w:r>
          </w:p>
        </w:tc>
        <w:tc>
          <w:tcPr>
            <w:tcW w:w="0" w:type="auto"/>
            <w:hideMark/>
          </w:tcPr>
          <w:p w14:paraId="6C7E51E0"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Annual capital allowance</w:t>
            </w:r>
          </w:p>
        </w:tc>
      </w:tr>
      <w:tr w:rsidR="00A77462" w:rsidRPr="002018AC" w14:paraId="4869DA3E" w14:textId="77777777" w:rsidTr="001C195C">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4340D484"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A</w:t>
            </w:r>
          </w:p>
        </w:tc>
        <w:tc>
          <w:tcPr>
            <w:tcW w:w="0" w:type="auto"/>
            <w:hideMark/>
          </w:tcPr>
          <w:p w14:paraId="292597A2"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600</w:t>
            </w:r>
          </w:p>
        </w:tc>
        <w:tc>
          <w:tcPr>
            <w:tcW w:w="0" w:type="auto"/>
            <w:hideMark/>
          </w:tcPr>
          <w:p w14:paraId="2236E6DD"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20%</w:t>
            </w:r>
          </w:p>
        </w:tc>
        <w:tc>
          <w:tcPr>
            <w:tcW w:w="0" w:type="auto"/>
            <w:hideMark/>
          </w:tcPr>
          <w:p w14:paraId="2F436AED"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600 × 20% = </w:t>
            </w:r>
            <w:r w:rsidRPr="002018AC">
              <w:rPr>
                <w:rFonts w:cs="Times New Roman"/>
                <w:b/>
                <w:bCs/>
                <w:lang w:val="en-AU" w:eastAsia="en-AU"/>
              </w:rPr>
              <w:t>120</w:t>
            </w:r>
          </w:p>
        </w:tc>
      </w:tr>
      <w:tr w:rsidR="00A77462" w:rsidRPr="002018AC" w14:paraId="4E98A94D" w14:textId="77777777" w:rsidTr="001C195C">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1FE655B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B</w:t>
            </w:r>
          </w:p>
        </w:tc>
        <w:tc>
          <w:tcPr>
            <w:tcW w:w="0" w:type="auto"/>
            <w:hideMark/>
          </w:tcPr>
          <w:p w14:paraId="6272209F"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900</w:t>
            </w:r>
          </w:p>
        </w:tc>
        <w:tc>
          <w:tcPr>
            <w:tcW w:w="0" w:type="auto"/>
            <w:hideMark/>
          </w:tcPr>
          <w:p w14:paraId="4F5A4BE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20%</w:t>
            </w:r>
          </w:p>
        </w:tc>
        <w:tc>
          <w:tcPr>
            <w:tcW w:w="0" w:type="auto"/>
            <w:hideMark/>
          </w:tcPr>
          <w:p w14:paraId="561DC197"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900 × 20% = </w:t>
            </w:r>
            <w:r w:rsidRPr="002018AC">
              <w:rPr>
                <w:rFonts w:cs="Times New Roman"/>
                <w:b/>
                <w:bCs/>
                <w:lang w:val="en-AU" w:eastAsia="en-AU"/>
              </w:rPr>
              <w:t>180</w:t>
            </w:r>
          </w:p>
        </w:tc>
      </w:tr>
      <w:tr w:rsidR="00A77462" w:rsidRPr="002018AC" w14:paraId="72E287F4" w14:textId="77777777" w:rsidTr="001C195C">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51A3DAF2"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w:t>
            </w:r>
          </w:p>
        </w:tc>
        <w:tc>
          <w:tcPr>
            <w:tcW w:w="0" w:type="auto"/>
            <w:hideMark/>
          </w:tcPr>
          <w:p w14:paraId="161345F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1,000</w:t>
            </w:r>
          </w:p>
        </w:tc>
        <w:tc>
          <w:tcPr>
            <w:tcW w:w="0" w:type="auto"/>
            <w:hideMark/>
          </w:tcPr>
          <w:p w14:paraId="7C6EE1B9"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20%</w:t>
            </w:r>
          </w:p>
        </w:tc>
        <w:tc>
          <w:tcPr>
            <w:tcW w:w="0" w:type="auto"/>
            <w:hideMark/>
          </w:tcPr>
          <w:p w14:paraId="44D678B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1,000 × 20% = </w:t>
            </w:r>
            <w:r w:rsidRPr="002018AC">
              <w:rPr>
                <w:rFonts w:cs="Times New Roman"/>
                <w:b/>
                <w:bCs/>
                <w:lang w:val="en-AU" w:eastAsia="en-AU"/>
              </w:rPr>
              <w:t>200</w:t>
            </w:r>
          </w:p>
        </w:tc>
      </w:tr>
    </w:tbl>
    <w:p w14:paraId="77869CAA" w14:textId="77777777" w:rsidR="00A77462" w:rsidRPr="002018AC" w:rsidRDefault="00A77462" w:rsidP="00695D8D">
      <w:pPr>
        <w:pStyle w:val="Heading3"/>
        <w:numPr>
          <w:ilvl w:val="2"/>
          <w:numId w:val="31"/>
        </w:numPr>
        <w:spacing w:line="276" w:lineRule="auto"/>
        <w:rPr>
          <w:rFonts w:cs="Times New Roman"/>
          <w:lang w:val="en-AU"/>
        </w:rPr>
      </w:pPr>
      <w:bookmarkStart w:id="48" w:name="_Toc227606862"/>
      <w:r w:rsidRPr="002018AC">
        <w:rPr>
          <w:rFonts w:cs="Times New Roman"/>
          <w:lang w:val="en-AU"/>
        </w:rPr>
        <w:t>C2. Discount factors at 5%</w:t>
      </w:r>
      <w:bookmarkEnd w:id="48"/>
    </w:p>
    <w:tbl>
      <w:tblPr>
        <w:tblStyle w:val="GridTable4-Accent1"/>
        <w:tblW w:w="9549" w:type="dxa"/>
        <w:tblLook w:val="04A0" w:firstRow="1" w:lastRow="0" w:firstColumn="1" w:lastColumn="0" w:noHBand="0" w:noVBand="1"/>
      </w:tblPr>
      <w:tblGrid>
        <w:gridCol w:w="1909"/>
        <w:gridCol w:w="2879"/>
        <w:gridCol w:w="4761"/>
      </w:tblGrid>
      <w:tr w:rsidR="00A77462" w:rsidRPr="002018AC" w14:paraId="42B5D466" w14:textId="77777777" w:rsidTr="001C195C">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2351DDF"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Year</w:t>
            </w:r>
          </w:p>
        </w:tc>
        <w:tc>
          <w:tcPr>
            <w:tcW w:w="0" w:type="auto"/>
            <w:hideMark/>
          </w:tcPr>
          <w:p w14:paraId="4AC7AE15"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Formula</w:t>
            </w:r>
          </w:p>
        </w:tc>
        <w:tc>
          <w:tcPr>
            <w:tcW w:w="0" w:type="auto"/>
            <w:hideMark/>
          </w:tcPr>
          <w:p w14:paraId="696E2CB4"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Discount factor</w:t>
            </w:r>
          </w:p>
        </w:tc>
      </w:tr>
      <w:tr w:rsidR="00A77462" w:rsidRPr="002018AC" w14:paraId="135D4768" w14:textId="77777777" w:rsidTr="001C195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54A2332E"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1</w:t>
            </w:r>
          </w:p>
        </w:tc>
        <w:tc>
          <w:tcPr>
            <w:tcW w:w="0" w:type="auto"/>
            <w:hideMark/>
          </w:tcPr>
          <w:p w14:paraId="6D925BA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 / 1.05</w:t>
            </w:r>
          </w:p>
        </w:tc>
        <w:tc>
          <w:tcPr>
            <w:tcW w:w="0" w:type="auto"/>
            <w:hideMark/>
          </w:tcPr>
          <w:p w14:paraId="22D2FDBF"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0.9524</w:t>
            </w:r>
          </w:p>
        </w:tc>
      </w:tr>
      <w:tr w:rsidR="00A77462" w:rsidRPr="002018AC" w14:paraId="116C87D3" w14:textId="77777777" w:rsidTr="001C195C">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C890B0A"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2</w:t>
            </w:r>
          </w:p>
        </w:tc>
        <w:tc>
          <w:tcPr>
            <w:tcW w:w="0" w:type="auto"/>
            <w:hideMark/>
          </w:tcPr>
          <w:p w14:paraId="3079698F"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 / 1.05²</w:t>
            </w:r>
          </w:p>
        </w:tc>
        <w:tc>
          <w:tcPr>
            <w:tcW w:w="0" w:type="auto"/>
            <w:hideMark/>
          </w:tcPr>
          <w:p w14:paraId="3CD34E38"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b/>
                <w:bCs/>
                <w:lang w:val="en-AU" w:eastAsia="en-AU"/>
              </w:rPr>
              <w:t>0.9070</w:t>
            </w:r>
          </w:p>
        </w:tc>
      </w:tr>
      <w:tr w:rsidR="00A77462" w:rsidRPr="002018AC" w14:paraId="494D622F" w14:textId="77777777" w:rsidTr="001C195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BA35617"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3</w:t>
            </w:r>
          </w:p>
        </w:tc>
        <w:tc>
          <w:tcPr>
            <w:tcW w:w="0" w:type="auto"/>
            <w:hideMark/>
          </w:tcPr>
          <w:p w14:paraId="142A58D2"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 / 1.05³</w:t>
            </w:r>
          </w:p>
        </w:tc>
        <w:tc>
          <w:tcPr>
            <w:tcW w:w="0" w:type="auto"/>
            <w:hideMark/>
          </w:tcPr>
          <w:p w14:paraId="379E2710"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0.8638</w:t>
            </w:r>
          </w:p>
        </w:tc>
      </w:tr>
      <w:tr w:rsidR="00A77462" w:rsidRPr="002018AC" w14:paraId="01D28158" w14:textId="77777777" w:rsidTr="001C195C">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38BC88F4"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lastRenderedPageBreak/>
              <w:t>4</w:t>
            </w:r>
          </w:p>
        </w:tc>
        <w:tc>
          <w:tcPr>
            <w:tcW w:w="0" w:type="auto"/>
            <w:hideMark/>
          </w:tcPr>
          <w:p w14:paraId="33DED75A"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 / 1.05⁴</w:t>
            </w:r>
          </w:p>
        </w:tc>
        <w:tc>
          <w:tcPr>
            <w:tcW w:w="0" w:type="auto"/>
            <w:hideMark/>
          </w:tcPr>
          <w:p w14:paraId="06F861F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b/>
                <w:bCs/>
                <w:lang w:val="en-AU" w:eastAsia="en-AU"/>
              </w:rPr>
              <w:t>0.8227</w:t>
            </w:r>
          </w:p>
        </w:tc>
      </w:tr>
    </w:tbl>
    <w:p w14:paraId="03B8CD30" w14:textId="36DE4B22" w:rsidR="00A77462" w:rsidRPr="002018AC" w:rsidRDefault="00A77462" w:rsidP="00695D8D">
      <w:pPr>
        <w:pStyle w:val="Heading2"/>
        <w:numPr>
          <w:ilvl w:val="1"/>
          <w:numId w:val="9"/>
        </w:numPr>
        <w:spacing w:line="276" w:lineRule="auto"/>
        <w:rPr>
          <w:rFonts w:cs="Times New Roman"/>
          <w:lang w:val="en-AU"/>
        </w:rPr>
      </w:pPr>
      <w:bookmarkStart w:id="49" w:name="_Toc227606863"/>
      <w:r w:rsidRPr="002018AC">
        <w:rPr>
          <w:rFonts w:cs="Times New Roman"/>
          <w:lang w:val="en-AU"/>
        </w:rPr>
        <w:t>Appendix D: NPV calculations</w:t>
      </w:r>
      <w:bookmarkEnd w:id="49"/>
    </w:p>
    <w:p w14:paraId="63A4511A" w14:textId="20A21A29" w:rsidR="00A77462" w:rsidRPr="002018AC" w:rsidRDefault="00A77462" w:rsidP="00695D8D">
      <w:pPr>
        <w:pStyle w:val="Heading3"/>
        <w:numPr>
          <w:ilvl w:val="2"/>
          <w:numId w:val="9"/>
        </w:numPr>
        <w:spacing w:line="276" w:lineRule="auto"/>
        <w:rPr>
          <w:rFonts w:cs="Times New Roman"/>
          <w:lang w:val="en-AU"/>
        </w:rPr>
      </w:pPr>
      <w:bookmarkStart w:id="50" w:name="_Toc227606864"/>
      <w:r w:rsidRPr="002018AC">
        <w:rPr>
          <w:rFonts w:cs="Times New Roman"/>
          <w:lang w:val="en-AU"/>
        </w:rPr>
        <w:t>D1. Option A: Expand retail outlet</w:t>
      </w:r>
      <w:bookmarkEnd w:id="50"/>
    </w:p>
    <w:p w14:paraId="31C838CA" w14:textId="77777777" w:rsidR="00A77462" w:rsidRPr="002018AC" w:rsidRDefault="00A77462" w:rsidP="00695D8D">
      <w:pPr>
        <w:spacing w:line="276" w:lineRule="auto"/>
        <w:jc w:val="left"/>
        <w:rPr>
          <w:rFonts w:cs="Times New Roman"/>
          <w:lang w:val="en-AU"/>
        </w:rPr>
      </w:pPr>
      <w:r w:rsidRPr="002018AC">
        <w:rPr>
          <w:rFonts w:cs="Times New Roman"/>
          <w:lang w:val="en-AU"/>
        </w:rPr>
        <w:t xml:space="preserve">Initial investment = </w:t>
      </w:r>
      <w:r w:rsidRPr="002018AC">
        <w:rPr>
          <w:rFonts w:cs="Times New Roman"/>
          <w:b/>
          <w:bCs/>
          <w:lang w:val="en-AU"/>
        </w:rPr>
        <w:t>£600k</w:t>
      </w:r>
      <w:r w:rsidRPr="002018AC">
        <w:rPr>
          <w:rFonts w:cs="Times New Roman"/>
          <w:lang w:val="en-AU"/>
        </w:rPr>
        <w:br/>
        <w:t xml:space="preserve">Annual capital allowance = </w:t>
      </w:r>
      <w:r w:rsidRPr="002018AC">
        <w:rPr>
          <w:rFonts w:cs="Times New Roman"/>
          <w:b/>
          <w:bCs/>
          <w:lang w:val="en-AU"/>
        </w:rPr>
        <w:t>£120k</w:t>
      </w:r>
    </w:p>
    <w:tbl>
      <w:tblPr>
        <w:tblStyle w:val="GridTable4-Accent1"/>
        <w:tblW w:w="0" w:type="auto"/>
        <w:tblLook w:val="04A0" w:firstRow="1" w:lastRow="0" w:firstColumn="1" w:lastColumn="0" w:noHBand="0" w:noVBand="1"/>
      </w:tblPr>
      <w:tblGrid>
        <w:gridCol w:w="683"/>
        <w:gridCol w:w="892"/>
        <w:gridCol w:w="1485"/>
        <w:gridCol w:w="1311"/>
        <w:gridCol w:w="1117"/>
        <w:gridCol w:w="1306"/>
        <w:gridCol w:w="887"/>
        <w:gridCol w:w="1669"/>
      </w:tblGrid>
      <w:tr w:rsidR="00A77462" w:rsidRPr="002018AC" w14:paraId="3CCE5FFB" w14:textId="77777777" w:rsidTr="001C1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376C94" w14:textId="77777777" w:rsidR="00A77462" w:rsidRPr="002018AC" w:rsidRDefault="00A77462" w:rsidP="00695D8D">
            <w:pPr>
              <w:spacing w:line="276" w:lineRule="auto"/>
              <w:jc w:val="left"/>
              <w:rPr>
                <w:rFonts w:cs="Times New Roman"/>
                <w:b w:val="0"/>
                <w:bCs w:val="0"/>
                <w:lang w:val="en-AU" w:eastAsia="en-AU"/>
              </w:rPr>
            </w:pPr>
            <w:r w:rsidRPr="002018AC">
              <w:rPr>
                <w:rFonts w:cs="Times New Roman"/>
                <w:b w:val="0"/>
                <w:bCs w:val="0"/>
                <w:lang w:val="en-AU" w:eastAsia="en-AU"/>
              </w:rPr>
              <w:t>Year</w:t>
            </w:r>
          </w:p>
        </w:tc>
        <w:tc>
          <w:tcPr>
            <w:tcW w:w="0" w:type="auto"/>
            <w:hideMark/>
          </w:tcPr>
          <w:p w14:paraId="0E4D69BF"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Cash flow</w:t>
            </w:r>
          </w:p>
        </w:tc>
        <w:tc>
          <w:tcPr>
            <w:tcW w:w="0" w:type="auto"/>
            <w:hideMark/>
          </w:tcPr>
          <w:p w14:paraId="4ADE8127"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Capital allowance</w:t>
            </w:r>
          </w:p>
        </w:tc>
        <w:tc>
          <w:tcPr>
            <w:tcW w:w="0" w:type="auto"/>
            <w:hideMark/>
          </w:tcPr>
          <w:p w14:paraId="550D9AEB"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Taxable profit</w:t>
            </w:r>
          </w:p>
        </w:tc>
        <w:tc>
          <w:tcPr>
            <w:tcW w:w="0" w:type="auto"/>
            <w:hideMark/>
          </w:tcPr>
          <w:p w14:paraId="05FD1CD7"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Tax at 25%</w:t>
            </w:r>
          </w:p>
        </w:tc>
        <w:tc>
          <w:tcPr>
            <w:tcW w:w="0" w:type="auto"/>
            <w:hideMark/>
          </w:tcPr>
          <w:p w14:paraId="5A48140F"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After-tax cash flow</w:t>
            </w:r>
          </w:p>
        </w:tc>
        <w:tc>
          <w:tcPr>
            <w:tcW w:w="0" w:type="auto"/>
            <w:hideMark/>
          </w:tcPr>
          <w:p w14:paraId="1A3666E2"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DF 5%</w:t>
            </w:r>
          </w:p>
        </w:tc>
        <w:tc>
          <w:tcPr>
            <w:tcW w:w="0" w:type="auto"/>
            <w:hideMark/>
          </w:tcPr>
          <w:p w14:paraId="3415A101"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Present value</w:t>
            </w:r>
          </w:p>
        </w:tc>
      </w:tr>
      <w:tr w:rsidR="00A77462" w:rsidRPr="002018AC" w14:paraId="4C1832D6"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44F800"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1</w:t>
            </w:r>
          </w:p>
        </w:tc>
        <w:tc>
          <w:tcPr>
            <w:tcW w:w="0" w:type="auto"/>
            <w:hideMark/>
          </w:tcPr>
          <w:p w14:paraId="74EAED57"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100</w:t>
            </w:r>
          </w:p>
        </w:tc>
        <w:tc>
          <w:tcPr>
            <w:tcW w:w="0" w:type="auto"/>
            <w:hideMark/>
          </w:tcPr>
          <w:p w14:paraId="73A01E89"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120</w:t>
            </w:r>
          </w:p>
        </w:tc>
        <w:tc>
          <w:tcPr>
            <w:tcW w:w="0" w:type="auto"/>
            <w:hideMark/>
          </w:tcPr>
          <w:p w14:paraId="60C05864"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100 − 120 = </w:t>
            </w:r>
            <w:r w:rsidRPr="002018AC">
              <w:rPr>
                <w:rFonts w:cs="Times New Roman"/>
                <w:b/>
                <w:bCs/>
                <w:lang w:val="en-AU" w:eastAsia="en-AU"/>
              </w:rPr>
              <w:t>-20</w:t>
            </w:r>
          </w:p>
        </w:tc>
        <w:tc>
          <w:tcPr>
            <w:tcW w:w="0" w:type="auto"/>
            <w:hideMark/>
          </w:tcPr>
          <w:p w14:paraId="4E0BE073"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-20 × 25% = </w:t>
            </w:r>
            <w:r w:rsidRPr="002018AC">
              <w:rPr>
                <w:rFonts w:cs="Times New Roman"/>
                <w:b/>
                <w:bCs/>
                <w:lang w:val="en-AU" w:eastAsia="en-AU"/>
              </w:rPr>
              <w:t>-5</w:t>
            </w:r>
          </w:p>
        </w:tc>
        <w:tc>
          <w:tcPr>
            <w:tcW w:w="0" w:type="auto"/>
            <w:hideMark/>
          </w:tcPr>
          <w:p w14:paraId="38AE79BD"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100 − (-5) = </w:t>
            </w:r>
            <w:r w:rsidRPr="002018AC">
              <w:rPr>
                <w:rFonts w:cs="Times New Roman"/>
                <w:b/>
                <w:bCs/>
                <w:lang w:val="en-AU" w:eastAsia="en-AU"/>
              </w:rPr>
              <w:t>105</w:t>
            </w:r>
          </w:p>
        </w:tc>
        <w:tc>
          <w:tcPr>
            <w:tcW w:w="0" w:type="auto"/>
            <w:hideMark/>
          </w:tcPr>
          <w:p w14:paraId="188118F6"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0.9524</w:t>
            </w:r>
          </w:p>
        </w:tc>
        <w:tc>
          <w:tcPr>
            <w:tcW w:w="0" w:type="auto"/>
            <w:hideMark/>
          </w:tcPr>
          <w:p w14:paraId="2BA74BEB"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105 × 0.9524 = </w:t>
            </w:r>
            <w:r w:rsidRPr="002018AC">
              <w:rPr>
                <w:rFonts w:cs="Times New Roman"/>
                <w:b/>
                <w:bCs/>
                <w:lang w:val="en-AU" w:eastAsia="en-AU"/>
              </w:rPr>
              <w:t>100.000</w:t>
            </w:r>
          </w:p>
        </w:tc>
      </w:tr>
      <w:tr w:rsidR="00A77462" w:rsidRPr="002018AC" w14:paraId="7DDE74AE"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57632BFC"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2</w:t>
            </w:r>
          </w:p>
        </w:tc>
        <w:tc>
          <w:tcPr>
            <w:tcW w:w="0" w:type="auto"/>
            <w:hideMark/>
          </w:tcPr>
          <w:p w14:paraId="129B4023"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180</w:t>
            </w:r>
          </w:p>
        </w:tc>
        <w:tc>
          <w:tcPr>
            <w:tcW w:w="0" w:type="auto"/>
            <w:hideMark/>
          </w:tcPr>
          <w:p w14:paraId="68F82D2B"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120</w:t>
            </w:r>
          </w:p>
        </w:tc>
        <w:tc>
          <w:tcPr>
            <w:tcW w:w="0" w:type="auto"/>
            <w:hideMark/>
          </w:tcPr>
          <w:p w14:paraId="13E9BC24"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180 − 120 = </w:t>
            </w:r>
            <w:r w:rsidRPr="002018AC">
              <w:rPr>
                <w:rFonts w:cs="Times New Roman"/>
                <w:b/>
                <w:bCs/>
                <w:lang w:val="en-AU" w:eastAsia="en-AU"/>
              </w:rPr>
              <w:t>60</w:t>
            </w:r>
          </w:p>
        </w:tc>
        <w:tc>
          <w:tcPr>
            <w:tcW w:w="0" w:type="auto"/>
            <w:hideMark/>
          </w:tcPr>
          <w:p w14:paraId="08E36BAD"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60 × 25% = </w:t>
            </w:r>
            <w:r w:rsidRPr="002018AC">
              <w:rPr>
                <w:rFonts w:cs="Times New Roman"/>
                <w:b/>
                <w:bCs/>
                <w:lang w:val="en-AU" w:eastAsia="en-AU"/>
              </w:rPr>
              <w:t>15</w:t>
            </w:r>
          </w:p>
        </w:tc>
        <w:tc>
          <w:tcPr>
            <w:tcW w:w="0" w:type="auto"/>
            <w:hideMark/>
          </w:tcPr>
          <w:p w14:paraId="17A680F9"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180 − 15 = </w:t>
            </w:r>
            <w:r w:rsidRPr="002018AC">
              <w:rPr>
                <w:rFonts w:cs="Times New Roman"/>
                <w:b/>
                <w:bCs/>
                <w:lang w:val="en-AU" w:eastAsia="en-AU"/>
              </w:rPr>
              <w:t>165</w:t>
            </w:r>
          </w:p>
        </w:tc>
        <w:tc>
          <w:tcPr>
            <w:tcW w:w="0" w:type="auto"/>
            <w:hideMark/>
          </w:tcPr>
          <w:p w14:paraId="69AEA1FA"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0.9070</w:t>
            </w:r>
          </w:p>
        </w:tc>
        <w:tc>
          <w:tcPr>
            <w:tcW w:w="0" w:type="auto"/>
            <w:hideMark/>
          </w:tcPr>
          <w:p w14:paraId="6B88E5A2"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165 × 0.9070 = </w:t>
            </w:r>
            <w:r w:rsidRPr="002018AC">
              <w:rPr>
                <w:rFonts w:cs="Times New Roman"/>
                <w:b/>
                <w:bCs/>
                <w:lang w:val="en-AU" w:eastAsia="en-AU"/>
              </w:rPr>
              <w:t>149.660</w:t>
            </w:r>
          </w:p>
        </w:tc>
      </w:tr>
      <w:tr w:rsidR="00A77462" w:rsidRPr="002018AC" w14:paraId="40E8A202"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F28BA"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3</w:t>
            </w:r>
          </w:p>
        </w:tc>
        <w:tc>
          <w:tcPr>
            <w:tcW w:w="0" w:type="auto"/>
            <w:hideMark/>
          </w:tcPr>
          <w:p w14:paraId="5E3A489A"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210</w:t>
            </w:r>
          </w:p>
        </w:tc>
        <w:tc>
          <w:tcPr>
            <w:tcW w:w="0" w:type="auto"/>
            <w:hideMark/>
          </w:tcPr>
          <w:p w14:paraId="7D001E66"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120</w:t>
            </w:r>
          </w:p>
        </w:tc>
        <w:tc>
          <w:tcPr>
            <w:tcW w:w="0" w:type="auto"/>
            <w:hideMark/>
          </w:tcPr>
          <w:p w14:paraId="089B22D3"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210 − 120 = </w:t>
            </w:r>
            <w:r w:rsidRPr="002018AC">
              <w:rPr>
                <w:rFonts w:cs="Times New Roman"/>
                <w:b/>
                <w:bCs/>
                <w:lang w:val="en-AU" w:eastAsia="en-AU"/>
              </w:rPr>
              <w:t>90</w:t>
            </w:r>
          </w:p>
        </w:tc>
        <w:tc>
          <w:tcPr>
            <w:tcW w:w="0" w:type="auto"/>
            <w:hideMark/>
          </w:tcPr>
          <w:p w14:paraId="42939E31"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90 × 25% = </w:t>
            </w:r>
            <w:r w:rsidRPr="002018AC">
              <w:rPr>
                <w:rFonts w:cs="Times New Roman"/>
                <w:b/>
                <w:bCs/>
                <w:lang w:val="en-AU" w:eastAsia="en-AU"/>
              </w:rPr>
              <w:t>22.5</w:t>
            </w:r>
          </w:p>
        </w:tc>
        <w:tc>
          <w:tcPr>
            <w:tcW w:w="0" w:type="auto"/>
            <w:hideMark/>
          </w:tcPr>
          <w:p w14:paraId="342897B7"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210 − 22.5 = </w:t>
            </w:r>
            <w:r w:rsidRPr="002018AC">
              <w:rPr>
                <w:rFonts w:cs="Times New Roman"/>
                <w:b/>
                <w:bCs/>
                <w:lang w:val="en-AU" w:eastAsia="en-AU"/>
              </w:rPr>
              <w:t>187.5</w:t>
            </w:r>
          </w:p>
        </w:tc>
        <w:tc>
          <w:tcPr>
            <w:tcW w:w="0" w:type="auto"/>
            <w:hideMark/>
          </w:tcPr>
          <w:p w14:paraId="14512020"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0.8638</w:t>
            </w:r>
          </w:p>
        </w:tc>
        <w:tc>
          <w:tcPr>
            <w:tcW w:w="0" w:type="auto"/>
            <w:hideMark/>
          </w:tcPr>
          <w:p w14:paraId="074A1A89"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187.5 × 0.8638 = </w:t>
            </w:r>
            <w:r w:rsidRPr="002018AC">
              <w:rPr>
                <w:rFonts w:cs="Times New Roman"/>
                <w:b/>
                <w:bCs/>
                <w:lang w:val="en-AU" w:eastAsia="en-AU"/>
              </w:rPr>
              <w:t>161.970</w:t>
            </w:r>
          </w:p>
        </w:tc>
      </w:tr>
      <w:tr w:rsidR="00A77462" w:rsidRPr="002018AC" w14:paraId="7C900AEF"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379BEEF5"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4</w:t>
            </w:r>
          </w:p>
        </w:tc>
        <w:tc>
          <w:tcPr>
            <w:tcW w:w="0" w:type="auto"/>
            <w:hideMark/>
          </w:tcPr>
          <w:p w14:paraId="742B0ABD"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260</w:t>
            </w:r>
          </w:p>
        </w:tc>
        <w:tc>
          <w:tcPr>
            <w:tcW w:w="0" w:type="auto"/>
            <w:hideMark/>
          </w:tcPr>
          <w:p w14:paraId="3247D76B"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120</w:t>
            </w:r>
          </w:p>
        </w:tc>
        <w:tc>
          <w:tcPr>
            <w:tcW w:w="0" w:type="auto"/>
            <w:hideMark/>
          </w:tcPr>
          <w:p w14:paraId="091FE6F0"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260 − 120 = </w:t>
            </w:r>
            <w:r w:rsidRPr="002018AC">
              <w:rPr>
                <w:rFonts w:cs="Times New Roman"/>
                <w:b/>
                <w:bCs/>
                <w:lang w:val="en-AU" w:eastAsia="en-AU"/>
              </w:rPr>
              <w:t>140</w:t>
            </w:r>
          </w:p>
        </w:tc>
        <w:tc>
          <w:tcPr>
            <w:tcW w:w="0" w:type="auto"/>
            <w:hideMark/>
          </w:tcPr>
          <w:p w14:paraId="27EB281B"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140 × 25% = </w:t>
            </w:r>
            <w:r w:rsidRPr="002018AC">
              <w:rPr>
                <w:rFonts w:cs="Times New Roman"/>
                <w:b/>
                <w:bCs/>
                <w:lang w:val="en-AU" w:eastAsia="en-AU"/>
              </w:rPr>
              <w:t>35</w:t>
            </w:r>
          </w:p>
        </w:tc>
        <w:tc>
          <w:tcPr>
            <w:tcW w:w="0" w:type="auto"/>
            <w:hideMark/>
          </w:tcPr>
          <w:p w14:paraId="036E6004"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260 − 35 = </w:t>
            </w:r>
            <w:r w:rsidRPr="002018AC">
              <w:rPr>
                <w:rFonts w:cs="Times New Roman"/>
                <w:b/>
                <w:bCs/>
                <w:lang w:val="en-AU" w:eastAsia="en-AU"/>
              </w:rPr>
              <w:t>225</w:t>
            </w:r>
          </w:p>
        </w:tc>
        <w:tc>
          <w:tcPr>
            <w:tcW w:w="0" w:type="auto"/>
            <w:hideMark/>
          </w:tcPr>
          <w:p w14:paraId="3C662284"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0.8227</w:t>
            </w:r>
          </w:p>
        </w:tc>
        <w:tc>
          <w:tcPr>
            <w:tcW w:w="0" w:type="auto"/>
            <w:hideMark/>
          </w:tcPr>
          <w:p w14:paraId="3546EA1C"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225 × 0.8227 = </w:t>
            </w:r>
            <w:r w:rsidRPr="002018AC">
              <w:rPr>
                <w:rFonts w:cs="Times New Roman"/>
                <w:b/>
                <w:bCs/>
                <w:lang w:val="en-AU" w:eastAsia="en-AU"/>
              </w:rPr>
              <w:t>185.108</w:t>
            </w:r>
          </w:p>
        </w:tc>
      </w:tr>
    </w:tbl>
    <w:p w14:paraId="3D008011" w14:textId="77777777" w:rsidR="00A77462" w:rsidRPr="002018AC" w:rsidRDefault="00A77462" w:rsidP="00695D8D">
      <w:pPr>
        <w:pStyle w:val="ListParagraph"/>
        <w:numPr>
          <w:ilvl w:val="0"/>
          <w:numId w:val="32"/>
        </w:numPr>
        <w:spacing w:line="276" w:lineRule="auto"/>
        <w:jc w:val="left"/>
        <w:rPr>
          <w:rFonts w:cs="Times New Roman"/>
          <w:lang w:val="en-AU"/>
        </w:rPr>
      </w:pPr>
      <w:r w:rsidRPr="002018AC">
        <w:rPr>
          <w:rFonts w:cs="Times New Roman"/>
          <w:b/>
          <w:bCs/>
          <w:lang w:val="en-AU"/>
        </w:rPr>
        <w:t>Total PV of after-tax cash flows:</w:t>
      </w:r>
      <w:r w:rsidRPr="002018AC">
        <w:rPr>
          <w:rFonts w:cs="Times New Roman"/>
          <w:lang w:val="en-AU"/>
        </w:rPr>
        <w:br/>
        <w:t>= 100.000 + 149.660 + 161.970 + 185.108</w:t>
      </w:r>
      <w:r w:rsidRPr="002018AC">
        <w:rPr>
          <w:rFonts w:cs="Times New Roman"/>
          <w:lang w:val="en-AU"/>
        </w:rPr>
        <w:br/>
        <w:t xml:space="preserve">= </w:t>
      </w:r>
      <w:r w:rsidRPr="002018AC">
        <w:rPr>
          <w:rFonts w:cs="Times New Roman"/>
          <w:b/>
          <w:bCs/>
          <w:lang w:val="en-AU"/>
        </w:rPr>
        <w:t>596.737</w:t>
      </w:r>
    </w:p>
    <w:p w14:paraId="573DCEC9" w14:textId="77777777" w:rsidR="00A77462" w:rsidRPr="002018AC" w:rsidRDefault="00A77462" w:rsidP="00695D8D">
      <w:pPr>
        <w:pStyle w:val="ListParagraph"/>
        <w:numPr>
          <w:ilvl w:val="0"/>
          <w:numId w:val="32"/>
        </w:numPr>
        <w:spacing w:line="276" w:lineRule="auto"/>
        <w:jc w:val="left"/>
        <w:rPr>
          <w:rFonts w:cs="Times New Roman"/>
          <w:lang w:val="en-AU"/>
        </w:rPr>
      </w:pPr>
      <w:r w:rsidRPr="002018AC">
        <w:rPr>
          <w:rFonts w:cs="Times New Roman"/>
          <w:b/>
          <w:bCs/>
          <w:lang w:val="en-AU"/>
        </w:rPr>
        <w:t>NPV:</w:t>
      </w:r>
      <w:r w:rsidRPr="002018AC">
        <w:rPr>
          <w:rFonts w:cs="Times New Roman"/>
          <w:lang w:val="en-AU"/>
        </w:rPr>
        <w:br/>
        <w:t>= 596.737 − 600</w:t>
      </w:r>
      <w:r w:rsidRPr="002018AC">
        <w:rPr>
          <w:rFonts w:cs="Times New Roman"/>
          <w:lang w:val="en-AU"/>
        </w:rPr>
        <w:br/>
        <w:t xml:space="preserve">= </w:t>
      </w:r>
      <w:r w:rsidRPr="002018AC">
        <w:rPr>
          <w:rFonts w:cs="Times New Roman"/>
          <w:b/>
          <w:bCs/>
          <w:lang w:val="en-AU"/>
        </w:rPr>
        <w:t>-3.263</w:t>
      </w:r>
    </w:p>
    <w:p w14:paraId="7932E136" w14:textId="596EFE1C" w:rsidR="00A77462" w:rsidRPr="002018AC" w:rsidRDefault="00A77462" w:rsidP="00695D8D">
      <w:pPr>
        <w:pStyle w:val="Heading3"/>
        <w:numPr>
          <w:ilvl w:val="2"/>
          <w:numId w:val="9"/>
        </w:numPr>
        <w:spacing w:line="276" w:lineRule="auto"/>
        <w:rPr>
          <w:rFonts w:cs="Times New Roman"/>
          <w:lang w:val="en-AU"/>
        </w:rPr>
      </w:pPr>
      <w:bookmarkStart w:id="51" w:name="_Toc227606865"/>
      <w:r w:rsidRPr="002018AC">
        <w:rPr>
          <w:rFonts w:cs="Times New Roman"/>
          <w:lang w:val="en-AU"/>
        </w:rPr>
        <w:t>D2. Option B: Develop internet sales</w:t>
      </w:r>
      <w:bookmarkEnd w:id="51"/>
    </w:p>
    <w:p w14:paraId="2FF6DFE9" w14:textId="77777777" w:rsidR="00A77462" w:rsidRPr="002018AC" w:rsidRDefault="00A77462" w:rsidP="00695D8D">
      <w:pPr>
        <w:spacing w:line="276" w:lineRule="auto"/>
        <w:jc w:val="left"/>
        <w:rPr>
          <w:rFonts w:cs="Times New Roman"/>
          <w:lang w:val="en-AU"/>
        </w:rPr>
      </w:pPr>
      <w:r w:rsidRPr="002018AC">
        <w:rPr>
          <w:rFonts w:cs="Times New Roman"/>
          <w:lang w:val="en-AU"/>
        </w:rPr>
        <w:t xml:space="preserve">Initial investment = </w:t>
      </w:r>
      <w:r w:rsidRPr="002018AC">
        <w:rPr>
          <w:rFonts w:cs="Times New Roman"/>
          <w:b/>
          <w:bCs/>
          <w:lang w:val="en-AU"/>
        </w:rPr>
        <w:t>£900k</w:t>
      </w:r>
      <w:r w:rsidRPr="002018AC">
        <w:rPr>
          <w:rFonts w:cs="Times New Roman"/>
          <w:lang w:val="en-AU"/>
        </w:rPr>
        <w:br/>
        <w:t xml:space="preserve">Annual capital allowance = </w:t>
      </w:r>
      <w:r w:rsidRPr="002018AC">
        <w:rPr>
          <w:rFonts w:cs="Times New Roman"/>
          <w:b/>
          <w:bCs/>
          <w:lang w:val="en-AU"/>
        </w:rPr>
        <w:t>£180k</w:t>
      </w:r>
    </w:p>
    <w:tbl>
      <w:tblPr>
        <w:tblStyle w:val="GridTable4-Accent1"/>
        <w:tblW w:w="0" w:type="auto"/>
        <w:tblLook w:val="04A0" w:firstRow="1" w:lastRow="0" w:firstColumn="1" w:lastColumn="0" w:noHBand="0" w:noVBand="1"/>
      </w:tblPr>
      <w:tblGrid>
        <w:gridCol w:w="683"/>
        <w:gridCol w:w="889"/>
        <w:gridCol w:w="1480"/>
        <w:gridCol w:w="1305"/>
        <w:gridCol w:w="1154"/>
        <w:gridCol w:w="1297"/>
        <w:gridCol w:w="886"/>
        <w:gridCol w:w="1656"/>
      </w:tblGrid>
      <w:tr w:rsidR="00A77462" w:rsidRPr="002018AC" w14:paraId="7FF60B5F" w14:textId="77777777" w:rsidTr="001C1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F8BAE6" w14:textId="77777777" w:rsidR="00A77462" w:rsidRPr="002018AC" w:rsidRDefault="00A77462" w:rsidP="00695D8D">
            <w:pPr>
              <w:spacing w:line="276" w:lineRule="auto"/>
              <w:jc w:val="left"/>
              <w:rPr>
                <w:rFonts w:cs="Times New Roman"/>
                <w:b w:val="0"/>
                <w:bCs w:val="0"/>
                <w:lang w:val="en-AU" w:eastAsia="en-AU"/>
              </w:rPr>
            </w:pPr>
            <w:r w:rsidRPr="002018AC">
              <w:rPr>
                <w:rFonts w:cs="Times New Roman"/>
                <w:b w:val="0"/>
                <w:bCs w:val="0"/>
                <w:lang w:val="en-AU" w:eastAsia="en-AU"/>
              </w:rPr>
              <w:t>Year</w:t>
            </w:r>
          </w:p>
        </w:tc>
        <w:tc>
          <w:tcPr>
            <w:tcW w:w="0" w:type="auto"/>
            <w:hideMark/>
          </w:tcPr>
          <w:p w14:paraId="5D26C772"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Cash flow</w:t>
            </w:r>
          </w:p>
        </w:tc>
        <w:tc>
          <w:tcPr>
            <w:tcW w:w="0" w:type="auto"/>
            <w:hideMark/>
          </w:tcPr>
          <w:p w14:paraId="33BE3B9A"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Capital allowance</w:t>
            </w:r>
          </w:p>
        </w:tc>
        <w:tc>
          <w:tcPr>
            <w:tcW w:w="0" w:type="auto"/>
            <w:hideMark/>
          </w:tcPr>
          <w:p w14:paraId="24015EF6"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Taxable profit</w:t>
            </w:r>
          </w:p>
        </w:tc>
        <w:tc>
          <w:tcPr>
            <w:tcW w:w="0" w:type="auto"/>
            <w:hideMark/>
          </w:tcPr>
          <w:p w14:paraId="63A4B8F0"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Tax at 25%</w:t>
            </w:r>
          </w:p>
        </w:tc>
        <w:tc>
          <w:tcPr>
            <w:tcW w:w="0" w:type="auto"/>
            <w:hideMark/>
          </w:tcPr>
          <w:p w14:paraId="4157CA85"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After-tax cash flow</w:t>
            </w:r>
          </w:p>
        </w:tc>
        <w:tc>
          <w:tcPr>
            <w:tcW w:w="0" w:type="auto"/>
            <w:hideMark/>
          </w:tcPr>
          <w:p w14:paraId="60012968"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DF 5%</w:t>
            </w:r>
          </w:p>
        </w:tc>
        <w:tc>
          <w:tcPr>
            <w:tcW w:w="0" w:type="auto"/>
            <w:hideMark/>
          </w:tcPr>
          <w:p w14:paraId="279E5380"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Present value</w:t>
            </w:r>
          </w:p>
        </w:tc>
      </w:tr>
      <w:tr w:rsidR="00A77462" w:rsidRPr="002018AC" w14:paraId="186C0FCF"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F2C5B"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1</w:t>
            </w:r>
          </w:p>
        </w:tc>
        <w:tc>
          <w:tcPr>
            <w:tcW w:w="0" w:type="auto"/>
            <w:hideMark/>
          </w:tcPr>
          <w:p w14:paraId="4FF567D0"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220</w:t>
            </w:r>
          </w:p>
        </w:tc>
        <w:tc>
          <w:tcPr>
            <w:tcW w:w="0" w:type="auto"/>
            <w:hideMark/>
          </w:tcPr>
          <w:p w14:paraId="149C7EB7"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180</w:t>
            </w:r>
          </w:p>
        </w:tc>
        <w:tc>
          <w:tcPr>
            <w:tcW w:w="0" w:type="auto"/>
            <w:hideMark/>
          </w:tcPr>
          <w:p w14:paraId="52B5F863"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220 − 180 = </w:t>
            </w:r>
            <w:r w:rsidRPr="002018AC">
              <w:rPr>
                <w:rFonts w:cs="Times New Roman"/>
                <w:b/>
                <w:bCs/>
                <w:lang w:val="en-AU" w:eastAsia="en-AU"/>
              </w:rPr>
              <w:t>40</w:t>
            </w:r>
          </w:p>
        </w:tc>
        <w:tc>
          <w:tcPr>
            <w:tcW w:w="0" w:type="auto"/>
            <w:hideMark/>
          </w:tcPr>
          <w:p w14:paraId="2A06D9DD"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40 × 25% = </w:t>
            </w:r>
            <w:r w:rsidRPr="002018AC">
              <w:rPr>
                <w:rFonts w:cs="Times New Roman"/>
                <w:b/>
                <w:bCs/>
                <w:lang w:val="en-AU" w:eastAsia="en-AU"/>
              </w:rPr>
              <w:t>10</w:t>
            </w:r>
          </w:p>
        </w:tc>
        <w:tc>
          <w:tcPr>
            <w:tcW w:w="0" w:type="auto"/>
            <w:hideMark/>
          </w:tcPr>
          <w:p w14:paraId="63E0BC57"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220 − 10 = </w:t>
            </w:r>
            <w:r w:rsidRPr="002018AC">
              <w:rPr>
                <w:rFonts w:cs="Times New Roman"/>
                <w:b/>
                <w:bCs/>
                <w:lang w:val="en-AU" w:eastAsia="en-AU"/>
              </w:rPr>
              <w:t>210</w:t>
            </w:r>
          </w:p>
        </w:tc>
        <w:tc>
          <w:tcPr>
            <w:tcW w:w="0" w:type="auto"/>
            <w:hideMark/>
          </w:tcPr>
          <w:p w14:paraId="3FA63344"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0.9524</w:t>
            </w:r>
          </w:p>
        </w:tc>
        <w:tc>
          <w:tcPr>
            <w:tcW w:w="0" w:type="auto"/>
            <w:hideMark/>
          </w:tcPr>
          <w:p w14:paraId="6609937D"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210 × 0.9524 = </w:t>
            </w:r>
            <w:r w:rsidRPr="002018AC">
              <w:rPr>
                <w:rFonts w:cs="Times New Roman"/>
                <w:b/>
                <w:bCs/>
                <w:lang w:val="en-AU" w:eastAsia="en-AU"/>
              </w:rPr>
              <w:t>200.000</w:t>
            </w:r>
          </w:p>
        </w:tc>
      </w:tr>
      <w:tr w:rsidR="00A77462" w:rsidRPr="002018AC" w14:paraId="11C24837"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04A7332C"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lastRenderedPageBreak/>
              <w:t>2</w:t>
            </w:r>
          </w:p>
        </w:tc>
        <w:tc>
          <w:tcPr>
            <w:tcW w:w="0" w:type="auto"/>
            <w:hideMark/>
          </w:tcPr>
          <w:p w14:paraId="1D62D097"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270</w:t>
            </w:r>
          </w:p>
        </w:tc>
        <w:tc>
          <w:tcPr>
            <w:tcW w:w="0" w:type="auto"/>
            <w:hideMark/>
          </w:tcPr>
          <w:p w14:paraId="72E8EDC5"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180</w:t>
            </w:r>
          </w:p>
        </w:tc>
        <w:tc>
          <w:tcPr>
            <w:tcW w:w="0" w:type="auto"/>
            <w:hideMark/>
          </w:tcPr>
          <w:p w14:paraId="6CF69241"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270 − 180 = </w:t>
            </w:r>
            <w:r w:rsidRPr="002018AC">
              <w:rPr>
                <w:rFonts w:cs="Times New Roman"/>
                <w:b/>
                <w:bCs/>
                <w:lang w:val="en-AU" w:eastAsia="en-AU"/>
              </w:rPr>
              <w:t>90</w:t>
            </w:r>
          </w:p>
        </w:tc>
        <w:tc>
          <w:tcPr>
            <w:tcW w:w="0" w:type="auto"/>
            <w:hideMark/>
          </w:tcPr>
          <w:p w14:paraId="4A55B2D6"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90 × 25% = </w:t>
            </w:r>
            <w:r w:rsidRPr="002018AC">
              <w:rPr>
                <w:rFonts w:cs="Times New Roman"/>
                <w:b/>
                <w:bCs/>
                <w:lang w:val="en-AU" w:eastAsia="en-AU"/>
              </w:rPr>
              <w:t>22.5</w:t>
            </w:r>
          </w:p>
        </w:tc>
        <w:tc>
          <w:tcPr>
            <w:tcW w:w="0" w:type="auto"/>
            <w:hideMark/>
          </w:tcPr>
          <w:p w14:paraId="54BA92E2"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270 − 22.5 = </w:t>
            </w:r>
            <w:r w:rsidRPr="002018AC">
              <w:rPr>
                <w:rFonts w:cs="Times New Roman"/>
                <w:b/>
                <w:bCs/>
                <w:lang w:val="en-AU" w:eastAsia="en-AU"/>
              </w:rPr>
              <w:t>247.5</w:t>
            </w:r>
          </w:p>
        </w:tc>
        <w:tc>
          <w:tcPr>
            <w:tcW w:w="0" w:type="auto"/>
            <w:hideMark/>
          </w:tcPr>
          <w:p w14:paraId="14A1CB76"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0.9070</w:t>
            </w:r>
          </w:p>
        </w:tc>
        <w:tc>
          <w:tcPr>
            <w:tcW w:w="0" w:type="auto"/>
            <w:hideMark/>
          </w:tcPr>
          <w:p w14:paraId="1E071BCD"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247.5 × 0.9070 = </w:t>
            </w:r>
            <w:r w:rsidRPr="002018AC">
              <w:rPr>
                <w:rFonts w:cs="Times New Roman"/>
                <w:b/>
                <w:bCs/>
                <w:lang w:val="en-AU" w:eastAsia="en-AU"/>
              </w:rPr>
              <w:t>224.490</w:t>
            </w:r>
          </w:p>
        </w:tc>
      </w:tr>
      <w:tr w:rsidR="00A77462" w:rsidRPr="002018AC" w14:paraId="54EB15AD"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59170E"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3</w:t>
            </w:r>
          </w:p>
        </w:tc>
        <w:tc>
          <w:tcPr>
            <w:tcW w:w="0" w:type="auto"/>
            <w:hideMark/>
          </w:tcPr>
          <w:p w14:paraId="25D67351"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350</w:t>
            </w:r>
          </w:p>
        </w:tc>
        <w:tc>
          <w:tcPr>
            <w:tcW w:w="0" w:type="auto"/>
            <w:hideMark/>
          </w:tcPr>
          <w:p w14:paraId="2F12AE3D"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180</w:t>
            </w:r>
          </w:p>
        </w:tc>
        <w:tc>
          <w:tcPr>
            <w:tcW w:w="0" w:type="auto"/>
            <w:hideMark/>
          </w:tcPr>
          <w:p w14:paraId="7AB31C65"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350 − 180 = </w:t>
            </w:r>
            <w:r w:rsidRPr="002018AC">
              <w:rPr>
                <w:rFonts w:cs="Times New Roman"/>
                <w:b/>
                <w:bCs/>
                <w:lang w:val="en-AU" w:eastAsia="en-AU"/>
              </w:rPr>
              <w:t>170</w:t>
            </w:r>
          </w:p>
        </w:tc>
        <w:tc>
          <w:tcPr>
            <w:tcW w:w="0" w:type="auto"/>
            <w:hideMark/>
          </w:tcPr>
          <w:p w14:paraId="44553E69"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170 × 25% = </w:t>
            </w:r>
            <w:r w:rsidRPr="002018AC">
              <w:rPr>
                <w:rFonts w:cs="Times New Roman"/>
                <w:b/>
                <w:bCs/>
                <w:lang w:val="en-AU" w:eastAsia="en-AU"/>
              </w:rPr>
              <w:t>42.5</w:t>
            </w:r>
          </w:p>
        </w:tc>
        <w:tc>
          <w:tcPr>
            <w:tcW w:w="0" w:type="auto"/>
            <w:hideMark/>
          </w:tcPr>
          <w:p w14:paraId="15481565"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350 − 42.5 = </w:t>
            </w:r>
            <w:r w:rsidRPr="002018AC">
              <w:rPr>
                <w:rFonts w:cs="Times New Roman"/>
                <w:b/>
                <w:bCs/>
                <w:lang w:val="en-AU" w:eastAsia="en-AU"/>
              </w:rPr>
              <w:t>307.5</w:t>
            </w:r>
          </w:p>
        </w:tc>
        <w:tc>
          <w:tcPr>
            <w:tcW w:w="0" w:type="auto"/>
            <w:hideMark/>
          </w:tcPr>
          <w:p w14:paraId="09696F9A"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0.8638</w:t>
            </w:r>
          </w:p>
        </w:tc>
        <w:tc>
          <w:tcPr>
            <w:tcW w:w="0" w:type="auto"/>
            <w:hideMark/>
          </w:tcPr>
          <w:p w14:paraId="2CEB2B5B"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307.5 × 0.8638 = </w:t>
            </w:r>
            <w:r w:rsidRPr="002018AC">
              <w:rPr>
                <w:rFonts w:cs="Times New Roman"/>
                <w:b/>
                <w:bCs/>
                <w:lang w:val="en-AU" w:eastAsia="en-AU"/>
              </w:rPr>
              <w:t>265.630</w:t>
            </w:r>
          </w:p>
        </w:tc>
      </w:tr>
      <w:tr w:rsidR="00A77462" w:rsidRPr="002018AC" w14:paraId="729A3885"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59AB82F6"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4</w:t>
            </w:r>
          </w:p>
        </w:tc>
        <w:tc>
          <w:tcPr>
            <w:tcW w:w="0" w:type="auto"/>
            <w:hideMark/>
          </w:tcPr>
          <w:p w14:paraId="23CBED89"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400</w:t>
            </w:r>
          </w:p>
        </w:tc>
        <w:tc>
          <w:tcPr>
            <w:tcW w:w="0" w:type="auto"/>
            <w:hideMark/>
          </w:tcPr>
          <w:p w14:paraId="61647643"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180</w:t>
            </w:r>
          </w:p>
        </w:tc>
        <w:tc>
          <w:tcPr>
            <w:tcW w:w="0" w:type="auto"/>
            <w:hideMark/>
          </w:tcPr>
          <w:p w14:paraId="6619CBD8"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400 − 180 = </w:t>
            </w:r>
            <w:r w:rsidRPr="002018AC">
              <w:rPr>
                <w:rFonts w:cs="Times New Roman"/>
                <w:b/>
                <w:bCs/>
                <w:lang w:val="en-AU" w:eastAsia="en-AU"/>
              </w:rPr>
              <w:t>220</w:t>
            </w:r>
          </w:p>
        </w:tc>
        <w:tc>
          <w:tcPr>
            <w:tcW w:w="0" w:type="auto"/>
            <w:hideMark/>
          </w:tcPr>
          <w:p w14:paraId="06ADFFB4"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220 × 25% = </w:t>
            </w:r>
            <w:r w:rsidRPr="002018AC">
              <w:rPr>
                <w:rFonts w:cs="Times New Roman"/>
                <w:b/>
                <w:bCs/>
                <w:lang w:val="en-AU" w:eastAsia="en-AU"/>
              </w:rPr>
              <w:t>55</w:t>
            </w:r>
          </w:p>
        </w:tc>
        <w:tc>
          <w:tcPr>
            <w:tcW w:w="0" w:type="auto"/>
            <w:hideMark/>
          </w:tcPr>
          <w:p w14:paraId="5C3754E3"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400 − 55 = </w:t>
            </w:r>
            <w:r w:rsidRPr="002018AC">
              <w:rPr>
                <w:rFonts w:cs="Times New Roman"/>
                <w:b/>
                <w:bCs/>
                <w:lang w:val="en-AU" w:eastAsia="en-AU"/>
              </w:rPr>
              <w:t>345</w:t>
            </w:r>
          </w:p>
        </w:tc>
        <w:tc>
          <w:tcPr>
            <w:tcW w:w="0" w:type="auto"/>
            <w:hideMark/>
          </w:tcPr>
          <w:p w14:paraId="51C060A8"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0.8227</w:t>
            </w:r>
          </w:p>
        </w:tc>
        <w:tc>
          <w:tcPr>
            <w:tcW w:w="0" w:type="auto"/>
            <w:hideMark/>
          </w:tcPr>
          <w:p w14:paraId="5C48DEDA"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345 × 0.8227 = </w:t>
            </w:r>
            <w:r w:rsidRPr="002018AC">
              <w:rPr>
                <w:rFonts w:cs="Times New Roman"/>
                <w:b/>
                <w:bCs/>
                <w:lang w:val="en-AU" w:eastAsia="en-AU"/>
              </w:rPr>
              <w:t>283.832</w:t>
            </w:r>
          </w:p>
        </w:tc>
      </w:tr>
    </w:tbl>
    <w:p w14:paraId="217732AA" w14:textId="77777777" w:rsidR="00A77462" w:rsidRPr="002018AC" w:rsidRDefault="00A77462" w:rsidP="00695D8D">
      <w:pPr>
        <w:pStyle w:val="ListParagraph"/>
        <w:numPr>
          <w:ilvl w:val="0"/>
          <w:numId w:val="35"/>
        </w:numPr>
        <w:spacing w:line="276" w:lineRule="auto"/>
        <w:jc w:val="left"/>
        <w:rPr>
          <w:rFonts w:cs="Times New Roman"/>
          <w:lang w:val="en-AU"/>
        </w:rPr>
      </w:pPr>
      <w:r w:rsidRPr="002018AC">
        <w:rPr>
          <w:rFonts w:cs="Times New Roman"/>
          <w:bCs/>
          <w:lang w:val="en-AU"/>
        </w:rPr>
        <w:t>Total PV of after-tax cash flows:</w:t>
      </w:r>
      <w:r w:rsidRPr="002018AC">
        <w:rPr>
          <w:rFonts w:cs="Times New Roman"/>
          <w:lang w:val="en-AU"/>
        </w:rPr>
        <w:br/>
        <w:t>= 200.000 + 224.490 + 265.630 + 283.832</w:t>
      </w:r>
      <w:r w:rsidRPr="002018AC">
        <w:rPr>
          <w:rFonts w:cs="Times New Roman"/>
          <w:lang w:val="en-AU"/>
        </w:rPr>
        <w:br/>
        <w:t xml:space="preserve">= </w:t>
      </w:r>
      <w:r w:rsidRPr="002018AC">
        <w:rPr>
          <w:rFonts w:cs="Times New Roman"/>
          <w:bCs/>
          <w:lang w:val="en-AU"/>
        </w:rPr>
        <w:t>973.952</w:t>
      </w:r>
    </w:p>
    <w:p w14:paraId="74DF7068" w14:textId="77777777" w:rsidR="00A77462" w:rsidRPr="002018AC" w:rsidRDefault="00A77462" w:rsidP="00695D8D">
      <w:pPr>
        <w:pStyle w:val="ListParagraph"/>
        <w:numPr>
          <w:ilvl w:val="0"/>
          <w:numId w:val="35"/>
        </w:numPr>
        <w:spacing w:line="276" w:lineRule="auto"/>
        <w:jc w:val="left"/>
        <w:rPr>
          <w:rFonts w:cs="Times New Roman"/>
          <w:lang w:val="en-AU"/>
        </w:rPr>
      </w:pPr>
      <w:r w:rsidRPr="002018AC">
        <w:rPr>
          <w:rFonts w:cs="Times New Roman"/>
          <w:bCs/>
          <w:lang w:val="en-AU"/>
        </w:rPr>
        <w:t>NPV:</w:t>
      </w:r>
      <w:r w:rsidRPr="002018AC">
        <w:rPr>
          <w:rFonts w:cs="Times New Roman"/>
          <w:lang w:val="en-AU"/>
        </w:rPr>
        <w:br/>
        <w:t>= 973.952 − 900</w:t>
      </w:r>
      <w:r w:rsidRPr="002018AC">
        <w:rPr>
          <w:rFonts w:cs="Times New Roman"/>
          <w:lang w:val="en-AU"/>
        </w:rPr>
        <w:br/>
        <w:t xml:space="preserve">= </w:t>
      </w:r>
      <w:r w:rsidRPr="002018AC">
        <w:rPr>
          <w:rFonts w:cs="Times New Roman"/>
          <w:bCs/>
          <w:lang w:val="en-AU"/>
        </w:rPr>
        <w:t>73.952</w:t>
      </w:r>
    </w:p>
    <w:p w14:paraId="3AE83F04" w14:textId="2561A720" w:rsidR="00A77462" w:rsidRPr="002018AC" w:rsidRDefault="00A77462" w:rsidP="00695D8D">
      <w:pPr>
        <w:pStyle w:val="Heading3"/>
        <w:numPr>
          <w:ilvl w:val="2"/>
          <w:numId w:val="9"/>
        </w:numPr>
        <w:spacing w:line="276" w:lineRule="auto"/>
        <w:rPr>
          <w:rFonts w:cs="Times New Roman"/>
          <w:lang w:val="en-AU"/>
        </w:rPr>
      </w:pPr>
      <w:bookmarkStart w:id="52" w:name="_Toc227606866"/>
      <w:r w:rsidRPr="002018AC">
        <w:rPr>
          <w:rFonts w:cs="Times New Roman"/>
          <w:lang w:val="en-AU"/>
        </w:rPr>
        <w:t>D3. Option C: Produce purses and wallets</w:t>
      </w:r>
      <w:bookmarkEnd w:id="52"/>
    </w:p>
    <w:p w14:paraId="7AC65265" w14:textId="77777777" w:rsidR="00A77462" w:rsidRPr="002018AC" w:rsidRDefault="00A77462" w:rsidP="00695D8D">
      <w:pPr>
        <w:spacing w:line="276" w:lineRule="auto"/>
        <w:jc w:val="left"/>
        <w:rPr>
          <w:rFonts w:cs="Times New Roman"/>
          <w:lang w:val="en-AU"/>
        </w:rPr>
      </w:pPr>
      <w:r w:rsidRPr="002018AC">
        <w:rPr>
          <w:rFonts w:cs="Times New Roman"/>
          <w:lang w:val="en-AU"/>
        </w:rPr>
        <w:t xml:space="preserve">Initial investment = </w:t>
      </w:r>
      <w:r w:rsidRPr="002018AC">
        <w:rPr>
          <w:rFonts w:cs="Times New Roman"/>
          <w:b/>
          <w:bCs/>
          <w:lang w:val="en-AU"/>
        </w:rPr>
        <w:t>£1,000k</w:t>
      </w:r>
      <w:r w:rsidRPr="002018AC">
        <w:rPr>
          <w:rFonts w:cs="Times New Roman"/>
          <w:lang w:val="en-AU"/>
        </w:rPr>
        <w:br/>
        <w:t xml:space="preserve">Annual capital allowance = </w:t>
      </w:r>
      <w:r w:rsidRPr="002018AC">
        <w:rPr>
          <w:rFonts w:cs="Times New Roman"/>
          <w:b/>
          <w:bCs/>
          <w:lang w:val="en-AU"/>
        </w:rPr>
        <w:t>£200k</w:t>
      </w:r>
    </w:p>
    <w:tbl>
      <w:tblPr>
        <w:tblStyle w:val="GridTable4-Accent1"/>
        <w:tblW w:w="0" w:type="auto"/>
        <w:tblLook w:val="04A0" w:firstRow="1" w:lastRow="0" w:firstColumn="1" w:lastColumn="0" w:noHBand="0" w:noVBand="1"/>
      </w:tblPr>
      <w:tblGrid>
        <w:gridCol w:w="683"/>
        <w:gridCol w:w="889"/>
        <w:gridCol w:w="1480"/>
        <w:gridCol w:w="1305"/>
        <w:gridCol w:w="1154"/>
        <w:gridCol w:w="1297"/>
        <w:gridCol w:w="886"/>
        <w:gridCol w:w="1656"/>
      </w:tblGrid>
      <w:tr w:rsidR="00A77462" w:rsidRPr="002018AC" w14:paraId="522B902A" w14:textId="77777777" w:rsidTr="001C1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53D3A5"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Year</w:t>
            </w:r>
          </w:p>
        </w:tc>
        <w:tc>
          <w:tcPr>
            <w:tcW w:w="0" w:type="auto"/>
            <w:hideMark/>
          </w:tcPr>
          <w:p w14:paraId="1BEB2A99"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Cash flow</w:t>
            </w:r>
          </w:p>
        </w:tc>
        <w:tc>
          <w:tcPr>
            <w:tcW w:w="0" w:type="auto"/>
            <w:hideMark/>
          </w:tcPr>
          <w:p w14:paraId="27CDF844"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Capital allowance</w:t>
            </w:r>
          </w:p>
        </w:tc>
        <w:tc>
          <w:tcPr>
            <w:tcW w:w="0" w:type="auto"/>
            <w:hideMark/>
          </w:tcPr>
          <w:p w14:paraId="23BA0386"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Taxable profit</w:t>
            </w:r>
          </w:p>
        </w:tc>
        <w:tc>
          <w:tcPr>
            <w:tcW w:w="0" w:type="auto"/>
            <w:hideMark/>
          </w:tcPr>
          <w:p w14:paraId="3225F5B6"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Tax at 25%</w:t>
            </w:r>
          </w:p>
        </w:tc>
        <w:tc>
          <w:tcPr>
            <w:tcW w:w="0" w:type="auto"/>
            <w:hideMark/>
          </w:tcPr>
          <w:p w14:paraId="75500C46"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After-tax cash flow</w:t>
            </w:r>
          </w:p>
        </w:tc>
        <w:tc>
          <w:tcPr>
            <w:tcW w:w="0" w:type="auto"/>
            <w:hideMark/>
          </w:tcPr>
          <w:p w14:paraId="1AF3CC5F"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DF 5%</w:t>
            </w:r>
          </w:p>
        </w:tc>
        <w:tc>
          <w:tcPr>
            <w:tcW w:w="0" w:type="auto"/>
            <w:hideMark/>
          </w:tcPr>
          <w:p w14:paraId="15F42491"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Present value</w:t>
            </w:r>
          </w:p>
        </w:tc>
      </w:tr>
      <w:tr w:rsidR="00A77462" w:rsidRPr="002018AC" w14:paraId="4561155C"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66BA7"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1</w:t>
            </w:r>
          </w:p>
        </w:tc>
        <w:tc>
          <w:tcPr>
            <w:tcW w:w="0" w:type="auto"/>
            <w:hideMark/>
          </w:tcPr>
          <w:p w14:paraId="649CE20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250</w:t>
            </w:r>
          </w:p>
        </w:tc>
        <w:tc>
          <w:tcPr>
            <w:tcW w:w="0" w:type="auto"/>
            <w:hideMark/>
          </w:tcPr>
          <w:p w14:paraId="7198D44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200</w:t>
            </w:r>
          </w:p>
        </w:tc>
        <w:tc>
          <w:tcPr>
            <w:tcW w:w="0" w:type="auto"/>
            <w:hideMark/>
          </w:tcPr>
          <w:p w14:paraId="0F14938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250 − 200 = </w:t>
            </w:r>
            <w:r w:rsidRPr="002018AC">
              <w:rPr>
                <w:rFonts w:cs="Times New Roman"/>
                <w:b/>
                <w:bCs/>
                <w:lang w:val="en-AU" w:eastAsia="en-AU"/>
              </w:rPr>
              <w:t>50</w:t>
            </w:r>
          </w:p>
        </w:tc>
        <w:tc>
          <w:tcPr>
            <w:tcW w:w="0" w:type="auto"/>
            <w:hideMark/>
          </w:tcPr>
          <w:p w14:paraId="236CF6C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50 × 25% = </w:t>
            </w:r>
            <w:r w:rsidRPr="002018AC">
              <w:rPr>
                <w:rFonts w:cs="Times New Roman"/>
                <w:b/>
                <w:bCs/>
                <w:lang w:val="en-AU" w:eastAsia="en-AU"/>
              </w:rPr>
              <w:t>12.5</w:t>
            </w:r>
          </w:p>
        </w:tc>
        <w:tc>
          <w:tcPr>
            <w:tcW w:w="0" w:type="auto"/>
            <w:hideMark/>
          </w:tcPr>
          <w:p w14:paraId="26438AA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250 − 12.5 = </w:t>
            </w:r>
            <w:r w:rsidRPr="002018AC">
              <w:rPr>
                <w:rFonts w:cs="Times New Roman"/>
                <w:b/>
                <w:bCs/>
                <w:lang w:val="en-AU" w:eastAsia="en-AU"/>
              </w:rPr>
              <w:t>237.5</w:t>
            </w:r>
          </w:p>
        </w:tc>
        <w:tc>
          <w:tcPr>
            <w:tcW w:w="0" w:type="auto"/>
            <w:hideMark/>
          </w:tcPr>
          <w:p w14:paraId="082C0803"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0.9524</w:t>
            </w:r>
          </w:p>
        </w:tc>
        <w:tc>
          <w:tcPr>
            <w:tcW w:w="0" w:type="auto"/>
            <w:hideMark/>
          </w:tcPr>
          <w:p w14:paraId="1C3C038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237.5 × 0.9524 = </w:t>
            </w:r>
            <w:r w:rsidRPr="002018AC">
              <w:rPr>
                <w:rFonts w:cs="Times New Roman"/>
                <w:b/>
                <w:bCs/>
                <w:lang w:val="en-AU" w:eastAsia="en-AU"/>
              </w:rPr>
              <w:t>226.190</w:t>
            </w:r>
          </w:p>
        </w:tc>
      </w:tr>
      <w:tr w:rsidR="00A77462" w:rsidRPr="002018AC" w14:paraId="3DB4CB7B"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387D3BCB"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2</w:t>
            </w:r>
          </w:p>
        </w:tc>
        <w:tc>
          <w:tcPr>
            <w:tcW w:w="0" w:type="auto"/>
            <w:hideMark/>
          </w:tcPr>
          <w:p w14:paraId="376BBEA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310</w:t>
            </w:r>
          </w:p>
        </w:tc>
        <w:tc>
          <w:tcPr>
            <w:tcW w:w="0" w:type="auto"/>
            <w:hideMark/>
          </w:tcPr>
          <w:p w14:paraId="3B7CDED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200</w:t>
            </w:r>
          </w:p>
        </w:tc>
        <w:tc>
          <w:tcPr>
            <w:tcW w:w="0" w:type="auto"/>
            <w:hideMark/>
          </w:tcPr>
          <w:p w14:paraId="407D81FF"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310 − 200 = </w:t>
            </w:r>
            <w:r w:rsidRPr="002018AC">
              <w:rPr>
                <w:rFonts w:cs="Times New Roman"/>
                <w:b/>
                <w:bCs/>
                <w:lang w:val="en-AU" w:eastAsia="en-AU"/>
              </w:rPr>
              <w:t>110</w:t>
            </w:r>
          </w:p>
        </w:tc>
        <w:tc>
          <w:tcPr>
            <w:tcW w:w="0" w:type="auto"/>
            <w:hideMark/>
          </w:tcPr>
          <w:p w14:paraId="29F0EDB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110 × 25% = </w:t>
            </w:r>
            <w:r w:rsidRPr="002018AC">
              <w:rPr>
                <w:rFonts w:cs="Times New Roman"/>
                <w:b/>
                <w:bCs/>
                <w:lang w:val="en-AU" w:eastAsia="en-AU"/>
              </w:rPr>
              <w:t>27.5</w:t>
            </w:r>
          </w:p>
        </w:tc>
        <w:tc>
          <w:tcPr>
            <w:tcW w:w="0" w:type="auto"/>
            <w:hideMark/>
          </w:tcPr>
          <w:p w14:paraId="1ADBD29B"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310 − 27.5 = </w:t>
            </w:r>
            <w:r w:rsidRPr="002018AC">
              <w:rPr>
                <w:rFonts w:cs="Times New Roman"/>
                <w:b/>
                <w:bCs/>
                <w:lang w:val="en-AU" w:eastAsia="en-AU"/>
              </w:rPr>
              <w:t>282.5</w:t>
            </w:r>
          </w:p>
        </w:tc>
        <w:tc>
          <w:tcPr>
            <w:tcW w:w="0" w:type="auto"/>
            <w:hideMark/>
          </w:tcPr>
          <w:p w14:paraId="7E2B5155"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0.9070</w:t>
            </w:r>
          </w:p>
        </w:tc>
        <w:tc>
          <w:tcPr>
            <w:tcW w:w="0" w:type="auto"/>
            <w:hideMark/>
          </w:tcPr>
          <w:p w14:paraId="5EDC1F97"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282.5 × 0.9070 = </w:t>
            </w:r>
            <w:r w:rsidRPr="002018AC">
              <w:rPr>
                <w:rFonts w:cs="Times New Roman"/>
                <w:b/>
                <w:bCs/>
                <w:lang w:val="en-AU" w:eastAsia="en-AU"/>
              </w:rPr>
              <w:t>256.236</w:t>
            </w:r>
          </w:p>
        </w:tc>
      </w:tr>
      <w:tr w:rsidR="00A77462" w:rsidRPr="002018AC" w14:paraId="74219C23"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EF0F8A"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3</w:t>
            </w:r>
          </w:p>
        </w:tc>
        <w:tc>
          <w:tcPr>
            <w:tcW w:w="0" w:type="auto"/>
            <w:hideMark/>
          </w:tcPr>
          <w:p w14:paraId="7D340383"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400</w:t>
            </w:r>
          </w:p>
        </w:tc>
        <w:tc>
          <w:tcPr>
            <w:tcW w:w="0" w:type="auto"/>
            <w:hideMark/>
          </w:tcPr>
          <w:p w14:paraId="4F77A563"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200</w:t>
            </w:r>
          </w:p>
        </w:tc>
        <w:tc>
          <w:tcPr>
            <w:tcW w:w="0" w:type="auto"/>
            <w:hideMark/>
          </w:tcPr>
          <w:p w14:paraId="3C1096EA"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400 − 200 = </w:t>
            </w:r>
            <w:r w:rsidRPr="002018AC">
              <w:rPr>
                <w:rFonts w:cs="Times New Roman"/>
                <w:b/>
                <w:bCs/>
                <w:lang w:val="en-AU" w:eastAsia="en-AU"/>
              </w:rPr>
              <w:t>200</w:t>
            </w:r>
          </w:p>
        </w:tc>
        <w:tc>
          <w:tcPr>
            <w:tcW w:w="0" w:type="auto"/>
            <w:hideMark/>
          </w:tcPr>
          <w:p w14:paraId="637A619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200 × 25% = </w:t>
            </w:r>
            <w:r w:rsidRPr="002018AC">
              <w:rPr>
                <w:rFonts w:cs="Times New Roman"/>
                <w:b/>
                <w:bCs/>
                <w:lang w:val="en-AU" w:eastAsia="en-AU"/>
              </w:rPr>
              <w:t>50</w:t>
            </w:r>
          </w:p>
        </w:tc>
        <w:tc>
          <w:tcPr>
            <w:tcW w:w="0" w:type="auto"/>
            <w:hideMark/>
          </w:tcPr>
          <w:p w14:paraId="68FE4B0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400 − 50 = </w:t>
            </w:r>
            <w:r w:rsidRPr="002018AC">
              <w:rPr>
                <w:rFonts w:cs="Times New Roman"/>
                <w:b/>
                <w:bCs/>
                <w:lang w:val="en-AU" w:eastAsia="en-AU"/>
              </w:rPr>
              <w:t>350</w:t>
            </w:r>
          </w:p>
        </w:tc>
        <w:tc>
          <w:tcPr>
            <w:tcW w:w="0" w:type="auto"/>
            <w:hideMark/>
          </w:tcPr>
          <w:p w14:paraId="7E91F4D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0.8638</w:t>
            </w:r>
          </w:p>
        </w:tc>
        <w:tc>
          <w:tcPr>
            <w:tcW w:w="0" w:type="auto"/>
            <w:hideMark/>
          </w:tcPr>
          <w:p w14:paraId="406B6C2C"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350 × 0.8638 = </w:t>
            </w:r>
            <w:r w:rsidRPr="002018AC">
              <w:rPr>
                <w:rFonts w:cs="Times New Roman"/>
                <w:b/>
                <w:bCs/>
                <w:lang w:val="en-AU" w:eastAsia="en-AU"/>
              </w:rPr>
              <w:t>302.343</w:t>
            </w:r>
          </w:p>
        </w:tc>
      </w:tr>
      <w:tr w:rsidR="00A77462" w:rsidRPr="002018AC" w14:paraId="3A95565A"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486FE7D8"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4</w:t>
            </w:r>
          </w:p>
        </w:tc>
        <w:tc>
          <w:tcPr>
            <w:tcW w:w="0" w:type="auto"/>
            <w:hideMark/>
          </w:tcPr>
          <w:p w14:paraId="081E3080"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430</w:t>
            </w:r>
          </w:p>
        </w:tc>
        <w:tc>
          <w:tcPr>
            <w:tcW w:w="0" w:type="auto"/>
            <w:hideMark/>
          </w:tcPr>
          <w:p w14:paraId="0937489D"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200</w:t>
            </w:r>
          </w:p>
        </w:tc>
        <w:tc>
          <w:tcPr>
            <w:tcW w:w="0" w:type="auto"/>
            <w:hideMark/>
          </w:tcPr>
          <w:p w14:paraId="28E965A9"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430 − 200 = </w:t>
            </w:r>
            <w:r w:rsidRPr="002018AC">
              <w:rPr>
                <w:rFonts w:cs="Times New Roman"/>
                <w:b/>
                <w:bCs/>
                <w:lang w:val="en-AU" w:eastAsia="en-AU"/>
              </w:rPr>
              <w:t>230</w:t>
            </w:r>
          </w:p>
        </w:tc>
        <w:tc>
          <w:tcPr>
            <w:tcW w:w="0" w:type="auto"/>
            <w:hideMark/>
          </w:tcPr>
          <w:p w14:paraId="1CEDC7D5"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230 × 25% = </w:t>
            </w:r>
            <w:r w:rsidRPr="002018AC">
              <w:rPr>
                <w:rFonts w:cs="Times New Roman"/>
                <w:b/>
                <w:bCs/>
                <w:lang w:val="en-AU" w:eastAsia="en-AU"/>
              </w:rPr>
              <w:t>57.5</w:t>
            </w:r>
          </w:p>
        </w:tc>
        <w:tc>
          <w:tcPr>
            <w:tcW w:w="0" w:type="auto"/>
            <w:hideMark/>
          </w:tcPr>
          <w:p w14:paraId="6917FC23"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430 − 57.5 = </w:t>
            </w:r>
            <w:r w:rsidRPr="002018AC">
              <w:rPr>
                <w:rFonts w:cs="Times New Roman"/>
                <w:b/>
                <w:bCs/>
                <w:lang w:val="en-AU" w:eastAsia="en-AU"/>
              </w:rPr>
              <w:t>372.5</w:t>
            </w:r>
          </w:p>
        </w:tc>
        <w:tc>
          <w:tcPr>
            <w:tcW w:w="0" w:type="auto"/>
            <w:hideMark/>
          </w:tcPr>
          <w:p w14:paraId="5830A8AC"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0.8227</w:t>
            </w:r>
          </w:p>
        </w:tc>
        <w:tc>
          <w:tcPr>
            <w:tcW w:w="0" w:type="auto"/>
            <w:hideMark/>
          </w:tcPr>
          <w:p w14:paraId="5DC3C625"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372.5 × 0.8227 = </w:t>
            </w:r>
            <w:r w:rsidRPr="002018AC">
              <w:rPr>
                <w:rFonts w:cs="Times New Roman"/>
                <w:b/>
                <w:bCs/>
                <w:lang w:val="en-AU" w:eastAsia="en-AU"/>
              </w:rPr>
              <w:t>306.457</w:t>
            </w:r>
          </w:p>
        </w:tc>
      </w:tr>
    </w:tbl>
    <w:p w14:paraId="0E1E9D87" w14:textId="77777777" w:rsidR="00A77462" w:rsidRPr="002018AC" w:rsidRDefault="00A77462" w:rsidP="00695D8D">
      <w:pPr>
        <w:pStyle w:val="ListParagraph"/>
        <w:numPr>
          <w:ilvl w:val="0"/>
          <w:numId w:val="36"/>
        </w:numPr>
        <w:spacing w:line="276" w:lineRule="auto"/>
        <w:jc w:val="left"/>
        <w:rPr>
          <w:rFonts w:cs="Times New Roman"/>
          <w:lang w:val="en-AU"/>
        </w:rPr>
      </w:pPr>
      <w:r w:rsidRPr="002018AC">
        <w:rPr>
          <w:rFonts w:cs="Times New Roman"/>
          <w:bCs/>
          <w:lang w:val="en-AU"/>
        </w:rPr>
        <w:t>Total PV of after-tax cash flows:</w:t>
      </w:r>
      <w:r w:rsidRPr="002018AC">
        <w:rPr>
          <w:rFonts w:cs="Times New Roman"/>
          <w:lang w:val="en-AU"/>
        </w:rPr>
        <w:br/>
        <w:t>= 226.190 + 256.236 + 302.343 + 306.457</w:t>
      </w:r>
      <w:r w:rsidRPr="002018AC">
        <w:rPr>
          <w:rFonts w:cs="Times New Roman"/>
          <w:lang w:val="en-AU"/>
        </w:rPr>
        <w:br/>
        <w:t xml:space="preserve">= </w:t>
      </w:r>
      <w:r w:rsidRPr="002018AC">
        <w:rPr>
          <w:rFonts w:cs="Times New Roman"/>
          <w:bCs/>
          <w:lang w:val="en-AU"/>
        </w:rPr>
        <w:t>1,091.226</w:t>
      </w:r>
    </w:p>
    <w:p w14:paraId="478E0DEC" w14:textId="77777777" w:rsidR="00A77462" w:rsidRPr="002018AC" w:rsidRDefault="00A77462" w:rsidP="00695D8D">
      <w:pPr>
        <w:pStyle w:val="ListParagraph"/>
        <w:numPr>
          <w:ilvl w:val="0"/>
          <w:numId w:val="36"/>
        </w:numPr>
        <w:spacing w:line="276" w:lineRule="auto"/>
        <w:jc w:val="left"/>
        <w:rPr>
          <w:rFonts w:cs="Times New Roman"/>
          <w:lang w:val="en-AU"/>
        </w:rPr>
      </w:pPr>
      <w:r w:rsidRPr="002018AC">
        <w:rPr>
          <w:rFonts w:cs="Times New Roman"/>
          <w:bCs/>
          <w:lang w:val="en-AU"/>
        </w:rPr>
        <w:lastRenderedPageBreak/>
        <w:t>NPV:</w:t>
      </w:r>
      <w:r w:rsidRPr="002018AC">
        <w:rPr>
          <w:rFonts w:cs="Times New Roman"/>
          <w:lang w:val="en-AU"/>
        </w:rPr>
        <w:br/>
        <w:t>= 1,091.226 − 1,000</w:t>
      </w:r>
      <w:r w:rsidRPr="002018AC">
        <w:rPr>
          <w:rFonts w:cs="Times New Roman"/>
          <w:lang w:val="en-AU"/>
        </w:rPr>
        <w:br/>
        <w:t xml:space="preserve">= </w:t>
      </w:r>
      <w:r w:rsidRPr="002018AC">
        <w:rPr>
          <w:rFonts w:cs="Times New Roman"/>
          <w:bCs/>
          <w:lang w:val="en-AU"/>
        </w:rPr>
        <w:t>91.226</w:t>
      </w:r>
    </w:p>
    <w:p w14:paraId="2FB8F452" w14:textId="38309D38" w:rsidR="00A77462" w:rsidRPr="002018AC" w:rsidRDefault="00A77462" w:rsidP="00695D8D">
      <w:pPr>
        <w:pStyle w:val="Heading2"/>
        <w:numPr>
          <w:ilvl w:val="1"/>
          <w:numId w:val="9"/>
        </w:numPr>
        <w:spacing w:line="276" w:lineRule="auto"/>
        <w:rPr>
          <w:rFonts w:cs="Times New Roman"/>
          <w:lang w:val="en-AU"/>
        </w:rPr>
      </w:pPr>
      <w:bookmarkStart w:id="53" w:name="_Toc227606867"/>
      <w:r w:rsidRPr="002018AC">
        <w:rPr>
          <w:rFonts w:cs="Times New Roman"/>
          <w:lang w:val="en-AU"/>
        </w:rPr>
        <w:t>Appendix E: IRR calculation for Option C</w:t>
      </w:r>
      <w:bookmarkEnd w:id="53"/>
    </w:p>
    <w:p w14:paraId="6581C29B" w14:textId="77777777" w:rsidR="00A77462" w:rsidRPr="002018AC" w:rsidRDefault="00A77462" w:rsidP="00695D8D">
      <w:pPr>
        <w:spacing w:line="276" w:lineRule="auto"/>
        <w:rPr>
          <w:rFonts w:cs="Times New Roman"/>
          <w:lang w:val="en-AU"/>
        </w:rPr>
      </w:pPr>
      <w:r w:rsidRPr="002018AC">
        <w:rPr>
          <w:rFonts w:cs="Times New Roman"/>
          <w:lang w:val="en-AU"/>
        </w:rPr>
        <w:t>Option C after-tax cash flows:</w:t>
      </w:r>
    </w:p>
    <w:tbl>
      <w:tblPr>
        <w:tblStyle w:val="GridTable4-Accent1"/>
        <w:tblW w:w="9566" w:type="dxa"/>
        <w:tblLook w:val="04A0" w:firstRow="1" w:lastRow="0" w:firstColumn="1" w:lastColumn="0" w:noHBand="0" w:noVBand="1"/>
      </w:tblPr>
      <w:tblGrid>
        <w:gridCol w:w="2363"/>
        <w:gridCol w:w="7203"/>
      </w:tblGrid>
      <w:tr w:rsidR="00A77462" w:rsidRPr="002018AC" w14:paraId="6E65EC28" w14:textId="77777777" w:rsidTr="001C195C">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3E13A5D3"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Year</w:t>
            </w:r>
          </w:p>
        </w:tc>
        <w:tc>
          <w:tcPr>
            <w:tcW w:w="0" w:type="auto"/>
            <w:hideMark/>
          </w:tcPr>
          <w:p w14:paraId="12CD709D"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After-tax cash flow</w:t>
            </w:r>
          </w:p>
        </w:tc>
      </w:tr>
      <w:tr w:rsidR="00A77462" w:rsidRPr="002018AC" w14:paraId="53E90C9E" w14:textId="77777777" w:rsidTr="001C195C">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5721B26A"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1</w:t>
            </w:r>
          </w:p>
        </w:tc>
        <w:tc>
          <w:tcPr>
            <w:tcW w:w="0" w:type="auto"/>
            <w:hideMark/>
          </w:tcPr>
          <w:p w14:paraId="42C67E53"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237.5</w:t>
            </w:r>
          </w:p>
        </w:tc>
      </w:tr>
      <w:tr w:rsidR="00A77462" w:rsidRPr="002018AC" w14:paraId="1028E271" w14:textId="77777777" w:rsidTr="001C195C">
        <w:trPr>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2E95FAC4"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2</w:t>
            </w:r>
          </w:p>
        </w:tc>
        <w:tc>
          <w:tcPr>
            <w:tcW w:w="0" w:type="auto"/>
            <w:hideMark/>
          </w:tcPr>
          <w:p w14:paraId="4AC20439"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282.5</w:t>
            </w:r>
          </w:p>
        </w:tc>
      </w:tr>
      <w:tr w:rsidR="00A77462" w:rsidRPr="002018AC" w14:paraId="4EE43119" w14:textId="77777777" w:rsidTr="001C195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0B83B377"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3</w:t>
            </w:r>
          </w:p>
        </w:tc>
        <w:tc>
          <w:tcPr>
            <w:tcW w:w="0" w:type="auto"/>
            <w:hideMark/>
          </w:tcPr>
          <w:p w14:paraId="5688885D"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350.0</w:t>
            </w:r>
          </w:p>
        </w:tc>
      </w:tr>
      <w:tr w:rsidR="00A77462" w:rsidRPr="002018AC" w14:paraId="7731024D" w14:textId="77777777" w:rsidTr="001C195C">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233C79B4"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4</w:t>
            </w:r>
          </w:p>
        </w:tc>
        <w:tc>
          <w:tcPr>
            <w:tcW w:w="0" w:type="auto"/>
            <w:hideMark/>
          </w:tcPr>
          <w:p w14:paraId="6215BE43"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372.5</w:t>
            </w:r>
          </w:p>
        </w:tc>
      </w:tr>
    </w:tbl>
    <w:p w14:paraId="2E324EBE" w14:textId="77777777" w:rsidR="00A77462" w:rsidRPr="002018AC" w:rsidRDefault="00A77462" w:rsidP="00695D8D">
      <w:pPr>
        <w:spacing w:line="276" w:lineRule="auto"/>
        <w:rPr>
          <w:rFonts w:cs="Times New Roman"/>
          <w:b/>
          <w:bCs/>
          <w:lang w:val="en-AU"/>
        </w:rPr>
      </w:pPr>
      <w:r w:rsidRPr="002018AC">
        <w:rPr>
          <w:rFonts w:cs="Times New Roman"/>
          <w:b/>
          <w:bCs/>
          <w:lang w:val="en-AU"/>
        </w:rPr>
        <w:t>E1. NPV at 8%</w:t>
      </w:r>
    </w:p>
    <w:tbl>
      <w:tblPr>
        <w:tblStyle w:val="GridTable4-Accent1"/>
        <w:tblW w:w="9535" w:type="dxa"/>
        <w:tblLook w:val="04A0" w:firstRow="1" w:lastRow="0" w:firstColumn="1" w:lastColumn="0" w:noHBand="0" w:noVBand="1"/>
      </w:tblPr>
      <w:tblGrid>
        <w:gridCol w:w="1138"/>
        <w:gridCol w:w="1993"/>
        <w:gridCol w:w="1893"/>
        <w:gridCol w:w="4511"/>
      </w:tblGrid>
      <w:tr w:rsidR="00A77462" w:rsidRPr="002018AC" w14:paraId="2FDEF879" w14:textId="77777777" w:rsidTr="001C195C">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5B0391C9"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Year</w:t>
            </w:r>
          </w:p>
        </w:tc>
        <w:tc>
          <w:tcPr>
            <w:tcW w:w="0" w:type="auto"/>
            <w:hideMark/>
          </w:tcPr>
          <w:p w14:paraId="32FC9FCA"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Cash flow</w:t>
            </w:r>
          </w:p>
        </w:tc>
        <w:tc>
          <w:tcPr>
            <w:tcW w:w="0" w:type="auto"/>
            <w:hideMark/>
          </w:tcPr>
          <w:p w14:paraId="208AE512"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DF at 8%</w:t>
            </w:r>
          </w:p>
        </w:tc>
        <w:tc>
          <w:tcPr>
            <w:tcW w:w="0" w:type="auto"/>
            <w:hideMark/>
          </w:tcPr>
          <w:p w14:paraId="0B82B178"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Present value</w:t>
            </w:r>
          </w:p>
        </w:tc>
      </w:tr>
      <w:tr w:rsidR="00A77462" w:rsidRPr="002018AC" w14:paraId="42F7FE3C" w14:textId="77777777" w:rsidTr="001C195C">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17EF166C"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1</w:t>
            </w:r>
          </w:p>
        </w:tc>
        <w:tc>
          <w:tcPr>
            <w:tcW w:w="0" w:type="auto"/>
            <w:hideMark/>
          </w:tcPr>
          <w:p w14:paraId="4A3BE64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237.5</w:t>
            </w:r>
          </w:p>
        </w:tc>
        <w:tc>
          <w:tcPr>
            <w:tcW w:w="0" w:type="auto"/>
            <w:hideMark/>
          </w:tcPr>
          <w:p w14:paraId="76FD2E37"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0.9259</w:t>
            </w:r>
          </w:p>
        </w:tc>
        <w:tc>
          <w:tcPr>
            <w:tcW w:w="0" w:type="auto"/>
            <w:hideMark/>
          </w:tcPr>
          <w:p w14:paraId="69E2F5A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237.5 × 0.9259 = </w:t>
            </w:r>
            <w:r w:rsidRPr="002018AC">
              <w:rPr>
                <w:rFonts w:cs="Times New Roman"/>
                <w:b/>
                <w:bCs/>
                <w:lang w:val="en-AU" w:eastAsia="en-AU"/>
              </w:rPr>
              <w:t>219.907</w:t>
            </w:r>
          </w:p>
        </w:tc>
      </w:tr>
      <w:tr w:rsidR="00A77462" w:rsidRPr="002018AC" w14:paraId="1FD356E9" w14:textId="77777777" w:rsidTr="001C195C">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3EE11E76"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2</w:t>
            </w:r>
          </w:p>
        </w:tc>
        <w:tc>
          <w:tcPr>
            <w:tcW w:w="0" w:type="auto"/>
            <w:hideMark/>
          </w:tcPr>
          <w:p w14:paraId="5D5A667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282.5</w:t>
            </w:r>
          </w:p>
        </w:tc>
        <w:tc>
          <w:tcPr>
            <w:tcW w:w="0" w:type="auto"/>
            <w:hideMark/>
          </w:tcPr>
          <w:p w14:paraId="7019B5A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0.8573</w:t>
            </w:r>
          </w:p>
        </w:tc>
        <w:tc>
          <w:tcPr>
            <w:tcW w:w="0" w:type="auto"/>
            <w:hideMark/>
          </w:tcPr>
          <w:p w14:paraId="255A9A0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282.5 × 0.8573 = </w:t>
            </w:r>
            <w:r w:rsidRPr="002018AC">
              <w:rPr>
                <w:rFonts w:cs="Times New Roman"/>
                <w:b/>
                <w:bCs/>
                <w:lang w:val="en-AU" w:eastAsia="en-AU"/>
              </w:rPr>
              <w:t>242.198</w:t>
            </w:r>
          </w:p>
        </w:tc>
      </w:tr>
      <w:tr w:rsidR="00A77462" w:rsidRPr="002018AC" w14:paraId="29BBA167" w14:textId="77777777" w:rsidTr="001C195C">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09B9D8C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3</w:t>
            </w:r>
          </w:p>
        </w:tc>
        <w:tc>
          <w:tcPr>
            <w:tcW w:w="0" w:type="auto"/>
            <w:hideMark/>
          </w:tcPr>
          <w:p w14:paraId="39BD08C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350.0</w:t>
            </w:r>
          </w:p>
        </w:tc>
        <w:tc>
          <w:tcPr>
            <w:tcW w:w="0" w:type="auto"/>
            <w:hideMark/>
          </w:tcPr>
          <w:p w14:paraId="2405A723"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0.7938</w:t>
            </w:r>
          </w:p>
        </w:tc>
        <w:tc>
          <w:tcPr>
            <w:tcW w:w="0" w:type="auto"/>
            <w:hideMark/>
          </w:tcPr>
          <w:p w14:paraId="07E9A716"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350 × 0.7938 = </w:t>
            </w:r>
            <w:r w:rsidRPr="002018AC">
              <w:rPr>
                <w:rFonts w:cs="Times New Roman"/>
                <w:b/>
                <w:bCs/>
                <w:lang w:val="en-AU" w:eastAsia="en-AU"/>
              </w:rPr>
              <w:t>277.841</w:t>
            </w:r>
          </w:p>
        </w:tc>
      </w:tr>
      <w:tr w:rsidR="00A77462" w:rsidRPr="002018AC" w14:paraId="6E83466B" w14:textId="77777777" w:rsidTr="001C195C">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1E2BBEEB"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4</w:t>
            </w:r>
          </w:p>
        </w:tc>
        <w:tc>
          <w:tcPr>
            <w:tcW w:w="0" w:type="auto"/>
            <w:hideMark/>
          </w:tcPr>
          <w:p w14:paraId="0F47F053"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372.5</w:t>
            </w:r>
          </w:p>
        </w:tc>
        <w:tc>
          <w:tcPr>
            <w:tcW w:w="0" w:type="auto"/>
            <w:hideMark/>
          </w:tcPr>
          <w:p w14:paraId="55DB6768"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0.7350</w:t>
            </w:r>
          </w:p>
        </w:tc>
        <w:tc>
          <w:tcPr>
            <w:tcW w:w="0" w:type="auto"/>
            <w:hideMark/>
          </w:tcPr>
          <w:p w14:paraId="5D1AF704"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372.5 × 0.7350 = </w:t>
            </w:r>
            <w:r w:rsidRPr="002018AC">
              <w:rPr>
                <w:rFonts w:cs="Times New Roman"/>
                <w:b/>
                <w:bCs/>
                <w:lang w:val="en-AU" w:eastAsia="en-AU"/>
              </w:rPr>
              <w:t>273.799</w:t>
            </w:r>
          </w:p>
        </w:tc>
      </w:tr>
    </w:tbl>
    <w:p w14:paraId="3D315B47" w14:textId="77777777" w:rsidR="00A77462" w:rsidRPr="002018AC" w:rsidRDefault="00A77462" w:rsidP="00695D8D">
      <w:pPr>
        <w:pStyle w:val="ListParagraph"/>
        <w:numPr>
          <w:ilvl w:val="0"/>
          <w:numId w:val="37"/>
        </w:numPr>
        <w:spacing w:line="276" w:lineRule="auto"/>
        <w:rPr>
          <w:rFonts w:cs="Times New Roman"/>
          <w:lang w:val="en-AU"/>
        </w:rPr>
      </w:pPr>
      <w:r w:rsidRPr="002018AC">
        <w:rPr>
          <w:rFonts w:cs="Times New Roman"/>
          <w:bCs/>
          <w:lang w:val="en-AU"/>
        </w:rPr>
        <w:t>Total PV at 8%:</w:t>
      </w:r>
      <w:r w:rsidRPr="002018AC">
        <w:rPr>
          <w:rFonts w:cs="Times New Roman"/>
          <w:lang w:val="en-AU"/>
        </w:rPr>
        <w:br/>
        <w:t>= 219.907 + 242.198 + 277.841 + 273.799</w:t>
      </w:r>
      <w:r w:rsidRPr="002018AC">
        <w:rPr>
          <w:rFonts w:cs="Times New Roman"/>
          <w:lang w:val="en-AU"/>
        </w:rPr>
        <w:br/>
        <w:t xml:space="preserve">= </w:t>
      </w:r>
      <w:r w:rsidRPr="002018AC">
        <w:rPr>
          <w:rFonts w:cs="Times New Roman"/>
          <w:bCs/>
          <w:lang w:val="en-AU"/>
        </w:rPr>
        <w:t>1,013.746</w:t>
      </w:r>
    </w:p>
    <w:p w14:paraId="2987758E" w14:textId="77777777" w:rsidR="00A77462" w:rsidRPr="002018AC" w:rsidRDefault="00A77462" w:rsidP="00695D8D">
      <w:pPr>
        <w:pStyle w:val="ListParagraph"/>
        <w:numPr>
          <w:ilvl w:val="0"/>
          <w:numId w:val="37"/>
        </w:numPr>
        <w:spacing w:line="276" w:lineRule="auto"/>
        <w:rPr>
          <w:rFonts w:cs="Times New Roman"/>
          <w:lang w:val="en-AU"/>
        </w:rPr>
      </w:pPr>
      <w:r w:rsidRPr="002018AC">
        <w:rPr>
          <w:rFonts w:cs="Times New Roman"/>
          <w:bCs/>
          <w:lang w:val="en-AU"/>
        </w:rPr>
        <w:t>NPV at 8%:</w:t>
      </w:r>
      <w:r w:rsidRPr="002018AC">
        <w:rPr>
          <w:rFonts w:cs="Times New Roman"/>
          <w:lang w:val="en-AU"/>
        </w:rPr>
        <w:br/>
        <w:t>= 1,013.746 − 1,000</w:t>
      </w:r>
      <w:r w:rsidRPr="002018AC">
        <w:rPr>
          <w:rFonts w:cs="Times New Roman"/>
          <w:lang w:val="en-AU"/>
        </w:rPr>
        <w:br/>
        <w:t xml:space="preserve">= </w:t>
      </w:r>
      <w:r w:rsidRPr="002018AC">
        <w:rPr>
          <w:rFonts w:cs="Times New Roman"/>
          <w:bCs/>
          <w:lang w:val="en-AU"/>
        </w:rPr>
        <w:t>13.746</w:t>
      </w:r>
    </w:p>
    <w:p w14:paraId="4CB59C5B" w14:textId="77777777" w:rsidR="00A77462" w:rsidRPr="002018AC" w:rsidRDefault="00A77462" w:rsidP="00695D8D">
      <w:pPr>
        <w:spacing w:line="276" w:lineRule="auto"/>
        <w:jc w:val="left"/>
        <w:rPr>
          <w:rFonts w:cs="Times New Roman"/>
          <w:b/>
          <w:bCs/>
          <w:lang w:val="en-AU"/>
        </w:rPr>
      </w:pPr>
      <w:r w:rsidRPr="002018AC">
        <w:rPr>
          <w:rFonts w:cs="Times New Roman"/>
          <w:b/>
          <w:bCs/>
          <w:lang w:val="en-AU"/>
        </w:rPr>
        <w:t>E2. NPV at 9%</w:t>
      </w:r>
    </w:p>
    <w:tbl>
      <w:tblPr>
        <w:tblStyle w:val="GridTable4-Accent1"/>
        <w:tblW w:w="9727" w:type="dxa"/>
        <w:tblLook w:val="04A0" w:firstRow="1" w:lastRow="0" w:firstColumn="1" w:lastColumn="0" w:noHBand="0" w:noVBand="1"/>
      </w:tblPr>
      <w:tblGrid>
        <w:gridCol w:w="1161"/>
        <w:gridCol w:w="2033"/>
        <w:gridCol w:w="1931"/>
        <w:gridCol w:w="4602"/>
      </w:tblGrid>
      <w:tr w:rsidR="00A77462" w:rsidRPr="002018AC" w14:paraId="6F86347E" w14:textId="77777777" w:rsidTr="001C195C">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6E3C2BBE" w14:textId="77777777" w:rsidR="00A77462" w:rsidRPr="002018AC" w:rsidRDefault="00A77462" w:rsidP="00695D8D">
            <w:pPr>
              <w:spacing w:line="276" w:lineRule="auto"/>
              <w:jc w:val="left"/>
              <w:rPr>
                <w:rFonts w:cs="Times New Roman"/>
                <w:b w:val="0"/>
                <w:bCs w:val="0"/>
                <w:lang w:val="en-AU" w:eastAsia="en-AU"/>
              </w:rPr>
            </w:pPr>
            <w:r w:rsidRPr="002018AC">
              <w:rPr>
                <w:rFonts w:cs="Times New Roman"/>
                <w:b w:val="0"/>
                <w:bCs w:val="0"/>
                <w:lang w:val="en-AU" w:eastAsia="en-AU"/>
              </w:rPr>
              <w:t>Year</w:t>
            </w:r>
          </w:p>
        </w:tc>
        <w:tc>
          <w:tcPr>
            <w:tcW w:w="0" w:type="auto"/>
            <w:hideMark/>
          </w:tcPr>
          <w:p w14:paraId="15670C51"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Cash flow</w:t>
            </w:r>
          </w:p>
        </w:tc>
        <w:tc>
          <w:tcPr>
            <w:tcW w:w="0" w:type="auto"/>
            <w:hideMark/>
          </w:tcPr>
          <w:p w14:paraId="2D502F4E"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DF at 9%</w:t>
            </w:r>
          </w:p>
        </w:tc>
        <w:tc>
          <w:tcPr>
            <w:tcW w:w="0" w:type="auto"/>
            <w:hideMark/>
          </w:tcPr>
          <w:p w14:paraId="78339FCB" w14:textId="77777777" w:rsidR="00A77462" w:rsidRPr="002018AC" w:rsidRDefault="00A77462" w:rsidP="00695D8D">
            <w:pPr>
              <w:spacing w:line="276" w:lineRule="auto"/>
              <w:jc w:val="left"/>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Present value</w:t>
            </w:r>
          </w:p>
        </w:tc>
      </w:tr>
      <w:tr w:rsidR="00A77462" w:rsidRPr="002018AC" w14:paraId="3AB65E9E" w14:textId="77777777" w:rsidTr="001C195C">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0A98A875"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1</w:t>
            </w:r>
          </w:p>
        </w:tc>
        <w:tc>
          <w:tcPr>
            <w:tcW w:w="0" w:type="auto"/>
            <w:hideMark/>
          </w:tcPr>
          <w:p w14:paraId="1D834C86"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237.5</w:t>
            </w:r>
          </w:p>
        </w:tc>
        <w:tc>
          <w:tcPr>
            <w:tcW w:w="0" w:type="auto"/>
            <w:hideMark/>
          </w:tcPr>
          <w:p w14:paraId="511B771D"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0.9174</w:t>
            </w:r>
          </w:p>
        </w:tc>
        <w:tc>
          <w:tcPr>
            <w:tcW w:w="0" w:type="auto"/>
            <w:hideMark/>
          </w:tcPr>
          <w:p w14:paraId="25B5637C"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237.5 × 0.9174 = </w:t>
            </w:r>
            <w:r w:rsidRPr="002018AC">
              <w:rPr>
                <w:rFonts w:cs="Times New Roman"/>
                <w:b/>
                <w:bCs/>
                <w:lang w:val="en-AU" w:eastAsia="en-AU"/>
              </w:rPr>
              <w:t>217.890</w:t>
            </w:r>
          </w:p>
        </w:tc>
      </w:tr>
      <w:tr w:rsidR="00A77462" w:rsidRPr="002018AC" w14:paraId="214D6E73" w14:textId="77777777" w:rsidTr="001C195C">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0158B3AF"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2</w:t>
            </w:r>
          </w:p>
        </w:tc>
        <w:tc>
          <w:tcPr>
            <w:tcW w:w="0" w:type="auto"/>
            <w:hideMark/>
          </w:tcPr>
          <w:p w14:paraId="42F203B6"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282.5</w:t>
            </w:r>
          </w:p>
        </w:tc>
        <w:tc>
          <w:tcPr>
            <w:tcW w:w="0" w:type="auto"/>
            <w:hideMark/>
          </w:tcPr>
          <w:p w14:paraId="59852D5E"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0.8417</w:t>
            </w:r>
          </w:p>
        </w:tc>
        <w:tc>
          <w:tcPr>
            <w:tcW w:w="0" w:type="auto"/>
            <w:hideMark/>
          </w:tcPr>
          <w:p w14:paraId="652A42B1"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282.5 × 0.8417 = </w:t>
            </w:r>
            <w:r w:rsidRPr="002018AC">
              <w:rPr>
                <w:rFonts w:cs="Times New Roman"/>
                <w:b/>
                <w:bCs/>
                <w:lang w:val="en-AU" w:eastAsia="en-AU"/>
              </w:rPr>
              <w:t>237.775</w:t>
            </w:r>
          </w:p>
        </w:tc>
      </w:tr>
      <w:tr w:rsidR="00A77462" w:rsidRPr="002018AC" w14:paraId="0CE3ABFB" w14:textId="77777777" w:rsidTr="001C195C">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3292E5B4"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3</w:t>
            </w:r>
          </w:p>
        </w:tc>
        <w:tc>
          <w:tcPr>
            <w:tcW w:w="0" w:type="auto"/>
            <w:hideMark/>
          </w:tcPr>
          <w:p w14:paraId="4882FF82"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350.0</w:t>
            </w:r>
          </w:p>
        </w:tc>
        <w:tc>
          <w:tcPr>
            <w:tcW w:w="0" w:type="auto"/>
            <w:hideMark/>
          </w:tcPr>
          <w:p w14:paraId="64910540"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0.7722</w:t>
            </w:r>
          </w:p>
        </w:tc>
        <w:tc>
          <w:tcPr>
            <w:tcW w:w="0" w:type="auto"/>
            <w:hideMark/>
          </w:tcPr>
          <w:p w14:paraId="2A835F17" w14:textId="77777777" w:rsidR="00A77462" w:rsidRPr="002018AC" w:rsidRDefault="00A77462" w:rsidP="00695D8D">
            <w:pPr>
              <w:spacing w:line="276" w:lineRule="auto"/>
              <w:jc w:val="left"/>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350 × 0.7722 = </w:t>
            </w:r>
            <w:r w:rsidRPr="002018AC">
              <w:rPr>
                <w:rFonts w:cs="Times New Roman"/>
                <w:b/>
                <w:bCs/>
                <w:lang w:val="en-AU" w:eastAsia="en-AU"/>
              </w:rPr>
              <w:t>270.264</w:t>
            </w:r>
          </w:p>
        </w:tc>
      </w:tr>
      <w:tr w:rsidR="00A77462" w:rsidRPr="002018AC" w14:paraId="32A8A845" w14:textId="77777777" w:rsidTr="001C195C">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15497F9F" w14:textId="77777777" w:rsidR="00A77462" w:rsidRPr="002018AC" w:rsidRDefault="00A77462" w:rsidP="00695D8D">
            <w:pPr>
              <w:spacing w:line="276" w:lineRule="auto"/>
              <w:jc w:val="left"/>
              <w:rPr>
                <w:rFonts w:cs="Times New Roman"/>
                <w:lang w:val="en-AU" w:eastAsia="en-AU"/>
              </w:rPr>
            </w:pPr>
            <w:r w:rsidRPr="002018AC">
              <w:rPr>
                <w:rFonts w:cs="Times New Roman"/>
                <w:lang w:val="en-AU" w:eastAsia="en-AU"/>
              </w:rPr>
              <w:t>4</w:t>
            </w:r>
          </w:p>
        </w:tc>
        <w:tc>
          <w:tcPr>
            <w:tcW w:w="0" w:type="auto"/>
            <w:hideMark/>
          </w:tcPr>
          <w:p w14:paraId="3FB1BC85"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372.5</w:t>
            </w:r>
          </w:p>
        </w:tc>
        <w:tc>
          <w:tcPr>
            <w:tcW w:w="0" w:type="auto"/>
            <w:hideMark/>
          </w:tcPr>
          <w:p w14:paraId="209A1847"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0.7084</w:t>
            </w:r>
          </w:p>
        </w:tc>
        <w:tc>
          <w:tcPr>
            <w:tcW w:w="0" w:type="auto"/>
            <w:hideMark/>
          </w:tcPr>
          <w:p w14:paraId="52A22D17" w14:textId="77777777" w:rsidR="00A77462" w:rsidRPr="002018AC" w:rsidRDefault="00A77462" w:rsidP="00695D8D">
            <w:pPr>
              <w:spacing w:line="276" w:lineRule="auto"/>
              <w:jc w:val="left"/>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372.5 × 0.7084 = </w:t>
            </w:r>
            <w:r w:rsidRPr="002018AC">
              <w:rPr>
                <w:rFonts w:cs="Times New Roman"/>
                <w:b/>
                <w:bCs/>
                <w:lang w:val="en-AU" w:eastAsia="en-AU"/>
              </w:rPr>
              <w:t>263.888</w:t>
            </w:r>
          </w:p>
        </w:tc>
      </w:tr>
    </w:tbl>
    <w:p w14:paraId="0B4C1B89" w14:textId="77777777" w:rsidR="00A77462" w:rsidRPr="002018AC" w:rsidRDefault="00A77462" w:rsidP="00695D8D">
      <w:pPr>
        <w:pStyle w:val="ListParagraph"/>
        <w:numPr>
          <w:ilvl w:val="0"/>
          <w:numId w:val="39"/>
        </w:numPr>
        <w:spacing w:line="276" w:lineRule="auto"/>
        <w:jc w:val="left"/>
        <w:rPr>
          <w:rFonts w:cs="Times New Roman"/>
          <w:lang w:val="en-AU"/>
        </w:rPr>
      </w:pPr>
      <w:r w:rsidRPr="002018AC">
        <w:rPr>
          <w:rFonts w:cs="Times New Roman"/>
          <w:bCs/>
          <w:lang w:val="en-AU"/>
        </w:rPr>
        <w:lastRenderedPageBreak/>
        <w:t>Total PV at 9%:</w:t>
      </w:r>
      <w:r w:rsidRPr="002018AC">
        <w:rPr>
          <w:rFonts w:cs="Times New Roman"/>
          <w:lang w:val="en-AU"/>
        </w:rPr>
        <w:br/>
        <w:t>= 217.890 + 237.775 + 270.264 + 263.888</w:t>
      </w:r>
      <w:r w:rsidRPr="002018AC">
        <w:rPr>
          <w:rFonts w:cs="Times New Roman"/>
          <w:lang w:val="en-AU"/>
        </w:rPr>
        <w:br/>
        <w:t xml:space="preserve">= </w:t>
      </w:r>
      <w:r w:rsidRPr="002018AC">
        <w:rPr>
          <w:rFonts w:cs="Times New Roman"/>
          <w:bCs/>
          <w:lang w:val="en-AU"/>
        </w:rPr>
        <w:t>989.817</w:t>
      </w:r>
    </w:p>
    <w:p w14:paraId="01C920A7" w14:textId="77777777" w:rsidR="00A77462" w:rsidRPr="002018AC" w:rsidRDefault="00A77462" w:rsidP="00695D8D">
      <w:pPr>
        <w:pStyle w:val="ListParagraph"/>
        <w:numPr>
          <w:ilvl w:val="0"/>
          <w:numId w:val="39"/>
        </w:numPr>
        <w:spacing w:line="276" w:lineRule="auto"/>
        <w:jc w:val="left"/>
        <w:rPr>
          <w:rFonts w:cs="Times New Roman"/>
          <w:lang w:val="en-AU"/>
        </w:rPr>
      </w:pPr>
      <w:r w:rsidRPr="002018AC">
        <w:rPr>
          <w:rFonts w:cs="Times New Roman"/>
          <w:bCs/>
          <w:lang w:val="en-AU"/>
        </w:rPr>
        <w:t>NPV at 9%:</w:t>
      </w:r>
      <w:r w:rsidRPr="002018AC">
        <w:rPr>
          <w:rFonts w:cs="Times New Roman"/>
          <w:lang w:val="en-AU"/>
        </w:rPr>
        <w:br/>
        <w:t>= 989.817 − 1,000</w:t>
      </w:r>
      <w:r w:rsidRPr="002018AC">
        <w:rPr>
          <w:rFonts w:cs="Times New Roman"/>
          <w:lang w:val="en-AU"/>
        </w:rPr>
        <w:br/>
        <w:t xml:space="preserve">= </w:t>
      </w:r>
      <w:r w:rsidRPr="002018AC">
        <w:rPr>
          <w:rFonts w:cs="Times New Roman"/>
          <w:bCs/>
          <w:lang w:val="en-AU"/>
        </w:rPr>
        <w:t>-10.183</w:t>
      </w:r>
    </w:p>
    <w:p w14:paraId="1BF65DE5" w14:textId="77777777" w:rsidR="00A77462" w:rsidRPr="002018AC" w:rsidRDefault="00A77462" w:rsidP="00695D8D">
      <w:pPr>
        <w:spacing w:line="276" w:lineRule="auto"/>
        <w:jc w:val="left"/>
        <w:rPr>
          <w:rFonts w:cs="Times New Roman"/>
          <w:b/>
          <w:bCs/>
          <w:lang w:val="en-AU"/>
        </w:rPr>
      </w:pPr>
      <w:r w:rsidRPr="002018AC">
        <w:rPr>
          <w:rFonts w:cs="Times New Roman"/>
          <w:b/>
          <w:bCs/>
          <w:lang w:val="en-AU"/>
        </w:rPr>
        <w:t>E3. IRR interpolation</w:t>
      </w:r>
    </w:p>
    <w:p w14:paraId="557CC8A6" w14:textId="77777777" w:rsidR="00A77462" w:rsidRPr="002018AC" w:rsidRDefault="00A77462" w:rsidP="00695D8D">
      <w:pPr>
        <w:pStyle w:val="ListParagraph"/>
        <w:numPr>
          <w:ilvl w:val="0"/>
          <w:numId w:val="38"/>
        </w:numPr>
        <w:spacing w:line="276" w:lineRule="auto"/>
        <w:jc w:val="left"/>
        <w:rPr>
          <w:rFonts w:cs="Times New Roman"/>
          <w:lang w:val="en-AU"/>
        </w:rPr>
      </w:pPr>
      <w:r w:rsidRPr="002018AC">
        <w:rPr>
          <w:rFonts w:cs="Times New Roman"/>
          <w:bCs/>
          <w:lang w:val="en-AU"/>
        </w:rPr>
        <w:t>Formula:</w:t>
      </w:r>
      <w:r w:rsidRPr="002018AC">
        <w:rPr>
          <w:rFonts w:cs="Times New Roman"/>
          <w:lang w:val="en-AU"/>
        </w:rPr>
        <w:br/>
        <w:t>IRR = lower rate + [NPV at lower rate / difference between NPVs] × rate gap</w:t>
      </w:r>
    </w:p>
    <w:p w14:paraId="6EE4FCF0" w14:textId="77777777" w:rsidR="009A74D4" w:rsidRPr="002018AC" w:rsidRDefault="00A77462" w:rsidP="00695D8D">
      <w:pPr>
        <w:pStyle w:val="ListParagraph"/>
        <w:numPr>
          <w:ilvl w:val="0"/>
          <w:numId w:val="38"/>
        </w:numPr>
        <w:spacing w:line="276" w:lineRule="auto"/>
        <w:jc w:val="left"/>
        <w:rPr>
          <w:rFonts w:cs="Times New Roman"/>
          <w:lang w:val="en-AU"/>
        </w:rPr>
      </w:pPr>
      <w:r w:rsidRPr="002018AC">
        <w:rPr>
          <w:rFonts w:cs="Times New Roman"/>
          <w:bCs/>
          <w:lang w:val="en-AU"/>
        </w:rPr>
        <w:t>IRR:</w:t>
      </w:r>
    </w:p>
    <w:p w14:paraId="2F2A6A76" w14:textId="09D5ECAA" w:rsidR="00A77462" w:rsidRPr="002018AC" w:rsidRDefault="00A77462" w:rsidP="00695D8D">
      <w:pPr>
        <w:spacing w:line="276" w:lineRule="auto"/>
        <w:jc w:val="left"/>
        <w:rPr>
          <w:rFonts w:cs="Times New Roman"/>
          <w:lang w:val="en-AU"/>
        </w:rPr>
      </w:pPr>
      <w:r w:rsidRPr="002018AC">
        <w:rPr>
          <w:rFonts w:cs="Times New Roman"/>
          <w:lang w:val="en-AU"/>
        </w:rPr>
        <w:t>= 8% + [13.746 / (13.746 − -10.183)] × 1%</w:t>
      </w:r>
    </w:p>
    <w:p w14:paraId="094308C3" w14:textId="77777777" w:rsidR="00A77462" w:rsidRPr="002018AC" w:rsidRDefault="00A77462" w:rsidP="00695D8D">
      <w:pPr>
        <w:spacing w:line="276" w:lineRule="auto"/>
        <w:rPr>
          <w:rFonts w:cs="Times New Roman"/>
          <w:lang w:val="en-AU"/>
        </w:rPr>
      </w:pPr>
      <w:r w:rsidRPr="002018AC">
        <w:rPr>
          <w:rFonts w:cs="Times New Roman"/>
          <w:lang w:val="en-AU"/>
        </w:rPr>
        <w:t>= 8% + [13.746 / 23.929] × 1%</w:t>
      </w:r>
    </w:p>
    <w:p w14:paraId="6BB3D6C9" w14:textId="77777777" w:rsidR="00A77462" w:rsidRPr="002018AC" w:rsidRDefault="00A77462" w:rsidP="00695D8D">
      <w:pPr>
        <w:spacing w:line="276" w:lineRule="auto"/>
        <w:rPr>
          <w:rFonts w:cs="Times New Roman"/>
          <w:lang w:val="en-AU"/>
        </w:rPr>
      </w:pPr>
      <w:r w:rsidRPr="002018AC">
        <w:rPr>
          <w:rFonts w:cs="Times New Roman"/>
          <w:lang w:val="en-AU"/>
        </w:rPr>
        <w:t>= 8% + 0.574%</w:t>
      </w:r>
    </w:p>
    <w:p w14:paraId="6D43D4D4" w14:textId="77777777" w:rsidR="00A77462" w:rsidRPr="002018AC" w:rsidRDefault="00A77462" w:rsidP="00695D8D">
      <w:pPr>
        <w:spacing w:line="276" w:lineRule="auto"/>
        <w:rPr>
          <w:rFonts w:cs="Times New Roman"/>
          <w:lang w:val="en-AU"/>
        </w:rPr>
      </w:pPr>
      <w:r w:rsidRPr="002018AC">
        <w:rPr>
          <w:rFonts w:cs="Times New Roman"/>
          <w:lang w:val="en-AU"/>
        </w:rPr>
        <w:t xml:space="preserve">= </w:t>
      </w:r>
      <w:r w:rsidRPr="002018AC">
        <w:rPr>
          <w:rFonts w:cs="Times New Roman"/>
          <w:bCs/>
          <w:lang w:val="en-AU"/>
        </w:rPr>
        <w:t>8.574%</w:t>
      </w:r>
    </w:p>
    <w:p w14:paraId="5E48B3F0"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 xml:space="preserve">Approximate IRR = </w:t>
      </w:r>
      <w:r w:rsidRPr="002018AC">
        <w:rPr>
          <w:rFonts w:cs="Times New Roman"/>
          <w:bCs/>
          <w:lang w:val="en-AU"/>
        </w:rPr>
        <w:t>8.57%</w:t>
      </w:r>
    </w:p>
    <w:p w14:paraId="262BDFD2" w14:textId="533D29B5" w:rsidR="00A77462" w:rsidRPr="002018AC" w:rsidRDefault="00A77462" w:rsidP="00695D8D">
      <w:pPr>
        <w:pStyle w:val="Heading2"/>
        <w:numPr>
          <w:ilvl w:val="1"/>
          <w:numId w:val="9"/>
        </w:numPr>
        <w:spacing w:line="276" w:lineRule="auto"/>
        <w:rPr>
          <w:rFonts w:cs="Times New Roman"/>
          <w:lang w:val="en-AU"/>
        </w:rPr>
      </w:pPr>
      <w:bookmarkStart w:id="54" w:name="_Toc227606868"/>
      <w:r w:rsidRPr="002018AC">
        <w:rPr>
          <w:rFonts w:cs="Times New Roman"/>
          <w:lang w:val="en-AU"/>
        </w:rPr>
        <w:t>Appendix F: Capital rationing calculation</w:t>
      </w:r>
      <w:bookmarkEnd w:id="54"/>
    </w:p>
    <w:p w14:paraId="7C3648C3" w14:textId="77777777" w:rsidR="00A77462" w:rsidRPr="002018AC" w:rsidRDefault="00A77462" w:rsidP="00695D8D">
      <w:pPr>
        <w:spacing w:line="276" w:lineRule="auto"/>
        <w:rPr>
          <w:rFonts w:cs="Times New Roman"/>
          <w:lang w:val="en-AU"/>
        </w:rPr>
      </w:pPr>
      <w:r w:rsidRPr="002018AC">
        <w:rPr>
          <w:rFonts w:cs="Times New Roman"/>
          <w:lang w:val="en-AU"/>
        </w:rPr>
        <w:t xml:space="preserve">Funds available = </w:t>
      </w:r>
      <w:r w:rsidRPr="002018AC">
        <w:rPr>
          <w:rFonts w:cs="Times New Roman"/>
          <w:b/>
          <w:bCs/>
          <w:lang w:val="en-AU"/>
        </w:rPr>
        <w:t>£1,500k</w:t>
      </w:r>
    </w:p>
    <w:p w14:paraId="49925A00" w14:textId="77777777" w:rsidR="00A77462" w:rsidRPr="002018AC" w:rsidRDefault="00A77462" w:rsidP="00695D8D">
      <w:pPr>
        <w:spacing w:line="276" w:lineRule="auto"/>
        <w:rPr>
          <w:rFonts w:cs="Times New Roman"/>
          <w:lang w:val="en-AU"/>
        </w:rPr>
      </w:pPr>
      <w:r w:rsidRPr="002018AC">
        <w:rPr>
          <w:rFonts w:cs="Times New Roman"/>
          <w:lang w:val="en-AU"/>
        </w:rPr>
        <w:t xml:space="preserve">Projects are divisible, so use the </w:t>
      </w:r>
      <w:r w:rsidRPr="002018AC">
        <w:rPr>
          <w:rFonts w:cs="Times New Roman"/>
          <w:b/>
          <w:bCs/>
          <w:lang w:val="en-AU"/>
        </w:rPr>
        <w:t>profitability index</w:t>
      </w:r>
      <w:r w:rsidRPr="002018AC">
        <w:rPr>
          <w:rFonts w:cs="Times New Roman"/>
          <w:lang w:val="en-AU"/>
        </w:rPr>
        <w:t>.</w:t>
      </w:r>
    </w:p>
    <w:p w14:paraId="0E9380E7" w14:textId="77777777" w:rsidR="00A77462" w:rsidRPr="002018AC" w:rsidRDefault="00A77462" w:rsidP="00695D8D">
      <w:pPr>
        <w:spacing w:line="276" w:lineRule="auto"/>
        <w:rPr>
          <w:rFonts w:cs="Times New Roman"/>
          <w:lang w:val="en-AU"/>
        </w:rPr>
      </w:pPr>
      <w:r w:rsidRPr="002018AC">
        <w:rPr>
          <w:rFonts w:cs="Times New Roman"/>
          <w:b/>
          <w:bCs/>
          <w:lang w:val="en-AU"/>
        </w:rPr>
        <w:t>Formula:</w:t>
      </w:r>
      <w:r w:rsidRPr="002018AC">
        <w:rPr>
          <w:rFonts w:cs="Times New Roman"/>
          <w:lang w:val="en-AU"/>
        </w:rPr>
        <w:br/>
        <w:t>Profitability index = PV of cash inflows / Initial investment</w:t>
      </w:r>
    </w:p>
    <w:tbl>
      <w:tblPr>
        <w:tblStyle w:val="GridTable4-Accent1"/>
        <w:tblW w:w="9500" w:type="dxa"/>
        <w:tblLook w:val="04A0" w:firstRow="1" w:lastRow="0" w:firstColumn="1" w:lastColumn="0" w:noHBand="0" w:noVBand="1"/>
      </w:tblPr>
      <w:tblGrid>
        <w:gridCol w:w="1113"/>
        <w:gridCol w:w="2585"/>
        <w:gridCol w:w="2399"/>
        <w:gridCol w:w="3403"/>
      </w:tblGrid>
      <w:tr w:rsidR="00A77462" w:rsidRPr="002018AC" w14:paraId="0F7626B6" w14:textId="77777777" w:rsidTr="009A74D4">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14:paraId="4BC4DBA9"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Option</w:t>
            </w:r>
          </w:p>
        </w:tc>
        <w:tc>
          <w:tcPr>
            <w:tcW w:w="0" w:type="auto"/>
            <w:hideMark/>
          </w:tcPr>
          <w:p w14:paraId="5A2BAFA5"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PV of cash inflows</w:t>
            </w:r>
          </w:p>
        </w:tc>
        <w:tc>
          <w:tcPr>
            <w:tcW w:w="0" w:type="auto"/>
            <w:hideMark/>
          </w:tcPr>
          <w:p w14:paraId="58FE3132"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Initial investment</w:t>
            </w:r>
          </w:p>
        </w:tc>
        <w:tc>
          <w:tcPr>
            <w:tcW w:w="0" w:type="auto"/>
            <w:hideMark/>
          </w:tcPr>
          <w:p w14:paraId="2AB2265A"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Profitability index</w:t>
            </w:r>
          </w:p>
        </w:tc>
      </w:tr>
      <w:tr w:rsidR="00A77462" w:rsidRPr="002018AC" w14:paraId="4243F820" w14:textId="77777777" w:rsidTr="009A74D4">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42B7C9B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A</w:t>
            </w:r>
          </w:p>
        </w:tc>
        <w:tc>
          <w:tcPr>
            <w:tcW w:w="0" w:type="auto"/>
            <w:hideMark/>
          </w:tcPr>
          <w:p w14:paraId="1FC16046"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596.737</w:t>
            </w:r>
          </w:p>
        </w:tc>
        <w:tc>
          <w:tcPr>
            <w:tcW w:w="0" w:type="auto"/>
            <w:hideMark/>
          </w:tcPr>
          <w:p w14:paraId="58971028"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600</w:t>
            </w:r>
          </w:p>
        </w:tc>
        <w:tc>
          <w:tcPr>
            <w:tcW w:w="0" w:type="auto"/>
            <w:hideMark/>
          </w:tcPr>
          <w:p w14:paraId="3653A73F"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596.737 / 600 = </w:t>
            </w:r>
            <w:r w:rsidRPr="002018AC">
              <w:rPr>
                <w:rFonts w:cs="Times New Roman"/>
                <w:b/>
                <w:bCs/>
                <w:lang w:val="en-AU" w:eastAsia="en-AU"/>
              </w:rPr>
              <w:t>0.995</w:t>
            </w:r>
          </w:p>
        </w:tc>
      </w:tr>
      <w:tr w:rsidR="00A77462" w:rsidRPr="002018AC" w14:paraId="69EF6734" w14:textId="77777777" w:rsidTr="009A74D4">
        <w:trPr>
          <w:trHeight w:val="382"/>
        </w:trPr>
        <w:tc>
          <w:tcPr>
            <w:cnfStyle w:val="001000000000" w:firstRow="0" w:lastRow="0" w:firstColumn="1" w:lastColumn="0" w:oddVBand="0" w:evenVBand="0" w:oddHBand="0" w:evenHBand="0" w:firstRowFirstColumn="0" w:firstRowLastColumn="0" w:lastRowFirstColumn="0" w:lastRowLastColumn="0"/>
            <w:tcW w:w="0" w:type="auto"/>
            <w:hideMark/>
          </w:tcPr>
          <w:p w14:paraId="4492AE1B"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B</w:t>
            </w:r>
          </w:p>
        </w:tc>
        <w:tc>
          <w:tcPr>
            <w:tcW w:w="0" w:type="auto"/>
            <w:hideMark/>
          </w:tcPr>
          <w:p w14:paraId="4A2E0A6A"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973.952</w:t>
            </w:r>
          </w:p>
        </w:tc>
        <w:tc>
          <w:tcPr>
            <w:tcW w:w="0" w:type="auto"/>
            <w:hideMark/>
          </w:tcPr>
          <w:p w14:paraId="63525EB8"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900</w:t>
            </w:r>
          </w:p>
        </w:tc>
        <w:tc>
          <w:tcPr>
            <w:tcW w:w="0" w:type="auto"/>
            <w:hideMark/>
          </w:tcPr>
          <w:p w14:paraId="6A08AD5B"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 xml:space="preserve">973.952 / 900 = </w:t>
            </w:r>
            <w:r w:rsidRPr="002018AC">
              <w:rPr>
                <w:rFonts w:cs="Times New Roman"/>
                <w:b/>
                <w:bCs/>
                <w:lang w:val="en-AU" w:eastAsia="en-AU"/>
              </w:rPr>
              <w:t>1.082</w:t>
            </w:r>
          </w:p>
        </w:tc>
      </w:tr>
      <w:tr w:rsidR="00A77462" w:rsidRPr="002018AC" w14:paraId="4F9DC279" w14:textId="77777777" w:rsidTr="009A74D4">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14:paraId="20572C5B"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C</w:t>
            </w:r>
          </w:p>
        </w:tc>
        <w:tc>
          <w:tcPr>
            <w:tcW w:w="0" w:type="auto"/>
            <w:hideMark/>
          </w:tcPr>
          <w:p w14:paraId="4B4D593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1,091.226</w:t>
            </w:r>
          </w:p>
        </w:tc>
        <w:tc>
          <w:tcPr>
            <w:tcW w:w="0" w:type="auto"/>
            <w:hideMark/>
          </w:tcPr>
          <w:p w14:paraId="7163F7EE"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1,000</w:t>
            </w:r>
          </w:p>
        </w:tc>
        <w:tc>
          <w:tcPr>
            <w:tcW w:w="0" w:type="auto"/>
            <w:hideMark/>
          </w:tcPr>
          <w:p w14:paraId="232B4FB6"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 xml:space="preserve">1,091.226 / 1,000 = </w:t>
            </w:r>
            <w:r w:rsidRPr="002018AC">
              <w:rPr>
                <w:rFonts w:cs="Times New Roman"/>
                <w:b/>
                <w:bCs/>
                <w:lang w:val="en-AU" w:eastAsia="en-AU"/>
              </w:rPr>
              <w:t>1.091</w:t>
            </w:r>
          </w:p>
        </w:tc>
      </w:tr>
    </w:tbl>
    <w:p w14:paraId="723A6F20" w14:textId="77777777" w:rsidR="00A77462" w:rsidRPr="002018AC" w:rsidRDefault="00A77462" w:rsidP="00695D8D">
      <w:pPr>
        <w:spacing w:line="276" w:lineRule="auto"/>
        <w:rPr>
          <w:rFonts w:cs="Times New Roman"/>
          <w:b/>
          <w:bCs/>
          <w:lang w:val="en-AU"/>
        </w:rPr>
      </w:pPr>
      <w:r w:rsidRPr="002018AC">
        <w:rPr>
          <w:rFonts w:cs="Times New Roman"/>
          <w:b/>
          <w:bCs/>
          <w:lang w:val="en-AU"/>
        </w:rPr>
        <w:t>Ranking</w:t>
      </w:r>
    </w:p>
    <w:tbl>
      <w:tblPr>
        <w:tblStyle w:val="GridTable4-Accent1"/>
        <w:tblW w:w="9501" w:type="dxa"/>
        <w:tblLook w:val="04A0" w:firstRow="1" w:lastRow="0" w:firstColumn="1" w:lastColumn="0" w:noHBand="0" w:noVBand="1"/>
      </w:tblPr>
      <w:tblGrid>
        <w:gridCol w:w="1921"/>
        <w:gridCol w:w="2346"/>
        <w:gridCol w:w="5234"/>
      </w:tblGrid>
      <w:tr w:rsidR="00A77462" w:rsidRPr="002018AC" w14:paraId="474F184B" w14:textId="77777777" w:rsidTr="009A74D4">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46C6104B"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Rank</w:t>
            </w:r>
          </w:p>
        </w:tc>
        <w:tc>
          <w:tcPr>
            <w:tcW w:w="0" w:type="auto"/>
            <w:hideMark/>
          </w:tcPr>
          <w:p w14:paraId="376BD5DA"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Option</w:t>
            </w:r>
          </w:p>
        </w:tc>
        <w:tc>
          <w:tcPr>
            <w:tcW w:w="0" w:type="auto"/>
            <w:hideMark/>
          </w:tcPr>
          <w:p w14:paraId="3EF7E669"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Profitability index</w:t>
            </w:r>
          </w:p>
        </w:tc>
      </w:tr>
      <w:tr w:rsidR="00A77462" w:rsidRPr="002018AC" w14:paraId="42E7D5DE" w14:textId="77777777" w:rsidTr="009A74D4">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4063E06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1</w:t>
            </w:r>
          </w:p>
        </w:tc>
        <w:tc>
          <w:tcPr>
            <w:tcW w:w="0" w:type="auto"/>
            <w:hideMark/>
          </w:tcPr>
          <w:p w14:paraId="52A452CA"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C</w:t>
            </w:r>
          </w:p>
        </w:tc>
        <w:tc>
          <w:tcPr>
            <w:tcW w:w="0" w:type="auto"/>
            <w:hideMark/>
          </w:tcPr>
          <w:p w14:paraId="0508EFE5"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1.091</w:t>
            </w:r>
          </w:p>
        </w:tc>
      </w:tr>
      <w:tr w:rsidR="00A77462" w:rsidRPr="002018AC" w14:paraId="3B2CFD73" w14:textId="77777777" w:rsidTr="009A74D4">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53048FE5"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2</w:t>
            </w:r>
          </w:p>
        </w:tc>
        <w:tc>
          <w:tcPr>
            <w:tcW w:w="0" w:type="auto"/>
            <w:hideMark/>
          </w:tcPr>
          <w:p w14:paraId="711133C2"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B</w:t>
            </w:r>
          </w:p>
        </w:tc>
        <w:tc>
          <w:tcPr>
            <w:tcW w:w="0" w:type="auto"/>
            <w:hideMark/>
          </w:tcPr>
          <w:p w14:paraId="3BFB8513"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b/>
                <w:bCs/>
                <w:lang w:val="en-AU" w:eastAsia="en-AU"/>
              </w:rPr>
              <w:t>1.082</w:t>
            </w:r>
          </w:p>
        </w:tc>
      </w:tr>
      <w:tr w:rsidR="00A77462" w:rsidRPr="002018AC" w14:paraId="068F23D3" w14:textId="77777777" w:rsidTr="009A74D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4803EC8F"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3</w:t>
            </w:r>
          </w:p>
        </w:tc>
        <w:tc>
          <w:tcPr>
            <w:tcW w:w="0" w:type="auto"/>
            <w:hideMark/>
          </w:tcPr>
          <w:p w14:paraId="5997043D"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A</w:t>
            </w:r>
          </w:p>
        </w:tc>
        <w:tc>
          <w:tcPr>
            <w:tcW w:w="0" w:type="auto"/>
            <w:hideMark/>
          </w:tcPr>
          <w:p w14:paraId="118A6D48"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0.995</w:t>
            </w:r>
          </w:p>
        </w:tc>
      </w:tr>
    </w:tbl>
    <w:p w14:paraId="3C5DFFC3" w14:textId="77777777" w:rsidR="00A77462" w:rsidRPr="002018AC" w:rsidRDefault="00A77462" w:rsidP="00695D8D">
      <w:pPr>
        <w:spacing w:line="276" w:lineRule="auto"/>
        <w:rPr>
          <w:rFonts w:cs="Times New Roman"/>
          <w:b/>
          <w:bCs/>
          <w:lang w:val="en-AU"/>
        </w:rPr>
      </w:pPr>
      <w:r w:rsidRPr="002018AC">
        <w:rPr>
          <w:rFonts w:cs="Times New Roman"/>
          <w:b/>
          <w:bCs/>
          <w:lang w:val="en-AU"/>
        </w:rPr>
        <w:lastRenderedPageBreak/>
        <w:t>Optimal investment policy</w:t>
      </w:r>
    </w:p>
    <w:p w14:paraId="7D29B8D3"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Invest fully in Option C:</w:t>
      </w:r>
    </w:p>
    <w:p w14:paraId="44A46073"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Cost of C = £1,000k</w:t>
      </w:r>
    </w:p>
    <w:p w14:paraId="711507E5"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Remaining funds:</w:t>
      </w:r>
    </w:p>
    <w:p w14:paraId="4EDCE084"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£1,500k − £1,000k = £500k</w:t>
      </w:r>
    </w:p>
    <w:p w14:paraId="0A9DF967"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Fraction of Option B possible:</w:t>
      </w:r>
    </w:p>
    <w:p w14:paraId="6975A8E6"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£500k / £900k = 0.5556</w:t>
      </w:r>
    </w:p>
    <w:p w14:paraId="61DD8081"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Therefore, Beard Plc should invest in:</w:t>
      </w:r>
    </w:p>
    <w:p w14:paraId="0997C5DC"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100% of Option C + 55.56% of Option B</w:t>
      </w:r>
    </w:p>
    <w:p w14:paraId="1E8E391A" w14:textId="77777777" w:rsidR="00A77462" w:rsidRPr="002018AC" w:rsidRDefault="00A77462" w:rsidP="00695D8D">
      <w:pPr>
        <w:pStyle w:val="ListParagraph"/>
        <w:numPr>
          <w:ilvl w:val="0"/>
          <w:numId w:val="38"/>
        </w:numPr>
        <w:spacing w:line="276" w:lineRule="auto"/>
        <w:rPr>
          <w:rFonts w:cs="Times New Roman"/>
          <w:b/>
          <w:bCs/>
          <w:lang w:val="en-AU"/>
        </w:rPr>
      </w:pPr>
      <w:r w:rsidRPr="002018AC">
        <w:rPr>
          <w:rFonts w:cs="Times New Roman"/>
          <w:b/>
          <w:bCs/>
          <w:lang w:val="en-AU"/>
        </w:rPr>
        <w:t>Total NPV</w:t>
      </w:r>
    </w:p>
    <w:p w14:paraId="51316C6B"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NPV of Option C:</w:t>
      </w:r>
    </w:p>
    <w:p w14:paraId="701913C5"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£91.226k</w:t>
      </w:r>
    </w:p>
    <w:p w14:paraId="0D1850AD"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NPV from 55.56% of Option B:</w:t>
      </w:r>
    </w:p>
    <w:p w14:paraId="78DBA3BB"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£73.952k × 55.56% = £41.084k</w:t>
      </w:r>
    </w:p>
    <w:p w14:paraId="1D25478E"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Total NPV:</w:t>
      </w:r>
    </w:p>
    <w:p w14:paraId="3A36C790" w14:textId="77777777" w:rsidR="00A77462" w:rsidRPr="002018AC" w:rsidRDefault="00A77462" w:rsidP="00695D8D">
      <w:pPr>
        <w:pStyle w:val="ListParagraph"/>
        <w:spacing w:line="276" w:lineRule="auto"/>
        <w:rPr>
          <w:rFonts w:cs="Times New Roman"/>
          <w:lang w:val="en-AU"/>
        </w:rPr>
      </w:pPr>
      <w:r w:rsidRPr="002018AC">
        <w:rPr>
          <w:rFonts w:cs="Times New Roman"/>
          <w:b/>
          <w:bCs/>
          <w:lang w:val="en-AU"/>
        </w:rPr>
        <w:t>£91.226k + £41.084k = £132.310k</w:t>
      </w:r>
    </w:p>
    <w:p w14:paraId="6292A2E5" w14:textId="77777777" w:rsidR="00A77462" w:rsidRPr="002018AC" w:rsidRDefault="00A77462" w:rsidP="00695D8D">
      <w:pPr>
        <w:pStyle w:val="ListParagraph"/>
        <w:numPr>
          <w:ilvl w:val="0"/>
          <w:numId w:val="38"/>
        </w:numPr>
        <w:spacing w:line="276" w:lineRule="auto"/>
        <w:rPr>
          <w:rFonts w:cs="Times New Roman"/>
          <w:lang w:val="en-AU"/>
        </w:rPr>
      </w:pPr>
      <w:r w:rsidRPr="002018AC">
        <w:rPr>
          <w:rFonts w:cs="Times New Roman"/>
          <w:lang w:val="en-AU"/>
        </w:rPr>
        <w:t>Final capital-rationing recommendation:</w:t>
      </w:r>
    </w:p>
    <w:tbl>
      <w:tblPr>
        <w:tblStyle w:val="GridTable4-Accent1"/>
        <w:tblW w:w="9432" w:type="dxa"/>
        <w:tblLook w:val="04A0" w:firstRow="1" w:lastRow="0" w:firstColumn="1" w:lastColumn="0" w:noHBand="0" w:noVBand="1"/>
      </w:tblPr>
      <w:tblGrid>
        <w:gridCol w:w="3665"/>
        <w:gridCol w:w="3025"/>
        <w:gridCol w:w="2742"/>
      </w:tblGrid>
      <w:tr w:rsidR="00A77462" w:rsidRPr="002018AC" w14:paraId="52624BF2" w14:textId="77777777" w:rsidTr="009A74D4">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hideMark/>
          </w:tcPr>
          <w:p w14:paraId="2E802540" w14:textId="77777777" w:rsidR="00A77462" w:rsidRPr="002018AC" w:rsidRDefault="00A77462" w:rsidP="00695D8D">
            <w:pPr>
              <w:spacing w:line="276" w:lineRule="auto"/>
              <w:rPr>
                <w:rFonts w:cs="Times New Roman"/>
                <w:b w:val="0"/>
                <w:bCs w:val="0"/>
                <w:lang w:val="en-AU" w:eastAsia="en-AU"/>
              </w:rPr>
            </w:pPr>
            <w:r w:rsidRPr="002018AC">
              <w:rPr>
                <w:rFonts w:cs="Times New Roman"/>
                <w:b w:val="0"/>
                <w:bCs w:val="0"/>
                <w:lang w:val="en-AU" w:eastAsia="en-AU"/>
              </w:rPr>
              <w:t>Investment</w:t>
            </w:r>
          </w:p>
        </w:tc>
        <w:tc>
          <w:tcPr>
            <w:tcW w:w="0" w:type="auto"/>
            <w:hideMark/>
          </w:tcPr>
          <w:p w14:paraId="0521DDF9"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Amount invested</w:t>
            </w:r>
          </w:p>
        </w:tc>
        <w:tc>
          <w:tcPr>
            <w:tcW w:w="0" w:type="auto"/>
            <w:hideMark/>
          </w:tcPr>
          <w:p w14:paraId="7F4D4523" w14:textId="77777777" w:rsidR="00A77462" w:rsidRPr="002018AC" w:rsidRDefault="00A77462" w:rsidP="00695D8D">
            <w:pPr>
              <w:spacing w:line="276" w:lineRule="auto"/>
              <w:cnfStyle w:val="100000000000" w:firstRow="1" w:lastRow="0" w:firstColumn="0" w:lastColumn="0" w:oddVBand="0" w:evenVBand="0" w:oddHBand="0" w:evenHBand="0" w:firstRowFirstColumn="0" w:firstRowLastColumn="0" w:lastRowFirstColumn="0" w:lastRowLastColumn="0"/>
              <w:rPr>
                <w:rFonts w:cs="Times New Roman"/>
                <w:b w:val="0"/>
                <w:bCs w:val="0"/>
                <w:lang w:val="en-AU" w:eastAsia="en-AU"/>
              </w:rPr>
            </w:pPr>
            <w:r w:rsidRPr="002018AC">
              <w:rPr>
                <w:rFonts w:cs="Times New Roman"/>
                <w:b w:val="0"/>
                <w:bCs w:val="0"/>
                <w:lang w:val="en-AU" w:eastAsia="en-AU"/>
              </w:rPr>
              <w:t>NPV generated</w:t>
            </w:r>
          </w:p>
        </w:tc>
      </w:tr>
      <w:tr w:rsidR="00A77462" w:rsidRPr="002018AC" w14:paraId="12EB247B" w14:textId="77777777" w:rsidTr="009A74D4">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2008630D"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100% of Option C</w:t>
            </w:r>
          </w:p>
        </w:tc>
        <w:tc>
          <w:tcPr>
            <w:tcW w:w="0" w:type="auto"/>
            <w:hideMark/>
          </w:tcPr>
          <w:p w14:paraId="7CCC9EEB"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1,000</w:t>
            </w:r>
          </w:p>
        </w:tc>
        <w:tc>
          <w:tcPr>
            <w:tcW w:w="0" w:type="auto"/>
            <w:hideMark/>
          </w:tcPr>
          <w:p w14:paraId="50F99C39"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lang w:val="en-AU" w:eastAsia="en-AU"/>
              </w:rPr>
              <w:t>91.226</w:t>
            </w:r>
          </w:p>
        </w:tc>
      </w:tr>
      <w:tr w:rsidR="00A77462" w:rsidRPr="002018AC" w14:paraId="0084ED27" w14:textId="77777777" w:rsidTr="009A74D4">
        <w:trPr>
          <w:trHeight w:val="364"/>
        </w:trPr>
        <w:tc>
          <w:tcPr>
            <w:cnfStyle w:val="001000000000" w:firstRow="0" w:lastRow="0" w:firstColumn="1" w:lastColumn="0" w:oddVBand="0" w:evenVBand="0" w:oddHBand="0" w:evenHBand="0" w:firstRowFirstColumn="0" w:firstRowLastColumn="0" w:lastRowFirstColumn="0" w:lastRowLastColumn="0"/>
            <w:tcW w:w="0" w:type="auto"/>
            <w:hideMark/>
          </w:tcPr>
          <w:p w14:paraId="61E33A21" w14:textId="77777777" w:rsidR="00A77462" w:rsidRPr="002018AC" w:rsidRDefault="00A77462" w:rsidP="00695D8D">
            <w:pPr>
              <w:spacing w:line="276" w:lineRule="auto"/>
              <w:rPr>
                <w:rFonts w:cs="Times New Roman"/>
                <w:lang w:val="en-AU" w:eastAsia="en-AU"/>
              </w:rPr>
            </w:pPr>
            <w:r w:rsidRPr="002018AC">
              <w:rPr>
                <w:rFonts w:cs="Times New Roman"/>
                <w:lang w:val="en-AU" w:eastAsia="en-AU"/>
              </w:rPr>
              <w:t>55.56% of Option B</w:t>
            </w:r>
          </w:p>
        </w:tc>
        <w:tc>
          <w:tcPr>
            <w:tcW w:w="0" w:type="auto"/>
            <w:hideMark/>
          </w:tcPr>
          <w:p w14:paraId="6539EDB6"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500</w:t>
            </w:r>
          </w:p>
        </w:tc>
        <w:tc>
          <w:tcPr>
            <w:tcW w:w="0" w:type="auto"/>
            <w:hideMark/>
          </w:tcPr>
          <w:p w14:paraId="7A614444" w14:textId="77777777" w:rsidR="00A77462" w:rsidRPr="002018AC" w:rsidRDefault="00A77462" w:rsidP="00695D8D">
            <w:pPr>
              <w:spacing w:line="276" w:lineRule="auto"/>
              <w:cnfStyle w:val="000000000000" w:firstRow="0" w:lastRow="0" w:firstColumn="0" w:lastColumn="0" w:oddVBand="0" w:evenVBand="0" w:oddHBand="0" w:evenHBand="0" w:firstRowFirstColumn="0" w:firstRowLastColumn="0" w:lastRowFirstColumn="0" w:lastRowLastColumn="0"/>
              <w:rPr>
                <w:rFonts w:cs="Times New Roman"/>
                <w:lang w:val="en-AU" w:eastAsia="en-AU"/>
              </w:rPr>
            </w:pPr>
            <w:r w:rsidRPr="002018AC">
              <w:rPr>
                <w:rFonts w:cs="Times New Roman"/>
                <w:lang w:val="en-AU" w:eastAsia="en-AU"/>
              </w:rPr>
              <w:t>41.084</w:t>
            </w:r>
          </w:p>
        </w:tc>
      </w:tr>
      <w:tr w:rsidR="00A77462" w:rsidRPr="002018AC" w14:paraId="340E710F" w14:textId="77777777" w:rsidTr="009A74D4">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hideMark/>
          </w:tcPr>
          <w:p w14:paraId="068A9BCE" w14:textId="77777777" w:rsidR="00A77462" w:rsidRPr="002018AC" w:rsidRDefault="00A77462" w:rsidP="00695D8D">
            <w:pPr>
              <w:spacing w:line="276" w:lineRule="auto"/>
              <w:rPr>
                <w:rFonts w:cs="Times New Roman"/>
                <w:lang w:val="en-AU" w:eastAsia="en-AU"/>
              </w:rPr>
            </w:pPr>
            <w:r w:rsidRPr="002018AC">
              <w:rPr>
                <w:rFonts w:cs="Times New Roman"/>
                <w:b w:val="0"/>
                <w:bCs w:val="0"/>
                <w:lang w:val="en-AU" w:eastAsia="en-AU"/>
              </w:rPr>
              <w:t>Total</w:t>
            </w:r>
          </w:p>
        </w:tc>
        <w:tc>
          <w:tcPr>
            <w:tcW w:w="0" w:type="auto"/>
            <w:hideMark/>
          </w:tcPr>
          <w:p w14:paraId="0E87EEE1"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1,500</w:t>
            </w:r>
          </w:p>
        </w:tc>
        <w:tc>
          <w:tcPr>
            <w:tcW w:w="0" w:type="auto"/>
            <w:hideMark/>
          </w:tcPr>
          <w:p w14:paraId="0FE3DFD4" w14:textId="77777777" w:rsidR="00A77462" w:rsidRPr="002018AC" w:rsidRDefault="00A77462" w:rsidP="00695D8D">
            <w:pPr>
              <w:spacing w:line="276" w:lineRule="auto"/>
              <w:cnfStyle w:val="000000100000" w:firstRow="0" w:lastRow="0" w:firstColumn="0" w:lastColumn="0" w:oddVBand="0" w:evenVBand="0" w:oddHBand="1" w:evenHBand="0" w:firstRowFirstColumn="0" w:firstRowLastColumn="0" w:lastRowFirstColumn="0" w:lastRowLastColumn="0"/>
              <w:rPr>
                <w:rFonts w:cs="Times New Roman"/>
                <w:lang w:val="en-AU" w:eastAsia="en-AU"/>
              </w:rPr>
            </w:pPr>
            <w:r w:rsidRPr="002018AC">
              <w:rPr>
                <w:rFonts w:cs="Times New Roman"/>
                <w:b/>
                <w:bCs/>
                <w:lang w:val="en-AU" w:eastAsia="en-AU"/>
              </w:rPr>
              <w:t>132.310</w:t>
            </w:r>
          </w:p>
        </w:tc>
      </w:tr>
      <w:bookmarkEnd w:id="0"/>
    </w:tbl>
    <w:p w14:paraId="5FCC7107" w14:textId="77777777" w:rsidR="00A943C0" w:rsidRPr="002018AC" w:rsidRDefault="00A943C0" w:rsidP="00695D8D">
      <w:pPr>
        <w:spacing w:line="276" w:lineRule="auto"/>
        <w:rPr>
          <w:rFonts w:cs="Times New Roman"/>
        </w:rPr>
      </w:pPr>
    </w:p>
    <w:sectPr w:rsidR="00A943C0" w:rsidRPr="002018AC" w:rsidSect="00F006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B6F0A" w14:textId="77777777" w:rsidR="00392E06" w:rsidRDefault="00392E06">
      <w:pPr>
        <w:spacing w:line="240" w:lineRule="auto"/>
      </w:pPr>
      <w:r>
        <w:separator/>
      </w:r>
    </w:p>
  </w:endnote>
  <w:endnote w:type="continuationSeparator" w:id="0">
    <w:p w14:paraId="01542604" w14:textId="77777777" w:rsidR="00392E06" w:rsidRDefault="00392E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1831F" w14:textId="77777777" w:rsidR="00392E06" w:rsidRDefault="00392E06">
      <w:pPr>
        <w:spacing w:after="0"/>
      </w:pPr>
      <w:r>
        <w:separator/>
      </w:r>
    </w:p>
  </w:footnote>
  <w:footnote w:type="continuationSeparator" w:id="0">
    <w:p w14:paraId="07E9CAD9" w14:textId="77777777" w:rsidR="00392E06" w:rsidRDefault="00392E0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C19F7"/>
    <w:multiLevelType w:val="hybridMultilevel"/>
    <w:tmpl w:val="465A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DF4486"/>
    <w:multiLevelType w:val="hybridMultilevel"/>
    <w:tmpl w:val="3924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201F0"/>
    <w:multiLevelType w:val="hybridMultilevel"/>
    <w:tmpl w:val="11707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22403"/>
    <w:multiLevelType w:val="hybridMultilevel"/>
    <w:tmpl w:val="66289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CE2FC0"/>
    <w:multiLevelType w:val="hybridMultilevel"/>
    <w:tmpl w:val="4E98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7C0687"/>
    <w:multiLevelType w:val="multilevel"/>
    <w:tmpl w:val="31A2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297538"/>
    <w:multiLevelType w:val="hybridMultilevel"/>
    <w:tmpl w:val="8BD29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C43023"/>
    <w:multiLevelType w:val="multilevel"/>
    <w:tmpl w:val="CAE65B5A"/>
    <w:lvl w:ilvl="0">
      <w:start w:val="4"/>
      <w:numFmt w:val="decimal"/>
      <w:lvlText w:val="%1"/>
      <w:lvlJc w:val="left"/>
      <w:pPr>
        <w:ind w:left="672" w:hanging="672"/>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CEC0E29"/>
    <w:multiLevelType w:val="hybridMultilevel"/>
    <w:tmpl w:val="D818A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17F1E"/>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30CE1AD5"/>
    <w:multiLevelType w:val="hybridMultilevel"/>
    <w:tmpl w:val="0336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13578"/>
    <w:multiLevelType w:val="hybridMultilevel"/>
    <w:tmpl w:val="E1A4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BE341E"/>
    <w:multiLevelType w:val="hybridMultilevel"/>
    <w:tmpl w:val="3A80A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274C8A"/>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35C761F1"/>
    <w:multiLevelType w:val="hybridMultilevel"/>
    <w:tmpl w:val="5266A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02099A"/>
    <w:multiLevelType w:val="hybridMultilevel"/>
    <w:tmpl w:val="F806C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821795"/>
    <w:multiLevelType w:val="hybridMultilevel"/>
    <w:tmpl w:val="EDD4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69417D"/>
    <w:multiLevelType w:val="hybridMultilevel"/>
    <w:tmpl w:val="0E9E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95899"/>
    <w:multiLevelType w:val="multilevel"/>
    <w:tmpl w:val="7084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F52810"/>
    <w:multiLevelType w:val="hybridMultilevel"/>
    <w:tmpl w:val="69BE3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5F0528"/>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520D0BE8"/>
    <w:multiLevelType w:val="hybridMultilevel"/>
    <w:tmpl w:val="DB96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0381D"/>
    <w:multiLevelType w:val="hybridMultilevel"/>
    <w:tmpl w:val="FA36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994617"/>
    <w:multiLevelType w:val="multilevel"/>
    <w:tmpl w:val="23C6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F4E09"/>
    <w:multiLevelType w:val="multilevel"/>
    <w:tmpl w:val="D200E0C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59615A"/>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569549DF"/>
    <w:multiLevelType w:val="hybridMultilevel"/>
    <w:tmpl w:val="5DBC7D32"/>
    <w:lvl w:ilvl="0" w:tplc="0C090001">
      <w:start w:val="1"/>
      <w:numFmt w:val="bullet"/>
      <w:lvlText w:val=""/>
      <w:lvlJc w:val="left"/>
      <w:pPr>
        <w:ind w:left="853" w:hanging="360"/>
      </w:pPr>
      <w:rPr>
        <w:rFonts w:ascii="Symbol" w:hAnsi="Symbol" w:hint="default"/>
      </w:rPr>
    </w:lvl>
    <w:lvl w:ilvl="1" w:tplc="0C090003" w:tentative="1">
      <w:start w:val="1"/>
      <w:numFmt w:val="bullet"/>
      <w:lvlText w:val="o"/>
      <w:lvlJc w:val="left"/>
      <w:pPr>
        <w:ind w:left="1573" w:hanging="360"/>
      </w:pPr>
      <w:rPr>
        <w:rFonts w:ascii="Courier New" w:hAnsi="Courier New" w:cs="Courier New" w:hint="default"/>
      </w:rPr>
    </w:lvl>
    <w:lvl w:ilvl="2" w:tplc="0C090005" w:tentative="1">
      <w:start w:val="1"/>
      <w:numFmt w:val="bullet"/>
      <w:lvlText w:val=""/>
      <w:lvlJc w:val="left"/>
      <w:pPr>
        <w:ind w:left="2293" w:hanging="360"/>
      </w:pPr>
      <w:rPr>
        <w:rFonts w:ascii="Wingdings" w:hAnsi="Wingdings" w:hint="default"/>
      </w:rPr>
    </w:lvl>
    <w:lvl w:ilvl="3" w:tplc="0C090001" w:tentative="1">
      <w:start w:val="1"/>
      <w:numFmt w:val="bullet"/>
      <w:lvlText w:val=""/>
      <w:lvlJc w:val="left"/>
      <w:pPr>
        <w:ind w:left="3013" w:hanging="360"/>
      </w:pPr>
      <w:rPr>
        <w:rFonts w:ascii="Symbol" w:hAnsi="Symbol" w:hint="default"/>
      </w:rPr>
    </w:lvl>
    <w:lvl w:ilvl="4" w:tplc="0C090003" w:tentative="1">
      <w:start w:val="1"/>
      <w:numFmt w:val="bullet"/>
      <w:lvlText w:val="o"/>
      <w:lvlJc w:val="left"/>
      <w:pPr>
        <w:ind w:left="3733" w:hanging="360"/>
      </w:pPr>
      <w:rPr>
        <w:rFonts w:ascii="Courier New" w:hAnsi="Courier New" w:cs="Courier New" w:hint="default"/>
      </w:rPr>
    </w:lvl>
    <w:lvl w:ilvl="5" w:tplc="0C090005" w:tentative="1">
      <w:start w:val="1"/>
      <w:numFmt w:val="bullet"/>
      <w:lvlText w:val=""/>
      <w:lvlJc w:val="left"/>
      <w:pPr>
        <w:ind w:left="4453" w:hanging="360"/>
      </w:pPr>
      <w:rPr>
        <w:rFonts w:ascii="Wingdings" w:hAnsi="Wingdings" w:hint="default"/>
      </w:rPr>
    </w:lvl>
    <w:lvl w:ilvl="6" w:tplc="0C090001" w:tentative="1">
      <w:start w:val="1"/>
      <w:numFmt w:val="bullet"/>
      <w:lvlText w:val=""/>
      <w:lvlJc w:val="left"/>
      <w:pPr>
        <w:ind w:left="5173" w:hanging="360"/>
      </w:pPr>
      <w:rPr>
        <w:rFonts w:ascii="Symbol" w:hAnsi="Symbol" w:hint="default"/>
      </w:rPr>
    </w:lvl>
    <w:lvl w:ilvl="7" w:tplc="0C090003" w:tentative="1">
      <w:start w:val="1"/>
      <w:numFmt w:val="bullet"/>
      <w:lvlText w:val="o"/>
      <w:lvlJc w:val="left"/>
      <w:pPr>
        <w:ind w:left="5893" w:hanging="360"/>
      </w:pPr>
      <w:rPr>
        <w:rFonts w:ascii="Courier New" w:hAnsi="Courier New" w:cs="Courier New" w:hint="default"/>
      </w:rPr>
    </w:lvl>
    <w:lvl w:ilvl="8" w:tplc="0C090005" w:tentative="1">
      <w:start w:val="1"/>
      <w:numFmt w:val="bullet"/>
      <w:lvlText w:val=""/>
      <w:lvlJc w:val="left"/>
      <w:pPr>
        <w:ind w:left="6613" w:hanging="360"/>
      </w:pPr>
      <w:rPr>
        <w:rFonts w:ascii="Wingdings" w:hAnsi="Wingdings" w:hint="default"/>
      </w:rPr>
    </w:lvl>
  </w:abstractNum>
  <w:abstractNum w:abstractNumId="28" w15:restartNumberingAfterBreak="0">
    <w:nsid w:val="58271892"/>
    <w:multiLevelType w:val="hybridMultilevel"/>
    <w:tmpl w:val="84D2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A80601"/>
    <w:multiLevelType w:val="multilevel"/>
    <w:tmpl w:val="13645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710328"/>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15:restartNumberingAfterBreak="0">
    <w:nsid w:val="710A667F"/>
    <w:multiLevelType w:val="hybridMultilevel"/>
    <w:tmpl w:val="B99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CD7B2D"/>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76EF01B3"/>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4" w15:restartNumberingAfterBreak="0">
    <w:nsid w:val="775964BD"/>
    <w:multiLevelType w:val="hybridMultilevel"/>
    <w:tmpl w:val="E8189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652250"/>
    <w:multiLevelType w:val="hybridMultilevel"/>
    <w:tmpl w:val="723A7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9A61EC"/>
    <w:multiLevelType w:val="multilevel"/>
    <w:tmpl w:val="D32A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B09C6"/>
    <w:multiLevelType w:val="hybridMultilevel"/>
    <w:tmpl w:val="46C8D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757000"/>
    <w:multiLevelType w:val="hybridMultilevel"/>
    <w:tmpl w:val="F9B6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24"/>
  </w:num>
  <w:num w:numId="4">
    <w:abstractNumId w:val="25"/>
  </w:num>
  <w:num w:numId="5">
    <w:abstractNumId w:val="5"/>
  </w:num>
  <w:num w:numId="6">
    <w:abstractNumId w:val="27"/>
  </w:num>
  <w:num w:numId="7">
    <w:abstractNumId w:val="29"/>
  </w:num>
  <w:num w:numId="8">
    <w:abstractNumId w:val="19"/>
  </w:num>
  <w:num w:numId="9">
    <w:abstractNumId w:val="10"/>
  </w:num>
  <w:num w:numId="10">
    <w:abstractNumId w:val="14"/>
  </w:num>
  <w:num w:numId="11">
    <w:abstractNumId w:val="32"/>
  </w:num>
  <w:num w:numId="12">
    <w:abstractNumId w:val="21"/>
  </w:num>
  <w:num w:numId="13">
    <w:abstractNumId w:val="38"/>
  </w:num>
  <w:num w:numId="14">
    <w:abstractNumId w:val="26"/>
  </w:num>
  <w:num w:numId="15">
    <w:abstractNumId w:val="35"/>
  </w:num>
  <w:num w:numId="16">
    <w:abstractNumId w:val="7"/>
  </w:num>
  <w:num w:numId="17">
    <w:abstractNumId w:val="13"/>
  </w:num>
  <w:num w:numId="18">
    <w:abstractNumId w:val="4"/>
  </w:num>
  <w:num w:numId="19">
    <w:abstractNumId w:val="17"/>
  </w:num>
  <w:num w:numId="20">
    <w:abstractNumId w:val="11"/>
  </w:num>
  <w:num w:numId="21">
    <w:abstractNumId w:val="18"/>
  </w:num>
  <w:num w:numId="22">
    <w:abstractNumId w:val="22"/>
  </w:num>
  <w:num w:numId="23">
    <w:abstractNumId w:val="34"/>
  </w:num>
  <w:num w:numId="24">
    <w:abstractNumId w:val="16"/>
  </w:num>
  <w:num w:numId="25">
    <w:abstractNumId w:val="31"/>
  </w:num>
  <w:num w:numId="26">
    <w:abstractNumId w:val="28"/>
  </w:num>
  <w:num w:numId="27">
    <w:abstractNumId w:val="2"/>
  </w:num>
  <w:num w:numId="28">
    <w:abstractNumId w:val="3"/>
  </w:num>
  <w:num w:numId="29">
    <w:abstractNumId w:val="15"/>
  </w:num>
  <w:num w:numId="30">
    <w:abstractNumId w:val="1"/>
  </w:num>
  <w:num w:numId="31">
    <w:abstractNumId w:val="33"/>
  </w:num>
  <w:num w:numId="32">
    <w:abstractNumId w:val="23"/>
  </w:num>
  <w:num w:numId="33">
    <w:abstractNumId w:val="30"/>
  </w:num>
  <w:num w:numId="34">
    <w:abstractNumId w:val="8"/>
  </w:num>
  <w:num w:numId="35">
    <w:abstractNumId w:val="9"/>
  </w:num>
  <w:num w:numId="36">
    <w:abstractNumId w:val="12"/>
  </w:num>
  <w:num w:numId="37">
    <w:abstractNumId w:val="20"/>
  </w:num>
  <w:num w:numId="38">
    <w:abstractNumId w:val="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659"/>
    <w:rsid w:val="0000153C"/>
    <w:rsid w:val="00001C3B"/>
    <w:rsid w:val="00002F21"/>
    <w:rsid w:val="00004E38"/>
    <w:rsid w:val="000057EC"/>
    <w:rsid w:val="0002351F"/>
    <w:rsid w:val="00035D8B"/>
    <w:rsid w:val="000624F2"/>
    <w:rsid w:val="0007029D"/>
    <w:rsid w:val="00071860"/>
    <w:rsid w:val="000A43A6"/>
    <w:rsid w:val="000A5FDC"/>
    <w:rsid w:val="000B1CD8"/>
    <w:rsid w:val="000C685B"/>
    <w:rsid w:val="001012C6"/>
    <w:rsid w:val="0011622F"/>
    <w:rsid w:val="00123608"/>
    <w:rsid w:val="00157B57"/>
    <w:rsid w:val="001667BE"/>
    <w:rsid w:val="001B6A03"/>
    <w:rsid w:val="001C195C"/>
    <w:rsid w:val="001F1432"/>
    <w:rsid w:val="001F5728"/>
    <w:rsid w:val="001F683C"/>
    <w:rsid w:val="002018AC"/>
    <w:rsid w:val="00227BF6"/>
    <w:rsid w:val="00230BC1"/>
    <w:rsid w:val="002F7981"/>
    <w:rsid w:val="0030627D"/>
    <w:rsid w:val="00351819"/>
    <w:rsid w:val="00392E06"/>
    <w:rsid w:val="003D366C"/>
    <w:rsid w:val="003E70C8"/>
    <w:rsid w:val="003E7FEB"/>
    <w:rsid w:val="0040289D"/>
    <w:rsid w:val="0040527A"/>
    <w:rsid w:val="004512D0"/>
    <w:rsid w:val="00460519"/>
    <w:rsid w:val="00461154"/>
    <w:rsid w:val="00467E61"/>
    <w:rsid w:val="004A1438"/>
    <w:rsid w:val="004C2218"/>
    <w:rsid w:val="004D3165"/>
    <w:rsid w:val="004E5921"/>
    <w:rsid w:val="004F2030"/>
    <w:rsid w:val="00510B4B"/>
    <w:rsid w:val="005131CC"/>
    <w:rsid w:val="00537DA6"/>
    <w:rsid w:val="005464D4"/>
    <w:rsid w:val="0054705E"/>
    <w:rsid w:val="005628AE"/>
    <w:rsid w:val="005745F2"/>
    <w:rsid w:val="005A3F52"/>
    <w:rsid w:val="005B182D"/>
    <w:rsid w:val="005B5BC5"/>
    <w:rsid w:val="005C2272"/>
    <w:rsid w:val="005C43DC"/>
    <w:rsid w:val="005C52D0"/>
    <w:rsid w:val="005D011A"/>
    <w:rsid w:val="005D398B"/>
    <w:rsid w:val="0060523A"/>
    <w:rsid w:val="00612BEC"/>
    <w:rsid w:val="00643434"/>
    <w:rsid w:val="00651443"/>
    <w:rsid w:val="0067546C"/>
    <w:rsid w:val="00695D8D"/>
    <w:rsid w:val="006971D4"/>
    <w:rsid w:val="00697B58"/>
    <w:rsid w:val="006B26E4"/>
    <w:rsid w:val="006B38E8"/>
    <w:rsid w:val="006B3A6D"/>
    <w:rsid w:val="006C1D8B"/>
    <w:rsid w:val="006D4AEF"/>
    <w:rsid w:val="006E64B3"/>
    <w:rsid w:val="00713A5C"/>
    <w:rsid w:val="00713EF0"/>
    <w:rsid w:val="0072089C"/>
    <w:rsid w:val="007421D5"/>
    <w:rsid w:val="00756634"/>
    <w:rsid w:val="0076000E"/>
    <w:rsid w:val="0076635D"/>
    <w:rsid w:val="00777C7F"/>
    <w:rsid w:val="007B362F"/>
    <w:rsid w:val="007B54C4"/>
    <w:rsid w:val="00806DF8"/>
    <w:rsid w:val="00826E21"/>
    <w:rsid w:val="00844654"/>
    <w:rsid w:val="00875659"/>
    <w:rsid w:val="00883016"/>
    <w:rsid w:val="00887CC3"/>
    <w:rsid w:val="008A1439"/>
    <w:rsid w:val="008A5A5B"/>
    <w:rsid w:val="008B7659"/>
    <w:rsid w:val="008D0E54"/>
    <w:rsid w:val="008F1FC4"/>
    <w:rsid w:val="009535F1"/>
    <w:rsid w:val="00970D02"/>
    <w:rsid w:val="0098652B"/>
    <w:rsid w:val="0098728D"/>
    <w:rsid w:val="009A74D4"/>
    <w:rsid w:val="009D31CC"/>
    <w:rsid w:val="009D4B64"/>
    <w:rsid w:val="009E3104"/>
    <w:rsid w:val="00A55A9E"/>
    <w:rsid w:val="00A64731"/>
    <w:rsid w:val="00A67BD4"/>
    <w:rsid w:val="00A67E97"/>
    <w:rsid w:val="00A73082"/>
    <w:rsid w:val="00A77462"/>
    <w:rsid w:val="00A87E74"/>
    <w:rsid w:val="00A943C0"/>
    <w:rsid w:val="00A97C5D"/>
    <w:rsid w:val="00AB3CE2"/>
    <w:rsid w:val="00AE21FF"/>
    <w:rsid w:val="00B44DE1"/>
    <w:rsid w:val="00B537A8"/>
    <w:rsid w:val="00B70255"/>
    <w:rsid w:val="00B71262"/>
    <w:rsid w:val="00B90C9D"/>
    <w:rsid w:val="00B910DE"/>
    <w:rsid w:val="00B95546"/>
    <w:rsid w:val="00BA011A"/>
    <w:rsid w:val="00BA3BBA"/>
    <w:rsid w:val="00BA77DE"/>
    <w:rsid w:val="00BB0139"/>
    <w:rsid w:val="00BD5BEF"/>
    <w:rsid w:val="00BE3D80"/>
    <w:rsid w:val="00BF4564"/>
    <w:rsid w:val="00BF72B2"/>
    <w:rsid w:val="00C022FF"/>
    <w:rsid w:val="00C11CE5"/>
    <w:rsid w:val="00C1345F"/>
    <w:rsid w:val="00C15717"/>
    <w:rsid w:val="00C37225"/>
    <w:rsid w:val="00C71A27"/>
    <w:rsid w:val="00CB7563"/>
    <w:rsid w:val="00CD23DA"/>
    <w:rsid w:val="00CE4753"/>
    <w:rsid w:val="00D15678"/>
    <w:rsid w:val="00D20CBE"/>
    <w:rsid w:val="00D71E25"/>
    <w:rsid w:val="00DB6BEC"/>
    <w:rsid w:val="00DC46DD"/>
    <w:rsid w:val="00DC5ABD"/>
    <w:rsid w:val="00DD3C44"/>
    <w:rsid w:val="00DE1B86"/>
    <w:rsid w:val="00DF4177"/>
    <w:rsid w:val="00E04EBA"/>
    <w:rsid w:val="00E1284F"/>
    <w:rsid w:val="00E26950"/>
    <w:rsid w:val="00E32A25"/>
    <w:rsid w:val="00E90346"/>
    <w:rsid w:val="00EB45FC"/>
    <w:rsid w:val="00EC0223"/>
    <w:rsid w:val="00ED06C1"/>
    <w:rsid w:val="00EF1614"/>
    <w:rsid w:val="00EF317E"/>
    <w:rsid w:val="00F0066F"/>
    <w:rsid w:val="00F236EA"/>
    <w:rsid w:val="00F56876"/>
    <w:rsid w:val="00F62DD5"/>
    <w:rsid w:val="00F7483C"/>
    <w:rsid w:val="00FD0658"/>
    <w:rsid w:val="5D430F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C6E1F"/>
  <w15:docId w15:val="{25DFD476-2A60-4AE1-BE7D-16EBD86E6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eastAsiaTheme="minorHAnsi" w:cstheme="minorBidi"/>
      <w:sz w:val="24"/>
      <w:szCs w:val="22"/>
      <w:lang w:val="en-GB" w:eastAsia="en-US"/>
      <w14:ligatures w14:val="standardContextual"/>
    </w:rPr>
  </w:style>
  <w:style w:type="paragraph" w:styleId="Heading1">
    <w:name w:val="heading 1"/>
    <w:basedOn w:val="Normal"/>
    <w:next w:val="Normal"/>
    <w:link w:val="Heading1Char"/>
    <w:uiPriority w:val="9"/>
    <w:qFormat/>
    <w:rsid w:val="000C685B"/>
    <w:pPr>
      <w:keepNext/>
      <w:keepLines/>
      <w:spacing w:before="360" w:after="80"/>
      <w:outlineLvl w:val="0"/>
    </w:pPr>
    <w:rPr>
      <w:rFonts w:eastAsiaTheme="majorEastAsia" w:cstheme="majorBidi"/>
      <w:b/>
      <w:color w:val="0F4761" w:themeColor="accent1" w:themeShade="BF"/>
      <w:sz w:val="40"/>
      <w:szCs w:val="40"/>
      <w:u w:val="single"/>
    </w:rPr>
  </w:style>
  <w:style w:type="paragraph" w:styleId="Heading2">
    <w:name w:val="heading 2"/>
    <w:basedOn w:val="Normal"/>
    <w:next w:val="Normal"/>
    <w:link w:val="Heading2Char"/>
    <w:uiPriority w:val="9"/>
    <w:unhideWhenUsed/>
    <w:qFormat/>
    <w:rsid w:val="000C685B"/>
    <w:pPr>
      <w:keepNext/>
      <w:keepLines/>
      <w:spacing w:before="160" w:after="80"/>
      <w:outlineLvl w:val="1"/>
    </w:pPr>
    <w:rPr>
      <w:rFonts w:eastAsiaTheme="majorEastAsia" w:cstheme="majorBidi"/>
      <w:b/>
      <w:color w:val="4C94D8" w:themeColor="text2" w:themeTint="80"/>
      <w:sz w:val="36"/>
      <w:szCs w:val="32"/>
    </w:rPr>
  </w:style>
  <w:style w:type="paragraph" w:styleId="Heading3">
    <w:name w:val="heading 3"/>
    <w:basedOn w:val="Normal"/>
    <w:next w:val="Normal"/>
    <w:link w:val="Heading3Char"/>
    <w:uiPriority w:val="9"/>
    <w:unhideWhenUsed/>
    <w:qFormat/>
    <w:rsid w:val="000C685B"/>
    <w:pPr>
      <w:keepNext/>
      <w:keepLines/>
      <w:spacing w:before="160" w:after="80"/>
      <w:outlineLvl w:val="2"/>
    </w:pPr>
    <w:rPr>
      <w:rFonts w:eastAsiaTheme="majorEastAsia" w:cstheme="majorBidi"/>
      <w:b/>
      <w:color w:val="215E99" w:themeColor="text2" w:themeTint="BF"/>
      <w:sz w:val="32"/>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rPr>
      <w:rFonts w:cs="Times New Roman"/>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sid w:val="000C685B"/>
    <w:rPr>
      <w:rFonts w:eastAsiaTheme="majorEastAsia" w:cstheme="majorBidi"/>
      <w:b/>
      <w:color w:val="0F4761" w:themeColor="accent1" w:themeShade="BF"/>
      <w:sz w:val="40"/>
      <w:szCs w:val="40"/>
      <w:u w:val="single"/>
      <w:lang w:val="en-GB" w:eastAsia="en-US"/>
      <w14:ligatures w14:val="standardContextual"/>
    </w:rPr>
  </w:style>
  <w:style w:type="character" w:customStyle="1" w:styleId="Heading2Char">
    <w:name w:val="Heading 2 Char"/>
    <w:basedOn w:val="DefaultParagraphFont"/>
    <w:link w:val="Heading2"/>
    <w:uiPriority w:val="9"/>
    <w:qFormat/>
    <w:rsid w:val="000C685B"/>
    <w:rPr>
      <w:rFonts w:eastAsiaTheme="majorEastAsia" w:cstheme="majorBidi"/>
      <w:b/>
      <w:color w:val="4C94D8" w:themeColor="text2" w:themeTint="80"/>
      <w:sz w:val="36"/>
      <w:szCs w:val="32"/>
      <w:lang w:val="en-GB" w:eastAsia="en-US"/>
      <w14:ligatures w14:val="standardContextual"/>
    </w:rPr>
  </w:style>
  <w:style w:type="character" w:customStyle="1" w:styleId="Heading3Char">
    <w:name w:val="Heading 3 Char"/>
    <w:basedOn w:val="DefaultParagraphFont"/>
    <w:link w:val="Heading3"/>
    <w:uiPriority w:val="9"/>
    <w:qFormat/>
    <w:rsid w:val="000C685B"/>
    <w:rPr>
      <w:rFonts w:eastAsiaTheme="majorEastAsia" w:cstheme="majorBidi"/>
      <w:b/>
      <w:color w:val="215E99" w:themeColor="text2" w:themeTint="BF"/>
      <w:sz w:val="32"/>
      <w:szCs w:val="28"/>
      <w:lang w:val="en-GB" w:eastAsia="en-US"/>
      <w14:ligatures w14:val="standardContextual"/>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lang w:val="en-GB"/>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lang w:val="en-GB"/>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lang w:val="en-GB"/>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A77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462"/>
    <w:rPr>
      <w:rFonts w:ascii="Tahoma" w:eastAsiaTheme="minorHAnsi" w:hAnsi="Tahoma" w:cs="Tahoma"/>
      <w:sz w:val="16"/>
      <w:szCs w:val="16"/>
      <w:lang w:val="en-GB" w:eastAsia="en-US"/>
      <w14:ligatures w14:val="standardContextual"/>
    </w:rPr>
  </w:style>
  <w:style w:type="character" w:styleId="IntenseEmphasis">
    <w:name w:val="Intense Emphasis"/>
    <w:basedOn w:val="DefaultParagraphFont"/>
    <w:uiPriority w:val="21"/>
    <w:qFormat/>
    <w:rsid w:val="00A77462"/>
    <w:rPr>
      <w:b/>
      <w:bCs/>
      <w:i/>
      <w:iCs/>
      <w:caps/>
    </w:rPr>
  </w:style>
  <w:style w:type="character" w:styleId="IntenseReference">
    <w:name w:val="Intense Reference"/>
    <w:basedOn w:val="DefaultParagraphFont"/>
    <w:uiPriority w:val="32"/>
    <w:qFormat/>
    <w:rsid w:val="00A77462"/>
    <w:rPr>
      <w:b/>
      <w:bCs/>
      <w:smallCaps/>
      <w:u w:val="single"/>
    </w:rPr>
  </w:style>
  <w:style w:type="table" w:customStyle="1" w:styleId="PlainTable11">
    <w:name w:val="Plain Table 11"/>
    <w:basedOn w:val="TableNormal"/>
    <w:uiPriority w:val="41"/>
    <w:rsid w:val="00A77462"/>
    <w:rPr>
      <w:rFonts w:asciiTheme="minorHAnsi" w:eastAsiaTheme="minorEastAsia"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77462"/>
    <w:rPr>
      <w:rFonts w:asciiTheme="minorHAnsi" w:eastAsiaTheme="minorEastAsia"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semiHidden/>
    <w:unhideWhenUsed/>
    <w:qFormat/>
    <w:rsid w:val="00A77462"/>
    <w:pPr>
      <w:spacing w:after="200" w:line="240" w:lineRule="auto"/>
      <w:jc w:val="left"/>
    </w:pPr>
    <w:rPr>
      <w:rFonts w:asciiTheme="minorHAnsi" w:eastAsiaTheme="minorEastAsia" w:hAnsiTheme="minorHAnsi"/>
      <w:i/>
      <w:iCs/>
      <w:color w:val="0E2841" w:themeColor="text2"/>
      <w:sz w:val="18"/>
      <w:szCs w:val="18"/>
      <w:lang w:val="en-AU"/>
      <w14:ligatures w14:val="none"/>
    </w:rPr>
  </w:style>
  <w:style w:type="character" w:styleId="Emphasis">
    <w:name w:val="Emphasis"/>
    <w:basedOn w:val="DefaultParagraphFont"/>
    <w:uiPriority w:val="20"/>
    <w:qFormat/>
    <w:rsid w:val="00A77462"/>
    <w:rPr>
      <w:i/>
      <w:iCs/>
      <w:color w:val="auto"/>
    </w:rPr>
  </w:style>
  <w:style w:type="paragraph" w:styleId="NoSpacing">
    <w:name w:val="No Spacing"/>
    <w:uiPriority w:val="1"/>
    <w:qFormat/>
    <w:rsid w:val="00A77462"/>
    <w:rPr>
      <w:rFonts w:asciiTheme="minorHAnsi" w:eastAsiaTheme="minorEastAsia" w:hAnsiTheme="minorHAnsi" w:cstheme="minorBidi"/>
      <w:sz w:val="22"/>
      <w:szCs w:val="22"/>
      <w:lang w:eastAsia="en-US"/>
    </w:rPr>
  </w:style>
  <w:style w:type="character" w:styleId="SubtleEmphasis">
    <w:name w:val="Subtle Emphasis"/>
    <w:basedOn w:val="DefaultParagraphFont"/>
    <w:uiPriority w:val="19"/>
    <w:qFormat/>
    <w:rsid w:val="00A77462"/>
    <w:rPr>
      <w:i/>
      <w:iCs/>
      <w:color w:val="404040" w:themeColor="text1" w:themeTint="BF"/>
    </w:rPr>
  </w:style>
  <w:style w:type="character" w:styleId="SubtleReference">
    <w:name w:val="Subtle Reference"/>
    <w:basedOn w:val="DefaultParagraphFont"/>
    <w:uiPriority w:val="31"/>
    <w:qFormat/>
    <w:rsid w:val="00A77462"/>
    <w:rPr>
      <w:smallCaps/>
      <w:color w:val="404040" w:themeColor="text1" w:themeTint="BF"/>
      <w:u w:val="single" w:color="7F7F7F" w:themeColor="text1" w:themeTint="80"/>
    </w:rPr>
  </w:style>
  <w:style w:type="character" w:styleId="BookTitle">
    <w:name w:val="Book Title"/>
    <w:basedOn w:val="DefaultParagraphFont"/>
    <w:uiPriority w:val="33"/>
    <w:qFormat/>
    <w:rsid w:val="00A77462"/>
    <w:rPr>
      <w:b w:val="0"/>
      <w:bCs w:val="0"/>
      <w:smallCaps/>
      <w:spacing w:val="5"/>
    </w:rPr>
  </w:style>
  <w:style w:type="paragraph" w:styleId="TOCHeading">
    <w:name w:val="TOC Heading"/>
    <w:basedOn w:val="Heading1"/>
    <w:next w:val="Normal"/>
    <w:uiPriority w:val="39"/>
    <w:unhideWhenUsed/>
    <w:qFormat/>
    <w:rsid w:val="00A77462"/>
    <w:pPr>
      <w:pBdr>
        <w:bottom w:val="single" w:sz="4" w:space="1" w:color="595959" w:themeColor="text1" w:themeTint="A6"/>
      </w:pBdr>
      <w:tabs>
        <w:tab w:val="num" w:pos="360"/>
      </w:tabs>
      <w:spacing w:after="160" w:line="259" w:lineRule="auto"/>
      <w:jc w:val="left"/>
      <w:outlineLvl w:val="9"/>
    </w:pPr>
    <w:rPr>
      <w:rFonts w:asciiTheme="majorHAnsi" w:hAnsiTheme="majorHAnsi"/>
      <w:bCs/>
      <w:smallCaps/>
      <w:color w:val="000000" w:themeColor="text1"/>
      <w:sz w:val="36"/>
      <w:szCs w:val="36"/>
      <w:lang w:val="en-AU"/>
      <w14:ligatures w14:val="none"/>
    </w:rPr>
  </w:style>
  <w:style w:type="paragraph" w:styleId="TOC1">
    <w:name w:val="toc 1"/>
    <w:basedOn w:val="Normal"/>
    <w:next w:val="Normal"/>
    <w:autoRedefine/>
    <w:uiPriority w:val="39"/>
    <w:unhideWhenUsed/>
    <w:rsid w:val="00A77462"/>
    <w:pPr>
      <w:spacing w:before="120" w:after="0"/>
      <w:jc w:val="left"/>
    </w:pPr>
    <w:rPr>
      <w:rFonts w:asciiTheme="minorHAnsi" w:hAnsiTheme="minorHAnsi"/>
      <w:b/>
      <w:bCs/>
      <w:i/>
      <w:iCs/>
      <w:szCs w:val="24"/>
    </w:rPr>
  </w:style>
  <w:style w:type="table" w:customStyle="1" w:styleId="PlainTable51">
    <w:name w:val="Plain Table 51"/>
    <w:basedOn w:val="TableNormal"/>
    <w:uiPriority w:val="45"/>
    <w:rsid w:val="00A77462"/>
    <w:rPr>
      <w:rFonts w:asciiTheme="minorHAnsi" w:eastAsiaTheme="minorEastAsia"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11">
    <w:name w:val="Grid Table 3 - Accent 11"/>
    <w:basedOn w:val="TableNormal"/>
    <w:uiPriority w:val="48"/>
    <w:rsid w:val="00A77462"/>
    <w:rPr>
      <w:rFonts w:asciiTheme="minorHAnsi" w:eastAsiaTheme="minorEastAsia" w:hAnsiTheme="minorHAnsi" w:cstheme="minorBidi"/>
      <w:sz w:val="22"/>
      <w:szCs w:val="22"/>
      <w:lang w:eastAsia="en-US"/>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customStyle="1" w:styleId="GridTable2-Accent11">
    <w:name w:val="Grid Table 2 - Accent 11"/>
    <w:basedOn w:val="TableNormal"/>
    <w:uiPriority w:val="47"/>
    <w:rsid w:val="00A77462"/>
    <w:rPr>
      <w:rFonts w:asciiTheme="minorHAnsi" w:eastAsiaTheme="minorEastAsia" w:hAnsiTheme="minorHAnsi" w:cstheme="minorBidi"/>
      <w:sz w:val="22"/>
      <w:szCs w:val="22"/>
      <w:lang w:eastAsia="en-US"/>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UnresolvedMention2">
    <w:name w:val="Unresolved Mention2"/>
    <w:basedOn w:val="DefaultParagraphFont"/>
    <w:uiPriority w:val="99"/>
    <w:semiHidden/>
    <w:unhideWhenUsed/>
    <w:rsid w:val="00A77462"/>
    <w:rPr>
      <w:color w:val="605E5C"/>
      <w:shd w:val="clear" w:color="auto" w:fill="E1DFDD"/>
    </w:rPr>
  </w:style>
  <w:style w:type="character" w:styleId="FollowedHyperlink">
    <w:name w:val="FollowedHyperlink"/>
    <w:basedOn w:val="DefaultParagraphFont"/>
    <w:uiPriority w:val="99"/>
    <w:semiHidden/>
    <w:unhideWhenUsed/>
    <w:rsid w:val="00A77462"/>
    <w:rPr>
      <w:color w:val="96607D" w:themeColor="followedHyperlink"/>
      <w:u w:val="single"/>
    </w:rPr>
  </w:style>
  <w:style w:type="table" w:styleId="GridTable4-Accent1">
    <w:name w:val="Grid Table 4 Accent 1"/>
    <w:basedOn w:val="TableNormal"/>
    <w:uiPriority w:val="49"/>
    <w:rsid w:val="000C685B"/>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Light">
    <w:name w:val="Grid Table Light"/>
    <w:basedOn w:val="TableNormal"/>
    <w:uiPriority w:val="40"/>
    <w:rsid w:val="009A74D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9A74D4"/>
    <w:pPr>
      <w:spacing w:before="120" w:after="0"/>
      <w:ind w:left="240"/>
      <w:jc w:val="left"/>
    </w:pPr>
    <w:rPr>
      <w:rFonts w:asciiTheme="minorHAnsi" w:hAnsiTheme="minorHAnsi"/>
      <w:b/>
      <w:bCs/>
      <w:sz w:val="22"/>
    </w:rPr>
  </w:style>
  <w:style w:type="paragraph" w:styleId="TOC3">
    <w:name w:val="toc 3"/>
    <w:basedOn w:val="Normal"/>
    <w:next w:val="Normal"/>
    <w:autoRedefine/>
    <w:uiPriority w:val="39"/>
    <w:unhideWhenUsed/>
    <w:rsid w:val="009A74D4"/>
    <w:pPr>
      <w:spacing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9A74D4"/>
    <w:pPr>
      <w:spacing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9A74D4"/>
    <w:pPr>
      <w:spacing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9A74D4"/>
    <w:pPr>
      <w:spacing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9A74D4"/>
    <w:pPr>
      <w:spacing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9A74D4"/>
    <w:pPr>
      <w:spacing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9A74D4"/>
    <w:pPr>
      <w:spacing w:after="0"/>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035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68753">
      <w:bodyDiv w:val="1"/>
      <w:marLeft w:val="0"/>
      <w:marRight w:val="0"/>
      <w:marTop w:val="0"/>
      <w:marBottom w:val="0"/>
      <w:divBdr>
        <w:top w:val="none" w:sz="0" w:space="0" w:color="auto"/>
        <w:left w:val="none" w:sz="0" w:space="0" w:color="auto"/>
        <w:bottom w:val="none" w:sz="0" w:space="0" w:color="auto"/>
        <w:right w:val="none" w:sz="0" w:space="0" w:color="auto"/>
      </w:divBdr>
      <w:divsChild>
        <w:div w:id="1173564277">
          <w:marLeft w:val="0"/>
          <w:marRight w:val="0"/>
          <w:marTop w:val="0"/>
          <w:marBottom w:val="0"/>
          <w:divBdr>
            <w:top w:val="none" w:sz="0" w:space="0" w:color="auto"/>
            <w:left w:val="none" w:sz="0" w:space="0" w:color="auto"/>
            <w:bottom w:val="none" w:sz="0" w:space="0" w:color="auto"/>
            <w:right w:val="none" w:sz="0" w:space="0" w:color="auto"/>
          </w:divBdr>
        </w:div>
      </w:divsChild>
    </w:div>
    <w:div w:id="1263759823">
      <w:bodyDiv w:val="1"/>
      <w:marLeft w:val="0"/>
      <w:marRight w:val="0"/>
      <w:marTop w:val="0"/>
      <w:marBottom w:val="0"/>
      <w:divBdr>
        <w:top w:val="none" w:sz="0" w:space="0" w:color="auto"/>
        <w:left w:val="none" w:sz="0" w:space="0" w:color="auto"/>
        <w:bottom w:val="none" w:sz="0" w:space="0" w:color="auto"/>
        <w:right w:val="none" w:sz="0" w:space="0" w:color="auto"/>
      </w:divBdr>
      <w:divsChild>
        <w:div w:id="18543693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sma.com/solutions-and-impact/connectivity-for-good/mobile-economy/europe/"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s://connecteurope.org/insights/reports/state-digital-communications-2025" TargetMode="External"/><Relationship Id="rId17" Type="http://schemas.openxmlformats.org/officeDocument/2006/relationships/image" Target="media/image1.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reports.investors.vodafone.com/view/897876789/"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tish-business-bank.co.uk/about/research-and-publications/small-business-equity-tracker-2025"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ukfinance.org.uk/system/files/2025-06/Business%20Finance%20Review%202025%20Q1.pdf" TargetMode="External"/><Relationship Id="rId23" Type="http://schemas.openxmlformats.org/officeDocument/2006/relationships/image" Target="media/image7.png"/><Relationship Id="rId10" Type="http://schemas.openxmlformats.org/officeDocument/2006/relationships/hyperlink" Target="https://www.british-business-bank.co.uk/about/research-and-publications/small-business-finance-markets-report-2025" TargetMode="Externa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https://www.bankofengland.co.uk/quarterly-bulletin/2024/2024/identifying-barriers-to-productive-investment-and-external-finance-a-survey-of-uk-smes" TargetMode="External"/><Relationship Id="rId14" Type="http://schemas.openxmlformats.org/officeDocument/2006/relationships/hyperlink" Target="https://www.ofcom.org.uk/phones-and-broadband/service-quality/the-communications-market-2025" TargetMode="External"/><Relationship Id="rId22"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A94EE93863D4F73BBF9520F0019F31A"/>
        <w:category>
          <w:name w:val="General"/>
          <w:gallery w:val="placeholder"/>
        </w:category>
        <w:types>
          <w:type w:val="bbPlcHdr"/>
        </w:types>
        <w:behaviors>
          <w:behavior w:val="content"/>
        </w:behaviors>
        <w:guid w:val="{EE25020B-2FDA-4ACB-BE3B-1154EEF50544}"/>
      </w:docPartPr>
      <w:docPartBody>
        <w:p w:rsidR="00A709B3" w:rsidRDefault="00B56AA4" w:rsidP="00B56AA4">
          <w:pPr>
            <w:pStyle w:val="EA94EE93863D4F73BBF9520F0019F31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A4"/>
    <w:rsid w:val="00040511"/>
    <w:rsid w:val="00872C08"/>
    <w:rsid w:val="00A709B3"/>
    <w:rsid w:val="00B56AA4"/>
    <w:rsid w:val="00DE55A3"/>
    <w:rsid w:val="00F20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94EE93863D4F73BBF9520F0019F31A">
    <w:name w:val="EA94EE93863D4F73BBF9520F0019F31A"/>
    <w:rsid w:val="00B56A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7E5F90-0EA7-4059-B329-3A191FCDB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10260</Words>
  <Characters>58488</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BUSINESS REPORT TO THE DIRECTOR OF VODAPHONE GROUP OF PLC</vt:lpstr>
    </vt:vector>
  </TitlesOfParts>
  <Company>uNIVERSITY OF WALES TRINITY SAINT DAVID</Company>
  <LinksUpToDate>false</LinksUpToDate>
  <CharactersWithSpaces>68611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analasys and investment aprisal : A Case study of vodafone and beard plc</dc:title>
  <dc:subject>Finance for Business Managers BMMB7005</dc:subject>
  <dc:creator>Sayam Ahmed (2519728)</dc:creator>
  <cp:lastModifiedBy>Sayam Ahmed (2519728)</cp:lastModifiedBy>
  <cp:revision>9</cp:revision>
  <dcterms:created xsi:type="dcterms:W3CDTF">2026-04-20T17:02:00Z</dcterms:created>
  <dcterms:modified xsi:type="dcterms:W3CDTF">2026-04-20T18:46:00Z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eyJoZGlkIjoiMmMyYWM1MWY5NGE4N2RlY2U5NWM0NzJiODNiMGJjYzkiLCJ1c2VySWQiOiI4ODEzOTczNjQ5NjIwIn0=</vt:lpwstr>
  </property>
  <property fmtid="{D5CDD505-2E9C-101B-9397-08002B2CF9AE}" pid="3" name="KSOProductBuildVer">
    <vt:lpwstr>1033-12.1.0.25242</vt:lpwstr>
  </property>
  <property fmtid="{D5CDD505-2E9C-101B-9397-08002B2CF9AE}" pid="4" name="ICV">
    <vt:lpwstr>E84A9DD3B94F4370B98EBF6A9E57DCD5_12</vt:lpwstr>
  </property>
</Properties>
</file>