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A3D2D" w14:textId="6B50FB33"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UNIVERSITY OF WALES</w:t>
      </w:r>
    </w:p>
    <w:p w14:paraId="3339A790" w14:textId="1CC1C199"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TRINITY SAINT DAVID</w:t>
      </w:r>
    </w:p>
    <w:p w14:paraId="45DE0C57" w14:textId="77777777"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p>
    <w:p w14:paraId="728C34F4" w14:textId="502CDDFA"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proofErr w:type="gramStart"/>
      <w:r>
        <w:rPr>
          <w:rFonts w:ascii="Times New Roman" w:eastAsia="Times New Roman" w:hAnsi="Times New Roman" w:cs="Times New Roman"/>
          <w:b/>
          <w:color w:val="000000" w:themeColor="text1"/>
          <w:sz w:val="32"/>
          <w:szCs w:val="32"/>
        </w:rPr>
        <w:t>NAME :</w:t>
      </w:r>
      <w:proofErr w:type="gramEnd"/>
      <w:r>
        <w:rPr>
          <w:rFonts w:ascii="Times New Roman" w:eastAsia="Times New Roman" w:hAnsi="Times New Roman" w:cs="Times New Roman"/>
          <w:b/>
          <w:color w:val="000000" w:themeColor="text1"/>
          <w:sz w:val="32"/>
          <w:szCs w:val="32"/>
        </w:rPr>
        <w:t xml:space="preserve"> GALUSCA SILVIU GEORGE</w:t>
      </w:r>
    </w:p>
    <w:p w14:paraId="07D85C32" w14:textId="644CA007"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proofErr w:type="gramStart"/>
      <w:r>
        <w:rPr>
          <w:rFonts w:ascii="Times New Roman" w:eastAsia="Times New Roman" w:hAnsi="Times New Roman" w:cs="Times New Roman"/>
          <w:b/>
          <w:color w:val="000000" w:themeColor="text1"/>
          <w:sz w:val="32"/>
          <w:szCs w:val="32"/>
        </w:rPr>
        <w:t>NUMBER :</w:t>
      </w:r>
      <w:proofErr w:type="gramEnd"/>
      <w:r>
        <w:rPr>
          <w:rFonts w:ascii="Times New Roman" w:eastAsia="Times New Roman" w:hAnsi="Times New Roman" w:cs="Times New Roman"/>
          <w:b/>
          <w:color w:val="000000" w:themeColor="text1"/>
          <w:sz w:val="32"/>
          <w:szCs w:val="32"/>
        </w:rPr>
        <w:t xml:space="preserve"> 1915953</w:t>
      </w:r>
    </w:p>
    <w:p w14:paraId="12559ED7" w14:textId="77777777"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p>
    <w:p w14:paraId="79BB6C2D" w14:textId="6AA40F12"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sidRPr="0053028F">
        <w:rPr>
          <w:rFonts w:ascii="Times New Roman" w:eastAsia="Times New Roman" w:hAnsi="Times New Roman" w:cs="Times New Roman"/>
          <w:b/>
          <w:color w:val="000000" w:themeColor="text1"/>
          <w:sz w:val="32"/>
          <w:szCs w:val="32"/>
        </w:rPr>
        <w:t>PROGRAMME: BA BUSINESS MANAGEMENT</w:t>
      </w:r>
    </w:p>
    <w:p w14:paraId="263204E4" w14:textId="32E32046" w:rsidR="00C054F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LEVEL 5 / TERM 2/ GROUP 2</w:t>
      </w:r>
    </w:p>
    <w:p w14:paraId="67F2731F" w14:textId="77777777" w:rsidR="00C054FF" w:rsidRDefault="00C054FF" w:rsidP="00C054FF">
      <w:pPr>
        <w:pStyle w:val="Normal1"/>
        <w:spacing w:line="360" w:lineRule="auto"/>
        <w:jc w:val="center"/>
        <w:rPr>
          <w:rFonts w:ascii="Times New Roman" w:eastAsia="Times New Roman" w:hAnsi="Times New Roman" w:cs="Times New Roman"/>
          <w:b/>
          <w:sz w:val="32"/>
          <w:szCs w:val="32"/>
        </w:rPr>
      </w:pPr>
    </w:p>
    <w:p w14:paraId="5B37535D" w14:textId="4E59E523" w:rsidR="00C054FF" w:rsidRDefault="00C054FF" w:rsidP="00C054F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MANAGING PEOPLE</w:t>
      </w:r>
    </w:p>
    <w:p w14:paraId="7485EE39" w14:textId="77777777" w:rsidR="00C054FF" w:rsidRDefault="00C054FF" w:rsidP="00C054F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LCBB5004</w:t>
      </w:r>
    </w:p>
    <w:p w14:paraId="5110FFEF" w14:textId="12D826E2" w:rsidR="00C054FF" w:rsidRDefault="00C054FF" w:rsidP="00C054F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Assignment </w:t>
      </w:r>
      <w:r>
        <w:rPr>
          <w:rFonts w:ascii="Times New Roman" w:eastAsia="Times New Roman" w:hAnsi="Times New Roman" w:cs="Times New Roman"/>
          <w:b/>
          <w:sz w:val="32"/>
          <w:szCs w:val="32"/>
        </w:rPr>
        <w:t>2</w:t>
      </w:r>
    </w:p>
    <w:p w14:paraId="14375E27" w14:textId="77777777" w:rsidR="00C054FF" w:rsidRDefault="00C054FF" w:rsidP="00C054FF">
      <w:pPr>
        <w:pStyle w:val="Normal1"/>
        <w:spacing w:line="360" w:lineRule="auto"/>
        <w:jc w:val="center"/>
        <w:rPr>
          <w:rFonts w:ascii="Times New Roman" w:eastAsia="Times New Roman" w:hAnsi="Times New Roman" w:cs="Times New Roman"/>
          <w:b/>
          <w:sz w:val="32"/>
          <w:szCs w:val="32"/>
        </w:rPr>
      </w:pPr>
    </w:p>
    <w:p w14:paraId="2B23A7FB" w14:textId="69B84308" w:rsidR="00C054FF" w:rsidRPr="0053028F" w:rsidRDefault="00C054FF" w:rsidP="00C054FF">
      <w:pPr>
        <w:pStyle w:val="Normal1"/>
        <w:spacing w:line="360" w:lineRule="auto"/>
        <w:jc w:val="center"/>
        <w:rPr>
          <w:rFonts w:ascii="Times New Roman" w:eastAsia="Times New Roman" w:hAnsi="Times New Roman" w:cs="Times New Roman"/>
          <w:b/>
          <w:color w:val="000000" w:themeColor="text1"/>
          <w:sz w:val="32"/>
          <w:szCs w:val="32"/>
        </w:rPr>
      </w:pPr>
      <w:proofErr w:type="gramStart"/>
      <w:r>
        <w:rPr>
          <w:rFonts w:ascii="Times New Roman" w:eastAsia="Times New Roman" w:hAnsi="Times New Roman" w:cs="Times New Roman"/>
          <w:b/>
          <w:color w:val="000000" w:themeColor="text1"/>
          <w:sz w:val="32"/>
          <w:szCs w:val="32"/>
        </w:rPr>
        <w:t>LECTURER :</w:t>
      </w:r>
      <w:proofErr w:type="gramEnd"/>
      <w:r>
        <w:rPr>
          <w:rFonts w:ascii="Times New Roman" w:eastAsia="Times New Roman" w:hAnsi="Times New Roman" w:cs="Times New Roman"/>
          <w:b/>
          <w:color w:val="000000" w:themeColor="text1"/>
          <w:sz w:val="32"/>
          <w:szCs w:val="32"/>
        </w:rPr>
        <w:t xml:space="preserve"> CHARLES OHAM</w:t>
      </w:r>
    </w:p>
    <w:p w14:paraId="11F0094D" w14:textId="77777777" w:rsidR="00C054FF" w:rsidRDefault="00C054FF" w:rsidP="00C054FF">
      <w:pPr>
        <w:pStyle w:val="Normal1"/>
        <w:spacing w:line="360" w:lineRule="auto"/>
        <w:jc w:val="center"/>
        <w:rPr>
          <w:rFonts w:ascii="Times New Roman" w:eastAsia="Times New Roman" w:hAnsi="Times New Roman" w:cs="Times New Roman"/>
          <w:b/>
          <w:sz w:val="32"/>
          <w:szCs w:val="32"/>
        </w:rPr>
      </w:pPr>
    </w:p>
    <w:p w14:paraId="7E5E3B03" w14:textId="40A17C88" w:rsidR="00C054FF" w:rsidRDefault="00C054FF" w:rsidP="00C054FF">
      <w:pPr>
        <w:jc w:val="center"/>
      </w:pPr>
    </w:p>
    <w:p w14:paraId="3B5357AF" w14:textId="77777777" w:rsidR="00C054FF" w:rsidRDefault="00C054FF" w:rsidP="00C054FF">
      <w:pPr>
        <w:pStyle w:val="TOCHeading"/>
        <w:spacing w:line="360" w:lineRule="auto"/>
        <w:jc w:val="center"/>
        <w:rPr>
          <w:rFonts w:ascii="Arial" w:eastAsia="Arial" w:hAnsi="Arial" w:cs="Arial"/>
          <w:b w:val="0"/>
          <w:bCs w:val="0"/>
          <w:color w:val="auto"/>
          <w:sz w:val="22"/>
          <w:szCs w:val="22"/>
        </w:rPr>
      </w:pPr>
    </w:p>
    <w:p w14:paraId="1FF589A5" w14:textId="29AE40A8" w:rsidR="00C054FF" w:rsidRDefault="00C054FF" w:rsidP="00523FD5">
      <w:pPr>
        <w:pStyle w:val="TOCHeading"/>
        <w:spacing w:line="360" w:lineRule="auto"/>
        <w:jc w:val="center"/>
        <w:rPr>
          <w:rFonts w:ascii="Arial" w:eastAsia="Arial" w:hAnsi="Arial" w:cs="Arial"/>
          <w:b w:val="0"/>
          <w:bCs w:val="0"/>
          <w:color w:val="auto"/>
          <w:sz w:val="22"/>
          <w:szCs w:val="22"/>
        </w:rPr>
      </w:pPr>
    </w:p>
    <w:sdt>
      <w:sdtPr>
        <w:rPr>
          <w:b/>
          <w:bCs/>
        </w:rPr>
        <w:id w:val="7577219"/>
        <w:docPartObj>
          <w:docPartGallery w:val="Table of Contents"/>
          <w:docPartUnique/>
        </w:docPartObj>
      </w:sdtPr>
      <w:sdtEndPr>
        <w:rPr>
          <w:b w:val="0"/>
          <w:bCs w:val="0"/>
        </w:rPr>
      </w:sdtEndPr>
      <w:sdtContent>
        <w:p w14:paraId="4CBBC0CE" w14:textId="77777777" w:rsidR="00C054FF" w:rsidRDefault="00C054FF" w:rsidP="00C054FF">
          <w:pPr>
            <w:rPr>
              <w:b/>
              <w:bCs/>
            </w:rPr>
          </w:pPr>
        </w:p>
        <w:p w14:paraId="14AA6934" w14:textId="77777777" w:rsidR="00C054FF" w:rsidRDefault="00C054FF" w:rsidP="00C054FF">
          <w:pPr>
            <w:rPr>
              <w:b/>
              <w:bCs/>
            </w:rPr>
          </w:pPr>
        </w:p>
        <w:p w14:paraId="5C2203DD" w14:textId="77777777" w:rsidR="00C054FF" w:rsidRDefault="00C054FF" w:rsidP="00C054FF">
          <w:pPr>
            <w:rPr>
              <w:b/>
              <w:bCs/>
            </w:rPr>
          </w:pPr>
        </w:p>
        <w:p w14:paraId="7E85A486" w14:textId="77777777" w:rsidR="00C054FF" w:rsidRDefault="00C054FF" w:rsidP="00C054FF">
          <w:pPr>
            <w:rPr>
              <w:b/>
              <w:bCs/>
            </w:rPr>
          </w:pPr>
        </w:p>
        <w:p w14:paraId="3D6609AD" w14:textId="77777777" w:rsidR="00C054FF" w:rsidRDefault="00C054FF" w:rsidP="00C054FF">
          <w:pPr>
            <w:rPr>
              <w:b/>
              <w:bCs/>
            </w:rPr>
          </w:pPr>
        </w:p>
        <w:p w14:paraId="7BFE3E1D" w14:textId="77777777" w:rsidR="00C054FF" w:rsidRDefault="00C054FF" w:rsidP="00C054FF">
          <w:pPr>
            <w:rPr>
              <w:b/>
              <w:bCs/>
            </w:rPr>
          </w:pPr>
        </w:p>
        <w:p w14:paraId="51C5C308" w14:textId="77777777" w:rsidR="00C054FF" w:rsidRDefault="00C054FF" w:rsidP="00C054FF">
          <w:pPr>
            <w:rPr>
              <w:b/>
              <w:bCs/>
            </w:rPr>
          </w:pPr>
        </w:p>
        <w:p w14:paraId="3A316690" w14:textId="77777777" w:rsidR="00C054FF" w:rsidRDefault="00C054FF" w:rsidP="00C054FF">
          <w:pPr>
            <w:rPr>
              <w:b/>
              <w:bCs/>
            </w:rPr>
          </w:pPr>
        </w:p>
        <w:p w14:paraId="56F40AD9" w14:textId="77777777" w:rsidR="00C054FF" w:rsidRDefault="00C054FF" w:rsidP="00C054FF">
          <w:pPr>
            <w:rPr>
              <w:b/>
              <w:bCs/>
            </w:rPr>
          </w:pPr>
        </w:p>
        <w:p w14:paraId="10541168" w14:textId="14388286" w:rsidR="00B153B4" w:rsidRPr="00B153B4" w:rsidRDefault="00B153B4" w:rsidP="00C054FF">
          <w:pPr>
            <w:rPr>
              <w:rFonts w:ascii="Times New Roman" w:hAnsi="Times New Roman" w:cs="Times New Roman"/>
              <w:sz w:val="24"/>
              <w:szCs w:val="24"/>
            </w:rPr>
          </w:pPr>
          <w:r w:rsidRPr="00523FD5">
            <w:rPr>
              <w:rFonts w:ascii="Times New Roman" w:hAnsi="Times New Roman" w:cs="Times New Roman"/>
              <w:color w:val="000000" w:themeColor="text1"/>
            </w:rPr>
            <w:lastRenderedPageBreak/>
            <w:t>Table of Contents</w:t>
          </w:r>
        </w:p>
        <w:p w14:paraId="042C7C2E" w14:textId="77777777" w:rsidR="00B153B4" w:rsidRPr="00B153B4" w:rsidRDefault="00B153B4" w:rsidP="00B153B4">
          <w:pPr>
            <w:pStyle w:val="TOC1"/>
            <w:tabs>
              <w:tab w:val="right" w:leader="dot" w:pos="9350"/>
            </w:tabs>
            <w:spacing w:line="360" w:lineRule="auto"/>
            <w:jc w:val="both"/>
            <w:rPr>
              <w:rFonts w:ascii="Times New Roman" w:hAnsi="Times New Roman" w:cs="Times New Roman"/>
              <w:noProof/>
              <w:sz w:val="24"/>
              <w:szCs w:val="24"/>
            </w:rPr>
          </w:pPr>
          <w:r w:rsidRPr="00B153B4">
            <w:rPr>
              <w:rFonts w:ascii="Times New Roman" w:hAnsi="Times New Roman" w:cs="Times New Roman"/>
              <w:sz w:val="24"/>
              <w:szCs w:val="24"/>
            </w:rPr>
            <w:fldChar w:fldCharType="begin"/>
          </w:r>
          <w:r w:rsidRPr="00B153B4">
            <w:rPr>
              <w:rFonts w:ascii="Times New Roman" w:hAnsi="Times New Roman" w:cs="Times New Roman"/>
              <w:sz w:val="24"/>
              <w:szCs w:val="24"/>
            </w:rPr>
            <w:instrText xml:space="preserve"> TOC \o "1-3" \h \z \u </w:instrText>
          </w:r>
          <w:r w:rsidRPr="00B153B4">
            <w:rPr>
              <w:rFonts w:ascii="Times New Roman" w:hAnsi="Times New Roman" w:cs="Times New Roman"/>
              <w:sz w:val="24"/>
              <w:szCs w:val="24"/>
            </w:rPr>
            <w:fldChar w:fldCharType="separate"/>
          </w:r>
          <w:hyperlink w:anchor="_Toc81497012" w:history="1">
            <w:r w:rsidRPr="00B153B4">
              <w:rPr>
                <w:rStyle w:val="Hyperlink"/>
                <w:rFonts w:ascii="Times New Roman" w:hAnsi="Times New Roman" w:cs="Times New Roman"/>
                <w:noProof/>
                <w:sz w:val="24"/>
                <w:szCs w:val="24"/>
              </w:rPr>
              <w:t>1.0 Introduction</w:t>
            </w:r>
            <w:r w:rsidRPr="00B153B4">
              <w:rPr>
                <w:rFonts w:ascii="Times New Roman" w:hAnsi="Times New Roman" w:cs="Times New Roman"/>
                <w:noProof/>
                <w:webHidden/>
                <w:sz w:val="24"/>
                <w:szCs w:val="24"/>
              </w:rPr>
              <w:tab/>
            </w:r>
            <w:r w:rsidRPr="00B153B4">
              <w:rPr>
                <w:rFonts w:ascii="Times New Roman" w:hAnsi="Times New Roman" w:cs="Times New Roman"/>
                <w:noProof/>
                <w:webHidden/>
                <w:sz w:val="24"/>
                <w:szCs w:val="24"/>
              </w:rPr>
              <w:fldChar w:fldCharType="begin"/>
            </w:r>
            <w:r w:rsidRPr="00B153B4">
              <w:rPr>
                <w:rFonts w:ascii="Times New Roman" w:hAnsi="Times New Roman" w:cs="Times New Roman"/>
                <w:noProof/>
                <w:webHidden/>
                <w:sz w:val="24"/>
                <w:szCs w:val="24"/>
              </w:rPr>
              <w:instrText xml:space="preserve"> PAGEREF _Toc81497012 \h </w:instrText>
            </w:r>
            <w:r w:rsidRPr="00B153B4">
              <w:rPr>
                <w:rFonts w:ascii="Times New Roman" w:hAnsi="Times New Roman" w:cs="Times New Roman"/>
                <w:noProof/>
                <w:webHidden/>
                <w:sz w:val="24"/>
                <w:szCs w:val="24"/>
              </w:rPr>
            </w:r>
            <w:r w:rsidRPr="00B153B4">
              <w:rPr>
                <w:rFonts w:ascii="Times New Roman" w:hAnsi="Times New Roman" w:cs="Times New Roman"/>
                <w:noProof/>
                <w:webHidden/>
                <w:sz w:val="24"/>
                <w:szCs w:val="24"/>
              </w:rPr>
              <w:fldChar w:fldCharType="separate"/>
            </w:r>
            <w:r w:rsidRPr="00B153B4">
              <w:rPr>
                <w:rFonts w:ascii="Times New Roman" w:hAnsi="Times New Roman" w:cs="Times New Roman"/>
                <w:noProof/>
                <w:webHidden/>
                <w:sz w:val="24"/>
                <w:szCs w:val="24"/>
              </w:rPr>
              <w:t>3</w:t>
            </w:r>
            <w:r w:rsidRPr="00B153B4">
              <w:rPr>
                <w:rFonts w:ascii="Times New Roman" w:hAnsi="Times New Roman" w:cs="Times New Roman"/>
                <w:noProof/>
                <w:webHidden/>
                <w:sz w:val="24"/>
                <w:szCs w:val="24"/>
              </w:rPr>
              <w:fldChar w:fldCharType="end"/>
            </w:r>
          </w:hyperlink>
        </w:p>
        <w:p w14:paraId="39A4A96F" w14:textId="77777777" w:rsidR="00B153B4" w:rsidRPr="00B153B4" w:rsidRDefault="00C054FF" w:rsidP="00B153B4">
          <w:pPr>
            <w:pStyle w:val="TOC2"/>
            <w:tabs>
              <w:tab w:val="right" w:leader="dot" w:pos="9350"/>
            </w:tabs>
            <w:spacing w:line="360" w:lineRule="auto"/>
            <w:jc w:val="both"/>
            <w:rPr>
              <w:rFonts w:ascii="Times New Roman" w:hAnsi="Times New Roman" w:cs="Times New Roman"/>
              <w:noProof/>
              <w:sz w:val="24"/>
              <w:szCs w:val="24"/>
            </w:rPr>
          </w:pPr>
          <w:hyperlink w:anchor="_Toc81497013" w:history="1">
            <w:r w:rsidR="00B153B4" w:rsidRPr="00B153B4">
              <w:rPr>
                <w:rStyle w:val="Hyperlink"/>
                <w:rFonts w:ascii="Times New Roman" w:hAnsi="Times New Roman" w:cs="Times New Roman"/>
                <w:noProof/>
                <w:sz w:val="24"/>
                <w:szCs w:val="24"/>
              </w:rPr>
              <w:t>1.1 Aim of the report</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_Toc81497013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3</w:t>
            </w:r>
            <w:r w:rsidR="00B153B4" w:rsidRPr="00B153B4">
              <w:rPr>
                <w:rFonts w:ascii="Times New Roman" w:hAnsi="Times New Roman" w:cs="Times New Roman"/>
                <w:noProof/>
                <w:webHidden/>
                <w:sz w:val="24"/>
                <w:szCs w:val="24"/>
              </w:rPr>
              <w:fldChar w:fldCharType="end"/>
            </w:r>
          </w:hyperlink>
        </w:p>
        <w:p w14:paraId="7D04CE0E" w14:textId="77777777" w:rsidR="00B153B4" w:rsidRPr="00B153B4" w:rsidRDefault="00C054FF" w:rsidP="00B153B4">
          <w:pPr>
            <w:pStyle w:val="TOC1"/>
            <w:tabs>
              <w:tab w:val="right" w:leader="dot" w:pos="9350"/>
            </w:tabs>
            <w:spacing w:line="360" w:lineRule="auto"/>
            <w:jc w:val="both"/>
            <w:rPr>
              <w:rFonts w:ascii="Times New Roman" w:hAnsi="Times New Roman" w:cs="Times New Roman"/>
              <w:noProof/>
              <w:sz w:val="24"/>
              <w:szCs w:val="24"/>
            </w:rPr>
          </w:pPr>
          <w:hyperlink w:anchor="_Toc81497014" w:history="1">
            <w:r w:rsidR="00B153B4" w:rsidRPr="00B153B4">
              <w:rPr>
                <w:rStyle w:val="Hyperlink"/>
                <w:rFonts w:ascii="Times New Roman" w:hAnsi="Times New Roman" w:cs="Times New Roman"/>
                <w:noProof/>
                <w:sz w:val="24"/>
                <w:szCs w:val="24"/>
              </w:rPr>
              <w:t>2.0 Findings and discussions</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_Toc81497014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3</w:t>
            </w:r>
            <w:r w:rsidR="00B153B4" w:rsidRPr="00B153B4">
              <w:rPr>
                <w:rFonts w:ascii="Times New Roman" w:hAnsi="Times New Roman" w:cs="Times New Roman"/>
                <w:noProof/>
                <w:webHidden/>
                <w:sz w:val="24"/>
                <w:szCs w:val="24"/>
              </w:rPr>
              <w:fldChar w:fldCharType="end"/>
            </w:r>
          </w:hyperlink>
        </w:p>
        <w:p w14:paraId="3C61DAE9" w14:textId="77777777" w:rsidR="00B153B4" w:rsidRPr="00B153B4" w:rsidRDefault="00C054FF" w:rsidP="00B153B4">
          <w:pPr>
            <w:pStyle w:val="TOC2"/>
            <w:tabs>
              <w:tab w:val="right" w:leader="dot" w:pos="9350"/>
            </w:tabs>
            <w:spacing w:line="360" w:lineRule="auto"/>
            <w:jc w:val="both"/>
            <w:rPr>
              <w:rFonts w:ascii="Times New Roman" w:hAnsi="Times New Roman" w:cs="Times New Roman"/>
              <w:noProof/>
              <w:sz w:val="24"/>
              <w:szCs w:val="24"/>
            </w:rPr>
          </w:pPr>
          <w:hyperlink w:anchor="_Toc81497015" w:history="1">
            <w:r w:rsidR="00B153B4" w:rsidRPr="00B153B4">
              <w:rPr>
                <w:rStyle w:val="Hyperlink"/>
                <w:rFonts w:ascii="Times New Roman" w:hAnsi="Times New Roman" w:cs="Times New Roman"/>
                <w:noProof/>
                <w:sz w:val="24"/>
                <w:szCs w:val="24"/>
              </w:rPr>
              <w:t>2.1 Review the concept and drivers of employee engagement</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_Toc81497015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3</w:t>
            </w:r>
            <w:r w:rsidR="00B153B4" w:rsidRPr="00B153B4">
              <w:rPr>
                <w:rFonts w:ascii="Times New Roman" w:hAnsi="Times New Roman" w:cs="Times New Roman"/>
                <w:noProof/>
                <w:webHidden/>
                <w:sz w:val="24"/>
                <w:szCs w:val="24"/>
              </w:rPr>
              <w:fldChar w:fldCharType="end"/>
            </w:r>
          </w:hyperlink>
        </w:p>
        <w:p w14:paraId="1117DECF" w14:textId="77777777" w:rsidR="00B153B4" w:rsidRPr="00B153B4" w:rsidRDefault="00C054FF" w:rsidP="00B153B4">
          <w:pPr>
            <w:pStyle w:val="TOC2"/>
            <w:tabs>
              <w:tab w:val="right" w:leader="dot" w:pos="9350"/>
            </w:tabs>
            <w:spacing w:line="360" w:lineRule="auto"/>
            <w:jc w:val="both"/>
            <w:rPr>
              <w:rFonts w:ascii="Times New Roman" w:hAnsi="Times New Roman" w:cs="Times New Roman"/>
              <w:noProof/>
              <w:sz w:val="24"/>
              <w:szCs w:val="24"/>
            </w:rPr>
          </w:pPr>
          <w:hyperlink w:anchor="_Toc81497016" w:history="1">
            <w:r w:rsidR="00B153B4" w:rsidRPr="00B153B4">
              <w:rPr>
                <w:rStyle w:val="Hyperlink"/>
                <w:rFonts w:ascii="Times New Roman" w:hAnsi="Times New Roman" w:cs="Times New Roman"/>
                <w:noProof/>
                <w:sz w:val="24"/>
                <w:szCs w:val="24"/>
              </w:rPr>
              <w:t>2.2 Evaluation of diagnostic tools to measure the engagement</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_Toc81497016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5</w:t>
            </w:r>
            <w:r w:rsidR="00B153B4" w:rsidRPr="00B153B4">
              <w:rPr>
                <w:rFonts w:ascii="Times New Roman" w:hAnsi="Times New Roman" w:cs="Times New Roman"/>
                <w:noProof/>
                <w:webHidden/>
                <w:sz w:val="24"/>
                <w:szCs w:val="24"/>
              </w:rPr>
              <w:fldChar w:fldCharType="end"/>
            </w:r>
          </w:hyperlink>
        </w:p>
        <w:p w14:paraId="5BCB6D96" w14:textId="77777777" w:rsidR="00B153B4" w:rsidRPr="00B153B4" w:rsidRDefault="00C054FF" w:rsidP="00B153B4">
          <w:pPr>
            <w:pStyle w:val="TOC2"/>
            <w:tabs>
              <w:tab w:val="right" w:leader="dot" w:pos="9350"/>
            </w:tabs>
            <w:spacing w:line="360" w:lineRule="auto"/>
            <w:jc w:val="both"/>
            <w:rPr>
              <w:rFonts w:ascii="Times New Roman" w:hAnsi="Times New Roman" w:cs="Times New Roman"/>
              <w:noProof/>
              <w:sz w:val="24"/>
              <w:szCs w:val="24"/>
            </w:rPr>
          </w:pPr>
          <w:hyperlink w:anchor="_Toc81497017" w:history="1">
            <w:r w:rsidR="00B153B4" w:rsidRPr="00B153B4">
              <w:rPr>
                <w:rStyle w:val="Hyperlink"/>
                <w:rFonts w:ascii="Times New Roman" w:hAnsi="Times New Roman" w:cs="Times New Roman"/>
                <w:noProof/>
                <w:sz w:val="24"/>
                <w:szCs w:val="24"/>
              </w:rPr>
              <w:t>2.3 Employee value proposition</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_Toc81497017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7</w:t>
            </w:r>
            <w:r w:rsidR="00B153B4" w:rsidRPr="00B153B4">
              <w:rPr>
                <w:rFonts w:ascii="Times New Roman" w:hAnsi="Times New Roman" w:cs="Times New Roman"/>
                <w:noProof/>
                <w:webHidden/>
                <w:sz w:val="24"/>
                <w:szCs w:val="24"/>
              </w:rPr>
              <w:fldChar w:fldCharType="end"/>
            </w:r>
          </w:hyperlink>
        </w:p>
        <w:p w14:paraId="2637EAC9" w14:textId="77777777" w:rsidR="00B153B4" w:rsidRPr="00B153B4" w:rsidRDefault="00C054FF" w:rsidP="00B153B4">
          <w:pPr>
            <w:pStyle w:val="TOC2"/>
            <w:tabs>
              <w:tab w:val="right" w:leader="dot" w:pos="9350"/>
            </w:tabs>
            <w:spacing w:line="360" w:lineRule="auto"/>
            <w:jc w:val="both"/>
            <w:rPr>
              <w:rFonts w:ascii="Times New Roman" w:hAnsi="Times New Roman" w:cs="Times New Roman"/>
              <w:noProof/>
              <w:sz w:val="24"/>
              <w:szCs w:val="24"/>
            </w:rPr>
          </w:pPr>
          <w:hyperlink w:anchor="_Toc81497018" w:history="1">
            <w:r w:rsidR="00B153B4" w:rsidRPr="00B153B4">
              <w:rPr>
                <w:rStyle w:val="Hyperlink"/>
                <w:rFonts w:ascii="Times New Roman" w:hAnsi="Times New Roman" w:cs="Times New Roman"/>
                <w:noProof/>
                <w:sz w:val="24"/>
                <w:szCs w:val="24"/>
              </w:rPr>
              <w:t>2.4 Strategies to raise levels of engagement (Further suggestions)</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_Toc81497018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8</w:t>
            </w:r>
            <w:r w:rsidR="00B153B4" w:rsidRPr="00B153B4">
              <w:rPr>
                <w:rFonts w:ascii="Times New Roman" w:hAnsi="Times New Roman" w:cs="Times New Roman"/>
                <w:noProof/>
                <w:webHidden/>
                <w:sz w:val="24"/>
                <w:szCs w:val="24"/>
              </w:rPr>
              <w:fldChar w:fldCharType="end"/>
            </w:r>
          </w:hyperlink>
        </w:p>
        <w:p w14:paraId="4A36EBF3" w14:textId="77777777" w:rsidR="00B153B4" w:rsidRPr="00B153B4" w:rsidRDefault="00C054FF" w:rsidP="00B153B4">
          <w:pPr>
            <w:pStyle w:val="TOC1"/>
            <w:tabs>
              <w:tab w:val="right" w:leader="dot" w:pos="9350"/>
            </w:tabs>
            <w:spacing w:line="360" w:lineRule="auto"/>
            <w:jc w:val="both"/>
            <w:rPr>
              <w:rFonts w:ascii="Times New Roman" w:hAnsi="Times New Roman" w:cs="Times New Roman"/>
              <w:noProof/>
              <w:sz w:val="24"/>
              <w:szCs w:val="24"/>
            </w:rPr>
          </w:pPr>
          <w:hyperlink w:anchor="_Toc81497019" w:history="1">
            <w:r w:rsidR="00B153B4" w:rsidRPr="00B153B4">
              <w:rPr>
                <w:rStyle w:val="Hyperlink"/>
                <w:rFonts w:ascii="Times New Roman" w:hAnsi="Times New Roman" w:cs="Times New Roman"/>
                <w:noProof/>
                <w:sz w:val="24"/>
                <w:szCs w:val="24"/>
              </w:rPr>
              <w:t>3.0 Conclusion</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_Toc81497019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9</w:t>
            </w:r>
            <w:r w:rsidR="00B153B4" w:rsidRPr="00B153B4">
              <w:rPr>
                <w:rFonts w:ascii="Times New Roman" w:hAnsi="Times New Roman" w:cs="Times New Roman"/>
                <w:noProof/>
                <w:webHidden/>
                <w:sz w:val="24"/>
                <w:szCs w:val="24"/>
              </w:rPr>
              <w:fldChar w:fldCharType="end"/>
            </w:r>
          </w:hyperlink>
        </w:p>
        <w:p w14:paraId="38069555" w14:textId="77777777" w:rsidR="00B153B4" w:rsidRPr="00B153B4" w:rsidRDefault="00C054FF" w:rsidP="00B153B4">
          <w:pPr>
            <w:pStyle w:val="TOC1"/>
            <w:tabs>
              <w:tab w:val="right" w:leader="dot" w:pos="9350"/>
            </w:tabs>
            <w:spacing w:line="360" w:lineRule="auto"/>
            <w:jc w:val="both"/>
            <w:rPr>
              <w:rFonts w:ascii="Times New Roman" w:hAnsi="Times New Roman" w:cs="Times New Roman"/>
              <w:noProof/>
              <w:sz w:val="24"/>
              <w:szCs w:val="24"/>
            </w:rPr>
          </w:pPr>
          <w:hyperlink w:anchor="_Toc81497020" w:history="1">
            <w:r w:rsidR="00B153B4" w:rsidRPr="00B153B4">
              <w:rPr>
                <w:rStyle w:val="Hyperlink"/>
                <w:rFonts w:ascii="Times New Roman" w:hAnsi="Times New Roman" w:cs="Times New Roman"/>
                <w:noProof/>
                <w:sz w:val="24"/>
                <w:szCs w:val="24"/>
              </w:rPr>
              <w:t>References</w:t>
            </w:r>
            <w:r w:rsidR="00B153B4" w:rsidRPr="00B153B4">
              <w:rPr>
                <w:rFonts w:ascii="Times New Roman" w:hAnsi="Times New Roman" w:cs="Times New Roman"/>
                <w:noProof/>
                <w:webHidden/>
                <w:sz w:val="24"/>
                <w:szCs w:val="24"/>
              </w:rPr>
              <w:tab/>
            </w:r>
            <w:r w:rsidR="00B153B4" w:rsidRPr="00B153B4">
              <w:rPr>
                <w:rFonts w:ascii="Times New Roman" w:hAnsi="Times New Roman" w:cs="Times New Roman"/>
                <w:noProof/>
                <w:webHidden/>
                <w:sz w:val="24"/>
                <w:szCs w:val="24"/>
              </w:rPr>
              <w:fldChar w:fldCharType="begin"/>
            </w:r>
            <w:r w:rsidR="00B153B4" w:rsidRPr="00B153B4">
              <w:rPr>
                <w:rFonts w:ascii="Times New Roman" w:hAnsi="Times New Roman" w:cs="Times New Roman"/>
                <w:noProof/>
                <w:webHidden/>
                <w:sz w:val="24"/>
                <w:szCs w:val="24"/>
              </w:rPr>
              <w:instrText xml:space="preserve"> PAGEREF _Toc81497020 \h </w:instrText>
            </w:r>
            <w:r w:rsidR="00B153B4" w:rsidRPr="00B153B4">
              <w:rPr>
                <w:rFonts w:ascii="Times New Roman" w:hAnsi="Times New Roman" w:cs="Times New Roman"/>
                <w:noProof/>
                <w:webHidden/>
                <w:sz w:val="24"/>
                <w:szCs w:val="24"/>
              </w:rPr>
            </w:r>
            <w:r w:rsidR="00B153B4" w:rsidRPr="00B153B4">
              <w:rPr>
                <w:rFonts w:ascii="Times New Roman" w:hAnsi="Times New Roman" w:cs="Times New Roman"/>
                <w:noProof/>
                <w:webHidden/>
                <w:sz w:val="24"/>
                <w:szCs w:val="24"/>
              </w:rPr>
              <w:fldChar w:fldCharType="separate"/>
            </w:r>
            <w:r w:rsidR="00B153B4" w:rsidRPr="00B153B4">
              <w:rPr>
                <w:rFonts w:ascii="Times New Roman" w:hAnsi="Times New Roman" w:cs="Times New Roman"/>
                <w:noProof/>
                <w:webHidden/>
                <w:sz w:val="24"/>
                <w:szCs w:val="24"/>
              </w:rPr>
              <w:t>10</w:t>
            </w:r>
            <w:r w:rsidR="00B153B4" w:rsidRPr="00B153B4">
              <w:rPr>
                <w:rFonts w:ascii="Times New Roman" w:hAnsi="Times New Roman" w:cs="Times New Roman"/>
                <w:noProof/>
                <w:webHidden/>
                <w:sz w:val="24"/>
                <w:szCs w:val="24"/>
              </w:rPr>
              <w:fldChar w:fldCharType="end"/>
            </w:r>
          </w:hyperlink>
        </w:p>
        <w:p w14:paraId="6F9B9F5D" w14:textId="77777777" w:rsidR="00B153B4" w:rsidRDefault="00B153B4" w:rsidP="00B153B4">
          <w:pPr>
            <w:spacing w:line="360" w:lineRule="auto"/>
            <w:jc w:val="both"/>
          </w:pPr>
          <w:r w:rsidRPr="00B153B4">
            <w:rPr>
              <w:rFonts w:ascii="Times New Roman" w:hAnsi="Times New Roman" w:cs="Times New Roman"/>
              <w:sz w:val="24"/>
              <w:szCs w:val="24"/>
            </w:rPr>
            <w:fldChar w:fldCharType="end"/>
          </w:r>
        </w:p>
      </w:sdtContent>
    </w:sdt>
    <w:p w14:paraId="403DA98C" w14:textId="77777777" w:rsidR="004E6C24" w:rsidRPr="00DA262F" w:rsidRDefault="004E6C24">
      <w:pPr>
        <w:pStyle w:val="Normal1"/>
        <w:spacing w:line="360" w:lineRule="auto"/>
        <w:jc w:val="center"/>
        <w:rPr>
          <w:rFonts w:ascii="Times New Roman" w:eastAsia="Times New Roman" w:hAnsi="Times New Roman" w:cs="Times New Roman"/>
          <w:b/>
          <w:color w:val="000000" w:themeColor="text1"/>
          <w:sz w:val="24"/>
          <w:szCs w:val="24"/>
        </w:rPr>
      </w:pPr>
    </w:p>
    <w:p w14:paraId="189E35F4" w14:textId="77777777" w:rsidR="004E6C24" w:rsidRPr="00DA262F" w:rsidRDefault="00EE273B">
      <w:pPr>
        <w:pStyle w:val="Normal1"/>
        <w:spacing w:line="360" w:lineRule="auto"/>
        <w:jc w:val="center"/>
        <w:rPr>
          <w:rFonts w:ascii="Times New Roman" w:eastAsia="Times New Roman" w:hAnsi="Times New Roman" w:cs="Times New Roman"/>
          <w:b/>
          <w:color w:val="000000" w:themeColor="text1"/>
          <w:sz w:val="24"/>
          <w:szCs w:val="24"/>
        </w:rPr>
      </w:pPr>
      <w:r w:rsidRPr="00DA262F">
        <w:rPr>
          <w:color w:val="000000" w:themeColor="text1"/>
        </w:rPr>
        <w:br w:type="page"/>
      </w:r>
    </w:p>
    <w:p w14:paraId="0888A02B" w14:textId="77777777" w:rsidR="004E6C24" w:rsidRPr="00DA262F" w:rsidRDefault="00EE273B" w:rsidP="00076361">
      <w:pPr>
        <w:pStyle w:val="Heading1"/>
      </w:pPr>
      <w:bookmarkStart w:id="0" w:name="_Toc81497012"/>
      <w:r w:rsidRPr="00DA262F">
        <w:lastRenderedPageBreak/>
        <w:t>1.0 Introduction</w:t>
      </w:r>
      <w:bookmarkEnd w:id="0"/>
    </w:p>
    <w:p w14:paraId="7C7552E1"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The following report will focus on the aspects of employee engagement as experienced in a complex and diverse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context. There is no definitive path towards attaining employee engagement in a professional setting. Moreover, the structure of an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 xml:space="preserve"> and its commitment towards business and finances may also influence the level of employee engagement opportunities within its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structure.  </w:t>
      </w:r>
    </w:p>
    <w:p w14:paraId="3BF989F5" w14:textId="77777777" w:rsidR="004E6C24" w:rsidRPr="00DA262F" w:rsidRDefault="00EE273B" w:rsidP="00076361">
      <w:pPr>
        <w:pStyle w:val="Heading2"/>
      </w:pPr>
      <w:bookmarkStart w:id="1" w:name="_Toc81497013"/>
      <w:r w:rsidRPr="00DA262F">
        <w:t>1.1 Aim of the report</w:t>
      </w:r>
      <w:bookmarkEnd w:id="1"/>
    </w:p>
    <w:p w14:paraId="6F2E5E88"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The following report will </w:t>
      </w:r>
      <w:proofErr w:type="spellStart"/>
      <w:r w:rsidRPr="00DA262F">
        <w:rPr>
          <w:rFonts w:ascii="Times New Roman" w:eastAsia="Times New Roman" w:hAnsi="Times New Roman" w:cs="Times New Roman"/>
          <w:color w:val="000000" w:themeColor="text1"/>
          <w:sz w:val="24"/>
          <w:szCs w:val="24"/>
        </w:rPr>
        <w:t>endeavour</w:t>
      </w:r>
      <w:proofErr w:type="spellEnd"/>
      <w:r w:rsidRPr="00DA262F">
        <w:rPr>
          <w:rFonts w:ascii="Times New Roman" w:eastAsia="Times New Roman" w:hAnsi="Times New Roman" w:cs="Times New Roman"/>
          <w:color w:val="000000" w:themeColor="text1"/>
          <w:sz w:val="24"/>
          <w:szCs w:val="24"/>
        </w:rPr>
        <w:t xml:space="preserve"> to draw upon the primary employee engagement literature while at the same time apply its core concepts on various industry level contexts This will allow the Chief Executive of the company to evaluate and critically appreciate the current strategies adopted especially those linked with Covid-11 pandemic.</w:t>
      </w:r>
    </w:p>
    <w:p w14:paraId="60ED8223" w14:textId="77777777" w:rsidR="004E6C24" w:rsidRPr="00DA262F" w:rsidRDefault="00EE273B" w:rsidP="00076361">
      <w:pPr>
        <w:pStyle w:val="Heading1"/>
      </w:pPr>
      <w:bookmarkStart w:id="2" w:name="_Toc81497014"/>
      <w:r w:rsidRPr="00DA262F">
        <w:t>2.0 Findings and discussions</w:t>
      </w:r>
      <w:bookmarkEnd w:id="2"/>
    </w:p>
    <w:p w14:paraId="12A666F0" w14:textId="77777777" w:rsidR="004E6C24" w:rsidRPr="00DA262F" w:rsidRDefault="00EE273B" w:rsidP="00076361">
      <w:pPr>
        <w:pStyle w:val="Heading2"/>
      </w:pPr>
      <w:bookmarkStart w:id="3" w:name="_Toc81497015"/>
      <w:r w:rsidRPr="00DA262F">
        <w:t>2.1 Review the concept and drivers of employee engagement</w:t>
      </w:r>
      <w:bookmarkEnd w:id="3"/>
    </w:p>
    <w:p w14:paraId="14C7C016"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Robinson et al. (2004) in their academic literature discussed the various applications of employee engagement drives especially taken into the context of employee perception and </w:t>
      </w:r>
      <w:proofErr w:type="spellStart"/>
      <w:r w:rsidRPr="00DA262F">
        <w:rPr>
          <w:rFonts w:ascii="Times New Roman" w:eastAsia="Times New Roman" w:hAnsi="Times New Roman" w:cs="Times New Roman"/>
          <w:color w:val="000000" w:themeColor="text1"/>
          <w:sz w:val="24"/>
          <w:szCs w:val="24"/>
        </w:rPr>
        <w:t>behaviour</w:t>
      </w:r>
      <w:proofErr w:type="spellEnd"/>
      <w:r w:rsidRPr="00DA262F">
        <w:rPr>
          <w:rFonts w:ascii="Times New Roman" w:eastAsia="Times New Roman" w:hAnsi="Times New Roman" w:cs="Times New Roman"/>
          <w:color w:val="000000" w:themeColor="text1"/>
          <w:sz w:val="24"/>
          <w:szCs w:val="24"/>
        </w:rPr>
        <w:t xml:space="preserve">. The writers hinted at the prominent function of employees feeling valued and involved within the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culture and process. The outcomes of this model of employee engagement driver follow some salient steps, for instance-</w:t>
      </w:r>
    </w:p>
    <w:p w14:paraId="4E20B6A0" w14:textId="77777777" w:rsidR="004E6C24" w:rsidRPr="00DA262F" w:rsidRDefault="00EE273B">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Involvement of employees in the decision-making process</w:t>
      </w:r>
    </w:p>
    <w:p w14:paraId="580AFF86" w14:textId="77777777" w:rsidR="004E6C24" w:rsidRPr="00DA262F" w:rsidRDefault="00EE273B">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The two-way communication between the management and the employees</w:t>
      </w:r>
    </w:p>
    <w:p w14:paraId="38F9AAFF" w14:textId="77777777" w:rsidR="004E6C24" w:rsidRPr="00DA262F" w:rsidRDefault="00EE273B">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Job and career development opportunities</w:t>
      </w:r>
    </w:p>
    <w:p w14:paraId="5D21C104" w14:textId="77777777" w:rsidR="004E6C24" w:rsidRPr="00DA262F" w:rsidRDefault="00EE273B">
      <w:pPr>
        <w:pStyle w:val="Normal1"/>
        <w:numPr>
          <w:ilvl w:val="0"/>
          <w:numId w:val="1"/>
        </w:numPr>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The concern for employee health and welfare</w:t>
      </w:r>
    </w:p>
    <w:p w14:paraId="72F6A21F"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Although these are by no means the be-all and end-all criteria for employee engagement, their importance especially in a post covid world are very much apparent. The implementation of the IES model is also supportive when fostering a sense of employee engagement along the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chain.</w:t>
      </w:r>
    </w:p>
    <w:p w14:paraId="7AB68023" w14:textId="77777777" w:rsidR="004E6C24" w:rsidRPr="00DA262F" w:rsidRDefault="00EE273B">
      <w:pPr>
        <w:pStyle w:val="Normal1"/>
        <w:spacing w:line="360" w:lineRule="auto"/>
        <w:jc w:val="center"/>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noProof/>
          <w:color w:val="000000" w:themeColor="text1"/>
          <w:sz w:val="24"/>
          <w:szCs w:val="24"/>
        </w:rPr>
        <w:lastRenderedPageBreak/>
        <w:drawing>
          <wp:inline distT="114300" distB="114300" distL="114300" distR="114300" wp14:anchorId="57BD8F08" wp14:editId="1E251D45">
            <wp:extent cx="5557838" cy="309065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557838" cy="3090656"/>
                    </a:xfrm>
                    <a:prstGeom prst="rect">
                      <a:avLst/>
                    </a:prstGeom>
                    <a:ln w="12700">
                      <a:solidFill>
                        <a:srgbClr val="000000"/>
                      </a:solidFill>
                      <a:prstDash val="solid"/>
                    </a:ln>
                  </pic:spPr>
                </pic:pic>
              </a:graphicData>
            </a:graphic>
          </wp:inline>
        </w:drawing>
      </w:r>
    </w:p>
    <w:p w14:paraId="465EA8BD" w14:textId="77777777" w:rsidR="004E6C24" w:rsidRPr="00DA262F" w:rsidRDefault="00EE273B">
      <w:pPr>
        <w:pStyle w:val="Normal1"/>
        <w:spacing w:line="360" w:lineRule="auto"/>
        <w:jc w:val="center"/>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Figure 1: IES model of employee engagement model</w:t>
      </w:r>
    </w:p>
    <w:p w14:paraId="387C3566" w14:textId="77777777" w:rsidR="004E6C24" w:rsidRPr="00DA262F" w:rsidRDefault="00EE273B">
      <w:pPr>
        <w:pStyle w:val="Normal1"/>
        <w:spacing w:line="360" w:lineRule="auto"/>
        <w:jc w:val="center"/>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(Source: Robinson et al. 2004)</w:t>
      </w:r>
    </w:p>
    <w:p w14:paraId="101962A0"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Apart from the general employee engagement model the IES platform also allows for a diagnostic tool that helps to judge the gaps between the current and future strategies of an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w:t>
      </w:r>
    </w:p>
    <w:p w14:paraId="38E93C10" w14:textId="77777777" w:rsidR="004E6C24" w:rsidRPr="00DA262F" w:rsidRDefault="00EE273B">
      <w:pPr>
        <w:pStyle w:val="Normal1"/>
        <w:spacing w:line="360" w:lineRule="auto"/>
        <w:jc w:val="center"/>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noProof/>
          <w:color w:val="000000" w:themeColor="text1"/>
          <w:sz w:val="24"/>
          <w:szCs w:val="24"/>
        </w:rPr>
        <w:drawing>
          <wp:inline distT="114300" distB="114300" distL="114300" distR="114300" wp14:anchorId="10E0A11B" wp14:editId="149155C3">
            <wp:extent cx="5108739" cy="3176588"/>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5108739" cy="3176588"/>
                    </a:xfrm>
                    <a:prstGeom prst="rect">
                      <a:avLst/>
                    </a:prstGeom>
                    <a:ln w="12700">
                      <a:solidFill>
                        <a:srgbClr val="000000"/>
                      </a:solidFill>
                      <a:prstDash val="solid"/>
                    </a:ln>
                  </pic:spPr>
                </pic:pic>
              </a:graphicData>
            </a:graphic>
          </wp:inline>
        </w:drawing>
      </w:r>
    </w:p>
    <w:p w14:paraId="66B20488" w14:textId="77777777" w:rsidR="004E6C24" w:rsidRPr="00DA262F" w:rsidRDefault="00EE273B">
      <w:pPr>
        <w:pStyle w:val="Normal1"/>
        <w:spacing w:line="360" w:lineRule="auto"/>
        <w:jc w:val="center"/>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Figure 2: IES employee engagement diagnostic tools</w:t>
      </w:r>
    </w:p>
    <w:p w14:paraId="5664C3A0" w14:textId="77777777" w:rsidR="004E6C24" w:rsidRPr="00DA262F" w:rsidRDefault="00EE273B">
      <w:pPr>
        <w:pStyle w:val="Normal1"/>
        <w:spacing w:line="360" w:lineRule="auto"/>
        <w:jc w:val="center"/>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lastRenderedPageBreak/>
        <w:t>(Source: Robinson et al. 2004)</w:t>
      </w:r>
    </w:p>
    <w:p w14:paraId="72B1B261"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If the current employee engagement strategies of the affiliated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 xml:space="preserve"> are </w:t>
      </w:r>
      <w:proofErr w:type="spellStart"/>
      <w:r w:rsidRPr="00DA262F">
        <w:rPr>
          <w:rFonts w:ascii="Times New Roman" w:eastAsia="Times New Roman" w:hAnsi="Times New Roman" w:cs="Times New Roman"/>
          <w:color w:val="000000" w:themeColor="text1"/>
          <w:sz w:val="24"/>
          <w:szCs w:val="24"/>
        </w:rPr>
        <w:t>analysed</w:t>
      </w:r>
      <w:proofErr w:type="spellEnd"/>
      <w:r w:rsidRPr="00DA262F">
        <w:rPr>
          <w:rFonts w:ascii="Times New Roman" w:eastAsia="Times New Roman" w:hAnsi="Times New Roman" w:cs="Times New Roman"/>
          <w:color w:val="000000" w:themeColor="text1"/>
          <w:sz w:val="24"/>
          <w:szCs w:val="24"/>
        </w:rPr>
        <w:t xml:space="preserve"> against the IES framework and the diagnostic the following points are apparent-</w:t>
      </w:r>
    </w:p>
    <w:p w14:paraId="26152A9A" w14:textId="77777777" w:rsidR="004E6C24" w:rsidRPr="00DA262F" w:rsidRDefault="00EE273B">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 xml:space="preserve">Working from home: </w:t>
      </w:r>
      <w:r w:rsidRPr="00DA262F">
        <w:rPr>
          <w:rFonts w:ascii="Times New Roman" w:eastAsia="Times New Roman" w:hAnsi="Times New Roman" w:cs="Times New Roman"/>
          <w:color w:val="000000" w:themeColor="text1"/>
          <w:sz w:val="24"/>
          <w:szCs w:val="24"/>
        </w:rPr>
        <w:t xml:space="preserve">This driver delivers the priorities of health and safety especially considering the Covid-19 pandemic it does take away from the aspects of family-friendliness and cooperation. The employees as per the notion of () are more likely to feel isolated and socially captive when taken out of the usual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environment. This might demotivate employees who thrive from face-to-face and personal engagement with their fellow employees </w:t>
      </w:r>
      <w:proofErr w:type="gramStart"/>
      <w:r w:rsidRPr="00DA262F">
        <w:rPr>
          <w:rFonts w:ascii="Times New Roman" w:eastAsia="Times New Roman" w:hAnsi="Times New Roman" w:cs="Times New Roman"/>
          <w:color w:val="000000" w:themeColor="text1"/>
          <w:sz w:val="24"/>
          <w:szCs w:val="24"/>
        </w:rPr>
        <w:t>and also</w:t>
      </w:r>
      <w:proofErr w:type="gramEnd"/>
      <w:r w:rsidRPr="00DA262F">
        <w:rPr>
          <w:rFonts w:ascii="Times New Roman" w:eastAsia="Times New Roman" w:hAnsi="Times New Roman" w:cs="Times New Roman"/>
          <w:color w:val="000000" w:themeColor="text1"/>
          <w:sz w:val="24"/>
          <w:szCs w:val="24"/>
        </w:rPr>
        <w:t xml:space="preserve"> their immediate supervisors. </w:t>
      </w:r>
    </w:p>
    <w:p w14:paraId="15101710" w14:textId="77777777" w:rsidR="004E6C24" w:rsidRPr="00DA262F" w:rsidRDefault="00EE273B">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 xml:space="preserve">Flexible working time: </w:t>
      </w:r>
      <w:r w:rsidRPr="00DA262F">
        <w:rPr>
          <w:rFonts w:ascii="Times New Roman" w:eastAsia="Times New Roman" w:hAnsi="Times New Roman" w:cs="Times New Roman"/>
          <w:color w:val="000000" w:themeColor="text1"/>
          <w:sz w:val="24"/>
          <w:szCs w:val="24"/>
        </w:rPr>
        <w:t>The strategy of providing flexible working time helps the employee to feel safe and valued. The employee also feels the presence of equal opportunities and fair treatment for themselves and their families. The cooperation from the immediate management in terms of flexible working time setup is also vital in maintaining this positive outlook within employees.</w:t>
      </w:r>
    </w:p>
    <w:p w14:paraId="25516E5F" w14:textId="77777777" w:rsidR="004E6C24" w:rsidRPr="00DA262F" w:rsidRDefault="00EE273B">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 xml:space="preserve">Job design/restructuring roles: </w:t>
      </w:r>
      <w:r w:rsidRPr="00DA262F">
        <w:rPr>
          <w:rFonts w:ascii="Times New Roman" w:eastAsia="Times New Roman" w:hAnsi="Times New Roman" w:cs="Times New Roman"/>
          <w:color w:val="000000" w:themeColor="text1"/>
          <w:sz w:val="24"/>
          <w:szCs w:val="24"/>
        </w:rPr>
        <w:t xml:space="preserve">the changes in job design and restructuring initiatives in the current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 xml:space="preserve"> must follow a precise performance and appraisal-oriented strategy. Here while promoting an employee their previous training development and career opportunity milestones are also supposed to be evaluated. Employee engagement is always at its peak when the employees are aware of the fair professional practices within an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w:t>
      </w:r>
    </w:p>
    <w:p w14:paraId="4003F6C6" w14:textId="77777777" w:rsidR="004E6C24" w:rsidRPr="00DA262F" w:rsidRDefault="00EE273B">
      <w:pPr>
        <w:pStyle w:val="Normal1"/>
        <w:numPr>
          <w:ilvl w:val="0"/>
          <w:numId w:val="2"/>
        </w:numPr>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 xml:space="preserve">Making the workplace “Covid-19 safe”: </w:t>
      </w:r>
      <w:r w:rsidRPr="00DA262F">
        <w:rPr>
          <w:rFonts w:ascii="Times New Roman" w:eastAsia="Times New Roman" w:hAnsi="Times New Roman" w:cs="Times New Roman"/>
          <w:color w:val="000000" w:themeColor="text1"/>
          <w:sz w:val="24"/>
          <w:szCs w:val="24"/>
        </w:rPr>
        <w:t>This specific initiative has more to do with the international healthcare guidelines placed by the UN and the WHO. The credit of the management and the immediate leadership is to make sure that the employees are aware of all the basic requirements to keep themselves, their families, and their fellow employees safe.</w:t>
      </w:r>
    </w:p>
    <w:p w14:paraId="731ECF9C" w14:textId="77777777" w:rsidR="004E6C24" w:rsidRPr="00DA262F" w:rsidRDefault="00EE273B" w:rsidP="00076361">
      <w:pPr>
        <w:pStyle w:val="Heading2"/>
      </w:pPr>
      <w:bookmarkStart w:id="4" w:name="_Toc81497016"/>
      <w:r w:rsidRPr="00DA262F">
        <w:t>2.2 Evaluation of diagnostic tools to measure the engagement</w:t>
      </w:r>
      <w:bookmarkEnd w:id="4"/>
    </w:p>
    <w:p w14:paraId="000F9108"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Although the IES diagnostic tool allows greater control over the employee engagement dimensions it does not allow any statistical or frequency-related analysis to </w:t>
      </w:r>
      <w:proofErr w:type="gramStart"/>
      <w:r w:rsidRPr="00DA262F">
        <w:rPr>
          <w:rFonts w:ascii="Times New Roman" w:eastAsia="Times New Roman" w:hAnsi="Times New Roman" w:cs="Times New Roman"/>
          <w:color w:val="000000" w:themeColor="text1"/>
          <w:sz w:val="24"/>
          <w:szCs w:val="24"/>
        </w:rPr>
        <w:t>compare and contrast</w:t>
      </w:r>
      <w:proofErr w:type="gramEnd"/>
      <w:r w:rsidRPr="00DA262F">
        <w:rPr>
          <w:rFonts w:ascii="Times New Roman" w:eastAsia="Times New Roman" w:hAnsi="Times New Roman" w:cs="Times New Roman"/>
          <w:color w:val="000000" w:themeColor="text1"/>
          <w:sz w:val="24"/>
          <w:szCs w:val="24"/>
        </w:rPr>
        <w:t xml:space="preserve"> industry results. This is also true that different measurement tools are also effective in the context </w:t>
      </w:r>
      <w:r w:rsidRPr="00DA262F">
        <w:rPr>
          <w:rFonts w:ascii="Times New Roman" w:eastAsia="Times New Roman" w:hAnsi="Times New Roman" w:cs="Times New Roman"/>
          <w:color w:val="000000" w:themeColor="text1"/>
          <w:sz w:val="24"/>
          <w:szCs w:val="24"/>
        </w:rPr>
        <w:lastRenderedPageBreak/>
        <w:t xml:space="preserve">of different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contexts. The evaluation of different diagnostic tools might allow for a critical and creative outlook towards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strategizing-</w:t>
      </w:r>
    </w:p>
    <w:p w14:paraId="703B8F09"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b/>
          <w:color w:val="000000" w:themeColor="text1"/>
          <w:sz w:val="24"/>
          <w:szCs w:val="24"/>
        </w:rPr>
        <w:t>IES employee engagement diagnostic tool:</w:t>
      </w:r>
      <w:r w:rsidRPr="00DA262F">
        <w:rPr>
          <w:rFonts w:ascii="Times New Roman" w:eastAsia="Times New Roman" w:hAnsi="Times New Roman" w:cs="Times New Roman"/>
          <w:color w:val="000000" w:themeColor="text1"/>
          <w:sz w:val="24"/>
          <w:szCs w:val="24"/>
        </w:rPr>
        <w:t xml:space="preserve"> This specific tool will allow both the management and the employees to evaluate their own engagement and </w:t>
      </w:r>
      <w:proofErr w:type="spellStart"/>
      <w:r w:rsidRPr="00DA262F">
        <w:rPr>
          <w:rFonts w:ascii="Times New Roman" w:eastAsia="Times New Roman" w:hAnsi="Times New Roman" w:cs="Times New Roman"/>
          <w:color w:val="000000" w:themeColor="text1"/>
          <w:sz w:val="24"/>
          <w:szCs w:val="24"/>
        </w:rPr>
        <w:t>prioritise</w:t>
      </w:r>
      <w:proofErr w:type="spellEnd"/>
      <w:r w:rsidRPr="00DA262F">
        <w:rPr>
          <w:rFonts w:ascii="Times New Roman" w:eastAsia="Times New Roman" w:hAnsi="Times New Roman" w:cs="Times New Roman"/>
          <w:color w:val="000000" w:themeColor="text1"/>
          <w:sz w:val="24"/>
          <w:szCs w:val="24"/>
        </w:rPr>
        <w:t xml:space="preserve"> different gaps that might be prevalent in the overall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communication. The IES measurement tool is much more process and </w:t>
      </w:r>
      <w:proofErr w:type="gramStart"/>
      <w:r w:rsidRPr="00DA262F">
        <w:rPr>
          <w:rFonts w:ascii="Times New Roman" w:eastAsia="Times New Roman" w:hAnsi="Times New Roman" w:cs="Times New Roman"/>
          <w:color w:val="000000" w:themeColor="text1"/>
          <w:sz w:val="24"/>
          <w:szCs w:val="24"/>
        </w:rPr>
        <w:t>function-centric</w:t>
      </w:r>
      <w:proofErr w:type="gramEnd"/>
      <w:r w:rsidRPr="00DA262F">
        <w:rPr>
          <w:rFonts w:ascii="Times New Roman" w:eastAsia="Times New Roman" w:hAnsi="Times New Roman" w:cs="Times New Roman"/>
          <w:color w:val="000000" w:themeColor="text1"/>
          <w:sz w:val="24"/>
          <w:szCs w:val="24"/>
        </w:rPr>
        <w:t xml:space="preserve">. This allows the companies to tackle the issues of employee engagement while at the same time allowing greater control over the internal processes of the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 This also allows the company to take active steps when trying to fix the differences between the employee appraisal and employee valuation with conviction and certainty (Robinson et al. 2004).</w:t>
      </w:r>
    </w:p>
    <w:p w14:paraId="37EB2FC7"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b/>
          <w:color w:val="000000" w:themeColor="text1"/>
          <w:sz w:val="24"/>
          <w:szCs w:val="24"/>
        </w:rPr>
        <w:t xml:space="preserve">Employee survey: </w:t>
      </w:r>
      <w:r w:rsidRPr="00DA262F">
        <w:rPr>
          <w:rFonts w:ascii="Times New Roman" w:eastAsia="Times New Roman" w:hAnsi="Times New Roman" w:cs="Times New Roman"/>
          <w:color w:val="000000" w:themeColor="text1"/>
          <w:sz w:val="24"/>
          <w:szCs w:val="24"/>
        </w:rPr>
        <w:t xml:space="preserve">An employee survey is a critical tool that allows the company to evaluate the strength of the ongoing employee engagement programs and initiatives. 360-degree appraisal form is a part of the employee survey initiatives. the employees anonymously rank their subordinates and their supervisors based upon their engagement, interpersonal relationship, and performance with them. The employees in this situation feel much more empowered to show their appreciation for the management or highlight their grievances. The employee survey can be exclusively modeled after various SQL questions that specifically highlight the employee engagement prospects in any given company. In </w:t>
      </w:r>
      <w:proofErr w:type="gramStart"/>
      <w:r w:rsidRPr="00DA262F">
        <w:rPr>
          <w:rFonts w:ascii="Times New Roman" w:eastAsia="Times New Roman" w:hAnsi="Times New Roman" w:cs="Times New Roman"/>
          <w:color w:val="000000" w:themeColor="text1"/>
          <w:sz w:val="24"/>
          <w:szCs w:val="24"/>
        </w:rPr>
        <w:t>the majority of</w:t>
      </w:r>
      <w:proofErr w:type="gramEnd"/>
      <w:r w:rsidRPr="00DA262F">
        <w:rPr>
          <w:rFonts w:ascii="Times New Roman" w:eastAsia="Times New Roman" w:hAnsi="Times New Roman" w:cs="Times New Roman"/>
          <w:color w:val="000000" w:themeColor="text1"/>
          <w:sz w:val="24"/>
          <w:szCs w:val="24"/>
        </w:rPr>
        <w:t xml:space="preserve"> the situations, the variables are divided between employee level communication, relationship with the management, and the opportunity for promotion and appraisal (Jay 2014).</w:t>
      </w:r>
    </w:p>
    <w:p w14:paraId="5494AEF2"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b/>
          <w:color w:val="000000" w:themeColor="text1"/>
          <w:sz w:val="24"/>
          <w:szCs w:val="24"/>
        </w:rPr>
        <w:t xml:space="preserve">Exit interviews: </w:t>
      </w:r>
      <w:r w:rsidRPr="00DA262F">
        <w:rPr>
          <w:rFonts w:ascii="Times New Roman" w:eastAsia="Times New Roman" w:hAnsi="Times New Roman" w:cs="Times New Roman"/>
          <w:color w:val="000000" w:themeColor="text1"/>
          <w:sz w:val="24"/>
          <w:szCs w:val="24"/>
        </w:rPr>
        <w:t xml:space="preserve">Exit interviews are interviews that are an integral part of the employment. It is one of the most effective tools that highlight the strength of a company's internal competencies in a realistic manner. The company through its exit interviews can significantly highlight the primary gaps in its employee management process. In multinational </w:t>
      </w:r>
      <w:proofErr w:type="spellStart"/>
      <w:r w:rsidRPr="00DA262F">
        <w:rPr>
          <w:rFonts w:ascii="Times New Roman" w:eastAsia="Times New Roman" w:hAnsi="Times New Roman" w:cs="Times New Roman"/>
          <w:color w:val="000000" w:themeColor="text1"/>
          <w:sz w:val="24"/>
          <w:szCs w:val="24"/>
        </w:rPr>
        <w:t>organisations</w:t>
      </w:r>
      <w:proofErr w:type="spellEnd"/>
      <w:r w:rsidRPr="00DA262F">
        <w:rPr>
          <w:rFonts w:ascii="Times New Roman" w:eastAsia="Times New Roman" w:hAnsi="Times New Roman" w:cs="Times New Roman"/>
          <w:color w:val="000000" w:themeColor="text1"/>
          <w:sz w:val="24"/>
          <w:szCs w:val="24"/>
        </w:rPr>
        <w:t>, this creates a sense of accountability and responsibility change along with the managers and employees likewise.</w:t>
      </w:r>
    </w:p>
    <w:p w14:paraId="670868F5"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These different models of employee engagement and their diagnostic tools provide companies with a </w:t>
      </w:r>
      <w:proofErr w:type="gramStart"/>
      <w:r w:rsidRPr="00DA262F">
        <w:rPr>
          <w:rFonts w:ascii="Times New Roman" w:eastAsia="Times New Roman" w:hAnsi="Times New Roman" w:cs="Times New Roman"/>
          <w:color w:val="000000" w:themeColor="text1"/>
          <w:sz w:val="24"/>
          <w:szCs w:val="24"/>
        </w:rPr>
        <w:t>fail</w:t>
      </w:r>
      <w:proofErr w:type="gramEnd"/>
      <w:r w:rsidRPr="00DA262F">
        <w:rPr>
          <w:rFonts w:ascii="Times New Roman" w:eastAsia="Times New Roman" w:hAnsi="Times New Roman" w:cs="Times New Roman"/>
          <w:color w:val="000000" w:themeColor="text1"/>
          <w:sz w:val="24"/>
          <w:szCs w:val="24"/>
        </w:rPr>
        <w:t xml:space="preserve"> switch. The management and the company with their priority are fixed into providing employees with an effective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environment that can </w:t>
      </w:r>
      <w:proofErr w:type="gramStart"/>
      <w:r w:rsidRPr="00DA262F">
        <w:rPr>
          <w:rFonts w:ascii="Times New Roman" w:eastAsia="Times New Roman" w:hAnsi="Times New Roman" w:cs="Times New Roman"/>
          <w:color w:val="000000" w:themeColor="text1"/>
          <w:sz w:val="24"/>
          <w:szCs w:val="24"/>
        </w:rPr>
        <w:t>look into</w:t>
      </w:r>
      <w:proofErr w:type="gramEnd"/>
      <w:r w:rsidRPr="00DA262F">
        <w:rPr>
          <w:rFonts w:ascii="Times New Roman" w:eastAsia="Times New Roman" w:hAnsi="Times New Roman" w:cs="Times New Roman"/>
          <w:color w:val="000000" w:themeColor="text1"/>
          <w:sz w:val="24"/>
          <w:szCs w:val="24"/>
        </w:rPr>
        <w:t xml:space="preserve"> the data and make changes accordingly (Pati, 2012).</w:t>
      </w:r>
    </w:p>
    <w:p w14:paraId="48AF6030" w14:textId="77777777" w:rsidR="004E6C24" w:rsidRPr="00DA262F" w:rsidRDefault="00EE273B" w:rsidP="00076361">
      <w:pPr>
        <w:pStyle w:val="Heading2"/>
      </w:pPr>
      <w:bookmarkStart w:id="5" w:name="_Toc81497017"/>
      <w:r w:rsidRPr="00DA262F">
        <w:lastRenderedPageBreak/>
        <w:t>2.3 Employee value proposition</w:t>
      </w:r>
      <w:bookmarkEnd w:id="5"/>
      <w:r w:rsidRPr="00DA262F">
        <w:t xml:space="preserve"> </w:t>
      </w:r>
    </w:p>
    <w:p w14:paraId="0B09DB78"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In reference to the company chief executive and his or her observations during the online conference. The employee value proposition can be developed through the below considerations and keeping in mind the covid-19 staged changes. </w:t>
      </w:r>
    </w:p>
    <w:p w14:paraId="14354FC1"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Adjustment of work environment</w:t>
      </w:r>
    </w:p>
    <w:p w14:paraId="5C416BB0"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In view of the above findings, while employees were away working from home </w:t>
      </w:r>
      <w:proofErr w:type="gramStart"/>
      <w:r w:rsidRPr="00DA262F">
        <w:rPr>
          <w:rFonts w:ascii="Times New Roman" w:eastAsia="Times New Roman" w:hAnsi="Times New Roman" w:cs="Times New Roman"/>
          <w:color w:val="000000" w:themeColor="text1"/>
          <w:sz w:val="24"/>
          <w:szCs w:val="24"/>
        </w:rPr>
        <w:t>during the course of</w:t>
      </w:r>
      <w:proofErr w:type="gramEnd"/>
      <w:r w:rsidRPr="00DA262F">
        <w:rPr>
          <w:rFonts w:ascii="Times New Roman" w:eastAsia="Times New Roman" w:hAnsi="Times New Roman" w:cs="Times New Roman"/>
          <w:color w:val="000000" w:themeColor="text1"/>
          <w:sz w:val="24"/>
          <w:szCs w:val="24"/>
        </w:rPr>
        <w:t xml:space="preserve"> covid-19.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premises have undergone rapid changes which under the context of the responsibilities required them to keep in mind specific challenges. Among these, it was important to observe the 2-meter distance between employee cubicles and hygiene elements surrounding the entire floor. This was only to develop the favorable habit among employees to adapt to working in susceptible environments, but not forgetting the cleanliness and hygiene factor. Also, more importance has been laid down towards improving innovation practices and facilitating remote working directly from the company premises (Kelley, 2021). This helps the firm to create efficient processes, and invest in digital conference rooms, virtually run team works, and others.</w:t>
      </w:r>
    </w:p>
    <w:p w14:paraId="54CD3134"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Cultural outreach to inspire confidence</w:t>
      </w:r>
    </w:p>
    <w:p w14:paraId="5EE571CE"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color w:val="000000" w:themeColor="text1"/>
          <w:sz w:val="24"/>
          <w:szCs w:val="24"/>
        </w:rPr>
        <w:t xml:space="preserve">The goals representing the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mission and vision have also been altered keeping in mind the covid-19 norms. This allows the firms to separate certain classes of its executives into some who will do the reporting and others who will center their attention towards the work activities. Hence, it was important to keep these two workforces separately away from each other </w:t>
      </w:r>
      <w:proofErr w:type="gramStart"/>
      <w:r w:rsidRPr="00DA262F">
        <w:rPr>
          <w:rFonts w:ascii="Times New Roman" w:eastAsia="Times New Roman" w:hAnsi="Times New Roman" w:cs="Times New Roman"/>
          <w:color w:val="000000" w:themeColor="text1"/>
          <w:sz w:val="24"/>
          <w:szCs w:val="24"/>
        </w:rPr>
        <w:t>during the course of</w:t>
      </w:r>
      <w:proofErr w:type="gramEnd"/>
      <w:r w:rsidRPr="00DA262F">
        <w:rPr>
          <w:rFonts w:ascii="Times New Roman" w:eastAsia="Times New Roman" w:hAnsi="Times New Roman" w:cs="Times New Roman"/>
          <w:color w:val="000000" w:themeColor="text1"/>
          <w:sz w:val="24"/>
          <w:szCs w:val="24"/>
        </w:rPr>
        <w:t xml:space="preserve"> the work activities (</w:t>
      </w:r>
      <w:proofErr w:type="spellStart"/>
      <w:r w:rsidRPr="00DA262F">
        <w:rPr>
          <w:rFonts w:ascii="Times New Roman" w:eastAsia="Times New Roman" w:hAnsi="Times New Roman" w:cs="Times New Roman"/>
          <w:color w:val="000000" w:themeColor="text1"/>
          <w:sz w:val="24"/>
          <w:szCs w:val="24"/>
        </w:rPr>
        <w:t>Rounak</w:t>
      </w:r>
      <w:proofErr w:type="spellEnd"/>
      <w:r w:rsidRPr="00DA262F">
        <w:rPr>
          <w:rFonts w:ascii="Times New Roman" w:eastAsia="Times New Roman" w:hAnsi="Times New Roman" w:cs="Times New Roman"/>
          <w:color w:val="000000" w:themeColor="text1"/>
          <w:sz w:val="24"/>
          <w:szCs w:val="24"/>
        </w:rPr>
        <w:t xml:space="preserve"> and </w:t>
      </w:r>
      <w:proofErr w:type="spellStart"/>
      <w:r w:rsidRPr="00DA262F">
        <w:rPr>
          <w:rFonts w:ascii="Times New Roman" w:eastAsia="Times New Roman" w:hAnsi="Times New Roman" w:cs="Times New Roman"/>
          <w:color w:val="000000" w:themeColor="text1"/>
          <w:sz w:val="24"/>
          <w:szCs w:val="24"/>
        </w:rPr>
        <w:t>Misra</w:t>
      </w:r>
      <w:proofErr w:type="spellEnd"/>
      <w:r w:rsidRPr="00DA262F">
        <w:rPr>
          <w:rFonts w:ascii="Times New Roman" w:eastAsia="Times New Roman" w:hAnsi="Times New Roman" w:cs="Times New Roman"/>
          <w:color w:val="000000" w:themeColor="text1"/>
          <w:sz w:val="24"/>
          <w:szCs w:val="24"/>
        </w:rPr>
        <w:t xml:space="preserve">, 2020). In such a manner, it will become easier for the company to plan and present the same roles to the workers who can use the office premises and consult with others virtually who will do the reporting. This perspective is likely to hamper personal relations among </w:t>
      </w:r>
      <w:proofErr w:type="gramStart"/>
      <w:r w:rsidRPr="00DA262F">
        <w:rPr>
          <w:rFonts w:ascii="Times New Roman" w:eastAsia="Times New Roman" w:hAnsi="Times New Roman" w:cs="Times New Roman"/>
          <w:color w:val="000000" w:themeColor="text1"/>
          <w:sz w:val="24"/>
          <w:szCs w:val="24"/>
        </w:rPr>
        <w:t>employees, and</w:t>
      </w:r>
      <w:proofErr w:type="gramEnd"/>
      <w:r w:rsidRPr="00DA262F">
        <w:rPr>
          <w:rFonts w:ascii="Times New Roman" w:eastAsia="Times New Roman" w:hAnsi="Times New Roman" w:cs="Times New Roman"/>
          <w:color w:val="000000" w:themeColor="text1"/>
          <w:sz w:val="24"/>
          <w:szCs w:val="24"/>
        </w:rPr>
        <w:t xml:space="preserve"> create biased characteristics in some executive minds. </w:t>
      </w:r>
    </w:p>
    <w:p w14:paraId="234BC47A"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Compensations for joining work</w:t>
      </w:r>
    </w:p>
    <w:p w14:paraId="2CBD5197"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Another suitable value proposition that will be the criteria of the firms, is to create better compensations for its worker groups. In such a case, it will be the salary being offered by the firm to the workers for coming into the premises to work during covid-19. For </w:t>
      </w:r>
      <w:proofErr w:type="gramStart"/>
      <w:r w:rsidRPr="00DA262F">
        <w:rPr>
          <w:rFonts w:ascii="Times New Roman" w:eastAsia="Times New Roman" w:hAnsi="Times New Roman" w:cs="Times New Roman"/>
          <w:color w:val="000000" w:themeColor="text1"/>
          <w:sz w:val="24"/>
          <w:szCs w:val="24"/>
        </w:rPr>
        <w:t>instance</w:t>
      </w:r>
      <w:proofErr w:type="gramEnd"/>
      <w:r w:rsidRPr="00DA262F">
        <w:rPr>
          <w:rFonts w:ascii="Times New Roman" w:eastAsia="Times New Roman" w:hAnsi="Times New Roman" w:cs="Times New Roman"/>
          <w:color w:val="000000" w:themeColor="text1"/>
          <w:sz w:val="24"/>
          <w:szCs w:val="24"/>
        </w:rPr>
        <w:t xml:space="preserve"> in the UK just to ensure job retention, the firms have decided to add a value of £2500 in their actual pay grade. That is likely to boost almost 80% of the worker’s contributions, and other </w:t>
      </w:r>
      <w:r w:rsidRPr="00DA262F">
        <w:rPr>
          <w:rFonts w:ascii="Times New Roman" w:eastAsia="Times New Roman" w:hAnsi="Times New Roman" w:cs="Times New Roman"/>
          <w:color w:val="000000" w:themeColor="text1"/>
          <w:sz w:val="24"/>
          <w:szCs w:val="24"/>
        </w:rPr>
        <w:lastRenderedPageBreak/>
        <w:t xml:space="preserve">compensations for furloughed hours (Black, 2021). This will serve as a motivating trait for the employees to inspire them to the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premises. </w:t>
      </w:r>
    </w:p>
    <w:p w14:paraId="75EFDC74"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4"/>
          <w:szCs w:val="24"/>
        </w:rPr>
      </w:pPr>
      <w:r w:rsidRPr="00DA262F">
        <w:rPr>
          <w:rFonts w:ascii="Times New Roman" w:eastAsia="Times New Roman" w:hAnsi="Times New Roman" w:cs="Times New Roman"/>
          <w:b/>
          <w:color w:val="000000" w:themeColor="text1"/>
          <w:sz w:val="24"/>
          <w:szCs w:val="24"/>
        </w:rPr>
        <w:t>Better career options</w:t>
      </w:r>
    </w:p>
    <w:p w14:paraId="0DE93CBD"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Apart from general compensations, it will be important for the </w:t>
      </w:r>
      <w:proofErr w:type="spellStart"/>
      <w:r w:rsidRPr="00DA262F">
        <w:rPr>
          <w:rFonts w:ascii="Times New Roman" w:eastAsia="Times New Roman" w:hAnsi="Times New Roman" w:cs="Times New Roman"/>
          <w:color w:val="000000" w:themeColor="text1"/>
          <w:sz w:val="24"/>
          <w:szCs w:val="24"/>
        </w:rPr>
        <w:t>organisations</w:t>
      </w:r>
      <w:proofErr w:type="spellEnd"/>
      <w:r w:rsidRPr="00DA262F">
        <w:rPr>
          <w:rFonts w:ascii="Times New Roman" w:eastAsia="Times New Roman" w:hAnsi="Times New Roman" w:cs="Times New Roman"/>
          <w:color w:val="000000" w:themeColor="text1"/>
          <w:sz w:val="24"/>
          <w:szCs w:val="24"/>
        </w:rPr>
        <w:t xml:space="preserve"> to impart off-holidays, insurance, and retirement schemes (</w:t>
      </w:r>
      <w:proofErr w:type="spellStart"/>
      <w:r w:rsidRPr="00DA262F">
        <w:rPr>
          <w:rFonts w:ascii="Times New Roman" w:eastAsia="Times New Roman" w:hAnsi="Times New Roman" w:cs="Times New Roman"/>
          <w:color w:val="000000" w:themeColor="text1"/>
          <w:sz w:val="24"/>
          <w:szCs w:val="24"/>
        </w:rPr>
        <w:t>Rounak</w:t>
      </w:r>
      <w:proofErr w:type="spellEnd"/>
      <w:r w:rsidRPr="00DA262F">
        <w:rPr>
          <w:rFonts w:ascii="Times New Roman" w:eastAsia="Times New Roman" w:hAnsi="Times New Roman" w:cs="Times New Roman"/>
          <w:color w:val="000000" w:themeColor="text1"/>
          <w:sz w:val="24"/>
          <w:szCs w:val="24"/>
        </w:rPr>
        <w:t xml:space="preserve"> and </w:t>
      </w:r>
      <w:proofErr w:type="spellStart"/>
      <w:r w:rsidRPr="00DA262F">
        <w:rPr>
          <w:rFonts w:ascii="Times New Roman" w:eastAsia="Times New Roman" w:hAnsi="Times New Roman" w:cs="Times New Roman"/>
          <w:color w:val="000000" w:themeColor="text1"/>
          <w:sz w:val="24"/>
          <w:szCs w:val="24"/>
        </w:rPr>
        <w:t>Misra</w:t>
      </w:r>
      <w:proofErr w:type="spellEnd"/>
      <w:r w:rsidRPr="00DA262F">
        <w:rPr>
          <w:rFonts w:ascii="Times New Roman" w:eastAsia="Times New Roman" w:hAnsi="Times New Roman" w:cs="Times New Roman"/>
          <w:color w:val="000000" w:themeColor="text1"/>
          <w:sz w:val="24"/>
          <w:szCs w:val="24"/>
        </w:rPr>
        <w:t xml:space="preserve">, 2020). These need to be prolonged </w:t>
      </w:r>
      <w:proofErr w:type="gramStart"/>
      <w:r w:rsidRPr="00DA262F">
        <w:rPr>
          <w:rFonts w:ascii="Times New Roman" w:eastAsia="Times New Roman" w:hAnsi="Times New Roman" w:cs="Times New Roman"/>
          <w:color w:val="000000" w:themeColor="text1"/>
          <w:sz w:val="24"/>
          <w:szCs w:val="24"/>
        </w:rPr>
        <w:t>in order to</w:t>
      </w:r>
      <w:proofErr w:type="gramEnd"/>
      <w:r w:rsidRPr="00DA262F">
        <w:rPr>
          <w:rFonts w:ascii="Times New Roman" w:eastAsia="Times New Roman" w:hAnsi="Times New Roman" w:cs="Times New Roman"/>
          <w:color w:val="000000" w:themeColor="text1"/>
          <w:sz w:val="24"/>
          <w:szCs w:val="24"/>
        </w:rPr>
        <w:t xml:space="preserve"> inspire more career opportunities if continuity is maintained within the firm. </w:t>
      </w:r>
    </w:p>
    <w:p w14:paraId="47CBD608" w14:textId="77777777" w:rsidR="004E6C24" w:rsidRPr="00DA262F" w:rsidRDefault="00EE273B" w:rsidP="00076361">
      <w:pPr>
        <w:pStyle w:val="Heading2"/>
      </w:pPr>
      <w:bookmarkStart w:id="6" w:name="_Toc81497018"/>
      <w:r w:rsidRPr="00DA262F">
        <w:t>2.4 Strategies to raise levels of engagement (Further suggestions)</w:t>
      </w:r>
      <w:bookmarkEnd w:id="6"/>
    </w:p>
    <w:p w14:paraId="71DED3A9"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From the understanding of the different literature, the strategies to increase the level of engagement from the employees can be described as follows:</w:t>
      </w:r>
    </w:p>
    <w:p w14:paraId="0C6AE3AC"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b/>
          <w:color w:val="000000" w:themeColor="text1"/>
          <w:sz w:val="24"/>
          <w:szCs w:val="24"/>
        </w:rPr>
        <w:t>Improving employment relationship:</w:t>
      </w:r>
      <w:r w:rsidRPr="00DA262F">
        <w:rPr>
          <w:rFonts w:ascii="Times New Roman" w:eastAsia="Times New Roman" w:hAnsi="Times New Roman" w:cs="Times New Roman"/>
          <w:color w:val="000000" w:themeColor="text1"/>
          <w:sz w:val="24"/>
          <w:szCs w:val="24"/>
        </w:rPr>
        <w:t xml:space="preserve"> the improvement of employment relationships among the employees and the management can increase the connectedness of the employees. For the same, as stated by CIPD (2017) can be considered, </w:t>
      </w:r>
      <w:r w:rsidRPr="00DA262F">
        <w:rPr>
          <w:rFonts w:ascii="Times New Roman" w:eastAsia="Times New Roman" w:hAnsi="Times New Roman" w:cs="Times New Roman"/>
          <w:b/>
          <w:i/>
          <w:color w:val="000000" w:themeColor="text1"/>
          <w:sz w:val="24"/>
          <w:szCs w:val="24"/>
        </w:rPr>
        <w:t>“Employee Voice relates to how employees communicate to their employer.”</w:t>
      </w:r>
      <w:r w:rsidRPr="00DA262F">
        <w:rPr>
          <w:rFonts w:ascii="Times New Roman" w:eastAsia="Times New Roman" w:hAnsi="Times New Roman" w:cs="Times New Roman"/>
          <w:color w:val="000000" w:themeColor="text1"/>
          <w:sz w:val="24"/>
          <w:szCs w:val="24"/>
        </w:rPr>
        <w:t xml:space="preserve"> When the communication process is effective, it indicates that the employees are listened to. For the same, the process of representative method (where employee participates in decision-making), or direct method (management directly communicates with employees). The importance of the same can be understood by the opinion of CIPD (2017), </w:t>
      </w:r>
      <w:r w:rsidRPr="00DA262F">
        <w:rPr>
          <w:rFonts w:ascii="Times New Roman" w:eastAsia="Times New Roman" w:hAnsi="Times New Roman" w:cs="Times New Roman"/>
          <w:b/>
          <w:i/>
          <w:color w:val="000000" w:themeColor="text1"/>
          <w:sz w:val="24"/>
          <w:szCs w:val="24"/>
        </w:rPr>
        <w:t>“employee involvement and participation is a key component of high-performance work systems (HPWS).”</w:t>
      </w:r>
      <w:r w:rsidRPr="00DA262F">
        <w:rPr>
          <w:rFonts w:ascii="Times New Roman" w:eastAsia="Times New Roman" w:hAnsi="Times New Roman" w:cs="Times New Roman"/>
          <w:color w:val="000000" w:themeColor="text1"/>
          <w:sz w:val="24"/>
          <w:szCs w:val="24"/>
        </w:rPr>
        <w:t xml:space="preserve"> Thus, improving the relationship between the management and the employees can be suggested as an effective employee engagement strategy.</w:t>
      </w:r>
    </w:p>
    <w:p w14:paraId="7BACF8E6"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b/>
          <w:color w:val="000000" w:themeColor="text1"/>
          <w:sz w:val="24"/>
          <w:szCs w:val="24"/>
        </w:rPr>
        <w:t>Following the DoE Model (1994):</w:t>
      </w:r>
      <w:r w:rsidRPr="00DA262F">
        <w:rPr>
          <w:rFonts w:ascii="Times New Roman" w:eastAsia="Times New Roman" w:hAnsi="Times New Roman" w:cs="Times New Roman"/>
          <w:color w:val="000000" w:themeColor="text1"/>
          <w:sz w:val="24"/>
          <w:szCs w:val="24"/>
        </w:rPr>
        <w:t xml:space="preserve"> for the improvement in employee engagement, the process of the Doe Model can be further suggested to the different </w:t>
      </w:r>
      <w:proofErr w:type="spellStart"/>
      <w:r w:rsidRPr="00DA262F">
        <w:rPr>
          <w:rFonts w:ascii="Times New Roman" w:eastAsia="Times New Roman" w:hAnsi="Times New Roman" w:cs="Times New Roman"/>
          <w:color w:val="000000" w:themeColor="text1"/>
          <w:sz w:val="24"/>
          <w:szCs w:val="24"/>
        </w:rPr>
        <w:t>organisations</w:t>
      </w:r>
      <w:proofErr w:type="spellEnd"/>
      <w:r w:rsidRPr="00DA262F">
        <w:rPr>
          <w:rFonts w:ascii="Times New Roman" w:eastAsia="Times New Roman" w:hAnsi="Times New Roman" w:cs="Times New Roman"/>
          <w:color w:val="000000" w:themeColor="text1"/>
          <w:sz w:val="24"/>
          <w:szCs w:val="24"/>
        </w:rPr>
        <w:t xml:space="preserve">. For example, </w:t>
      </w:r>
      <w:proofErr w:type="gramStart"/>
      <w:r w:rsidRPr="00DA262F">
        <w:rPr>
          <w:rFonts w:ascii="Times New Roman" w:eastAsia="Times New Roman" w:hAnsi="Times New Roman" w:cs="Times New Roman"/>
          <w:color w:val="000000" w:themeColor="text1"/>
          <w:sz w:val="24"/>
          <w:szCs w:val="24"/>
        </w:rPr>
        <w:t>it can be seen that the</w:t>
      </w:r>
      <w:proofErr w:type="gramEnd"/>
      <w:r w:rsidRPr="00DA262F">
        <w:rPr>
          <w:rFonts w:ascii="Times New Roman" w:eastAsia="Times New Roman" w:hAnsi="Times New Roman" w:cs="Times New Roman"/>
          <w:color w:val="000000" w:themeColor="text1"/>
          <w:sz w:val="24"/>
          <w:szCs w:val="24"/>
        </w:rPr>
        <w:t xml:space="preserve"> model states about the importance of sharing information with the employees, consultation, commitment to quality, development of an individual, health &amp; wellbeing, and the others can be necessary to increase the engagement. According to CIPD (2017), employee communication increases engagement, and the same results in improved </w:t>
      </w:r>
      <w:proofErr w:type="spellStart"/>
      <w:r w:rsidRPr="00DA262F">
        <w:rPr>
          <w:rFonts w:ascii="Times New Roman" w:eastAsia="Times New Roman" w:hAnsi="Times New Roman" w:cs="Times New Roman"/>
          <w:color w:val="000000" w:themeColor="text1"/>
          <w:sz w:val="24"/>
          <w:szCs w:val="24"/>
        </w:rPr>
        <w:t>organisational</w:t>
      </w:r>
      <w:proofErr w:type="spellEnd"/>
      <w:r w:rsidRPr="00DA262F">
        <w:rPr>
          <w:rFonts w:ascii="Times New Roman" w:eastAsia="Times New Roman" w:hAnsi="Times New Roman" w:cs="Times New Roman"/>
          <w:color w:val="000000" w:themeColor="text1"/>
          <w:sz w:val="24"/>
          <w:szCs w:val="24"/>
        </w:rPr>
        <w:t xml:space="preserve"> performance which indicates the importance of communicating and sharing information with the employees. For the same, the use of videos, team briefing, and others can be done. Watt (2018) also suggested the importance of communication in increasing employee engagement which can be followed by the </w:t>
      </w:r>
      <w:proofErr w:type="spellStart"/>
      <w:r w:rsidRPr="00DA262F">
        <w:rPr>
          <w:rFonts w:ascii="Times New Roman" w:eastAsia="Times New Roman" w:hAnsi="Times New Roman" w:cs="Times New Roman"/>
          <w:color w:val="000000" w:themeColor="text1"/>
          <w:sz w:val="24"/>
          <w:szCs w:val="24"/>
        </w:rPr>
        <w:t>organisations</w:t>
      </w:r>
      <w:proofErr w:type="spellEnd"/>
      <w:r w:rsidRPr="00DA262F">
        <w:rPr>
          <w:rFonts w:ascii="Times New Roman" w:eastAsia="Times New Roman" w:hAnsi="Times New Roman" w:cs="Times New Roman"/>
          <w:color w:val="000000" w:themeColor="text1"/>
          <w:sz w:val="24"/>
          <w:szCs w:val="24"/>
        </w:rPr>
        <w:t xml:space="preserve"> (Hook and Jenkins, 2019). Further, it can be suggested that the </w:t>
      </w:r>
      <w:r w:rsidRPr="00DA262F">
        <w:rPr>
          <w:rFonts w:ascii="Times New Roman" w:eastAsia="Times New Roman" w:hAnsi="Times New Roman" w:cs="Times New Roman"/>
          <w:color w:val="000000" w:themeColor="text1"/>
          <w:sz w:val="24"/>
          <w:szCs w:val="24"/>
        </w:rPr>
        <w:lastRenderedPageBreak/>
        <w:t xml:space="preserve">employees are included in the performance planning, active engagement, and the development of employees is done. Besides, it can be also suggested to improve the skills of the employees and improve the attendance and health service within the </w:t>
      </w:r>
      <w:proofErr w:type="spellStart"/>
      <w:r w:rsidRPr="00DA262F">
        <w:rPr>
          <w:rFonts w:ascii="Times New Roman" w:eastAsia="Times New Roman" w:hAnsi="Times New Roman" w:cs="Times New Roman"/>
          <w:color w:val="000000" w:themeColor="text1"/>
          <w:sz w:val="24"/>
          <w:szCs w:val="24"/>
        </w:rPr>
        <w:t>organisation</w:t>
      </w:r>
      <w:proofErr w:type="spellEnd"/>
      <w:r w:rsidRPr="00DA262F">
        <w:rPr>
          <w:rFonts w:ascii="Times New Roman" w:eastAsia="Times New Roman" w:hAnsi="Times New Roman" w:cs="Times New Roman"/>
          <w:color w:val="000000" w:themeColor="text1"/>
          <w:sz w:val="24"/>
          <w:szCs w:val="24"/>
        </w:rPr>
        <w:t xml:space="preserve">. </w:t>
      </w:r>
    </w:p>
    <w:p w14:paraId="35D59155"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Career development opportunities: one of the further suggestions for employee engagement would be to develop career opportunities for the employees. According to a study of Kingston in 2010, 35% of employees are willing to stay compared to 19% who are not offered a career opportunity. Therefore, it can be further advised that the employees should be offered career development opportunities that will increase their engagement.</w:t>
      </w:r>
    </w:p>
    <w:p w14:paraId="5D35346E" w14:textId="77777777" w:rsidR="004E6C24" w:rsidRPr="00DA262F" w:rsidRDefault="00EE273B" w:rsidP="00076361">
      <w:pPr>
        <w:pStyle w:val="Heading1"/>
      </w:pPr>
      <w:bookmarkStart w:id="7" w:name="_Toc81497019"/>
      <w:r w:rsidRPr="00DA262F">
        <w:t>3.0 Conclusion</w:t>
      </w:r>
      <w:bookmarkEnd w:id="7"/>
    </w:p>
    <w:p w14:paraId="5D2955E6" w14:textId="77777777" w:rsidR="004E6C24" w:rsidRPr="00DA262F" w:rsidRDefault="00EE273B">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This report concludes that there are numerous ways in which the working conditions in </w:t>
      </w:r>
      <w:proofErr w:type="spellStart"/>
      <w:r w:rsidRPr="00DA262F">
        <w:rPr>
          <w:rFonts w:ascii="Times New Roman" w:eastAsia="Times New Roman" w:hAnsi="Times New Roman" w:cs="Times New Roman"/>
          <w:color w:val="000000" w:themeColor="text1"/>
          <w:sz w:val="24"/>
          <w:szCs w:val="24"/>
        </w:rPr>
        <w:t>organisations</w:t>
      </w:r>
      <w:proofErr w:type="spellEnd"/>
      <w:r w:rsidRPr="00DA262F">
        <w:rPr>
          <w:rFonts w:ascii="Times New Roman" w:eastAsia="Times New Roman" w:hAnsi="Times New Roman" w:cs="Times New Roman"/>
          <w:color w:val="000000" w:themeColor="text1"/>
          <w:sz w:val="24"/>
          <w:szCs w:val="24"/>
        </w:rPr>
        <w:t xml:space="preserve"> can be altered to the betterment of the chief executive's perception. That is by considering the pandemic-related problems and making it better for the employees to serve the firm. That by adjusting the employee expectations and adjusting the same towards goals. It can be further concluded by the importance of communication shown by CIPD and DoE Model that employee engagement can be increased when they are offered career development scopes and are communicated in a proper way. For example, offering them a healthy workplace and including them in decision-making and data sharing can increase employee engagement.</w:t>
      </w:r>
    </w:p>
    <w:p w14:paraId="15D12EA6" w14:textId="77777777" w:rsidR="004E6C24" w:rsidRPr="00DA262F" w:rsidRDefault="00EE273B">
      <w:pPr>
        <w:pStyle w:val="Normal1"/>
        <w:spacing w:line="360" w:lineRule="auto"/>
        <w:jc w:val="both"/>
        <w:rPr>
          <w:rFonts w:ascii="Times New Roman" w:eastAsia="Times New Roman" w:hAnsi="Times New Roman" w:cs="Times New Roman"/>
          <w:b/>
          <w:color w:val="000000" w:themeColor="text1"/>
          <w:sz w:val="28"/>
          <w:szCs w:val="28"/>
        </w:rPr>
      </w:pPr>
      <w:r w:rsidRPr="00DA262F">
        <w:rPr>
          <w:color w:val="000000" w:themeColor="text1"/>
        </w:rPr>
        <w:br w:type="page"/>
      </w:r>
    </w:p>
    <w:p w14:paraId="14F764D5" w14:textId="77777777" w:rsidR="004E6C24" w:rsidRPr="00DA262F" w:rsidRDefault="00EE273B" w:rsidP="00076361">
      <w:pPr>
        <w:pStyle w:val="Heading1"/>
      </w:pPr>
      <w:bookmarkStart w:id="8" w:name="_Toc81497020"/>
      <w:r w:rsidRPr="00DA262F">
        <w:lastRenderedPageBreak/>
        <w:t>References</w:t>
      </w:r>
      <w:bookmarkEnd w:id="8"/>
    </w:p>
    <w:p w14:paraId="71E400A4"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Black, M., 2021. </w:t>
      </w:r>
      <w:r w:rsidRPr="00DA262F">
        <w:rPr>
          <w:rFonts w:ascii="Times New Roman" w:eastAsia="Times New Roman" w:hAnsi="Times New Roman" w:cs="Times New Roman"/>
          <w:i/>
          <w:color w:val="000000" w:themeColor="text1"/>
          <w:sz w:val="24"/>
          <w:szCs w:val="24"/>
        </w:rPr>
        <w:t xml:space="preserve">Coronavirus Job Retention Scheme Extended </w:t>
      </w:r>
      <w:proofErr w:type="gramStart"/>
      <w:r w:rsidRPr="00DA262F">
        <w:rPr>
          <w:rFonts w:ascii="Times New Roman" w:eastAsia="Times New Roman" w:hAnsi="Times New Roman" w:cs="Times New Roman"/>
          <w:i/>
          <w:color w:val="000000" w:themeColor="text1"/>
          <w:sz w:val="24"/>
          <w:szCs w:val="24"/>
        </w:rPr>
        <w:t>And</w:t>
      </w:r>
      <w:proofErr w:type="gramEnd"/>
      <w:r w:rsidRPr="00DA262F">
        <w:rPr>
          <w:rFonts w:ascii="Times New Roman" w:eastAsia="Times New Roman" w:hAnsi="Times New Roman" w:cs="Times New Roman"/>
          <w:i/>
          <w:color w:val="000000" w:themeColor="text1"/>
          <w:sz w:val="24"/>
          <w:szCs w:val="24"/>
        </w:rPr>
        <w:t xml:space="preserve"> Guidance On Job Support Scheme Published - Coronavirus (COVID-19) - UK.</w:t>
      </w:r>
      <w:r w:rsidRPr="00DA262F">
        <w:rPr>
          <w:rFonts w:ascii="Times New Roman" w:eastAsia="Times New Roman" w:hAnsi="Times New Roman" w:cs="Times New Roman"/>
          <w:color w:val="000000" w:themeColor="text1"/>
          <w:sz w:val="24"/>
          <w:szCs w:val="24"/>
        </w:rPr>
        <w:t xml:space="preserve"> [online] Mondaq.com. Available at: &lt;https://www.mondaq.com/uk/employment-and-workforce-wellbeing/1047370/coronavirus-job-retention-scheme-extended-and-guidance-on-job-support-scheme-published-&gt; [Accessed 24 August 2021].</w:t>
      </w:r>
    </w:p>
    <w:p w14:paraId="52F9756F"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Chartered Institute of Personnel and Development (2017) Employee Engagement and Motivation, CIPD (factsheet available at www.cipd.co.uk).</w:t>
      </w:r>
    </w:p>
    <w:p w14:paraId="471B05DB"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Chartered Institute of Personnel and Development (2017). Employee communication, CIPD (factsheet available at www.cipd.co.uk).</w:t>
      </w:r>
    </w:p>
    <w:p w14:paraId="72BC76ED"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Hook., C, and Jenkins., A. (2019) Introducing Human Resource Management, 8th Edition. UK: Pearson</w:t>
      </w:r>
    </w:p>
    <w:p w14:paraId="432B502B"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Jay., A., 2014. Determinants of employee engagement and their impact on employee performance. </w:t>
      </w:r>
      <w:r w:rsidRPr="00DA262F">
        <w:rPr>
          <w:rFonts w:ascii="Times New Roman" w:eastAsia="Times New Roman" w:hAnsi="Times New Roman" w:cs="Times New Roman"/>
          <w:i/>
          <w:color w:val="000000" w:themeColor="text1"/>
          <w:sz w:val="24"/>
          <w:szCs w:val="24"/>
        </w:rPr>
        <w:t>International Journal of Productivity and Performance Management,</w:t>
      </w:r>
      <w:r w:rsidRPr="00DA262F">
        <w:rPr>
          <w:rFonts w:ascii="Times New Roman" w:eastAsia="Times New Roman" w:hAnsi="Times New Roman" w:cs="Times New Roman"/>
          <w:color w:val="000000" w:themeColor="text1"/>
          <w:sz w:val="24"/>
          <w:szCs w:val="24"/>
        </w:rPr>
        <w:t xml:space="preserve"> 63(3), pp.308-323. DOI: 10.1108/ijppm-01-2013-0008</w:t>
      </w:r>
    </w:p>
    <w:p w14:paraId="6FAF5504"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Kelley, P., 2021. </w:t>
      </w:r>
      <w:r w:rsidRPr="00DA262F">
        <w:rPr>
          <w:rFonts w:ascii="Times New Roman" w:eastAsia="Times New Roman" w:hAnsi="Times New Roman" w:cs="Times New Roman"/>
          <w:i/>
          <w:color w:val="000000" w:themeColor="text1"/>
          <w:sz w:val="24"/>
          <w:szCs w:val="24"/>
        </w:rPr>
        <w:t>Covid-19 is a once-in-a-generation opportunity to transform the UK’s public sector</w:t>
      </w:r>
      <w:r w:rsidRPr="00DA262F">
        <w:rPr>
          <w:rFonts w:ascii="Times New Roman" w:eastAsia="Times New Roman" w:hAnsi="Times New Roman" w:cs="Times New Roman"/>
          <w:color w:val="000000" w:themeColor="text1"/>
          <w:sz w:val="24"/>
          <w:szCs w:val="24"/>
        </w:rPr>
        <w:t>. [online] Newstatesman.com. Available at: &lt;https://www.newstatesman.com/spotlight/coronavirus/2021/04/covid-19-once-generation-opportunity-transform-uk-s-public-sector&gt; [Accessed 24 August 2021].</w:t>
      </w:r>
    </w:p>
    <w:p w14:paraId="345D5AA9"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Pati, S.P., 2012. Development of a measure of employee engagement. </w:t>
      </w:r>
      <w:r w:rsidRPr="00DA262F">
        <w:rPr>
          <w:rFonts w:ascii="Times New Roman" w:eastAsia="Times New Roman" w:hAnsi="Times New Roman" w:cs="Times New Roman"/>
          <w:i/>
          <w:color w:val="000000" w:themeColor="text1"/>
          <w:sz w:val="24"/>
          <w:szCs w:val="24"/>
        </w:rPr>
        <w:t>Journal of Industrial Relations</w:t>
      </w:r>
      <w:r w:rsidRPr="00DA262F">
        <w:rPr>
          <w:rFonts w:ascii="Times New Roman" w:eastAsia="Times New Roman" w:hAnsi="Times New Roman" w:cs="Times New Roman"/>
          <w:color w:val="000000" w:themeColor="text1"/>
          <w:sz w:val="24"/>
          <w:szCs w:val="24"/>
        </w:rPr>
        <w:t>, pp.94-104. Available at &lt;https://www.jstor.org/stable/23509769&gt; [Accessed 30 August 2021]</w:t>
      </w:r>
    </w:p>
    <w:p w14:paraId="7C6BE7EC"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Robinson, D., Perryman, S. and </w:t>
      </w:r>
      <w:proofErr w:type="spellStart"/>
      <w:r w:rsidRPr="00DA262F">
        <w:rPr>
          <w:rFonts w:ascii="Times New Roman" w:eastAsia="Times New Roman" w:hAnsi="Times New Roman" w:cs="Times New Roman"/>
          <w:color w:val="000000" w:themeColor="text1"/>
          <w:sz w:val="24"/>
          <w:szCs w:val="24"/>
        </w:rPr>
        <w:t>Hayday</w:t>
      </w:r>
      <w:proofErr w:type="spellEnd"/>
      <w:r w:rsidRPr="00DA262F">
        <w:rPr>
          <w:rFonts w:ascii="Times New Roman" w:eastAsia="Times New Roman" w:hAnsi="Times New Roman" w:cs="Times New Roman"/>
          <w:color w:val="000000" w:themeColor="text1"/>
          <w:sz w:val="24"/>
          <w:szCs w:val="24"/>
        </w:rPr>
        <w:t xml:space="preserve">, S., (2004). The Drivers </w:t>
      </w:r>
      <w:proofErr w:type="gramStart"/>
      <w:r w:rsidRPr="00DA262F">
        <w:rPr>
          <w:rFonts w:ascii="Times New Roman" w:eastAsia="Times New Roman" w:hAnsi="Times New Roman" w:cs="Times New Roman"/>
          <w:color w:val="000000" w:themeColor="text1"/>
          <w:sz w:val="24"/>
          <w:szCs w:val="24"/>
        </w:rPr>
        <w:t>Of</w:t>
      </w:r>
      <w:proofErr w:type="gramEnd"/>
      <w:r w:rsidRPr="00DA262F">
        <w:rPr>
          <w:rFonts w:ascii="Times New Roman" w:eastAsia="Times New Roman" w:hAnsi="Times New Roman" w:cs="Times New Roman"/>
          <w:color w:val="000000" w:themeColor="text1"/>
          <w:sz w:val="24"/>
          <w:szCs w:val="24"/>
        </w:rPr>
        <w:t xml:space="preserve"> Employee Engagement. 1st ed. Brighton: Institute for Employment Studies, pp.21-28.</w:t>
      </w:r>
    </w:p>
    <w:p w14:paraId="52AD4377" w14:textId="77777777" w:rsidR="00076361"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DA262F">
        <w:rPr>
          <w:rFonts w:ascii="Times New Roman" w:eastAsia="Times New Roman" w:hAnsi="Times New Roman" w:cs="Times New Roman"/>
          <w:color w:val="000000" w:themeColor="text1"/>
          <w:sz w:val="24"/>
          <w:szCs w:val="24"/>
        </w:rPr>
        <w:t>Rounak</w:t>
      </w:r>
      <w:proofErr w:type="spellEnd"/>
      <w:r w:rsidRPr="00DA262F">
        <w:rPr>
          <w:rFonts w:ascii="Times New Roman" w:eastAsia="Times New Roman" w:hAnsi="Times New Roman" w:cs="Times New Roman"/>
          <w:color w:val="000000" w:themeColor="text1"/>
          <w:sz w:val="24"/>
          <w:szCs w:val="24"/>
        </w:rPr>
        <w:t xml:space="preserve">, S. and </w:t>
      </w:r>
      <w:proofErr w:type="spellStart"/>
      <w:r w:rsidRPr="00DA262F">
        <w:rPr>
          <w:rFonts w:ascii="Times New Roman" w:eastAsia="Times New Roman" w:hAnsi="Times New Roman" w:cs="Times New Roman"/>
          <w:color w:val="000000" w:themeColor="text1"/>
          <w:sz w:val="24"/>
          <w:szCs w:val="24"/>
        </w:rPr>
        <w:t>Misra</w:t>
      </w:r>
      <w:proofErr w:type="spellEnd"/>
      <w:r w:rsidRPr="00DA262F">
        <w:rPr>
          <w:rFonts w:ascii="Times New Roman" w:eastAsia="Times New Roman" w:hAnsi="Times New Roman" w:cs="Times New Roman"/>
          <w:color w:val="000000" w:themeColor="text1"/>
          <w:sz w:val="24"/>
          <w:szCs w:val="24"/>
        </w:rPr>
        <w:t xml:space="preserve">, R., 2020. Employee value proposition: an analysis of organizational factors – the way to enhance value perception. Development and Learning in Organizations: </w:t>
      </w:r>
      <w:r w:rsidRPr="00DA262F">
        <w:rPr>
          <w:rFonts w:ascii="Times New Roman" w:eastAsia="Times New Roman" w:hAnsi="Times New Roman" w:cs="Times New Roman"/>
          <w:i/>
          <w:color w:val="000000" w:themeColor="text1"/>
          <w:sz w:val="24"/>
          <w:szCs w:val="24"/>
        </w:rPr>
        <w:t>An</w:t>
      </w:r>
      <w:r w:rsidRPr="00DA262F">
        <w:rPr>
          <w:rFonts w:ascii="Times New Roman" w:eastAsia="Times New Roman" w:hAnsi="Times New Roman" w:cs="Times New Roman"/>
          <w:color w:val="000000" w:themeColor="text1"/>
          <w:sz w:val="24"/>
          <w:szCs w:val="24"/>
        </w:rPr>
        <w:t xml:space="preserve"> </w:t>
      </w:r>
      <w:r w:rsidRPr="00DA262F">
        <w:rPr>
          <w:rFonts w:ascii="Times New Roman" w:eastAsia="Times New Roman" w:hAnsi="Times New Roman" w:cs="Times New Roman"/>
          <w:i/>
          <w:color w:val="000000" w:themeColor="text1"/>
          <w:sz w:val="24"/>
          <w:szCs w:val="24"/>
        </w:rPr>
        <w:t>International Journal</w:t>
      </w:r>
      <w:r w:rsidRPr="00DA262F">
        <w:rPr>
          <w:rFonts w:ascii="Times New Roman" w:eastAsia="Times New Roman" w:hAnsi="Times New Roman" w:cs="Times New Roman"/>
          <w:color w:val="000000" w:themeColor="text1"/>
          <w:sz w:val="24"/>
          <w:szCs w:val="24"/>
        </w:rPr>
        <w:t>, [online] 34(6), pp.9-12. Available at: &lt;https://www.emerald.com/insight/content/doi/10.1108/DLO-09-2019-0216/full/html&gt; [Accessed 24 August 2021].</w:t>
      </w:r>
    </w:p>
    <w:p w14:paraId="5C021A73" w14:textId="77777777" w:rsidR="004E6C24" w:rsidRPr="00DA262F" w:rsidRDefault="00076361">
      <w:pPr>
        <w:pStyle w:val="Normal1"/>
        <w:spacing w:line="360" w:lineRule="auto"/>
        <w:jc w:val="both"/>
        <w:rPr>
          <w:rFonts w:ascii="Times New Roman" w:eastAsia="Times New Roman" w:hAnsi="Times New Roman" w:cs="Times New Roman"/>
          <w:color w:val="000000" w:themeColor="text1"/>
          <w:sz w:val="24"/>
          <w:szCs w:val="24"/>
        </w:rPr>
      </w:pPr>
      <w:r w:rsidRPr="00DA262F">
        <w:rPr>
          <w:rFonts w:ascii="Times New Roman" w:eastAsia="Times New Roman" w:hAnsi="Times New Roman" w:cs="Times New Roman"/>
          <w:color w:val="000000" w:themeColor="text1"/>
          <w:sz w:val="24"/>
          <w:szCs w:val="24"/>
        </w:rPr>
        <w:t xml:space="preserve">Saks, A.M. and </w:t>
      </w:r>
      <w:proofErr w:type="spellStart"/>
      <w:r w:rsidRPr="00DA262F">
        <w:rPr>
          <w:rFonts w:ascii="Times New Roman" w:eastAsia="Times New Roman" w:hAnsi="Times New Roman" w:cs="Times New Roman"/>
          <w:color w:val="000000" w:themeColor="text1"/>
          <w:sz w:val="24"/>
          <w:szCs w:val="24"/>
        </w:rPr>
        <w:t>Gruman</w:t>
      </w:r>
      <w:proofErr w:type="spellEnd"/>
      <w:r w:rsidRPr="00DA262F">
        <w:rPr>
          <w:rFonts w:ascii="Times New Roman" w:eastAsia="Times New Roman" w:hAnsi="Times New Roman" w:cs="Times New Roman"/>
          <w:color w:val="000000" w:themeColor="text1"/>
          <w:sz w:val="24"/>
          <w:szCs w:val="24"/>
        </w:rPr>
        <w:t xml:space="preserve">, J.A., 2014. What do we really know about employee </w:t>
      </w:r>
      <w:proofErr w:type="gramStart"/>
      <w:r w:rsidRPr="00DA262F">
        <w:rPr>
          <w:rFonts w:ascii="Times New Roman" w:eastAsia="Times New Roman" w:hAnsi="Times New Roman" w:cs="Times New Roman"/>
          <w:color w:val="000000" w:themeColor="text1"/>
          <w:sz w:val="24"/>
          <w:szCs w:val="24"/>
        </w:rPr>
        <w:t>engagement?.</w:t>
      </w:r>
      <w:proofErr w:type="gramEnd"/>
      <w:r w:rsidRPr="00DA262F">
        <w:rPr>
          <w:rFonts w:ascii="Times New Roman" w:eastAsia="Times New Roman" w:hAnsi="Times New Roman" w:cs="Times New Roman"/>
          <w:color w:val="000000" w:themeColor="text1"/>
          <w:sz w:val="24"/>
          <w:szCs w:val="24"/>
        </w:rPr>
        <w:t xml:space="preserve"> </w:t>
      </w:r>
      <w:r w:rsidRPr="00DA262F">
        <w:rPr>
          <w:rFonts w:ascii="Times New Roman" w:eastAsia="Times New Roman" w:hAnsi="Times New Roman" w:cs="Times New Roman"/>
          <w:i/>
          <w:color w:val="000000" w:themeColor="text1"/>
          <w:sz w:val="24"/>
          <w:szCs w:val="24"/>
        </w:rPr>
        <w:t>Human resource development quarterly</w:t>
      </w:r>
      <w:r w:rsidRPr="00DA262F">
        <w:rPr>
          <w:rFonts w:ascii="Times New Roman" w:eastAsia="Times New Roman" w:hAnsi="Times New Roman" w:cs="Times New Roman"/>
          <w:color w:val="000000" w:themeColor="text1"/>
          <w:sz w:val="24"/>
          <w:szCs w:val="24"/>
        </w:rPr>
        <w:t>, 25(2), pp.155-182. DOI: 10.1002/hrdq.21187</w:t>
      </w:r>
    </w:p>
    <w:sectPr w:rsidR="004E6C24" w:rsidRPr="00DA262F" w:rsidSect="001F42D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53CC7" w14:textId="77777777" w:rsidR="00EE273B" w:rsidRDefault="00EE273B" w:rsidP="00561648">
      <w:pPr>
        <w:spacing w:line="240" w:lineRule="auto"/>
      </w:pPr>
      <w:r>
        <w:separator/>
      </w:r>
    </w:p>
  </w:endnote>
  <w:endnote w:type="continuationSeparator" w:id="0">
    <w:p w14:paraId="61C6503F" w14:textId="77777777" w:rsidR="00EE273B" w:rsidRDefault="00EE273B" w:rsidP="005616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D38A9" w14:textId="77777777" w:rsidR="001F42D0" w:rsidRDefault="001F42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7330"/>
      <w:docPartObj>
        <w:docPartGallery w:val="Page Numbers (Bottom of Page)"/>
        <w:docPartUnique/>
      </w:docPartObj>
    </w:sdtPr>
    <w:sdtEndPr/>
    <w:sdtContent>
      <w:p w14:paraId="0CB86D4F" w14:textId="77777777" w:rsidR="001F42D0" w:rsidRDefault="00561648">
        <w:pPr>
          <w:pStyle w:val="Footer"/>
          <w:jc w:val="right"/>
        </w:pPr>
        <w:r>
          <w:fldChar w:fldCharType="begin"/>
        </w:r>
        <w:r w:rsidR="00EE273B">
          <w:instrText xml:space="preserve"> PAGE   \* MERGEFORMAT </w:instrText>
        </w:r>
        <w:r>
          <w:fldChar w:fldCharType="separate"/>
        </w:r>
        <w:r w:rsidR="00523FD5">
          <w:rPr>
            <w:noProof/>
          </w:rPr>
          <w:t>2</w:t>
        </w:r>
        <w:r>
          <w:rPr>
            <w:noProof/>
          </w:rPr>
          <w:fldChar w:fldCharType="end"/>
        </w:r>
      </w:p>
    </w:sdtContent>
  </w:sdt>
  <w:p w14:paraId="1A462341" w14:textId="77777777" w:rsidR="004E6C24" w:rsidRDefault="004E6C24">
    <w:pPr>
      <w:pStyle w:val="Normal1"/>
      <w:jc w:val="right"/>
      <w:rPr>
        <w:rFonts w:ascii="Times New Roman" w:eastAsia="Times New Roman" w:hAnsi="Times New Roman" w:cs="Times New Roman"/>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8CF" w14:textId="77777777" w:rsidR="004E6C24" w:rsidRDefault="004E6C2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3E239" w14:textId="77777777" w:rsidR="00EE273B" w:rsidRDefault="00EE273B" w:rsidP="00561648">
      <w:pPr>
        <w:spacing w:line="240" w:lineRule="auto"/>
      </w:pPr>
      <w:r>
        <w:separator/>
      </w:r>
    </w:p>
  </w:footnote>
  <w:footnote w:type="continuationSeparator" w:id="0">
    <w:p w14:paraId="31A1F5F8" w14:textId="77777777" w:rsidR="00EE273B" w:rsidRDefault="00EE273B" w:rsidP="005616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2ADF6" w14:textId="77777777" w:rsidR="001F42D0" w:rsidRDefault="001F42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3464C7" w14:textId="77777777" w:rsidR="001F42D0" w:rsidRDefault="001F42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7CE19" w14:textId="77777777" w:rsidR="004E6C24" w:rsidRDefault="004E6C24">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A5728"/>
    <w:multiLevelType w:val="multilevel"/>
    <w:tmpl w:val="D61A4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DF13A84"/>
    <w:multiLevelType w:val="multilevel"/>
    <w:tmpl w:val="EE1099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C24"/>
    <w:rsid w:val="00076361"/>
    <w:rsid w:val="001F42D0"/>
    <w:rsid w:val="004E6C24"/>
    <w:rsid w:val="00523FD5"/>
    <w:rsid w:val="00561648"/>
    <w:rsid w:val="00904D70"/>
    <w:rsid w:val="00B153B4"/>
    <w:rsid w:val="00C054FF"/>
    <w:rsid w:val="00DA262F"/>
    <w:rsid w:val="00EE2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6C185"/>
  <w15:docId w15:val="{FF05C70E-038C-4606-9741-A2DF25B7B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648"/>
  </w:style>
  <w:style w:type="paragraph" w:styleId="Heading1">
    <w:name w:val="heading 1"/>
    <w:basedOn w:val="Normal1"/>
    <w:next w:val="Normal1"/>
    <w:rsid w:val="0007636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076361"/>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4E6C24"/>
    <w:pPr>
      <w:keepNext/>
      <w:keepLines/>
      <w:spacing w:before="320" w:after="80"/>
      <w:outlineLvl w:val="2"/>
    </w:pPr>
    <w:rPr>
      <w:color w:val="434343"/>
      <w:sz w:val="28"/>
      <w:szCs w:val="28"/>
    </w:rPr>
  </w:style>
  <w:style w:type="paragraph" w:styleId="Heading4">
    <w:name w:val="heading 4"/>
    <w:basedOn w:val="Normal1"/>
    <w:next w:val="Normal1"/>
    <w:rsid w:val="004E6C24"/>
    <w:pPr>
      <w:keepNext/>
      <w:keepLines/>
      <w:spacing w:before="280" w:after="80"/>
      <w:outlineLvl w:val="3"/>
    </w:pPr>
    <w:rPr>
      <w:color w:val="666666"/>
      <w:sz w:val="24"/>
      <w:szCs w:val="24"/>
    </w:rPr>
  </w:style>
  <w:style w:type="paragraph" w:styleId="Heading5">
    <w:name w:val="heading 5"/>
    <w:basedOn w:val="Normal1"/>
    <w:next w:val="Normal1"/>
    <w:rsid w:val="004E6C24"/>
    <w:pPr>
      <w:keepNext/>
      <w:keepLines/>
      <w:spacing w:before="240" w:after="80"/>
      <w:outlineLvl w:val="4"/>
    </w:pPr>
    <w:rPr>
      <w:color w:val="666666"/>
    </w:rPr>
  </w:style>
  <w:style w:type="paragraph" w:styleId="Heading6">
    <w:name w:val="heading 6"/>
    <w:basedOn w:val="Normal1"/>
    <w:next w:val="Normal1"/>
    <w:rsid w:val="004E6C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E6C24"/>
  </w:style>
  <w:style w:type="paragraph" w:styleId="Title">
    <w:name w:val="Title"/>
    <w:basedOn w:val="Normal1"/>
    <w:next w:val="Normal1"/>
    <w:rsid w:val="004E6C24"/>
    <w:pPr>
      <w:keepNext/>
      <w:keepLines/>
      <w:spacing w:after="60"/>
    </w:pPr>
    <w:rPr>
      <w:sz w:val="52"/>
      <w:szCs w:val="52"/>
    </w:rPr>
  </w:style>
  <w:style w:type="paragraph" w:styleId="Subtitle">
    <w:name w:val="Subtitle"/>
    <w:basedOn w:val="Normal1"/>
    <w:next w:val="Normal1"/>
    <w:rsid w:val="004E6C24"/>
    <w:pPr>
      <w:keepNext/>
      <w:keepLines/>
      <w:spacing w:after="320"/>
    </w:pPr>
    <w:rPr>
      <w:color w:val="666666"/>
      <w:sz w:val="30"/>
      <w:szCs w:val="30"/>
    </w:rPr>
  </w:style>
  <w:style w:type="paragraph" w:styleId="Header">
    <w:name w:val="header"/>
    <w:basedOn w:val="Normal"/>
    <w:link w:val="HeaderChar"/>
    <w:uiPriority w:val="99"/>
    <w:semiHidden/>
    <w:unhideWhenUsed/>
    <w:rsid w:val="001F42D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F42D0"/>
  </w:style>
  <w:style w:type="paragraph" w:styleId="Footer">
    <w:name w:val="footer"/>
    <w:basedOn w:val="Normal"/>
    <w:link w:val="FooterChar"/>
    <w:uiPriority w:val="99"/>
    <w:unhideWhenUsed/>
    <w:rsid w:val="001F42D0"/>
    <w:pPr>
      <w:tabs>
        <w:tab w:val="center" w:pos="4680"/>
        <w:tab w:val="right" w:pos="9360"/>
      </w:tabs>
      <w:spacing w:line="240" w:lineRule="auto"/>
    </w:pPr>
  </w:style>
  <w:style w:type="character" w:customStyle="1" w:styleId="FooterChar">
    <w:name w:val="Footer Char"/>
    <w:basedOn w:val="DefaultParagraphFont"/>
    <w:link w:val="Footer"/>
    <w:uiPriority w:val="99"/>
    <w:rsid w:val="001F42D0"/>
  </w:style>
  <w:style w:type="paragraph" w:styleId="BalloonText">
    <w:name w:val="Balloon Text"/>
    <w:basedOn w:val="Normal"/>
    <w:link w:val="BalloonTextChar"/>
    <w:uiPriority w:val="99"/>
    <w:semiHidden/>
    <w:unhideWhenUsed/>
    <w:rsid w:val="001F42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42D0"/>
    <w:rPr>
      <w:rFonts w:ascii="Tahoma" w:hAnsi="Tahoma" w:cs="Tahoma"/>
      <w:sz w:val="16"/>
      <w:szCs w:val="16"/>
    </w:rPr>
  </w:style>
  <w:style w:type="paragraph" w:styleId="TOCHeading">
    <w:name w:val="TOC Heading"/>
    <w:basedOn w:val="Heading1"/>
    <w:next w:val="Normal"/>
    <w:uiPriority w:val="39"/>
    <w:semiHidden/>
    <w:unhideWhenUsed/>
    <w:qFormat/>
    <w:rsid w:val="00B153B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153B4"/>
    <w:pPr>
      <w:spacing w:after="100"/>
    </w:pPr>
  </w:style>
  <w:style w:type="paragraph" w:styleId="TOC2">
    <w:name w:val="toc 2"/>
    <w:basedOn w:val="Normal"/>
    <w:next w:val="Normal"/>
    <w:autoRedefine/>
    <w:uiPriority w:val="39"/>
    <w:unhideWhenUsed/>
    <w:rsid w:val="00B153B4"/>
    <w:pPr>
      <w:spacing w:after="100"/>
      <w:ind w:left="220"/>
    </w:pPr>
  </w:style>
  <w:style w:type="character" w:styleId="Hyperlink">
    <w:name w:val="Hyperlink"/>
    <w:basedOn w:val="DefaultParagraphFont"/>
    <w:uiPriority w:val="99"/>
    <w:unhideWhenUsed/>
    <w:rsid w:val="00B153B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5F53D8-E4EE-4376-A5ED-CF5095D19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2471</Words>
  <Characters>14085</Characters>
  <Application>Microsoft Office Word</Application>
  <DocSecurity>0</DocSecurity>
  <Lines>117</Lines>
  <Paragraphs>33</Paragraphs>
  <ScaleCrop>false</ScaleCrop>
  <Company/>
  <LinksUpToDate>false</LinksUpToDate>
  <CharactersWithSpaces>16523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smo</dc:creator>
  <cp:lastModifiedBy>silviu.silviu.sims@gmail.com</cp:lastModifiedBy>
  <cp:revision>2</cp:revision>
  <dcterms:created xsi:type="dcterms:W3CDTF">2021-09-03T03:40:00Z</dcterms:created>
  <dcterms:modified xsi:type="dcterms:W3CDTF">2021-09-03T03:40:00Z</dcterms:modified>
</cp:coreProperties>
</file>